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8B2CC1" w:rsidTr="0088395E">
        <w:tc>
          <w:tcPr>
            <w:tcW w:w="4513" w:type="dxa"/>
            <w:tcBorders>
              <w:bottom w:val="single" w:sz="4" w:space="0" w:color="auto"/>
            </w:tcBorders>
            <w:tcMar>
              <w:bottom w:w="170" w:type="dxa"/>
            </w:tcMar>
          </w:tcPr>
          <w:p w:rsidR="00E504E5" w:rsidRPr="008B2CC1" w:rsidRDefault="00E504E5" w:rsidP="00AB613D"/>
        </w:tc>
        <w:tc>
          <w:tcPr>
            <w:tcW w:w="4337" w:type="dxa"/>
            <w:tcBorders>
              <w:bottom w:val="single" w:sz="4" w:space="0" w:color="auto"/>
            </w:tcBorders>
            <w:tcMar>
              <w:left w:w="0" w:type="dxa"/>
              <w:right w:w="0" w:type="dxa"/>
            </w:tcMar>
          </w:tcPr>
          <w:p w:rsidR="00E504E5" w:rsidRPr="008B2CC1" w:rsidRDefault="00324273" w:rsidP="00AB613D">
            <w:r>
              <w:rPr>
                <w:noProof/>
                <w:lang w:val="en-US" w:eastAsia="en-US"/>
              </w:rPr>
              <w:drawing>
                <wp:inline distT="0" distB="0" distL="0" distR="0">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8B2CC1" w:rsidRDefault="00E504E5" w:rsidP="00AB613D">
            <w:pPr>
              <w:jc w:val="right"/>
            </w:pPr>
            <w:r>
              <w:rPr>
                <w:b/>
                <w:sz w:val="40"/>
                <w:szCs w:val="40"/>
              </w:rPr>
              <w:t>S</w:t>
            </w:r>
          </w:p>
        </w:tc>
      </w:tr>
      <w:tr w:rsidR="008B2CC1" w:rsidRPr="001832A6" w:rsidTr="00022606">
        <w:trPr>
          <w:trHeight w:val="218"/>
        </w:trPr>
        <w:tc>
          <w:tcPr>
            <w:tcW w:w="9356" w:type="dxa"/>
            <w:gridSpan w:val="3"/>
            <w:tcBorders>
              <w:top w:val="single" w:sz="4" w:space="0" w:color="auto"/>
            </w:tcBorders>
            <w:tcMar>
              <w:top w:w="170" w:type="dxa"/>
              <w:left w:w="0" w:type="dxa"/>
              <w:right w:w="0" w:type="dxa"/>
            </w:tcMar>
            <w:vAlign w:val="bottom"/>
          </w:tcPr>
          <w:p w:rsidR="008B2CC1" w:rsidRPr="0090731E" w:rsidRDefault="0081338B" w:rsidP="006C2C0F">
            <w:pPr>
              <w:jc w:val="right"/>
              <w:rPr>
                <w:rFonts w:ascii="Arial Black" w:hAnsi="Arial Black"/>
                <w:caps/>
                <w:sz w:val="15"/>
              </w:rPr>
            </w:pPr>
            <w:r w:rsidRPr="0081338B">
              <w:rPr>
                <w:rFonts w:ascii="Arial Black" w:hAnsi="Arial Black"/>
                <w:caps/>
                <w:sz w:val="15"/>
              </w:rPr>
              <w:t>WO/PBC/21/</w:t>
            </w:r>
            <w:bookmarkStart w:id="0" w:name="Code"/>
            <w:bookmarkEnd w:id="0"/>
            <w:r w:rsidR="006C2C0F">
              <w:rPr>
                <w:rFonts w:ascii="Arial Black" w:hAnsi="Arial Black"/>
                <w:caps/>
                <w:sz w:val="15"/>
              </w:rPr>
              <w:t>15</w:t>
            </w:r>
          </w:p>
        </w:tc>
      </w:tr>
      <w:tr w:rsidR="008B2CC1" w:rsidRPr="001832A6" w:rsidTr="00AB613D">
        <w:trPr>
          <w:trHeight w:hRule="exact" w:val="170"/>
        </w:trPr>
        <w:tc>
          <w:tcPr>
            <w:tcW w:w="9356" w:type="dxa"/>
            <w:gridSpan w:val="3"/>
            <w:noWrap/>
            <w:tcMar>
              <w:left w:w="0" w:type="dxa"/>
              <w:right w:w="0" w:type="dxa"/>
            </w:tcMar>
            <w:vAlign w:val="bottom"/>
          </w:tcPr>
          <w:p w:rsidR="008B2CC1" w:rsidRPr="0090731E" w:rsidRDefault="008B2CC1" w:rsidP="006C2C0F">
            <w:pPr>
              <w:jc w:val="right"/>
              <w:rPr>
                <w:rFonts w:ascii="Arial Black" w:hAnsi="Arial Black"/>
                <w:caps/>
                <w:sz w:val="15"/>
              </w:rPr>
            </w:pPr>
            <w:r w:rsidRPr="0090731E">
              <w:rPr>
                <w:rFonts w:ascii="Arial Black" w:hAnsi="Arial Black"/>
                <w:caps/>
                <w:sz w:val="15"/>
              </w:rPr>
              <w:t>ORIGINAL:</w:t>
            </w:r>
            <w:r w:rsidR="00F84474">
              <w:rPr>
                <w:rFonts w:ascii="Arial Black" w:hAnsi="Arial Black"/>
                <w:caps/>
                <w:sz w:val="15"/>
              </w:rPr>
              <w:t xml:space="preserve"> </w:t>
            </w:r>
            <w:r w:rsidRPr="0090731E">
              <w:rPr>
                <w:rFonts w:ascii="Arial Black" w:hAnsi="Arial Black"/>
                <w:caps/>
                <w:sz w:val="15"/>
              </w:rPr>
              <w:t xml:space="preserve"> </w:t>
            </w:r>
            <w:bookmarkStart w:id="1" w:name="Original"/>
            <w:bookmarkEnd w:id="1"/>
            <w:r w:rsidR="006C2C0F">
              <w:rPr>
                <w:rFonts w:ascii="Arial Black" w:hAnsi="Arial Black"/>
                <w:caps/>
                <w:sz w:val="15"/>
              </w:rPr>
              <w:t>INGLÉS</w:t>
            </w:r>
          </w:p>
        </w:tc>
      </w:tr>
      <w:tr w:rsidR="008B2CC1" w:rsidRPr="001832A6" w:rsidTr="00AB613D">
        <w:trPr>
          <w:trHeight w:hRule="exact" w:val="198"/>
        </w:trPr>
        <w:tc>
          <w:tcPr>
            <w:tcW w:w="9356" w:type="dxa"/>
            <w:gridSpan w:val="3"/>
            <w:tcMar>
              <w:left w:w="0" w:type="dxa"/>
              <w:right w:w="0" w:type="dxa"/>
            </w:tcMar>
            <w:vAlign w:val="bottom"/>
          </w:tcPr>
          <w:p w:rsidR="008B2CC1" w:rsidRPr="0090731E" w:rsidRDefault="00675021" w:rsidP="006C2C0F">
            <w:pPr>
              <w:jc w:val="right"/>
              <w:rPr>
                <w:rFonts w:ascii="Arial Black" w:hAnsi="Arial Black"/>
                <w:caps/>
                <w:sz w:val="15"/>
              </w:rPr>
            </w:pPr>
            <w:r>
              <w:rPr>
                <w:rFonts w:ascii="Arial Black" w:hAnsi="Arial Black"/>
                <w:caps/>
                <w:sz w:val="15"/>
              </w:rPr>
              <w:t>fecha</w:t>
            </w:r>
            <w:r w:rsidR="008B2CC1" w:rsidRPr="0090731E">
              <w:rPr>
                <w:rFonts w:ascii="Arial Black" w:hAnsi="Arial Black"/>
                <w:caps/>
                <w:sz w:val="15"/>
              </w:rPr>
              <w:t>:</w:t>
            </w:r>
            <w:r w:rsidR="00F84474">
              <w:rPr>
                <w:rFonts w:ascii="Arial Black" w:hAnsi="Arial Black"/>
                <w:caps/>
                <w:sz w:val="15"/>
              </w:rPr>
              <w:t xml:space="preserve"> </w:t>
            </w:r>
            <w:r w:rsidR="008B2CC1" w:rsidRPr="0090731E">
              <w:rPr>
                <w:rFonts w:ascii="Arial Black" w:hAnsi="Arial Black"/>
                <w:caps/>
                <w:sz w:val="15"/>
              </w:rPr>
              <w:t xml:space="preserve"> </w:t>
            </w:r>
            <w:bookmarkStart w:id="2" w:name="Date"/>
            <w:bookmarkEnd w:id="2"/>
            <w:r w:rsidR="006C2C0F">
              <w:rPr>
                <w:rFonts w:ascii="Arial Black" w:hAnsi="Arial Black"/>
                <w:caps/>
                <w:sz w:val="15"/>
              </w:rPr>
              <w:t>1 DE JULIO DE 2013</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1338B" w:rsidRPr="003845C1" w:rsidRDefault="0081338B" w:rsidP="0081338B">
      <w:pPr>
        <w:rPr>
          <w:b/>
          <w:sz w:val="28"/>
          <w:szCs w:val="28"/>
        </w:rPr>
      </w:pPr>
      <w:r>
        <w:rPr>
          <w:b/>
          <w:sz w:val="28"/>
          <w:szCs w:val="28"/>
        </w:rPr>
        <w:t>Comité del Programa y Presupuesto</w:t>
      </w:r>
    </w:p>
    <w:p w:rsidR="003845C1" w:rsidRDefault="003845C1" w:rsidP="003845C1"/>
    <w:p w:rsidR="003845C1" w:rsidRDefault="003845C1" w:rsidP="003845C1"/>
    <w:p w:rsidR="0081338B" w:rsidRPr="003845C1" w:rsidRDefault="006C2C0F" w:rsidP="0081338B">
      <w:pPr>
        <w:rPr>
          <w:b/>
          <w:sz w:val="24"/>
          <w:szCs w:val="24"/>
        </w:rPr>
      </w:pPr>
      <w:r>
        <w:rPr>
          <w:b/>
          <w:sz w:val="24"/>
          <w:szCs w:val="24"/>
        </w:rPr>
        <w:t>Vigésima</w:t>
      </w:r>
      <w:r w:rsidR="0081338B">
        <w:rPr>
          <w:b/>
          <w:sz w:val="24"/>
          <w:szCs w:val="24"/>
        </w:rPr>
        <w:t xml:space="preserve"> primera sesión</w:t>
      </w:r>
    </w:p>
    <w:p w:rsidR="0081338B" w:rsidRPr="003845C1" w:rsidRDefault="0081338B" w:rsidP="0081338B">
      <w:pPr>
        <w:rPr>
          <w:b/>
          <w:sz w:val="24"/>
          <w:szCs w:val="24"/>
        </w:rPr>
      </w:pPr>
      <w:r w:rsidRPr="00514A25">
        <w:rPr>
          <w:b/>
          <w:sz w:val="24"/>
          <w:szCs w:val="24"/>
        </w:rPr>
        <w:t xml:space="preserve">Ginebra, </w:t>
      </w:r>
      <w:r>
        <w:rPr>
          <w:b/>
          <w:sz w:val="24"/>
          <w:szCs w:val="24"/>
        </w:rPr>
        <w:t>9 a 13 de septiembre de 2013</w:t>
      </w:r>
    </w:p>
    <w:p w:rsidR="006C2C0F" w:rsidRPr="00FC0127" w:rsidRDefault="006C2C0F" w:rsidP="006C2C0F">
      <w:pPr>
        <w:rPr>
          <w:lang w:val="es-ES_tradnl"/>
        </w:rPr>
      </w:pPr>
    </w:p>
    <w:p w:rsidR="006C2C0F" w:rsidRPr="00FC0127" w:rsidRDefault="006C2C0F" w:rsidP="006C2C0F">
      <w:pPr>
        <w:rPr>
          <w:lang w:val="es-ES_tradnl"/>
        </w:rPr>
      </w:pPr>
    </w:p>
    <w:p w:rsidR="006C2C0F" w:rsidRPr="00FC0127" w:rsidRDefault="006C2C0F" w:rsidP="006C2C0F">
      <w:pPr>
        <w:rPr>
          <w:lang w:val="es-ES_tradnl"/>
        </w:rPr>
      </w:pPr>
    </w:p>
    <w:p w:rsidR="006C2C0F" w:rsidRPr="00FC0127" w:rsidRDefault="006C2C0F" w:rsidP="006C2C0F">
      <w:pPr>
        <w:rPr>
          <w:caps/>
          <w:sz w:val="24"/>
          <w:lang w:val="es-ES_tradnl"/>
        </w:rPr>
      </w:pPr>
      <w:bookmarkStart w:id="3" w:name="TitleOfDoc"/>
      <w:bookmarkEnd w:id="3"/>
      <w:r w:rsidRPr="00FC0127">
        <w:rPr>
          <w:sz w:val="24"/>
          <w:lang w:val="es-ES_tradnl"/>
        </w:rPr>
        <w:t>INFORME SOBRE LA MARCHA DE LA APLICACIÓN DE LA POLÍTICA LINGÜÍSTICA DE LA OMPI</w:t>
      </w:r>
    </w:p>
    <w:p w:rsidR="006C2C0F" w:rsidRPr="00FC0127" w:rsidRDefault="006C2C0F" w:rsidP="006C2C0F">
      <w:pPr>
        <w:rPr>
          <w:lang w:val="es-ES_tradnl"/>
        </w:rPr>
      </w:pPr>
    </w:p>
    <w:p w:rsidR="006C2C0F" w:rsidRPr="00FC0127" w:rsidRDefault="006C2C0F" w:rsidP="006C2C0F">
      <w:pPr>
        <w:rPr>
          <w:i/>
        </w:rPr>
      </w:pPr>
      <w:bookmarkStart w:id="4" w:name="Prepared"/>
      <w:bookmarkEnd w:id="4"/>
      <w:r w:rsidRPr="00FC0127">
        <w:rPr>
          <w:i/>
          <w:lang w:val="es-ES_tradnl"/>
        </w:rPr>
        <w:t>preparado por la Secretaría</w:t>
      </w:r>
    </w:p>
    <w:p w:rsidR="006C2C0F" w:rsidRPr="00FC0127" w:rsidRDefault="006C2C0F" w:rsidP="006C2C0F"/>
    <w:p w:rsidR="006C2C0F" w:rsidRPr="00FC0127" w:rsidRDefault="006C2C0F" w:rsidP="006C2C0F"/>
    <w:p w:rsidR="006C2C0F" w:rsidRPr="00FC0127" w:rsidRDefault="006C2C0F" w:rsidP="006C2C0F"/>
    <w:p w:rsidR="006C2C0F" w:rsidRPr="00FC0127" w:rsidRDefault="006C2C0F" w:rsidP="006C2C0F"/>
    <w:p w:rsidR="006C2C0F" w:rsidRPr="00FC0127" w:rsidRDefault="006C2C0F" w:rsidP="006C2C0F">
      <w:pPr>
        <w:pStyle w:val="Heading1"/>
      </w:pPr>
      <w:r w:rsidRPr="00FC0127">
        <w:rPr>
          <w:lang w:val="es-ES_tradnl"/>
        </w:rPr>
        <w:t>Introducción</w:t>
      </w:r>
    </w:p>
    <w:p w:rsidR="006C2C0F" w:rsidRPr="00FC0127" w:rsidRDefault="006C2C0F" w:rsidP="00B3361D">
      <w:pPr>
        <w:rPr>
          <w:b/>
        </w:rPr>
      </w:pPr>
    </w:p>
    <w:p w:rsidR="006C2C0F" w:rsidRPr="00FC0127" w:rsidRDefault="006C2C0F" w:rsidP="00B3361D">
      <w:pPr>
        <w:pStyle w:val="ONUMFS"/>
        <w:rPr>
          <w:rFonts w:eastAsia="Arial Unicode MS"/>
          <w:u w:color="000000"/>
          <w:lang w:val="es-ES_tradnl"/>
        </w:rPr>
      </w:pPr>
      <w:r w:rsidRPr="00FC0127">
        <w:rPr>
          <w:rFonts w:eastAsia="Arial Unicode MS" w:hAnsi="Arial Unicode MS"/>
          <w:u w:color="000000"/>
          <w:lang w:val="es-ES_tradnl"/>
        </w:rPr>
        <w:t>Las Asambleas de los Estados miembros de la OMPI</w:t>
      </w:r>
      <w:r w:rsidRPr="00FC0127">
        <w:rPr>
          <w:lang w:val="es-ES_tradnl"/>
        </w:rPr>
        <w:t xml:space="preserve"> examinaron la Política lingüística de la OMPI en sus series de </w:t>
      </w:r>
      <w:r w:rsidRPr="008C1F9D">
        <w:rPr>
          <w:lang w:val="es-ES_tradnl"/>
        </w:rPr>
        <w:t>reuniones d</w:t>
      </w:r>
      <w:r w:rsidR="008C1F9D" w:rsidRPr="008C1F9D">
        <w:rPr>
          <w:lang w:val="es-ES_tradnl"/>
        </w:rPr>
        <w:t>e 2</w:t>
      </w:r>
      <w:r w:rsidRPr="008C1F9D">
        <w:rPr>
          <w:lang w:val="es-ES_tradnl"/>
        </w:rPr>
        <w:t>010 y d</w:t>
      </w:r>
      <w:r w:rsidR="008C1F9D" w:rsidRPr="008C1F9D">
        <w:rPr>
          <w:lang w:val="es-ES_tradnl"/>
        </w:rPr>
        <w:t>e 2</w:t>
      </w:r>
      <w:r w:rsidRPr="008C1F9D">
        <w:rPr>
          <w:lang w:val="es-ES_tradnl"/>
        </w:rPr>
        <w:t xml:space="preserve">011.  Tras </w:t>
      </w:r>
      <w:r w:rsidR="00FC4626">
        <w:rPr>
          <w:lang w:val="es-ES_tradnl"/>
        </w:rPr>
        <w:t>considerar</w:t>
      </w:r>
      <w:r w:rsidRPr="008C1F9D">
        <w:rPr>
          <w:lang w:val="es-ES_tradnl"/>
        </w:rPr>
        <w:t xml:space="preserve"> las</w:t>
      </w:r>
      <w:r w:rsidRPr="00FC0127">
        <w:rPr>
          <w:lang w:val="es-ES_tradnl"/>
        </w:rPr>
        <w:t xml:space="preserve"> cuestiones correspondientes, las Asambleas aprobaron la recomendación del Comité del Programa y Presupuesto respecto del documento WO/PBC/18/15, que consta en el documento A/49/16, según se indica a continuación:</w:t>
      </w:r>
    </w:p>
    <w:p w:rsidR="006C2C0F" w:rsidRPr="00FC0127" w:rsidRDefault="006C2C0F" w:rsidP="00B3361D">
      <w:pPr>
        <w:pStyle w:val="ONUMFS"/>
        <w:numPr>
          <w:ilvl w:val="0"/>
          <w:numId w:val="0"/>
        </w:numPr>
        <w:ind w:left="567"/>
        <w:rPr>
          <w:lang w:val="es-ES_tradnl"/>
        </w:rPr>
      </w:pPr>
      <w:r w:rsidRPr="00FC0127">
        <w:rPr>
          <w:lang w:val="es-ES_tradnl"/>
        </w:rPr>
        <w:t>“28.</w:t>
      </w:r>
      <w:r>
        <w:rPr>
          <w:lang w:val="es-ES_tradnl"/>
        </w:rPr>
        <w:tab/>
      </w:r>
      <w:r w:rsidRPr="00FC0127">
        <w:rPr>
          <w:lang w:val="es-ES_tradnl"/>
        </w:rPr>
        <w:t>Tomando como base el análisis efectuado en el presente documento, la Secretaría somete a consideración de los Estados miembros las siguientes propuestas:</w:t>
      </w:r>
    </w:p>
    <w:p w:rsidR="006C2C0F" w:rsidRPr="008C1F9D" w:rsidRDefault="006C2C0F" w:rsidP="00B3361D">
      <w:pPr>
        <w:pStyle w:val="ONUMFS"/>
        <w:numPr>
          <w:ilvl w:val="1"/>
          <w:numId w:val="6"/>
        </w:numPr>
        <w:ind w:left="1134"/>
        <w:rPr>
          <w:i/>
          <w:iCs/>
          <w:lang w:val="es-ES_tradnl"/>
        </w:rPr>
      </w:pPr>
      <w:r w:rsidRPr="008C1F9D">
        <w:rPr>
          <w:i/>
          <w:iCs/>
          <w:lang w:val="es-ES_tradnl"/>
        </w:rPr>
        <w:t>La cobertura de idiomas para los documentos de reuniones de los órganos rectores, comités y grupos de trabajo de la OMPI, así como para las publicaciones principales y las nuevas publicaciones, se ampliará a los seis idiomas oficiales de las Naciones Unidas (árabe, chino, español, francés, inglés y ruso) de manera gradual, lo que ya ha comenzado e</w:t>
      </w:r>
      <w:r w:rsidR="008C1F9D" w:rsidRPr="008C1F9D">
        <w:rPr>
          <w:i/>
          <w:iCs/>
          <w:lang w:val="es-ES_tradnl"/>
        </w:rPr>
        <w:t>n 2</w:t>
      </w:r>
      <w:r w:rsidRPr="008C1F9D">
        <w:rPr>
          <w:i/>
          <w:iCs/>
          <w:lang w:val="es-ES_tradnl"/>
        </w:rPr>
        <w:t>011 (según se expone detalladamente en la Sección II, supra), y a reserva de que se aprueben los recursos necesarios propuestos en el proyecto de presupuesto por programas par</w:t>
      </w:r>
      <w:r w:rsidR="008C1F9D" w:rsidRPr="008C1F9D">
        <w:rPr>
          <w:i/>
          <w:iCs/>
          <w:lang w:val="es-ES_tradnl"/>
        </w:rPr>
        <w:t>a 2</w:t>
      </w:r>
      <w:r w:rsidRPr="008C1F9D">
        <w:rPr>
          <w:i/>
          <w:iCs/>
          <w:lang w:val="es-ES_tradnl"/>
        </w:rPr>
        <w:t>012/13.  El costo de la cobertura de idiomas de la documentación de los grupos de trabajo volverá a ser examinado a la luz de la experiencia adquirida e</w:t>
      </w:r>
      <w:r w:rsidR="008C1F9D" w:rsidRPr="008C1F9D">
        <w:rPr>
          <w:i/>
          <w:iCs/>
          <w:lang w:val="es-ES_tradnl"/>
        </w:rPr>
        <w:t>n 2</w:t>
      </w:r>
      <w:r w:rsidRPr="008C1F9D">
        <w:rPr>
          <w:i/>
          <w:iCs/>
          <w:lang w:val="es-ES_tradnl"/>
        </w:rPr>
        <w:t>012/13 y en el marco del presupuesto por programas d</w:t>
      </w:r>
      <w:r w:rsidR="008C1F9D" w:rsidRPr="008C1F9D">
        <w:rPr>
          <w:i/>
          <w:iCs/>
          <w:lang w:val="es-ES_tradnl"/>
        </w:rPr>
        <w:t>e 2</w:t>
      </w:r>
      <w:r w:rsidRPr="008C1F9D">
        <w:rPr>
          <w:i/>
          <w:iCs/>
          <w:lang w:val="es-ES_tradnl"/>
        </w:rPr>
        <w:t>014/15.</w:t>
      </w:r>
    </w:p>
    <w:p w:rsidR="006C2C0F" w:rsidRPr="006C2C0F" w:rsidRDefault="006C2C0F" w:rsidP="00B3361D">
      <w:pPr>
        <w:pStyle w:val="ONUMFS"/>
        <w:numPr>
          <w:ilvl w:val="1"/>
          <w:numId w:val="6"/>
        </w:numPr>
        <w:ind w:left="1134"/>
        <w:rPr>
          <w:i/>
          <w:iCs/>
          <w:lang w:val="es-ES_tradnl"/>
        </w:rPr>
      </w:pPr>
      <w:r w:rsidRPr="008C1F9D">
        <w:rPr>
          <w:i/>
          <w:iCs/>
          <w:lang w:val="es-ES_tradnl"/>
        </w:rPr>
        <w:t>Las necesidades de traducción para el sitio Web de la OMPI se examinarán más detalladamente de manera</w:t>
      </w:r>
      <w:r w:rsidRPr="006C2C0F">
        <w:rPr>
          <w:i/>
          <w:iCs/>
          <w:lang w:val="es-ES_tradnl"/>
        </w:rPr>
        <w:t xml:space="preserve"> paralela a la reestructuración de dicho sitio.”</w:t>
      </w:r>
    </w:p>
    <w:p w:rsidR="006C2C0F" w:rsidRPr="00FC0127" w:rsidRDefault="006C2C0F" w:rsidP="00B3361D">
      <w:pPr>
        <w:pStyle w:val="ONUMFS"/>
        <w:rPr>
          <w:u w:color="000000"/>
          <w:lang w:val="es-ES_tradnl"/>
        </w:rPr>
      </w:pPr>
      <w:r w:rsidRPr="00FC0127">
        <w:rPr>
          <w:u w:color="000000"/>
          <w:lang w:val="es-ES_tradnl"/>
        </w:rPr>
        <w:lastRenderedPageBreak/>
        <w:t xml:space="preserve">Al </w:t>
      </w:r>
      <w:r w:rsidR="00FC4626">
        <w:rPr>
          <w:u w:color="000000"/>
          <w:lang w:val="es-ES_tradnl"/>
        </w:rPr>
        <w:t>examinar</w:t>
      </w:r>
      <w:r w:rsidRPr="00FC0127">
        <w:rPr>
          <w:u w:color="000000"/>
          <w:lang w:val="es-ES_tradnl"/>
        </w:rPr>
        <w:t xml:space="preserve"> la </w:t>
      </w:r>
      <w:r w:rsidR="00FC4626" w:rsidRPr="00FC0127">
        <w:rPr>
          <w:u w:color="000000"/>
          <w:lang w:val="es-ES_tradnl"/>
        </w:rPr>
        <w:t>Política</w:t>
      </w:r>
      <w:r w:rsidRPr="00FC0127">
        <w:rPr>
          <w:u w:color="000000"/>
          <w:lang w:val="es-ES_tradnl"/>
        </w:rPr>
        <w:t xml:space="preserve">, los Estados miembros habían reconocido que la puesta a disposición de documentos de trabajo más concisos facilitaría las deliberaciones y, por lo tanto, aprobaron la propuesta de la Secretaría de seguir reduciendo </w:t>
      </w:r>
      <w:r w:rsidR="00FC4626">
        <w:rPr>
          <w:u w:color="000000"/>
          <w:lang w:val="es-ES_tradnl"/>
        </w:rPr>
        <w:t>la extensión media</w:t>
      </w:r>
      <w:r w:rsidRPr="00FC0127">
        <w:rPr>
          <w:u w:color="000000"/>
          <w:lang w:val="es-ES_tradnl"/>
        </w:rPr>
        <w:t xml:space="preserve"> de los documentos de trabajo.  Los Estados miembros aprobaron la </w:t>
      </w:r>
      <w:r w:rsidR="00FC4626" w:rsidRPr="00FC0127">
        <w:rPr>
          <w:u w:color="000000"/>
          <w:lang w:val="es-ES_tradnl"/>
        </w:rPr>
        <w:t xml:space="preserve">Política </w:t>
      </w:r>
      <w:r w:rsidRPr="00FC0127">
        <w:rPr>
          <w:u w:color="000000"/>
          <w:lang w:val="es-ES_tradnl"/>
        </w:rPr>
        <w:t xml:space="preserve">en el entendimiento de que dicha reducción no constituiría un límite obligatorio sino una indicación y que no se aplicaría a los documentos presentados a la Secretaría por los Estados miembros.  Respecto de los </w:t>
      </w:r>
      <w:r w:rsidRPr="006C2C0F">
        <w:rPr>
          <w:lang w:val="es-ES_tradnl"/>
        </w:rPr>
        <w:t>documentos</w:t>
      </w:r>
      <w:r w:rsidRPr="00FC0127">
        <w:rPr>
          <w:u w:color="000000"/>
          <w:lang w:val="es-ES_tradnl"/>
        </w:rPr>
        <w:t xml:space="preserve"> excepcionalmente voluminosos y documentos de referencia (estudios, informes) encargados por determinados Comités, los Estados miembros señalaron además que serían puestos a disposición exclusivamente en el idioma original, incumbiendo a la Secretaría la preparación de un resumen en los seis idiomas, con la salvedad de que si un Estado miembro o un grupo de Estados miembros expresaran particular interés por un documento de esa índole, la Secretaría procedería a la traducción del texto completo en el idioma solicitado.</w:t>
      </w:r>
    </w:p>
    <w:p w:rsidR="006C2C0F" w:rsidRPr="00FC0127" w:rsidRDefault="006C2C0F" w:rsidP="00B3361D">
      <w:pPr>
        <w:pStyle w:val="Heading1"/>
        <w:rPr>
          <w:u w:color="000000"/>
        </w:rPr>
      </w:pPr>
      <w:r w:rsidRPr="00FC0127">
        <w:rPr>
          <w:u w:color="000000"/>
        </w:rPr>
        <w:t>APLICACIÓN E INCIDENCIA</w:t>
      </w:r>
    </w:p>
    <w:p w:rsidR="006C2C0F" w:rsidRPr="00FC0127" w:rsidRDefault="006C2C0F" w:rsidP="00B3361D">
      <w:pPr>
        <w:tabs>
          <w:tab w:val="left" w:pos="677"/>
        </w:tabs>
        <w:outlineLvl w:val="0"/>
        <w:rPr>
          <w:rFonts w:eastAsia="Arial Unicode MS"/>
          <w:b/>
          <w:u w:color="000000"/>
        </w:rPr>
      </w:pPr>
    </w:p>
    <w:p w:rsidR="006C2C0F" w:rsidRPr="008C1F9D" w:rsidRDefault="006C2C0F" w:rsidP="00B3361D">
      <w:pPr>
        <w:pStyle w:val="ONUMFS"/>
        <w:rPr>
          <w:u w:color="000000"/>
          <w:lang w:val="es-ES_tradnl"/>
        </w:rPr>
      </w:pPr>
      <w:r w:rsidRPr="008C1F9D">
        <w:rPr>
          <w:u w:color="000000"/>
          <w:lang w:val="es-ES_tradnl"/>
        </w:rPr>
        <w:t xml:space="preserve">Tras la </w:t>
      </w:r>
      <w:r w:rsidR="00FC4626">
        <w:rPr>
          <w:u w:color="000000"/>
          <w:lang w:val="es-ES_tradnl"/>
        </w:rPr>
        <w:t>extensión</w:t>
      </w:r>
      <w:r w:rsidRPr="008C1F9D">
        <w:rPr>
          <w:u w:color="000000"/>
          <w:lang w:val="es-ES_tradnl"/>
        </w:rPr>
        <w:t xml:space="preserve"> inicial de la cobertura en seis idiomas a la documentación del Comité </w:t>
      </w:r>
      <w:r w:rsidRPr="008C1F9D">
        <w:rPr>
          <w:lang w:val="es-ES_tradnl"/>
        </w:rPr>
        <w:t>Permanente</w:t>
      </w:r>
      <w:r w:rsidRPr="008C1F9D">
        <w:rPr>
          <w:u w:color="000000"/>
          <w:lang w:val="es-ES_tradnl"/>
        </w:rPr>
        <w:t xml:space="preserve"> de Derecho de Autor y Derechos Conexos (SCCR) y el Comité Permanente sobre el Derecho de Marcas (SCT) e</w:t>
      </w:r>
      <w:r w:rsidR="008C1F9D" w:rsidRPr="008C1F9D">
        <w:rPr>
          <w:u w:color="000000"/>
          <w:lang w:val="es-ES_tradnl"/>
        </w:rPr>
        <w:t>n 2</w:t>
      </w:r>
      <w:r w:rsidRPr="008C1F9D">
        <w:rPr>
          <w:u w:color="000000"/>
          <w:lang w:val="es-ES_tradnl"/>
        </w:rPr>
        <w:t>011, la Secretaría extendió la misma cobertura a los restantes comités de la OMPI a partir de enero d</w:t>
      </w:r>
      <w:r w:rsidR="008C1F9D" w:rsidRPr="008C1F9D">
        <w:rPr>
          <w:u w:color="000000"/>
          <w:lang w:val="es-ES_tradnl"/>
        </w:rPr>
        <w:t>e 2</w:t>
      </w:r>
      <w:r w:rsidRPr="008C1F9D">
        <w:rPr>
          <w:u w:color="000000"/>
          <w:lang w:val="es-ES_tradnl"/>
        </w:rPr>
        <w:t>012.  La cobertura en seis idiomas también se extendió al mismo tiempo a los principales órganos de la OMPI, con excepción de la Asamblea de la Unión del PCT y el Comité de Coordinación, para los que la cobertura se extendió e</w:t>
      </w:r>
      <w:r w:rsidR="008C1F9D" w:rsidRPr="008C1F9D">
        <w:rPr>
          <w:u w:color="000000"/>
          <w:lang w:val="es-ES_tradnl"/>
        </w:rPr>
        <w:t>n 2</w:t>
      </w:r>
      <w:r w:rsidRPr="008C1F9D">
        <w:rPr>
          <w:u w:color="000000"/>
          <w:lang w:val="es-ES_tradnl"/>
        </w:rPr>
        <w:t>013.</w:t>
      </w:r>
    </w:p>
    <w:p w:rsidR="006C2C0F" w:rsidRPr="008C1F9D" w:rsidRDefault="006C2C0F" w:rsidP="00B3361D">
      <w:pPr>
        <w:pStyle w:val="ONUMFS"/>
        <w:rPr>
          <w:lang w:val="es-ES_tradnl"/>
        </w:rPr>
      </w:pPr>
      <w:r w:rsidRPr="008C1F9D">
        <w:rPr>
          <w:lang w:val="es-ES_tradnl"/>
        </w:rPr>
        <w:t>Se previó que a raíz de la ampliación de la cobertura el volumen de trabajo del servicio lingüístico aumentaría de</w:t>
      </w:r>
      <w:r w:rsidR="008C1F9D" w:rsidRPr="008C1F9D">
        <w:rPr>
          <w:lang w:val="es-ES_tradnl"/>
        </w:rPr>
        <w:t>l 1</w:t>
      </w:r>
      <w:r w:rsidRPr="008C1F9D">
        <w:rPr>
          <w:lang w:val="es-ES_tradnl"/>
        </w:rPr>
        <w:t>8%</w:t>
      </w:r>
      <w:r w:rsidR="00200C49">
        <w:rPr>
          <w:lang w:val="es-ES_tradnl"/>
        </w:rPr>
        <w:t>,</w:t>
      </w:r>
      <w:r w:rsidRPr="008C1F9D">
        <w:rPr>
          <w:lang w:val="es-ES_tradnl"/>
        </w:rPr>
        <w:t xml:space="preserve"> </w:t>
      </w:r>
      <w:r w:rsidR="00200C49">
        <w:rPr>
          <w:lang w:val="es-ES_tradnl"/>
        </w:rPr>
        <w:t>considerando e</w:t>
      </w:r>
      <w:r w:rsidRPr="008C1F9D">
        <w:rPr>
          <w:lang w:val="es-ES_tradnl"/>
        </w:rPr>
        <w:t>l número de páginas traducidas.  Para hacer frente a ese aumento, la Secretaría adoptó un doble enfoque, de un modo costoeficaz y sin descuidar la calidad.  En primer lugar, se reconoc</w:t>
      </w:r>
      <w:r w:rsidR="00200C49">
        <w:rPr>
          <w:lang w:val="es-ES_tradnl"/>
        </w:rPr>
        <w:t>ió</w:t>
      </w:r>
      <w:r w:rsidRPr="008C1F9D">
        <w:rPr>
          <w:lang w:val="es-ES_tradnl"/>
        </w:rPr>
        <w:t xml:space="preserve"> la necesidad de que cada idioma cuente con un elenco estable de revisores y traductores expertos, que deberán ser miembros del personal de la Organización y quienes se encargarán de dirigir los trabajos de traducción, velar por el control de calidad, decidir la urgencia de los encargos, traducir los documentos más delicados y atender las necesidades inmediatas y urgentes que surjan de las reuniones en curso.  En segundo lugar, se pretende acrecentar el porcentaje de los trabajos de traducción que son subcontratados para obtener una mayor eficacia en función de los costos, a la vez que se establecen criterios estrictos para mantener la calidad del trabajo.</w:t>
      </w:r>
    </w:p>
    <w:p w:rsidR="006C2C0F" w:rsidRPr="008C1F9D" w:rsidRDefault="006C2C0F" w:rsidP="00B3361D">
      <w:pPr>
        <w:pStyle w:val="ONUMFS"/>
        <w:rPr>
          <w:lang w:val="es-ES_tradnl"/>
        </w:rPr>
      </w:pPr>
      <w:r w:rsidRPr="008C1F9D">
        <w:rPr>
          <w:lang w:val="es-ES_tradnl"/>
        </w:rPr>
        <w:t>En el marco del modelo adoptado, la Secretaría prop</w:t>
      </w:r>
      <w:r w:rsidR="00200C49">
        <w:rPr>
          <w:lang w:val="es-ES_tradnl"/>
        </w:rPr>
        <w:t>uso</w:t>
      </w:r>
      <w:r w:rsidRPr="008C1F9D">
        <w:rPr>
          <w:lang w:val="es-ES_tradnl"/>
        </w:rPr>
        <w:t xml:space="preserve"> aumentar el volumen de traducción subcontratada</w:t>
      </w:r>
      <w:r w:rsidR="00200C49">
        <w:rPr>
          <w:lang w:val="es-ES_tradnl"/>
        </w:rPr>
        <w:t xml:space="preserve"> para</w:t>
      </w:r>
      <w:r w:rsidRPr="008C1F9D">
        <w:rPr>
          <w:lang w:val="es-ES_tradnl"/>
        </w:rPr>
        <w:t xml:space="preserve"> pasar</w:t>
      </w:r>
      <w:r w:rsidR="00200C49">
        <w:rPr>
          <w:lang w:val="es-ES_tradnl"/>
        </w:rPr>
        <w:t xml:space="preserve"> d</w:t>
      </w:r>
      <w:r w:rsidRPr="008C1F9D">
        <w:rPr>
          <w:lang w:val="es-ES_tradnl"/>
        </w:rPr>
        <w:t>e</w:t>
      </w:r>
      <w:r w:rsidR="008C1F9D" w:rsidRPr="008C1F9D">
        <w:rPr>
          <w:lang w:val="es-ES_tradnl"/>
        </w:rPr>
        <w:t>l 3</w:t>
      </w:r>
      <w:r w:rsidRPr="008C1F9D">
        <w:rPr>
          <w:lang w:val="es-ES_tradnl"/>
        </w:rPr>
        <w:t>0%, aproximadamente, e</w:t>
      </w:r>
      <w:r w:rsidR="008C1F9D" w:rsidRPr="008C1F9D">
        <w:rPr>
          <w:lang w:val="es-ES_tradnl"/>
        </w:rPr>
        <w:t>n 2</w:t>
      </w:r>
      <w:r w:rsidRPr="008C1F9D">
        <w:rPr>
          <w:lang w:val="es-ES_tradnl"/>
        </w:rPr>
        <w:t>008/09, a</w:t>
      </w:r>
      <w:r w:rsidR="008C1F9D" w:rsidRPr="008C1F9D">
        <w:rPr>
          <w:lang w:val="es-ES_tradnl"/>
        </w:rPr>
        <w:t>l 4</w:t>
      </w:r>
      <w:r w:rsidRPr="008C1F9D">
        <w:rPr>
          <w:lang w:val="es-ES_tradnl"/>
        </w:rPr>
        <w:t>5%, aproximadamente, e</w:t>
      </w:r>
      <w:r w:rsidR="008C1F9D" w:rsidRPr="008C1F9D">
        <w:rPr>
          <w:lang w:val="es-ES_tradnl"/>
        </w:rPr>
        <w:t>n 2</w:t>
      </w:r>
      <w:r w:rsidRPr="008C1F9D">
        <w:rPr>
          <w:lang w:val="es-ES_tradnl"/>
        </w:rPr>
        <w:t>012/13, para lo cual se ampliaría la red de traductores externos.  Con el fin de mantener niveles de calidad adecuados, se aplicó el concepto de “calidad en el origen”, velando por la contratación de traductores competentes.  Además, para mejorar la calidad de la traducción, se introdujo la utilización de instrumentos relacionados con las tecnologías de la información y se impartió formación al personal sobre el uso de los nuevos sistemas.</w:t>
      </w:r>
    </w:p>
    <w:p w:rsidR="006C2C0F" w:rsidRPr="008C1F9D" w:rsidRDefault="006C2C0F" w:rsidP="00B3361D">
      <w:pPr>
        <w:pStyle w:val="ONUMFS"/>
        <w:rPr>
          <w:u w:color="000000"/>
          <w:lang w:val="es-ES_tradnl"/>
        </w:rPr>
      </w:pPr>
      <w:r w:rsidRPr="008C1F9D">
        <w:rPr>
          <w:u w:color="000000"/>
          <w:lang w:val="es-ES_tradnl"/>
        </w:rPr>
        <w:t xml:space="preserve">Con </w:t>
      </w:r>
      <w:r w:rsidR="00200C49">
        <w:rPr>
          <w:u w:color="000000"/>
          <w:lang w:val="es-ES_tradnl"/>
        </w:rPr>
        <w:t>el fin</w:t>
      </w:r>
      <w:r w:rsidRPr="008C1F9D">
        <w:rPr>
          <w:u w:color="000000"/>
          <w:lang w:val="es-ES_tradnl"/>
        </w:rPr>
        <w:t xml:space="preserve"> de dar con agencias de traducción de todas las regiones que </w:t>
      </w:r>
      <w:r w:rsidR="00200C49">
        <w:rPr>
          <w:u w:color="000000"/>
          <w:lang w:val="es-ES_tradnl"/>
        </w:rPr>
        <w:t>estuvieran</w:t>
      </w:r>
      <w:r w:rsidRPr="008C1F9D">
        <w:rPr>
          <w:u w:color="000000"/>
          <w:lang w:val="es-ES_tradnl"/>
        </w:rPr>
        <w:t xml:space="preserve"> en condiciones de prestar servicios de traducción que se ajusten a las condiciones de la OMPI, se publicó el año pasado un llamado internacional a presentar manifestaciones de interés para la prestación de servicios de traducción, y d</w:t>
      </w:r>
      <w:r w:rsidR="008C1F9D" w:rsidRPr="008C1F9D">
        <w:rPr>
          <w:u w:color="000000"/>
          <w:lang w:val="es-ES_tradnl"/>
        </w:rPr>
        <w:t>e 7</w:t>
      </w:r>
      <w:r w:rsidRPr="008C1F9D">
        <w:rPr>
          <w:u w:color="000000"/>
          <w:lang w:val="es-ES_tradnl"/>
        </w:rPr>
        <w:t xml:space="preserve">2 empresas de todo el mundo que expresaron interés, se </w:t>
      </w:r>
      <w:r w:rsidRPr="008C1F9D">
        <w:rPr>
          <w:lang w:val="es-ES_tradnl"/>
        </w:rPr>
        <w:t>escogieron</w:t>
      </w:r>
      <w:r w:rsidRPr="008C1F9D">
        <w:rPr>
          <w:u w:color="000000"/>
          <w:lang w:val="es-ES_tradnl"/>
        </w:rPr>
        <w:t xml:space="preserve"> dos, con las que la OMPI celebró sendos contratos en enero de 2013.  A la luz de las conclusiones extraídas de ese proceso, </w:t>
      </w:r>
      <w:r w:rsidR="00200C49">
        <w:rPr>
          <w:u w:color="000000"/>
          <w:lang w:val="es-ES_tradnl"/>
        </w:rPr>
        <w:t xml:space="preserve">se </w:t>
      </w:r>
      <w:r w:rsidRPr="008C1F9D">
        <w:rPr>
          <w:u w:color="000000"/>
          <w:lang w:val="es-ES_tradnl"/>
        </w:rPr>
        <w:t>publicó otro llamado internacional a presentar manifestaciones de interés con miras a contratar empresas adicionales.</w:t>
      </w:r>
    </w:p>
    <w:p w:rsidR="006C2C0F" w:rsidRPr="00FC0127" w:rsidRDefault="006C2C0F" w:rsidP="00B3361D">
      <w:pPr>
        <w:pStyle w:val="ONUMFS"/>
        <w:rPr>
          <w:u w:color="000000"/>
          <w:lang w:val="es-ES_tradnl"/>
        </w:rPr>
      </w:pPr>
      <w:r w:rsidRPr="008C1F9D">
        <w:rPr>
          <w:u w:color="000000"/>
          <w:lang w:val="es-ES_tradnl"/>
        </w:rPr>
        <w:t xml:space="preserve">Está en curso la reestructuración de la página Web de la OMPI, lo que incluye </w:t>
      </w:r>
      <w:r w:rsidR="00200C49">
        <w:rPr>
          <w:u w:color="000000"/>
          <w:lang w:val="es-ES_tradnl"/>
        </w:rPr>
        <w:t>s</w:t>
      </w:r>
      <w:r w:rsidRPr="008C1F9D">
        <w:rPr>
          <w:u w:color="000000"/>
          <w:lang w:val="es-ES_tradnl"/>
        </w:rPr>
        <w:t xml:space="preserve">u </w:t>
      </w:r>
      <w:r w:rsidR="00200C49">
        <w:rPr>
          <w:u w:color="000000"/>
          <w:lang w:val="es-ES_tradnl"/>
        </w:rPr>
        <w:t>renovado</w:t>
      </w:r>
      <w:r w:rsidRPr="008C1F9D">
        <w:rPr>
          <w:u w:color="000000"/>
          <w:lang w:val="es-ES_tradnl"/>
        </w:rPr>
        <w:t xml:space="preserve"> diseño, que se </w:t>
      </w:r>
      <w:r w:rsidRPr="008C1F9D">
        <w:rPr>
          <w:lang w:val="es-ES_tradnl"/>
        </w:rPr>
        <w:t>prevé</w:t>
      </w:r>
      <w:r w:rsidRPr="008C1F9D">
        <w:rPr>
          <w:u w:color="000000"/>
          <w:lang w:val="es-ES_tradnl"/>
        </w:rPr>
        <w:t xml:space="preserve"> aplicar a finales del tercer trimestre d</w:t>
      </w:r>
      <w:r w:rsidR="008C1F9D" w:rsidRPr="008C1F9D">
        <w:rPr>
          <w:u w:color="000000"/>
          <w:lang w:val="es-ES_tradnl"/>
        </w:rPr>
        <w:t>e 2</w:t>
      </w:r>
      <w:r w:rsidRPr="008C1F9D">
        <w:rPr>
          <w:u w:color="000000"/>
          <w:lang w:val="es-ES_tradnl"/>
        </w:rPr>
        <w:t>013.  Una gran parte de esa reestructuración supone la eliminación de páginas desactualizadas o innecesarias, así como la creación de nuevo texto y nuevas páginas, lo cual redundará, con toda probabilidad, en una reducción global del número de páginas del sitio web.  Una vez finalizada esa tarea, se</w:t>
      </w:r>
      <w:r w:rsidRPr="00FC0127">
        <w:rPr>
          <w:u w:color="000000"/>
          <w:lang w:val="es-ES_tradnl"/>
        </w:rPr>
        <w:t xml:space="preserve"> </w:t>
      </w:r>
      <w:r w:rsidRPr="00FC0127">
        <w:rPr>
          <w:u w:color="000000"/>
          <w:lang w:val="es-ES_tradnl"/>
        </w:rPr>
        <w:lastRenderedPageBreak/>
        <w:t xml:space="preserve">evaluarán los recursos necesarios para la traducción del contenido del nuevo sitio web, así como los recursos necesarios para la </w:t>
      </w:r>
      <w:r w:rsidR="00200C49">
        <w:rPr>
          <w:u w:color="000000"/>
          <w:lang w:val="es-ES_tradnl"/>
        </w:rPr>
        <w:t>incorporación</w:t>
      </w:r>
      <w:r w:rsidRPr="00FC0127">
        <w:rPr>
          <w:u w:color="000000"/>
          <w:lang w:val="es-ES_tradnl"/>
        </w:rPr>
        <w:t xml:space="preserve">, el mantenimiento continuo y la actualización de las versiones en </w:t>
      </w:r>
      <w:r w:rsidRPr="006C2C0F">
        <w:rPr>
          <w:lang w:val="es-ES_tradnl"/>
        </w:rPr>
        <w:t>distintos</w:t>
      </w:r>
      <w:r w:rsidRPr="00FC0127">
        <w:rPr>
          <w:u w:color="000000"/>
          <w:lang w:val="es-ES_tradnl"/>
        </w:rPr>
        <w:t xml:space="preserve"> idiomas.  Ello supondrá priorizar los ámbitos de traducción.  A partir de esas evaluaciones se elaborará un plan de trabajo.</w:t>
      </w:r>
    </w:p>
    <w:p w:rsidR="00E86105" w:rsidRPr="006A798E" w:rsidRDefault="00E86105" w:rsidP="00B3361D">
      <w:pPr>
        <w:pStyle w:val="ONUMFS"/>
        <w:rPr>
          <w:u w:color="000000"/>
          <w:lang w:val="es-ES_tradnl"/>
        </w:rPr>
      </w:pPr>
      <w:r w:rsidRPr="006A798E">
        <w:rPr>
          <w:u w:color="000000"/>
          <w:lang w:val="es-ES_tradnl"/>
        </w:rPr>
        <w:t xml:space="preserve">Junto con la adopción de la </w:t>
      </w:r>
      <w:r w:rsidR="00200C49" w:rsidRPr="006A798E">
        <w:rPr>
          <w:u w:color="000000"/>
          <w:lang w:val="es-ES_tradnl"/>
        </w:rPr>
        <w:t>Política</w:t>
      </w:r>
      <w:r w:rsidRPr="006A798E">
        <w:rPr>
          <w:u w:color="000000"/>
          <w:lang w:val="es-ES_tradnl"/>
        </w:rPr>
        <w:t>, se revisaron las reglamentaciones y prácticas internas</w:t>
      </w:r>
      <w:r w:rsidR="00200C49">
        <w:rPr>
          <w:u w:color="000000"/>
          <w:lang w:val="es-ES_tradnl"/>
        </w:rPr>
        <w:t xml:space="preserve"> para ponerlas</w:t>
      </w:r>
      <w:r w:rsidRPr="006A798E">
        <w:rPr>
          <w:u w:color="000000"/>
          <w:lang w:val="es-ES_tradnl"/>
        </w:rPr>
        <w:t xml:space="preserve"> en sintonía con el espíritu de la </w:t>
      </w:r>
      <w:r w:rsidR="00200C49" w:rsidRPr="006A798E">
        <w:rPr>
          <w:u w:color="000000"/>
          <w:lang w:val="es-ES_tradnl"/>
        </w:rPr>
        <w:t>Política</w:t>
      </w:r>
      <w:r w:rsidRPr="006A798E">
        <w:rPr>
          <w:u w:color="000000"/>
          <w:lang w:val="es-ES_tradnl"/>
        </w:rPr>
        <w:t xml:space="preserve"> aprobada por los Estados miembros.  Por lo que respecta a</w:t>
      </w:r>
      <w:r w:rsidR="00200C49">
        <w:rPr>
          <w:u w:color="000000"/>
          <w:lang w:val="es-ES_tradnl"/>
        </w:rPr>
        <w:t xml:space="preserve"> </w:t>
      </w:r>
      <w:r w:rsidRPr="006A798E">
        <w:rPr>
          <w:u w:color="000000"/>
          <w:lang w:val="es-ES_tradnl"/>
        </w:rPr>
        <w:t>l</w:t>
      </w:r>
      <w:r w:rsidR="00200C49">
        <w:rPr>
          <w:u w:color="000000"/>
          <w:lang w:val="es-ES_tradnl"/>
        </w:rPr>
        <w:t xml:space="preserve">a extensión </w:t>
      </w:r>
      <w:r w:rsidRPr="006A798E">
        <w:rPr>
          <w:u w:color="000000"/>
          <w:lang w:val="es-ES_tradnl"/>
        </w:rPr>
        <w:t>de los documento</w:t>
      </w:r>
      <w:r w:rsidR="00200C49">
        <w:rPr>
          <w:u w:color="000000"/>
          <w:lang w:val="es-ES_tradnl"/>
        </w:rPr>
        <w:t>s</w:t>
      </w:r>
      <w:r w:rsidRPr="006A798E">
        <w:rPr>
          <w:u w:color="000000"/>
          <w:lang w:val="es-ES_tradnl"/>
        </w:rPr>
        <w:t xml:space="preserve">, se pidió a los directores de programa que velen por que la extensión de los documentos de trabajo no supere las 3.300 palabras (10 páginas estándar de las Naciones Unidas).  También se les pidió que, cuando se encargue la realización, tanto interna como externamente, de documentos de apoyo voluminosos, por ejemplo estudios y encuestas, procuren que se disponga la realización de resúmenes de los mismos.  Para esos documentos, únicamente se traducirá el resumen.  Los directores de programa también deberán </w:t>
      </w:r>
      <w:r w:rsidR="00200C49">
        <w:rPr>
          <w:u w:color="000000"/>
          <w:lang w:val="es-ES_tradnl"/>
        </w:rPr>
        <w:t>asegurarse de</w:t>
      </w:r>
      <w:r w:rsidRPr="006A798E">
        <w:rPr>
          <w:u w:color="000000"/>
          <w:lang w:val="es-ES_tradnl"/>
        </w:rPr>
        <w:t xml:space="preserve"> que, en el caso de actualización de documentos, se incluyan referencias a la información contenida en el documento anterior, para evitar la repetición </w:t>
      </w:r>
      <w:r w:rsidR="00200C49">
        <w:rPr>
          <w:u w:color="000000"/>
          <w:lang w:val="es-ES_tradnl"/>
        </w:rPr>
        <w:t xml:space="preserve">del trabajo </w:t>
      </w:r>
      <w:r w:rsidRPr="006A798E">
        <w:rPr>
          <w:u w:color="000000"/>
          <w:lang w:val="es-ES_tradnl"/>
        </w:rPr>
        <w:t>en el documento nuevo.</w:t>
      </w:r>
    </w:p>
    <w:p w:rsidR="00E86105" w:rsidRPr="006A798E" w:rsidRDefault="00E86105" w:rsidP="00B3361D">
      <w:pPr>
        <w:pStyle w:val="ONUMFS"/>
        <w:rPr>
          <w:u w:color="000000"/>
          <w:lang w:val="es-ES_tradnl"/>
        </w:rPr>
      </w:pPr>
      <w:r w:rsidRPr="006A798E">
        <w:rPr>
          <w:u w:color="000000"/>
          <w:lang w:val="es-ES_tradnl"/>
        </w:rPr>
        <w:t xml:space="preserve">A pesar de la aplicación de medidas destinadas a racionalizar y controlar el volumen de trabajo del servicio lingüístico, la adopción de la </w:t>
      </w:r>
      <w:r w:rsidR="00200C49" w:rsidRPr="006A798E">
        <w:rPr>
          <w:u w:color="000000"/>
          <w:lang w:val="es-ES_tradnl"/>
        </w:rPr>
        <w:t xml:space="preserve">Política </w:t>
      </w:r>
      <w:r w:rsidRPr="006A798E">
        <w:rPr>
          <w:u w:color="000000"/>
          <w:lang w:val="es-ES_tradnl"/>
        </w:rPr>
        <w:t xml:space="preserve">generó en 2012 un aumento del 53% en el número de pedidos de traducción, en comparación con 2011.  También aumentó la extensión de los documentos cuya traducción se ha solicitado.  </w:t>
      </w:r>
      <w:r w:rsidR="00200C49">
        <w:rPr>
          <w:u w:color="000000"/>
          <w:lang w:val="es-ES_tradnl"/>
        </w:rPr>
        <w:t>Aumentó e</w:t>
      </w:r>
      <w:r w:rsidRPr="006A798E">
        <w:rPr>
          <w:u w:color="000000"/>
          <w:lang w:val="es-ES_tradnl"/>
        </w:rPr>
        <w:t>l número de palabras traducidas en 2012</w:t>
      </w:r>
      <w:r w:rsidR="00200C49">
        <w:rPr>
          <w:u w:color="000000"/>
          <w:lang w:val="es-ES_tradnl"/>
        </w:rPr>
        <w:t xml:space="preserve"> hasta llegar</w:t>
      </w:r>
      <w:r w:rsidR="00F645D0">
        <w:rPr>
          <w:u w:color="000000"/>
          <w:lang w:val="es-ES_tradnl"/>
        </w:rPr>
        <w:t xml:space="preserve"> a 18,24 </w:t>
      </w:r>
      <w:r w:rsidRPr="006A798E">
        <w:rPr>
          <w:u w:color="000000"/>
          <w:lang w:val="es-ES_tradnl"/>
        </w:rPr>
        <w:t>millones (55.281 páginas estándar de las Naciones Unidas)</w:t>
      </w:r>
      <w:r w:rsidR="00200C49">
        <w:rPr>
          <w:u w:color="000000"/>
          <w:lang w:val="es-ES_tradnl"/>
        </w:rPr>
        <w:t>, cifra que cabe comparar</w:t>
      </w:r>
      <w:r w:rsidRPr="006A798E">
        <w:rPr>
          <w:u w:color="000000"/>
          <w:lang w:val="es-ES_tradnl"/>
        </w:rPr>
        <w:t xml:space="preserve"> con el total de 11,93 millones de palabras (36.161 páginas estándar de las Naciones Unidas) traducidas en 2011.  Al no haber aumentado el número de traductores m</w:t>
      </w:r>
      <w:bookmarkStart w:id="5" w:name="_GoBack"/>
      <w:bookmarkEnd w:id="5"/>
      <w:r w:rsidRPr="006A798E">
        <w:rPr>
          <w:u w:color="000000"/>
          <w:lang w:val="es-ES_tradnl"/>
        </w:rPr>
        <w:t xml:space="preserve">iembros del personal en </w:t>
      </w:r>
      <w:r w:rsidR="00200C49">
        <w:rPr>
          <w:u w:color="000000"/>
          <w:lang w:val="es-ES_tradnl"/>
        </w:rPr>
        <w:t>e</w:t>
      </w:r>
      <w:r w:rsidRPr="006A798E">
        <w:rPr>
          <w:u w:color="000000"/>
          <w:lang w:val="es-ES_tradnl"/>
        </w:rPr>
        <w:t>l</w:t>
      </w:r>
      <w:r w:rsidR="00200C49">
        <w:rPr>
          <w:u w:color="000000"/>
          <w:lang w:val="es-ES_tradnl"/>
        </w:rPr>
        <w:t xml:space="preserve"> servicio lingüístico</w:t>
      </w:r>
      <w:r w:rsidRPr="006A798E">
        <w:rPr>
          <w:u w:color="000000"/>
          <w:lang w:val="es-ES_tradnl"/>
        </w:rPr>
        <w:t>,</w:t>
      </w:r>
      <w:r w:rsidRPr="006A798E">
        <w:rPr>
          <w:rStyle w:val="FootnoteReference"/>
          <w:sz w:val="20"/>
        </w:rPr>
        <w:footnoteReference w:id="2"/>
      </w:r>
      <w:r w:rsidRPr="006A798E">
        <w:rPr>
          <w:u w:color="000000"/>
          <w:lang w:val="es-ES_tradnl"/>
        </w:rPr>
        <w:t xml:space="preserve"> se subcontrató el 56% del trabajo, con lo que se excedieron los niveles proyectados para el bienio.  En el cuadro que figura a continuación se compara el volumen de trabajo del servicio lingüístico en 2012 y en 2011.</w:t>
      </w:r>
    </w:p>
    <w:p w:rsidR="00E86105" w:rsidRPr="006A798E" w:rsidRDefault="00E86105" w:rsidP="00B3361D">
      <w:pPr>
        <w:pStyle w:val="ONUME"/>
        <w:numPr>
          <w:ilvl w:val="0"/>
          <w:numId w:val="0"/>
        </w:numPr>
        <w:spacing w:after="0"/>
        <w:jc w:val="center"/>
        <w:rPr>
          <w:b/>
          <w:sz w:val="28"/>
          <w:szCs w:val="28"/>
          <w:u w:color="000000"/>
          <w:lang w:val="es-ES_tradnl"/>
        </w:rPr>
      </w:pPr>
      <w:r w:rsidRPr="006A798E">
        <w:rPr>
          <w:u w:color="000000"/>
          <w:lang w:val="es-ES_tradnl"/>
        </w:rPr>
        <w:t>Traducción por el servicio lingüístico</w:t>
      </w:r>
      <w:r w:rsidRPr="006A798E">
        <w:rPr>
          <w:u w:color="000000"/>
          <w:lang w:val="es-ES_tradnl"/>
        </w:rPr>
        <w:br/>
        <w:t>(documentos de reunión y de otra índole)</w:t>
      </w:r>
    </w:p>
    <w:tbl>
      <w:tblPr>
        <w:tblStyle w:val="TableGrid"/>
        <w:tblW w:w="0" w:type="auto"/>
        <w:tblInd w:w="108" w:type="dxa"/>
        <w:tblLook w:val="04A0" w:firstRow="1" w:lastRow="0" w:firstColumn="1" w:lastColumn="0" w:noHBand="0" w:noVBand="1"/>
      </w:tblPr>
      <w:tblGrid>
        <w:gridCol w:w="1259"/>
        <w:gridCol w:w="1367"/>
        <w:gridCol w:w="1367"/>
        <w:gridCol w:w="1367"/>
        <w:gridCol w:w="1367"/>
        <w:gridCol w:w="1368"/>
        <w:gridCol w:w="1368"/>
      </w:tblGrid>
      <w:tr w:rsidR="00E86105" w:rsidRPr="008B5849" w:rsidTr="00022606">
        <w:trPr>
          <w:trHeight w:val="298"/>
        </w:trPr>
        <w:tc>
          <w:tcPr>
            <w:tcW w:w="1259" w:type="dxa"/>
            <w:tcBorders>
              <w:bottom w:val="single" w:sz="4" w:space="0" w:color="auto"/>
            </w:tcBorders>
            <w:shd w:val="clear" w:color="auto" w:fill="BFBFBF" w:themeFill="background1" w:themeFillShade="BF"/>
            <w:vAlign w:val="center"/>
          </w:tcPr>
          <w:p w:rsidR="00E86105" w:rsidRPr="008B5849" w:rsidRDefault="00E86105" w:rsidP="007651FD">
            <w:pPr>
              <w:pStyle w:val="ONUMFS"/>
              <w:numPr>
                <w:ilvl w:val="0"/>
                <w:numId w:val="0"/>
              </w:numPr>
              <w:jc w:val="center"/>
              <w:rPr>
                <w:b/>
                <w:bCs/>
                <w:sz w:val="18"/>
                <w:szCs w:val="18"/>
                <w:highlight w:val="lightGray"/>
                <w:u w:color="000000"/>
                <w:lang w:val="es-ES_tradnl"/>
              </w:rPr>
            </w:pPr>
            <w:r w:rsidRPr="008B5849">
              <w:rPr>
                <w:b/>
                <w:bCs/>
                <w:sz w:val="18"/>
                <w:szCs w:val="18"/>
                <w:highlight w:val="lightGray"/>
                <w:u w:color="000000"/>
                <w:lang w:val="es-ES_tradnl"/>
              </w:rPr>
              <w:t>Año</w:t>
            </w:r>
          </w:p>
        </w:tc>
        <w:tc>
          <w:tcPr>
            <w:tcW w:w="2734" w:type="dxa"/>
            <w:gridSpan w:val="2"/>
            <w:tcBorders>
              <w:bottom w:val="single" w:sz="4" w:space="0" w:color="auto"/>
            </w:tcBorders>
            <w:shd w:val="clear" w:color="auto" w:fill="BFBFBF" w:themeFill="background1" w:themeFillShade="BF"/>
            <w:vAlign w:val="center"/>
          </w:tcPr>
          <w:p w:rsidR="00E86105" w:rsidRPr="008B5849" w:rsidRDefault="00E86105" w:rsidP="007651FD">
            <w:pPr>
              <w:pStyle w:val="ONUMFS"/>
              <w:numPr>
                <w:ilvl w:val="0"/>
                <w:numId w:val="0"/>
              </w:numPr>
              <w:jc w:val="center"/>
              <w:rPr>
                <w:b/>
                <w:bCs/>
                <w:sz w:val="18"/>
                <w:szCs w:val="18"/>
                <w:highlight w:val="lightGray"/>
                <w:u w:color="000000"/>
                <w:lang w:val="es-ES_tradnl"/>
              </w:rPr>
            </w:pPr>
            <w:r w:rsidRPr="008B5849">
              <w:rPr>
                <w:b/>
                <w:bCs/>
                <w:sz w:val="18"/>
                <w:szCs w:val="18"/>
                <w:highlight w:val="lightGray"/>
                <w:u w:color="000000"/>
                <w:lang w:val="es-ES_tradnl"/>
              </w:rPr>
              <w:t>Traducción interna</w:t>
            </w:r>
          </w:p>
        </w:tc>
        <w:tc>
          <w:tcPr>
            <w:tcW w:w="2734" w:type="dxa"/>
            <w:gridSpan w:val="2"/>
            <w:tcBorders>
              <w:bottom w:val="single" w:sz="4" w:space="0" w:color="auto"/>
            </w:tcBorders>
            <w:shd w:val="clear" w:color="auto" w:fill="BFBFBF" w:themeFill="background1" w:themeFillShade="BF"/>
            <w:vAlign w:val="center"/>
          </w:tcPr>
          <w:p w:rsidR="00E86105" w:rsidRPr="008B5849" w:rsidRDefault="00E86105" w:rsidP="007651FD">
            <w:pPr>
              <w:pStyle w:val="ONUMFS"/>
              <w:numPr>
                <w:ilvl w:val="0"/>
                <w:numId w:val="0"/>
              </w:numPr>
              <w:jc w:val="center"/>
              <w:rPr>
                <w:b/>
                <w:bCs/>
                <w:sz w:val="18"/>
                <w:szCs w:val="18"/>
                <w:highlight w:val="lightGray"/>
                <w:u w:color="000000"/>
                <w:lang w:val="es-ES_tradnl"/>
              </w:rPr>
            </w:pPr>
            <w:r w:rsidRPr="008B5849">
              <w:rPr>
                <w:b/>
                <w:bCs/>
                <w:sz w:val="18"/>
                <w:szCs w:val="18"/>
                <w:highlight w:val="lightGray"/>
                <w:u w:color="000000"/>
                <w:lang w:val="es-ES_tradnl"/>
              </w:rPr>
              <w:t>Traducción subcontratada</w:t>
            </w:r>
          </w:p>
        </w:tc>
        <w:tc>
          <w:tcPr>
            <w:tcW w:w="2736" w:type="dxa"/>
            <w:gridSpan w:val="2"/>
            <w:tcBorders>
              <w:bottom w:val="single" w:sz="4" w:space="0" w:color="auto"/>
            </w:tcBorders>
            <w:shd w:val="clear" w:color="auto" w:fill="BFBFBF" w:themeFill="background1" w:themeFillShade="BF"/>
            <w:vAlign w:val="center"/>
          </w:tcPr>
          <w:p w:rsidR="00E86105" w:rsidRPr="008B5849" w:rsidRDefault="00E86105" w:rsidP="007651FD">
            <w:pPr>
              <w:pStyle w:val="ONUMFS"/>
              <w:numPr>
                <w:ilvl w:val="0"/>
                <w:numId w:val="0"/>
              </w:numPr>
              <w:jc w:val="center"/>
              <w:rPr>
                <w:b/>
                <w:bCs/>
                <w:sz w:val="18"/>
                <w:szCs w:val="18"/>
                <w:highlight w:val="lightGray"/>
                <w:u w:color="000000"/>
                <w:lang w:val="es-ES_tradnl"/>
              </w:rPr>
            </w:pPr>
            <w:r w:rsidRPr="008B5849">
              <w:rPr>
                <w:b/>
                <w:bCs/>
                <w:sz w:val="18"/>
                <w:szCs w:val="18"/>
                <w:highlight w:val="lightGray"/>
                <w:u w:color="000000"/>
                <w:lang w:val="es-ES_tradnl"/>
              </w:rPr>
              <w:t>TOTAL</w:t>
            </w:r>
          </w:p>
        </w:tc>
      </w:tr>
      <w:tr w:rsidR="00E86105" w:rsidRPr="008B5849" w:rsidTr="008B5849">
        <w:tc>
          <w:tcPr>
            <w:tcW w:w="1259" w:type="dxa"/>
            <w:shd w:val="clear" w:color="auto" w:fill="BFBFBF" w:themeFill="background1" w:themeFillShade="BF"/>
            <w:vAlign w:val="center"/>
          </w:tcPr>
          <w:p w:rsidR="00E86105" w:rsidRPr="008B5849" w:rsidRDefault="00E86105" w:rsidP="007651FD">
            <w:pPr>
              <w:pStyle w:val="ONUMFS"/>
              <w:numPr>
                <w:ilvl w:val="0"/>
                <w:numId w:val="0"/>
              </w:numPr>
              <w:rPr>
                <w:sz w:val="18"/>
                <w:szCs w:val="18"/>
                <w:u w:color="000000"/>
                <w:lang w:val="es-ES_tradnl"/>
              </w:rPr>
            </w:pPr>
          </w:p>
        </w:tc>
        <w:tc>
          <w:tcPr>
            <w:tcW w:w="1367" w:type="dxa"/>
            <w:shd w:val="clear" w:color="auto" w:fill="BFBFBF" w:themeFill="background1" w:themeFillShade="BF"/>
            <w:vAlign w:val="center"/>
          </w:tcPr>
          <w:p w:rsidR="00E86105" w:rsidRPr="00022606" w:rsidRDefault="00E86105" w:rsidP="007651FD">
            <w:pPr>
              <w:pStyle w:val="ONUMFS"/>
              <w:numPr>
                <w:ilvl w:val="0"/>
                <w:numId w:val="0"/>
              </w:numPr>
              <w:jc w:val="center"/>
              <w:rPr>
                <w:b/>
                <w:sz w:val="18"/>
                <w:szCs w:val="18"/>
                <w:u w:color="000000"/>
                <w:lang w:val="es-ES_tradnl"/>
              </w:rPr>
            </w:pPr>
            <w:r w:rsidRPr="00022606">
              <w:rPr>
                <w:b/>
                <w:sz w:val="18"/>
                <w:szCs w:val="18"/>
                <w:u w:color="000000"/>
                <w:lang w:val="es-ES_tradnl"/>
              </w:rPr>
              <w:t>palabras</w:t>
            </w:r>
          </w:p>
        </w:tc>
        <w:tc>
          <w:tcPr>
            <w:tcW w:w="1367" w:type="dxa"/>
            <w:shd w:val="clear" w:color="auto" w:fill="BFBFBF" w:themeFill="background1" w:themeFillShade="BF"/>
            <w:vAlign w:val="center"/>
          </w:tcPr>
          <w:p w:rsidR="00E86105" w:rsidRPr="00022606" w:rsidRDefault="00E86105" w:rsidP="007651FD">
            <w:pPr>
              <w:pStyle w:val="ONUMFS"/>
              <w:numPr>
                <w:ilvl w:val="0"/>
                <w:numId w:val="0"/>
              </w:numPr>
              <w:jc w:val="center"/>
              <w:rPr>
                <w:b/>
                <w:sz w:val="18"/>
                <w:szCs w:val="18"/>
                <w:u w:color="000000"/>
                <w:lang w:val="es-ES_tradnl"/>
              </w:rPr>
            </w:pPr>
            <w:r w:rsidRPr="00022606">
              <w:rPr>
                <w:b/>
                <w:sz w:val="18"/>
                <w:szCs w:val="18"/>
                <w:u w:color="000000"/>
                <w:lang w:val="es-ES_tradnl"/>
              </w:rPr>
              <w:t>páginas</w:t>
            </w:r>
          </w:p>
        </w:tc>
        <w:tc>
          <w:tcPr>
            <w:tcW w:w="1367" w:type="dxa"/>
            <w:shd w:val="clear" w:color="auto" w:fill="BFBFBF" w:themeFill="background1" w:themeFillShade="BF"/>
            <w:vAlign w:val="center"/>
          </w:tcPr>
          <w:p w:rsidR="00E86105" w:rsidRPr="00022606" w:rsidRDefault="00E86105" w:rsidP="007651FD">
            <w:pPr>
              <w:pStyle w:val="ONUMFS"/>
              <w:numPr>
                <w:ilvl w:val="0"/>
                <w:numId w:val="0"/>
              </w:numPr>
              <w:jc w:val="center"/>
              <w:rPr>
                <w:b/>
                <w:sz w:val="18"/>
                <w:szCs w:val="18"/>
                <w:u w:color="000000"/>
                <w:lang w:val="es-ES_tradnl"/>
              </w:rPr>
            </w:pPr>
            <w:r w:rsidRPr="00022606">
              <w:rPr>
                <w:b/>
                <w:sz w:val="18"/>
                <w:szCs w:val="18"/>
                <w:u w:color="000000"/>
                <w:lang w:val="es-ES_tradnl"/>
              </w:rPr>
              <w:t>palabras</w:t>
            </w:r>
          </w:p>
        </w:tc>
        <w:tc>
          <w:tcPr>
            <w:tcW w:w="1367" w:type="dxa"/>
            <w:shd w:val="clear" w:color="auto" w:fill="BFBFBF" w:themeFill="background1" w:themeFillShade="BF"/>
            <w:vAlign w:val="center"/>
          </w:tcPr>
          <w:p w:rsidR="00E86105" w:rsidRPr="00022606" w:rsidRDefault="00E86105" w:rsidP="007651FD">
            <w:pPr>
              <w:pStyle w:val="ONUMFS"/>
              <w:numPr>
                <w:ilvl w:val="0"/>
                <w:numId w:val="0"/>
              </w:numPr>
              <w:jc w:val="center"/>
              <w:rPr>
                <w:b/>
                <w:sz w:val="18"/>
                <w:szCs w:val="18"/>
                <w:u w:color="000000"/>
                <w:lang w:val="es-ES_tradnl"/>
              </w:rPr>
            </w:pPr>
            <w:r w:rsidRPr="00022606">
              <w:rPr>
                <w:b/>
                <w:sz w:val="18"/>
                <w:szCs w:val="18"/>
                <w:u w:color="000000"/>
                <w:lang w:val="es-ES_tradnl"/>
              </w:rPr>
              <w:t>páginas</w:t>
            </w:r>
          </w:p>
        </w:tc>
        <w:tc>
          <w:tcPr>
            <w:tcW w:w="1368" w:type="dxa"/>
            <w:shd w:val="clear" w:color="auto" w:fill="BFBFBF" w:themeFill="background1" w:themeFillShade="BF"/>
            <w:vAlign w:val="center"/>
          </w:tcPr>
          <w:p w:rsidR="00E86105" w:rsidRPr="00022606" w:rsidRDefault="00E86105" w:rsidP="007651FD">
            <w:pPr>
              <w:pStyle w:val="ONUMFS"/>
              <w:numPr>
                <w:ilvl w:val="0"/>
                <w:numId w:val="0"/>
              </w:numPr>
              <w:jc w:val="center"/>
              <w:rPr>
                <w:b/>
                <w:sz w:val="18"/>
                <w:szCs w:val="18"/>
                <w:u w:color="000000"/>
                <w:lang w:val="es-ES_tradnl"/>
              </w:rPr>
            </w:pPr>
            <w:r w:rsidRPr="00022606">
              <w:rPr>
                <w:b/>
                <w:sz w:val="18"/>
                <w:szCs w:val="18"/>
                <w:u w:color="000000"/>
                <w:lang w:val="es-ES_tradnl"/>
              </w:rPr>
              <w:t>palabras</w:t>
            </w:r>
          </w:p>
        </w:tc>
        <w:tc>
          <w:tcPr>
            <w:tcW w:w="1368" w:type="dxa"/>
            <w:shd w:val="clear" w:color="auto" w:fill="BFBFBF" w:themeFill="background1" w:themeFillShade="BF"/>
            <w:vAlign w:val="center"/>
          </w:tcPr>
          <w:p w:rsidR="00E86105" w:rsidRPr="00022606" w:rsidRDefault="00E86105" w:rsidP="007651FD">
            <w:pPr>
              <w:pStyle w:val="ONUMFS"/>
              <w:numPr>
                <w:ilvl w:val="0"/>
                <w:numId w:val="0"/>
              </w:numPr>
              <w:jc w:val="center"/>
              <w:rPr>
                <w:b/>
                <w:sz w:val="18"/>
                <w:szCs w:val="18"/>
                <w:u w:color="000000"/>
                <w:lang w:val="es-ES_tradnl"/>
              </w:rPr>
            </w:pPr>
            <w:r w:rsidRPr="00022606">
              <w:rPr>
                <w:b/>
                <w:sz w:val="18"/>
                <w:szCs w:val="18"/>
                <w:u w:color="000000"/>
                <w:lang w:val="es-ES_tradnl"/>
              </w:rPr>
              <w:t>páginas</w:t>
            </w:r>
          </w:p>
        </w:tc>
      </w:tr>
      <w:tr w:rsidR="008B5849" w:rsidRPr="008B5849" w:rsidTr="008B5849">
        <w:tc>
          <w:tcPr>
            <w:tcW w:w="1259" w:type="dxa"/>
            <w:vAlign w:val="bottom"/>
          </w:tcPr>
          <w:p w:rsidR="00E86105" w:rsidRPr="008B5849" w:rsidRDefault="00E86105" w:rsidP="007651FD">
            <w:pPr>
              <w:pStyle w:val="ONUMFS"/>
              <w:numPr>
                <w:ilvl w:val="0"/>
                <w:numId w:val="0"/>
              </w:numPr>
              <w:spacing w:after="120"/>
              <w:rPr>
                <w:sz w:val="18"/>
                <w:szCs w:val="18"/>
                <w:u w:color="000000"/>
                <w:lang w:val="es-ES_tradnl"/>
              </w:rPr>
            </w:pPr>
            <w:r w:rsidRPr="008B5849">
              <w:rPr>
                <w:sz w:val="18"/>
                <w:szCs w:val="18"/>
                <w:u w:color="000000"/>
                <w:lang w:val="es-ES_tradnl"/>
              </w:rPr>
              <w:t>2011</w:t>
            </w:r>
          </w:p>
        </w:tc>
        <w:tc>
          <w:tcPr>
            <w:tcW w:w="1367" w:type="dxa"/>
            <w:vAlign w:val="bottom"/>
          </w:tcPr>
          <w:p w:rsidR="00E86105" w:rsidRPr="008B5849" w:rsidRDefault="00E86105" w:rsidP="007651FD">
            <w:pPr>
              <w:pStyle w:val="ONUMFS"/>
              <w:numPr>
                <w:ilvl w:val="0"/>
                <w:numId w:val="0"/>
              </w:numPr>
              <w:spacing w:after="120"/>
              <w:jc w:val="right"/>
              <w:rPr>
                <w:sz w:val="18"/>
                <w:szCs w:val="18"/>
                <w:u w:color="000000"/>
                <w:lang w:val="es-ES_tradnl"/>
              </w:rPr>
            </w:pPr>
            <w:r w:rsidRPr="008B5849">
              <w:rPr>
                <w:sz w:val="18"/>
                <w:szCs w:val="18"/>
                <w:u w:color="000000"/>
                <w:lang w:val="es-ES_tradnl"/>
              </w:rPr>
              <w:t>6.587.052</w:t>
            </w:r>
          </w:p>
        </w:tc>
        <w:tc>
          <w:tcPr>
            <w:tcW w:w="1367" w:type="dxa"/>
            <w:vAlign w:val="bottom"/>
          </w:tcPr>
          <w:p w:rsidR="00E86105" w:rsidRPr="008B5849" w:rsidRDefault="00E86105" w:rsidP="007651FD">
            <w:pPr>
              <w:pStyle w:val="ONUMFS"/>
              <w:numPr>
                <w:ilvl w:val="0"/>
                <w:numId w:val="0"/>
              </w:numPr>
              <w:spacing w:after="120"/>
              <w:jc w:val="right"/>
              <w:rPr>
                <w:sz w:val="18"/>
                <w:szCs w:val="18"/>
                <w:u w:color="000000"/>
                <w:lang w:val="es-ES_tradnl"/>
              </w:rPr>
            </w:pPr>
            <w:r w:rsidRPr="008B5849">
              <w:rPr>
                <w:sz w:val="18"/>
                <w:szCs w:val="18"/>
                <w:u w:color="000000"/>
                <w:lang w:val="es-ES_tradnl"/>
              </w:rPr>
              <w:t>19</w:t>
            </w:r>
            <w:r w:rsidR="008B5849" w:rsidRPr="008B5849">
              <w:rPr>
                <w:sz w:val="18"/>
                <w:szCs w:val="18"/>
                <w:u w:color="000000"/>
                <w:lang w:val="es-ES_tradnl"/>
              </w:rPr>
              <w:t>.</w:t>
            </w:r>
            <w:r w:rsidRPr="008B5849">
              <w:rPr>
                <w:sz w:val="18"/>
                <w:szCs w:val="18"/>
                <w:u w:color="000000"/>
                <w:lang w:val="es-ES_tradnl"/>
              </w:rPr>
              <w:t>961</w:t>
            </w:r>
          </w:p>
        </w:tc>
        <w:tc>
          <w:tcPr>
            <w:tcW w:w="1367" w:type="dxa"/>
            <w:vAlign w:val="bottom"/>
          </w:tcPr>
          <w:p w:rsidR="00E86105" w:rsidRPr="008B5849" w:rsidRDefault="00E86105" w:rsidP="007651FD">
            <w:pPr>
              <w:pStyle w:val="ONUMFS"/>
              <w:numPr>
                <w:ilvl w:val="0"/>
                <w:numId w:val="0"/>
              </w:numPr>
              <w:spacing w:after="120"/>
              <w:jc w:val="right"/>
              <w:rPr>
                <w:sz w:val="18"/>
                <w:szCs w:val="18"/>
                <w:u w:color="000000"/>
                <w:lang w:val="es-ES_tradnl"/>
              </w:rPr>
            </w:pPr>
            <w:r w:rsidRPr="008B5849">
              <w:rPr>
                <w:sz w:val="18"/>
                <w:szCs w:val="18"/>
                <w:u w:color="000000"/>
                <w:lang w:val="es-ES_tradnl"/>
              </w:rPr>
              <w:t>5</w:t>
            </w:r>
            <w:r w:rsidR="008B5849" w:rsidRPr="008B5849">
              <w:rPr>
                <w:sz w:val="18"/>
                <w:szCs w:val="18"/>
                <w:u w:color="000000"/>
                <w:lang w:val="es-ES_tradnl"/>
              </w:rPr>
              <w:t>.</w:t>
            </w:r>
            <w:r w:rsidRPr="008B5849">
              <w:rPr>
                <w:sz w:val="18"/>
                <w:szCs w:val="18"/>
                <w:u w:color="000000"/>
                <w:lang w:val="es-ES_tradnl"/>
              </w:rPr>
              <w:t>346</w:t>
            </w:r>
            <w:r w:rsidR="008B5849" w:rsidRPr="008B5849">
              <w:rPr>
                <w:sz w:val="18"/>
                <w:szCs w:val="18"/>
                <w:u w:color="000000"/>
                <w:lang w:val="es-ES_tradnl"/>
              </w:rPr>
              <w:t>.</w:t>
            </w:r>
            <w:r w:rsidRPr="008B5849">
              <w:rPr>
                <w:sz w:val="18"/>
                <w:szCs w:val="18"/>
                <w:u w:color="000000"/>
                <w:lang w:val="es-ES_tradnl"/>
              </w:rPr>
              <w:t>224</w:t>
            </w:r>
          </w:p>
        </w:tc>
        <w:tc>
          <w:tcPr>
            <w:tcW w:w="1367" w:type="dxa"/>
            <w:vAlign w:val="bottom"/>
          </w:tcPr>
          <w:p w:rsidR="00E86105" w:rsidRPr="008B5849" w:rsidRDefault="00E86105" w:rsidP="007651FD">
            <w:pPr>
              <w:pStyle w:val="ONUMFS"/>
              <w:numPr>
                <w:ilvl w:val="0"/>
                <w:numId w:val="0"/>
              </w:numPr>
              <w:spacing w:after="120"/>
              <w:jc w:val="right"/>
              <w:rPr>
                <w:sz w:val="18"/>
                <w:szCs w:val="18"/>
                <w:u w:color="000000"/>
                <w:lang w:val="es-ES_tradnl"/>
              </w:rPr>
            </w:pPr>
            <w:r w:rsidRPr="008B5849">
              <w:rPr>
                <w:sz w:val="18"/>
                <w:szCs w:val="18"/>
                <w:u w:color="000000"/>
                <w:lang w:val="es-ES_tradnl"/>
              </w:rPr>
              <w:t>16</w:t>
            </w:r>
            <w:r w:rsidR="008B5849" w:rsidRPr="008B5849">
              <w:rPr>
                <w:sz w:val="18"/>
                <w:szCs w:val="18"/>
                <w:u w:color="000000"/>
                <w:lang w:val="es-ES_tradnl"/>
              </w:rPr>
              <w:t>.</w:t>
            </w:r>
            <w:r w:rsidRPr="008B5849">
              <w:rPr>
                <w:sz w:val="18"/>
                <w:szCs w:val="18"/>
                <w:u w:color="000000"/>
                <w:lang w:val="es-ES_tradnl"/>
              </w:rPr>
              <w:t>201</w:t>
            </w:r>
          </w:p>
        </w:tc>
        <w:tc>
          <w:tcPr>
            <w:tcW w:w="1368" w:type="dxa"/>
            <w:vAlign w:val="bottom"/>
          </w:tcPr>
          <w:p w:rsidR="00E86105" w:rsidRPr="008B5849" w:rsidRDefault="008B5849" w:rsidP="007651FD">
            <w:pPr>
              <w:pStyle w:val="ONUMFS"/>
              <w:numPr>
                <w:ilvl w:val="0"/>
                <w:numId w:val="0"/>
              </w:numPr>
              <w:spacing w:after="120"/>
              <w:jc w:val="right"/>
              <w:rPr>
                <w:sz w:val="18"/>
                <w:szCs w:val="18"/>
                <w:u w:color="000000"/>
                <w:lang w:val="es-ES_tradnl"/>
              </w:rPr>
            </w:pPr>
            <w:r w:rsidRPr="008B5849">
              <w:rPr>
                <w:sz w:val="18"/>
                <w:szCs w:val="18"/>
                <w:u w:color="000000"/>
                <w:lang w:val="es-ES_tradnl"/>
              </w:rPr>
              <w:t>11.933.276</w:t>
            </w:r>
          </w:p>
        </w:tc>
        <w:tc>
          <w:tcPr>
            <w:tcW w:w="1368" w:type="dxa"/>
            <w:vAlign w:val="bottom"/>
          </w:tcPr>
          <w:p w:rsidR="00E86105" w:rsidRPr="008B5849" w:rsidRDefault="008B5849" w:rsidP="007651FD">
            <w:pPr>
              <w:pStyle w:val="ONUMFS"/>
              <w:numPr>
                <w:ilvl w:val="0"/>
                <w:numId w:val="0"/>
              </w:numPr>
              <w:spacing w:after="120"/>
              <w:jc w:val="right"/>
              <w:rPr>
                <w:sz w:val="18"/>
                <w:szCs w:val="18"/>
                <w:u w:color="000000"/>
                <w:lang w:val="es-ES_tradnl"/>
              </w:rPr>
            </w:pPr>
            <w:r w:rsidRPr="008B5849">
              <w:rPr>
                <w:sz w:val="18"/>
                <w:szCs w:val="18"/>
                <w:u w:color="000000"/>
                <w:lang w:val="es-ES_tradnl"/>
              </w:rPr>
              <w:t>36.161</w:t>
            </w:r>
          </w:p>
        </w:tc>
      </w:tr>
      <w:tr w:rsidR="008B5849" w:rsidRPr="008B5849" w:rsidTr="008B5849">
        <w:tc>
          <w:tcPr>
            <w:tcW w:w="1259" w:type="dxa"/>
          </w:tcPr>
          <w:p w:rsidR="00E86105" w:rsidRPr="008B5849" w:rsidRDefault="00E86105" w:rsidP="007651FD">
            <w:pPr>
              <w:pStyle w:val="ONUMFS"/>
              <w:numPr>
                <w:ilvl w:val="0"/>
                <w:numId w:val="0"/>
              </w:numPr>
              <w:spacing w:after="120"/>
              <w:rPr>
                <w:sz w:val="18"/>
                <w:szCs w:val="18"/>
                <w:u w:color="000000"/>
                <w:lang w:val="es-ES_tradnl"/>
              </w:rPr>
            </w:pPr>
            <w:r w:rsidRPr="008B5849">
              <w:rPr>
                <w:sz w:val="18"/>
                <w:szCs w:val="18"/>
                <w:u w:color="000000"/>
                <w:lang w:val="es-ES_tradnl"/>
              </w:rPr>
              <w:t>2012</w:t>
            </w:r>
          </w:p>
        </w:tc>
        <w:tc>
          <w:tcPr>
            <w:tcW w:w="1367" w:type="dxa"/>
          </w:tcPr>
          <w:p w:rsidR="00E86105" w:rsidRPr="008B5849" w:rsidRDefault="00E86105" w:rsidP="007651FD">
            <w:pPr>
              <w:pStyle w:val="ONUMFS"/>
              <w:numPr>
                <w:ilvl w:val="0"/>
                <w:numId w:val="0"/>
              </w:numPr>
              <w:spacing w:after="120"/>
              <w:jc w:val="right"/>
              <w:rPr>
                <w:sz w:val="18"/>
                <w:szCs w:val="18"/>
                <w:u w:color="000000"/>
                <w:lang w:val="es-ES_tradnl"/>
              </w:rPr>
            </w:pPr>
            <w:r w:rsidRPr="008B5849">
              <w:rPr>
                <w:sz w:val="18"/>
                <w:szCs w:val="18"/>
                <w:u w:color="000000"/>
                <w:lang w:val="es-ES_tradnl"/>
              </w:rPr>
              <w:t>8</w:t>
            </w:r>
            <w:r w:rsidR="008B5849" w:rsidRPr="008B5849">
              <w:rPr>
                <w:sz w:val="18"/>
                <w:szCs w:val="18"/>
                <w:u w:color="000000"/>
                <w:lang w:val="es-ES_tradnl"/>
              </w:rPr>
              <w:t>.</w:t>
            </w:r>
            <w:r w:rsidRPr="008B5849">
              <w:rPr>
                <w:sz w:val="18"/>
                <w:szCs w:val="18"/>
                <w:u w:color="000000"/>
                <w:lang w:val="es-ES_tradnl"/>
              </w:rPr>
              <w:t>024</w:t>
            </w:r>
            <w:r w:rsidR="008B5849" w:rsidRPr="008B5849">
              <w:rPr>
                <w:sz w:val="18"/>
                <w:szCs w:val="18"/>
                <w:u w:color="000000"/>
                <w:lang w:val="es-ES_tradnl"/>
              </w:rPr>
              <w:t>.</w:t>
            </w:r>
            <w:r w:rsidRPr="008B5849">
              <w:rPr>
                <w:sz w:val="18"/>
                <w:szCs w:val="18"/>
                <w:u w:color="000000"/>
                <w:lang w:val="es-ES_tradnl"/>
              </w:rPr>
              <w:t>597</w:t>
            </w:r>
          </w:p>
        </w:tc>
        <w:tc>
          <w:tcPr>
            <w:tcW w:w="1367" w:type="dxa"/>
          </w:tcPr>
          <w:p w:rsidR="00E86105" w:rsidRPr="008B5849" w:rsidRDefault="00E86105" w:rsidP="007651FD">
            <w:pPr>
              <w:pStyle w:val="ONUMFS"/>
              <w:numPr>
                <w:ilvl w:val="0"/>
                <w:numId w:val="0"/>
              </w:numPr>
              <w:spacing w:after="120"/>
              <w:jc w:val="right"/>
              <w:rPr>
                <w:sz w:val="18"/>
                <w:szCs w:val="18"/>
                <w:u w:color="000000"/>
                <w:lang w:val="es-ES_tradnl"/>
              </w:rPr>
            </w:pPr>
            <w:r w:rsidRPr="008B5849">
              <w:rPr>
                <w:sz w:val="18"/>
                <w:szCs w:val="18"/>
                <w:u w:color="000000"/>
                <w:lang w:val="es-ES_tradnl"/>
              </w:rPr>
              <w:t>24</w:t>
            </w:r>
            <w:r w:rsidR="008B5849" w:rsidRPr="008B5849">
              <w:rPr>
                <w:sz w:val="18"/>
                <w:szCs w:val="18"/>
                <w:u w:color="000000"/>
                <w:lang w:val="es-ES_tradnl"/>
              </w:rPr>
              <w:t>.</w:t>
            </w:r>
            <w:r w:rsidRPr="008B5849">
              <w:rPr>
                <w:sz w:val="18"/>
                <w:szCs w:val="18"/>
                <w:u w:color="000000"/>
                <w:lang w:val="es-ES_tradnl"/>
              </w:rPr>
              <w:t>317</w:t>
            </w:r>
          </w:p>
        </w:tc>
        <w:tc>
          <w:tcPr>
            <w:tcW w:w="1367" w:type="dxa"/>
          </w:tcPr>
          <w:p w:rsidR="00E86105" w:rsidRPr="008B5849" w:rsidRDefault="00E86105" w:rsidP="007651FD">
            <w:pPr>
              <w:pStyle w:val="ONUMFS"/>
              <w:numPr>
                <w:ilvl w:val="0"/>
                <w:numId w:val="0"/>
              </w:numPr>
              <w:spacing w:after="120"/>
              <w:jc w:val="right"/>
              <w:rPr>
                <w:sz w:val="18"/>
                <w:szCs w:val="18"/>
                <w:u w:color="000000"/>
                <w:lang w:val="es-ES_tradnl"/>
              </w:rPr>
            </w:pPr>
            <w:r w:rsidRPr="008B5849">
              <w:rPr>
                <w:sz w:val="18"/>
                <w:szCs w:val="18"/>
                <w:u w:color="000000"/>
                <w:lang w:val="es-ES_tradnl"/>
              </w:rPr>
              <w:t>10</w:t>
            </w:r>
            <w:r w:rsidR="008B5849" w:rsidRPr="008B5849">
              <w:rPr>
                <w:sz w:val="18"/>
                <w:szCs w:val="18"/>
                <w:u w:color="000000"/>
                <w:lang w:val="es-ES_tradnl"/>
              </w:rPr>
              <w:t>.</w:t>
            </w:r>
            <w:r w:rsidRPr="008B5849">
              <w:rPr>
                <w:sz w:val="18"/>
                <w:szCs w:val="18"/>
                <w:u w:color="000000"/>
                <w:lang w:val="es-ES_tradnl"/>
              </w:rPr>
              <w:t>218</w:t>
            </w:r>
            <w:r w:rsidR="008B5849" w:rsidRPr="008B5849">
              <w:rPr>
                <w:sz w:val="18"/>
                <w:szCs w:val="18"/>
                <w:u w:color="000000"/>
                <w:lang w:val="es-ES_tradnl"/>
              </w:rPr>
              <w:t>.</w:t>
            </w:r>
            <w:r w:rsidRPr="008B5849">
              <w:rPr>
                <w:sz w:val="18"/>
                <w:szCs w:val="18"/>
                <w:u w:color="000000"/>
                <w:lang w:val="es-ES_tradnl"/>
              </w:rPr>
              <w:t>414</w:t>
            </w:r>
          </w:p>
        </w:tc>
        <w:tc>
          <w:tcPr>
            <w:tcW w:w="1367" w:type="dxa"/>
          </w:tcPr>
          <w:p w:rsidR="00E86105" w:rsidRPr="008B5849" w:rsidRDefault="00E86105" w:rsidP="007651FD">
            <w:pPr>
              <w:pStyle w:val="ONUMFS"/>
              <w:numPr>
                <w:ilvl w:val="0"/>
                <w:numId w:val="0"/>
              </w:numPr>
              <w:spacing w:after="120"/>
              <w:jc w:val="right"/>
              <w:rPr>
                <w:sz w:val="18"/>
                <w:szCs w:val="18"/>
                <w:u w:color="000000"/>
                <w:lang w:val="es-ES_tradnl"/>
              </w:rPr>
            </w:pPr>
            <w:r w:rsidRPr="008B5849">
              <w:rPr>
                <w:sz w:val="18"/>
                <w:szCs w:val="18"/>
                <w:u w:color="000000"/>
                <w:lang w:val="es-ES_tradnl"/>
              </w:rPr>
              <w:t>30</w:t>
            </w:r>
            <w:r w:rsidR="008B5849" w:rsidRPr="008B5849">
              <w:rPr>
                <w:sz w:val="18"/>
                <w:szCs w:val="18"/>
                <w:u w:color="000000"/>
                <w:lang w:val="es-ES_tradnl"/>
              </w:rPr>
              <w:t>.</w:t>
            </w:r>
            <w:r w:rsidRPr="008B5849">
              <w:rPr>
                <w:sz w:val="18"/>
                <w:szCs w:val="18"/>
                <w:u w:color="000000"/>
                <w:lang w:val="es-ES_tradnl"/>
              </w:rPr>
              <w:t>965</w:t>
            </w:r>
          </w:p>
        </w:tc>
        <w:tc>
          <w:tcPr>
            <w:tcW w:w="1368" w:type="dxa"/>
          </w:tcPr>
          <w:p w:rsidR="00E86105" w:rsidRPr="008B5849" w:rsidRDefault="008B5849" w:rsidP="007651FD">
            <w:pPr>
              <w:pStyle w:val="ONUMFS"/>
              <w:numPr>
                <w:ilvl w:val="0"/>
                <w:numId w:val="0"/>
              </w:numPr>
              <w:spacing w:after="120"/>
              <w:jc w:val="right"/>
              <w:rPr>
                <w:sz w:val="18"/>
                <w:szCs w:val="18"/>
                <w:u w:color="000000"/>
                <w:lang w:val="es-ES_tradnl"/>
              </w:rPr>
            </w:pPr>
            <w:r w:rsidRPr="008B5849">
              <w:rPr>
                <w:sz w:val="18"/>
                <w:szCs w:val="18"/>
                <w:u w:color="000000"/>
                <w:lang w:val="es-ES_tradnl"/>
              </w:rPr>
              <w:t>18.243.011</w:t>
            </w:r>
          </w:p>
        </w:tc>
        <w:tc>
          <w:tcPr>
            <w:tcW w:w="1368" w:type="dxa"/>
          </w:tcPr>
          <w:p w:rsidR="00E86105" w:rsidRPr="008B5849" w:rsidRDefault="008B5849" w:rsidP="007651FD">
            <w:pPr>
              <w:pStyle w:val="ONUMFS"/>
              <w:numPr>
                <w:ilvl w:val="0"/>
                <w:numId w:val="0"/>
              </w:numPr>
              <w:spacing w:after="120"/>
              <w:jc w:val="right"/>
              <w:rPr>
                <w:sz w:val="18"/>
                <w:szCs w:val="18"/>
                <w:u w:color="000000"/>
                <w:lang w:val="es-ES_tradnl"/>
              </w:rPr>
            </w:pPr>
            <w:r w:rsidRPr="008B5849">
              <w:rPr>
                <w:sz w:val="18"/>
                <w:szCs w:val="18"/>
                <w:u w:color="000000"/>
                <w:lang w:val="es-ES_tradnl"/>
              </w:rPr>
              <w:t>55.282</w:t>
            </w:r>
          </w:p>
        </w:tc>
      </w:tr>
      <w:tr w:rsidR="008B5849" w:rsidRPr="008B5849" w:rsidTr="008B5849">
        <w:tc>
          <w:tcPr>
            <w:tcW w:w="1259" w:type="dxa"/>
          </w:tcPr>
          <w:p w:rsidR="00E86105" w:rsidRPr="008B5849" w:rsidRDefault="00E86105" w:rsidP="007651FD">
            <w:pPr>
              <w:pStyle w:val="ONUMFS"/>
              <w:numPr>
                <w:ilvl w:val="0"/>
                <w:numId w:val="0"/>
              </w:numPr>
              <w:spacing w:after="120"/>
              <w:rPr>
                <w:sz w:val="18"/>
                <w:szCs w:val="18"/>
                <w:u w:color="000000"/>
                <w:lang w:val="es-ES_tradnl"/>
              </w:rPr>
            </w:pPr>
            <w:r w:rsidRPr="008B5849">
              <w:rPr>
                <w:sz w:val="18"/>
                <w:szCs w:val="18"/>
                <w:u w:color="000000"/>
                <w:lang w:val="es-ES_tradnl"/>
              </w:rPr>
              <w:t>Aumento</w:t>
            </w:r>
          </w:p>
        </w:tc>
        <w:tc>
          <w:tcPr>
            <w:tcW w:w="1367" w:type="dxa"/>
          </w:tcPr>
          <w:p w:rsidR="00E86105" w:rsidRPr="008B5849" w:rsidRDefault="00E86105" w:rsidP="007651FD">
            <w:pPr>
              <w:pStyle w:val="ONUMFS"/>
              <w:numPr>
                <w:ilvl w:val="0"/>
                <w:numId w:val="0"/>
              </w:numPr>
              <w:spacing w:after="120"/>
              <w:jc w:val="right"/>
              <w:rPr>
                <w:sz w:val="18"/>
                <w:szCs w:val="18"/>
                <w:u w:color="000000"/>
                <w:lang w:val="es-ES_tradnl"/>
              </w:rPr>
            </w:pPr>
            <w:r w:rsidRPr="008B5849">
              <w:rPr>
                <w:sz w:val="18"/>
                <w:szCs w:val="18"/>
                <w:u w:color="000000"/>
                <w:lang w:val="es-ES_tradnl"/>
              </w:rPr>
              <w:t>1</w:t>
            </w:r>
            <w:r w:rsidR="008B5849" w:rsidRPr="008B5849">
              <w:rPr>
                <w:sz w:val="18"/>
                <w:szCs w:val="18"/>
                <w:u w:color="000000"/>
                <w:lang w:val="es-ES_tradnl"/>
              </w:rPr>
              <w:t>.</w:t>
            </w:r>
            <w:r w:rsidRPr="008B5849">
              <w:rPr>
                <w:sz w:val="18"/>
                <w:szCs w:val="18"/>
                <w:u w:color="000000"/>
                <w:lang w:val="es-ES_tradnl"/>
              </w:rPr>
              <w:t>437</w:t>
            </w:r>
            <w:r w:rsidR="008B5849" w:rsidRPr="008B5849">
              <w:rPr>
                <w:sz w:val="18"/>
                <w:szCs w:val="18"/>
                <w:u w:color="000000"/>
                <w:lang w:val="es-ES_tradnl"/>
              </w:rPr>
              <w:t>.</w:t>
            </w:r>
            <w:r w:rsidRPr="008B5849">
              <w:rPr>
                <w:sz w:val="18"/>
                <w:szCs w:val="18"/>
                <w:u w:color="000000"/>
                <w:lang w:val="es-ES_tradnl"/>
              </w:rPr>
              <w:t>545</w:t>
            </w:r>
          </w:p>
        </w:tc>
        <w:tc>
          <w:tcPr>
            <w:tcW w:w="1367" w:type="dxa"/>
          </w:tcPr>
          <w:p w:rsidR="00E86105" w:rsidRPr="008B5849" w:rsidRDefault="00E86105" w:rsidP="007651FD">
            <w:pPr>
              <w:pStyle w:val="ONUMFS"/>
              <w:numPr>
                <w:ilvl w:val="0"/>
                <w:numId w:val="0"/>
              </w:numPr>
              <w:spacing w:after="120"/>
              <w:jc w:val="right"/>
              <w:rPr>
                <w:sz w:val="18"/>
                <w:szCs w:val="18"/>
                <w:u w:color="000000"/>
                <w:lang w:val="es-ES_tradnl"/>
              </w:rPr>
            </w:pPr>
            <w:r w:rsidRPr="008B5849">
              <w:rPr>
                <w:sz w:val="18"/>
                <w:szCs w:val="18"/>
                <w:u w:color="000000"/>
                <w:lang w:val="es-ES_tradnl"/>
              </w:rPr>
              <w:t>4</w:t>
            </w:r>
            <w:r w:rsidR="008B5849" w:rsidRPr="008B5849">
              <w:rPr>
                <w:sz w:val="18"/>
                <w:szCs w:val="18"/>
                <w:u w:color="000000"/>
                <w:lang w:val="es-ES_tradnl"/>
              </w:rPr>
              <w:t>.</w:t>
            </w:r>
            <w:r w:rsidRPr="008B5849">
              <w:rPr>
                <w:sz w:val="18"/>
                <w:szCs w:val="18"/>
                <w:u w:color="000000"/>
                <w:lang w:val="es-ES_tradnl"/>
              </w:rPr>
              <w:t>356</w:t>
            </w:r>
          </w:p>
        </w:tc>
        <w:tc>
          <w:tcPr>
            <w:tcW w:w="1367" w:type="dxa"/>
          </w:tcPr>
          <w:p w:rsidR="00E86105" w:rsidRPr="008B5849" w:rsidRDefault="00E86105" w:rsidP="007651FD">
            <w:pPr>
              <w:pStyle w:val="ONUMFS"/>
              <w:numPr>
                <w:ilvl w:val="0"/>
                <w:numId w:val="0"/>
              </w:numPr>
              <w:spacing w:after="120"/>
              <w:jc w:val="right"/>
              <w:rPr>
                <w:sz w:val="18"/>
                <w:szCs w:val="18"/>
                <w:u w:color="000000"/>
                <w:lang w:val="es-ES_tradnl"/>
              </w:rPr>
            </w:pPr>
            <w:r w:rsidRPr="008B5849">
              <w:rPr>
                <w:sz w:val="18"/>
                <w:szCs w:val="18"/>
                <w:u w:color="000000"/>
                <w:lang w:val="es-ES_tradnl"/>
              </w:rPr>
              <w:t>4</w:t>
            </w:r>
            <w:r w:rsidR="008B5849" w:rsidRPr="008B5849">
              <w:rPr>
                <w:sz w:val="18"/>
                <w:szCs w:val="18"/>
                <w:u w:color="000000"/>
                <w:lang w:val="es-ES_tradnl"/>
              </w:rPr>
              <w:t>.</w:t>
            </w:r>
            <w:r w:rsidRPr="008B5849">
              <w:rPr>
                <w:sz w:val="18"/>
                <w:szCs w:val="18"/>
                <w:u w:color="000000"/>
                <w:lang w:val="es-ES_tradnl"/>
              </w:rPr>
              <w:t>872</w:t>
            </w:r>
            <w:r w:rsidR="008B5849" w:rsidRPr="008B5849">
              <w:rPr>
                <w:sz w:val="18"/>
                <w:szCs w:val="18"/>
                <w:u w:color="000000"/>
                <w:lang w:val="es-ES_tradnl"/>
              </w:rPr>
              <w:t>.</w:t>
            </w:r>
            <w:r w:rsidRPr="008B5849">
              <w:rPr>
                <w:sz w:val="18"/>
                <w:szCs w:val="18"/>
                <w:u w:color="000000"/>
                <w:lang w:val="es-ES_tradnl"/>
              </w:rPr>
              <w:t>190</w:t>
            </w:r>
          </w:p>
        </w:tc>
        <w:tc>
          <w:tcPr>
            <w:tcW w:w="1367" w:type="dxa"/>
          </w:tcPr>
          <w:p w:rsidR="00E86105" w:rsidRPr="008B5849" w:rsidRDefault="00E86105" w:rsidP="007651FD">
            <w:pPr>
              <w:pStyle w:val="ONUMFS"/>
              <w:numPr>
                <w:ilvl w:val="0"/>
                <w:numId w:val="0"/>
              </w:numPr>
              <w:spacing w:after="120"/>
              <w:jc w:val="right"/>
              <w:rPr>
                <w:sz w:val="18"/>
                <w:szCs w:val="18"/>
                <w:u w:color="000000"/>
                <w:lang w:val="es-ES_tradnl"/>
              </w:rPr>
            </w:pPr>
            <w:r w:rsidRPr="008B5849">
              <w:rPr>
                <w:sz w:val="18"/>
                <w:szCs w:val="18"/>
                <w:u w:color="000000"/>
                <w:lang w:val="es-ES_tradnl"/>
              </w:rPr>
              <w:t>14</w:t>
            </w:r>
            <w:r w:rsidR="008B5849" w:rsidRPr="008B5849">
              <w:rPr>
                <w:sz w:val="18"/>
                <w:szCs w:val="18"/>
                <w:u w:color="000000"/>
                <w:lang w:val="es-ES_tradnl"/>
              </w:rPr>
              <w:t>.</w:t>
            </w:r>
            <w:r w:rsidRPr="008B5849">
              <w:rPr>
                <w:sz w:val="18"/>
                <w:szCs w:val="18"/>
                <w:u w:color="000000"/>
                <w:lang w:val="es-ES_tradnl"/>
              </w:rPr>
              <w:t>764</w:t>
            </w:r>
          </w:p>
        </w:tc>
        <w:tc>
          <w:tcPr>
            <w:tcW w:w="1368" w:type="dxa"/>
          </w:tcPr>
          <w:p w:rsidR="00E86105" w:rsidRPr="008B5849" w:rsidRDefault="008B5849" w:rsidP="007651FD">
            <w:pPr>
              <w:pStyle w:val="ONUMFS"/>
              <w:numPr>
                <w:ilvl w:val="0"/>
                <w:numId w:val="0"/>
              </w:numPr>
              <w:spacing w:after="120"/>
              <w:jc w:val="right"/>
              <w:rPr>
                <w:sz w:val="18"/>
                <w:szCs w:val="18"/>
                <w:u w:color="000000"/>
                <w:lang w:val="es-ES_tradnl"/>
              </w:rPr>
            </w:pPr>
            <w:r w:rsidRPr="008B5849">
              <w:rPr>
                <w:sz w:val="18"/>
                <w:szCs w:val="18"/>
                <w:u w:color="000000"/>
                <w:lang w:val="es-ES_tradnl"/>
              </w:rPr>
              <w:t>6.309.735</w:t>
            </w:r>
          </w:p>
        </w:tc>
        <w:tc>
          <w:tcPr>
            <w:tcW w:w="1368" w:type="dxa"/>
          </w:tcPr>
          <w:p w:rsidR="00E86105" w:rsidRPr="008B5849" w:rsidRDefault="008B5849" w:rsidP="007651FD">
            <w:pPr>
              <w:pStyle w:val="ONUMFS"/>
              <w:numPr>
                <w:ilvl w:val="0"/>
                <w:numId w:val="0"/>
              </w:numPr>
              <w:spacing w:after="120"/>
              <w:jc w:val="right"/>
              <w:rPr>
                <w:sz w:val="18"/>
                <w:szCs w:val="18"/>
                <w:u w:color="000000"/>
                <w:lang w:val="es-ES_tradnl"/>
              </w:rPr>
            </w:pPr>
            <w:r w:rsidRPr="008B5849">
              <w:rPr>
                <w:sz w:val="18"/>
                <w:szCs w:val="18"/>
                <w:u w:color="000000"/>
                <w:lang w:val="es-ES_tradnl"/>
              </w:rPr>
              <w:t>19.120</w:t>
            </w:r>
          </w:p>
        </w:tc>
      </w:tr>
    </w:tbl>
    <w:p w:rsidR="008B5849" w:rsidRDefault="008B5849" w:rsidP="00B3361D">
      <w:pPr>
        <w:pStyle w:val="ONUMFS"/>
        <w:numPr>
          <w:ilvl w:val="0"/>
          <w:numId w:val="0"/>
        </w:numPr>
        <w:rPr>
          <w:u w:color="000000"/>
          <w:lang w:val="es-ES_tradnl"/>
        </w:rPr>
      </w:pPr>
    </w:p>
    <w:p w:rsidR="00E86105" w:rsidRPr="006A798E" w:rsidRDefault="00200C49" w:rsidP="00B3361D">
      <w:pPr>
        <w:pStyle w:val="ONUMFS"/>
        <w:numPr>
          <w:ilvl w:val="0"/>
          <w:numId w:val="0"/>
        </w:numPr>
        <w:rPr>
          <w:u w:color="000000"/>
          <w:lang w:val="es-ES_tradnl"/>
        </w:rPr>
      </w:pPr>
      <w:r>
        <w:rPr>
          <w:u w:color="000000"/>
          <w:lang w:val="es-ES_tradnl"/>
        </w:rPr>
        <w:t>E</w:t>
      </w:r>
      <w:r w:rsidR="00E86105" w:rsidRPr="006A798E">
        <w:rPr>
          <w:u w:color="000000"/>
          <w:lang w:val="es-ES_tradnl"/>
        </w:rPr>
        <w:t xml:space="preserve">l número de palabras traducidas internamente aumentó </w:t>
      </w:r>
      <w:r w:rsidR="00022606">
        <w:rPr>
          <w:u w:color="000000"/>
          <w:lang w:val="es-ES_tradnl"/>
        </w:rPr>
        <w:t>un</w:t>
      </w:r>
      <w:r w:rsidR="00E86105" w:rsidRPr="006A798E">
        <w:rPr>
          <w:u w:color="000000"/>
          <w:lang w:val="es-ES_tradnl"/>
        </w:rPr>
        <w:t xml:space="preserve"> 22%, </w:t>
      </w:r>
      <w:r>
        <w:rPr>
          <w:u w:color="000000"/>
          <w:lang w:val="es-ES_tradnl"/>
        </w:rPr>
        <w:t xml:space="preserve">sin embargo, </w:t>
      </w:r>
      <w:r w:rsidR="00E86105" w:rsidRPr="006A798E">
        <w:rPr>
          <w:u w:color="000000"/>
          <w:lang w:val="es-ES_tradnl"/>
        </w:rPr>
        <w:t>el mayor volumen de trabajo hizo necesario un aumento del 91% en el trabajo de traducción subcontratado.</w:t>
      </w:r>
    </w:p>
    <w:p w:rsidR="00E86105" w:rsidRPr="006A798E" w:rsidRDefault="00E86105" w:rsidP="00B3361D">
      <w:pPr>
        <w:pStyle w:val="ONUMFS"/>
        <w:rPr>
          <w:u w:color="000000"/>
          <w:lang w:val="es-ES_tradnl"/>
        </w:rPr>
      </w:pPr>
      <w:r w:rsidRPr="006A798E">
        <w:rPr>
          <w:u w:color="000000"/>
          <w:lang w:val="es-ES_tradnl"/>
        </w:rPr>
        <w:t>Debido al aumento del volumen de trabajo en 2012, el gasto real destinado a subcontratar la traducción de los documentos de reunión y otros documentos aumentó hasta ascender a 2,70 millones de francos suizos;  compárese con la cifra de 1.410.000 francos suizos en 2011.</w:t>
      </w:r>
    </w:p>
    <w:p w:rsidR="00E86105" w:rsidRPr="006A798E" w:rsidRDefault="00E86105" w:rsidP="00B3361D">
      <w:pPr>
        <w:pStyle w:val="ONUMFS"/>
        <w:rPr>
          <w:u w:color="000000"/>
          <w:lang w:val="es-ES_tradnl"/>
        </w:rPr>
      </w:pPr>
      <w:r w:rsidRPr="006A798E">
        <w:rPr>
          <w:u w:color="000000"/>
          <w:lang w:val="es-ES_tradnl"/>
        </w:rPr>
        <w:t xml:space="preserve">Si bien la Secretaría ha tomado todas las medidas posibles para contener el volumen de trabajo, le </w:t>
      </w:r>
      <w:r w:rsidR="00022606">
        <w:rPr>
          <w:u w:color="000000"/>
          <w:lang w:val="es-ES_tradnl"/>
        </w:rPr>
        <w:t>resulta difícil</w:t>
      </w:r>
      <w:r w:rsidRPr="006A798E">
        <w:rPr>
          <w:u w:color="000000"/>
          <w:lang w:val="es-ES_tradnl"/>
        </w:rPr>
        <w:t xml:space="preserve"> </w:t>
      </w:r>
      <w:r w:rsidR="00200C49">
        <w:rPr>
          <w:u w:color="000000"/>
          <w:lang w:val="es-ES_tradnl"/>
        </w:rPr>
        <w:t>aplicar</w:t>
      </w:r>
      <w:r w:rsidRPr="006A798E">
        <w:rPr>
          <w:u w:color="000000"/>
          <w:lang w:val="es-ES_tradnl"/>
        </w:rPr>
        <w:t xml:space="preserve"> esas medidas a los informes de los comités y los órganos principales, para los que se toman actas literales de las reuniones.  Algunos de esos informes tienen una longitud que supera las 400</w:t>
      </w:r>
      <w:r w:rsidR="00200C49">
        <w:rPr>
          <w:u w:color="000000"/>
          <w:lang w:val="es-ES_tradnl"/>
        </w:rPr>
        <w:t xml:space="preserve"> páginas</w:t>
      </w:r>
      <w:r w:rsidRPr="006A798E">
        <w:rPr>
          <w:u w:color="000000"/>
          <w:lang w:val="es-ES_tradnl"/>
        </w:rPr>
        <w:t xml:space="preserve">.  En 2012, la Secretaría gastó 1.180.000 francos suizos en subcontratar la traducción de las actas literales de las reuniones de los </w:t>
      </w:r>
      <w:r w:rsidRPr="006A798E">
        <w:rPr>
          <w:u w:color="000000"/>
          <w:lang w:val="es-ES_tradnl"/>
        </w:rPr>
        <w:lastRenderedPageBreak/>
        <w:t>comités.  Sería posible lograr ahorros significativos y seguir extendiendo la cobertura en seis idiomas si esas actas literales fuesen sustituidas por actas resumidas de las reuniones, limitadas a 30 páginas, longitud que cabe comparar con la media de 194 páginas en 2012.</w:t>
      </w:r>
      <w:r w:rsidR="00022606">
        <w:rPr>
          <w:u w:color="000000"/>
          <w:lang w:val="es-ES_tradnl"/>
        </w:rPr>
        <w:t xml:space="preserve">  La Secretaría también está considerando otras opciones a este respecto.</w:t>
      </w:r>
    </w:p>
    <w:p w:rsidR="00E86105" w:rsidRDefault="00E86105" w:rsidP="00B3361D">
      <w:pPr>
        <w:pStyle w:val="Heading1"/>
        <w:rPr>
          <w:u w:color="000000"/>
          <w:lang w:val="es-ES_tradnl"/>
        </w:rPr>
      </w:pPr>
      <w:r w:rsidRPr="006A798E">
        <w:rPr>
          <w:u w:color="000000"/>
          <w:lang w:val="es-ES_tradnl"/>
        </w:rPr>
        <w:t>AMPLIACIÓN ADICIONAL DE LA POLÍTICA LINGÜÍSTICA</w:t>
      </w:r>
    </w:p>
    <w:p w:rsidR="00F645D0" w:rsidRPr="00F645D0" w:rsidRDefault="00F645D0" w:rsidP="00F645D0">
      <w:pPr>
        <w:rPr>
          <w:lang w:val="es-ES_tradnl"/>
        </w:rPr>
      </w:pPr>
    </w:p>
    <w:p w:rsidR="00E86105" w:rsidRPr="006A798E" w:rsidRDefault="00E86105" w:rsidP="00B3361D">
      <w:pPr>
        <w:pStyle w:val="ONUMFS"/>
        <w:rPr>
          <w:rFonts w:eastAsia="Arial Unicode MS"/>
          <w:u w:color="000000"/>
          <w:lang w:val="es-ES_tradnl"/>
        </w:rPr>
      </w:pPr>
      <w:r w:rsidRPr="006A798E">
        <w:rPr>
          <w:u w:color="000000"/>
          <w:lang w:val="es-ES_tradnl"/>
        </w:rPr>
        <w:t xml:space="preserve">Durante el examen de la </w:t>
      </w:r>
      <w:r w:rsidR="00200C49" w:rsidRPr="006A798E">
        <w:rPr>
          <w:u w:color="000000"/>
          <w:lang w:val="es-ES_tradnl"/>
        </w:rPr>
        <w:t>Política</w:t>
      </w:r>
      <w:r w:rsidRPr="006A798E">
        <w:rPr>
          <w:u w:color="000000"/>
          <w:lang w:val="es-ES_tradnl"/>
        </w:rPr>
        <w:t xml:space="preserve"> lingüística en 2011, se decidió que la extensión de la cobertura en seis idiomas a los documentos de los grupos de trabajo se evaluaría a la luz de la experiencia adquirida en 2012/2013 y en el contexto del presupuesto por programas para 2014/2015.  Se prevé que la extensión de esa cobertura costará 1.560.000 francos suizos </w:t>
      </w:r>
      <w:r w:rsidRPr="006A798E">
        <w:rPr>
          <w:i/>
          <w:u w:color="000000"/>
          <w:lang w:val="es-ES_tradnl"/>
        </w:rPr>
        <w:t>adicionales</w:t>
      </w:r>
      <w:r w:rsidRPr="006A798E">
        <w:rPr>
          <w:u w:color="000000"/>
          <w:lang w:val="es-ES_tradnl"/>
        </w:rPr>
        <w:t xml:space="preserve">, a partir del costo unitario de </w:t>
      </w:r>
      <w:r w:rsidR="00200C49">
        <w:rPr>
          <w:u w:color="000000"/>
          <w:lang w:val="es-ES_tradnl"/>
        </w:rPr>
        <w:t xml:space="preserve">la </w:t>
      </w:r>
      <w:r w:rsidRPr="006A798E">
        <w:rPr>
          <w:u w:color="000000"/>
          <w:lang w:val="es-ES_tradnl"/>
        </w:rPr>
        <w:t>traducción en 2012.  Se propone aumentar del 7% la asignación correspondiente al programa 27 en el</w:t>
      </w:r>
      <w:r w:rsidR="00BF29E4">
        <w:rPr>
          <w:u w:color="000000"/>
          <w:lang w:val="es-ES_tradnl"/>
        </w:rPr>
        <w:t xml:space="preserve"> presupuesto por programas </w:t>
      </w:r>
      <w:r w:rsidR="00022606">
        <w:rPr>
          <w:u w:color="000000"/>
          <w:lang w:val="es-ES_tradnl"/>
        </w:rPr>
        <w:t>de</w:t>
      </w:r>
      <w:r w:rsidR="00BF29E4">
        <w:rPr>
          <w:u w:color="000000"/>
          <w:lang w:val="es-ES_tradnl"/>
        </w:rPr>
        <w:t> </w:t>
      </w:r>
      <w:r w:rsidRPr="006A798E">
        <w:rPr>
          <w:u w:color="000000"/>
          <w:lang w:val="es-ES_tradnl"/>
        </w:rPr>
        <w:t xml:space="preserve">2014/2015, fundamentalmente debido a un aumento en los costos de personal.  Habida cuenta de que será necesario que el servicio lingüístico haga frente al aumento en el volumen de trabajo en el marco vigente, sería difícil asumir obligaciones adicionales en esta etapa, a menos que se logren ahorros por un importe correspondiente en la traducción de otros documentos.  Por lo tanto, se propone que la cobertura en seis idiomas de los grupos de trabajo se aplace por el momento y vuelva a examinarse en el contexto del presupuesto por programas </w:t>
      </w:r>
      <w:r w:rsidR="00022606">
        <w:rPr>
          <w:u w:color="000000"/>
          <w:lang w:val="es-ES_tradnl"/>
        </w:rPr>
        <w:t>de</w:t>
      </w:r>
      <w:r w:rsidRPr="006A798E">
        <w:rPr>
          <w:u w:color="000000"/>
          <w:lang w:val="es-ES_tradnl"/>
        </w:rPr>
        <w:t> 2016/2017.</w:t>
      </w:r>
    </w:p>
    <w:p w:rsidR="00E86105" w:rsidRDefault="00E86105" w:rsidP="00B3361D">
      <w:pPr>
        <w:pStyle w:val="Heading1"/>
        <w:rPr>
          <w:u w:color="000000"/>
          <w:lang w:val="es-ES_tradnl"/>
        </w:rPr>
      </w:pPr>
      <w:r w:rsidRPr="006A798E">
        <w:rPr>
          <w:u w:color="000000"/>
          <w:lang w:val="es-ES_tradnl"/>
        </w:rPr>
        <w:t>CONCLUSIONES Y RECOMENDACIONES</w:t>
      </w:r>
    </w:p>
    <w:p w:rsidR="008B5849" w:rsidRPr="008B5849" w:rsidRDefault="008B5849" w:rsidP="00B3361D">
      <w:pPr>
        <w:rPr>
          <w:lang w:val="es-ES_tradnl"/>
        </w:rPr>
      </w:pPr>
    </w:p>
    <w:p w:rsidR="00E86105" w:rsidRPr="006A798E" w:rsidRDefault="00E86105" w:rsidP="00B3361D">
      <w:pPr>
        <w:pStyle w:val="ONUMFS"/>
        <w:rPr>
          <w:rFonts w:eastAsia="Arial Unicode MS"/>
          <w:u w:color="000000"/>
          <w:lang w:val="es-ES_tradnl"/>
        </w:rPr>
      </w:pPr>
      <w:r w:rsidRPr="006A798E">
        <w:rPr>
          <w:u w:color="000000"/>
          <w:lang w:val="es-ES_tradnl"/>
        </w:rPr>
        <w:t xml:space="preserve">El </w:t>
      </w:r>
      <w:r w:rsidR="008B5849" w:rsidRPr="006A798E">
        <w:rPr>
          <w:u w:color="000000"/>
          <w:lang w:val="es-ES_tradnl"/>
        </w:rPr>
        <w:t>presente</w:t>
      </w:r>
      <w:r w:rsidRPr="006A798E">
        <w:rPr>
          <w:u w:color="000000"/>
          <w:lang w:val="es-ES_tradnl"/>
        </w:rPr>
        <w:t xml:space="preserve"> </w:t>
      </w:r>
      <w:r w:rsidR="008B5849" w:rsidRPr="006A798E">
        <w:rPr>
          <w:u w:color="000000"/>
          <w:lang w:val="es-ES_tradnl"/>
        </w:rPr>
        <w:t>documento</w:t>
      </w:r>
      <w:r w:rsidRPr="006A798E">
        <w:rPr>
          <w:u w:color="000000"/>
          <w:lang w:val="es-ES_tradnl"/>
        </w:rPr>
        <w:t xml:space="preserve"> ha sido preparado por la Secretaría para informar acerca de la aplicación y la incidencia de la </w:t>
      </w:r>
      <w:r w:rsidR="00200C49" w:rsidRPr="006A798E">
        <w:rPr>
          <w:u w:color="000000"/>
          <w:lang w:val="es-ES_tradnl"/>
        </w:rPr>
        <w:t>Política</w:t>
      </w:r>
      <w:r w:rsidRPr="006A798E">
        <w:rPr>
          <w:u w:color="000000"/>
          <w:lang w:val="es-ES_tradnl"/>
        </w:rPr>
        <w:t xml:space="preserve"> lingüística adoptada por los Estados miembros, en cuyo marco, en el lapso de un año, se produjo un aumento del 53% en el número de pedidos de traducción.  La Secretaría ha adoptado medidas para racionalizar y controlar el volumen de trabajo y </w:t>
      </w:r>
      <w:r w:rsidR="00200C49">
        <w:rPr>
          <w:u w:color="000000"/>
          <w:lang w:val="es-ES_tradnl"/>
        </w:rPr>
        <w:t>sostendrá</w:t>
      </w:r>
      <w:r w:rsidRPr="006A798E">
        <w:rPr>
          <w:u w:color="000000"/>
          <w:lang w:val="es-ES_tradnl"/>
        </w:rPr>
        <w:t xml:space="preserve"> su</w:t>
      </w:r>
      <w:r w:rsidR="00200C49">
        <w:rPr>
          <w:u w:color="000000"/>
          <w:lang w:val="es-ES_tradnl"/>
        </w:rPr>
        <w:t>s</w:t>
      </w:r>
      <w:r w:rsidRPr="006A798E">
        <w:rPr>
          <w:u w:color="000000"/>
          <w:lang w:val="es-ES_tradnl"/>
        </w:rPr>
        <w:t xml:space="preserve"> esfuerzo</w:t>
      </w:r>
      <w:r w:rsidR="00200C49">
        <w:rPr>
          <w:u w:color="000000"/>
          <w:lang w:val="es-ES_tradnl"/>
        </w:rPr>
        <w:t>s</w:t>
      </w:r>
      <w:r w:rsidRPr="006A798E">
        <w:rPr>
          <w:u w:color="000000"/>
          <w:lang w:val="es-ES_tradnl"/>
        </w:rPr>
        <w:t xml:space="preserve"> por aplicarlas con mayor rigurosidad.  Habida cuenta de que la extensión de la cobertura en seis idiomas a los documentos de los grupos de trabajo aumentaría significativamente el volumen de trabajo, se propone que esa extensión se aplace en esta etapa y que la cuestión vuelva a examinarse en el contexto del presupuesto por programas </w:t>
      </w:r>
      <w:r w:rsidR="00022606">
        <w:rPr>
          <w:u w:color="000000"/>
          <w:lang w:val="es-ES_tradnl"/>
        </w:rPr>
        <w:t>de</w:t>
      </w:r>
      <w:r w:rsidRPr="006A798E">
        <w:rPr>
          <w:u w:color="000000"/>
          <w:lang w:val="es-ES_tradnl"/>
        </w:rPr>
        <w:t xml:space="preserve"> 2016/2017.</w:t>
      </w:r>
    </w:p>
    <w:p w:rsidR="00E86105" w:rsidRPr="008B5849" w:rsidRDefault="00E86105" w:rsidP="00B3361D">
      <w:pPr>
        <w:pStyle w:val="ONUMFS"/>
        <w:ind w:left="5533"/>
        <w:rPr>
          <w:i/>
          <w:lang w:val="es-ES_tradnl"/>
        </w:rPr>
      </w:pPr>
      <w:r w:rsidRPr="008B5849">
        <w:rPr>
          <w:i/>
          <w:lang w:val="es-ES_tradnl"/>
        </w:rPr>
        <w:t>Se invita al Comité del Programa y Presupuesto a:</w:t>
      </w:r>
    </w:p>
    <w:p w:rsidR="00E86105" w:rsidRPr="008B5849" w:rsidRDefault="00E86105" w:rsidP="00B3361D">
      <w:pPr>
        <w:pStyle w:val="ONUMFS"/>
        <w:numPr>
          <w:ilvl w:val="2"/>
          <w:numId w:val="6"/>
        </w:numPr>
        <w:ind w:left="6237"/>
        <w:rPr>
          <w:i/>
          <w:lang w:val="es-ES_tradnl"/>
        </w:rPr>
      </w:pPr>
      <w:r w:rsidRPr="008B5849">
        <w:rPr>
          <w:i/>
          <w:lang w:val="es-ES_tradnl"/>
        </w:rPr>
        <w:t>tomar nota de la información contenida en el presente documento;  y</w:t>
      </w:r>
    </w:p>
    <w:p w:rsidR="00E86105" w:rsidRDefault="00E86105" w:rsidP="00B3361D">
      <w:pPr>
        <w:pStyle w:val="ONUMFS"/>
        <w:numPr>
          <w:ilvl w:val="2"/>
          <w:numId w:val="6"/>
        </w:numPr>
        <w:ind w:left="6237"/>
        <w:rPr>
          <w:i/>
          <w:lang w:val="es-ES_tradnl"/>
        </w:rPr>
      </w:pPr>
      <w:r w:rsidRPr="008B5849">
        <w:rPr>
          <w:i/>
          <w:lang w:val="es-ES_tradnl"/>
        </w:rPr>
        <w:t xml:space="preserve">recomendar a las Asambleas de los Estados miembros de la OMPI que aprueben las propuestas contenidas en el párrafo 13, </w:t>
      </w:r>
      <w:r w:rsidRPr="00200C49">
        <w:rPr>
          <w:lang w:val="es-ES_tradnl"/>
        </w:rPr>
        <w:t>supra</w:t>
      </w:r>
      <w:r w:rsidRPr="008B5849">
        <w:rPr>
          <w:i/>
          <w:lang w:val="es-ES_tradnl"/>
        </w:rPr>
        <w:t>.</w:t>
      </w:r>
    </w:p>
    <w:p w:rsidR="008B5849" w:rsidRPr="00200C49" w:rsidRDefault="008B5849" w:rsidP="00BF29E4">
      <w:pPr>
        <w:pStyle w:val="ONUMFS"/>
        <w:numPr>
          <w:ilvl w:val="0"/>
          <w:numId w:val="0"/>
        </w:numPr>
        <w:rPr>
          <w:lang w:val="es-ES_tradnl"/>
        </w:rPr>
      </w:pPr>
    </w:p>
    <w:p w:rsidR="00CB7DF0" w:rsidRPr="00BF29E4" w:rsidRDefault="00E86105" w:rsidP="00BF29E4">
      <w:pPr>
        <w:pStyle w:val="Endofdocument-Annex"/>
      </w:pPr>
      <w:r w:rsidRPr="006A798E">
        <w:t xml:space="preserve">[Fin </w:t>
      </w:r>
      <w:proofErr w:type="gramStart"/>
      <w:r w:rsidRPr="006A798E">
        <w:t>del</w:t>
      </w:r>
      <w:proofErr w:type="gramEnd"/>
      <w:r w:rsidRPr="006A798E">
        <w:t xml:space="preserve"> documento]</w:t>
      </w:r>
    </w:p>
    <w:sectPr w:rsidR="00CB7DF0" w:rsidRPr="00BF29E4" w:rsidSect="00605827">
      <w:headerReference w:type="default" r:id="rId10"/>
      <w:pgSz w:w="11907" w:h="16840" w:code="9"/>
      <w:pgMar w:top="567" w:right="1134" w:bottom="1418" w:left="1418" w:header="510" w:footer="102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0C49" w:rsidRDefault="00200C49">
      <w:r>
        <w:separator/>
      </w:r>
    </w:p>
  </w:endnote>
  <w:endnote w:type="continuationSeparator" w:id="0">
    <w:p w:rsidR="00200C49" w:rsidRPr="009D30E6" w:rsidRDefault="00200C49" w:rsidP="007E663E">
      <w:pPr>
        <w:rPr>
          <w:sz w:val="17"/>
          <w:szCs w:val="17"/>
        </w:rPr>
      </w:pPr>
      <w:r w:rsidRPr="009D30E6">
        <w:rPr>
          <w:sz w:val="17"/>
          <w:szCs w:val="17"/>
        </w:rPr>
        <w:separator/>
      </w:r>
    </w:p>
    <w:p w:rsidR="00200C49" w:rsidRPr="007E663E" w:rsidRDefault="00200C49" w:rsidP="007E663E">
      <w:pPr>
        <w:spacing w:after="60"/>
        <w:rPr>
          <w:sz w:val="17"/>
          <w:szCs w:val="17"/>
        </w:rPr>
      </w:pPr>
      <w:r>
        <w:rPr>
          <w:sz w:val="17"/>
        </w:rPr>
        <w:t>[Continuación de la nota de la página anterior]</w:t>
      </w:r>
    </w:p>
  </w:endnote>
  <w:endnote w:type="continuationNotice" w:id="1">
    <w:p w:rsidR="00200C49" w:rsidRPr="007E663E" w:rsidRDefault="00200C49"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DokChampa">
    <w:panose1 w:val="020B0604020202020204"/>
    <w:charset w:val="00"/>
    <w:family w:val="swiss"/>
    <w:pitch w:val="variable"/>
    <w:sig w:usb0="03000003" w:usb1="00000000" w:usb2="00000000" w:usb3="00000000" w:csb0="0001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0C49" w:rsidRDefault="00200C49">
      <w:r>
        <w:separator/>
      </w:r>
    </w:p>
  </w:footnote>
  <w:footnote w:type="continuationSeparator" w:id="0">
    <w:p w:rsidR="00200C49" w:rsidRPr="009D30E6" w:rsidRDefault="00200C49" w:rsidP="007E663E">
      <w:pPr>
        <w:rPr>
          <w:sz w:val="17"/>
          <w:szCs w:val="17"/>
        </w:rPr>
      </w:pPr>
      <w:r w:rsidRPr="009D30E6">
        <w:rPr>
          <w:sz w:val="17"/>
          <w:szCs w:val="17"/>
        </w:rPr>
        <w:separator/>
      </w:r>
    </w:p>
    <w:p w:rsidR="00200C49" w:rsidRPr="007E663E" w:rsidRDefault="00200C49" w:rsidP="007E663E">
      <w:pPr>
        <w:spacing w:after="60"/>
        <w:rPr>
          <w:sz w:val="17"/>
          <w:szCs w:val="17"/>
        </w:rPr>
      </w:pPr>
      <w:r>
        <w:rPr>
          <w:sz w:val="17"/>
        </w:rPr>
        <w:t>[Continuación de la nota de la página anterior]</w:t>
      </w:r>
    </w:p>
  </w:footnote>
  <w:footnote w:type="continuationNotice" w:id="1">
    <w:p w:rsidR="00200C49" w:rsidRPr="007E663E" w:rsidRDefault="00200C49" w:rsidP="007E663E">
      <w:pPr>
        <w:spacing w:before="60"/>
        <w:jc w:val="right"/>
        <w:rPr>
          <w:sz w:val="17"/>
          <w:szCs w:val="17"/>
        </w:rPr>
      </w:pPr>
      <w:r w:rsidRPr="007E663E">
        <w:rPr>
          <w:sz w:val="17"/>
          <w:szCs w:val="17"/>
        </w:rPr>
        <w:t>[Sigue la nota en la página siguiente]</w:t>
      </w:r>
    </w:p>
  </w:footnote>
  <w:footnote w:id="2">
    <w:p w:rsidR="00200C49" w:rsidRPr="00E40758" w:rsidRDefault="00200C49" w:rsidP="00E86105">
      <w:pPr>
        <w:pStyle w:val="FootnoteText"/>
        <w:rPr>
          <w:szCs w:val="18"/>
          <w:lang w:val="es-ES_tradnl"/>
        </w:rPr>
      </w:pPr>
      <w:r w:rsidRPr="00340CDB">
        <w:rPr>
          <w:rStyle w:val="FootnoteReference"/>
          <w:szCs w:val="18"/>
        </w:rPr>
        <w:footnoteRef/>
      </w:r>
      <w:r w:rsidRPr="00E40758">
        <w:rPr>
          <w:szCs w:val="18"/>
          <w:lang w:val="es-ES_tradnl"/>
        </w:rPr>
        <w:t xml:space="preserve"> </w:t>
      </w:r>
      <w:r>
        <w:rPr>
          <w:szCs w:val="18"/>
          <w:lang w:val="es-ES_tradnl"/>
        </w:rPr>
        <w:tab/>
      </w:r>
      <w:r w:rsidRPr="00E40758">
        <w:rPr>
          <w:szCs w:val="18"/>
          <w:lang w:val="es-ES_tradnl"/>
        </w:rPr>
        <w:t xml:space="preserve">El número de traductores se examina en el párrafo 19 del </w:t>
      </w:r>
      <w:r w:rsidRPr="00200C49">
        <w:rPr>
          <w:szCs w:val="18"/>
          <w:lang w:val="es-ES_tradnl"/>
        </w:rPr>
        <w:t>documento WO/PBC/</w:t>
      </w:r>
      <w:r w:rsidRPr="00E40758">
        <w:rPr>
          <w:szCs w:val="18"/>
          <w:lang w:val="es-ES_tradnl"/>
        </w:rPr>
        <w:t>18/15</w:t>
      </w:r>
      <w:r w:rsidRPr="00E40758">
        <w:rPr>
          <w:sz w:val="16"/>
          <w:szCs w:val="16"/>
          <w:lang w:val="es-ES_tradn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C49" w:rsidRDefault="00200C49" w:rsidP="00477D6B">
    <w:pPr>
      <w:jc w:val="right"/>
    </w:pPr>
    <w:bookmarkStart w:id="6" w:name="Code2"/>
    <w:bookmarkEnd w:id="6"/>
    <w:r w:rsidRPr="006C2C0F">
      <w:t>WO/PBC/21/15</w:t>
    </w:r>
  </w:p>
  <w:p w:rsidR="00200C49" w:rsidRDefault="00200C49" w:rsidP="00477D6B">
    <w:pPr>
      <w:jc w:val="right"/>
    </w:pPr>
    <w:proofErr w:type="gramStart"/>
    <w:r>
      <w:t>página</w:t>
    </w:r>
    <w:proofErr w:type="gramEnd"/>
    <w:r>
      <w:t xml:space="preserve"> </w:t>
    </w:r>
    <w:r>
      <w:fldChar w:fldCharType="begin"/>
    </w:r>
    <w:r>
      <w:instrText xml:space="preserve"> PAGE  \* MERGEFORMAT </w:instrText>
    </w:r>
    <w:r>
      <w:fldChar w:fldCharType="separate"/>
    </w:r>
    <w:r w:rsidR="007651FD">
      <w:rPr>
        <w:noProof/>
      </w:rPr>
      <w:t>3</w:t>
    </w:r>
    <w:r>
      <w:fldChar w:fldCharType="end"/>
    </w:r>
  </w:p>
  <w:p w:rsidR="00200C49" w:rsidRDefault="00200C4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3"/>
  </w:num>
  <w:num w:numId="29">
    <w:abstractNumId w:val="3"/>
  </w:num>
  <w:num w:numId="30">
    <w:abstractNumId w:val="3"/>
  </w:num>
  <w:num w:numId="31">
    <w:abstractNumId w:val="3"/>
  </w:num>
  <w:num w:numId="32">
    <w:abstractNumId w:val="3"/>
  </w:num>
  <w:num w:numId="33">
    <w:abstractNumId w:val="3"/>
  </w:num>
  <w:num w:numId="34">
    <w:abstractNumId w:val="3"/>
  </w:num>
  <w:num w:numId="35">
    <w:abstractNumId w:val="3"/>
  </w:num>
  <w:num w:numId="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331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E56"/>
    <w:rsid w:val="00022606"/>
    <w:rsid w:val="00052915"/>
    <w:rsid w:val="000E3BB3"/>
    <w:rsid w:val="000F5E56"/>
    <w:rsid w:val="001362EE"/>
    <w:rsid w:val="00152CEA"/>
    <w:rsid w:val="001832A6"/>
    <w:rsid w:val="00200C49"/>
    <w:rsid w:val="002221DA"/>
    <w:rsid w:val="002634C4"/>
    <w:rsid w:val="002E0F47"/>
    <w:rsid w:val="002F4E68"/>
    <w:rsid w:val="00324273"/>
    <w:rsid w:val="00354647"/>
    <w:rsid w:val="00377273"/>
    <w:rsid w:val="003845C1"/>
    <w:rsid w:val="00387287"/>
    <w:rsid w:val="003E48F1"/>
    <w:rsid w:val="00423E3E"/>
    <w:rsid w:val="00427AF4"/>
    <w:rsid w:val="0045231F"/>
    <w:rsid w:val="004647DA"/>
    <w:rsid w:val="00477808"/>
    <w:rsid w:val="00477D6B"/>
    <w:rsid w:val="004A6C37"/>
    <w:rsid w:val="005332F0"/>
    <w:rsid w:val="0055013B"/>
    <w:rsid w:val="00571B99"/>
    <w:rsid w:val="00605827"/>
    <w:rsid w:val="00675021"/>
    <w:rsid w:val="006A06C6"/>
    <w:rsid w:val="006C2C0F"/>
    <w:rsid w:val="007651FD"/>
    <w:rsid w:val="00794BE2"/>
    <w:rsid w:val="007B71FE"/>
    <w:rsid w:val="007D781E"/>
    <w:rsid w:val="007E663E"/>
    <w:rsid w:val="0081338B"/>
    <w:rsid w:val="00815082"/>
    <w:rsid w:val="0088395E"/>
    <w:rsid w:val="008B2CC1"/>
    <w:rsid w:val="008B5849"/>
    <w:rsid w:val="008C1F9D"/>
    <w:rsid w:val="008E6BD6"/>
    <w:rsid w:val="0090731E"/>
    <w:rsid w:val="00966A22"/>
    <w:rsid w:val="00972F03"/>
    <w:rsid w:val="00991A3B"/>
    <w:rsid w:val="009A0C8B"/>
    <w:rsid w:val="009B6241"/>
    <w:rsid w:val="00A16FC0"/>
    <w:rsid w:val="00A32C9E"/>
    <w:rsid w:val="00AB613D"/>
    <w:rsid w:val="00B3361D"/>
    <w:rsid w:val="00B65A0A"/>
    <w:rsid w:val="00B72D36"/>
    <w:rsid w:val="00BC4164"/>
    <w:rsid w:val="00BD2DCC"/>
    <w:rsid w:val="00BF29E4"/>
    <w:rsid w:val="00C90559"/>
    <w:rsid w:val="00CB7DF0"/>
    <w:rsid w:val="00D56C7C"/>
    <w:rsid w:val="00D71B4D"/>
    <w:rsid w:val="00D90289"/>
    <w:rsid w:val="00D93D55"/>
    <w:rsid w:val="00E444DA"/>
    <w:rsid w:val="00E45C84"/>
    <w:rsid w:val="00E504E5"/>
    <w:rsid w:val="00E86105"/>
    <w:rsid w:val="00EB7A3E"/>
    <w:rsid w:val="00EC401A"/>
    <w:rsid w:val="00EF530A"/>
    <w:rsid w:val="00EF6622"/>
    <w:rsid w:val="00F55408"/>
    <w:rsid w:val="00F645D0"/>
    <w:rsid w:val="00F66152"/>
    <w:rsid w:val="00F80845"/>
    <w:rsid w:val="00F84474"/>
    <w:rsid w:val="00FC4626"/>
    <w:rsid w:val="00FD59D1"/>
  </w:rsids>
  <m:mathPr>
    <m:mathFont m:val="Cambria Math"/>
    <m:brkBin m:val="before"/>
    <m:brkBinSub m:val="--"/>
    <m:smallFrac m:val="0"/>
    <m:dispDef/>
    <m:lMargin m:val="0"/>
    <m:rMargin m:val="0"/>
    <m:defJc m:val="centerGroup"/>
    <m:wrapIndent m:val="1440"/>
    <m:intLim m:val="subSup"/>
    <m:naryLim m:val="undOvr"/>
  </m:mathPr>
  <w:themeFontLang w:val="es-E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lo-L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eastAsia="zh-CN" w:bidi="ar-SA"/>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customStyle="1" w:styleId="Body1">
    <w:name w:val="Body 1"/>
    <w:rsid w:val="006C2C0F"/>
    <w:pPr>
      <w:outlineLvl w:val="0"/>
    </w:pPr>
    <w:rPr>
      <w:rFonts w:ascii="Arial" w:eastAsia="Arial Unicode MS" w:hAnsi="Arial"/>
      <w:color w:val="000000"/>
      <w:sz w:val="22"/>
      <w:u w:color="000000"/>
      <w:lang w:val="fr-FR" w:eastAsia="fr-FR" w:bidi="ar-SA"/>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FootnoteTextChar">
    <w:name w:val="Footnote Text Char"/>
    <w:basedOn w:val="DefaultParagraphFont"/>
    <w:link w:val="FootnoteText"/>
    <w:semiHidden/>
    <w:rsid w:val="00E86105"/>
    <w:rPr>
      <w:rFonts w:ascii="Arial" w:eastAsia="SimSun" w:hAnsi="Arial" w:cs="Arial"/>
      <w:sz w:val="18"/>
      <w:lang w:eastAsia="zh-CN" w:bidi="ar-SA"/>
    </w:rPr>
  </w:style>
  <w:style w:type="paragraph" w:customStyle="1" w:styleId="Styletexte">
    <w:name w:val="Style texte"/>
    <w:basedOn w:val="Normal"/>
    <w:link w:val="StyletexteChar"/>
    <w:rsid w:val="00E86105"/>
    <w:pPr>
      <w:spacing w:after="120"/>
      <w:jc w:val="both"/>
    </w:pPr>
    <w:rPr>
      <w:rFonts w:eastAsia="Times New Roman" w:cs="Times New Roman"/>
      <w:lang w:val="en-US" w:eastAsia="en-US"/>
    </w:rPr>
  </w:style>
  <w:style w:type="character" w:customStyle="1" w:styleId="StyletexteChar">
    <w:name w:val="Style texte Char"/>
    <w:basedOn w:val="DefaultParagraphFont"/>
    <w:link w:val="Styletexte"/>
    <w:rsid w:val="00E86105"/>
    <w:rPr>
      <w:rFonts w:ascii="Arial" w:hAnsi="Arial"/>
      <w:sz w:val="22"/>
      <w:lang w:val="en-US" w:eastAsia="en-US" w:bidi="ar-SA"/>
    </w:rPr>
  </w:style>
  <w:style w:type="character" w:styleId="FootnoteReference">
    <w:name w:val="footnote reference"/>
    <w:basedOn w:val="DefaultParagraphFont"/>
    <w:rsid w:val="00E86105"/>
    <w:rPr>
      <w:vertAlign w:val="superscript"/>
    </w:rPr>
  </w:style>
  <w:style w:type="table" w:styleId="TableGrid">
    <w:name w:val="Table Grid"/>
    <w:basedOn w:val="TableNormal"/>
    <w:uiPriority w:val="59"/>
    <w:rsid w:val="00E86105"/>
    <w:rPr>
      <w:rFonts w:ascii="Arial" w:eastAsiaTheme="minorHAnsi" w:hAnsi="Arial" w:cs="Arial"/>
      <w:sz w:val="22"/>
      <w:szCs w:val="22"/>
      <w:lang w:val="en-US"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lo-L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eastAsia="zh-CN" w:bidi="ar-SA"/>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customStyle="1" w:styleId="Body1">
    <w:name w:val="Body 1"/>
    <w:rsid w:val="006C2C0F"/>
    <w:pPr>
      <w:outlineLvl w:val="0"/>
    </w:pPr>
    <w:rPr>
      <w:rFonts w:ascii="Arial" w:eastAsia="Arial Unicode MS" w:hAnsi="Arial"/>
      <w:color w:val="000000"/>
      <w:sz w:val="22"/>
      <w:u w:color="000000"/>
      <w:lang w:val="fr-FR" w:eastAsia="fr-FR" w:bidi="ar-SA"/>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FootnoteTextChar">
    <w:name w:val="Footnote Text Char"/>
    <w:basedOn w:val="DefaultParagraphFont"/>
    <w:link w:val="FootnoteText"/>
    <w:semiHidden/>
    <w:rsid w:val="00E86105"/>
    <w:rPr>
      <w:rFonts w:ascii="Arial" w:eastAsia="SimSun" w:hAnsi="Arial" w:cs="Arial"/>
      <w:sz w:val="18"/>
      <w:lang w:eastAsia="zh-CN" w:bidi="ar-SA"/>
    </w:rPr>
  </w:style>
  <w:style w:type="paragraph" w:customStyle="1" w:styleId="Styletexte">
    <w:name w:val="Style texte"/>
    <w:basedOn w:val="Normal"/>
    <w:link w:val="StyletexteChar"/>
    <w:rsid w:val="00E86105"/>
    <w:pPr>
      <w:spacing w:after="120"/>
      <w:jc w:val="both"/>
    </w:pPr>
    <w:rPr>
      <w:rFonts w:eastAsia="Times New Roman" w:cs="Times New Roman"/>
      <w:lang w:val="en-US" w:eastAsia="en-US"/>
    </w:rPr>
  </w:style>
  <w:style w:type="character" w:customStyle="1" w:styleId="StyletexteChar">
    <w:name w:val="Style texte Char"/>
    <w:basedOn w:val="DefaultParagraphFont"/>
    <w:link w:val="Styletexte"/>
    <w:rsid w:val="00E86105"/>
    <w:rPr>
      <w:rFonts w:ascii="Arial" w:hAnsi="Arial"/>
      <w:sz w:val="22"/>
      <w:lang w:val="en-US" w:eastAsia="en-US" w:bidi="ar-SA"/>
    </w:rPr>
  </w:style>
  <w:style w:type="character" w:styleId="FootnoteReference">
    <w:name w:val="footnote reference"/>
    <w:basedOn w:val="DefaultParagraphFont"/>
    <w:rsid w:val="00E86105"/>
    <w:rPr>
      <w:vertAlign w:val="superscript"/>
    </w:rPr>
  </w:style>
  <w:style w:type="table" w:styleId="TableGrid">
    <w:name w:val="Table Grid"/>
    <w:basedOn w:val="TableNormal"/>
    <w:uiPriority w:val="59"/>
    <w:rsid w:val="00E86105"/>
    <w:rPr>
      <w:rFonts w:ascii="Arial" w:eastAsiaTheme="minorHAnsi" w:hAnsi="Arial" w:cs="Arial"/>
      <w:sz w:val="22"/>
      <w:szCs w:val="22"/>
      <w:lang w:val="en-US"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D71B77-3218-4820-B418-C7FA61520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4</Pages>
  <Words>1939</Words>
  <Characters>10136</Characters>
  <Application>Microsoft Office Word</Application>
  <DocSecurity>0</DocSecurity>
  <Lines>84</Lines>
  <Paragraphs>24</Paragraphs>
  <ScaleCrop>false</ScaleCrop>
  <HeadingPairs>
    <vt:vector size="2" baseType="variant">
      <vt:variant>
        <vt:lpstr>Title</vt:lpstr>
      </vt:variant>
      <vt:variant>
        <vt:i4>1</vt:i4>
      </vt:variant>
    </vt:vector>
  </HeadingPairs>
  <TitlesOfParts>
    <vt:vector size="1" baseType="lpstr">
      <vt:lpstr>WO PBC 21 (S)</vt:lpstr>
    </vt:vector>
  </TitlesOfParts>
  <Company>WIPO</Company>
  <LinksUpToDate>false</LinksUpToDate>
  <CharactersWithSpaces>12051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 PBC 21 (S)</dc:title>
  <dc:creator>AS</dc:creator>
  <cp:lastModifiedBy>BOU LLORET Amparo</cp:lastModifiedBy>
  <cp:revision>11</cp:revision>
  <cp:lastPrinted>2013-07-04T12:24:00Z</cp:lastPrinted>
  <dcterms:created xsi:type="dcterms:W3CDTF">2013-07-04T09:22:00Z</dcterms:created>
  <dcterms:modified xsi:type="dcterms:W3CDTF">2013-07-19T08:38:00Z</dcterms:modified>
</cp:coreProperties>
</file>