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2987" w14:textId="77777777" w:rsidR="008B2CC1" w:rsidRPr="005E2022" w:rsidRDefault="008B14EA" w:rsidP="008B14EA">
      <w:pPr>
        <w:spacing w:after="120"/>
        <w:jc w:val="right"/>
        <w:rPr>
          <w:lang w:val="es-ES_tradnl"/>
        </w:rPr>
      </w:pPr>
      <w:r w:rsidRPr="005E2022">
        <w:rPr>
          <w:noProof/>
          <w:lang w:val="es-ES_tradnl" w:eastAsia="fr-CH"/>
        </w:rPr>
        <w:drawing>
          <wp:inline distT="0" distB="0" distL="0" distR="0" wp14:anchorId="4767379D" wp14:editId="5DCD56D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E2022">
        <w:rPr>
          <w:rFonts w:ascii="Arial Black" w:hAnsi="Arial Black"/>
          <w:caps/>
          <w:noProof/>
          <w:sz w:val="15"/>
          <w:szCs w:val="15"/>
          <w:lang w:val="es-ES_tradnl" w:eastAsia="fr-CH"/>
        </w:rPr>
        <mc:AlternateContent>
          <mc:Choice Requires="wps">
            <w:drawing>
              <wp:inline distT="0" distB="0" distL="0" distR="0" wp14:anchorId="2989DAB7" wp14:editId="2898591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F1B13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7D4F29E" w14:textId="0869A280" w:rsidR="008B2CC1" w:rsidRPr="005E2022" w:rsidRDefault="00522018" w:rsidP="008B14EA">
      <w:pPr>
        <w:jc w:val="right"/>
        <w:rPr>
          <w:rFonts w:ascii="Arial Black" w:hAnsi="Arial Black"/>
          <w:caps/>
          <w:sz w:val="15"/>
          <w:lang w:val="es-ES_tradnl"/>
        </w:rPr>
      </w:pPr>
      <w:r w:rsidRPr="005E2022">
        <w:rPr>
          <w:rFonts w:ascii="Arial Black" w:hAnsi="Arial Black"/>
          <w:caps/>
          <w:sz w:val="15"/>
          <w:szCs w:val="15"/>
          <w:lang w:val="es-ES_tradnl"/>
        </w:rPr>
        <w:t>WO/GA/</w:t>
      </w:r>
      <w:r w:rsidR="005A5A8F" w:rsidRPr="005E2022">
        <w:rPr>
          <w:rFonts w:ascii="Arial Black" w:hAnsi="Arial Black"/>
          <w:caps/>
          <w:sz w:val="15"/>
          <w:szCs w:val="15"/>
          <w:lang w:val="es-ES_tradnl"/>
        </w:rPr>
        <w:t>60</w:t>
      </w:r>
      <w:r w:rsidRPr="005E2022">
        <w:rPr>
          <w:rFonts w:ascii="Arial Black" w:hAnsi="Arial Black"/>
          <w:caps/>
          <w:sz w:val="15"/>
          <w:szCs w:val="15"/>
          <w:lang w:val="es-ES_tradnl"/>
        </w:rPr>
        <w:t>/</w:t>
      </w:r>
      <w:bookmarkStart w:id="0" w:name="Code"/>
      <w:r w:rsidR="005E2022" w:rsidRPr="005E2022">
        <w:rPr>
          <w:rFonts w:ascii="Arial Black" w:hAnsi="Arial Black"/>
          <w:caps/>
          <w:sz w:val="15"/>
          <w:szCs w:val="15"/>
          <w:lang w:val="es-ES_tradnl"/>
        </w:rPr>
        <w:t>1</w:t>
      </w:r>
    </w:p>
    <w:bookmarkEnd w:id="0"/>
    <w:p w14:paraId="2F6C5152" w14:textId="578BB827" w:rsidR="008B2CC1" w:rsidRPr="005E2022" w:rsidRDefault="008B14EA" w:rsidP="008B14EA">
      <w:pPr>
        <w:jc w:val="right"/>
        <w:rPr>
          <w:rFonts w:ascii="Arial Black" w:hAnsi="Arial Black"/>
          <w:caps/>
          <w:sz w:val="15"/>
          <w:lang w:val="es-ES_tradnl"/>
        </w:rPr>
      </w:pPr>
      <w:r w:rsidRPr="005E2022">
        <w:rPr>
          <w:rFonts w:ascii="Arial Black" w:hAnsi="Arial Black"/>
          <w:caps/>
          <w:sz w:val="15"/>
          <w:lang w:val="es-ES_tradnl"/>
        </w:rPr>
        <w:t xml:space="preserve">ORIGINAL: </w:t>
      </w:r>
      <w:bookmarkStart w:id="1" w:name="Original"/>
      <w:r w:rsidR="005E2022" w:rsidRPr="005E2022">
        <w:rPr>
          <w:rFonts w:ascii="Arial Black" w:hAnsi="Arial Black"/>
          <w:caps/>
          <w:sz w:val="15"/>
          <w:lang w:val="es-ES_tradnl"/>
        </w:rPr>
        <w:t>INGLÉS</w:t>
      </w:r>
    </w:p>
    <w:bookmarkEnd w:id="1"/>
    <w:p w14:paraId="697879EC" w14:textId="26249E17" w:rsidR="008B2CC1" w:rsidRPr="005E2022" w:rsidRDefault="008B14EA" w:rsidP="008B14EA">
      <w:pPr>
        <w:spacing w:after="1200"/>
        <w:jc w:val="right"/>
        <w:rPr>
          <w:rFonts w:ascii="Arial Black" w:hAnsi="Arial Black"/>
          <w:caps/>
          <w:sz w:val="15"/>
          <w:lang w:val="es-ES_tradnl"/>
        </w:rPr>
      </w:pPr>
      <w:r w:rsidRPr="005E2022">
        <w:rPr>
          <w:rFonts w:ascii="Arial Black" w:hAnsi="Arial Black"/>
          <w:caps/>
          <w:sz w:val="15"/>
          <w:lang w:val="es-ES_tradnl"/>
        </w:rPr>
        <w:t xml:space="preserve">FECHA: </w:t>
      </w:r>
      <w:bookmarkStart w:id="2" w:name="Date"/>
      <w:r w:rsidR="005E2022" w:rsidRPr="005E2022">
        <w:rPr>
          <w:rFonts w:ascii="Arial Black" w:hAnsi="Arial Black"/>
          <w:caps/>
          <w:sz w:val="15"/>
          <w:lang w:val="es-ES_tradnl"/>
        </w:rPr>
        <w:t>19 DE MAYO DE 2025</w:t>
      </w:r>
    </w:p>
    <w:bookmarkEnd w:id="2"/>
    <w:p w14:paraId="4DEA4958" w14:textId="77777777" w:rsidR="008B2CC1" w:rsidRPr="005E2022" w:rsidRDefault="00522018" w:rsidP="008B14EA">
      <w:pPr>
        <w:spacing w:after="600"/>
        <w:rPr>
          <w:b/>
          <w:sz w:val="28"/>
          <w:szCs w:val="28"/>
          <w:lang w:val="es-ES_tradnl"/>
        </w:rPr>
      </w:pPr>
      <w:r w:rsidRPr="005E2022">
        <w:rPr>
          <w:b/>
          <w:sz w:val="28"/>
          <w:szCs w:val="28"/>
          <w:lang w:val="es-ES_tradnl"/>
        </w:rPr>
        <w:t>Asamblea General de la OMPI</w:t>
      </w:r>
    </w:p>
    <w:p w14:paraId="300CA36A" w14:textId="77777777" w:rsidR="00323EB5" w:rsidRPr="005E2022" w:rsidRDefault="005A5A8F" w:rsidP="00323EB5">
      <w:pPr>
        <w:rPr>
          <w:b/>
          <w:sz w:val="24"/>
          <w:szCs w:val="24"/>
          <w:lang w:val="es-ES_tradnl"/>
        </w:rPr>
      </w:pPr>
      <w:r w:rsidRPr="005E2022">
        <w:rPr>
          <w:b/>
          <w:sz w:val="24"/>
          <w:szCs w:val="24"/>
          <w:lang w:val="es-ES_tradnl"/>
        </w:rPr>
        <w:t>Sexagésimo</w:t>
      </w:r>
      <w:r w:rsidR="00D52052" w:rsidRPr="005E2022">
        <w:rPr>
          <w:b/>
          <w:sz w:val="24"/>
          <w:szCs w:val="24"/>
          <w:lang w:val="es-ES_tradnl"/>
        </w:rPr>
        <w:t xml:space="preserve"> período de sesiones (</w:t>
      </w:r>
      <w:r w:rsidRPr="005E2022">
        <w:rPr>
          <w:b/>
          <w:sz w:val="24"/>
          <w:szCs w:val="24"/>
          <w:lang w:val="es-ES_tradnl"/>
        </w:rPr>
        <w:t>33</w:t>
      </w:r>
      <w:r w:rsidR="00D52052" w:rsidRPr="005E2022">
        <w:rPr>
          <w:b/>
          <w:sz w:val="24"/>
          <w:szCs w:val="24"/>
          <w:lang w:val="es-ES_tradnl"/>
        </w:rPr>
        <w:t xml:space="preserve">.º </w:t>
      </w:r>
      <w:r w:rsidRPr="005E2022">
        <w:rPr>
          <w:b/>
          <w:sz w:val="24"/>
          <w:szCs w:val="24"/>
          <w:lang w:val="es-ES_tradnl"/>
        </w:rPr>
        <w:t>extra</w:t>
      </w:r>
      <w:r w:rsidR="00D52052" w:rsidRPr="005E2022">
        <w:rPr>
          <w:b/>
          <w:sz w:val="24"/>
          <w:szCs w:val="24"/>
          <w:lang w:val="es-ES_tradnl"/>
        </w:rPr>
        <w:t>ordinario</w:t>
      </w:r>
      <w:r w:rsidR="00522018" w:rsidRPr="005E2022">
        <w:rPr>
          <w:b/>
          <w:sz w:val="24"/>
          <w:szCs w:val="24"/>
          <w:lang w:val="es-ES_tradnl"/>
        </w:rPr>
        <w:t>)</w:t>
      </w:r>
    </w:p>
    <w:p w14:paraId="6FE5E94E" w14:textId="77777777" w:rsidR="008B2CC1" w:rsidRPr="005E2022" w:rsidRDefault="00522018" w:rsidP="008B14EA">
      <w:pPr>
        <w:spacing w:after="720"/>
        <w:rPr>
          <w:b/>
          <w:sz w:val="24"/>
          <w:szCs w:val="24"/>
          <w:lang w:val="es-ES_tradnl"/>
        </w:rPr>
      </w:pPr>
      <w:r w:rsidRPr="005E2022">
        <w:rPr>
          <w:b/>
          <w:sz w:val="24"/>
          <w:szCs w:val="24"/>
          <w:lang w:val="es-ES_tradnl"/>
        </w:rPr>
        <w:t xml:space="preserve">Ginebra, </w:t>
      </w:r>
      <w:r w:rsidR="005A5A8F" w:rsidRPr="005E2022">
        <w:rPr>
          <w:b/>
          <w:sz w:val="24"/>
          <w:szCs w:val="24"/>
          <w:lang w:val="es-ES_tradnl"/>
        </w:rPr>
        <w:t>7</w:t>
      </w:r>
      <w:r w:rsidR="00137CC4" w:rsidRPr="005E2022">
        <w:rPr>
          <w:b/>
          <w:sz w:val="24"/>
          <w:szCs w:val="24"/>
          <w:lang w:val="es-ES_tradnl"/>
        </w:rPr>
        <w:t xml:space="preserve"> </w:t>
      </w:r>
      <w:r w:rsidR="00D52052" w:rsidRPr="005E2022">
        <w:rPr>
          <w:b/>
          <w:sz w:val="24"/>
          <w:szCs w:val="24"/>
          <w:lang w:val="es-ES_tradnl"/>
        </w:rPr>
        <w:t xml:space="preserve">a </w:t>
      </w:r>
      <w:r w:rsidR="005A5A8F" w:rsidRPr="005E2022">
        <w:rPr>
          <w:b/>
          <w:sz w:val="24"/>
          <w:szCs w:val="24"/>
          <w:lang w:val="es-ES_tradnl"/>
        </w:rPr>
        <w:t>15</w:t>
      </w:r>
      <w:r w:rsidR="00D52052" w:rsidRPr="005E2022">
        <w:rPr>
          <w:b/>
          <w:sz w:val="24"/>
          <w:szCs w:val="24"/>
          <w:lang w:val="es-ES_tradnl"/>
        </w:rPr>
        <w:t xml:space="preserve"> de julio de 202</w:t>
      </w:r>
      <w:r w:rsidR="005A5A8F" w:rsidRPr="005E2022">
        <w:rPr>
          <w:b/>
          <w:sz w:val="24"/>
          <w:szCs w:val="24"/>
          <w:lang w:val="es-ES_tradnl"/>
        </w:rPr>
        <w:t>6</w:t>
      </w:r>
    </w:p>
    <w:p w14:paraId="62344055" w14:textId="2898E694" w:rsidR="008B2CC1" w:rsidRPr="005E2022" w:rsidRDefault="005E2022" w:rsidP="008B14EA">
      <w:pPr>
        <w:spacing w:after="360"/>
        <w:rPr>
          <w:caps/>
          <w:sz w:val="24"/>
          <w:lang w:val="es-ES_tradnl"/>
        </w:rPr>
      </w:pPr>
      <w:bookmarkStart w:id="3" w:name="TitleOfDoc"/>
      <w:r w:rsidRPr="005E2022">
        <w:rPr>
          <w:caps/>
          <w:lang w:val="es-ES_tradnl"/>
        </w:rPr>
        <w:t>INFORME DE LA COMISIÓN CONSULTIVA INDEPENDIENTE DE SUPERVISIÓN (CCIS) DE LA OMPI</w:t>
      </w:r>
    </w:p>
    <w:p w14:paraId="0994E568" w14:textId="6A887257" w:rsidR="008B2CC1" w:rsidRPr="005E2022" w:rsidRDefault="005E2022" w:rsidP="008B14EA">
      <w:pPr>
        <w:spacing w:after="960"/>
        <w:rPr>
          <w:i/>
          <w:lang w:val="es-ES_tradnl"/>
        </w:rPr>
      </w:pPr>
      <w:bookmarkStart w:id="4" w:name="Prepared"/>
      <w:bookmarkEnd w:id="3"/>
      <w:r w:rsidRPr="005E2022">
        <w:rPr>
          <w:i/>
          <w:lang w:val="es-ES_tradnl"/>
        </w:rPr>
        <w:t>preparado por la Comisión Consultiva Independiente de Supervisión (CCIS)</w:t>
      </w:r>
    </w:p>
    <w:bookmarkEnd w:id="4"/>
    <w:p w14:paraId="33D267AB" w14:textId="2C16AA81" w:rsidR="005E2022" w:rsidRPr="005E2022" w:rsidRDefault="005E2022" w:rsidP="005E2022">
      <w:pPr>
        <w:pStyle w:val="ONUMFS"/>
        <w:rPr>
          <w:szCs w:val="22"/>
          <w:lang w:val="es-ES_tradnl"/>
        </w:rPr>
      </w:pPr>
      <w:r w:rsidRPr="005E2022">
        <w:rPr>
          <w:lang w:val="es-ES_tradnl"/>
        </w:rPr>
        <w:t>El presente documento contiene el “Informe de la Comisión Consultiva Independiente de Supervisión de la OMPI (CCIS)” (documento WO/PBC/40/2), que se presentó al Comité del Programa y Presupuesto de la OMPI (PBC) en su 40.ª sesión, celebrada del 15 al 19 de junio de 2026.</w:t>
      </w:r>
    </w:p>
    <w:p w14:paraId="29DFE470" w14:textId="69FED111" w:rsidR="005E2022" w:rsidRPr="005E2022" w:rsidRDefault="005E2022" w:rsidP="005E2022">
      <w:pPr>
        <w:pStyle w:val="ONUMFS"/>
        <w:spacing w:after="600"/>
        <w:rPr>
          <w:szCs w:val="22"/>
          <w:lang w:val="es-ES_tradnl"/>
        </w:rPr>
      </w:pPr>
      <w:r w:rsidRPr="005E2022">
        <w:rPr>
          <w:lang w:val="es-ES_tradnl"/>
        </w:rPr>
        <w:t>Las decisiones del PBC relativas a ese documento figurarán en la “Lista de decisiones aprobadas por el Comité del Programa y Presupuesto” (documento A/68/6).</w:t>
      </w:r>
    </w:p>
    <w:p w14:paraId="0D3738EA" w14:textId="77777777" w:rsidR="005E2022" w:rsidRPr="005E2022" w:rsidRDefault="005E2022" w:rsidP="005E2022">
      <w:pPr>
        <w:pStyle w:val="Endofdocument-Annex"/>
        <w:rPr>
          <w:lang w:val="es-ES_tradnl"/>
        </w:rPr>
      </w:pPr>
      <w:r w:rsidRPr="005E2022">
        <w:rPr>
          <w:lang w:val="es-ES_tradnl"/>
        </w:rPr>
        <w:t>[Sigue el documento WO/PBC/40/2]</w:t>
      </w:r>
    </w:p>
    <w:p w14:paraId="6FA77AF3" w14:textId="77777777" w:rsidR="005E2022" w:rsidRPr="005E2022" w:rsidRDefault="005E2022" w:rsidP="005E2022">
      <w:pPr>
        <w:pStyle w:val="Endofdocument-Annex"/>
        <w:rPr>
          <w:lang w:val="es-ES_tradnl"/>
        </w:rPr>
        <w:sectPr w:rsidR="005E2022" w:rsidRPr="005E2022" w:rsidSect="005E2022">
          <w:headerReference w:type="default" r:id="rId11"/>
          <w:pgSz w:w="11907" w:h="16840" w:code="9"/>
          <w:pgMar w:top="567" w:right="1134" w:bottom="1418" w:left="1418" w:header="510" w:footer="1021" w:gutter="0"/>
          <w:cols w:space="720"/>
          <w:titlePg/>
          <w:docGrid w:linePitch="299"/>
        </w:sectPr>
      </w:pPr>
    </w:p>
    <w:p w14:paraId="1A8F1A8A" w14:textId="77777777" w:rsidR="005E2022" w:rsidRPr="005E2022" w:rsidRDefault="005E2022" w:rsidP="005E2022">
      <w:pPr>
        <w:spacing w:after="120"/>
        <w:jc w:val="right"/>
        <w:rPr>
          <w:lang w:val="es-ES_tradnl"/>
        </w:rPr>
      </w:pPr>
      <w:r w:rsidRPr="005E2022">
        <w:rPr>
          <w:noProof/>
          <w:lang w:val="es-ES_tradnl" w:eastAsia="en-US"/>
        </w:rPr>
        <w:lastRenderedPageBreak/>
        <w:drawing>
          <wp:inline distT="0" distB="0" distL="0" distR="0" wp14:anchorId="76D85075" wp14:editId="639388D2">
            <wp:extent cx="3014550" cy="1332000"/>
            <wp:effectExtent l="0" t="0" r="0" b="1905"/>
            <wp:docPr id="713733758" name="Picture 713733758"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5E2022">
        <w:rPr>
          <w:rFonts w:ascii="Arial Black" w:hAnsi="Arial Black"/>
          <w:caps/>
          <w:noProof/>
          <w:sz w:val="15"/>
          <w:szCs w:val="15"/>
          <w:lang w:val="es-ES_tradnl" w:eastAsia="en-US"/>
        </w:rPr>
        <mc:AlternateContent>
          <mc:Choice Requires="wps">
            <w:drawing>
              <wp:inline distT="0" distB="0" distL="0" distR="0" wp14:anchorId="2DF4C4EB" wp14:editId="2233430A">
                <wp:extent cx="5935980" cy="0"/>
                <wp:effectExtent l="0" t="0" r="26670" b="19050"/>
                <wp:docPr id="1989085552" name="Straight Connector 198908555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A90CDF" id="Straight Connector 198908555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EF9D614" w14:textId="77777777" w:rsidR="005E2022" w:rsidRPr="005E2022" w:rsidRDefault="005E2022" w:rsidP="005E2022">
      <w:pPr>
        <w:jc w:val="right"/>
        <w:rPr>
          <w:rFonts w:ascii="Arial Black" w:hAnsi="Arial Black"/>
          <w:caps/>
          <w:sz w:val="15"/>
          <w:szCs w:val="15"/>
          <w:lang w:val="es-ES_tradnl"/>
        </w:rPr>
      </w:pPr>
      <w:r w:rsidRPr="005E2022">
        <w:rPr>
          <w:rFonts w:ascii="Arial Black" w:hAnsi="Arial Black"/>
          <w:caps/>
          <w:sz w:val="15"/>
          <w:szCs w:val="15"/>
          <w:lang w:val="es-ES_tradnl"/>
        </w:rPr>
        <w:t>WO/PBC/40/2</w:t>
      </w:r>
    </w:p>
    <w:p w14:paraId="5196B513" w14:textId="77777777" w:rsidR="005E2022" w:rsidRPr="005E2022" w:rsidRDefault="005E2022" w:rsidP="005E2022">
      <w:pPr>
        <w:jc w:val="right"/>
        <w:rPr>
          <w:rFonts w:ascii="Arial Black" w:hAnsi="Arial Black"/>
          <w:caps/>
          <w:sz w:val="15"/>
          <w:szCs w:val="15"/>
          <w:lang w:val="es-ES_tradnl"/>
        </w:rPr>
      </w:pPr>
      <w:r w:rsidRPr="005E2022">
        <w:rPr>
          <w:rFonts w:ascii="Arial Black" w:hAnsi="Arial Black"/>
          <w:caps/>
          <w:sz w:val="15"/>
          <w:szCs w:val="15"/>
          <w:lang w:val="es-ES_tradnl"/>
        </w:rPr>
        <w:t>ORIGINAL: INGLÉS</w:t>
      </w:r>
    </w:p>
    <w:p w14:paraId="1DAD84D4" w14:textId="77777777" w:rsidR="005E2022" w:rsidRPr="005E2022" w:rsidRDefault="005E2022" w:rsidP="005E2022">
      <w:pPr>
        <w:spacing w:after="1200"/>
        <w:jc w:val="right"/>
        <w:rPr>
          <w:rFonts w:ascii="Arial Black" w:hAnsi="Arial Black"/>
          <w:caps/>
          <w:sz w:val="15"/>
          <w:szCs w:val="15"/>
          <w:lang w:val="es-ES_tradnl"/>
        </w:rPr>
      </w:pPr>
      <w:r w:rsidRPr="005E2022">
        <w:rPr>
          <w:rFonts w:ascii="Arial Black" w:hAnsi="Arial Black"/>
          <w:caps/>
          <w:sz w:val="15"/>
          <w:szCs w:val="15"/>
          <w:lang w:val="es-ES_tradnl"/>
        </w:rPr>
        <w:t>fecha: 19 DE MAYO DE 2026</w:t>
      </w:r>
    </w:p>
    <w:p w14:paraId="24CD7436" w14:textId="77777777" w:rsidR="005E2022" w:rsidRPr="005E2022" w:rsidRDefault="005E2022" w:rsidP="005E2022">
      <w:pPr>
        <w:spacing w:after="600"/>
        <w:rPr>
          <w:b/>
          <w:sz w:val="28"/>
          <w:szCs w:val="28"/>
          <w:lang w:val="es-ES_tradnl"/>
        </w:rPr>
      </w:pPr>
      <w:r w:rsidRPr="005E2022">
        <w:rPr>
          <w:b/>
          <w:sz w:val="28"/>
          <w:szCs w:val="28"/>
          <w:lang w:val="es-ES_tradnl"/>
        </w:rPr>
        <w:t>Comité del Programa y Presupuesto</w:t>
      </w:r>
    </w:p>
    <w:p w14:paraId="78F0021F" w14:textId="77777777" w:rsidR="005E2022" w:rsidRPr="005E2022" w:rsidRDefault="005E2022" w:rsidP="005E2022">
      <w:pPr>
        <w:rPr>
          <w:b/>
          <w:sz w:val="24"/>
          <w:szCs w:val="24"/>
          <w:lang w:val="es-ES_tradnl"/>
        </w:rPr>
      </w:pPr>
      <w:r w:rsidRPr="005E2022">
        <w:rPr>
          <w:b/>
          <w:sz w:val="24"/>
          <w:szCs w:val="24"/>
          <w:lang w:val="es-ES_tradnl"/>
        </w:rPr>
        <w:t>Cuadragésima sesión</w:t>
      </w:r>
    </w:p>
    <w:p w14:paraId="2A8E5C8B" w14:textId="77777777" w:rsidR="005E2022" w:rsidRPr="005E2022" w:rsidRDefault="005E2022" w:rsidP="005E2022">
      <w:pPr>
        <w:spacing w:after="720"/>
        <w:rPr>
          <w:lang w:val="es-ES_tradnl"/>
        </w:rPr>
      </w:pPr>
      <w:r w:rsidRPr="005E2022">
        <w:rPr>
          <w:b/>
          <w:sz w:val="24"/>
          <w:szCs w:val="24"/>
          <w:lang w:val="es-ES_tradnl"/>
        </w:rPr>
        <w:t>Ginebra, 15 a 19 de junio de 2026</w:t>
      </w:r>
    </w:p>
    <w:p w14:paraId="32810EF2" w14:textId="45E34F77" w:rsidR="005E2022" w:rsidRPr="005E2022" w:rsidRDefault="005E2022" w:rsidP="005E2022">
      <w:pPr>
        <w:spacing w:after="360"/>
        <w:rPr>
          <w:caps/>
          <w:sz w:val="24"/>
          <w:lang w:val="es-ES_tradnl"/>
        </w:rPr>
      </w:pPr>
      <w:r w:rsidRPr="005E2022">
        <w:rPr>
          <w:lang w:val="es-ES_tradnl"/>
        </w:rPr>
        <w:t>INFORME DE LA COMISIÓN CONSULTIVA INDEPENDIENTE DE SUPERVISIÓN (CCIS) DE LA OMPI</w:t>
      </w:r>
    </w:p>
    <w:p w14:paraId="1C273A93" w14:textId="31B6EF60" w:rsidR="005E2022" w:rsidRPr="005E2022" w:rsidRDefault="005E2022" w:rsidP="005E2022">
      <w:pPr>
        <w:spacing w:after="960"/>
        <w:rPr>
          <w:i/>
          <w:lang w:val="es-ES_tradnl"/>
        </w:rPr>
      </w:pPr>
      <w:r w:rsidRPr="005E2022">
        <w:rPr>
          <w:i/>
          <w:lang w:val="es-ES_tradnl"/>
        </w:rPr>
        <w:t>preparado por la Comisión Consultiva Independiente de Supervisión</w:t>
      </w:r>
    </w:p>
    <w:p w14:paraId="549468A4" w14:textId="727CE825" w:rsidR="005E2022" w:rsidRPr="005E2022" w:rsidRDefault="005E2022" w:rsidP="005E2022">
      <w:pPr>
        <w:pStyle w:val="ONUMFS"/>
        <w:numPr>
          <w:ilvl w:val="0"/>
          <w:numId w:val="9"/>
        </w:numPr>
        <w:rPr>
          <w:lang w:val="es-ES_tradnl"/>
        </w:rPr>
      </w:pPr>
      <w:r w:rsidRPr="005E2022">
        <w:rPr>
          <w:lang w:val="es-ES_tradnl"/>
        </w:rPr>
        <w:t>El presente documento contiene el informe de la CCIS, elaborado por esta, correspondiente al período comprendido entre el 29 de marzo de 2025 y el 20 de marzo de 2026.</w:t>
      </w:r>
    </w:p>
    <w:p w14:paraId="1B642B2D" w14:textId="77777777" w:rsidR="005E2022" w:rsidRPr="005E2022" w:rsidRDefault="005E2022" w:rsidP="005E2022">
      <w:pPr>
        <w:pStyle w:val="ONUMFS"/>
        <w:rPr>
          <w:lang w:val="es-ES_tradnl"/>
        </w:rPr>
      </w:pPr>
      <w:r w:rsidRPr="005E2022">
        <w:rPr>
          <w:lang w:val="es-ES_tradnl"/>
        </w:rPr>
        <w:t>Se propone el siguiente párrafo de decisión:</w:t>
      </w:r>
    </w:p>
    <w:p w14:paraId="63130A86" w14:textId="77777777" w:rsidR="005E2022" w:rsidRPr="005E2022" w:rsidRDefault="005E2022" w:rsidP="005E2022">
      <w:pPr>
        <w:pStyle w:val="ONUMFS"/>
        <w:tabs>
          <w:tab w:val="clear" w:pos="567"/>
        </w:tabs>
        <w:spacing w:after="600"/>
        <w:ind w:left="5529"/>
        <w:rPr>
          <w:i/>
          <w:iCs/>
          <w:lang w:val="es-ES_tradnl"/>
        </w:rPr>
      </w:pPr>
      <w:r w:rsidRPr="005E2022">
        <w:rPr>
          <w:i/>
          <w:lang w:val="es-ES_tradnl"/>
        </w:rPr>
        <w:t>El Comité del Programa y Presupuesto (PBC) recomendó que la Asamblea General de la OMPI tomara nota del “Informe de la Comisión Consultiva Independiente de Supervisión de la OMPI (CCIS)” (documento WO/PBC/40/2).</w:t>
      </w:r>
    </w:p>
    <w:p w14:paraId="340BCB19" w14:textId="77777777" w:rsidR="005E2022" w:rsidRPr="005E2022" w:rsidRDefault="005E2022" w:rsidP="005E2022">
      <w:pPr>
        <w:pStyle w:val="Endofdocument-Annex"/>
        <w:rPr>
          <w:lang w:val="es-ES_tradnl"/>
        </w:rPr>
      </w:pPr>
      <w:r w:rsidRPr="005E2022">
        <w:rPr>
          <w:lang w:val="es-ES_tradnl"/>
        </w:rPr>
        <w:t>[Sigue el Informe de la Comisión Consultiva Independiente de Supervisión]</w:t>
      </w:r>
    </w:p>
    <w:p w14:paraId="6D8D96D6" w14:textId="6BE08C6C" w:rsidR="005E2022" w:rsidRPr="005E2022" w:rsidRDefault="005E2022" w:rsidP="005E2022">
      <w:pPr>
        <w:pStyle w:val="Endofdocument-Annex"/>
        <w:rPr>
          <w:lang w:val="es-ES_tradnl"/>
        </w:rPr>
        <w:sectPr w:rsidR="005E2022" w:rsidRPr="005E2022" w:rsidSect="005E2022">
          <w:headerReference w:type="default" r:id="rId12"/>
          <w:endnotePr>
            <w:numFmt w:val="decimal"/>
          </w:endnotePr>
          <w:pgSz w:w="11907" w:h="16840" w:code="9"/>
          <w:pgMar w:top="567" w:right="1134" w:bottom="1418" w:left="1418" w:header="510" w:footer="1021" w:gutter="0"/>
          <w:cols w:space="720"/>
          <w:titlePg/>
          <w:docGrid w:linePitch="299"/>
        </w:sectPr>
      </w:pPr>
    </w:p>
    <w:p w14:paraId="26F8F7A5" w14:textId="2017BA5C" w:rsidR="005E2022" w:rsidRPr="005E2022" w:rsidRDefault="005E2022" w:rsidP="005E2022">
      <w:pPr>
        <w:spacing w:before="1200" w:line="480" w:lineRule="auto"/>
        <w:jc w:val="center"/>
        <w:rPr>
          <w:rFonts w:eastAsia="Times New Roman"/>
          <w:lang w:val="es-ES_tradnl"/>
        </w:rPr>
      </w:pPr>
      <w:r w:rsidRPr="005E2022">
        <w:rPr>
          <w:lang w:val="es-ES_tradnl"/>
        </w:rPr>
        <w:lastRenderedPageBreak/>
        <w:t>INFORME ANUAL DE LA COMISIÓN CONSULTIVA INDEPENDIENTE DE SUPERVISIÓN (CCIS) CORRESPONDIENTE AL PERÍODO COMPRENDIDO ENTRE EL 29 DE MARZO DE 2025 Y EL 20 DE MARZO DE 2026</w:t>
      </w:r>
    </w:p>
    <w:p w14:paraId="384146FD" w14:textId="77777777" w:rsidR="005E2022" w:rsidRPr="005E2022" w:rsidRDefault="005E2022" w:rsidP="005E2022">
      <w:pPr>
        <w:spacing w:line="480" w:lineRule="auto"/>
        <w:jc w:val="center"/>
        <w:rPr>
          <w:rFonts w:eastAsia="Times New Roman"/>
          <w:b/>
          <w:bCs/>
          <w:lang w:val="es-ES_tradnl"/>
        </w:rPr>
      </w:pPr>
      <w:r w:rsidRPr="005E2022">
        <w:rPr>
          <w:lang w:val="es-ES_tradnl"/>
        </w:rPr>
        <w:t>[19 DE MAYO DE 2026]</w:t>
      </w:r>
    </w:p>
    <w:p w14:paraId="4C718185" w14:textId="77777777" w:rsidR="005E2022" w:rsidRPr="005E2022" w:rsidRDefault="005E2022" w:rsidP="005E2022">
      <w:pPr>
        <w:pStyle w:val="Endofdocument-Annex"/>
        <w:ind w:left="0"/>
        <w:rPr>
          <w:rFonts w:eastAsia="Arial"/>
          <w:lang w:val="es-ES_tradnl"/>
        </w:rPr>
        <w:sectPr w:rsidR="005E2022" w:rsidRPr="005E2022" w:rsidSect="005E2022">
          <w:endnotePr>
            <w:numFmt w:val="decimal"/>
          </w:endnotePr>
          <w:pgSz w:w="11907" w:h="16840" w:code="9"/>
          <w:pgMar w:top="567" w:right="1134" w:bottom="1418" w:left="1418" w:header="510" w:footer="1021" w:gutter="0"/>
          <w:cols w:space="720"/>
          <w:titlePg/>
          <w:docGrid w:linePitch="299"/>
        </w:sectPr>
      </w:pPr>
    </w:p>
    <w:p w14:paraId="62B79E5C" w14:textId="77777777" w:rsidR="005E2022" w:rsidRPr="005E2022" w:rsidRDefault="005E2022" w:rsidP="005E2022">
      <w:pPr>
        <w:spacing w:after="360"/>
        <w:jc w:val="center"/>
        <w:rPr>
          <w:rFonts w:eastAsia="Times New Roman"/>
          <w:b/>
          <w:bCs/>
          <w:lang w:val="es-ES_tradnl"/>
        </w:rPr>
      </w:pPr>
      <w:r w:rsidRPr="005E2022">
        <w:rPr>
          <w:b/>
          <w:lang w:val="es-ES_tradnl"/>
        </w:rPr>
        <w:lastRenderedPageBreak/>
        <w:t>Índice</w:t>
      </w:r>
    </w:p>
    <w:p w14:paraId="0AB4A0B7" w14:textId="3BCF6216" w:rsidR="005E2022" w:rsidRPr="005E2022" w:rsidRDefault="005E2022" w:rsidP="005E2022">
      <w:pPr>
        <w:pStyle w:val="TOC3"/>
        <w:rPr>
          <w:rFonts w:asciiTheme="minorHAnsi" w:eastAsiaTheme="minorEastAsia" w:hAnsiTheme="minorHAnsi" w:cstheme="minorBidi"/>
          <w:noProof/>
          <w:sz w:val="24"/>
          <w:szCs w:val="24"/>
          <w:lang w:val="es-ES_tradnl"/>
        </w:rPr>
      </w:pPr>
      <w:r w:rsidRPr="005E2022">
        <w:rPr>
          <w:rFonts w:eastAsia="Times New Roman" w:cs="Arial"/>
          <w:lang w:val="es-ES_tradnl"/>
        </w:rPr>
        <w:fldChar w:fldCharType="begin"/>
      </w:r>
      <w:r w:rsidRPr="005E2022">
        <w:rPr>
          <w:rFonts w:eastAsia="Times New Roman" w:cs="Arial"/>
          <w:lang w:val="es-ES_tradnl"/>
        </w:rPr>
        <w:instrText xml:space="preserve"> TOC \o "1-6" \h \z \u </w:instrText>
      </w:r>
      <w:r w:rsidRPr="005E2022">
        <w:rPr>
          <w:rFonts w:eastAsia="Times New Roman" w:cs="Arial"/>
          <w:lang w:val="es-ES_tradnl"/>
        </w:rPr>
        <w:fldChar w:fldCharType="separate"/>
      </w:r>
      <w:hyperlink w:anchor="_Toc230681438" w:history="1">
        <w:r w:rsidRPr="005E2022">
          <w:rPr>
            <w:rStyle w:val="Hyperlink"/>
            <w:noProof/>
            <w:lang w:val="es-ES_tradnl"/>
          </w:rPr>
          <w:t>I.</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INTRODUCCIÓN</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_Toc230681438 \h </w:instrText>
        </w:r>
        <w:r w:rsidRPr="005E2022">
          <w:rPr>
            <w:noProof/>
            <w:webHidden/>
            <w:lang w:val="es-ES_tradnl"/>
          </w:rPr>
        </w:r>
        <w:r w:rsidRPr="005E2022">
          <w:rPr>
            <w:noProof/>
            <w:webHidden/>
            <w:lang w:val="es-ES_tradnl"/>
          </w:rPr>
          <w:fldChar w:fldCharType="separate"/>
        </w:r>
        <w:r w:rsidR="00A5398B">
          <w:rPr>
            <w:noProof/>
            <w:webHidden/>
            <w:lang w:val="es-ES_tradnl"/>
          </w:rPr>
          <w:t>3</w:t>
        </w:r>
        <w:r w:rsidRPr="005E2022">
          <w:rPr>
            <w:noProof/>
            <w:webHidden/>
            <w:lang w:val="es-ES_tradnl"/>
          </w:rPr>
          <w:fldChar w:fldCharType="end"/>
        </w:r>
      </w:hyperlink>
    </w:p>
    <w:p w14:paraId="4E863D68" w14:textId="6E5A8733" w:rsidR="005E2022" w:rsidRPr="005E2022" w:rsidRDefault="005E2022" w:rsidP="005E2022">
      <w:pPr>
        <w:pStyle w:val="TOC3"/>
        <w:rPr>
          <w:rFonts w:asciiTheme="minorHAnsi" w:eastAsiaTheme="minorEastAsia" w:hAnsiTheme="minorHAnsi" w:cstheme="minorBidi"/>
          <w:noProof/>
          <w:sz w:val="24"/>
          <w:szCs w:val="24"/>
          <w:lang w:val="es-ES_tradnl"/>
        </w:rPr>
      </w:pPr>
      <w:hyperlink w:anchor="_Toc230681439" w:history="1">
        <w:r w:rsidRPr="005E2022">
          <w:rPr>
            <w:rStyle w:val="Hyperlink"/>
            <w:noProof/>
            <w:lang w:val="es-ES_tradnl"/>
          </w:rPr>
          <w:t>II.</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SESIONES TRIMESTRALES, COMPOSICIÓN Y MÉTODOS DE TRABAJO</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_Toc230681439 \h </w:instrText>
        </w:r>
        <w:r w:rsidRPr="005E2022">
          <w:rPr>
            <w:noProof/>
            <w:webHidden/>
            <w:lang w:val="es-ES_tradnl"/>
          </w:rPr>
        </w:r>
        <w:r w:rsidRPr="005E2022">
          <w:rPr>
            <w:noProof/>
            <w:webHidden/>
            <w:lang w:val="es-ES_tradnl"/>
          </w:rPr>
          <w:fldChar w:fldCharType="separate"/>
        </w:r>
        <w:r w:rsidR="00A5398B">
          <w:rPr>
            <w:noProof/>
            <w:webHidden/>
            <w:lang w:val="es-ES_tradnl"/>
          </w:rPr>
          <w:t>3</w:t>
        </w:r>
        <w:r w:rsidRPr="005E2022">
          <w:rPr>
            <w:noProof/>
            <w:webHidden/>
            <w:lang w:val="es-ES_tradnl"/>
          </w:rPr>
          <w:fldChar w:fldCharType="end"/>
        </w:r>
      </w:hyperlink>
    </w:p>
    <w:p w14:paraId="0EEEB013" w14:textId="659BF80A" w:rsidR="005E2022" w:rsidRPr="005E2022" w:rsidRDefault="005E2022" w:rsidP="005E2022">
      <w:pPr>
        <w:pStyle w:val="TOC3"/>
        <w:rPr>
          <w:rFonts w:asciiTheme="minorHAnsi" w:eastAsiaTheme="minorEastAsia" w:hAnsiTheme="minorHAnsi" w:cstheme="minorBidi"/>
          <w:noProof/>
          <w:sz w:val="24"/>
          <w:szCs w:val="24"/>
          <w:lang w:val="es-ES_tradnl"/>
        </w:rPr>
      </w:pPr>
      <w:hyperlink w:anchor="_Toc230681440" w:history="1">
        <w:r w:rsidRPr="005E2022">
          <w:rPr>
            <w:rStyle w:val="Hyperlink"/>
            <w:noProof/>
            <w:lang w:val="es-ES_tradnl"/>
          </w:rPr>
          <w:t xml:space="preserve">III. </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ASUNTOS DEBATIDOS Y EXAMINADOS</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_Toc230681440 \h </w:instrText>
        </w:r>
        <w:r w:rsidRPr="005E2022">
          <w:rPr>
            <w:noProof/>
            <w:webHidden/>
            <w:lang w:val="es-ES_tradnl"/>
          </w:rPr>
        </w:r>
        <w:r w:rsidRPr="005E2022">
          <w:rPr>
            <w:noProof/>
            <w:webHidden/>
            <w:lang w:val="es-ES_tradnl"/>
          </w:rPr>
          <w:fldChar w:fldCharType="separate"/>
        </w:r>
        <w:r w:rsidR="00A5398B">
          <w:rPr>
            <w:noProof/>
            <w:webHidden/>
            <w:lang w:val="es-ES_tradnl"/>
          </w:rPr>
          <w:t>4</w:t>
        </w:r>
        <w:r w:rsidRPr="005E2022">
          <w:rPr>
            <w:noProof/>
            <w:webHidden/>
            <w:lang w:val="es-ES_tradnl"/>
          </w:rPr>
          <w:fldChar w:fldCharType="end"/>
        </w:r>
      </w:hyperlink>
    </w:p>
    <w:p w14:paraId="75E594F4" w14:textId="34BE315D"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1" w:history="1">
        <w:r w:rsidRPr="005E2022">
          <w:rPr>
            <w:rStyle w:val="Hyperlink"/>
            <w:noProof/>
            <w:lang w:val="es-ES_tradnl"/>
          </w:rPr>
          <w:t>A.</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Supervisión interna</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_Toc230681441 \h </w:instrText>
        </w:r>
        <w:r w:rsidRPr="005E2022">
          <w:rPr>
            <w:noProof/>
            <w:webHidden/>
            <w:lang w:val="es-ES_tradnl"/>
          </w:rPr>
        </w:r>
        <w:r w:rsidRPr="005E2022">
          <w:rPr>
            <w:noProof/>
            <w:webHidden/>
            <w:lang w:val="es-ES_tradnl"/>
          </w:rPr>
          <w:fldChar w:fldCharType="separate"/>
        </w:r>
        <w:r w:rsidR="00A5398B">
          <w:rPr>
            <w:noProof/>
            <w:webHidden/>
            <w:lang w:val="es-ES_tradnl"/>
          </w:rPr>
          <w:t>4</w:t>
        </w:r>
        <w:r w:rsidRPr="005E2022">
          <w:rPr>
            <w:noProof/>
            <w:webHidden/>
            <w:lang w:val="es-ES_tradnl"/>
          </w:rPr>
          <w:fldChar w:fldCharType="end"/>
        </w:r>
      </w:hyperlink>
    </w:p>
    <w:p w14:paraId="03903C7F" w14:textId="677FD15E"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2" w:history="1">
        <w:r w:rsidRPr="005E2022">
          <w:rPr>
            <w:rStyle w:val="Hyperlink"/>
            <w:noProof/>
            <w:lang w:val="es-ES_tradnl"/>
          </w:rPr>
          <w:t>B.</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Auditoría externa</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_Toc230681442 \h </w:instrText>
        </w:r>
        <w:r w:rsidRPr="005E2022">
          <w:rPr>
            <w:noProof/>
            <w:webHidden/>
            <w:lang w:val="es-ES_tradnl"/>
          </w:rPr>
        </w:r>
        <w:r w:rsidRPr="005E2022">
          <w:rPr>
            <w:noProof/>
            <w:webHidden/>
            <w:lang w:val="es-ES_tradnl"/>
          </w:rPr>
          <w:fldChar w:fldCharType="separate"/>
        </w:r>
        <w:r w:rsidR="00A5398B">
          <w:rPr>
            <w:noProof/>
            <w:webHidden/>
            <w:lang w:val="es-ES_tradnl"/>
          </w:rPr>
          <w:t>6</w:t>
        </w:r>
        <w:r w:rsidRPr="005E2022">
          <w:rPr>
            <w:noProof/>
            <w:webHidden/>
            <w:lang w:val="es-ES_tradnl"/>
          </w:rPr>
          <w:fldChar w:fldCharType="end"/>
        </w:r>
      </w:hyperlink>
    </w:p>
    <w:p w14:paraId="4F6D7E52" w14:textId="75FE90F7"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3" w:history="1">
        <w:r w:rsidRPr="005E2022">
          <w:rPr>
            <w:rStyle w:val="Hyperlink"/>
            <w:noProof/>
            <w:lang w:val="es-ES_tradnl"/>
          </w:rPr>
          <w:t>C.</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Informes financieros</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_Toc230681443 \h </w:instrText>
        </w:r>
        <w:r w:rsidRPr="005E2022">
          <w:rPr>
            <w:noProof/>
            <w:webHidden/>
            <w:lang w:val="es-ES_tradnl"/>
          </w:rPr>
        </w:r>
        <w:r w:rsidRPr="005E2022">
          <w:rPr>
            <w:noProof/>
            <w:webHidden/>
            <w:lang w:val="es-ES_tradnl"/>
          </w:rPr>
          <w:fldChar w:fldCharType="separate"/>
        </w:r>
        <w:r w:rsidR="00A5398B">
          <w:rPr>
            <w:noProof/>
            <w:webHidden/>
            <w:lang w:val="es-ES_tradnl"/>
          </w:rPr>
          <w:t>6</w:t>
        </w:r>
        <w:r w:rsidRPr="005E2022">
          <w:rPr>
            <w:noProof/>
            <w:webHidden/>
            <w:lang w:val="es-ES_tradnl"/>
          </w:rPr>
          <w:fldChar w:fldCharType="end"/>
        </w:r>
      </w:hyperlink>
    </w:p>
    <w:p w14:paraId="3693F3BF" w14:textId="2450C94D"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4" w:history="1">
        <w:r w:rsidRPr="005E2022">
          <w:rPr>
            <w:rStyle w:val="Hyperlink"/>
            <w:noProof/>
            <w:lang w:val="es-ES_tradnl"/>
          </w:rPr>
          <w:t>D.</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Gestión de riesgos y controles internos</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_Toc230681444 \h </w:instrText>
        </w:r>
        <w:r w:rsidRPr="005E2022">
          <w:rPr>
            <w:noProof/>
            <w:webHidden/>
            <w:lang w:val="es-ES_tradnl"/>
          </w:rPr>
        </w:r>
        <w:r w:rsidRPr="005E2022">
          <w:rPr>
            <w:noProof/>
            <w:webHidden/>
            <w:lang w:val="es-ES_tradnl"/>
          </w:rPr>
          <w:fldChar w:fldCharType="separate"/>
        </w:r>
        <w:r w:rsidR="00A5398B">
          <w:rPr>
            <w:noProof/>
            <w:webHidden/>
            <w:lang w:val="es-ES_tradnl"/>
          </w:rPr>
          <w:t>6</w:t>
        </w:r>
        <w:r w:rsidRPr="005E2022">
          <w:rPr>
            <w:noProof/>
            <w:webHidden/>
            <w:lang w:val="es-ES_tradnl"/>
          </w:rPr>
          <w:fldChar w:fldCharType="end"/>
        </w:r>
      </w:hyperlink>
    </w:p>
    <w:p w14:paraId="64FAA5B3" w14:textId="5A423B67"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5" w:history="1">
        <w:r w:rsidRPr="005E2022">
          <w:rPr>
            <w:rStyle w:val="Hyperlink"/>
            <w:noProof/>
            <w:lang w:val="es-ES_tradnl"/>
          </w:rPr>
          <w:t>E.</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Aplicación de las recomendaciones de supervisión</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_Toc230681445 \h </w:instrText>
        </w:r>
        <w:r w:rsidRPr="005E2022">
          <w:rPr>
            <w:noProof/>
            <w:webHidden/>
            <w:lang w:val="es-ES_tradnl"/>
          </w:rPr>
        </w:r>
        <w:r w:rsidRPr="005E2022">
          <w:rPr>
            <w:noProof/>
            <w:webHidden/>
            <w:lang w:val="es-ES_tradnl"/>
          </w:rPr>
          <w:fldChar w:fldCharType="separate"/>
        </w:r>
        <w:r w:rsidR="00A5398B">
          <w:rPr>
            <w:noProof/>
            <w:webHidden/>
            <w:lang w:val="es-ES_tradnl"/>
          </w:rPr>
          <w:t>7</w:t>
        </w:r>
        <w:r w:rsidRPr="005E2022">
          <w:rPr>
            <w:noProof/>
            <w:webHidden/>
            <w:lang w:val="es-ES_tradnl"/>
          </w:rPr>
          <w:fldChar w:fldCharType="end"/>
        </w:r>
      </w:hyperlink>
    </w:p>
    <w:p w14:paraId="7EB3B085" w14:textId="4A479E9B"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6" w:history="1">
        <w:r w:rsidRPr="005E2022">
          <w:rPr>
            <w:rStyle w:val="Hyperlink"/>
            <w:noProof/>
            <w:lang w:val="es-ES_tradnl"/>
          </w:rPr>
          <w:t>F.</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Ética profesional y mediación</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_Toc230681446 \h </w:instrText>
        </w:r>
        <w:r w:rsidRPr="005E2022">
          <w:rPr>
            <w:noProof/>
            <w:webHidden/>
            <w:lang w:val="es-ES_tradnl"/>
          </w:rPr>
        </w:r>
        <w:r w:rsidRPr="005E2022">
          <w:rPr>
            <w:noProof/>
            <w:webHidden/>
            <w:lang w:val="es-ES_tradnl"/>
          </w:rPr>
          <w:fldChar w:fldCharType="separate"/>
        </w:r>
        <w:r w:rsidR="00A5398B">
          <w:rPr>
            <w:noProof/>
            <w:webHidden/>
            <w:lang w:val="es-ES_tradnl"/>
          </w:rPr>
          <w:t>7</w:t>
        </w:r>
        <w:r w:rsidRPr="005E2022">
          <w:rPr>
            <w:noProof/>
            <w:webHidden/>
            <w:lang w:val="es-ES_tradnl"/>
          </w:rPr>
          <w:fldChar w:fldCharType="end"/>
        </w:r>
      </w:hyperlink>
    </w:p>
    <w:p w14:paraId="4E87DF1E" w14:textId="521BD0CB"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7" w:history="1">
        <w:r w:rsidRPr="005E2022">
          <w:rPr>
            <w:rStyle w:val="Hyperlink"/>
            <w:noProof/>
            <w:lang w:val="es-ES_tradnl"/>
          </w:rPr>
          <w:t>G.</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Gestión de recursos humanos</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_Toc230681447 \h </w:instrText>
        </w:r>
        <w:r w:rsidRPr="005E2022">
          <w:rPr>
            <w:noProof/>
            <w:webHidden/>
            <w:lang w:val="es-ES_tradnl"/>
          </w:rPr>
        </w:r>
        <w:r w:rsidRPr="005E2022">
          <w:rPr>
            <w:noProof/>
            <w:webHidden/>
            <w:lang w:val="es-ES_tradnl"/>
          </w:rPr>
          <w:fldChar w:fldCharType="separate"/>
        </w:r>
        <w:r w:rsidR="00A5398B">
          <w:rPr>
            <w:noProof/>
            <w:webHidden/>
            <w:lang w:val="es-ES_tradnl"/>
          </w:rPr>
          <w:t>8</w:t>
        </w:r>
        <w:r w:rsidRPr="005E2022">
          <w:rPr>
            <w:noProof/>
            <w:webHidden/>
            <w:lang w:val="es-ES_tradnl"/>
          </w:rPr>
          <w:fldChar w:fldCharType="end"/>
        </w:r>
      </w:hyperlink>
    </w:p>
    <w:p w14:paraId="4D876507" w14:textId="200A6487" w:rsidR="005E2022" w:rsidRPr="005E2022" w:rsidRDefault="005E2022" w:rsidP="005E2022">
      <w:pPr>
        <w:pStyle w:val="TOC4"/>
        <w:tabs>
          <w:tab w:val="left" w:pos="1200"/>
          <w:tab w:val="right" w:leader="dot" w:pos="9019"/>
        </w:tabs>
        <w:rPr>
          <w:rFonts w:asciiTheme="minorHAnsi" w:eastAsiaTheme="minorEastAsia" w:hAnsiTheme="minorHAnsi" w:cstheme="minorBidi"/>
          <w:noProof/>
          <w:sz w:val="24"/>
          <w:szCs w:val="24"/>
          <w:lang w:val="es-ES_tradnl"/>
        </w:rPr>
      </w:pPr>
      <w:hyperlink w:anchor="_Toc230681448" w:history="1">
        <w:r w:rsidRPr="005E2022">
          <w:rPr>
            <w:rStyle w:val="Hyperlink"/>
            <w:noProof/>
            <w:lang w:val="es-ES_tradnl"/>
          </w:rPr>
          <w:t>H.</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Otros asuntos</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_Toc230681448 \h </w:instrText>
        </w:r>
        <w:r w:rsidRPr="005E2022">
          <w:rPr>
            <w:noProof/>
            <w:webHidden/>
            <w:lang w:val="es-ES_tradnl"/>
          </w:rPr>
        </w:r>
        <w:r w:rsidRPr="005E2022">
          <w:rPr>
            <w:noProof/>
            <w:webHidden/>
            <w:lang w:val="es-ES_tradnl"/>
          </w:rPr>
          <w:fldChar w:fldCharType="separate"/>
        </w:r>
        <w:r w:rsidR="00A5398B">
          <w:rPr>
            <w:noProof/>
            <w:webHidden/>
            <w:lang w:val="es-ES_tradnl"/>
          </w:rPr>
          <w:t>8</w:t>
        </w:r>
        <w:r w:rsidRPr="005E2022">
          <w:rPr>
            <w:noProof/>
            <w:webHidden/>
            <w:lang w:val="es-ES_tradnl"/>
          </w:rPr>
          <w:fldChar w:fldCharType="end"/>
        </w:r>
      </w:hyperlink>
    </w:p>
    <w:p w14:paraId="5E3BA34B" w14:textId="18B594B8" w:rsidR="005E2022" w:rsidRPr="005E2022" w:rsidRDefault="005E2022" w:rsidP="005E2022">
      <w:pPr>
        <w:pStyle w:val="TOC3"/>
        <w:rPr>
          <w:rFonts w:asciiTheme="minorHAnsi" w:eastAsiaTheme="minorEastAsia" w:hAnsiTheme="minorHAnsi" w:cstheme="minorBidi"/>
          <w:noProof/>
          <w:sz w:val="24"/>
          <w:szCs w:val="24"/>
          <w:lang w:val="es-ES_tradnl"/>
        </w:rPr>
      </w:pPr>
      <w:hyperlink w:anchor="_Toc230681449" w:history="1">
        <w:r w:rsidRPr="005E2022">
          <w:rPr>
            <w:rStyle w:val="Hyperlink"/>
            <w:noProof/>
            <w:lang w:val="es-ES_tradnl"/>
          </w:rPr>
          <w:t>IV.</w:t>
        </w:r>
        <w:r w:rsidRPr="005E2022">
          <w:rPr>
            <w:rFonts w:asciiTheme="minorHAnsi" w:eastAsiaTheme="minorEastAsia" w:hAnsiTheme="minorHAnsi" w:cstheme="minorBidi"/>
            <w:noProof/>
            <w:sz w:val="24"/>
            <w:szCs w:val="24"/>
            <w:lang w:val="es-ES_tradnl"/>
          </w:rPr>
          <w:tab/>
        </w:r>
        <w:r w:rsidRPr="005E2022">
          <w:rPr>
            <w:rStyle w:val="Hyperlink"/>
            <w:noProof/>
            <w:lang w:val="es-ES_tradnl"/>
          </w:rPr>
          <w:t>OBSERVACIONES FINALES</w:t>
        </w:r>
        <w:r w:rsidRPr="005E2022">
          <w:rPr>
            <w:noProof/>
            <w:webHidden/>
            <w:lang w:val="es-ES_tradnl"/>
          </w:rPr>
          <w:tab/>
        </w:r>
        <w:r w:rsidRPr="005E2022">
          <w:rPr>
            <w:noProof/>
            <w:webHidden/>
            <w:lang w:val="es-ES_tradnl"/>
          </w:rPr>
          <w:fldChar w:fldCharType="begin"/>
        </w:r>
        <w:r w:rsidRPr="005E2022">
          <w:rPr>
            <w:noProof/>
            <w:webHidden/>
            <w:lang w:val="es-ES_tradnl"/>
          </w:rPr>
          <w:instrText xml:space="preserve"> PAGEREF _Toc230681449 \h </w:instrText>
        </w:r>
        <w:r w:rsidRPr="005E2022">
          <w:rPr>
            <w:noProof/>
            <w:webHidden/>
            <w:lang w:val="es-ES_tradnl"/>
          </w:rPr>
        </w:r>
        <w:r w:rsidRPr="005E2022">
          <w:rPr>
            <w:noProof/>
            <w:webHidden/>
            <w:lang w:val="es-ES_tradnl"/>
          </w:rPr>
          <w:fldChar w:fldCharType="separate"/>
        </w:r>
        <w:r w:rsidR="00A5398B">
          <w:rPr>
            <w:noProof/>
            <w:webHidden/>
            <w:lang w:val="es-ES_tradnl"/>
          </w:rPr>
          <w:t>9</w:t>
        </w:r>
        <w:r w:rsidRPr="005E2022">
          <w:rPr>
            <w:noProof/>
            <w:webHidden/>
            <w:lang w:val="es-ES_tradnl"/>
          </w:rPr>
          <w:fldChar w:fldCharType="end"/>
        </w:r>
      </w:hyperlink>
    </w:p>
    <w:p w14:paraId="30F467B6" w14:textId="77777777" w:rsidR="005E2022" w:rsidRPr="005E2022" w:rsidRDefault="005E2022" w:rsidP="005E2022">
      <w:pPr>
        <w:rPr>
          <w:rFonts w:eastAsia="Times New Roman"/>
          <w:lang w:val="es-ES_tradnl"/>
        </w:rPr>
      </w:pPr>
      <w:r w:rsidRPr="005E2022">
        <w:rPr>
          <w:rFonts w:eastAsia="Times New Roman"/>
          <w:lang w:val="es-ES_tradnl"/>
        </w:rPr>
        <w:fldChar w:fldCharType="end"/>
      </w:r>
      <w:r w:rsidRPr="005E2022">
        <w:rPr>
          <w:lang w:val="es-ES_tradnl"/>
        </w:rPr>
        <w:br w:type="page"/>
      </w:r>
    </w:p>
    <w:p w14:paraId="2B3B8770" w14:textId="77777777" w:rsidR="005E2022" w:rsidRPr="005E2022" w:rsidRDefault="005E2022" w:rsidP="005E2022">
      <w:pPr>
        <w:spacing w:after="120"/>
        <w:outlineLvl w:val="2"/>
        <w:rPr>
          <w:rFonts w:eastAsia="Times New Roman"/>
          <w:b/>
          <w:bCs/>
          <w:lang w:val="es-ES_tradnl"/>
        </w:rPr>
      </w:pPr>
      <w:bookmarkStart w:id="6" w:name="_Toc230681438"/>
      <w:r w:rsidRPr="005E2022">
        <w:rPr>
          <w:b/>
          <w:lang w:val="es-ES_tradnl"/>
        </w:rPr>
        <w:lastRenderedPageBreak/>
        <w:t>I.</w:t>
      </w:r>
      <w:r w:rsidRPr="005E2022">
        <w:rPr>
          <w:b/>
          <w:lang w:val="es-ES_tradnl"/>
        </w:rPr>
        <w:tab/>
        <w:t>INTRODUCCIÓN</w:t>
      </w:r>
      <w:bookmarkEnd w:id="6"/>
    </w:p>
    <w:p w14:paraId="74091760"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De conformidad con su mandato, la Comisión Consultiva Independiente de Supervisión (CCIS) de la OMPI presenta un informe anual al Comité del Programa y Presupuesto (PBC) y a la Asamblea General de la OMPI.</w:t>
      </w:r>
    </w:p>
    <w:p w14:paraId="1BD2A0DC" w14:textId="77777777" w:rsidR="005E2022" w:rsidRPr="005E2022" w:rsidRDefault="005E2022" w:rsidP="005E2022">
      <w:pPr>
        <w:rPr>
          <w:rFonts w:eastAsia="Times New Roman"/>
          <w:lang w:val="es-ES_tradnl"/>
        </w:rPr>
      </w:pPr>
    </w:p>
    <w:p w14:paraId="7A71C972"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CCIS (o “Comisión”) se creó en 2005. Es un órgano subsidiario de la Asamblea General de la OMPI y del PBC. Presta servicios de asesoramiento especializado independiente y asiste a la Asamblea General de la OMPI y al PBC en el desempeño de sus funciones de supervisión.</w:t>
      </w:r>
    </w:p>
    <w:p w14:paraId="7A4A1D16" w14:textId="77777777" w:rsidR="005E2022" w:rsidRPr="005E2022" w:rsidRDefault="005E2022" w:rsidP="005E2022">
      <w:pPr>
        <w:rPr>
          <w:rFonts w:eastAsia="Times New Roman"/>
          <w:lang w:val="es-ES_tradnl"/>
        </w:rPr>
      </w:pPr>
    </w:p>
    <w:p w14:paraId="084ACCCE" w14:textId="01B90429" w:rsidR="005E2022" w:rsidRPr="005E2022" w:rsidRDefault="005E2022" w:rsidP="005E2022">
      <w:pPr>
        <w:numPr>
          <w:ilvl w:val="0"/>
          <w:numId w:val="10"/>
        </w:numPr>
        <w:tabs>
          <w:tab w:val="clear" w:pos="720"/>
        </w:tabs>
        <w:spacing w:after="480"/>
        <w:ind w:left="0" w:firstLine="0"/>
        <w:rPr>
          <w:rFonts w:eastAsia="Times New Roman"/>
          <w:lang w:val="es-ES_tradnl"/>
        </w:rPr>
      </w:pPr>
      <w:r w:rsidRPr="005E2022">
        <w:rPr>
          <w:lang w:val="es-ES_tradnl"/>
        </w:rPr>
        <w:t>El presente informe abarca el período comprendido entre el 29 de marzo de 2025 y el 20 de marzo de 2026. En la sección II del presente informe figura una reseña de las sesiones trimestrales de la Comisión, su composición y metodología. En la sección III se detallan las cuestiones debatidas y examinadas por la Comisión durante el período que abarca el informe.</w:t>
      </w:r>
    </w:p>
    <w:p w14:paraId="637E673F" w14:textId="4E204AB8" w:rsidR="005E2022" w:rsidRPr="005E2022" w:rsidRDefault="005E2022" w:rsidP="005E2022">
      <w:pPr>
        <w:spacing w:after="120"/>
        <w:outlineLvl w:val="2"/>
        <w:rPr>
          <w:rFonts w:eastAsia="Times New Roman"/>
          <w:b/>
          <w:bCs/>
          <w:lang w:val="es-ES_tradnl"/>
        </w:rPr>
      </w:pPr>
      <w:bookmarkStart w:id="7" w:name="_Toc230681439"/>
      <w:r w:rsidRPr="005E2022">
        <w:rPr>
          <w:b/>
          <w:lang w:val="es-ES_tradnl"/>
        </w:rPr>
        <w:t>II.</w:t>
      </w:r>
      <w:r w:rsidRPr="005E2022">
        <w:rPr>
          <w:b/>
          <w:lang w:val="es-ES_tradnl"/>
        </w:rPr>
        <w:tab/>
        <w:t xml:space="preserve">SESIONES </w:t>
      </w:r>
      <w:r w:rsidRPr="005E2022">
        <w:rPr>
          <w:rFonts w:eastAsia="Times New Roman"/>
          <w:b/>
          <w:bCs/>
          <w:lang w:val="es-ES_tradnl"/>
        </w:rPr>
        <w:t>TRIMESTRALES</w:t>
      </w:r>
      <w:r w:rsidRPr="005E2022">
        <w:rPr>
          <w:b/>
          <w:lang w:val="es-ES_tradnl"/>
        </w:rPr>
        <w:t>, COMPOSICIÓN Y MÉTODOS DE TRABAJO</w:t>
      </w:r>
      <w:bookmarkEnd w:id="7"/>
    </w:p>
    <w:p w14:paraId="0D619166" w14:textId="77777777" w:rsidR="005E2022" w:rsidRPr="005E2022" w:rsidRDefault="005E2022" w:rsidP="005E2022">
      <w:pPr>
        <w:ind w:firstLine="567"/>
        <w:rPr>
          <w:rFonts w:eastAsia="Times New Roman"/>
          <w:i/>
          <w:iCs/>
          <w:lang w:val="es-ES_tradnl"/>
        </w:rPr>
      </w:pPr>
      <w:r w:rsidRPr="005E2022">
        <w:rPr>
          <w:i/>
          <w:lang w:val="es-ES_tradnl"/>
        </w:rPr>
        <w:t>Sesiones trimestrales</w:t>
      </w:r>
    </w:p>
    <w:p w14:paraId="73139E24" w14:textId="77777777" w:rsidR="005E2022" w:rsidRPr="005E2022" w:rsidRDefault="005E2022" w:rsidP="005E2022">
      <w:pPr>
        <w:rPr>
          <w:rFonts w:eastAsia="Times New Roman"/>
          <w:lang w:val="es-ES_tradnl"/>
        </w:rPr>
      </w:pPr>
    </w:p>
    <w:p w14:paraId="52A6C2BD" w14:textId="798008BE"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el período de referencia, la Comisión celebró cuatro sesiones trimestrales: la 77.ª, del 2 al 6 de junio de 2025; la 78.ª, del 22 al 26 de septiembre de 2025; la 79.ª, del 8 al 12 de diciembre de 2025, y la 80.ª, del 16 al 20 de marzo de 2026. De conformidad con su mandato, la Comisión celebró reuniones informativas con los representantes de los Estados miembros después de todas las sesiones. Los informes de todas las sesiones de la Comisión se publican en el sitio web de la OMPI.</w:t>
      </w:r>
    </w:p>
    <w:p w14:paraId="6289A9A5" w14:textId="77777777" w:rsidR="005E2022" w:rsidRPr="005E2022" w:rsidRDefault="005E2022" w:rsidP="005E2022">
      <w:pPr>
        <w:rPr>
          <w:rFonts w:eastAsia="Times New Roman"/>
          <w:lang w:val="es-ES_tradnl"/>
        </w:rPr>
      </w:pPr>
    </w:p>
    <w:p w14:paraId="563E08BD" w14:textId="77777777" w:rsidR="005E2022" w:rsidRPr="005E2022" w:rsidRDefault="005E2022" w:rsidP="005E2022">
      <w:pPr>
        <w:ind w:firstLine="567"/>
        <w:rPr>
          <w:rFonts w:eastAsia="Times New Roman"/>
          <w:i/>
          <w:iCs/>
          <w:lang w:val="es-ES_tradnl"/>
        </w:rPr>
      </w:pPr>
      <w:r w:rsidRPr="005E2022">
        <w:rPr>
          <w:i/>
          <w:lang w:val="es-ES_tradnl"/>
        </w:rPr>
        <w:t>Composición y proceso de selección de nuevos miembros</w:t>
      </w:r>
    </w:p>
    <w:p w14:paraId="24E226C9" w14:textId="77777777" w:rsidR="005E2022" w:rsidRPr="005E2022" w:rsidRDefault="005E2022" w:rsidP="005E2022">
      <w:pPr>
        <w:rPr>
          <w:rFonts w:eastAsia="Times New Roman"/>
          <w:i/>
          <w:iCs/>
          <w:lang w:val="es-ES_tradnl"/>
        </w:rPr>
      </w:pPr>
    </w:p>
    <w:p w14:paraId="12F6A49F" w14:textId="2BB464C1"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CCIS está compuesta por siete miembros procedentes de los grupos de Estados miembros de la OMPI. Los miembros actúan a título personal e independiente de los Estados miembros. En su 79.ª sesión, celebrada en diciembre de 2025, la Comisión eligió al Sr. Kamlesh Vikamsey como presidente y al Sr. Danil Kerimi como vicepresidente para el año 2026. El Sr. David Kanja presidió las sesiones 77.ª a 79.ª con el Sr. Vikamsey como vicepresidente.</w:t>
      </w:r>
    </w:p>
    <w:p w14:paraId="1B1612B3" w14:textId="77777777" w:rsidR="005E2022" w:rsidRPr="005E2022" w:rsidRDefault="005E2022" w:rsidP="005E2022">
      <w:pPr>
        <w:rPr>
          <w:rFonts w:eastAsia="Times New Roman"/>
          <w:lang w:val="es-ES_tradnl"/>
        </w:rPr>
      </w:pPr>
    </w:p>
    <w:p w14:paraId="38D81393"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En su 79.ª sesión, los miembros de la Comisión expresaron su agradecimiento a los miembros salientes, los Sres. Bert Keuppens (Grupo B) e Igors Ludboržs (Grupo de Estados de Europa Central y el Báltico (CEBS)), por sus excelentes y amplias contribuciones a la labor de la Comisión durante sus mandatos. La Comisión también solicitó a la Secretaría que organizara un programa de incorporación estructurado para los nuevos miembros.</w:t>
      </w:r>
    </w:p>
    <w:p w14:paraId="5473D13B" w14:textId="77777777" w:rsidR="005E2022" w:rsidRPr="005E2022" w:rsidRDefault="005E2022" w:rsidP="005E2022">
      <w:pPr>
        <w:rPr>
          <w:rFonts w:eastAsia="Times New Roman"/>
          <w:lang w:val="es-ES_tradnl"/>
        </w:rPr>
      </w:pPr>
    </w:p>
    <w:p w14:paraId="7A2EB4AC"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De conformidad con el proceso de selección descrito en el Anexo IV del Reglamento Financiero y Reglamentación Financiera de la OMPI, la Comisión está compuesta actualmente por los siguientes miembros:</w:t>
      </w:r>
    </w:p>
    <w:p w14:paraId="6CD62E6E" w14:textId="77777777" w:rsidR="005E2022" w:rsidRPr="005E2022" w:rsidRDefault="005E2022" w:rsidP="005E2022">
      <w:pPr>
        <w:rPr>
          <w:rFonts w:eastAsia="Times New Roman"/>
          <w:lang w:val="es-ES_tradnl"/>
        </w:rPr>
      </w:pPr>
    </w:p>
    <w:p w14:paraId="6FC02D37" w14:textId="77777777" w:rsidR="005E2022" w:rsidRPr="005E2022" w:rsidRDefault="005E2022" w:rsidP="005E2022">
      <w:pPr>
        <w:pStyle w:val="ListParagraph"/>
        <w:numPr>
          <w:ilvl w:val="1"/>
          <w:numId w:val="11"/>
        </w:numPr>
        <w:spacing w:before="0" w:after="0"/>
        <w:ind w:left="1134" w:hanging="425"/>
        <w:rPr>
          <w:rFonts w:eastAsia="Times New Roman" w:cs="Arial"/>
          <w:kern w:val="0"/>
          <w:lang w:val="es-ES_tradnl"/>
          <w14:ligatures w14:val="none"/>
        </w:rPr>
      </w:pPr>
      <w:r w:rsidRPr="005E2022">
        <w:rPr>
          <w:lang w:val="es-ES_tradnl"/>
        </w:rPr>
        <w:t>Sr. Kamlesh Vikamsey, presidente (Grupo de Asia y el Pacífico);</w:t>
      </w:r>
    </w:p>
    <w:p w14:paraId="3A938F8A" w14:textId="77777777" w:rsidR="005E2022" w:rsidRPr="005E2022" w:rsidRDefault="005E2022" w:rsidP="005E2022">
      <w:pPr>
        <w:pStyle w:val="ListParagraph"/>
        <w:numPr>
          <w:ilvl w:val="1"/>
          <w:numId w:val="11"/>
        </w:numPr>
        <w:spacing w:before="0" w:after="0"/>
        <w:ind w:left="1134" w:hanging="425"/>
        <w:rPr>
          <w:rFonts w:eastAsia="Times New Roman" w:cs="Arial"/>
          <w:kern w:val="0"/>
          <w:lang w:val="es-ES_tradnl"/>
          <w14:ligatures w14:val="none"/>
        </w:rPr>
      </w:pPr>
      <w:r w:rsidRPr="005E2022">
        <w:rPr>
          <w:lang w:val="es-ES_tradnl"/>
        </w:rPr>
        <w:t>Sr. Danil Kerimi, vicepresidente (Grupo de Países de Asia Central, el Cáucaso y Europa Oriental (CACEEC));</w:t>
      </w:r>
    </w:p>
    <w:p w14:paraId="49F68503" w14:textId="77777777" w:rsidR="005E2022" w:rsidRPr="005E2022" w:rsidRDefault="005E2022" w:rsidP="005E2022">
      <w:pPr>
        <w:pStyle w:val="ListParagraph"/>
        <w:numPr>
          <w:ilvl w:val="1"/>
          <w:numId w:val="11"/>
        </w:numPr>
        <w:spacing w:before="0" w:after="0"/>
        <w:ind w:left="1134" w:hanging="425"/>
        <w:rPr>
          <w:rFonts w:eastAsia="Times New Roman" w:cs="Arial"/>
          <w:kern w:val="0"/>
          <w:lang w:val="es-ES_tradnl"/>
          <w14:ligatures w14:val="none"/>
        </w:rPr>
      </w:pPr>
      <w:r w:rsidRPr="005E2022">
        <w:rPr>
          <w:lang w:val="es-ES_tradnl"/>
        </w:rPr>
        <w:t>Sr. David Kanja (Grupo Africano);</w:t>
      </w:r>
    </w:p>
    <w:p w14:paraId="1159A2CD" w14:textId="77777777" w:rsidR="005E2022" w:rsidRPr="005E2022" w:rsidRDefault="005E2022" w:rsidP="005E2022">
      <w:pPr>
        <w:pStyle w:val="ListParagraph"/>
        <w:numPr>
          <w:ilvl w:val="1"/>
          <w:numId w:val="11"/>
        </w:numPr>
        <w:spacing w:before="0" w:after="0"/>
        <w:ind w:left="1134" w:hanging="425"/>
        <w:rPr>
          <w:rFonts w:eastAsia="Times New Roman" w:cs="Arial"/>
          <w:kern w:val="0"/>
          <w:lang w:val="es-ES_tradnl"/>
          <w14:ligatures w14:val="none"/>
        </w:rPr>
      </w:pPr>
      <w:r w:rsidRPr="005E2022">
        <w:rPr>
          <w:lang w:val="es-ES_tradnl"/>
        </w:rPr>
        <w:t xml:space="preserve">Sra. Elena Atanasova (Grupo de Estados de Europa Central y el Báltico (CEBS)); </w:t>
      </w:r>
    </w:p>
    <w:p w14:paraId="36C75CBA" w14:textId="77777777" w:rsidR="005E2022" w:rsidRPr="005E2022" w:rsidRDefault="005E2022" w:rsidP="005E2022">
      <w:pPr>
        <w:pStyle w:val="ListParagraph"/>
        <w:numPr>
          <w:ilvl w:val="1"/>
          <w:numId w:val="11"/>
        </w:numPr>
        <w:spacing w:before="0" w:after="0"/>
        <w:ind w:left="1134" w:hanging="425"/>
        <w:rPr>
          <w:rFonts w:eastAsia="Times New Roman" w:cs="Arial"/>
          <w:kern w:val="0"/>
          <w:lang w:val="es-ES_tradnl"/>
          <w14:ligatures w14:val="none"/>
        </w:rPr>
      </w:pPr>
      <w:r w:rsidRPr="005E2022">
        <w:rPr>
          <w:lang w:val="es-ES_tradnl"/>
        </w:rPr>
        <w:t>Sr. Guan Jian (China);</w:t>
      </w:r>
    </w:p>
    <w:p w14:paraId="193D25A3" w14:textId="77777777" w:rsidR="005E2022" w:rsidRPr="005E2022" w:rsidRDefault="005E2022" w:rsidP="005E2022">
      <w:pPr>
        <w:pStyle w:val="ListParagraph"/>
        <w:numPr>
          <w:ilvl w:val="1"/>
          <w:numId w:val="11"/>
        </w:numPr>
        <w:spacing w:before="0" w:after="0"/>
        <w:ind w:left="1134" w:hanging="425"/>
        <w:rPr>
          <w:rFonts w:eastAsia="Times New Roman" w:cs="Arial"/>
          <w:kern w:val="0"/>
          <w:lang w:val="es-ES_tradnl"/>
          <w14:ligatures w14:val="none"/>
        </w:rPr>
      </w:pPr>
      <w:r w:rsidRPr="005E2022">
        <w:rPr>
          <w:lang w:val="es-ES_tradnl"/>
        </w:rPr>
        <w:lastRenderedPageBreak/>
        <w:t>Sr. German Deffit (Grupo de Países de América Latina y el Caribe (GRULAC)); y</w:t>
      </w:r>
    </w:p>
    <w:p w14:paraId="59D99E6D" w14:textId="77777777" w:rsidR="005E2022" w:rsidRPr="005E2022" w:rsidRDefault="005E2022" w:rsidP="005E2022">
      <w:pPr>
        <w:pStyle w:val="ListParagraph"/>
        <w:numPr>
          <w:ilvl w:val="1"/>
          <w:numId w:val="11"/>
        </w:numPr>
        <w:spacing w:before="0" w:after="0"/>
        <w:ind w:left="1134" w:hanging="425"/>
        <w:rPr>
          <w:rFonts w:eastAsia="Times New Roman" w:cs="Arial"/>
          <w:kern w:val="0"/>
          <w:lang w:val="es-ES_tradnl"/>
          <w14:ligatures w14:val="none"/>
        </w:rPr>
      </w:pPr>
      <w:r w:rsidRPr="005E2022">
        <w:rPr>
          <w:lang w:val="es-ES_tradnl"/>
        </w:rPr>
        <w:t>Sr. Robert Samels (Grupo B).</w:t>
      </w:r>
    </w:p>
    <w:p w14:paraId="0C9FAEFE" w14:textId="77777777" w:rsidR="005E2022" w:rsidRPr="005E2022" w:rsidRDefault="005E2022" w:rsidP="005E2022">
      <w:pPr>
        <w:rPr>
          <w:rFonts w:eastAsia="Times New Roman"/>
          <w:lang w:val="es-ES_tradnl"/>
        </w:rPr>
      </w:pPr>
    </w:p>
    <w:p w14:paraId="6508EF42"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composición de la Comisión refleja una combinación y un equilibrio adecuados de competencias, conocimientos especializados y experiencia.</w:t>
      </w:r>
    </w:p>
    <w:p w14:paraId="22CF9E88" w14:textId="77777777" w:rsidR="005E2022" w:rsidRPr="005E2022" w:rsidRDefault="005E2022" w:rsidP="005E2022">
      <w:pPr>
        <w:rPr>
          <w:rFonts w:eastAsia="Times New Roman"/>
          <w:lang w:val="es-ES_tradnl"/>
        </w:rPr>
      </w:pPr>
    </w:p>
    <w:p w14:paraId="12017BEF" w14:textId="77777777" w:rsidR="005E2022" w:rsidRPr="005E2022" w:rsidRDefault="005E2022" w:rsidP="005E2022">
      <w:pPr>
        <w:ind w:firstLine="567"/>
        <w:rPr>
          <w:rFonts w:eastAsia="Times New Roman"/>
          <w:i/>
          <w:iCs/>
          <w:lang w:val="es-ES_tradnl"/>
        </w:rPr>
      </w:pPr>
      <w:r w:rsidRPr="005E2022">
        <w:rPr>
          <w:i/>
          <w:lang w:val="es-ES_tradnl"/>
        </w:rPr>
        <w:t>Métodos de trabajo</w:t>
      </w:r>
    </w:p>
    <w:p w14:paraId="5DFC3FF6" w14:textId="77777777" w:rsidR="005E2022" w:rsidRPr="005E2022" w:rsidRDefault="005E2022" w:rsidP="005E2022">
      <w:pPr>
        <w:rPr>
          <w:rFonts w:eastAsia="Times New Roman"/>
          <w:lang w:val="es-ES_tradnl"/>
        </w:rPr>
      </w:pPr>
    </w:p>
    <w:p w14:paraId="312EACCA"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presta asesoramiento especializado en colaboración con el director general de la OMPI, el personal de la Secretaría, la DSI y el auditor externo, basándose principalmente en los informes, las presentaciones y la información que se le facilitan. Además, delibera sobre cuestiones pertinentes a fin de formular sus evaluaciones y conclusiones.</w:t>
      </w:r>
    </w:p>
    <w:p w14:paraId="66A794DA" w14:textId="77777777" w:rsidR="005E2022" w:rsidRPr="005E2022" w:rsidRDefault="005E2022" w:rsidP="005E2022">
      <w:pPr>
        <w:rPr>
          <w:rFonts w:eastAsia="Times New Roman"/>
          <w:lang w:val="es-ES_tradnl"/>
        </w:rPr>
      </w:pPr>
      <w:r w:rsidRPr="005E2022">
        <w:rPr>
          <w:lang w:val="es-ES_tradnl"/>
        </w:rPr>
        <w:t xml:space="preserve"> </w:t>
      </w:r>
    </w:p>
    <w:p w14:paraId="4606565F"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el período de referencia, la Comisión se reunió con el director general y la alta Dirección para examinar la evolución del entorno geopolítico y geoeconómico, en particular su impacto en las tasas de presentación de solicitudes de los servicios mundiales de PI de la OMPI, que inicialmente disminuyeron con respecto a las previsiones, antes de recuperarse posteriormente. La Comisión recibió información detallada y actualizada sobre los resultados financieros de la Organización y tomó nota del superávit obtenido en 2024 y de los resultados de explotación positivos registrados en el primer semestre de 2025. La Comisión también examinó las prioridades estratégicas del programa de trabajo y presupuesto para 2026-2027, incluido el establecimiento del Fondo de Aceleración del Desarrollo, el impacto de la IA en las operaciones y la participación de la OMPI en la Iniciativa UN80.</w:t>
      </w:r>
    </w:p>
    <w:p w14:paraId="7C2C58EB" w14:textId="77777777" w:rsidR="005E2022" w:rsidRPr="005E2022" w:rsidRDefault="005E2022" w:rsidP="005E2022">
      <w:pPr>
        <w:rPr>
          <w:rFonts w:eastAsia="Times New Roman"/>
          <w:lang w:val="es-ES_tradnl"/>
        </w:rPr>
      </w:pPr>
    </w:p>
    <w:p w14:paraId="4C5C2A7A" w14:textId="77777777" w:rsidR="005E2022" w:rsidRPr="005E2022" w:rsidRDefault="005E2022" w:rsidP="005E2022">
      <w:pPr>
        <w:ind w:firstLine="567"/>
        <w:rPr>
          <w:rFonts w:eastAsia="Times New Roman"/>
          <w:i/>
          <w:iCs/>
          <w:lang w:val="es-ES_tradnl"/>
        </w:rPr>
      </w:pPr>
      <w:r w:rsidRPr="005E2022">
        <w:rPr>
          <w:i/>
          <w:lang w:val="es-ES_tradnl"/>
        </w:rPr>
        <w:t>Autoevaluación de la CCIS y evaluación independiente del desempeño</w:t>
      </w:r>
    </w:p>
    <w:p w14:paraId="06D674F2" w14:textId="77777777" w:rsidR="005E2022" w:rsidRPr="005E2022" w:rsidRDefault="005E2022" w:rsidP="005E2022">
      <w:pPr>
        <w:rPr>
          <w:rFonts w:eastAsia="Times New Roman"/>
          <w:lang w:val="es-ES_tradnl"/>
        </w:rPr>
      </w:pPr>
    </w:p>
    <w:p w14:paraId="6C512D98"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su 79.ª sesión, la Comisión llevó a cabo su ejercicio anual de autoevaluación utilizando los criterios de la Dependencia Común de Inspección (DCI) sobre buenas prácticas para los comités de auditoría y supervisión. La evaluación concluyó que la CCIS cumplía todos los criterios y funcionaba de manera eficaz. Los detalles de esta autoevaluación se adjuntan al informe de la 79.ª sesión de la Comisión.</w:t>
      </w:r>
    </w:p>
    <w:p w14:paraId="014F1D94" w14:textId="77777777" w:rsidR="005E2022" w:rsidRPr="005E2022" w:rsidRDefault="005E2022" w:rsidP="005E2022">
      <w:pPr>
        <w:rPr>
          <w:rFonts w:eastAsia="Times New Roman"/>
          <w:lang w:val="es-ES_tradnl"/>
        </w:rPr>
      </w:pPr>
    </w:p>
    <w:p w14:paraId="3607E5B3" w14:textId="72EA11D9" w:rsidR="005E2022" w:rsidRPr="005E2022" w:rsidRDefault="005E2022" w:rsidP="005E2022">
      <w:pPr>
        <w:numPr>
          <w:ilvl w:val="0"/>
          <w:numId w:val="10"/>
        </w:numPr>
        <w:tabs>
          <w:tab w:val="clear" w:pos="720"/>
        </w:tabs>
        <w:spacing w:after="480"/>
        <w:ind w:left="0" w:firstLine="0"/>
        <w:rPr>
          <w:rFonts w:eastAsia="Times New Roman"/>
          <w:lang w:val="es-ES_tradnl"/>
        </w:rPr>
      </w:pPr>
      <w:r w:rsidRPr="005E2022">
        <w:rPr>
          <w:lang w:val="es-ES_tradnl"/>
        </w:rPr>
        <w:t>Además, de conformidad con su mandato, que exige una evaluación independiente del desempeño cada tres años, la Comisión debatió sobre las disposiciones para llevar a cabo dicha evaluación en los próximos meses. La evaluación incluirá una encuesta a las principales partes interesadas, entre las que se encuentran los Estados miembros.</w:t>
      </w:r>
    </w:p>
    <w:p w14:paraId="6803CB5B" w14:textId="146A89DE" w:rsidR="005E2022" w:rsidRPr="005E2022" w:rsidRDefault="005E2022" w:rsidP="005E2022">
      <w:pPr>
        <w:outlineLvl w:val="2"/>
        <w:rPr>
          <w:rFonts w:eastAsia="Times New Roman"/>
          <w:b/>
          <w:bCs/>
          <w:lang w:val="es-ES_tradnl"/>
        </w:rPr>
      </w:pPr>
      <w:bookmarkStart w:id="8" w:name="_Toc230681440"/>
      <w:r w:rsidRPr="005E2022">
        <w:rPr>
          <w:b/>
          <w:lang w:val="es-ES_tradnl"/>
        </w:rPr>
        <w:t>III.</w:t>
      </w:r>
      <w:r w:rsidRPr="005E2022">
        <w:rPr>
          <w:b/>
          <w:lang w:val="es-ES_tradnl"/>
        </w:rPr>
        <w:tab/>
        <w:t>ASUNTOS DEBATIDOS Y EXAMINADOS</w:t>
      </w:r>
      <w:bookmarkEnd w:id="8"/>
    </w:p>
    <w:p w14:paraId="749D5F43" w14:textId="77777777" w:rsidR="005E2022" w:rsidRPr="005E2022" w:rsidRDefault="005E2022" w:rsidP="005E2022">
      <w:pPr>
        <w:outlineLvl w:val="2"/>
        <w:rPr>
          <w:rFonts w:eastAsia="Times New Roman"/>
          <w:b/>
          <w:bCs/>
          <w:lang w:val="es-ES_tradnl"/>
        </w:rPr>
      </w:pPr>
    </w:p>
    <w:p w14:paraId="545C7B2F" w14:textId="5A076F06" w:rsidR="005E2022" w:rsidRPr="005E2022" w:rsidRDefault="005E2022" w:rsidP="005E2022">
      <w:pPr>
        <w:outlineLvl w:val="3"/>
        <w:rPr>
          <w:rFonts w:eastAsia="Times New Roman"/>
          <w:b/>
          <w:bCs/>
          <w:u w:val="single"/>
          <w:lang w:val="es-ES_tradnl"/>
        </w:rPr>
      </w:pPr>
      <w:bookmarkStart w:id="9" w:name="_Toc230681441"/>
      <w:r w:rsidRPr="005E2022">
        <w:rPr>
          <w:lang w:val="es-ES_tradnl"/>
        </w:rPr>
        <w:t>A.</w:t>
      </w:r>
      <w:r w:rsidRPr="005E2022">
        <w:rPr>
          <w:lang w:val="es-ES_tradnl"/>
        </w:rPr>
        <w:tab/>
      </w:r>
      <w:r w:rsidRPr="005E2022">
        <w:rPr>
          <w:u w:val="single"/>
          <w:lang w:val="es-ES_tradnl"/>
        </w:rPr>
        <w:t>Supervisión interna</w:t>
      </w:r>
      <w:bookmarkEnd w:id="9"/>
    </w:p>
    <w:p w14:paraId="7AEE9F00" w14:textId="77777777" w:rsidR="005E2022" w:rsidRPr="005E2022" w:rsidRDefault="005E2022" w:rsidP="005E2022">
      <w:pPr>
        <w:outlineLvl w:val="3"/>
        <w:rPr>
          <w:rFonts w:eastAsia="Times New Roman"/>
          <w:b/>
          <w:bCs/>
          <w:lang w:val="es-ES_tradnl"/>
        </w:rPr>
      </w:pPr>
    </w:p>
    <w:p w14:paraId="2F56B68A" w14:textId="77777777" w:rsidR="005E2022" w:rsidRPr="005E2022" w:rsidRDefault="005E2022" w:rsidP="005E2022">
      <w:pPr>
        <w:ind w:left="567"/>
        <w:rPr>
          <w:rFonts w:eastAsia="Times New Roman"/>
          <w:i/>
          <w:iCs/>
          <w:lang w:val="es-ES_tradnl"/>
        </w:rPr>
      </w:pPr>
      <w:r w:rsidRPr="005E2022">
        <w:rPr>
          <w:i/>
          <w:lang w:val="es-ES_tradnl"/>
        </w:rPr>
        <w:t>Ejecución del plan de trabajo de la DSI para la supervisión interna en 2025 y propuesta del plan de trabajo de la DSI para 2026</w:t>
      </w:r>
    </w:p>
    <w:p w14:paraId="2CA5A992" w14:textId="77777777" w:rsidR="005E2022" w:rsidRPr="005E2022" w:rsidRDefault="005E2022" w:rsidP="005E2022">
      <w:pPr>
        <w:rPr>
          <w:rFonts w:eastAsia="Times New Roman"/>
          <w:lang w:val="es-ES_tradnl"/>
        </w:rPr>
      </w:pPr>
    </w:p>
    <w:p w14:paraId="6A670CEB" w14:textId="11CA950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 xml:space="preserve">La Comisión examinó la ejecución del plan de trabajo de supervisión interna de la DSI para 2025 sobre la base de los informes trimestrales de actividades presentados por la DSI en cada sesión. En diciembre de 2025, la Comisión observó que la ejecución del plan de trabajo avanzaba adecuadamente, aunque la actualización de la política y el manual de evaluación seguía pendiente y se esperaba que estuviera finalizada en 2026. La Comisión también examinó el plan de trabajo de supervisión interna propuesto para 2026 y </w:t>
      </w:r>
      <w:r w:rsidRPr="005E2022">
        <w:rPr>
          <w:lang w:val="es-ES_tradnl"/>
        </w:rPr>
        <w:lastRenderedPageBreak/>
        <w:t>proporcionó sus comentarios al respecto, señalando que se basaba en el riesgo e incluía una misión de asesoramiento sobre el uso de la IA en la Organización.</w:t>
      </w:r>
    </w:p>
    <w:p w14:paraId="0E678D22" w14:textId="77777777" w:rsidR="005E2022" w:rsidRPr="005E2022" w:rsidRDefault="005E2022" w:rsidP="005E2022">
      <w:pPr>
        <w:rPr>
          <w:rFonts w:eastAsia="Times New Roman"/>
          <w:lang w:val="es-ES_tradnl"/>
        </w:rPr>
      </w:pPr>
    </w:p>
    <w:p w14:paraId="359E0B32" w14:textId="77777777" w:rsidR="005E2022" w:rsidRPr="005E2022" w:rsidRDefault="005E2022" w:rsidP="005E2022">
      <w:pPr>
        <w:ind w:firstLine="567"/>
        <w:rPr>
          <w:rFonts w:eastAsia="Times New Roman"/>
          <w:i/>
          <w:iCs/>
          <w:lang w:val="es-ES_tradnl"/>
        </w:rPr>
      </w:pPr>
      <w:r w:rsidRPr="005E2022">
        <w:rPr>
          <w:i/>
          <w:lang w:val="es-ES_tradnl"/>
        </w:rPr>
        <w:t>Informes de auditoría interna y evaluación</w:t>
      </w:r>
    </w:p>
    <w:p w14:paraId="0B205FB3" w14:textId="77777777" w:rsidR="005E2022" w:rsidRPr="005E2022" w:rsidRDefault="005E2022" w:rsidP="005E2022">
      <w:pPr>
        <w:rPr>
          <w:rFonts w:eastAsia="Times New Roman"/>
          <w:lang w:val="es-ES_tradnl"/>
        </w:rPr>
      </w:pPr>
    </w:p>
    <w:p w14:paraId="74040408"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el período de referencia, la Comisión examinó varios informes de auditoría interna y evaluación, entre ellos:</w:t>
      </w:r>
    </w:p>
    <w:p w14:paraId="591B94FA" w14:textId="77777777" w:rsidR="005E2022" w:rsidRPr="005E2022" w:rsidRDefault="005E2022" w:rsidP="005E2022">
      <w:pPr>
        <w:rPr>
          <w:rFonts w:eastAsia="Times New Roman"/>
          <w:lang w:val="es-ES_tradnl"/>
        </w:rPr>
      </w:pPr>
    </w:p>
    <w:p w14:paraId="122F0E38" w14:textId="77777777" w:rsidR="005E2022" w:rsidRPr="005E2022" w:rsidRDefault="005E2022" w:rsidP="005E2022">
      <w:pPr>
        <w:pStyle w:val="ListParagraph"/>
        <w:numPr>
          <w:ilvl w:val="1"/>
          <w:numId w:val="11"/>
        </w:numPr>
        <w:spacing w:before="0" w:after="0"/>
        <w:ind w:left="567" w:firstLine="0"/>
        <w:rPr>
          <w:rFonts w:eastAsia="Times New Roman" w:cs="Arial"/>
          <w:kern w:val="0"/>
          <w:lang w:val="es-ES_tradnl"/>
          <w14:ligatures w14:val="none"/>
        </w:rPr>
      </w:pPr>
      <w:r w:rsidRPr="005E2022">
        <w:rPr>
          <w:lang w:val="es-ES_tradnl"/>
        </w:rPr>
        <w:t>Auditoría de la gestión de la ciberseguridad:  la Comisión examinó los resultados de una auditoría de ciberseguridad de dos componentes de los sistemas informáticos de la OMPI. Sobre la base de pruebas de penetración externas de tipo “caja negra”, el nivel de seguridad se calificó de “satisfactorio”. Sin embargo, desde la perspectiva de las amenazas internas, el nivel de seguridad se calificó de “moderado-alto”, debido a problemas de configuración y otros. La Comisión supervisó la corrección de las vulnerabilidades detectadas a lo largo del año y observó que, en diciembre de 2025, se habían aplicado plenamente cinco de las doce recomendaciones y que la aplicación del resto estaba prevista para el primer trimestre de 2026.</w:t>
      </w:r>
    </w:p>
    <w:p w14:paraId="32413431" w14:textId="77777777" w:rsidR="005E2022" w:rsidRPr="005E2022" w:rsidRDefault="005E2022" w:rsidP="005E2022">
      <w:pPr>
        <w:pStyle w:val="ListParagraph"/>
        <w:spacing w:before="0" w:after="0"/>
        <w:ind w:left="567"/>
        <w:rPr>
          <w:rFonts w:eastAsia="Times New Roman" w:cs="Arial"/>
          <w:kern w:val="0"/>
          <w:lang w:val="es-ES_tradnl"/>
          <w14:ligatures w14:val="none"/>
        </w:rPr>
      </w:pPr>
    </w:p>
    <w:p w14:paraId="0A7BF7F9" w14:textId="77777777" w:rsidR="005E2022" w:rsidRPr="005E2022" w:rsidRDefault="005E2022" w:rsidP="005E2022">
      <w:pPr>
        <w:pStyle w:val="ListParagraph"/>
        <w:numPr>
          <w:ilvl w:val="1"/>
          <w:numId w:val="11"/>
        </w:numPr>
        <w:spacing w:before="0" w:after="0"/>
        <w:ind w:left="567" w:firstLine="0"/>
        <w:rPr>
          <w:rFonts w:eastAsia="Times New Roman" w:cs="Arial"/>
          <w:kern w:val="0"/>
          <w:lang w:val="es-ES_tradnl"/>
          <w14:ligatures w14:val="none"/>
        </w:rPr>
      </w:pPr>
      <w:r w:rsidRPr="005E2022">
        <w:rPr>
          <w:lang w:val="es-ES_tradnl"/>
        </w:rPr>
        <w:t>Auditoría de la gestión de inversiones:  una revisión realizada por una empresa independiente, bajo la supervisión de la DSI, obtuvo una calificación de auditoría de “satisfactoria, con algunas mejoras necesarias” en materia de gobernanza, gestión de riesgos y cumplimiento, mientras que la gestión de la cartera se calificó de “satisfactoria”. La auditoría no detectó áreas de alto riesgo.</w:t>
      </w:r>
    </w:p>
    <w:p w14:paraId="50E4B976" w14:textId="77777777" w:rsidR="005E2022" w:rsidRPr="005E2022" w:rsidRDefault="005E2022" w:rsidP="005E2022">
      <w:pPr>
        <w:pStyle w:val="ListParagraph"/>
        <w:ind w:left="567"/>
        <w:rPr>
          <w:rFonts w:eastAsia="Times New Roman" w:cs="Arial"/>
          <w:kern w:val="0"/>
          <w:lang w:val="es-ES_tradnl"/>
          <w14:ligatures w14:val="none"/>
        </w:rPr>
      </w:pPr>
    </w:p>
    <w:p w14:paraId="71ABD1EF" w14:textId="77777777" w:rsidR="005E2022" w:rsidRPr="005E2022" w:rsidRDefault="005E2022" w:rsidP="005E2022">
      <w:pPr>
        <w:pStyle w:val="ListParagraph"/>
        <w:numPr>
          <w:ilvl w:val="1"/>
          <w:numId w:val="11"/>
        </w:numPr>
        <w:spacing w:before="0" w:after="0"/>
        <w:ind w:left="567" w:firstLine="0"/>
        <w:rPr>
          <w:rFonts w:eastAsia="Times New Roman" w:cs="Arial"/>
          <w:kern w:val="0"/>
          <w:lang w:val="es-ES_tradnl"/>
          <w14:ligatures w14:val="none"/>
        </w:rPr>
      </w:pPr>
      <w:r w:rsidRPr="005E2022">
        <w:rPr>
          <w:lang w:val="es-ES_tradnl"/>
        </w:rPr>
        <w:t>Revisión de procesos operativos:  la revisión del Centro de Arbitraje y Mediación concluyó que los procesos estaban bien estructurados y señaló oportunidades para mejorar la eficiencia mediante la automatización y una mejor gestión del conocimiento. El asesoramiento sobre la experiencia del cliente y la gestión de las relaciones con los clientes puso de manifiesto la necesidad de lograr una mayor interconexión entre los proyectos de gestión de las relaciones con los clientes, planificación de recursos institucionales y gestión de datos fundamentales.</w:t>
      </w:r>
    </w:p>
    <w:p w14:paraId="67A1B781" w14:textId="77777777" w:rsidR="005E2022" w:rsidRPr="005E2022" w:rsidRDefault="005E2022" w:rsidP="005E2022">
      <w:pPr>
        <w:pStyle w:val="ListParagraph"/>
        <w:ind w:left="567"/>
        <w:rPr>
          <w:rFonts w:eastAsia="Times New Roman" w:cs="Arial"/>
          <w:kern w:val="0"/>
          <w:lang w:val="es-ES_tradnl"/>
          <w14:ligatures w14:val="none"/>
        </w:rPr>
      </w:pPr>
    </w:p>
    <w:p w14:paraId="4209CF77" w14:textId="77777777" w:rsidR="005E2022" w:rsidRPr="005E2022" w:rsidRDefault="005E2022" w:rsidP="005E2022">
      <w:pPr>
        <w:pStyle w:val="ListParagraph"/>
        <w:numPr>
          <w:ilvl w:val="1"/>
          <w:numId w:val="11"/>
        </w:numPr>
        <w:spacing w:before="0" w:after="0"/>
        <w:ind w:left="567" w:firstLine="0"/>
        <w:rPr>
          <w:rFonts w:eastAsia="Times New Roman" w:cs="Arial"/>
          <w:kern w:val="0"/>
          <w:lang w:val="es-ES_tradnl"/>
          <w14:ligatures w14:val="none"/>
        </w:rPr>
      </w:pPr>
      <w:r w:rsidRPr="005E2022">
        <w:rPr>
          <w:lang w:val="es-ES_tradnl"/>
        </w:rPr>
        <w:t>Evaluaciones:  la revisión del proceso de participación juvenil reveló que las prácticas de gobernanza, gestión de riesgos y control estaban adecuadamente diseñadas y funcionaban con eficacia. La Comisión también examinó un documento informativo sobre la DACD y concluyó que, en esa fase, no era necesaria una evaluación completa, dado que se iba a proceder a la revisión de la DCI.</w:t>
      </w:r>
    </w:p>
    <w:p w14:paraId="0D68EEE3" w14:textId="77777777" w:rsidR="005E2022" w:rsidRPr="005E2022" w:rsidRDefault="005E2022" w:rsidP="005E2022">
      <w:pPr>
        <w:rPr>
          <w:rFonts w:eastAsia="Times New Roman"/>
          <w:lang w:val="es-ES_tradnl"/>
        </w:rPr>
      </w:pPr>
    </w:p>
    <w:p w14:paraId="0DA12819" w14:textId="77777777" w:rsidR="005E2022" w:rsidRPr="005E2022" w:rsidRDefault="005E2022" w:rsidP="005E2022">
      <w:pPr>
        <w:ind w:firstLine="567"/>
        <w:rPr>
          <w:rFonts w:eastAsia="Times New Roman"/>
          <w:i/>
          <w:iCs/>
          <w:lang w:val="es-ES_tradnl"/>
        </w:rPr>
      </w:pPr>
      <w:r w:rsidRPr="005E2022">
        <w:rPr>
          <w:i/>
          <w:lang w:val="es-ES_tradnl"/>
        </w:rPr>
        <w:t>Investigaciones</w:t>
      </w:r>
    </w:p>
    <w:p w14:paraId="7A8C124F" w14:textId="77777777" w:rsidR="005E2022" w:rsidRPr="005E2022" w:rsidRDefault="005E2022" w:rsidP="005E2022">
      <w:pPr>
        <w:rPr>
          <w:rFonts w:eastAsia="Times New Roman"/>
          <w:lang w:val="es-ES_tradnl"/>
        </w:rPr>
      </w:pPr>
    </w:p>
    <w:p w14:paraId="6AA7489F"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En cada sesión, se informó a la Comisión sobre el estado de las investigaciones en curso. A diciembre de 2025, quedaban cuatro asuntos pendientes en fase de evaluación preliminar. La Comisión señaló que dos de los asuntos que se habían cerrado durante ese período estaban relacionados con la presentación de una nueva versión de una denuncia anterior. La Comisión también debatió sobre los procedimientos para gestionar las denuncias repetidas, con el fin de garantizar un uso eficiente de los recursos.</w:t>
      </w:r>
    </w:p>
    <w:p w14:paraId="2E99F991" w14:textId="77777777" w:rsidR="005E2022" w:rsidRPr="005E2022" w:rsidRDefault="005E2022" w:rsidP="005E2022">
      <w:pPr>
        <w:rPr>
          <w:rFonts w:eastAsia="Times New Roman"/>
          <w:lang w:val="es-ES_tradnl"/>
        </w:rPr>
      </w:pPr>
    </w:p>
    <w:p w14:paraId="6408088A" w14:textId="77777777" w:rsidR="005E2022" w:rsidRPr="005E2022" w:rsidRDefault="005E2022" w:rsidP="005E2022">
      <w:pPr>
        <w:ind w:firstLine="567"/>
        <w:rPr>
          <w:rFonts w:eastAsia="Times New Roman"/>
          <w:i/>
          <w:iCs/>
          <w:lang w:val="es-ES_tradnl"/>
        </w:rPr>
      </w:pPr>
      <w:r w:rsidRPr="005E2022">
        <w:rPr>
          <w:i/>
          <w:lang w:val="es-ES_tradnl"/>
        </w:rPr>
        <w:t>Garantía de calidad</w:t>
      </w:r>
    </w:p>
    <w:p w14:paraId="233C804F" w14:textId="77777777" w:rsidR="005E2022" w:rsidRPr="005E2022" w:rsidRDefault="005E2022" w:rsidP="005E2022">
      <w:pPr>
        <w:rPr>
          <w:rFonts w:eastAsia="Times New Roman"/>
          <w:lang w:val="es-ES_tradnl"/>
        </w:rPr>
      </w:pPr>
    </w:p>
    <w:p w14:paraId="631318EF"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examinó el estado de los preparativos para las evaluaciones externas de calidad de las funciones de auditoría interna e investigación, previstas para el primer trimestre de 2026. Dicha evaluación consistirá en una autoevaluación con validación externa e independiente.</w:t>
      </w:r>
    </w:p>
    <w:p w14:paraId="6EB0788A" w14:textId="77777777" w:rsidR="005E2022" w:rsidRPr="005E2022" w:rsidRDefault="005E2022" w:rsidP="005E2022">
      <w:pPr>
        <w:rPr>
          <w:rFonts w:eastAsia="Times New Roman"/>
          <w:lang w:val="es-ES_tradnl"/>
        </w:rPr>
      </w:pPr>
    </w:p>
    <w:p w14:paraId="030D3FAC" w14:textId="40EDA17E" w:rsidR="005E2022" w:rsidRPr="005E2022" w:rsidRDefault="005E2022" w:rsidP="005E2022">
      <w:pPr>
        <w:keepNext/>
        <w:outlineLvl w:val="3"/>
        <w:rPr>
          <w:rFonts w:eastAsia="Times New Roman"/>
          <w:b/>
          <w:bCs/>
          <w:lang w:val="es-ES_tradnl"/>
        </w:rPr>
      </w:pPr>
      <w:bookmarkStart w:id="10" w:name="_Toc230681442"/>
      <w:r w:rsidRPr="005E2022">
        <w:rPr>
          <w:lang w:val="es-ES_tradnl"/>
        </w:rPr>
        <w:lastRenderedPageBreak/>
        <w:t>B.</w:t>
      </w:r>
      <w:r w:rsidRPr="005E2022">
        <w:rPr>
          <w:lang w:val="es-ES_tradnl"/>
        </w:rPr>
        <w:tab/>
      </w:r>
      <w:r w:rsidRPr="005E2022">
        <w:rPr>
          <w:u w:val="single"/>
          <w:lang w:val="es-ES_tradnl"/>
        </w:rPr>
        <w:t>Auditoría externa</w:t>
      </w:r>
      <w:bookmarkEnd w:id="10"/>
    </w:p>
    <w:p w14:paraId="2E504E93" w14:textId="77777777" w:rsidR="005E2022" w:rsidRPr="005E2022" w:rsidRDefault="005E2022" w:rsidP="005E2022">
      <w:pPr>
        <w:keepNext/>
        <w:outlineLvl w:val="3"/>
        <w:rPr>
          <w:rFonts w:eastAsia="Times New Roman"/>
          <w:lang w:val="es-ES_tradnl"/>
        </w:rPr>
      </w:pPr>
    </w:p>
    <w:p w14:paraId="59E333DF"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mantuvo contactos regulares con el auditor externo, el Tribunal de Cuentas de Indonesia.</w:t>
      </w:r>
    </w:p>
    <w:p w14:paraId="7C49D404" w14:textId="77777777" w:rsidR="005E2022" w:rsidRPr="005E2022" w:rsidRDefault="005E2022" w:rsidP="005E2022">
      <w:pPr>
        <w:rPr>
          <w:rFonts w:eastAsia="Times New Roman"/>
          <w:lang w:val="es-ES_tradnl"/>
        </w:rPr>
      </w:pPr>
    </w:p>
    <w:p w14:paraId="37578DC6"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En su 77.ª sesión, celebrada en junio de 2025, la Comisión examinó el informe de auditoría detallado y los dictámenes del auditor externo correspondientes a 2024. El auditor externo emitió un dictamen sin salvedades sobre los estados financieros y la regularidad de la OMPI, y confirmó que esta cumplía con los requisitos de las IPSAS.</w:t>
      </w:r>
    </w:p>
    <w:p w14:paraId="34E6A332" w14:textId="77777777" w:rsidR="005E2022" w:rsidRPr="005E2022" w:rsidRDefault="005E2022" w:rsidP="005E2022">
      <w:pPr>
        <w:rPr>
          <w:rFonts w:eastAsia="Times New Roman"/>
          <w:lang w:val="es-ES_tradnl"/>
        </w:rPr>
      </w:pPr>
    </w:p>
    <w:p w14:paraId="0F0F8CD5"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las sesiones 78.ª y 79.ª, la Comisión examinó el memorándum de planificación de la auditoría del auditor externo y los resultados provisionales de la auditoría correspondiente a 2025. La Comisión tomó nota de que se prestaría especial atención a la contabilización de ingresos, la evaluación del riesgo de fraude y el análisis de los controles generales de TI y la ciberseguridad. A diciembre de 2025, el auditor externo informó de que, de las 11 recomendaciones objeto de seguimiento, dos se habían finalizado y nueve estaban en curso.</w:t>
      </w:r>
    </w:p>
    <w:p w14:paraId="629A8EC9" w14:textId="77777777" w:rsidR="005E2022" w:rsidRPr="005E2022" w:rsidRDefault="005E2022" w:rsidP="005E2022">
      <w:pPr>
        <w:rPr>
          <w:rFonts w:eastAsia="Times New Roman"/>
          <w:lang w:val="es-ES_tradnl"/>
        </w:rPr>
      </w:pPr>
    </w:p>
    <w:p w14:paraId="5E6492D4" w14:textId="775928BA" w:rsidR="005E2022" w:rsidRPr="005E2022" w:rsidRDefault="005E2022" w:rsidP="005E2022">
      <w:pPr>
        <w:outlineLvl w:val="3"/>
        <w:rPr>
          <w:rFonts w:eastAsia="Times New Roman"/>
          <w:b/>
          <w:bCs/>
          <w:lang w:val="es-ES_tradnl"/>
        </w:rPr>
      </w:pPr>
      <w:bookmarkStart w:id="11" w:name="_Toc230681443"/>
      <w:r w:rsidRPr="005E2022">
        <w:rPr>
          <w:lang w:val="es-ES_tradnl"/>
        </w:rPr>
        <w:t>C.</w:t>
      </w:r>
      <w:r w:rsidRPr="005E2022">
        <w:rPr>
          <w:lang w:val="es-ES_tradnl"/>
        </w:rPr>
        <w:tab/>
      </w:r>
      <w:r w:rsidRPr="005E2022">
        <w:rPr>
          <w:u w:val="single"/>
          <w:lang w:val="es-ES_tradnl"/>
        </w:rPr>
        <w:t>Informes financieros</w:t>
      </w:r>
      <w:bookmarkEnd w:id="11"/>
    </w:p>
    <w:p w14:paraId="5361B8BD" w14:textId="77777777" w:rsidR="005E2022" w:rsidRPr="005E2022" w:rsidRDefault="005E2022" w:rsidP="005E2022">
      <w:pPr>
        <w:outlineLvl w:val="3"/>
        <w:rPr>
          <w:rFonts w:eastAsia="Times New Roman"/>
          <w:b/>
          <w:bCs/>
          <w:lang w:val="es-ES_tradnl"/>
        </w:rPr>
      </w:pPr>
    </w:p>
    <w:p w14:paraId="66F90FD0" w14:textId="65813878"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su 77.ª sesión, la Comisión examinó los estados financieros anuales de 2024. La Comisión elogió a la Secretaría por la exhaustividad de dichos estados y de la información complementaria, y señaló que la Organización había cerrado el ejercicio con un superávit.</w:t>
      </w:r>
    </w:p>
    <w:p w14:paraId="7BE080A4" w14:textId="77777777" w:rsidR="005E2022" w:rsidRPr="005E2022" w:rsidRDefault="005E2022" w:rsidP="005E2022">
      <w:pPr>
        <w:rPr>
          <w:rFonts w:eastAsia="Times New Roman"/>
          <w:lang w:val="es-ES_tradnl"/>
        </w:rPr>
      </w:pPr>
    </w:p>
    <w:p w14:paraId="6EB40ADD"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recibió información actualizada sobre la gobernanza y la supervisión del nuevo plan de seguro médico para antiguos empleados. Observó que dicho plan se incluiría en los estados financieros ordinarios y sería auditado por el auditor externo. La Comisión también tomó nota de que la Asamblea General había aprobado una transferencia de 50 millones de francos suizos a la cartera estratégica.</w:t>
      </w:r>
    </w:p>
    <w:p w14:paraId="0C11A0B9" w14:textId="77777777" w:rsidR="005E2022" w:rsidRPr="005E2022" w:rsidRDefault="005E2022" w:rsidP="005E2022">
      <w:pPr>
        <w:rPr>
          <w:rFonts w:eastAsia="Times New Roman"/>
          <w:lang w:val="es-ES_tradnl"/>
        </w:rPr>
      </w:pPr>
    </w:p>
    <w:p w14:paraId="1B4F83FE"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Se informó a la Comisión sobre las repercusiones de las nuevas normas IPSAS, que entrarán en vigor en 2026 y 2027, y se señaló que no se espera que tengan un impacto financiero significativo en la OMPI. Todas las normas con un plazo de aplicación hasta 2025 ya se han aplicado.</w:t>
      </w:r>
    </w:p>
    <w:p w14:paraId="5487763F" w14:textId="77777777" w:rsidR="005E2022" w:rsidRPr="005E2022" w:rsidRDefault="005E2022" w:rsidP="005E2022">
      <w:pPr>
        <w:rPr>
          <w:rFonts w:eastAsia="Times New Roman"/>
          <w:lang w:val="es-ES_tradnl"/>
        </w:rPr>
      </w:pPr>
    </w:p>
    <w:p w14:paraId="6BD039F5"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su 80.ª sesión, la Comisión examinó una actualización sobre los acuerdos bancarios de la OMPI. Las principales actividades bancarias incluyen la gestión de efectivo y liquidez, la gestión de operaciones en moneda extranjera, las actividades de inversión de efectivo y los servicios de custodia. La Comisión debatió sobre la gestión de los límites de exposición y la concentración de actividades dentro de un mismo banco, y ofreció su asesoramiento al respecto.</w:t>
      </w:r>
    </w:p>
    <w:p w14:paraId="2E4C5B80" w14:textId="77777777" w:rsidR="005E2022" w:rsidRPr="005E2022" w:rsidRDefault="005E2022" w:rsidP="005E2022">
      <w:pPr>
        <w:rPr>
          <w:rFonts w:eastAsia="Times New Roman"/>
          <w:lang w:val="es-ES_tradnl"/>
        </w:rPr>
      </w:pPr>
    </w:p>
    <w:p w14:paraId="425EFBC4" w14:textId="57590DCE" w:rsidR="005E2022" w:rsidRPr="005E2022" w:rsidRDefault="005E2022" w:rsidP="005E2022">
      <w:pPr>
        <w:outlineLvl w:val="3"/>
        <w:rPr>
          <w:rFonts w:eastAsia="Times New Roman"/>
          <w:b/>
          <w:bCs/>
          <w:lang w:val="es-ES_tradnl"/>
        </w:rPr>
      </w:pPr>
      <w:bookmarkStart w:id="12" w:name="_Toc230681444"/>
      <w:r w:rsidRPr="005E2022">
        <w:rPr>
          <w:lang w:val="es-ES_tradnl"/>
        </w:rPr>
        <w:t>D.</w:t>
      </w:r>
      <w:r w:rsidRPr="005E2022">
        <w:rPr>
          <w:lang w:val="es-ES_tradnl"/>
        </w:rPr>
        <w:tab/>
      </w:r>
      <w:r w:rsidRPr="005E2022">
        <w:rPr>
          <w:u w:val="single"/>
          <w:lang w:val="es-ES_tradnl"/>
        </w:rPr>
        <w:t>Gestión de riesgos y controles internos</w:t>
      </w:r>
      <w:bookmarkEnd w:id="12"/>
    </w:p>
    <w:p w14:paraId="50ED65DE" w14:textId="77777777" w:rsidR="005E2022" w:rsidRPr="005E2022" w:rsidRDefault="005E2022" w:rsidP="005E2022">
      <w:pPr>
        <w:outlineLvl w:val="3"/>
        <w:rPr>
          <w:rFonts w:eastAsia="Times New Roman"/>
          <w:b/>
          <w:bCs/>
          <w:lang w:val="es-ES_tradnl"/>
        </w:rPr>
      </w:pPr>
    </w:p>
    <w:p w14:paraId="3E69E36B"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examinó el mapa de riesgos de la OMPI. Entre los principales riesgos figuraban los ciberataques, las violaciones de datos confidenciales, la caída del valor de las inversiones y las reducciones significativas de los ingresos debidas a la disminución de las solicitudes. La Comisión observó que el contexto geopolítico y económico había pasado a la categoría de alto riesgo.</w:t>
      </w:r>
    </w:p>
    <w:p w14:paraId="7F465DAE" w14:textId="77777777" w:rsidR="005E2022" w:rsidRPr="005E2022" w:rsidRDefault="005E2022" w:rsidP="005E2022">
      <w:pPr>
        <w:rPr>
          <w:rFonts w:eastAsia="Times New Roman"/>
          <w:lang w:val="es-ES_tradnl"/>
        </w:rPr>
      </w:pPr>
    </w:p>
    <w:p w14:paraId="4984C5EF"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 xml:space="preserve">La Comisión examinó los resultados de una evaluación del riesgo de fraude realizada por un experto externo. De las 34 recomendaciones consultivas, seis no fueron aceptadas. La evaluación concluyó que la exposición al riesgo de fraude en la OMPI es relativamente </w:t>
      </w:r>
      <w:r w:rsidRPr="005E2022">
        <w:rPr>
          <w:lang w:val="es-ES_tradnl"/>
        </w:rPr>
        <w:lastRenderedPageBreak/>
        <w:t>limitada. La Comisión supervisó la aplicación de las recomendaciones pertinentes a lo largo del período.</w:t>
      </w:r>
    </w:p>
    <w:p w14:paraId="05AA470E" w14:textId="77777777" w:rsidR="005E2022" w:rsidRPr="005E2022" w:rsidRDefault="005E2022" w:rsidP="005E2022">
      <w:pPr>
        <w:rPr>
          <w:rFonts w:eastAsia="Times New Roman"/>
          <w:lang w:val="es-ES_tradnl"/>
        </w:rPr>
      </w:pPr>
    </w:p>
    <w:p w14:paraId="7074A6C5" w14:textId="77777777" w:rsidR="005E2022" w:rsidRPr="005E2022" w:rsidRDefault="005E2022" w:rsidP="005E2022">
      <w:pPr>
        <w:numPr>
          <w:ilvl w:val="0"/>
          <w:numId w:val="10"/>
        </w:numPr>
        <w:tabs>
          <w:tab w:val="clear" w:pos="720"/>
        </w:tabs>
        <w:ind w:left="0" w:firstLine="0"/>
        <w:rPr>
          <w:rFonts w:eastAsiaTheme="minorEastAsia"/>
          <w:lang w:val="es-ES_tradnl"/>
        </w:rPr>
      </w:pPr>
      <w:r w:rsidRPr="005E2022">
        <w:rPr>
          <w:lang w:val="es-ES_tradnl"/>
        </w:rPr>
        <w:t>En su 80.ª sesión, la Comisión fue informada sobre el marco de rendición de cuentas de la OMPI propuesto para su revisión, que se había publicado por última vez en 2019. Se informó a la Comisión de que el marco se presentaría en la 40.ª sesión del PBC.</w:t>
      </w:r>
    </w:p>
    <w:p w14:paraId="462EC6BB" w14:textId="77777777" w:rsidR="005E2022" w:rsidRPr="005E2022" w:rsidRDefault="005E2022" w:rsidP="005E2022">
      <w:pPr>
        <w:rPr>
          <w:rFonts w:eastAsia="Times New Roman"/>
          <w:lang w:val="es-ES_tradnl"/>
        </w:rPr>
      </w:pPr>
    </w:p>
    <w:p w14:paraId="0B8AD4D2" w14:textId="77777777" w:rsidR="005E2022" w:rsidRPr="005E2022" w:rsidRDefault="005E2022" w:rsidP="005E2022">
      <w:pPr>
        <w:numPr>
          <w:ilvl w:val="0"/>
          <w:numId w:val="10"/>
        </w:numPr>
        <w:tabs>
          <w:tab w:val="clear" w:pos="720"/>
        </w:tabs>
        <w:spacing w:after="240"/>
        <w:ind w:left="0" w:firstLine="0"/>
        <w:rPr>
          <w:rFonts w:eastAsia="Times New Roman"/>
          <w:lang w:val="es-ES_tradnl"/>
        </w:rPr>
      </w:pPr>
      <w:r w:rsidRPr="005E2022">
        <w:rPr>
          <w:lang w:val="es-ES_tradnl"/>
        </w:rPr>
        <w:t>La Comisión recibió información actualizada sobre la elaboración del dictamen de la DSI en materia de gobernanza, gestión de riesgos y controles internos que sustenta la declaración del director general sobre el control interno. La Comisión recomendó que el informe incluyera una evaluación cualitativa.</w:t>
      </w:r>
    </w:p>
    <w:p w14:paraId="42502D0F" w14:textId="77777777" w:rsidR="005E2022" w:rsidRPr="005E2022" w:rsidRDefault="005E2022" w:rsidP="005E2022">
      <w:pPr>
        <w:ind w:firstLine="567"/>
        <w:rPr>
          <w:rFonts w:eastAsia="Times New Roman"/>
          <w:i/>
          <w:iCs/>
          <w:lang w:val="es-ES_tradnl"/>
        </w:rPr>
      </w:pPr>
      <w:r w:rsidRPr="005E2022">
        <w:rPr>
          <w:i/>
          <w:lang w:val="es-ES_tradnl"/>
        </w:rPr>
        <w:t>Gestión de la ciberseguridad, la seguridad física y las tecnologías de la información</w:t>
      </w:r>
    </w:p>
    <w:p w14:paraId="18DD6388" w14:textId="77777777" w:rsidR="005E2022" w:rsidRPr="005E2022" w:rsidRDefault="005E2022" w:rsidP="005E2022">
      <w:pPr>
        <w:keepNext/>
        <w:rPr>
          <w:rFonts w:eastAsia="Times New Roman"/>
          <w:i/>
          <w:iCs/>
          <w:lang w:val="es-ES_tradnl"/>
        </w:rPr>
      </w:pPr>
    </w:p>
    <w:p w14:paraId="00400C09"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Durante su 80.ª sesión, la Comisión examinó el plan de trabajo de la Sección de Información y Seguridad para 2026, que se centró en la sensibilización, las operaciones y la confidencialidad. La Comisión recibió diversas actualizaciones sobre ciberseguridad, incluida información sobre posibles riesgos e incidentes de seguridad de la información, el estado del cumplimiento normativo, la seguridad y la protección en la OMPI, los programas estratégicos, la dotación de recursos y las pruebas de penetración. La Comisión también mantuvo un debate detallado sobre las estrategias para mitigar los riesgos de seguridad de la información y solicitó que se celebrara una sesión futura para tratar los posibles riesgos relacionados con los sistemas antiguos.</w:t>
      </w:r>
    </w:p>
    <w:p w14:paraId="341A6E84" w14:textId="77777777" w:rsidR="005E2022" w:rsidRPr="005E2022" w:rsidRDefault="005E2022" w:rsidP="005E2022">
      <w:pPr>
        <w:spacing w:after="160" w:line="278" w:lineRule="auto"/>
        <w:rPr>
          <w:lang w:val="es-ES_tradnl"/>
        </w:rPr>
      </w:pPr>
    </w:p>
    <w:p w14:paraId="750E8F19" w14:textId="77777777" w:rsidR="005E2022" w:rsidRPr="005E2022" w:rsidRDefault="005E2022" w:rsidP="005E2022">
      <w:pPr>
        <w:outlineLvl w:val="3"/>
        <w:rPr>
          <w:lang w:val="es-ES_tradnl"/>
        </w:rPr>
      </w:pPr>
      <w:bookmarkStart w:id="13" w:name="_Toc230681445"/>
      <w:r w:rsidRPr="005E2022">
        <w:rPr>
          <w:lang w:val="es-ES_tradnl"/>
        </w:rPr>
        <w:t>E.</w:t>
      </w:r>
      <w:r w:rsidRPr="005E2022">
        <w:rPr>
          <w:lang w:val="es-ES_tradnl"/>
        </w:rPr>
        <w:tab/>
      </w:r>
      <w:r w:rsidRPr="005E2022">
        <w:rPr>
          <w:u w:val="single"/>
          <w:lang w:val="es-ES_tradnl"/>
        </w:rPr>
        <w:t>Aplicación de las recomendaciones de supervisión</w:t>
      </w:r>
      <w:bookmarkEnd w:id="13"/>
    </w:p>
    <w:p w14:paraId="4A94B5CE" w14:textId="77777777" w:rsidR="005E2022" w:rsidRPr="005E2022" w:rsidRDefault="005E2022" w:rsidP="005E2022">
      <w:pPr>
        <w:outlineLvl w:val="3"/>
        <w:rPr>
          <w:rFonts w:eastAsia="Times New Roman"/>
          <w:lang w:val="es-ES_tradnl"/>
        </w:rPr>
      </w:pPr>
    </w:p>
    <w:p w14:paraId="460F8643"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En cada sesión, la Comisión examinó el estado de las recomendaciones pendientes de la DSI, el auditor externo y la DCI.</w:t>
      </w:r>
    </w:p>
    <w:p w14:paraId="5C9E9DCB" w14:textId="77777777" w:rsidR="005E2022" w:rsidRPr="005E2022" w:rsidRDefault="005E2022" w:rsidP="005E2022">
      <w:pPr>
        <w:rPr>
          <w:rFonts w:eastAsia="Times New Roman"/>
          <w:lang w:val="es-ES_tradnl"/>
        </w:rPr>
      </w:pPr>
    </w:p>
    <w:p w14:paraId="4C184C56" w14:textId="0501961A"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El número de recomendaciones pendientes fluctuó durante el período debido a la publicación de nuevos informes. No obstante, la Comisión tomó nota de los continuos esfuerzos de la Secretaría para resolver las recomendaciones pendientes desde hacía mucho tiempo, situándose el número total de recomendaciones pendientes en 47 en noviembre de 2025, lo que supone una reducción significativa con respecto a las 120 de 2022.</w:t>
      </w:r>
    </w:p>
    <w:p w14:paraId="5B35660B" w14:textId="77777777" w:rsidR="005E2022" w:rsidRPr="005E2022" w:rsidRDefault="005E2022" w:rsidP="005E2022">
      <w:pPr>
        <w:rPr>
          <w:rFonts w:eastAsia="Times New Roman"/>
          <w:lang w:val="es-ES_tradnl"/>
        </w:rPr>
      </w:pPr>
    </w:p>
    <w:p w14:paraId="2A9895EE" w14:textId="6AE98BB9" w:rsidR="005E2022" w:rsidRPr="005E2022" w:rsidRDefault="005E2022" w:rsidP="005E2022">
      <w:pPr>
        <w:outlineLvl w:val="3"/>
        <w:rPr>
          <w:rFonts w:eastAsia="Times New Roman"/>
          <w:b/>
          <w:bCs/>
          <w:lang w:val="es-ES_tradnl"/>
        </w:rPr>
      </w:pPr>
      <w:bookmarkStart w:id="14" w:name="_Toc230681446"/>
      <w:r w:rsidRPr="005E2022">
        <w:rPr>
          <w:lang w:val="es-ES_tradnl"/>
        </w:rPr>
        <w:t>F.</w:t>
      </w:r>
      <w:r w:rsidRPr="005E2022">
        <w:rPr>
          <w:lang w:val="es-ES_tradnl"/>
        </w:rPr>
        <w:tab/>
      </w:r>
      <w:r w:rsidRPr="005E2022">
        <w:rPr>
          <w:u w:val="single"/>
          <w:lang w:val="es-ES_tradnl"/>
        </w:rPr>
        <w:t>Ética profesional y mediación</w:t>
      </w:r>
      <w:bookmarkEnd w:id="14"/>
    </w:p>
    <w:p w14:paraId="3ABC8E73" w14:textId="77777777" w:rsidR="005E2022" w:rsidRPr="005E2022" w:rsidRDefault="005E2022" w:rsidP="005E2022">
      <w:pPr>
        <w:outlineLvl w:val="3"/>
        <w:rPr>
          <w:rFonts w:eastAsia="Times New Roman"/>
          <w:lang w:val="es-ES_tradnl"/>
        </w:rPr>
      </w:pPr>
    </w:p>
    <w:p w14:paraId="6EB19416" w14:textId="77777777" w:rsidR="005E2022" w:rsidRPr="005E2022" w:rsidRDefault="005E2022" w:rsidP="005E2022">
      <w:pPr>
        <w:ind w:firstLine="567"/>
        <w:rPr>
          <w:rFonts w:eastAsia="Times New Roman"/>
          <w:i/>
          <w:iCs/>
          <w:lang w:val="es-ES_tradnl"/>
        </w:rPr>
      </w:pPr>
      <w:r w:rsidRPr="005E2022">
        <w:rPr>
          <w:i/>
          <w:lang w:val="es-ES_tradnl"/>
        </w:rPr>
        <w:t>Oficina de Ética Profesional</w:t>
      </w:r>
    </w:p>
    <w:p w14:paraId="2D8B06AE" w14:textId="77777777" w:rsidR="005E2022" w:rsidRPr="005E2022" w:rsidRDefault="005E2022" w:rsidP="005E2022">
      <w:pPr>
        <w:rPr>
          <w:rFonts w:eastAsia="Times New Roman"/>
          <w:lang w:val="es-ES_tradnl"/>
        </w:rPr>
      </w:pPr>
    </w:p>
    <w:p w14:paraId="498C1043"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examinó el Informe Anual de la Oficina de Ética Profesional correspondiente a 2024 y sus planes de trabajo para 2025 y 2026. La Comisión observó que una gran parte del asesoramiento de la Oficina se refería a actividades externas y conflictos en el lugar de trabajo. El Comité también examinó el mandato revisado (orden de servicio) de la Oficina de Ética Profesional y formuló recomendaciones al respecto.</w:t>
      </w:r>
    </w:p>
    <w:p w14:paraId="1D58A605" w14:textId="77777777" w:rsidR="005E2022" w:rsidRPr="005E2022" w:rsidRDefault="005E2022" w:rsidP="005E2022">
      <w:pPr>
        <w:rPr>
          <w:rFonts w:eastAsia="Times New Roman"/>
          <w:lang w:val="es-ES_tradnl"/>
        </w:rPr>
      </w:pPr>
    </w:p>
    <w:p w14:paraId="6CE5D2D3" w14:textId="77777777" w:rsidR="005E2022" w:rsidRPr="005E2022" w:rsidRDefault="005E2022" w:rsidP="005E2022">
      <w:pPr>
        <w:ind w:firstLine="567"/>
        <w:rPr>
          <w:rFonts w:eastAsia="Times New Roman"/>
          <w:i/>
          <w:iCs/>
          <w:lang w:val="es-ES_tradnl"/>
        </w:rPr>
      </w:pPr>
      <w:r w:rsidRPr="005E2022">
        <w:rPr>
          <w:i/>
          <w:lang w:val="es-ES_tradnl"/>
        </w:rPr>
        <w:t>Oficina de Mediación</w:t>
      </w:r>
    </w:p>
    <w:p w14:paraId="47D5CDA8" w14:textId="77777777" w:rsidR="005E2022" w:rsidRPr="005E2022" w:rsidRDefault="005E2022" w:rsidP="005E2022">
      <w:pPr>
        <w:rPr>
          <w:rFonts w:eastAsia="Times New Roman"/>
          <w:lang w:val="es-ES_tradnl"/>
        </w:rPr>
      </w:pPr>
    </w:p>
    <w:p w14:paraId="703F7A2C"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 xml:space="preserve">La Comisión recibió informes periódicos sobre las actividades de la Oficina de Mediación. Un acontecimiento significativo durante este período fue el cambio de funciones de la Oficina de Mediación. La Comisión tomó nota de que, a partir del 1 de enero de 2026, la Oficina de Servicios de Mediación de las Naciones Unidas (OSMNU) asumiría la responsabilidad de prestar estos servicios a la OMPI. En diciembre de 2025, la Comisión se </w:t>
      </w:r>
      <w:r w:rsidRPr="005E2022">
        <w:rPr>
          <w:lang w:val="es-ES_tradnl"/>
        </w:rPr>
        <w:lastRenderedPageBreak/>
        <w:t>reunió con los representantes de la OSMNU para debatir los aspectos prácticos de la futura colaboración.</w:t>
      </w:r>
    </w:p>
    <w:p w14:paraId="4E3EE983" w14:textId="77777777" w:rsidR="005E2022" w:rsidRPr="005E2022" w:rsidRDefault="005E2022" w:rsidP="005E2022">
      <w:pPr>
        <w:rPr>
          <w:rFonts w:eastAsia="Times New Roman"/>
          <w:lang w:val="es-ES_tradnl"/>
        </w:rPr>
      </w:pPr>
    </w:p>
    <w:p w14:paraId="5E91266C" w14:textId="0E7382D6" w:rsidR="005E2022" w:rsidRPr="005E2022" w:rsidRDefault="005E2022" w:rsidP="005E2022">
      <w:pPr>
        <w:outlineLvl w:val="3"/>
        <w:rPr>
          <w:rFonts w:eastAsia="Times New Roman"/>
          <w:b/>
          <w:bCs/>
          <w:lang w:val="es-ES_tradnl"/>
        </w:rPr>
      </w:pPr>
      <w:bookmarkStart w:id="15" w:name="_Toc230681447"/>
      <w:r w:rsidRPr="005E2022">
        <w:rPr>
          <w:lang w:val="es-ES_tradnl"/>
        </w:rPr>
        <w:t>G.</w:t>
      </w:r>
      <w:r w:rsidRPr="005E2022">
        <w:rPr>
          <w:b/>
          <w:lang w:val="es-ES_tradnl"/>
        </w:rPr>
        <w:tab/>
      </w:r>
      <w:r w:rsidRPr="005E2022">
        <w:rPr>
          <w:u w:val="single"/>
          <w:lang w:val="es-ES_tradnl"/>
        </w:rPr>
        <w:t>Gestión de recursos humanos</w:t>
      </w:r>
      <w:bookmarkEnd w:id="15"/>
    </w:p>
    <w:p w14:paraId="017BE34A" w14:textId="77777777" w:rsidR="005E2022" w:rsidRPr="005E2022" w:rsidRDefault="005E2022" w:rsidP="005E2022">
      <w:pPr>
        <w:outlineLvl w:val="3"/>
        <w:rPr>
          <w:rFonts w:eastAsia="Times New Roman"/>
          <w:b/>
          <w:bCs/>
          <w:lang w:val="es-ES_tradnl"/>
        </w:rPr>
      </w:pPr>
    </w:p>
    <w:p w14:paraId="08CB507F"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examinó las novedades relativas a la gestión de recursos humanos. Los resultados de la encuesta de participación del personal mostraron un índice de satisfacción del 76 % y una tasa de respuesta del 67 %. La Comisión también examinó las novedades relativas al Plan de Acción sobre Diversidad Geográfica y al desarrollo de un marco de perfiles de liderazgo.</w:t>
      </w:r>
    </w:p>
    <w:p w14:paraId="7ADBDDF8" w14:textId="77777777" w:rsidR="005E2022" w:rsidRPr="005E2022" w:rsidRDefault="005E2022" w:rsidP="005E2022">
      <w:pPr>
        <w:rPr>
          <w:rFonts w:eastAsia="Times New Roman"/>
          <w:lang w:val="es-ES_tradnl"/>
        </w:rPr>
      </w:pPr>
    </w:p>
    <w:p w14:paraId="5FDF6386" w14:textId="006F0DE8" w:rsidR="005E2022" w:rsidRPr="005E2022" w:rsidRDefault="005E2022" w:rsidP="005E2022">
      <w:pPr>
        <w:outlineLvl w:val="3"/>
        <w:rPr>
          <w:rFonts w:eastAsia="Times New Roman"/>
          <w:b/>
          <w:bCs/>
          <w:lang w:val="es-ES_tradnl"/>
        </w:rPr>
      </w:pPr>
      <w:bookmarkStart w:id="16" w:name="_Toc230681448"/>
      <w:r w:rsidRPr="005E2022">
        <w:rPr>
          <w:lang w:val="es-ES_tradnl"/>
        </w:rPr>
        <w:t>H.</w:t>
      </w:r>
      <w:r w:rsidRPr="005E2022">
        <w:rPr>
          <w:lang w:val="es-ES_tradnl"/>
        </w:rPr>
        <w:tab/>
      </w:r>
      <w:r w:rsidRPr="005E2022">
        <w:rPr>
          <w:u w:val="single"/>
          <w:lang w:val="es-ES_tradnl"/>
        </w:rPr>
        <w:t>Otros asuntos</w:t>
      </w:r>
      <w:bookmarkEnd w:id="16"/>
    </w:p>
    <w:p w14:paraId="17F9E79F" w14:textId="77777777" w:rsidR="005E2022" w:rsidRPr="005E2022" w:rsidRDefault="005E2022" w:rsidP="005E2022">
      <w:pPr>
        <w:outlineLvl w:val="3"/>
        <w:rPr>
          <w:rFonts w:eastAsia="Times New Roman"/>
          <w:b/>
          <w:bCs/>
          <w:lang w:val="es-ES_tradnl"/>
        </w:rPr>
      </w:pPr>
    </w:p>
    <w:p w14:paraId="69376D5D" w14:textId="77777777" w:rsidR="005E2022" w:rsidRPr="005E2022" w:rsidRDefault="005E2022" w:rsidP="005E2022">
      <w:pPr>
        <w:ind w:left="567"/>
        <w:rPr>
          <w:rFonts w:eastAsia="Times New Roman"/>
          <w:i/>
          <w:iCs/>
          <w:lang w:val="es-ES_tradnl"/>
        </w:rPr>
      </w:pPr>
      <w:r w:rsidRPr="005E2022">
        <w:rPr>
          <w:i/>
          <w:lang w:val="es-ES_tradnl"/>
        </w:rPr>
        <w:t xml:space="preserve">Gestión de inversiones </w:t>
      </w:r>
    </w:p>
    <w:p w14:paraId="0E6B883E" w14:textId="77777777" w:rsidR="005E2022" w:rsidRPr="005E2022" w:rsidRDefault="005E2022" w:rsidP="005E2022">
      <w:pPr>
        <w:rPr>
          <w:rFonts w:eastAsia="Times New Roman"/>
          <w:lang w:val="es-ES_tradnl"/>
        </w:rPr>
      </w:pPr>
    </w:p>
    <w:p w14:paraId="4E5664E0"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A petición de los Estados miembros, la Secretaría presentó a la Comisión, en cada uno de sus períodos de sesiones, los informes mensuales sobre el rendimiento de las inversiones y los informes mensuales de supervisión de las inversiones disponibles, elaborados por los asesores de inversiones y el depositario, respectivamente. La Comisión desea aclarar que su función se limita a transmitir a los Estados miembros la información contenida en dichos informes, y que no ofrece ninguna garantía al respecto.</w:t>
      </w:r>
    </w:p>
    <w:p w14:paraId="6368C19C" w14:textId="77777777" w:rsidR="005E2022" w:rsidRPr="005E2022" w:rsidRDefault="005E2022" w:rsidP="005E2022">
      <w:pPr>
        <w:rPr>
          <w:rFonts w:eastAsia="Times New Roman"/>
          <w:lang w:val="es-ES_tradnl"/>
        </w:rPr>
      </w:pPr>
    </w:p>
    <w:p w14:paraId="44D86E84"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examinó los informes mensuales de rendimiento y supervisión de las inversiones en cada sesión. Verificó que todas las inversiones estaban rindiendo según lo previsto, que se gestionaban conforme a la estrategia de inversión y que el depositario no había notificado ninguna infracción durante el período objeto de examen. No obstante, aconsejó a la Secretaría que considerara la posibilidad de realizar una prueba de resistencia cada dos o tres años para evaluar la adecuación de la diversificación y ampliar el alcance geográfico dentro de las clases de activos.</w:t>
      </w:r>
    </w:p>
    <w:p w14:paraId="3E14868F" w14:textId="77777777" w:rsidR="005E2022" w:rsidRPr="005E2022" w:rsidRDefault="005E2022" w:rsidP="005E2022">
      <w:pPr>
        <w:rPr>
          <w:rFonts w:eastAsia="Times New Roman"/>
          <w:lang w:val="es-ES_tradnl"/>
        </w:rPr>
      </w:pPr>
    </w:p>
    <w:p w14:paraId="347AF62A" w14:textId="39586291" w:rsidR="005E2022" w:rsidRPr="005E2022" w:rsidRDefault="005E2022" w:rsidP="005E2022">
      <w:pPr>
        <w:ind w:left="567"/>
        <w:rPr>
          <w:rFonts w:eastAsia="Times New Roman"/>
          <w:i/>
          <w:iCs/>
          <w:lang w:val="es-ES_tradnl"/>
        </w:rPr>
      </w:pPr>
      <w:r w:rsidRPr="005E2022">
        <w:rPr>
          <w:i/>
          <w:lang w:val="es-ES_tradnl"/>
        </w:rPr>
        <w:t>Sistema de planificación de los recursos institucionales</w:t>
      </w:r>
    </w:p>
    <w:p w14:paraId="6C427768" w14:textId="77777777" w:rsidR="005E2022" w:rsidRPr="005E2022" w:rsidRDefault="005E2022" w:rsidP="005E2022">
      <w:pPr>
        <w:rPr>
          <w:rFonts w:eastAsia="Times New Roman"/>
          <w:lang w:val="es-ES_tradnl"/>
        </w:rPr>
      </w:pPr>
    </w:p>
    <w:p w14:paraId="4CEBBBEE"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 xml:space="preserve">La Comisión recibió información periódica sobre el proyecto “AIMS </w:t>
      </w:r>
      <w:proofErr w:type="spellStart"/>
      <w:r w:rsidRPr="005E2022">
        <w:rPr>
          <w:lang w:val="es-ES_tradnl"/>
        </w:rPr>
        <w:t>Transformation</w:t>
      </w:r>
      <w:proofErr w:type="spellEnd"/>
      <w:r w:rsidRPr="005E2022">
        <w:rPr>
          <w:lang w:val="es-ES_tradnl"/>
        </w:rPr>
        <w:t>” (el nuevo sistema de planificación de recursos institucionales de la OMPI). La Comisión tomó nota de que se preveía que la Fase I (Gestión del rendimiento) entrara en funcionamiento a principios de 2026 y de que el proyecto seguía su curso y se mantenía dentro del presupuesto.</w:t>
      </w:r>
    </w:p>
    <w:p w14:paraId="0A9569B6" w14:textId="77777777" w:rsidR="005E2022" w:rsidRPr="005E2022" w:rsidRDefault="005E2022" w:rsidP="005E2022">
      <w:pPr>
        <w:rPr>
          <w:rFonts w:eastAsia="Times New Roman"/>
          <w:lang w:val="es-ES_tradnl"/>
        </w:rPr>
      </w:pPr>
    </w:p>
    <w:p w14:paraId="21053333" w14:textId="4B172FB7" w:rsidR="005E2022" w:rsidRPr="005E2022" w:rsidRDefault="005E2022" w:rsidP="005E2022">
      <w:pPr>
        <w:ind w:left="567"/>
        <w:rPr>
          <w:rFonts w:eastAsia="Times New Roman"/>
          <w:i/>
          <w:iCs/>
          <w:lang w:val="es-ES_tradnl"/>
        </w:rPr>
      </w:pPr>
      <w:r w:rsidRPr="005E2022">
        <w:rPr>
          <w:i/>
          <w:lang w:val="es-ES_tradnl"/>
        </w:rPr>
        <w:t>Gobernanza de datos</w:t>
      </w:r>
    </w:p>
    <w:p w14:paraId="5F89FB53" w14:textId="77777777" w:rsidR="005E2022" w:rsidRPr="005E2022" w:rsidRDefault="005E2022" w:rsidP="005E2022">
      <w:pPr>
        <w:rPr>
          <w:rFonts w:eastAsia="Times New Roman"/>
          <w:lang w:val="es-ES_tradnl"/>
        </w:rPr>
      </w:pPr>
    </w:p>
    <w:p w14:paraId="4B7B8A26"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La Comisión examinó las actualizaciones sobre la iniciativa de gobernanza y gestión de datos de la OMPI, incluida la hoja de ruta de la estrategia de datos y análisis de la OMPI. La Secretaría señaló retos como la madurez desigual y la fragmentación de los datos, y dio prioridad a la accesibilidad y la coherencia de los datos de los clientes.</w:t>
      </w:r>
    </w:p>
    <w:p w14:paraId="5D6FBC54" w14:textId="77777777" w:rsidR="005E2022" w:rsidRPr="005E2022" w:rsidRDefault="005E2022" w:rsidP="005E2022">
      <w:pPr>
        <w:rPr>
          <w:rFonts w:eastAsia="Times New Roman"/>
          <w:lang w:val="es-ES_tradnl"/>
        </w:rPr>
      </w:pPr>
    </w:p>
    <w:p w14:paraId="2298CB44" w14:textId="77777777" w:rsidR="005E2022" w:rsidRPr="005E2022" w:rsidRDefault="005E2022" w:rsidP="005E2022">
      <w:pPr>
        <w:ind w:left="567"/>
        <w:rPr>
          <w:rFonts w:eastAsia="Times New Roman"/>
          <w:i/>
          <w:iCs/>
          <w:lang w:val="es-ES_tradnl"/>
        </w:rPr>
      </w:pPr>
      <w:r w:rsidRPr="005E2022">
        <w:rPr>
          <w:i/>
          <w:lang w:val="es-ES_tradnl"/>
        </w:rPr>
        <w:t>Impacto de la IA en la PI y el uso de la IA en la OMPI</w:t>
      </w:r>
    </w:p>
    <w:p w14:paraId="5ABAC6FE" w14:textId="77777777" w:rsidR="005E2022" w:rsidRPr="005E2022" w:rsidRDefault="005E2022" w:rsidP="005E2022">
      <w:pPr>
        <w:rPr>
          <w:rFonts w:eastAsia="Times New Roman"/>
          <w:lang w:val="es-ES_tradnl"/>
        </w:rPr>
      </w:pPr>
    </w:p>
    <w:p w14:paraId="4A70EF91" w14:textId="77777777" w:rsidR="005E2022" w:rsidRPr="005E2022" w:rsidRDefault="005E2022" w:rsidP="005E2022">
      <w:pPr>
        <w:numPr>
          <w:ilvl w:val="0"/>
          <w:numId w:val="10"/>
        </w:numPr>
        <w:tabs>
          <w:tab w:val="clear" w:pos="720"/>
        </w:tabs>
        <w:ind w:left="0" w:firstLine="0"/>
        <w:rPr>
          <w:rFonts w:eastAsia="Times New Roman"/>
          <w:lang w:val="es-ES_tradnl"/>
        </w:rPr>
      </w:pPr>
      <w:r w:rsidRPr="005E2022">
        <w:rPr>
          <w:lang w:val="es-ES_tradnl"/>
        </w:rPr>
        <w:t>Se informó a la Comisión sobre varias cuestiones emergentes en la intersección entre la IA y la PI, como el Diálogo de la OMPI sobre la PI y las tecnologías de vanguardia o el Intercambio de Infraestructuras de IA (AIII). La OMPI sigue liderando estos debates y supervisando la evolución mundial en torno a estas cuestiones.</w:t>
      </w:r>
    </w:p>
    <w:p w14:paraId="69A359BA" w14:textId="77777777" w:rsidR="005E2022" w:rsidRPr="005E2022" w:rsidRDefault="005E2022" w:rsidP="005E2022">
      <w:pPr>
        <w:rPr>
          <w:rFonts w:eastAsia="Times New Roman"/>
          <w:lang w:val="es-ES_tradnl"/>
        </w:rPr>
      </w:pPr>
    </w:p>
    <w:p w14:paraId="3AB61C6C" w14:textId="77777777" w:rsidR="005E2022" w:rsidRPr="005E2022" w:rsidRDefault="005E2022" w:rsidP="005E2022">
      <w:pPr>
        <w:numPr>
          <w:ilvl w:val="0"/>
          <w:numId w:val="10"/>
        </w:numPr>
        <w:tabs>
          <w:tab w:val="clear" w:pos="720"/>
        </w:tabs>
        <w:ind w:left="0" w:firstLine="0"/>
        <w:rPr>
          <w:rFonts w:eastAsiaTheme="minorEastAsia"/>
          <w:lang w:val="es-ES_tradnl"/>
        </w:rPr>
      </w:pPr>
      <w:r w:rsidRPr="005E2022">
        <w:rPr>
          <w:lang w:val="es-ES_tradnl"/>
        </w:rPr>
        <w:t xml:space="preserve">La Comisión también fue informada sobre el uso de la IA dentro de la Organización, incluidos proyectos piloto, iniciativas, gobernanza de datos, políticas y medidas de </w:t>
      </w:r>
      <w:r w:rsidRPr="005E2022">
        <w:rPr>
          <w:lang w:val="es-ES_tradnl"/>
        </w:rPr>
        <w:lastRenderedPageBreak/>
        <w:t>protección. Se debatió sobre la estructura de gobernanza, incluido el Equipo Técnico sobre IA, un marco de actuación para la IA y el grupo de evaluación de la IA, entre otros aspectos. La Comisión solicitó a la Secretaría que proporcionara actualizaciones periódicas sobre estos importantes asuntos en futuras reuniones.</w:t>
      </w:r>
    </w:p>
    <w:p w14:paraId="776D2BA1" w14:textId="77777777" w:rsidR="005E2022" w:rsidRPr="005E2022" w:rsidRDefault="005E2022" w:rsidP="005E2022">
      <w:pPr>
        <w:rPr>
          <w:rFonts w:eastAsia="Times New Roman"/>
          <w:lang w:val="es-ES_tradnl"/>
        </w:rPr>
      </w:pPr>
    </w:p>
    <w:p w14:paraId="322FBBDF" w14:textId="77777777" w:rsidR="005E2022" w:rsidRPr="005E2022" w:rsidRDefault="005E2022" w:rsidP="005E2022">
      <w:pPr>
        <w:ind w:left="567"/>
        <w:rPr>
          <w:rFonts w:eastAsia="Times New Roman"/>
          <w:i/>
          <w:iCs/>
          <w:lang w:val="es-ES_tradnl"/>
        </w:rPr>
      </w:pPr>
      <w:r w:rsidRPr="005E2022">
        <w:rPr>
          <w:i/>
          <w:lang w:val="es-ES_tradnl"/>
        </w:rPr>
        <w:t>Modificaciones propuestas al mandato de la Comisión</w:t>
      </w:r>
    </w:p>
    <w:p w14:paraId="6C472191" w14:textId="77777777" w:rsidR="005E2022" w:rsidRPr="005E2022" w:rsidRDefault="005E2022" w:rsidP="005E2022">
      <w:pPr>
        <w:rPr>
          <w:rFonts w:eastAsia="Times New Roman"/>
          <w:i/>
          <w:iCs/>
          <w:lang w:val="es-ES_tradnl"/>
        </w:rPr>
      </w:pPr>
    </w:p>
    <w:p w14:paraId="7FDFA36B" w14:textId="36954211" w:rsidR="005E2022" w:rsidRPr="005E2022" w:rsidRDefault="005E2022" w:rsidP="005E2022">
      <w:pPr>
        <w:numPr>
          <w:ilvl w:val="0"/>
          <w:numId w:val="10"/>
        </w:numPr>
        <w:tabs>
          <w:tab w:val="clear" w:pos="720"/>
        </w:tabs>
        <w:ind w:left="0" w:firstLine="0"/>
        <w:rPr>
          <w:lang w:val="es-ES_tradnl"/>
        </w:rPr>
      </w:pPr>
      <w:r w:rsidRPr="005E2022">
        <w:rPr>
          <w:lang w:val="es-ES_tradnl"/>
        </w:rPr>
        <w:t>De conformidad con su mandato, la CCIS lo revisa periódicamente, al menos una vez cada tres años. El mandato actual se modificó por última vez en 2023 y fue aprobado por la Asamblea General de la OMPI el 14 de julio de 2023 (documento A/64/13). Aunque la revisión debería haberse llevado a cabo en 2026, la Comisión ha decidido aplazarla hasta 2027, junto con la presentación al PBC de cualquier propuesta de revisión. Esta decisión se basó en dos consideraciones fundamentales. En primer lugar, permitirá que la Comisión incorpore las observaciones y recomendaciones derivadas de la revisión externa de las funciones de la CCIS prevista para 2026. En segundo lugar, reajusta el ciclo de revisión trienal al ciclo de rotación de los miembros de la Comisión, de modo que las futuras revisiones se lleven a cabo cuando todos los miembros hayan tenido tiempo suficiente para contribuir de manera significativa a cualquier propuesta de revisión.</w:t>
      </w:r>
    </w:p>
    <w:p w14:paraId="418D47DE" w14:textId="77777777" w:rsidR="005E2022" w:rsidRPr="005E2022" w:rsidRDefault="005E2022" w:rsidP="005E2022">
      <w:pPr>
        <w:rPr>
          <w:lang w:val="es-ES_tradnl"/>
        </w:rPr>
      </w:pPr>
    </w:p>
    <w:p w14:paraId="640ADD33" w14:textId="2FE8DFC7" w:rsidR="005E2022" w:rsidRPr="005E2022" w:rsidRDefault="005E2022" w:rsidP="005E2022">
      <w:pPr>
        <w:keepNext/>
        <w:outlineLvl w:val="2"/>
        <w:rPr>
          <w:rFonts w:eastAsia="Times New Roman"/>
          <w:b/>
          <w:bCs/>
          <w:lang w:val="es-ES_tradnl"/>
        </w:rPr>
      </w:pPr>
      <w:bookmarkStart w:id="17" w:name="_Toc230681449"/>
      <w:r w:rsidRPr="005E2022">
        <w:rPr>
          <w:b/>
          <w:lang w:val="es-ES_tradnl"/>
        </w:rPr>
        <w:t>IV.</w:t>
      </w:r>
      <w:r w:rsidRPr="005E2022">
        <w:rPr>
          <w:b/>
          <w:lang w:val="es-ES_tradnl"/>
        </w:rPr>
        <w:tab/>
        <w:t>OBSERVACIONES FINALES</w:t>
      </w:r>
      <w:bookmarkEnd w:id="17"/>
    </w:p>
    <w:p w14:paraId="0FD4C74B" w14:textId="77777777" w:rsidR="005E2022" w:rsidRPr="005E2022" w:rsidRDefault="005E2022" w:rsidP="005E2022">
      <w:pPr>
        <w:keepNext/>
        <w:rPr>
          <w:rFonts w:eastAsia="Times New Roman"/>
          <w:lang w:val="es-ES_tradnl"/>
        </w:rPr>
      </w:pPr>
    </w:p>
    <w:p w14:paraId="70EE52F2" w14:textId="77777777" w:rsidR="005E2022" w:rsidRPr="005E2022" w:rsidRDefault="005E2022" w:rsidP="005E2022">
      <w:pPr>
        <w:numPr>
          <w:ilvl w:val="0"/>
          <w:numId w:val="10"/>
        </w:numPr>
        <w:tabs>
          <w:tab w:val="clear" w:pos="720"/>
        </w:tabs>
        <w:spacing w:after="600"/>
        <w:ind w:left="0" w:firstLine="0"/>
        <w:rPr>
          <w:rFonts w:eastAsia="Times New Roman"/>
          <w:lang w:val="es-ES_tradnl"/>
        </w:rPr>
      </w:pPr>
      <w:r w:rsidRPr="005E2022">
        <w:rPr>
          <w:lang w:val="es-ES_tradnl"/>
        </w:rPr>
        <w:t>La Comisión desea expresar su agradecimiento al director general, al personal de la Secretaría y al auditor externo por su disponibilidad, claridad y transparencia en sus interacciones periódicas con la Comisión, así como por la información proporcionada.</w:t>
      </w:r>
    </w:p>
    <w:p w14:paraId="411ABD65" w14:textId="17145FCB" w:rsidR="005E2022" w:rsidRPr="005E2022" w:rsidRDefault="005E2022" w:rsidP="005E2022">
      <w:pPr>
        <w:pStyle w:val="Endofdocument-Annex"/>
        <w:rPr>
          <w:lang w:val="es-ES_tradnl"/>
        </w:rPr>
      </w:pPr>
      <w:r w:rsidRPr="005E2022">
        <w:rPr>
          <w:lang w:val="es-ES_tradnl"/>
        </w:rPr>
        <w:t>[Fin del documento]</w:t>
      </w:r>
    </w:p>
    <w:sectPr w:rsidR="005E2022" w:rsidRPr="005E2022" w:rsidSect="005E2022">
      <w:headerReference w:type="default" r:id="rId13"/>
      <w:pgSz w:w="11909" w:h="16834"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2CFF" w14:textId="77777777" w:rsidR="005B3739" w:rsidRDefault="005B3739">
      <w:r>
        <w:separator/>
      </w:r>
    </w:p>
  </w:endnote>
  <w:endnote w:type="continuationSeparator" w:id="0">
    <w:p w14:paraId="1BCBB412" w14:textId="77777777" w:rsidR="005B3739" w:rsidRPr="009D30E6" w:rsidRDefault="005B3739" w:rsidP="007E663E">
      <w:pPr>
        <w:rPr>
          <w:sz w:val="17"/>
          <w:szCs w:val="17"/>
        </w:rPr>
      </w:pPr>
      <w:r w:rsidRPr="009D30E6">
        <w:rPr>
          <w:sz w:val="17"/>
          <w:szCs w:val="17"/>
        </w:rPr>
        <w:separator/>
      </w:r>
    </w:p>
    <w:p w14:paraId="70C7DF24" w14:textId="77777777" w:rsidR="005B3739" w:rsidRPr="007E663E" w:rsidRDefault="005B3739" w:rsidP="007E663E">
      <w:pPr>
        <w:spacing w:after="60"/>
        <w:rPr>
          <w:sz w:val="17"/>
          <w:szCs w:val="17"/>
        </w:rPr>
      </w:pPr>
      <w:r>
        <w:rPr>
          <w:sz w:val="17"/>
        </w:rPr>
        <w:t>[Continuación de la nota de la página anterior]</w:t>
      </w:r>
    </w:p>
  </w:endnote>
  <w:endnote w:type="continuationNotice" w:id="1">
    <w:p w14:paraId="2963C32F" w14:textId="77777777" w:rsidR="005B3739" w:rsidRPr="007E663E" w:rsidRDefault="005B373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0628" w14:textId="77777777" w:rsidR="005B3739" w:rsidRDefault="005B3739">
      <w:r>
        <w:separator/>
      </w:r>
    </w:p>
  </w:footnote>
  <w:footnote w:type="continuationSeparator" w:id="0">
    <w:p w14:paraId="1D21CA36" w14:textId="77777777" w:rsidR="005B3739" w:rsidRPr="009D30E6" w:rsidRDefault="005B3739" w:rsidP="007E663E">
      <w:pPr>
        <w:rPr>
          <w:sz w:val="17"/>
          <w:szCs w:val="17"/>
        </w:rPr>
      </w:pPr>
      <w:r w:rsidRPr="009D30E6">
        <w:rPr>
          <w:sz w:val="17"/>
          <w:szCs w:val="17"/>
        </w:rPr>
        <w:separator/>
      </w:r>
    </w:p>
    <w:p w14:paraId="34572F44" w14:textId="77777777" w:rsidR="005B3739" w:rsidRPr="007E663E" w:rsidRDefault="005B3739" w:rsidP="007E663E">
      <w:pPr>
        <w:spacing w:after="60"/>
        <w:rPr>
          <w:sz w:val="17"/>
          <w:szCs w:val="17"/>
        </w:rPr>
      </w:pPr>
      <w:r>
        <w:rPr>
          <w:sz w:val="17"/>
        </w:rPr>
        <w:t>[Continuación de la nota de la página anterior]</w:t>
      </w:r>
    </w:p>
  </w:footnote>
  <w:footnote w:type="continuationNotice" w:id="1">
    <w:p w14:paraId="6573AB8B" w14:textId="77777777" w:rsidR="005B3739" w:rsidRPr="007E663E" w:rsidRDefault="005B373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A23E" w14:textId="64D08CC4" w:rsidR="00F84474" w:rsidRDefault="005E2022" w:rsidP="00477D6B">
    <w:pPr>
      <w:jc w:val="right"/>
    </w:pPr>
    <w:bookmarkStart w:id="5" w:name="Code2"/>
    <w:bookmarkEnd w:id="5"/>
    <w:r>
      <w:t>WO/GA/60/1</w:t>
    </w:r>
  </w:p>
  <w:p w14:paraId="4D74F718"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B383401" w14:textId="77777777" w:rsidR="00F84474" w:rsidRDefault="00F84474" w:rsidP="00477D6B">
    <w:pPr>
      <w:jc w:val="right"/>
    </w:pPr>
  </w:p>
  <w:p w14:paraId="562FCD7F" w14:textId="77777777"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9E0B" w14:textId="77777777" w:rsidR="005E2022" w:rsidRPr="00F94101" w:rsidRDefault="005E2022" w:rsidP="00477D6B">
    <w:pPr>
      <w:jc w:val="right"/>
    </w:pPr>
    <w:r>
      <w:t>WO/PBC/40/2</w:t>
    </w:r>
  </w:p>
  <w:p w14:paraId="3D7EC372" w14:textId="77777777" w:rsidR="005E2022" w:rsidRPr="00F94101" w:rsidRDefault="005E2022" w:rsidP="001B4285">
    <w:pPr>
      <w:spacing w:after="480"/>
      <w:jc w:val="right"/>
    </w:pPr>
    <w:r>
      <w:t>página</w:t>
    </w:r>
    <w:r w:rsidRPr="00F94101">
      <w:t xml:space="preserve"> </w:t>
    </w:r>
    <w:r w:rsidRPr="00F94101">
      <w:fldChar w:fldCharType="begin"/>
    </w:r>
    <w:r w:rsidRPr="00F94101">
      <w:instrText xml:space="preserve"> PAGE  \* MERGEFORMAT </w:instrText>
    </w:r>
    <w:r w:rsidRPr="00F94101">
      <w:fldChar w:fldCharType="separate"/>
    </w:r>
    <w:r w:rsidRPr="00F94101">
      <w:t>2</w:t>
    </w:r>
    <w:r w:rsidRPr="00F9410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0D14" w14:textId="77777777" w:rsidR="005E2022" w:rsidRDefault="005E2022" w:rsidP="005D579A">
    <w:pPr>
      <w:spacing w:line="259" w:lineRule="auto"/>
      <w:ind w:left="142"/>
      <w:jc w:val="right"/>
      <w:rPr>
        <w:rFonts w:eastAsia="Arial"/>
        <w:color w:val="000000"/>
      </w:rPr>
    </w:pPr>
    <w:r>
      <w:rPr>
        <w:color w:val="000000"/>
      </w:rPr>
      <w:t>WO/PBC/40/2</w:t>
    </w:r>
  </w:p>
  <w:p w14:paraId="5F3F631F" w14:textId="77777777" w:rsidR="005E2022" w:rsidRDefault="005E2022" w:rsidP="005D579A">
    <w:pPr>
      <w:spacing w:line="259" w:lineRule="auto"/>
      <w:ind w:left="142"/>
      <w:jc w:val="right"/>
      <w:rPr>
        <w:rFonts w:eastAsia="Arial"/>
        <w:noProof/>
        <w:color w:val="000000"/>
      </w:rPr>
    </w:pPr>
    <w:r>
      <w:rPr>
        <w:color w:val="000000"/>
      </w:rPr>
      <w:t xml:space="preserve">página </w:t>
    </w:r>
    <w:r w:rsidRPr="00A20E42">
      <w:rPr>
        <w:rFonts w:eastAsia="Arial"/>
        <w:color w:val="000000"/>
      </w:rPr>
      <w:fldChar w:fldCharType="begin"/>
    </w:r>
    <w:r w:rsidRPr="00A20E42">
      <w:rPr>
        <w:rFonts w:eastAsia="Arial"/>
        <w:color w:val="000000"/>
      </w:rPr>
      <w:instrText xml:space="preserve"> PAGE   \* MERGEFORMAT </w:instrText>
    </w:r>
    <w:r w:rsidRPr="00A20E42">
      <w:rPr>
        <w:rFonts w:eastAsia="Arial"/>
        <w:color w:val="000000"/>
      </w:rPr>
      <w:fldChar w:fldCharType="separate"/>
    </w:r>
    <w:r w:rsidRPr="00A20E42">
      <w:rPr>
        <w:rFonts w:eastAsia="Arial"/>
        <w:color w:val="000000"/>
      </w:rPr>
      <w:t>1</w:t>
    </w:r>
    <w:r w:rsidRPr="00A20E42">
      <w:rPr>
        <w:rFonts w:eastAsia="Arial"/>
        <w:color w:val="000000"/>
      </w:rPr>
      <w:fldChar w:fldCharType="end"/>
    </w:r>
  </w:p>
  <w:p w14:paraId="1DCA9892" w14:textId="77777777" w:rsidR="005E2022" w:rsidRPr="005D579A" w:rsidRDefault="005E2022" w:rsidP="005D579A">
    <w:pPr>
      <w:spacing w:line="259" w:lineRule="auto"/>
      <w:ind w:left="142"/>
      <w:jc w:val="right"/>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C0208"/>
    <w:multiLevelType w:val="multilevel"/>
    <w:tmpl w:val="D3DC51D0"/>
    <w:lvl w:ilvl="0">
      <w:start w:val="6"/>
      <w:numFmt w:val="decimal"/>
      <w:lvlText w:val="%1."/>
      <w:lvlJc w:val="left"/>
      <w:pPr>
        <w:tabs>
          <w:tab w:val="num" w:pos="720"/>
        </w:tabs>
        <w:ind w:left="720" w:hanging="360"/>
      </w:pPr>
    </w:lvl>
    <w:lvl w:ilvl="1">
      <w:start w:val="2"/>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1B4C"/>
    <w:multiLevelType w:val="multilevel"/>
    <w:tmpl w:val="F450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B19A2"/>
    <w:multiLevelType w:val="multilevel"/>
    <w:tmpl w:val="0B88C95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9"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26900844">
    <w:abstractNumId w:val="3"/>
  </w:num>
  <w:num w:numId="2" w16cid:durableId="309794587">
    <w:abstractNumId w:val="6"/>
  </w:num>
  <w:num w:numId="3" w16cid:durableId="1968076723">
    <w:abstractNumId w:val="0"/>
  </w:num>
  <w:num w:numId="4" w16cid:durableId="1656638925">
    <w:abstractNumId w:val="7"/>
  </w:num>
  <w:num w:numId="5" w16cid:durableId="244077344">
    <w:abstractNumId w:val="2"/>
  </w:num>
  <w:num w:numId="6" w16cid:durableId="720789353">
    <w:abstractNumId w:val="5"/>
  </w:num>
  <w:num w:numId="7" w16cid:durableId="1356345718">
    <w:abstractNumId w:val="9"/>
  </w:num>
  <w:num w:numId="8" w16cid:durableId="602224601">
    <w:abstractNumId w:val="8"/>
  </w:num>
  <w:num w:numId="9" w16cid:durableId="1030840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473008">
    <w:abstractNumId w:val="4"/>
  </w:num>
  <w:num w:numId="11" w16cid:durableId="175520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22"/>
    <w:rsid w:val="00004940"/>
    <w:rsid w:val="0001502B"/>
    <w:rsid w:val="00046C3F"/>
    <w:rsid w:val="000936D8"/>
    <w:rsid w:val="000E3BB3"/>
    <w:rsid w:val="000F5E56"/>
    <w:rsid w:val="001362EE"/>
    <w:rsid w:val="00137CC4"/>
    <w:rsid w:val="00152CEA"/>
    <w:rsid w:val="001832A6"/>
    <w:rsid w:val="001C4DD3"/>
    <w:rsid w:val="002634C4"/>
    <w:rsid w:val="00286123"/>
    <w:rsid w:val="002F4E68"/>
    <w:rsid w:val="00307787"/>
    <w:rsid w:val="00323EB5"/>
    <w:rsid w:val="00354647"/>
    <w:rsid w:val="00377273"/>
    <w:rsid w:val="003845C1"/>
    <w:rsid w:val="00387287"/>
    <w:rsid w:val="003D41D4"/>
    <w:rsid w:val="00413E55"/>
    <w:rsid w:val="00423E3E"/>
    <w:rsid w:val="00427AF4"/>
    <w:rsid w:val="0045231F"/>
    <w:rsid w:val="004647DA"/>
    <w:rsid w:val="00477D6B"/>
    <w:rsid w:val="004A6C37"/>
    <w:rsid w:val="004F7418"/>
    <w:rsid w:val="00522018"/>
    <w:rsid w:val="00530667"/>
    <w:rsid w:val="00541399"/>
    <w:rsid w:val="0055013B"/>
    <w:rsid w:val="0056224D"/>
    <w:rsid w:val="00571B99"/>
    <w:rsid w:val="005A5A8F"/>
    <w:rsid w:val="005B3739"/>
    <w:rsid w:val="005D64EC"/>
    <w:rsid w:val="005E2022"/>
    <w:rsid w:val="00605827"/>
    <w:rsid w:val="00643C29"/>
    <w:rsid w:val="00675021"/>
    <w:rsid w:val="006A06C6"/>
    <w:rsid w:val="006C0B5B"/>
    <w:rsid w:val="007C517C"/>
    <w:rsid w:val="007E63AC"/>
    <w:rsid w:val="007E663E"/>
    <w:rsid w:val="007E758E"/>
    <w:rsid w:val="00815082"/>
    <w:rsid w:val="00843582"/>
    <w:rsid w:val="008B14EA"/>
    <w:rsid w:val="008B2CC1"/>
    <w:rsid w:val="0090731E"/>
    <w:rsid w:val="00916AC3"/>
    <w:rsid w:val="00966A22"/>
    <w:rsid w:val="00972F03"/>
    <w:rsid w:val="009A0C8B"/>
    <w:rsid w:val="009B6241"/>
    <w:rsid w:val="00A1446D"/>
    <w:rsid w:val="00A16FC0"/>
    <w:rsid w:val="00A216EC"/>
    <w:rsid w:val="00A32C9E"/>
    <w:rsid w:val="00A5398B"/>
    <w:rsid w:val="00A7453D"/>
    <w:rsid w:val="00AB5B50"/>
    <w:rsid w:val="00AB613D"/>
    <w:rsid w:val="00AD6B7B"/>
    <w:rsid w:val="00B65A0A"/>
    <w:rsid w:val="00B72D36"/>
    <w:rsid w:val="00BC4164"/>
    <w:rsid w:val="00BD2DCC"/>
    <w:rsid w:val="00BE1A8C"/>
    <w:rsid w:val="00C06472"/>
    <w:rsid w:val="00C07DBB"/>
    <w:rsid w:val="00C90559"/>
    <w:rsid w:val="00CC6A25"/>
    <w:rsid w:val="00D20B6E"/>
    <w:rsid w:val="00D36B79"/>
    <w:rsid w:val="00D40CF0"/>
    <w:rsid w:val="00D52052"/>
    <w:rsid w:val="00D56C7C"/>
    <w:rsid w:val="00D71B4D"/>
    <w:rsid w:val="00D90289"/>
    <w:rsid w:val="00D93D55"/>
    <w:rsid w:val="00DE636E"/>
    <w:rsid w:val="00E166B6"/>
    <w:rsid w:val="00E45C84"/>
    <w:rsid w:val="00E504E5"/>
    <w:rsid w:val="00E73ABF"/>
    <w:rsid w:val="00EA4D08"/>
    <w:rsid w:val="00EB7A3E"/>
    <w:rsid w:val="00EC401A"/>
    <w:rsid w:val="00EF530A"/>
    <w:rsid w:val="00EF6622"/>
    <w:rsid w:val="00F21885"/>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FB759"/>
  <w15:docId w15:val="{011B675D-F714-48CC-80DD-49D285E6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qForma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5E2022"/>
    <w:rPr>
      <w:rFonts w:ascii="Arial" w:eastAsia="SimSun" w:hAnsi="Arial" w:cs="Arial"/>
      <w:sz w:val="22"/>
      <w:lang w:val="es-ES" w:eastAsia="zh-CN"/>
    </w:rPr>
  </w:style>
  <w:style w:type="paragraph" w:styleId="ListParagraph">
    <w:name w:val="List Paragraph"/>
    <w:basedOn w:val="Normal"/>
    <w:uiPriority w:val="34"/>
    <w:qFormat/>
    <w:rsid w:val="005E2022"/>
    <w:pPr>
      <w:spacing w:before="180" w:after="240"/>
      <w:ind w:left="720"/>
      <w:contextualSpacing/>
    </w:pPr>
    <w:rPr>
      <w:rFonts w:eastAsiaTheme="minorHAnsi" w:cs="Noto Sans Display"/>
      <w:kern w:val="2"/>
      <w:szCs w:val="22"/>
      <w:lang w:eastAsia="en-US"/>
      <w14:ligatures w14:val="standardContextual"/>
    </w:rPr>
  </w:style>
  <w:style w:type="paragraph" w:styleId="TOC3">
    <w:name w:val="toc 3"/>
    <w:basedOn w:val="Normal"/>
    <w:next w:val="Normal"/>
    <w:autoRedefine/>
    <w:uiPriority w:val="39"/>
    <w:unhideWhenUsed/>
    <w:rsid w:val="005E2022"/>
    <w:pPr>
      <w:tabs>
        <w:tab w:val="left" w:pos="1134"/>
        <w:tab w:val="right" w:leader="dot" w:pos="9019"/>
      </w:tabs>
      <w:spacing w:before="180" w:after="100"/>
      <w:ind w:left="440"/>
    </w:pPr>
    <w:rPr>
      <w:rFonts w:eastAsiaTheme="minorHAnsi" w:cs="Noto Sans Display"/>
      <w:kern w:val="2"/>
      <w:szCs w:val="22"/>
      <w:lang w:eastAsia="en-US"/>
      <w14:ligatures w14:val="standardContextual"/>
    </w:rPr>
  </w:style>
  <w:style w:type="character" w:styleId="Hyperlink">
    <w:name w:val="Hyperlink"/>
    <w:basedOn w:val="DefaultParagraphFont"/>
    <w:uiPriority w:val="99"/>
    <w:unhideWhenUsed/>
    <w:rsid w:val="005E2022"/>
    <w:rPr>
      <w:color w:val="0000FF" w:themeColor="hyperlink"/>
      <w:u w:val="single"/>
    </w:rPr>
  </w:style>
  <w:style w:type="paragraph" w:styleId="TOC4">
    <w:name w:val="toc 4"/>
    <w:basedOn w:val="Normal"/>
    <w:next w:val="Normal"/>
    <w:autoRedefine/>
    <w:uiPriority w:val="39"/>
    <w:unhideWhenUsed/>
    <w:rsid w:val="005E2022"/>
    <w:pPr>
      <w:spacing w:before="180" w:after="100"/>
      <w:ind w:left="660"/>
    </w:pPr>
    <w:rPr>
      <w:rFonts w:eastAsiaTheme="minorHAnsi" w:cs="Noto Sans Display"/>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2.xml><?xml version="1.0" encoding="utf-8"?>
<ds:datastoreItem xmlns:ds="http://schemas.openxmlformats.org/officeDocument/2006/customXml" ds:itemID="{FE1C76D2-131C-4353-B4FF-741C414D01D6}">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customXml/itemProps3.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WO_GA_60 (S)</Template>
  <TotalTime>1</TotalTime>
  <Pages>11</Pages>
  <Words>3412</Words>
  <Characters>19454</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WO/GA/60/</vt:lpstr>
    </vt:vector>
  </TitlesOfParts>
  <Company>WIPO</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WO/GA/60/1</dc:title>
  <dc:creator>SAMUELS Frederick Anthony</dc:creator>
  <cp:keywords>FOR OFFICIAL USE ONLY</cp:keywords>
  <cp:lastModifiedBy>RUBAN Annaig</cp:lastModifiedBy>
  <cp:revision>2</cp:revision>
  <cp:lastPrinted>2026-05-27T09:59:00Z</cp:lastPrinted>
  <dcterms:created xsi:type="dcterms:W3CDTF">2026-05-27T13:38:00Z</dcterms:created>
  <dcterms:modified xsi:type="dcterms:W3CDTF">2026-05-27T13:38:00Z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