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D889" w14:textId="77777777" w:rsidR="008B2CC1" w:rsidRPr="00415B3E" w:rsidRDefault="008B14EA" w:rsidP="008B14EA">
      <w:pPr>
        <w:spacing w:after="120"/>
        <w:jc w:val="right"/>
        <w:rPr>
          <w:lang w:val="es-419"/>
        </w:rPr>
      </w:pPr>
      <w:r w:rsidRPr="00415B3E">
        <w:rPr>
          <w:noProof/>
          <w:lang w:val="es-419" w:eastAsia="fr-CH"/>
        </w:rPr>
        <w:drawing>
          <wp:inline distT="0" distB="0" distL="0" distR="0" wp14:anchorId="721A2B69" wp14:editId="71004A7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15B3E">
        <w:rPr>
          <w:rFonts w:ascii="Arial Black" w:hAnsi="Arial Black"/>
          <w:caps/>
          <w:noProof/>
          <w:sz w:val="15"/>
          <w:szCs w:val="15"/>
          <w:lang w:val="es-419" w:eastAsia="fr-CH"/>
        </w:rPr>
        <mc:AlternateContent>
          <mc:Choice Requires="wps">
            <w:drawing>
              <wp:inline distT="0" distB="0" distL="0" distR="0" wp14:anchorId="33367441" wp14:editId="4B16A92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0DA84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214C529" w14:textId="59B27213" w:rsidR="008B2CC1" w:rsidRPr="00415B3E" w:rsidRDefault="00522018" w:rsidP="008B14EA">
      <w:pPr>
        <w:jc w:val="right"/>
        <w:rPr>
          <w:rFonts w:ascii="Arial Black" w:hAnsi="Arial Black"/>
          <w:caps/>
          <w:sz w:val="15"/>
          <w:lang w:val="es-419"/>
        </w:rPr>
      </w:pPr>
      <w:r w:rsidRPr="00415B3E">
        <w:rPr>
          <w:rFonts w:ascii="Arial Black" w:hAnsi="Arial Black"/>
          <w:caps/>
          <w:sz w:val="15"/>
          <w:szCs w:val="15"/>
          <w:lang w:val="es-419"/>
        </w:rPr>
        <w:t>WO/GA/5</w:t>
      </w:r>
      <w:r w:rsidR="00137CC4" w:rsidRPr="00415B3E">
        <w:rPr>
          <w:rFonts w:ascii="Arial Black" w:hAnsi="Arial Black"/>
          <w:caps/>
          <w:sz w:val="15"/>
          <w:szCs w:val="15"/>
          <w:lang w:val="es-419"/>
        </w:rPr>
        <w:t>8</w:t>
      </w:r>
      <w:r w:rsidRPr="00415B3E">
        <w:rPr>
          <w:rFonts w:ascii="Arial Black" w:hAnsi="Arial Black"/>
          <w:caps/>
          <w:sz w:val="15"/>
          <w:szCs w:val="15"/>
          <w:lang w:val="es-419"/>
        </w:rPr>
        <w:t>/</w:t>
      </w:r>
      <w:bookmarkStart w:id="0" w:name="Code"/>
      <w:r w:rsidR="00460263" w:rsidRPr="00415B3E">
        <w:rPr>
          <w:rFonts w:ascii="Arial Black" w:hAnsi="Arial Black"/>
          <w:caps/>
          <w:sz w:val="15"/>
          <w:szCs w:val="15"/>
          <w:lang w:val="es-419"/>
        </w:rPr>
        <w:t>7</w:t>
      </w:r>
    </w:p>
    <w:bookmarkEnd w:id="0"/>
    <w:p w14:paraId="71DC61A6" w14:textId="2DCF1CBE" w:rsidR="008B2CC1" w:rsidRPr="00415B3E" w:rsidRDefault="008B14EA" w:rsidP="008B14EA">
      <w:pPr>
        <w:jc w:val="right"/>
        <w:rPr>
          <w:rFonts w:ascii="Arial Black" w:hAnsi="Arial Black"/>
          <w:caps/>
          <w:sz w:val="15"/>
          <w:lang w:val="es-419"/>
        </w:rPr>
      </w:pPr>
      <w:r w:rsidRPr="00415B3E">
        <w:rPr>
          <w:rFonts w:ascii="Arial Black" w:hAnsi="Arial Black"/>
          <w:caps/>
          <w:sz w:val="15"/>
          <w:lang w:val="es-419"/>
        </w:rPr>
        <w:t xml:space="preserve">ORIGINAL: </w:t>
      </w:r>
      <w:bookmarkStart w:id="1" w:name="Original"/>
      <w:r w:rsidR="00460263" w:rsidRPr="00415B3E">
        <w:rPr>
          <w:rFonts w:ascii="Arial Black" w:hAnsi="Arial Black"/>
          <w:caps/>
          <w:sz w:val="15"/>
          <w:lang w:val="es-419"/>
        </w:rPr>
        <w:t>Inglés</w:t>
      </w:r>
    </w:p>
    <w:bookmarkEnd w:id="1"/>
    <w:p w14:paraId="2E9B2082" w14:textId="7D8E76B1" w:rsidR="008B2CC1" w:rsidRPr="00415B3E" w:rsidRDefault="008B14EA" w:rsidP="008B14EA">
      <w:pPr>
        <w:spacing w:after="1200"/>
        <w:jc w:val="right"/>
        <w:rPr>
          <w:rFonts w:ascii="Arial Black" w:hAnsi="Arial Black"/>
          <w:caps/>
          <w:sz w:val="15"/>
          <w:lang w:val="es-419"/>
        </w:rPr>
      </w:pPr>
      <w:r w:rsidRPr="00415B3E">
        <w:rPr>
          <w:rFonts w:ascii="Arial Black" w:hAnsi="Arial Black"/>
          <w:caps/>
          <w:sz w:val="15"/>
          <w:lang w:val="es-419"/>
        </w:rPr>
        <w:t xml:space="preserve">FECHA: </w:t>
      </w:r>
      <w:bookmarkStart w:id="2" w:name="Date"/>
      <w:r w:rsidR="00460263" w:rsidRPr="00415B3E">
        <w:rPr>
          <w:rFonts w:ascii="Arial Black" w:hAnsi="Arial Black"/>
          <w:caps/>
          <w:sz w:val="15"/>
          <w:lang w:val="es-419"/>
        </w:rPr>
        <w:t>26 de mayo de 2025</w:t>
      </w:r>
    </w:p>
    <w:bookmarkEnd w:id="2"/>
    <w:p w14:paraId="103AE7BB" w14:textId="77777777" w:rsidR="008B2CC1" w:rsidRPr="00415B3E" w:rsidRDefault="00522018" w:rsidP="008B14EA">
      <w:pPr>
        <w:spacing w:after="600"/>
        <w:rPr>
          <w:b/>
          <w:sz w:val="28"/>
          <w:szCs w:val="28"/>
          <w:lang w:val="es-419"/>
        </w:rPr>
      </w:pPr>
      <w:r w:rsidRPr="00415B3E">
        <w:rPr>
          <w:b/>
          <w:sz w:val="28"/>
          <w:szCs w:val="28"/>
          <w:lang w:val="es-419"/>
        </w:rPr>
        <w:t>Asamblea General de la OMPI</w:t>
      </w:r>
    </w:p>
    <w:p w14:paraId="3ED8B5DE" w14:textId="77777777" w:rsidR="00323EB5" w:rsidRPr="00415B3E" w:rsidRDefault="00D52052" w:rsidP="00323EB5">
      <w:pPr>
        <w:rPr>
          <w:b/>
          <w:sz w:val="24"/>
          <w:szCs w:val="24"/>
          <w:lang w:val="es-419"/>
        </w:rPr>
      </w:pPr>
      <w:r w:rsidRPr="00415B3E">
        <w:rPr>
          <w:b/>
          <w:sz w:val="24"/>
          <w:szCs w:val="24"/>
          <w:lang w:val="es-419"/>
        </w:rPr>
        <w:t xml:space="preserve">Quincuagésimo </w:t>
      </w:r>
      <w:r w:rsidR="00137CC4" w:rsidRPr="00415B3E">
        <w:rPr>
          <w:b/>
          <w:sz w:val="24"/>
          <w:szCs w:val="24"/>
          <w:lang w:val="es-419"/>
        </w:rPr>
        <w:t>octavo</w:t>
      </w:r>
      <w:r w:rsidRPr="00415B3E">
        <w:rPr>
          <w:b/>
          <w:sz w:val="24"/>
          <w:szCs w:val="24"/>
          <w:lang w:val="es-419"/>
        </w:rPr>
        <w:t xml:space="preserve"> período de sesiones (</w:t>
      </w:r>
      <w:r w:rsidR="00137CC4" w:rsidRPr="00415B3E">
        <w:rPr>
          <w:b/>
          <w:sz w:val="24"/>
          <w:szCs w:val="24"/>
          <w:lang w:val="es-419"/>
        </w:rPr>
        <w:t>27</w:t>
      </w:r>
      <w:r w:rsidRPr="00415B3E">
        <w:rPr>
          <w:b/>
          <w:sz w:val="24"/>
          <w:szCs w:val="24"/>
          <w:lang w:val="es-419"/>
        </w:rPr>
        <w:t>.º ordinario</w:t>
      </w:r>
      <w:r w:rsidR="00522018" w:rsidRPr="00415B3E">
        <w:rPr>
          <w:b/>
          <w:sz w:val="24"/>
          <w:szCs w:val="24"/>
          <w:lang w:val="es-419"/>
        </w:rPr>
        <w:t>)</w:t>
      </w:r>
    </w:p>
    <w:p w14:paraId="1AC5E3B0" w14:textId="77777777" w:rsidR="008B2CC1" w:rsidRPr="00415B3E" w:rsidRDefault="00522018" w:rsidP="008B14EA">
      <w:pPr>
        <w:spacing w:after="720"/>
        <w:rPr>
          <w:b/>
          <w:sz w:val="24"/>
          <w:szCs w:val="24"/>
          <w:lang w:val="es-419"/>
        </w:rPr>
      </w:pPr>
      <w:r w:rsidRPr="00415B3E">
        <w:rPr>
          <w:b/>
          <w:sz w:val="24"/>
          <w:szCs w:val="24"/>
          <w:lang w:val="es-419"/>
        </w:rPr>
        <w:t xml:space="preserve">Ginebra, </w:t>
      </w:r>
      <w:r w:rsidR="00137CC4" w:rsidRPr="00415B3E">
        <w:rPr>
          <w:b/>
          <w:sz w:val="24"/>
          <w:szCs w:val="24"/>
          <w:lang w:val="es-419"/>
        </w:rPr>
        <w:t xml:space="preserve">8 </w:t>
      </w:r>
      <w:r w:rsidR="00D52052" w:rsidRPr="00415B3E">
        <w:rPr>
          <w:b/>
          <w:sz w:val="24"/>
          <w:szCs w:val="24"/>
          <w:lang w:val="es-419"/>
        </w:rPr>
        <w:t>a 17 de julio de 202</w:t>
      </w:r>
      <w:r w:rsidR="00137CC4" w:rsidRPr="00415B3E">
        <w:rPr>
          <w:b/>
          <w:sz w:val="24"/>
          <w:szCs w:val="24"/>
          <w:lang w:val="es-419"/>
        </w:rPr>
        <w:t>5</w:t>
      </w:r>
    </w:p>
    <w:p w14:paraId="22473B63" w14:textId="77777777" w:rsidR="00460263" w:rsidRPr="00415B3E" w:rsidRDefault="00460263" w:rsidP="008B14EA">
      <w:pPr>
        <w:spacing w:after="360"/>
        <w:rPr>
          <w:caps/>
          <w:sz w:val="24"/>
          <w:lang w:val="es-419"/>
        </w:rPr>
      </w:pPr>
      <w:bookmarkStart w:id="3" w:name="TitleOfDoc"/>
      <w:r w:rsidRPr="00415B3E">
        <w:rPr>
          <w:caps/>
          <w:sz w:val="24"/>
          <w:lang w:val="es-419"/>
        </w:rPr>
        <w:t>INFORME DEL COMITÉ DE DESARROLLO Y PROPIEDAD INTELECTUAL (CDIP) Y RESEÑA DE LA APLICACIÓN DE LAS RECOMENDACIONES DE LA AGENDA PARA EL DESARROLLO</w:t>
      </w:r>
    </w:p>
    <w:p w14:paraId="34BC88D7" w14:textId="5D6C640D" w:rsidR="008B2CC1" w:rsidRPr="00415B3E" w:rsidRDefault="008B2CC1" w:rsidP="008B14EA">
      <w:pPr>
        <w:spacing w:after="360"/>
        <w:rPr>
          <w:caps/>
          <w:sz w:val="24"/>
          <w:lang w:val="es-419"/>
        </w:rPr>
      </w:pPr>
    </w:p>
    <w:p w14:paraId="149F82CC" w14:textId="77777777" w:rsidR="00460263" w:rsidRPr="00415B3E" w:rsidRDefault="00460263" w:rsidP="008B14EA">
      <w:pPr>
        <w:spacing w:after="960"/>
        <w:rPr>
          <w:i/>
          <w:lang w:val="es-419"/>
        </w:rPr>
      </w:pPr>
      <w:bookmarkStart w:id="4" w:name="Prepared"/>
      <w:bookmarkEnd w:id="3"/>
      <w:r w:rsidRPr="00415B3E">
        <w:rPr>
          <w:i/>
          <w:lang w:val="es-419"/>
        </w:rPr>
        <w:t>preparado por la Secretaría</w:t>
      </w:r>
    </w:p>
    <w:bookmarkEnd w:id="4"/>
    <w:p w14:paraId="200165BA" w14:textId="77777777" w:rsidR="00460263" w:rsidRPr="00415B3E" w:rsidRDefault="00460263" w:rsidP="00FD5CE0">
      <w:pPr>
        <w:pStyle w:val="ONUMFS"/>
        <w:rPr>
          <w:lang w:val="es-419"/>
        </w:rPr>
      </w:pPr>
      <w:r w:rsidRPr="00415B3E">
        <w:rPr>
          <w:lang w:val="es-419"/>
        </w:rPr>
        <w:t>El Comité de Desarrollo y Propiedad Intelectual (CDIP) se reunió dos veces desde el quincuagésimo séptimo período de sesiones (31.º extraordinario) de la Asamblea General de la Organización Mundial de la Propiedad Intelectual (OMPI), celebrado del 9 al 17 de julio de 2024. La trigésima tercera sesión del CDIP se celebró del 9 al 13 de diciembre de 2024 y la trigésima cuarta sesión del Comité se celebró del 5 al 9 de mayo de 2025. Ambas se celebraron en formato híbrido.</w:t>
      </w:r>
    </w:p>
    <w:p w14:paraId="70A85487" w14:textId="77777777" w:rsidR="00460263" w:rsidRPr="00415B3E" w:rsidRDefault="00460263" w:rsidP="00FD5CE0">
      <w:pPr>
        <w:pStyle w:val="ONUMFS"/>
        <w:rPr>
          <w:lang w:val="es-419"/>
        </w:rPr>
      </w:pPr>
      <w:r w:rsidRPr="00415B3E">
        <w:rPr>
          <w:lang w:val="es-419"/>
        </w:rPr>
        <w:t>El CDIP decidió que los resúmenes de la presidencia de las sesiones trigésima tercera y trigésima cuarta, junto con el informe del director general sobre la aplicación de la Agenda para el Desarrollo, constituirán el informe del Comité a la Asamblea General de la OMPI.</w:t>
      </w:r>
    </w:p>
    <w:p w14:paraId="04BFB595" w14:textId="77777777" w:rsidR="00460263" w:rsidRPr="00415B3E" w:rsidRDefault="00460263" w:rsidP="00FD5CE0">
      <w:pPr>
        <w:pStyle w:val="ONUMFS"/>
        <w:rPr>
          <w:lang w:val="es-419"/>
        </w:rPr>
      </w:pPr>
      <w:r w:rsidRPr="00415B3E">
        <w:rPr>
          <w:lang w:val="es-419"/>
        </w:rPr>
        <w:t>En consecuencia, el presente documento contiene dichos resúmenes e informe.</w:t>
      </w:r>
    </w:p>
    <w:p w14:paraId="49A5D664" w14:textId="77777777" w:rsidR="00460263" w:rsidRPr="00415B3E" w:rsidRDefault="00460263" w:rsidP="00FD5CE0">
      <w:pPr>
        <w:pStyle w:val="ONUMFS"/>
        <w:keepNext/>
        <w:keepLines/>
        <w:ind w:left="5534"/>
        <w:rPr>
          <w:lang w:val="es-419"/>
        </w:rPr>
      </w:pPr>
      <w:r w:rsidRPr="00415B3E">
        <w:rPr>
          <w:i/>
          <w:lang w:val="es-419"/>
        </w:rPr>
        <w:lastRenderedPageBreak/>
        <w:t>Se invita a la Asamblea General de la OMPI a tomar nota del “Informe del Comité de Desarrollo y Propiedad Intelectual (CDIP) y reseña de la aplicación de las recomendaciones de la Agenda para el Desarrollo” (documento WO/GA/58/7).</w:t>
      </w:r>
    </w:p>
    <w:p w14:paraId="7A1E9C2E" w14:textId="0DD1B874" w:rsidR="00460263" w:rsidRPr="00415B3E" w:rsidRDefault="00460263" w:rsidP="00FD5CE0">
      <w:pPr>
        <w:pStyle w:val="Endofdocument-Annex"/>
        <w:spacing w:before="720"/>
        <w:rPr>
          <w:lang w:val="es-419"/>
        </w:rPr>
        <w:sectPr w:rsidR="00460263" w:rsidRPr="00415B3E" w:rsidSect="00460263">
          <w:headerReference w:type="default" r:id="rId11"/>
          <w:endnotePr>
            <w:numFmt w:val="decimal"/>
          </w:endnotePr>
          <w:pgSz w:w="11907" w:h="16840" w:code="9"/>
          <w:pgMar w:top="567" w:right="1134" w:bottom="1418" w:left="1418" w:header="510" w:footer="1021" w:gutter="0"/>
          <w:cols w:space="720"/>
          <w:titlePg/>
          <w:docGrid w:linePitch="299"/>
        </w:sectPr>
      </w:pPr>
      <w:r w:rsidRPr="00415B3E">
        <w:rPr>
          <w:lang w:val="es-419"/>
        </w:rPr>
        <w:t>[Siguen los resúmenes y el documento CDIP/34/</w:t>
      </w:r>
    </w:p>
    <w:p w14:paraId="03269DC4" w14:textId="77777777" w:rsidR="00FD5CE0" w:rsidRPr="00415B3E" w:rsidRDefault="00FD5CE0" w:rsidP="00FD5CE0">
      <w:pPr>
        <w:pBdr>
          <w:bottom w:val="single" w:sz="4" w:space="11" w:color="auto"/>
        </w:pBdr>
        <w:spacing w:after="120"/>
        <w:ind w:right="-57"/>
        <w:jc w:val="right"/>
        <w:rPr>
          <w:lang w:val="es-419"/>
        </w:rPr>
      </w:pPr>
      <w:r w:rsidRPr="00415B3E">
        <w:rPr>
          <w:noProof/>
          <w:lang w:val="es-419" w:eastAsia="fr-CH"/>
        </w:rPr>
        <w:lastRenderedPageBreak/>
        <w:drawing>
          <wp:inline distT="0" distB="0" distL="0" distR="0" wp14:anchorId="136C4467" wp14:editId="3B88D432">
            <wp:extent cx="3147729" cy="1353054"/>
            <wp:effectExtent l="0" t="0" r="0" b="0"/>
            <wp:docPr id="2000971324" name="Picture 2000971324"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2">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B7F15AE" w14:textId="77777777" w:rsidR="00FD5CE0" w:rsidRPr="00415B3E" w:rsidRDefault="00FD5CE0" w:rsidP="00FD5CE0">
      <w:pPr>
        <w:jc w:val="right"/>
        <w:rPr>
          <w:lang w:val="es-419"/>
        </w:rPr>
      </w:pPr>
      <w:r w:rsidRPr="00415B3E">
        <w:rPr>
          <w:rFonts w:ascii="Arial Black" w:hAnsi="Arial Black"/>
          <w:caps/>
          <w:sz w:val="15"/>
          <w:lang w:val="es-419"/>
        </w:rPr>
        <w:t>ORIGINAL: INGLÉS</w:t>
      </w:r>
    </w:p>
    <w:p w14:paraId="556FBE3B" w14:textId="77777777" w:rsidR="00FD5CE0" w:rsidRPr="00415B3E" w:rsidRDefault="00FD5CE0" w:rsidP="00FD5CE0">
      <w:pPr>
        <w:spacing w:after="1200"/>
        <w:jc w:val="right"/>
        <w:rPr>
          <w:lang w:val="es-419"/>
        </w:rPr>
      </w:pPr>
      <w:r w:rsidRPr="00415B3E">
        <w:rPr>
          <w:rFonts w:ascii="Arial Black" w:hAnsi="Arial Black"/>
          <w:caps/>
          <w:sz w:val="15"/>
          <w:lang w:val="es-419"/>
        </w:rPr>
        <w:t>fecha: 12 DE diciembre DE 2024</w:t>
      </w:r>
    </w:p>
    <w:p w14:paraId="3AE1BE51" w14:textId="77777777" w:rsidR="00FD5CE0" w:rsidRPr="00415B3E" w:rsidRDefault="00FD5CE0" w:rsidP="00FD5CE0">
      <w:pPr>
        <w:spacing w:after="600"/>
        <w:outlineLvl w:val="0"/>
        <w:rPr>
          <w:b/>
          <w:bCs/>
          <w:caps/>
          <w:kern w:val="32"/>
          <w:sz w:val="28"/>
          <w:szCs w:val="32"/>
          <w:lang w:val="es-419"/>
        </w:rPr>
      </w:pPr>
      <w:r w:rsidRPr="00415B3E">
        <w:rPr>
          <w:b/>
          <w:bCs/>
          <w:kern w:val="32"/>
          <w:sz w:val="28"/>
          <w:szCs w:val="32"/>
          <w:lang w:val="es-419"/>
        </w:rPr>
        <w:t>Comité de Desarrollo y Propiedad Intelectual (CDIP)</w:t>
      </w:r>
    </w:p>
    <w:p w14:paraId="014EFDF3" w14:textId="77777777" w:rsidR="00FD5CE0" w:rsidRPr="00415B3E" w:rsidRDefault="00FD5CE0" w:rsidP="00FD5CE0">
      <w:pPr>
        <w:outlineLvl w:val="1"/>
        <w:rPr>
          <w:b/>
          <w:lang w:val="es-419"/>
        </w:rPr>
      </w:pPr>
      <w:r w:rsidRPr="00415B3E">
        <w:rPr>
          <w:b/>
          <w:lang w:val="es-419"/>
        </w:rPr>
        <w:t>Trigésima tercera sesión</w:t>
      </w:r>
    </w:p>
    <w:p w14:paraId="4E71028E" w14:textId="77777777" w:rsidR="00FD5CE0" w:rsidRPr="00415B3E" w:rsidRDefault="00FD5CE0" w:rsidP="00FD5CE0">
      <w:pPr>
        <w:spacing w:after="720"/>
        <w:outlineLvl w:val="1"/>
        <w:rPr>
          <w:b/>
          <w:lang w:val="es-419"/>
        </w:rPr>
      </w:pPr>
      <w:r w:rsidRPr="00415B3E">
        <w:rPr>
          <w:b/>
          <w:lang w:val="es-419"/>
        </w:rPr>
        <w:t>Ginebra, 9 a 13 de diciembre de 2024</w:t>
      </w:r>
    </w:p>
    <w:p w14:paraId="607BF307" w14:textId="77777777" w:rsidR="00FD5CE0" w:rsidRPr="00415B3E" w:rsidRDefault="00FD5CE0" w:rsidP="00FD5CE0">
      <w:pPr>
        <w:spacing w:before="240" w:after="600"/>
        <w:outlineLvl w:val="1"/>
        <w:rPr>
          <w:bCs/>
          <w:iCs/>
          <w:caps/>
          <w:lang w:val="es-419"/>
        </w:rPr>
      </w:pPr>
      <w:r w:rsidRPr="00415B3E">
        <w:rPr>
          <w:caps/>
          <w:lang w:val="es-419"/>
        </w:rPr>
        <w:t>RESUMEN DE LA PRESIDENCIA</w:t>
      </w:r>
    </w:p>
    <w:p w14:paraId="0E273900" w14:textId="77777777" w:rsidR="00FD5CE0" w:rsidRPr="00415B3E" w:rsidRDefault="00FD5CE0" w:rsidP="00FD5CE0">
      <w:pPr>
        <w:numPr>
          <w:ilvl w:val="0"/>
          <w:numId w:val="8"/>
        </w:numPr>
        <w:spacing w:after="240"/>
        <w:ind w:left="0" w:firstLine="0"/>
        <w:rPr>
          <w:bCs/>
          <w:lang w:val="es-419"/>
        </w:rPr>
      </w:pPr>
      <w:r w:rsidRPr="00415B3E">
        <w:rPr>
          <w:lang w:val="es-419"/>
        </w:rPr>
        <w:t>La trigésima tercera sesión del Comité de Desarrollo y Propiedad Intelectual (CDIP) se celebró del 9 al 12 de diciembre de 2024, en formato híbrido. Asistieron a la sesión del CDIP 96 Estados miembros y 23 observadores. La sesión fue inaugurada por el Sr. Daren Tang, director general de la Organización Mundial de la Propiedad Intelectual (OMPI). La sesión fue presidida por la Excma. Sra. Pimchanok Vonkorpon Pitfield, embajadora y representante permanente de Tailandia ante la Organización Mundial del Comercio (OMC) y la OMPI.</w:t>
      </w:r>
    </w:p>
    <w:p w14:paraId="11C2663B" w14:textId="77777777" w:rsidR="00FD5CE0" w:rsidRPr="00415B3E" w:rsidRDefault="00FD5CE0" w:rsidP="00FD5CE0">
      <w:pPr>
        <w:numPr>
          <w:ilvl w:val="0"/>
          <w:numId w:val="8"/>
        </w:numPr>
        <w:spacing w:after="240"/>
        <w:ind w:left="0" w:firstLine="0"/>
        <w:rPr>
          <w:bCs/>
          <w:lang w:val="es-419"/>
        </w:rPr>
      </w:pPr>
      <w:r w:rsidRPr="00415B3E">
        <w:rPr>
          <w:lang w:val="es-419"/>
        </w:rPr>
        <w:t>En el marco del punto 2 del orden del día, el Comité aprobó el proyecto de orden del día que figura en el documento CDIP/33/1 Prov. 2.</w:t>
      </w:r>
    </w:p>
    <w:p w14:paraId="69D8A5DF" w14:textId="77777777" w:rsidR="00FD5CE0" w:rsidRPr="00415B3E" w:rsidRDefault="00FD5CE0" w:rsidP="00FD5CE0">
      <w:pPr>
        <w:numPr>
          <w:ilvl w:val="0"/>
          <w:numId w:val="8"/>
        </w:numPr>
        <w:spacing w:after="240"/>
        <w:ind w:left="0" w:firstLine="0"/>
        <w:rPr>
          <w:szCs w:val="22"/>
          <w:lang w:val="es-419"/>
        </w:rPr>
      </w:pPr>
      <w:r w:rsidRPr="00415B3E">
        <w:rPr>
          <w:lang w:val="es-419"/>
        </w:rPr>
        <w:t xml:space="preserve">En el marco del punto 3 del orden del día, el Comité examinó la acreditación de observadores que figura en el documento CDIP/33/5. El Comité decidió otorgar la acreditación con carácter </w:t>
      </w:r>
      <w:r w:rsidRPr="00415B3E">
        <w:rPr>
          <w:i/>
          <w:iCs/>
          <w:lang w:val="es-419"/>
        </w:rPr>
        <w:t>ad hoc</w:t>
      </w:r>
      <w:r w:rsidRPr="00415B3E">
        <w:rPr>
          <w:lang w:val="es-419"/>
        </w:rPr>
        <w:t xml:space="preserve"> a una organización no gubernamental (ONG), a saber, The Chamber for the Protection of Copyright of Artists, Creators and Performers (SIIP) de Uzbekistán.</w:t>
      </w:r>
    </w:p>
    <w:p w14:paraId="37603DF2" w14:textId="77777777" w:rsidR="00FD5CE0" w:rsidRPr="00415B3E" w:rsidRDefault="00FD5CE0" w:rsidP="00FD5CE0">
      <w:pPr>
        <w:numPr>
          <w:ilvl w:val="0"/>
          <w:numId w:val="8"/>
        </w:numPr>
        <w:spacing w:after="240"/>
        <w:ind w:left="0" w:firstLine="0"/>
        <w:rPr>
          <w:szCs w:val="22"/>
          <w:lang w:val="es-419"/>
        </w:rPr>
      </w:pPr>
      <w:r w:rsidRPr="00415B3E">
        <w:rPr>
          <w:lang w:val="es-419"/>
        </w:rPr>
        <w:t>En el marco del punto 4 del orden del día, el Comité escuchó las declaraciones generales. Las delegaciones manifestaron apoyo y reconocieron las continuas iniciativas de la OMPI para la aplicación de las recomendaciones de la Agenda para el Desarrollo (AD). Asimismo, las delegaciones reiteraron el compromiso de participar y contribuir activamente al programa de la presente sesión, manifestando su determinación para hacer avanzar la labor del Comité.</w:t>
      </w:r>
    </w:p>
    <w:p w14:paraId="02352FE7" w14:textId="77777777" w:rsidR="00FD5CE0" w:rsidRPr="00415B3E" w:rsidRDefault="00FD5CE0" w:rsidP="00FD5CE0">
      <w:pPr>
        <w:numPr>
          <w:ilvl w:val="0"/>
          <w:numId w:val="8"/>
        </w:numPr>
        <w:spacing w:after="120"/>
        <w:ind w:left="0" w:firstLine="0"/>
        <w:rPr>
          <w:szCs w:val="22"/>
          <w:lang w:val="es-419"/>
        </w:rPr>
      </w:pPr>
      <w:bookmarkStart w:id="5" w:name="_Hlk184640697"/>
      <w:r w:rsidRPr="00415B3E">
        <w:rPr>
          <w:lang w:val="es-419"/>
        </w:rPr>
        <w:t xml:space="preserve">En el marco del punto 5 del orden del día, el Comité examinó lo siguiente: </w:t>
      </w:r>
    </w:p>
    <w:p w14:paraId="4D7B733B" w14:textId="77777777" w:rsidR="00FD5CE0" w:rsidRPr="00415B3E" w:rsidRDefault="00FD5CE0" w:rsidP="00FD5CE0">
      <w:pPr>
        <w:numPr>
          <w:ilvl w:val="1"/>
          <w:numId w:val="8"/>
        </w:numPr>
        <w:spacing w:after="120"/>
        <w:ind w:left="567" w:firstLine="0"/>
        <w:rPr>
          <w:szCs w:val="22"/>
          <w:lang w:val="es-419"/>
        </w:rPr>
      </w:pPr>
      <w:bookmarkStart w:id="6" w:name="_Hlk184747755"/>
      <w:r w:rsidRPr="00415B3E">
        <w:rPr>
          <w:lang w:val="es-419"/>
        </w:rPr>
        <w:t xml:space="preserve">Informe de situación sobre la aplicación de las 45 recomendaciones de la Agenda para el Desarrollo que figura en el documento CDIP/33/2. </w:t>
      </w:r>
      <w:bookmarkStart w:id="7" w:name="_Hlk184651796"/>
      <w:r w:rsidRPr="00415B3E">
        <w:rPr>
          <w:lang w:val="es-419"/>
        </w:rPr>
        <w:t>Los Estados miembros dieron a conocer las experiencias relativas a diversas actividades de asistencia técnica emprendidas en sus respectivos países. Asimismo, acogieron con satisfacción la estructura actualizada del informe y valoraron positivamente los esfuerzos de la Secretaría por simplificar la presentación de la información</w:t>
      </w:r>
      <w:bookmarkEnd w:id="7"/>
      <w:r w:rsidRPr="00415B3E">
        <w:rPr>
          <w:lang w:val="es-419"/>
        </w:rPr>
        <w:t xml:space="preserve">. El Comité tomó nota de la información contenida en el documento y sus Anexos. </w:t>
      </w:r>
      <w:bookmarkEnd w:id="6"/>
    </w:p>
    <w:p w14:paraId="14006EC3" w14:textId="77777777" w:rsidR="00FD5CE0" w:rsidRPr="00415B3E" w:rsidRDefault="00FD5CE0" w:rsidP="00FD5CE0">
      <w:pPr>
        <w:numPr>
          <w:ilvl w:val="1"/>
          <w:numId w:val="8"/>
        </w:numPr>
        <w:spacing w:after="120"/>
        <w:ind w:left="567" w:firstLine="0"/>
        <w:rPr>
          <w:szCs w:val="22"/>
          <w:lang w:val="es-419"/>
        </w:rPr>
      </w:pPr>
      <w:bookmarkStart w:id="8" w:name="_Hlk184747920"/>
      <w:bookmarkStart w:id="9" w:name="_Hlk184656645"/>
      <w:bookmarkEnd w:id="5"/>
      <w:r w:rsidRPr="00415B3E">
        <w:rPr>
          <w:lang w:val="es-419"/>
        </w:rPr>
        <w:lastRenderedPageBreak/>
        <w:t xml:space="preserve">Informes de situación - Proyectos en curso de la Agenda para el Desarrollo que figuran en el documento CDIP/33/3. El Comité tomó nota de la información proporcionada en el documento y acogió con satisfacción los avances realizados en la ejecución de esos proyectos. El Comité aprobó lo siguiente: </w:t>
      </w:r>
    </w:p>
    <w:p w14:paraId="6FA5EE87" w14:textId="4D5DC9A0" w:rsidR="00FD5CE0" w:rsidRPr="00415B3E" w:rsidRDefault="00FD5CE0" w:rsidP="00FD5CE0">
      <w:pPr>
        <w:spacing w:after="120"/>
        <w:ind w:left="1134"/>
        <w:rPr>
          <w:szCs w:val="22"/>
          <w:lang w:val="es-419"/>
        </w:rPr>
      </w:pPr>
      <w:r w:rsidRPr="00415B3E">
        <w:rPr>
          <w:lang w:val="es-419"/>
        </w:rPr>
        <w:t>i)</w:t>
      </w:r>
      <w:r w:rsidRPr="00415B3E">
        <w:rPr>
          <w:lang w:val="es-419"/>
        </w:rPr>
        <w:tab/>
        <w:t>una prórroga de seis meses en la ejecución del proyecto de promoción del uso de la propiedad intelectual (PI) en los países en desarrollo para las industrias creativas de la era digital; una prórroga de cuatro meses en la ejecución del proyecto de sistematización de datos estadísticos y diseño y puesta en marcha de una metodología para la elaboración de estudios de incidencia sobre la utilización del sistema de PI; y una prórroga de tres meses en la ejecución del proyecto de empoderamiento de las pequeñas empresas mediante la PI: desarrollo de estrategias de apoyo a las indicaciones geográficas y las marcas colectivas en el periodo posterior al registro, todos ellos sin ninguna repercusión presupuestaria.</w:t>
      </w:r>
    </w:p>
    <w:p w14:paraId="4BBC9A04" w14:textId="32667CDF" w:rsidR="00FD5CE0" w:rsidRPr="00415B3E" w:rsidRDefault="00FD5CE0" w:rsidP="00FD5CE0">
      <w:pPr>
        <w:spacing w:after="120"/>
        <w:ind w:left="1134"/>
        <w:rPr>
          <w:szCs w:val="22"/>
          <w:lang w:val="es-419"/>
        </w:rPr>
      </w:pPr>
      <w:r w:rsidRPr="00415B3E">
        <w:rPr>
          <w:lang w:val="es-419"/>
        </w:rPr>
        <w:t>ii)</w:t>
      </w:r>
      <w:r w:rsidRPr="00415B3E">
        <w:rPr>
          <w:lang w:val="es-419"/>
        </w:rPr>
        <w:tab/>
        <w:t>las propuestas de información actualizada del calendario de ejecución de los proyectos de: a) desarrollo del sector de la música y de los nuevos modelos económicos de la música en Burkina Faso y en determinados países de la zona de la Unión Económica y Monetaria del África Occidental (UEMOA); y b) reducción de los accidentes laborales y las enfermedades profesionales mediante la innovación y la PI, ambos sin repercusión presupuestaria y prórroga de proyecto.</w:t>
      </w:r>
    </w:p>
    <w:p w14:paraId="1D6D77BA" w14:textId="77777777" w:rsidR="00FD5CE0" w:rsidRPr="00415B3E" w:rsidRDefault="00FD5CE0" w:rsidP="00FD5CE0">
      <w:pPr>
        <w:numPr>
          <w:ilvl w:val="1"/>
          <w:numId w:val="8"/>
        </w:numPr>
        <w:spacing w:after="120"/>
        <w:ind w:left="567" w:firstLine="0"/>
        <w:rPr>
          <w:szCs w:val="22"/>
          <w:lang w:val="es-419"/>
        </w:rPr>
      </w:pPr>
      <w:bookmarkStart w:id="10" w:name="_Hlk184747988"/>
      <w:bookmarkEnd w:id="8"/>
      <w:bookmarkEnd w:id="9"/>
      <w:r w:rsidRPr="00415B3E">
        <w:rPr>
          <w:lang w:val="es-419"/>
        </w:rPr>
        <w:t xml:space="preserve">Informe de conclusión de la fase II del proyecto de intensificación del uso de la propiedad intelectual para las aplicaciones móviles en el sector del </w:t>
      </w:r>
      <w:r w:rsidRPr="00415B3E">
        <w:rPr>
          <w:i/>
          <w:iCs/>
          <w:lang w:val="es-419"/>
        </w:rPr>
        <w:t>software</w:t>
      </w:r>
      <w:r w:rsidRPr="00415B3E">
        <w:rPr>
          <w:lang w:val="es-419"/>
        </w:rPr>
        <w:t xml:space="preserve"> que figura en el documento CDIP/33/6. El Comité escuchó las experiencias dadas a conocer por los países beneficiarios y tomó nota de la información proporcionada en el documento. Las delegaciones valoraron positivamente la ejecución satisfactoria del proyecto. </w:t>
      </w:r>
    </w:p>
    <w:p w14:paraId="0B96E01B" w14:textId="77777777" w:rsidR="00FD5CE0" w:rsidRPr="00415B3E" w:rsidRDefault="00FD5CE0" w:rsidP="00FD5CE0">
      <w:pPr>
        <w:numPr>
          <w:ilvl w:val="1"/>
          <w:numId w:val="8"/>
        </w:numPr>
        <w:spacing w:after="120"/>
        <w:ind w:left="567" w:firstLine="0"/>
        <w:rPr>
          <w:szCs w:val="22"/>
          <w:lang w:val="es-419"/>
        </w:rPr>
      </w:pPr>
      <w:bookmarkStart w:id="11" w:name="_Hlk184748004"/>
      <w:bookmarkEnd w:id="10"/>
      <w:r w:rsidRPr="00415B3E">
        <w:rPr>
          <w:lang w:val="es-419"/>
        </w:rPr>
        <w:t xml:space="preserve">Informe de evaluación de la fase II del proyecto de intensificación del uso de la propiedad intelectual para las aplicaciones móviles en el sector del </w:t>
      </w:r>
      <w:r w:rsidRPr="00415B3E">
        <w:rPr>
          <w:i/>
          <w:iCs/>
          <w:lang w:val="es-419"/>
        </w:rPr>
        <w:t>software</w:t>
      </w:r>
      <w:r w:rsidRPr="00415B3E">
        <w:rPr>
          <w:lang w:val="es-419"/>
        </w:rPr>
        <w:t xml:space="preserve"> que figura en el documento CDIP/33/7. El Comité tomó nota de la información contenida en el documento y pidió a la Secretaría que integre los productos elaborados en el contexto de dicho proyecto en la labor habitual de la OMPI y los mantenga actualizados.</w:t>
      </w:r>
      <w:bookmarkStart w:id="12" w:name="_Hlk184748028"/>
      <w:bookmarkEnd w:id="11"/>
    </w:p>
    <w:p w14:paraId="362034DD" w14:textId="77777777" w:rsidR="00FD5CE0" w:rsidRPr="00415B3E" w:rsidRDefault="00FD5CE0" w:rsidP="00FD5CE0">
      <w:pPr>
        <w:numPr>
          <w:ilvl w:val="1"/>
          <w:numId w:val="8"/>
        </w:numPr>
        <w:spacing w:after="120"/>
        <w:ind w:left="567" w:firstLine="0"/>
        <w:rPr>
          <w:szCs w:val="22"/>
          <w:lang w:val="es-419"/>
        </w:rPr>
      </w:pPr>
      <w:r w:rsidRPr="00415B3E">
        <w:rPr>
          <w:lang w:val="es-419"/>
        </w:rPr>
        <w:t xml:space="preserve">Informe de evaluación de impacto del proyecto de acceso a bases de datos especializadas y ayuda que figura en el documento CDIP/33/8. El Comité tomó nota de la información contenida en el documento y agradeció al evaluador por el informe exhaustivo. El Comité valoró positivamente que el proyecto haya fomentado notablemente el ecosistema de innovación en los países beneficiarios y se haya ampliado para abarcar más países a escala mundial. Estos avances han dado lugar a una mayor sensibilización sobre la PI, protección de la PI y creación de valor, garantizando la incidencia a largo plazo de la red de centros de apoyo a la tecnología y la innovación (CATI). Se insta a la Secretaría a utilizar las constataciones y conclusiones del informe. </w:t>
      </w:r>
    </w:p>
    <w:p w14:paraId="0C98DFF3" w14:textId="77777777" w:rsidR="00FD5CE0" w:rsidRPr="00415B3E" w:rsidRDefault="00FD5CE0" w:rsidP="00FD5CE0">
      <w:pPr>
        <w:numPr>
          <w:ilvl w:val="1"/>
          <w:numId w:val="8"/>
        </w:numPr>
        <w:spacing w:after="120"/>
        <w:ind w:left="567" w:firstLine="0"/>
        <w:rPr>
          <w:szCs w:val="22"/>
          <w:lang w:val="es-419"/>
        </w:rPr>
      </w:pPr>
      <w:bookmarkStart w:id="13" w:name="_Hlk184748060"/>
      <w:bookmarkEnd w:id="12"/>
      <w:r w:rsidRPr="00415B3E">
        <w:rPr>
          <w:lang w:val="es-419"/>
        </w:rPr>
        <w:t>Informe de evaluación del proyecto de la Agenda para el Desarrollo (AD) de herramientas para la elaboración de propuestas de proyecto fructíferas de la AD que figura en el documento CDIP/33/9. El Comité tomó nota de la información contenida en el documento. Las delegaciones destacaron el éxito del proyecto al integrar sus productos y proporcionar sesiones de formación y materiales adaptados a los Estados miembros en el desarrollo y ejecución de proyectos de la AD. El Comité pidió a la Secretaría que asigne los recursos necesarios para continuar la integración en su labor de los productos del proyecto, y mantener actualizados y visibles dichos productos. El Comité pidió además a la Secretaría que lleve a cabo un examen de la metodología y los productos del proyecto en 2027.</w:t>
      </w:r>
    </w:p>
    <w:p w14:paraId="5FD422B3" w14:textId="77777777" w:rsidR="00FD5CE0" w:rsidRPr="00415B3E" w:rsidRDefault="00FD5CE0" w:rsidP="00FD5CE0">
      <w:pPr>
        <w:pStyle w:val="ListParagraph"/>
        <w:numPr>
          <w:ilvl w:val="0"/>
          <w:numId w:val="8"/>
        </w:numPr>
        <w:spacing w:after="240" w:line="240" w:lineRule="auto"/>
        <w:ind w:left="567" w:hanging="567"/>
        <w:contextualSpacing w:val="0"/>
        <w:rPr>
          <w:rFonts w:ascii="Arial" w:hAnsi="Arial" w:cs="Arial"/>
          <w:sz w:val="22"/>
          <w:szCs w:val="22"/>
          <w:lang w:val="es-419"/>
        </w:rPr>
      </w:pPr>
      <w:bookmarkStart w:id="14" w:name="_Hlk184748133"/>
      <w:bookmarkEnd w:id="13"/>
      <w:r w:rsidRPr="00415B3E">
        <w:rPr>
          <w:rFonts w:ascii="Arial" w:hAnsi="Arial"/>
          <w:sz w:val="22"/>
          <w:lang w:val="es-419"/>
        </w:rPr>
        <w:t>En el marco del punto 5.i) del orden del día, el Comité examinó lo siguiente:</w:t>
      </w:r>
    </w:p>
    <w:p w14:paraId="68441A6C" w14:textId="77777777" w:rsidR="00FD5CE0" w:rsidRPr="00415B3E" w:rsidRDefault="00FD5CE0" w:rsidP="00FD5CE0">
      <w:pPr>
        <w:pStyle w:val="ListParagraph"/>
        <w:numPr>
          <w:ilvl w:val="1"/>
          <w:numId w:val="8"/>
        </w:numPr>
        <w:spacing w:after="120" w:line="240" w:lineRule="auto"/>
        <w:ind w:left="567" w:firstLine="0"/>
        <w:contextualSpacing w:val="0"/>
        <w:rPr>
          <w:rFonts w:ascii="Arial" w:hAnsi="Arial" w:cs="Arial"/>
          <w:sz w:val="22"/>
          <w:szCs w:val="22"/>
          <w:lang w:val="es-419"/>
        </w:rPr>
      </w:pPr>
      <w:bookmarkStart w:id="15" w:name="_Hlk184748149"/>
      <w:bookmarkEnd w:id="14"/>
      <w:r w:rsidRPr="00415B3E">
        <w:rPr>
          <w:rFonts w:ascii="Arial" w:hAnsi="Arial"/>
          <w:sz w:val="22"/>
          <w:lang w:val="es-419"/>
        </w:rPr>
        <w:t>Compilación de temas propuestos por la Secretaría para futuros webinarios sobre asistencia técnica que figura en el documento CDIP/33/INF/3. El Comité acogió con agrado los dos temas propuestos para convocar los webinarios en 2025.</w:t>
      </w:r>
    </w:p>
    <w:p w14:paraId="17B68292" w14:textId="77777777" w:rsidR="00FD5CE0" w:rsidRPr="00415B3E" w:rsidRDefault="00FD5CE0" w:rsidP="00FD5CE0">
      <w:pPr>
        <w:pStyle w:val="ListParagraph"/>
        <w:numPr>
          <w:ilvl w:val="1"/>
          <w:numId w:val="8"/>
        </w:numPr>
        <w:spacing w:after="120" w:line="240" w:lineRule="auto"/>
        <w:ind w:left="567" w:firstLine="0"/>
        <w:contextualSpacing w:val="0"/>
        <w:rPr>
          <w:rFonts w:ascii="Arial" w:hAnsi="Arial" w:cs="Arial"/>
          <w:sz w:val="22"/>
          <w:szCs w:val="22"/>
          <w:lang w:val="es-419"/>
        </w:rPr>
      </w:pPr>
      <w:bookmarkStart w:id="16" w:name="_Hlk184748170"/>
      <w:bookmarkEnd w:id="15"/>
      <w:r w:rsidRPr="00415B3E">
        <w:rPr>
          <w:rFonts w:ascii="Arial" w:hAnsi="Arial"/>
          <w:sz w:val="22"/>
          <w:lang w:val="es-419"/>
        </w:rPr>
        <w:lastRenderedPageBreak/>
        <w:t xml:space="preserve">Informe relativo a los webinarios sobre asistencia técnica que figura en el documento CDIP/33/15. El Comité manifestó agradecimiento por la exitosa convocación de los dos webinarios, según se expone detalladamente en el documento CDIP/33/15 y tomó nota de la información proporcionada en ese documento. </w:t>
      </w:r>
      <w:bookmarkEnd w:id="16"/>
    </w:p>
    <w:p w14:paraId="4FBBCCA4" w14:textId="77777777" w:rsidR="00FD5CE0" w:rsidRPr="00415B3E" w:rsidRDefault="00FD5CE0" w:rsidP="00FD5CE0">
      <w:pPr>
        <w:pStyle w:val="ListParagraph"/>
        <w:numPr>
          <w:ilvl w:val="1"/>
          <w:numId w:val="8"/>
        </w:numPr>
        <w:spacing w:after="240" w:line="240" w:lineRule="auto"/>
        <w:ind w:left="567" w:firstLine="0"/>
        <w:contextualSpacing w:val="0"/>
        <w:rPr>
          <w:rFonts w:ascii="Arial" w:hAnsi="Arial" w:cs="Arial"/>
          <w:sz w:val="22"/>
          <w:szCs w:val="22"/>
          <w:lang w:val="es-419"/>
        </w:rPr>
      </w:pPr>
      <w:r w:rsidRPr="00415B3E">
        <w:rPr>
          <w:rFonts w:ascii="Arial" w:hAnsi="Arial"/>
          <w:sz w:val="22"/>
          <w:lang w:val="es-419"/>
        </w:rPr>
        <w:t>Examen externo independiente de la asistencia técnica de la OMPI en el ámbito de la cooperación para el desarrollo que figura en el documento CDIP/33/4. El Comité agradeció a los evaluadores por la calidad del informe y tomó nota de los comentarios de las delegaciones. El Comité decidió proseguir el debate sobre el examen externo en su siguiente sesión. Para facilitar el debate, el Comité pidió a la Secretaría que prepare un documento en el que se detalle la situación de cada recomendación y los requisitos necesarios para su aplicación.</w:t>
      </w:r>
    </w:p>
    <w:p w14:paraId="72A692DB" w14:textId="77777777" w:rsidR="00FD5CE0" w:rsidRPr="00415B3E" w:rsidRDefault="00FD5CE0" w:rsidP="00FD5CE0">
      <w:pPr>
        <w:pStyle w:val="ListParagraph"/>
        <w:numPr>
          <w:ilvl w:val="0"/>
          <w:numId w:val="8"/>
        </w:numPr>
        <w:spacing w:after="240" w:line="240" w:lineRule="auto"/>
        <w:ind w:left="567" w:hanging="567"/>
        <w:contextualSpacing w:val="0"/>
        <w:rPr>
          <w:rFonts w:ascii="Arial" w:hAnsi="Arial" w:cs="Arial"/>
          <w:sz w:val="22"/>
          <w:szCs w:val="22"/>
          <w:lang w:val="es-419"/>
        </w:rPr>
      </w:pPr>
      <w:bookmarkStart w:id="17" w:name="_Hlk184748200"/>
      <w:r w:rsidRPr="00415B3E">
        <w:rPr>
          <w:rFonts w:ascii="Arial" w:hAnsi="Arial"/>
          <w:sz w:val="22"/>
          <w:lang w:val="es-419"/>
        </w:rPr>
        <w:t>En el marco del punto 6 del orden del día, el Comité examinó lo siguiente:</w:t>
      </w:r>
    </w:p>
    <w:p w14:paraId="7B5CCF3F" w14:textId="77777777" w:rsidR="00FD5CE0" w:rsidRPr="00415B3E" w:rsidRDefault="00FD5CE0" w:rsidP="00FD5CE0">
      <w:pPr>
        <w:pStyle w:val="ListParagraph"/>
        <w:numPr>
          <w:ilvl w:val="1"/>
          <w:numId w:val="8"/>
        </w:numPr>
        <w:spacing w:after="120" w:line="240" w:lineRule="auto"/>
        <w:ind w:left="567" w:firstLine="0"/>
        <w:contextualSpacing w:val="0"/>
        <w:rPr>
          <w:rFonts w:ascii="Arial" w:hAnsi="Arial"/>
          <w:sz w:val="22"/>
          <w:lang w:val="es-419"/>
        </w:rPr>
      </w:pPr>
      <w:bookmarkStart w:id="18" w:name="_Hlk184748215"/>
      <w:bookmarkEnd w:id="17"/>
      <w:r w:rsidRPr="00415B3E">
        <w:rPr>
          <w:rFonts w:ascii="Arial" w:hAnsi="Arial"/>
          <w:sz w:val="22"/>
          <w:lang w:val="es-419"/>
        </w:rPr>
        <w:t>Continuación del debate sobre las recomendaciones adoptadas en el marco del examen independiente: propuesta actualizada de la Secretaría y contribuciones de los Estados miembros que figuran en el documento CDIP/29/6. El Comité decidió proseguir en su siguiente sesión el debate sobre la estrategia de aplicación 1, propuesta por la Secretaría.</w:t>
      </w:r>
      <w:bookmarkStart w:id="19" w:name="_Hlk184748278"/>
      <w:bookmarkEnd w:id="18"/>
    </w:p>
    <w:p w14:paraId="32878F1C" w14:textId="77777777" w:rsidR="00FD5CE0" w:rsidRPr="00415B3E" w:rsidRDefault="00FD5CE0" w:rsidP="00FD5CE0">
      <w:pPr>
        <w:pStyle w:val="ListParagraph"/>
        <w:numPr>
          <w:ilvl w:val="1"/>
          <w:numId w:val="8"/>
        </w:numPr>
        <w:spacing w:after="120" w:line="240" w:lineRule="auto"/>
        <w:ind w:left="567" w:firstLine="0"/>
        <w:contextualSpacing w:val="0"/>
        <w:rPr>
          <w:rFonts w:ascii="Arial" w:hAnsi="Arial"/>
          <w:sz w:val="22"/>
          <w:lang w:val="es-419"/>
        </w:rPr>
      </w:pPr>
      <w:r w:rsidRPr="00415B3E">
        <w:rPr>
          <w:rFonts w:ascii="Arial" w:hAnsi="Arial"/>
          <w:sz w:val="22"/>
          <w:lang w:val="es-419"/>
        </w:rPr>
        <w:t xml:space="preserve">Información actualizada sobre la estrategia de mejora de WIPO Match que figura en el documento CDIP/33/10. El Comité acogió con agrado la estrategia actualizada y pidió a la Secretaria que inicie su ejecución, teniendo presentes las sinergias con otras bases de datos. Se dará cuenta de los avances de WIPO Match en el contexto del informe de situación sobre la aplicación de las 45 recomendaciones de la Agenda para el Desarrollo. Se transmitirá una evaluación a la segunda sesión del Comité en 2027. </w:t>
      </w:r>
      <w:bookmarkEnd w:id="19"/>
    </w:p>
    <w:p w14:paraId="1589FC51" w14:textId="77777777" w:rsidR="00FD5CE0" w:rsidRPr="00415B3E" w:rsidRDefault="00FD5CE0" w:rsidP="00FD5CE0">
      <w:pPr>
        <w:pStyle w:val="ListParagraph"/>
        <w:numPr>
          <w:ilvl w:val="1"/>
          <w:numId w:val="8"/>
        </w:numPr>
        <w:spacing w:after="120" w:line="240" w:lineRule="auto"/>
        <w:ind w:left="567" w:firstLine="0"/>
        <w:contextualSpacing w:val="0"/>
        <w:rPr>
          <w:rFonts w:ascii="Arial" w:hAnsi="Arial"/>
          <w:sz w:val="22"/>
          <w:lang w:val="es-419"/>
        </w:rPr>
      </w:pPr>
      <w:r w:rsidRPr="00415B3E">
        <w:rPr>
          <w:rFonts w:ascii="Arial" w:hAnsi="Arial"/>
          <w:sz w:val="22"/>
          <w:lang w:val="es-419"/>
        </w:rPr>
        <w:t>Propuesta de proyecto de implantación de servicios de solución alternativa de controversias en las oficinas de derecho de autor, presentada por Namibia, contenida en el documento CDIP/33/11. El Comité aprobó el proyecto y pidió a la Secretaría que inicie su ejecución según lo previsto en el documento del proyecto.</w:t>
      </w:r>
    </w:p>
    <w:p w14:paraId="69A16C6A" w14:textId="77777777" w:rsidR="00FD5CE0" w:rsidRPr="00415B3E" w:rsidRDefault="00FD5CE0" w:rsidP="00FD5CE0">
      <w:pPr>
        <w:pStyle w:val="ListParagraph"/>
        <w:numPr>
          <w:ilvl w:val="1"/>
          <w:numId w:val="8"/>
        </w:numPr>
        <w:spacing w:after="120" w:line="240" w:lineRule="auto"/>
        <w:ind w:left="567" w:firstLine="0"/>
        <w:contextualSpacing w:val="0"/>
        <w:rPr>
          <w:rFonts w:ascii="Arial" w:hAnsi="Arial"/>
          <w:sz w:val="22"/>
          <w:lang w:val="es-419"/>
        </w:rPr>
      </w:pPr>
      <w:r w:rsidRPr="00415B3E">
        <w:rPr>
          <w:rFonts w:ascii="Arial" w:hAnsi="Arial"/>
          <w:sz w:val="22"/>
          <w:lang w:val="es-419"/>
        </w:rPr>
        <w:t>Propuesta revisada de proyecto de creación de un observatorio de estrategias nacionales de propiedad Intelectual en la OMPI, presentada por el Brasil y contenida en el documento CDIP/33/12 REV. El Comité aprobó el proyecto revisado, teniendo en cuenta los comentarios de los Estados miembros, y pidió a la Secretaria que inicie su ejecución según lo previsto en el documento del proyecto.</w:t>
      </w:r>
    </w:p>
    <w:p w14:paraId="70C9192A" w14:textId="77777777" w:rsidR="00FD5CE0" w:rsidRPr="00415B3E" w:rsidRDefault="00FD5CE0" w:rsidP="00FD5CE0">
      <w:pPr>
        <w:pStyle w:val="ListParagraph"/>
        <w:numPr>
          <w:ilvl w:val="1"/>
          <w:numId w:val="8"/>
        </w:numPr>
        <w:spacing w:after="120" w:line="240" w:lineRule="auto"/>
        <w:ind w:left="567" w:firstLine="0"/>
        <w:contextualSpacing w:val="0"/>
        <w:rPr>
          <w:rFonts w:ascii="Arial" w:hAnsi="Arial"/>
          <w:sz w:val="22"/>
          <w:lang w:val="es-419"/>
        </w:rPr>
      </w:pPr>
      <w:r w:rsidRPr="00415B3E">
        <w:rPr>
          <w:rFonts w:ascii="Arial" w:hAnsi="Arial"/>
          <w:sz w:val="22"/>
          <w:lang w:val="es-419"/>
        </w:rPr>
        <w:t>Propuesta revisada de proyecto de empoderamiento de los jóvenes músicos de habla portuguesa en la era del streaming, presentada por Angola, el Brasil, Cabo Verde y Portugal, contenida en el documento CDIP/33/14 REV. El Comité aprobó el proyecto revisado, teniendo en cuenta los comentarios de los Estados miembros, y pidió a la Secretaría que inicie su ejecución según lo previsto en el documento del proyecto.</w:t>
      </w:r>
    </w:p>
    <w:p w14:paraId="6DD7475B" w14:textId="77777777" w:rsidR="00FD5CE0" w:rsidRPr="00415B3E" w:rsidRDefault="00FD5CE0" w:rsidP="00FD5CE0">
      <w:pPr>
        <w:pStyle w:val="ListParagraph"/>
        <w:numPr>
          <w:ilvl w:val="1"/>
          <w:numId w:val="8"/>
        </w:numPr>
        <w:spacing w:after="120" w:line="240" w:lineRule="auto"/>
        <w:ind w:left="567" w:firstLine="0"/>
        <w:contextualSpacing w:val="0"/>
        <w:rPr>
          <w:rFonts w:ascii="Arial" w:hAnsi="Arial"/>
          <w:sz w:val="22"/>
          <w:lang w:val="es-419"/>
        </w:rPr>
      </w:pPr>
      <w:r w:rsidRPr="00415B3E">
        <w:rPr>
          <w:rFonts w:ascii="Arial" w:hAnsi="Arial"/>
          <w:sz w:val="22"/>
          <w:lang w:val="es-419"/>
        </w:rPr>
        <w:t>Propuesta revisada de proyecto de empoderamiento y celebración de los examinadores de propiedad intelectual (PI) del mundo, presentada por la Arabia Saudita, contenida en el documento CDIP/33/13 REV. El Comité aprobó el proyecto revisado, teniendo en cuenta los comentarios de los Estados miembros, y pidió a la Secretaria que inicie su ejecución según lo previsto en el documento del proyecto.</w:t>
      </w:r>
    </w:p>
    <w:p w14:paraId="76D96BDC" w14:textId="77777777" w:rsidR="00FD5CE0" w:rsidRPr="00415B3E" w:rsidRDefault="00FD5CE0" w:rsidP="00FD5CE0">
      <w:pPr>
        <w:pStyle w:val="ListParagraph"/>
        <w:numPr>
          <w:ilvl w:val="1"/>
          <w:numId w:val="8"/>
        </w:numPr>
        <w:spacing w:after="120" w:line="240" w:lineRule="auto"/>
        <w:ind w:left="567" w:firstLine="0"/>
        <w:contextualSpacing w:val="0"/>
        <w:rPr>
          <w:rFonts w:ascii="Arial" w:hAnsi="Arial"/>
          <w:sz w:val="22"/>
          <w:lang w:val="es-419"/>
        </w:rPr>
      </w:pPr>
      <w:r w:rsidRPr="00415B3E">
        <w:rPr>
          <w:rFonts w:ascii="Arial" w:hAnsi="Arial"/>
          <w:sz w:val="22"/>
          <w:lang w:val="es-419"/>
        </w:rPr>
        <w:t>Resumen de la "Guía de la OMPI sobre los aspectos de propiedad intelectual de las aplicaciones móviles y los medios sociales”, contenida en el documento CDIP/33/INF/2. El Comité tomó nota de la información contenida en el documento.</w:t>
      </w:r>
    </w:p>
    <w:p w14:paraId="0E0BD63A" w14:textId="77777777" w:rsidR="00FD5CE0" w:rsidRPr="00415B3E" w:rsidRDefault="00FD5CE0" w:rsidP="00FD5CE0">
      <w:pPr>
        <w:pStyle w:val="ListParagraph"/>
        <w:numPr>
          <w:ilvl w:val="1"/>
          <w:numId w:val="8"/>
        </w:numPr>
        <w:spacing w:after="240" w:line="240" w:lineRule="auto"/>
        <w:ind w:left="567" w:firstLine="0"/>
        <w:contextualSpacing w:val="0"/>
        <w:rPr>
          <w:rFonts w:ascii="Arial" w:hAnsi="Arial"/>
          <w:sz w:val="22"/>
          <w:lang w:val="es-419"/>
        </w:rPr>
      </w:pPr>
      <w:r w:rsidRPr="00415B3E">
        <w:rPr>
          <w:rFonts w:ascii="Arial" w:hAnsi="Arial"/>
          <w:sz w:val="22"/>
          <w:lang w:val="es-419"/>
        </w:rPr>
        <w:t xml:space="preserve">El Comité escuchó la ponencia presentada por la Secretaría sobre el “Servicio EdTech de PI: Colmar la brecha en la enseñanza de la PI entre los Estados miembros”. El Comité tomó nota de la información contenida en la ponencia. </w:t>
      </w:r>
    </w:p>
    <w:p w14:paraId="772639EC" w14:textId="77777777" w:rsidR="00FD5CE0" w:rsidRPr="00415B3E" w:rsidRDefault="00FD5CE0" w:rsidP="00FD5CE0">
      <w:pPr>
        <w:pStyle w:val="ListParagraph"/>
        <w:numPr>
          <w:ilvl w:val="0"/>
          <w:numId w:val="8"/>
        </w:numPr>
        <w:spacing w:after="240" w:line="240" w:lineRule="auto"/>
        <w:ind w:left="0" w:firstLine="0"/>
        <w:contextualSpacing w:val="0"/>
        <w:rPr>
          <w:rFonts w:ascii="Arial" w:hAnsi="Arial"/>
          <w:sz w:val="22"/>
          <w:lang w:val="es-419"/>
        </w:rPr>
      </w:pPr>
      <w:r w:rsidRPr="00415B3E">
        <w:rPr>
          <w:rFonts w:ascii="Arial" w:hAnsi="Arial"/>
          <w:sz w:val="22"/>
          <w:lang w:val="es-419"/>
        </w:rPr>
        <w:t xml:space="preserve">En el marco del punto 7 del orden del día, la Secretaría presentó una ponencia sobre el tema “Repercusiones de la IA en la PI y el desarrollo”, a cargo del Sr. Kenichiro Natsume, </w:t>
      </w:r>
      <w:r w:rsidRPr="00415B3E">
        <w:rPr>
          <w:rFonts w:ascii="Arial" w:hAnsi="Arial"/>
          <w:sz w:val="22"/>
          <w:lang w:val="es-419"/>
        </w:rPr>
        <w:lastRenderedPageBreak/>
        <w:t>subdirector general del Sector de Infraestructura y Plataformas. Algunas delegaciones subrayaron el papel de la PI en el desarrollo de soluciones impulsadas por la IA para los desafíos sociales y/o destacaron la importancia de un desarrollo ético, transparente y sostenible de la IA para acelerar los avances hacia el desarrollo sostenible, promover la innovación y fortalecer los ecosistemas locales de IA como forma de sustentar la dignidad humana, la igualdad y la justicia. El Sr. Natsume agradeció el apoyo y las sugerencias de los Estados miembros para hacer avanzar los debates sobre la IA en la OMPI.</w:t>
      </w:r>
    </w:p>
    <w:p w14:paraId="1088FE2F" w14:textId="77777777" w:rsidR="00FD5CE0" w:rsidRPr="00415B3E" w:rsidRDefault="00FD5CE0" w:rsidP="00FD5CE0">
      <w:pPr>
        <w:pStyle w:val="ListParagraph"/>
        <w:numPr>
          <w:ilvl w:val="0"/>
          <w:numId w:val="8"/>
        </w:numPr>
        <w:spacing w:after="240" w:line="240" w:lineRule="auto"/>
        <w:ind w:left="0" w:firstLine="0"/>
        <w:contextualSpacing w:val="0"/>
        <w:rPr>
          <w:rFonts w:ascii="Arial" w:hAnsi="Arial" w:cs="Arial"/>
          <w:sz w:val="22"/>
          <w:szCs w:val="22"/>
          <w:lang w:val="es-419"/>
        </w:rPr>
      </w:pPr>
      <w:r w:rsidRPr="00415B3E">
        <w:rPr>
          <w:rFonts w:ascii="Arial" w:hAnsi="Arial"/>
          <w:sz w:val="22"/>
          <w:lang w:val="es-419"/>
        </w:rPr>
        <w:t xml:space="preserve">En el marco del punto 8 del orden del día sobre labor futura, el Comité acordó una lista de cuestiones y documentos para su próxima sesión, tal como fue leída por la Secretaría. </w:t>
      </w:r>
    </w:p>
    <w:p w14:paraId="728C16D4" w14:textId="77777777" w:rsidR="00FD5CE0" w:rsidRPr="00415B3E" w:rsidRDefault="00FD5CE0" w:rsidP="00FD5CE0">
      <w:pPr>
        <w:pStyle w:val="ListParagraph"/>
        <w:numPr>
          <w:ilvl w:val="0"/>
          <w:numId w:val="8"/>
        </w:numPr>
        <w:spacing w:after="240" w:line="240" w:lineRule="auto"/>
        <w:ind w:left="0" w:firstLine="0"/>
        <w:contextualSpacing w:val="0"/>
        <w:rPr>
          <w:rFonts w:ascii="Arial" w:hAnsi="Arial" w:cs="Arial"/>
          <w:sz w:val="22"/>
          <w:szCs w:val="22"/>
          <w:lang w:val="es-419"/>
        </w:rPr>
      </w:pPr>
      <w:r w:rsidRPr="00415B3E">
        <w:rPr>
          <w:rFonts w:ascii="Arial" w:hAnsi="Arial"/>
          <w:sz w:val="22"/>
          <w:lang w:val="es-419"/>
        </w:rPr>
        <w:t>El Comité tomó nota de que, en consonancia con el párrafo 30 del informe resumido de la sexagésima segunda serie de reuniones de las Asambleas de los Estados miembros de la OMPI (A/62/12), las actas literales de las sesiones del CDIP serían sustituidas por transcripciones y traducciones automáticas, sincronizadas con la grabación de vídeo. Por consiguiente, el informe de la presente sesión será publicado de dicho modo. A fin de ayudar a mejorar la transcripción automática, se ruega a las delegaciones que presenten las correcciones de carácter sustantivo a la Secretaría, preferiblemente cuatro semanas antes de la próxima sesión del Comité.</w:t>
      </w:r>
    </w:p>
    <w:p w14:paraId="0354C758" w14:textId="77777777" w:rsidR="00FD5CE0" w:rsidRPr="00415B3E" w:rsidRDefault="00FD5CE0" w:rsidP="00FD5CE0">
      <w:pPr>
        <w:pStyle w:val="ListParagraph"/>
        <w:numPr>
          <w:ilvl w:val="0"/>
          <w:numId w:val="8"/>
        </w:numPr>
        <w:spacing w:after="600" w:line="240" w:lineRule="auto"/>
        <w:ind w:left="0" w:firstLine="0"/>
        <w:contextualSpacing w:val="0"/>
        <w:rPr>
          <w:rFonts w:ascii="Arial" w:hAnsi="Arial" w:cs="Arial"/>
          <w:sz w:val="22"/>
          <w:szCs w:val="22"/>
          <w:lang w:val="es-419"/>
        </w:rPr>
      </w:pPr>
      <w:r w:rsidRPr="00415B3E">
        <w:rPr>
          <w:rFonts w:ascii="Arial" w:hAnsi="Arial"/>
          <w:sz w:val="22"/>
          <w:lang w:val="es-419"/>
        </w:rPr>
        <w:t>El presente resumen constituirá el informe que presentará el Comité a la Asamblea General de la OMPI.</w:t>
      </w:r>
    </w:p>
    <w:p w14:paraId="6670260D" w14:textId="77777777" w:rsidR="00FD5CE0" w:rsidRPr="00415B3E" w:rsidRDefault="00FD5CE0" w:rsidP="00FD5CE0">
      <w:pPr>
        <w:spacing w:after="240"/>
        <w:ind w:left="5529"/>
        <w:rPr>
          <w:szCs w:val="22"/>
          <w:lang w:val="es-419"/>
        </w:rPr>
      </w:pPr>
      <w:r w:rsidRPr="00415B3E">
        <w:rPr>
          <w:lang w:val="es-419"/>
        </w:rPr>
        <w:t>[Fin del documento]</w:t>
      </w:r>
    </w:p>
    <w:p w14:paraId="7770AB92" w14:textId="77777777" w:rsidR="00FD5CE0" w:rsidRPr="00415B3E" w:rsidRDefault="00FD5CE0" w:rsidP="00FD5CE0">
      <w:pPr>
        <w:spacing w:after="220"/>
        <w:rPr>
          <w:lang w:val="es-419"/>
        </w:rPr>
        <w:sectPr w:rsidR="00FD5CE0" w:rsidRPr="00415B3E" w:rsidSect="008E019A">
          <w:headerReference w:type="default" r:id="rId13"/>
          <w:pgSz w:w="11906" w:h="16838" w:code="9"/>
          <w:pgMar w:top="567" w:right="1134" w:bottom="1418" w:left="1418" w:header="510" w:footer="1021" w:gutter="0"/>
          <w:pgNumType w:start="1"/>
          <w:cols w:space="720"/>
          <w:titlePg/>
          <w:docGrid w:linePitch="360"/>
        </w:sectPr>
      </w:pPr>
    </w:p>
    <w:p w14:paraId="3872F1A2" w14:textId="77777777" w:rsidR="00FD5CE0" w:rsidRPr="00415B3E" w:rsidRDefault="00FD5CE0" w:rsidP="00FD5CE0">
      <w:pPr>
        <w:pBdr>
          <w:bottom w:val="single" w:sz="4" w:space="11" w:color="auto"/>
        </w:pBdr>
        <w:spacing w:after="120"/>
        <w:ind w:right="-57"/>
        <w:jc w:val="right"/>
        <w:rPr>
          <w:lang w:val="es-419"/>
        </w:rPr>
      </w:pPr>
      <w:r w:rsidRPr="00415B3E">
        <w:rPr>
          <w:noProof/>
          <w:lang w:val="es-419" w:eastAsia="fr-CH"/>
        </w:rPr>
        <w:lastRenderedPageBreak/>
        <w:drawing>
          <wp:inline distT="0" distB="0" distL="0" distR="0" wp14:anchorId="0B416586" wp14:editId="66E0739C">
            <wp:extent cx="3147729" cy="1353054"/>
            <wp:effectExtent l="0" t="0" r="0" b="0"/>
            <wp:docPr id="1819488157" name="Picture 1819488157"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2">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CAC956A" w14:textId="77777777" w:rsidR="00FD5CE0" w:rsidRPr="00415B3E" w:rsidRDefault="00FD5CE0" w:rsidP="00FD5CE0">
      <w:pPr>
        <w:jc w:val="right"/>
        <w:rPr>
          <w:rFonts w:ascii="Arial Black" w:hAnsi="Arial Black"/>
          <w:lang w:val="es-419"/>
        </w:rPr>
      </w:pPr>
      <w:r w:rsidRPr="00415B3E">
        <w:rPr>
          <w:rFonts w:ascii="Arial Black" w:hAnsi="Arial Black"/>
          <w:caps/>
          <w:sz w:val="15"/>
          <w:lang w:val="es-419"/>
        </w:rPr>
        <w:t>ORIGINAL: INGLÉS</w:t>
      </w:r>
    </w:p>
    <w:p w14:paraId="73ECDADF" w14:textId="77777777" w:rsidR="00FD5CE0" w:rsidRPr="00415B3E" w:rsidRDefault="00FD5CE0" w:rsidP="00FD5CE0">
      <w:pPr>
        <w:spacing w:after="1200"/>
        <w:jc w:val="right"/>
        <w:rPr>
          <w:rFonts w:ascii="Arial Black" w:hAnsi="Arial Black"/>
          <w:lang w:val="es-419"/>
        </w:rPr>
      </w:pPr>
      <w:r w:rsidRPr="00415B3E">
        <w:rPr>
          <w:rFonts w:ascii="Arial Black" w:hAnsi="Arial Black"/>
          <w:caps/>
          <w:sz w:val="15"/>
          <w:lang w:val="es-419"/>
        </w:rPr>
        <w:t>fecha: 9 DE MAYO DE 2025</w:t>
      </w:r>
    </w:p>
    <w:p w14:paraId="60959545" w14:textId="77777777" w:rsidR="00FD5CE0" w:rsidRPr="00415B3E" w:rsidRDefault="00FD5CE0" w:rsidP="00FD5CE0">
      <w:pPr>
        <w:pStyle w:val="Heading1"/>
        <w:spacing w:before="0" w:after="600"/>
        <w:rPr>
          <w:sz w:val="28"/>
          <w:lang w:val="es-419"/>
        </w:rPr>
      </w:pPr>
      <w:r w:rsidRPr="00415B3E">
        <w:rPr>
          <w:caps w:val="0"/>
          <w:sz w:val="28"/>
          <w:lang w:val="es-419"/>
        </w:rPr>
        <w:t>Comité de Desarrollo y Propiedad Intelectual (CDIP)</w:t>
      </w:r>
    </w:p>
    <w:p w14:paraId="658C666F" w14:textId="77777777" w:rsidR="00FD5CE0" w:rsidRPr="00415B3E" w:rsidRDefault="00FD5CE0" w:rsidP="00FD5CE0">
      <w:pPr>
        <w:outlineLvl w:val="1"/>
        <w:rPr>
          <w:b/>
          <w:sz w:val="24"/>
          <w:szCs w:val="24"/>
          <w:lang w:val="es-419"/>
        </w:rPr>
      </w:pPr>
      <w:r w:rsidRPr="00415B3E">
        <w:rPr>
          <w:b/>
          <w:sz w:val="24"/>
          <w:szCs w:val="24"/>
          <w:lang w:val="es-419"/>
        </w:rPr>
        <w:t>Trigésima cuarta sesión</w:t>
      </w:r>
    </w:p>
    <w:p w14:paraId="56429F84" w14:textId="77777777" w:rsidR="00FD5CE0" w:rsidRPr="00415B3E" w:rsidRDefault="00FD5CE0" w:rsidP="00FD5CE0">
      <w:pPr>
        <w:spacing w:after="720"/>
        <w:outlineLvl w:val="1"/>
        <w:rPr>
          <w:b/>
          <w:sz w:val="24"/>
          <w:szCs w:val="24"/>
          <w:lang w:val="es-419"/>
        </w:rPr>
      </w:pPr>
      <w:r w:rsidRPr="00415B3E">
        <w:rPr>
          <w:b/>
          <w:sz w:val="24"/>
          <w:szCs w:val="24"/>
          <w:lang w:val="es-419"/>
        </w:rPr>
        <w:t>Ginebra, 5 a 9 de mayo de 2025</w:t>
      </w:r>
    </w:p>
    <w:p w14:paraId="54EE7A12" w14:textId="77777777" w:rsidR="00FD5CE0" w:rsidRPr="00415B3E" w:rsidRDefault="00FD5CE0" w:rsidP="00FD5CE0">
      <w:pPr>
        <w:spacing w:after="960"/>
        <w:rPr>
          <w:caps/>
          <w:sz w:val="24"/>
          <w:lang w:val="es-419"/>
        </w:rPr>
      </w:pPr>
      <w:r w:rsidRPr="00415B3E">
        <w:rPr>
          <w:caps/>
          <w:sz w:val="24"/>
          <w:lang w:val="es-419"/>
        </w:rPr>
        <w:t>RESUMEN DE LA PRESIDENCIA</w:t>
      </w:r>
    </w:p>
    <w:p w14:paraId="5BCDECB0" w14:textId="77777777" w:rsidR="00FD5CE0" w:rsidRPr="00415B3E" w:rsidRDefault="00FD5CE0" w:rsidP="00FD5CE0">
      <w:pPr>
        <w:pStyle w:val="ListParagraph"/>
        <w:numPr>
          <w:ilvl w:val="0"/>
          <w:numId w:val="28"/>
        </w:numPr>
        <w:spacing w:after="240" w:line="240" w:lineRule="auto"/>
        <w:ind w:left="0" w:firstLine="0"/>
        <w:contextualSpacing w:val="0"/>
        <w:rPr>
          <w:rStyle w:val="Strong"/>
          <w:rFonts w:ascii="Arial" w:hAnsi="Arial" w:cs="Arial"/>
          <w:b w:val="0"/>
          <w:sz w:val="22"/>
          <w:szCs w:val="22"/>
          <w:lang w:val="es-419"/>
        </w:rPr>
      </w:pPr>
      <w:r w:rsidRPr="00415B3E">
        <w:rPr>
          <w:rFonts w:ascii="Arial" w:hAnsi="Arial" w:cs="Arial"/>
          <w:sz w:val="22"/>
          <w:szCs w:val="22"/>
          <w:lang w:val="es-419"/>
        </w:rPr>
        <w:t xml:space="preserve">La trigésima cuarta sesión del Comité de Desarrollo y Propiedad Intelectual (CDIP) se celebró del 5 al 9 de mayo de 2025, en formato híbrido. </w:t>
      </w:r>
      <w:r w:rsidRPr="00415B3E">
        <w:rPr>
          <w:rFonts w:ascii="Arial" w:hAnsi="Arial" w:cs="Arial"/>
          <w:color w:val="000000" w:themeColor="text1"/>
          <w:sz w:val="22"/>
          <w:szCs w:val="22"/>
          <w:lang w:val="es-419"/>
        </w:rPr>
        <w:t xml:space="preserve">Asistieron a la sesión del CDIP 92 Estados miembros y 27 observadores. </w:t>
      </w:r>
      <w:r w:rsidRPr="00415B3E">
        <w:rPr>
          <w:rFonts w:ascii="Arial" w:hAnsi="Arial" w:cs="Arial"/>
          <w:sz w:val="22"/>
          <w:szCs w:val="22"/>
          <w:lang w:val="es-419"/>
        </w:rPr>
        <w:t>La sesión fue inaugurada por el Sr. Hasan Kleib, director general adjunto del Sector de Desarrollo Regional y Nacional de la Organización Mundial de la Propiedad Intelectual (OMPI)</w:t>
      </w:r>
      <w:r w:rsidRPr="00415B3E">
        <w:rPr>
          <w:rStyle w:val="Strong"/>
          <w:rFonts w:ascii="Arial" w:hAnsi="Arial" w:cs="Arial"/>
          <w:b w:val="0"/>
          <w:sz w:val="22"/>
          <w:szCs w:val="22"/>
          <w:lang w:val="es-419"/>
        </w:rPr>
        <w:t>.</w:t>
      </w:r>
    </w:p>
    <w:p w14:paraId="05FE0836" w14:textId="77777777" w:rsidR="00FD5CE0" w:rsidRPr="00415B3E" w:rsidRDefault="00FD5CE0" w:rsidP="00FD5CE0">
      <w:pPr>
        <w:pStyle w:val="ListParagraph"/>
        <w:numPr>
          <w:ilvl w:val="0"/>
          <w:numId w:val="28"/>
        </w:numPr>
        <w:spacing w:after="240" w:line="240" w:lineRule="auto"/>
        <w:ind w:left="0" w:firstLine="0"/>
        <w:contextualSpacing w:val="0"/>
        <w:rPr>
          <w:rFonts w:ascii="Arial" w:hAnsi="Arial" w:cs="Arial"/>
          <w:bCs/>
          <w:sz w:val="22"/>
          <w:szCs w:val="22"/>
          <w:lang w:val="es-419"/>
        </w:rPr>
      </w:pPr>
      <w:r w:rsidRPr="00415B3E">
        <w:rPr>
          <w:rFonts w:ascii="Arial" w:hAnsi="Arial" w:cs="Arial"/>
          <w:sz w:val="22"/>
          <w:szCs w:val="22"/>
          <w:lang w:val="es-419"/>
        </w:rPr>
        <w:t>En el marco del punto 2 del orden del día, el Comité eligió presidenta a la Excma. Sra. Pimchanok Vonkorpon Pitfield, embajadora y representante permanente de Tailandia ante la Organización Mundial del Comercio y la OMPI, y vicepresidentes al Sr. Mohamed Adel Mohamed Hassanin, primer secretario de la Misión Permanente de la República de Egipto ante la Oficina de las Naciones Unidas en Ginebra, y al Sr. Rodrigo López Tovar, segundo secretario de la Misión Permanente de México ante la Oficina de las Naciones Unidas en Ginebra, por un período de un año, para un mandato que comenzará en la trigésima cuarta sesión del CDIP.</w:t>
      </w:r>
    </w:p>
    <w:p w14:paraId="7D8DC526" w14:textId="77777777" w:rsidR="00FD5CE0" w:rsidRPr="00415B3E" w:rsidRDefault="00FD5CE0" w:rsidP="00FD5CE0">
      <w:pPr>
        <w:pStyle w:val="ListParagraph"/>
        <w:numPr>
          <w:ilvl w:val="0"/>
          <w:numId w:val="28"/>
        </w:numPr>
        <w:spacing w:after="240" w:line="240" w:lineRule="auto"/>
        <w:ind w:left="0" w:firstLine="0"/>
        <w:contextualSpacing w:val="0"/>
        <w:rPr>
          <w:rFonts w:ascii="Arial" w:hAnsi="Arial" w:cs="Arial"/>
          <w:bCs/>
          <w:sz w:val="22"/>
          <w:szCs w:val="22"/>
          <w:lang w:val="es-419"/>
        </w:rPr>
      </w:pPr>
      <w:r w:rsidRPr="00415B3E">
        <w:rPr>
          <w:rFonts w:ascii="Arial" w:hAnsi="Arial" w:cs="Arial"/>
          <w:sz w:val="22"/>
          <w:szCs w:val="22"/>
          <w:lang w:val="es-419"/>
        </w:rPr>
        <w:t>En el marco del punto 3 del orden del día, el Comité aprobó el proyecto de orden del día que figura en el documento CDIP/34/1 Prov. 3.</w:t>
      </w:r>
    </w:p>
    <w:p w14:paraId="42D13239" w14:textId="77777777" w:rsidR="00FD5CE0" w:rsidRPr="00415B3E" w:rsidRDefault="00FD5CE0" w:rsidP="00FD5CE0">
      <w:pPr>
        <w:pStyle w:val="ListParagraph"/>
        <w:numPr>
          <w:ilvl w:val="0"/>
          <w:numId w:val="28"/>
        </w:numPr>
        <w:spacing w:after="240" w:line="240" w:lineRule="auto"/>
        <w:ind w:left="0" w:firstLine="0"/>
        <w:contextualSpacing w:val="0"/>
        <w:rPr>
          <w:rFonts w:ascii="Arial" w:hAnsi="Arial" w:cs="Arial"/>
          <w:sz w:val="22"/>
          <w:szCs w:val="22"/>
          <w:lang w:val="es-419"/>
        </w:rPr>
      </w:pPr>
      <w:r w:rsidRPr="00415B3E">
        <w:rPr>
          <w:rFonts w:ascii="Arial" w:hAnsi="Arial" w:cs="Arial"/>
          <w:sz w:val="22"/>
          <w:szCs w:val="22"/>
          <w:lang w:val="es-419"/>
        </w:rPr>
        <w:t xml:space="preserve">En el marco del punto 4 del orden del día, las delegaciones formularon declaraciones generales en las que subrayaron el compromiso y la labor en curso de la OMPI a la hora de aplicar e incorporar las recomendaciones de la Agenda para el Desarrollo y los esfuerzos de la Organización por alinear sus actividades con los principios de la Agenda para el Desarrollo. Los Estados miembros alabaron las iniciativas y proyectos de la OMPI de asistencia técnica y fortalecimiento de capacidades, que llegan a una amplia gama de partes interesadas y proporcionan beneficios tangibles en varias regiones. Asimismo, las delegaciones manifestaron su satisfacción por la convocación de la Conferencia Internacional sobre Propiedad Intelectual y Desarrollo “La función de la PI y la innovación en la solución de los problemas mundiales de salud pública: fomentar la transferencia de tecnología y las colaboraciones”, celebrada el 5 de mayo de 2025, reconociendo el éxito del evento en cuanto a la calidad de las ponencias, la estructura y las disposiciones de logística. </w:t>
      </w:r>
    </w:p>
    <w:p w14:paraId="6E809271" w14:textId="77777777" w:rsidR="00FD5CE0" w:rsidRPr="00415B3E" w:rsidRDefault="00FD5CE0" w:rsidP="00FD5CE0">
      <w:pPr>
        <w:pStyle w:val="ListParagraph"/>
        <w:numPr>
          <w:ilvl w:val="0"/>
          <w:numId w:val="28"/>
        </w:numPr>
        <w:spacing w:after="240" w:line="240" w:lineRule="auto"/>
        <w:ind w:left="0" w:firstLine="0"/>
        <w:contextualSpacing w:val="0"/>
        <w:rPr>
          <w:rFonts w:ascii="Arial" w:hAnsi="Arial" w:cs="Arial"/>
          <w:sz w:val="22"/>
          <w:szCs w:val="22"/>
          <w:lang w:val="es-419"/>
        </w:rPr>
      </w:pPr>
      <w:r w:rsidRPr="00415B3E">
        <w:rPr>
          <w:rFonts w:ascii="Arial" w:hAnsi="Arial" w:cs="Arial"/>
          <w:sz w:val="22"/>
          <w:szCs w:val="22"/>
          <w:lang w:val="es-419"/>
        </w:rPr>
        <w:lastRenderedPageBreak/>
        <w:t>En el marco del punto 5 del orden del día, el Comité examinó lo siguiente:</w:t>
      </w:r>
      <w:bookmarkStart w:id="20" w:name="_Hlk165297924"/>
    </w:p>
    <w:bookmarkEnd w:id="20"/>
    <w:p w14:paraId="557EDBCE" w14:textId="77777777" w:rsidR="00FD5CE0" w:rsidRPr="00415B3E" w:rsidRDefault="00FD5CE0" w:rsidP="00FD5CE0">
      <w:pPr>
        <w:pStyle w:val="ListParagraph"/>
        <w:numPr>
          <w:ilvl w:val="1"/>
          <w:numId w:val="28"/>
        </w:numPr>
        <w:spacing w:after="240" w:line="240" w:lineRule="auto"/>
        <w:ind w:left="634" w:firstLine="0"/>
        <w:contextualSpacing w:val="0"/>
        <w:rPr>
          <w:rFonts w:ascii="Arial" w:hAnsi="Arial" w:cs="Arial"/>
          <w:sz w:val="22"/>
          <w:szCs w:val="22"/>
          <w:lang w:val="es-419"/>
        </w:rPr>
      </w:pPr>
      <w:r w:rsidRPr="00415B3E">
        <w:rPr>
          <w:rFonts w:ascii="Arial" w:hAnsi="Arial" w:cs="Arial"/>
          <w:sz w:val="22"/>
          <w:szCs w:val="22"/>
          <w:lang w:val="es-419"/>
        </w:rPr>
        <w:t>Informe del director general sobre la aplicación de la Agenda para el Desarrollo, que figura en el documento CDIP/34/2. Presentó el informe el Sr. Hasan Kleib, director general adjunto del Sector de Desarrollo Regional y Nacional, en nombre del director general. Dijo que a lo largo de 2024, la Organización trabajó diligentemente para incorporar la Agenda para el Desarrollo a todos los sectores de la OMPI, a la vez que se alinea la labor de la Organización con el Plan Estratégico a Mediano Plazo 2022-2026. En respuesta a las declaraciones, el Sr. Kleib agradeció el apoyo de los Estados miembros. El Comité tomó nota de la información contenida en el documento y sus anexos.</w:t>
      </w:r>
    </w:p>
    <w:p w14:paraId="7EC35742" w14:textId="77777777" w:rsidR="00FD5CE0" w:rsidRPr="00415B3E" w:rsidRDefault="00FD5CE0" w:rsidP="00FD5CE0">
      <w:pPr>
        <w:pStyle w:val="ListParagraph"/>
        <w:numPr>
          <w:ilvl w:val="1"/>
          <w:numId w:val="28"/>
        </w:numPr>
        <w:spacing w:after="240" w:line="240" w:lineRule="auto"/>
        <w:ind w:left="634" w:firstLine="0"/>
        <w:contextualSpacing w:val="0"/>
        <w:rPr>
          <w:rFonts w:ascii="Arial" w:hAnsi="Arial" w:cs="Arial"/>
          <w:sz w:val="22"/>
          <w:szCs w:val="22"/>
          <w:lang w:val="es-419"/>
        </w:rPr>
      </w:pPr>
      <w:r w:rsidRPr="00415B3E">
        <w:rPr>
          <w:rFonts w:ascii="Arial" w:hAnsi="Arial" w:cs="Arial"/>
          <w:sz w:val="22"/>
          <w:szCs w:val="22"/>
          <w:lang w:val="es-419"/>
        </w:rPr>
        <w:t>Informe sobre la contribución de la OMPI a la aplicación de los Objetivos de Desarrollo Sostenible y las metas conexas, que figura en el documento CDIP/34/3. Presentó el informe el Sr. Edward Kwakwa, subdirector general del Sector de Alianzas y Desafíos Mundiales. El Sr. Kwakwa mencionó que en 2024, dentro de su mandato, la OMPI participó plenamente en la aplicación de la Agenda 2030 en cuanto a las actividades e iniciativas emprendidas individualmente por la OMPI y las actividades emprendidas por la OMPI como parte del sistema de las Naciones Unidas. El Comité tomó nota de la información contenida en ese documento.</w:t>
      </w:r>
    </w:p>
    <w:p w14:paraId="26F76E9F" w14:textId="77777777" w:rsidR="00FD5CE0" w:rsidRPr="00415B3E" w:rsidRDefault="00FD5CE0" w:rsidP="00FD5CE0">
      <w:pPr>
        <w:pStyle w:val="ListParagraph"/>
        <w:numPr>
          <w:ilvl w:val="0"/>
          <w:numId w:val="28"/>
        </w:numPr>
        <w:spacing w:after="240" w:line="240" w:lineRule="auto"/>
        <w:ind w:left="0" w:firstLine="0"/>
        <w:contextualSpacing w:val="0"/>
        <w:rPr>
          <w:rStyle w:val="Strong"/>
          <w:rFonts w:ascii="Arial" w:hAnsi="Arial" w:cs="Arial"/>
          <w:b w:val="0"/>
          <w:sz w:val="22"/>
          <w:szCs w:val="22"/>
          <w:lang w:val="es-419"/>
        </w:rPr>
      </w:pPr>
      <w:r w:rsidRPr="00415B3E">
        <w:rPr>
          <w:rStyle w:val="Strong"/>
          <w:rFonts w:ascii="Arial" w:hAnsi="Arial" w:cs="Arial"/>
          <w:b w:val="0"/>
          <w:sz w:val="22"/>
          <w:szCs w:val="22"/>
          <w:lang w:val="es-419"/>
        </w:rPr>
        <w:t>En el marco del punto 5.i) del orden del día, el Comité examinó el Examen externo independiente de la asistencia técnica de la OMPI en el ámbito de la cooperación para el desarrollo (documento CDIP/33/4 CORR.) y la Respuesta de la Secretaría sobre la situación de las recomendaciones del examen externo independiente de la asistencia técnica de la OMPI (documento CDIP/34/8). El Comité decidió proseguir en su siguiente sesión el debate sobre el examen externo y el estado de sus recomendaciones. Las propuestas para la categoría B: Recomendaciones que merecen mayor consideración, y la categoría C: Recomendaciones que ya se reflejan en las actividades de la OMPI pero requieren mayor consideración, según figuran en el documento CDIP/34/8, deberán enviarse a la Secretaría antes del 4 de agosto de 2025, a fin de que sean examinadas en la siguiente sesión del Comité.</w:t>
      </w:r>
    </w:p>
    <w:p w14:paraId="7D5B961C" w14:textId="77777777" w:rsidR="00FD5CE0" w:rsidRPr="00415B3E" w:rsidRDefault="00FD5CE0" w:rsidP="00FD5CE0">
      <w:pPr>
        <w:pStyle w:val="ListParagraph"/>
        <w:numPr>
          <w:ilvl w:val="0"/>
          <w:numId w:val="28"/>
        </w:numPr>
        <w:spacing w:after="240" w:line="240" w:lineRule="auto"/>
        <w:ind w:left="0" w:firstLine="0"/>
        <w:contextualSpacing w:val="0"/>
        <w:rPr>
          <w:rFonts w:ascii="Arial" w:hAnsi="Arial" w:cs="Arial"/>
          <w:bCs/>
          <w:sz w:val="22"/>
          <w:szCs w:val="22"/>
          <w:lang w:val="es-419"/>
        </w:rPr>
      </w:pPr>
      <w:r w:rsidRPr="00415B3E">
        <w:rPr>
          <w:rFonts w:ascii="Arial" w:hAnsi="Arial" w:cs="Arial"/>
          <w:sz w:val="22"/>
          <w:szCs w:val="22"/>
          <w:lang w:val="es-419"/>
        </w:rPr>
        <w:t xml:space="preserve">En el marco del punto 6 del orden del día, el Comité examinó lo siguiente: </w:t>
      </w:r>
    </w:p>
    <w:p w14:paraId="3D9AB3E5" w14:textId="77777777" w:rsidR="00FD5CE0" w:rsidRPr="00415B3E" w:rsidRDefault="00FD5CE0" w:rsidP="00FD5CE0">
      <w:pPr>
        <w:pStyle w:val="ListParagraph"/>
        <w:numPr>
          <w:ilvl w:val="1"/>
          <w:numId w:val="9"/>
        </w:numPr>
        <w:spacing w:after="240" w:line="240" w:lineRule="auto"/>
        <w:ind w:left="634" w:firstLine="0"/>
        <w:contextualSpacing w:val="0"/>
        <w:rPr>
          <w:rFonts w:ascii="Arial" w:hAnsi="Arial" w:cs="Arial"/>
          <w:bCs/>
          <w:sz w:val="22"/>
          <w:szCs w:val="22"/>
          <w:lang w:val="es-419"/>
        </w:rPr>
      </w:pPr>
      <w:r w:rsidRPr="00415B3E">
        <w:rPr>
          <w:rFonts w:ascii="Arial" w:hAnsi="Arial" w:cs="Arial"/>
          <w:sz w:val="22"/>
          <w:szCs w:val="22"/>
          <w:lang w:val="es-419"/>
        </w:rPr>
        <w:t xml:space="preserve">Continuación del debate sobre la aplicación de las recomendaciones adoptadas en el marco del examen independiente: propuesta actualizada de la Secretaría y contribuciones de los Estados Miembros, que figuran en los documentos CDIP/29/6 y CDIP/29/6 CORR. El Comité decidió proseguir en su siguiente sesión el debate sobre la estrategia de aplicación 1, propuesta por la Secretaría. </w:t>
      </w:r>
    </w:p>
    <w:p w14:paraId="72F43E9E" w14:textId="77777777" w:rsidR="00FD5CE0" w:rsidRPr="00415B3E" w:rsidRDefault="00FD5CE0" w:rsidP="00FD5CE0">
      <w:pPr>
        <w:pStyle w:val="ListParagraph"/>
        <w:numPr>
          <w:ilvl w:val="1"/>
          <w:numId w:val="9"/>
        </w:numPr>
        <w:spacing w:after="240" w:line="240" w:lineRule="auto"/>
        <w:ind w:left="634" w:firstLine="0"/>
        <w:contextualSpacing w:val="0"/>
        <w:rPr>
          <w:rFonts w:ascii="Arial" w:hAnsi="Arial" w:cs="Arial"/>
          <w:bCs/>
          <w:sz w:val="22"/>
          <w:szCs w:val="22"/>
          <w:lang w:val="es-419"/>
        </w:rPr>
      </w:pPr>
      <w:r w:rsidRPr="00415B3E">
        <w:rPr>
          <w:rFonts w:ascii="Arial" w:hAnsi="Arial" w:cs="Arial"/>
          <w:sz w:val="22"/>
          <w:szCs w:val="22"/>
          <w:lang w:val="es-419"/>
        </w:rPr>
        <w:t>Propuesta de proyecto revisada sobre la elaboración de estrategias y herramientas para hacer frente al comercio transfronterizo de productos de marca falsificados en los países en desarrollo, presentada por el Reino Unido, que figura en el documento CDIP/34/4 REV. A petición de la delegación del Reino Unido, el Comité decidió proseguir el examen de la propuesta de proyecto revisada en su siguiente sesión.</w:t>
      </w:r>
    </w:p>
    <w:p w14:paraId="1F1318DB" w14:textId="77777777" w:rsidR="00FD5CE0" w:rsidRPr="00415B3E" w:rsidRDefault="00FD5CE0" w:rsidP="00FD5CE0">
      <w:pPr>
        <w:pStyle w:val="ListParagraph"/>
        <w:numPr>
          <w:ilvl w:val="1"/>
          <w:numId w:val="9"/>
        </w:numPr>
        <w:spacing w:after="240" w:line="240" w:lineRule="auto"/>
        <w:ind w:left="634" w:firstLine="0"/>
        <w:contextualSpacing w:val="0"/>
        <w:rPr>
          <w:rFonts w:ascii="Arial" w:hAnsi="Arial" w:cs="Arial"/>
          <w:bCs/>
          <w:sz w:val="22"/>
          <w:szCs w:val="22"/>
          <w:lang w:val="es-419"/>
        </w:rPr>
      </w:pPr>
      <w:r w:rsidRPr="00415B3E">
        <w:rPr>
          <w:rFonts w:ascii="Arial" w:hAnsi="Arial" w:cs="Arial"/>
          <w:sz w:val="22"/>
          <w:szCs w:val="22"/>
          <w:lang w:val="es-419"/>
        </w:rPr>
        <w:t>Propuesta de proyecto revisada sobre la promoción  del desarrollo del turismo de festivales a través de la propiedad intelectual – Propuesta de proyecto presentada por el Estado Plurinacional de Bolivia y copatrocinada por la India, que figura en el documento CDIP/34/5 REV. 2. El Comité aprobó el proyecto revisado, teniendo en cuenta los comentarios de los Estados miembros, y pidió a la Secretaría que inicie su ejecución según lo previsto en el documento del proyecto.</w:t>
      </w:r>
    </w:p>
    <w:p w14:paraId="3AAD3AF0" w14:textId="77777777" w:rsidR="00FD5CE0" w:rsidRPr="00415B3E" w:rsidRDefault="00FD5CE0" w:rsidP="00FD5CE0">
      <w:pPr>
        <w:pStyle w:val="ListParagraph"/>
        <w:numPr>
          <w:ilvl w:val="1"/>
          <w:numId w:val="9"/>
        </w:numPr>
        <w:spacing w:after="240" w:line="240" w:lineRule="auto"/>
        <w:ind w:left="634" w:firstLine="0"/>
        <w:contextualSpacing w:val="0"/>
        <w:rPr>
          <w:rFonts w:ascii="Arial" w:hAnsi="Arial" w:cs="Arial"/>
          <w:bCs/>
          <w:sz w:val="22"/>
          <w:szCs w:val="22"/>
          <w:lang w:val="es-419"/>
        </w:rPr>
      </w:pPr>
      <w:r w:rsidRPr="00415B3E">
        <w:rPr>
          <w:rFonts w:ascii="Arial" w:hAnsi="Arial" w:cs="Arial"/>
          <w:sz w:val="22"/>
          <w:szCs w:val="22"/>
          <w:lang w:val="es-419"/>
        </w:rPr>
        <w:t xml:space="preserve">Compilación de temas propuestos por los Estados miembros a fin de que sean examinados en el marco del punto del orden del día “Propiedad intelectual y desarrollo”, que figura en el documento CDIP/34/9. El Comité acordó que el tema “Fortalecer y modernizar las Oficinas de PI en aras de la resiliencia, la eficiencia, la accesibilidad y la </w:t>
      </w:r>
      <w:r w:rsidRPr="00415B3E">
        <w:rPr>
          <w:rFonts w:ascii="Arial" w:hAnsi="Arial" w:cs="Arial"/>
          <w:sz w:val="22"/>
          <w:szCs w:val="22"/>
          <w:lang w:val="es-419"/>
        </w:rPr>
        <w:lastRenderedPageBreak/>
        <w:t>preparación ante las crisis en la era digital” se examinará en su trigésima quinta sesión, el tema “La PI y la economía creativa: proteger las obras creativas en la era digital, teniendo en cuenta la incidencia de la IA” se examinará en su trigésima sexta sesión, el tema “La función de la propiedad intelectual en el fomento del desarrollo socioeconómico” se examinará en su trigésima séptima sesión y el tema “Formación en PI y cultivo de talentos en el ámbito de la PI: experiencias nacionales” se examinará en su trigésima octava sesión. El Comité pidió asimismo a la Secretaría que actualice la lista de temas con las aportaciones restantes recibidas.</w:t>
      </w:r>
    </w:p>
    <w:p w14:paraId="22BAD791" w14:textId="77777777" w:rsidR="00FD5CE0" w:rsidRPr="00415B3E" w:rsidRDefault="00FD5CE0" w:rsidP="00FD5CE0">
      <w:pPr>
        <w:pStyle w:val="ListParagraph"/>
        <w:numPr>
          <w:ilvl w:val="1"/>
          <w:numId w:val="9"/>
        </w:numPr>
        <w:spacing w:after="240" w:line="240" w:lineRule="auto"/>
        <w:ind w:left="634" w:firstLine="0"/>
        <w:contextualSpacing w:val="0"/>
        <w:rPr>
          <w:rFonts w:ascii="Arial" w:hAnsi="Arial" w:cs="Arial"/>
          <w:bCs/>
          <w:sz w:val="22"/>
          <w:szCs w:val="22"/>
          <w:lang w:val="es-419"/>
        </w:rPr>
      </w:pPr>
      <w:r w:rsidRPr="00415B3E">
        <w:rPr>
          <w:rFonts w:ascii="Arial" w:hAnsi="Arial" w:cs="Arial"/>
          <w:sz w:val="22"/>
          <w:szCs w:val="22"/>
          <w:lang w:val="es-419"/>
        </w:rPr>
        <w:t>Compilación de subtemas propuestos por los Estados miembros para la conferencia internacional sobre propiedad intelectual y desarrollo, que figura en el documento CDIP/34/10. El Comité decidió que el tema de la Conferencia Internacional sobre Propiedad Intelectual y Desarrollo que se celebrará en 2027 sea “Hacer posible un ecosistema de PI que propicie la innovación: las pymes, la financiación mediante la PI y el desarrollo”, y que el tema de la Conferencia que se celebrará en 2028 sea “La PI y el turismo”.  Algunas delegaciones pidieron a la Secretaría que organice un evento paralelo en el marco de la sesión del Comité de 2025 sobre los “20 años de la Agenda de la OMPI para el Desarrollo”.</w:t>
      </w:r>
    </w:p>
    <w:p w14:paraId="74EC8900" w14:textId="77777777" w:rsidR="00FD5CE0" w:rsidRPr="00415B3E" w:rsidRDefault="00FD5CE0" w:rsidP="00FD5CE0">
      <w:pPr>
        <w:pStyle w:val="ListParagraph"/>
        <w:numPr>
          <w:ilvl w:val="1"/>
          <w:numId w:val="9"/>
        </w:numPr>
        <w:spacing w:after="240" w:line="240" w:lineRule="auto"/>
        <w:ind w:left="634" w:firstLine="0"/>
        <w:contextualSpacing w:val="0"/>
        <w:rPr>
          <w:rFonts w:ascii="Arial" w:hAnsi="Arial" w:cs="Arial"/>
          <w:bCs/>
          <w:sz w:val="22"/>
          <w:szCs w:val="22"/>
          <w:lang w:val="es-419"/>
        </w:rPr>
      </w:pPr>
      <w:r w:rsidRPr="00415B3E">
        <w:rPr>
          <w:rFonts w:ascii="Arial" w:hAnsi="Arial" w:cs="Arial"/>
          <w:sz w:val="22"/>
          <w:szCs w:val="22"/>
          <w:lang w:val="es-419"/>
        </w:rPr>
        <w:t>Resumen del “Sistema de normalización, enriquecimiento y análisis económico de datos sobre propiedad intelectual e innovación para apoyar el diseño de políticas (versión 2.0)”, que figura en el documento CDIP/34/INF/2. El Comité tomó nota de la información contenida en el documento y aprobó, sin repercusiones presupuestarias, una prórroga de tres meses en (hasta fines de diciembre de 2025) en la ejecución del proyecto de la Agenda para el Desarrollo “Sistematización de datos estadísticos y diseño y puesta en marcha de una metodología para la elaboración de estudios de incidencia sobre la utilización del sistema de propiedad intelectual” (documento CDIP/26/4).</w:t>
      </w:r>
    </w:p>
    <w:p w14:paraId="3150AF1A" w14:textId="77777777" w:rsidR="00FD5CE0" w:rsidRPr="00415B3E" w:rsidRDefault="00FD5CE0" w:rsidP="00FD5CE0">
      <w:pPr>
        <w:pStyle w:val="ListParagraph"/>
        <w:numPr>
          <w:ilvl w:val="1"/>
          <w:numId w:val="9"/>
        </w:numPr>
        <w:spacing w:after="240" w:line="240" w:lineRule="auto"/>
        <w:ind w:left="634" w:firstLine="0"/>
        <w:contextualSpacing w:val="0"/>
        <w:rPr>
          <w:rFonts w:ascii="Arial" w:hAnsi="Arial" w:cs="Arial"/>
          <w:bCs/>
          <w:sz w:val="22"/>
          <w:szCs w:val="22"/>
          <w:lang w:val="es-419"/>
        </w:rPr>
      </w:pPr>
      <w:r w:rsidRPr="00415B3E">
        <w:rPr>
          <w:rFonts w:ascii="Arial" w:hAnsi="Arial" w:cs="Arial"/>
          <w:sz w:val="22"/>
          <w:szCs w:val="22"/>
          <w:lang w:val="es-419"/>
        </w:rPr>
        <w:t>Resumen del “Informe sobre la actividad de patentamiento en el ámbito de la salud y la seguridad en el trabajo”, que figura en el documento CDIP/34/INF/3. El Comité tomó nota de la información contenida en el documento.</w:t>
      </w:r>
    </w:p>
    <w:p w14:paraId="7F5A33B6" w14:textId="77777777" w:rsidR="00FD5CE0" w:rsidRPr="00415B3E" w:rsidRDefault="00FD5CE0" w:rsidP="00FD5CE0">
      <w:pPr>
        <w:pStyle w:val="ListParagraph"/>
        <w:numPr>
          <w:ilvl w:val="1"/>
          <w:numId w:val="9"/>
        </w:numPr>
        <w:spacing w:after="240" w:line="240" w:lineRule="auto"/>
        <w:ind w:left="634" w:firstLine="0"/>
        <w:contextualSpacing w:val="0"/>
        <w:rPr>
          <w:rFonts w:ascii="Arial" w:hAnsi="Arial" w:cs="Arial"/>
          <w:bCs/>
          <w:sz w:val="22"/>
          <w:szCs w:val="22"/>
          <w:lang w:val="es-419"/>
        </w:rPr>
      </w:pPr>
      <w:r w:rsidRPr="00415B3E">
        <w:rPr>
          <w:rFonts w:ascii="Arial" w:hAnsi="Arial" w:cs="Arial"/>
          <w:sz w:val="22"/>
          <w:szCs w:val="22"/>
          <w:lang w:val="es-419"/>
        </w:rPr>
        <w:t>Resumen del estudio exploratorio sobre la intersección entre la seguridad y la salud en el trabajo y la propiedad intelectual, que figura en el documento CDIP/34/INF/4. El Comité tomó nota de la información contenida en el documento.</w:t>
      </w:r>
    </w:p>
    <w:p w14:paraId="427EC0F5" w14:textId="77777777" w:rsidR="00FD5CE0" w:rsidRPr="00415B3E" w:rsidRDefault="00FD5CE0" w:rsidP="00FD5CE0">
      <w:pPr>
        <w:pStyle w:val="ListParagraph"/>
        <w:numPr>
          <w:ilvl w:val="1"/>
          <w:numId w:val="9"/>
        </w:numPr>
        <w:spacing w:after="240" w:line="240" w:lineRule="auto"/>
        <w:ind w:left="634" w:firstLine="0"/>
        <w:contextualSpacing w:val="0"/>
        <w:rPr>
          <w:rFonts w:ascii="Arial" w:hAnsi="Arial" w:cs="Arial"/>
          <w:bCs/>
          <w:sz w:val="22"/>
          <w:szCs w:val="22"/>
          <w:lang w:val="es-419"/>
        </w:rPr>
      </w:pPr>
      <w:r w:rsidRPr="00415B3E">
        <w:rPr>
          <w:rFonts w:ascii="Arial" w:hAnsi="Arial" w:cs="Arial"/>
          <w:sz w:val="22"/>
          <w:szCs w:val="22"/>
          <w:lang w:val="es-419"/>
        </w:rPr>
        <w:t>El Comité escuchó una ponencia presentada por la Secretaría titulada “La PI como elemento clave para facilitar la actividad empresarial: iniciativas de la OMPI en favor de las pymes”. La ponencia ofreció un panorama general de los programas, servicios e iniciativas existentes destinados a ayudar a las empresas para que aprovechen eficazmente los activos de PI. El Comité tomó nota de la información contenida en la ponencia.</w:t>
      </w:r>
    </w:p>
    <w:p w14:paraId="13BD49F4" w14:textId="77777777" w:rsidR="00FD5CE0" w:rsidRPr="00415B3E" w:rsidRDefault="00FD5CE0" w:rsidP="00FD5CE0">
      <w:pPr>
        <w:pStyle w:val="ListParagraph"/>
        <w:numPr>
          <w:ilvl w:val="0"/>
          <w:numId w:val="28"/>
        </w:numPr>
        <w:spacing w:after="240" w:line="240" w:lineRule="auto"/>
        <w:ind w:left="0" w:firstLine="0"/>
        <w:contextualSpacing w:val="0"/>
        <w:rPr>
          <w:rFonts w:ascii="Arial" w:hAnsi="Arial" w:cs="Arial"/>
          <w:bCs/>
          <w:sz w:val="22"/>
          <w:szCs w:val="22"/>
          <w:lang w:val="es-419"/>
        </w:rPr>
      </w:pPr>
      <w:r w:rsidRPr="00415B3E">
        <w:rPr>
          <w:rFonts w:ascii="Arial" w:hAnsi="Arial" w:cs="Arial"/>
          <w:sz w:val="22"/>
          <w:szCs w:val="22"/>
          <w:lang w:val="es-419"/>
        </w:rPr>
        <w:t>En el marco del punto 7 del orden del día, “Propiedad intelectual y desarrollo”:</w:t>
      </w:r>
    </w:p>
    <w:p w14:paraId="5FCACC09" w14:textId="77777777" w:rsidR="00FD5CE0" w:rsidRPr="00415B3E" w:rsidRDefault="00FD5CE0" w:rsidP="00FD5CE0">
      <w:pPr>
        <w:pStyle w:val="ListParagraph"/>
        <w:numPr>
          <w:ilvl w:val="1"/>
          <w:numId w:val="10"/>
        </w:numPr>
        <w:spacing w:after="240" w:line="240" w:lineRule="auto"/>
        <w:ind w:left="547" w:firstLine="0"/>
        <w:contextualSpacing w:val="0"/>
        <w:rPr>
          <w:rFonts w:ascii="Arial" w:hAnsi="Arial" w:cs="Arial"/>
          <w:sz w:val="22"/>
          <w:szCs w:val="22"/>
          <w:lang w:val="es-419"/>
        </w:rPr>
      </w:pPr>
      <w:r w:rsidRPr="00415B3E">
        <w:rPr>
          <w:rFonts w:ascii="Arial" w:hAnsi="Arial" w:cs="Arial"/>
          <w:sz w:val="22"/>
          <w:szCs w:val="22"/>
          <w:lang w:val="es-419"/>
        </w:rPr>
        <w:t xml:space="preserve">El Comité examinó el tema “La PI y el poder judicial: fortalecer las capacidades y los conocimientos especializados”. El Comité escuchó la ponencia de la Secretaría, a cargo del Sr. Marco Alemán, subdirector general del Sector de PI y Ecosistemas de Innovación, y los testimonios de miembros del poder judicial y representantes de Oficinas de PI de Egipto, Filipinas, Letonia, Panamá y la República Unida de Tanzanía. Las delegaciones compartieron sus experiencias, programas de fortalecimiento de capacidades nacionales e iniciativas de formación judicial en el ámbito nacional destinados a fortalecer la comprensión y la aplicación de la PI en sus sistemas judiciales. Los Estados miembros alabaron la labor de la OMPI en este ámbito y subrayaron la importancia de fomentar los conocimientos judiciales especializados en asuntos de PI. </w:t>
      </w:r>
    </w:p>
    <w:p w14:paraId="02027088" w14:textId="77777777" w:rsidR="00FD5CE0" w:rsidRPr="00415B3E" w:rsidRDefault="00FD5CE0" w:rsidP="00FD5CE0">
      <w:pPr>
        <w:pStyle w:val="ListParagraph"/>
        <w:numPr>
          <w:ilvl w:val="1"/>
          <w:numId w:val="10"/>
        </w:numPr>
        <w:spacing w:after="240" w:line="240" w:lineRule="auto"/>
        <w:ind w:left="547" w:firstLine="0"/>
        <w:contextualSpacing w:val="0"/>
        <w:rPr>
          <w:rFonts w:ascii="Arial" w:hAnsi="Arial" w:cs="Arial"/>
          <w:sz w:val="22"/>
          <w:szCs w:val="22"/>
          <w:lang w:val="es-419"/>
        </w:rPr>
      </w:pPr>
      <w:r w:rsidRPr="00415B3E">
        <w:rPr>
          <w:rFonts w:ascii="Arial" w:hAnsi="Arial" w:cs="Arial"/>
          <w:sz w:val="22"/>
          <w:szCs w:val="22"/>
          <w:lang w:val="es-419"/>
        </w:rPr>
        <w:lastRenderedPageBreak/>
        <w:t>El Comité retomó el Tema “Las mujeres y la PI”. El Comité tomó nota del Informe de recopilación y presentación de datos (documento CDIP/34/6) y el Informe de actividades internas y externas, dirección estratégica (documento CDIP/34/7). Las delegaciones escucharon la ponencia de la Sra. Isabella Springmuhl Tejada, diseñadora de moda guatemalteca y fundadora de la marca Down to Xjabelle, seguida de testimonios en video de emprendedoras de Egipto, Indonesia y Namibia, quienes compartieron sus experiencias profesionales y pusieron de manifiesto la manera en que la PI les ayudó a aumentar la visibilidad, proteger la innovación y acceder a nuevos mercados.</w:t>
      </w:r>
    </w:p>
    <w:p w14:paraId="32A3BD2A" w14:textId="77777777" w:rsidR="00FD5CE0" w:rsidRPr="00415B3E" w:rsidRDefault="00FD5CE0" w:rsidP="00FD5CE0">
      <w:pPr>
        <w:pStyle w:val="ListParagraph"/>
        <w:numPr>
          <w:ilvl w:val="0"/>
          <w:numId w:val="28"/>
        </w:numPr>
        <w:spacing w:after="240" w:line="240" w:lineRule="auto"/>
        <w:ind w:left="0" w:firstLine="0"/>
        <w:contextualSpacing w:val="0"/>
        <w:rPr>
          <w:rFonts w:ascii="Arial" w:hAnsi="Arial" w:cs="Arial"/>
          <w:bCs/>
          <w:sz w:val="22"/>
          <w:szCs w:val="22"/>
          <w:lang w:val="es-419"/>
        </w:rPr>
      </w:pPr>
      <w:r w:rsidRPr="00415B3E">
        <w:rPr>
          <w:rFonts w:ascii="Arial" w:hAnsi="Arial" w:cs="Arial"/>
          <w:sz w:val="22"/>
          <w:szCs w:val="22"/>
          <w:lang w:val="es-419"/>
        </w:rPr>
        <w:t>En el marco del punto 8 del orden del día sobre labor futura, el Comité acordó una lista de cuestiones y documentos para su próxima sesión, tal como fue leída por la Secretaría. En concreto, el Comité acordó los puntos siguientes:</w:t>
      </w:r>
    </w:p>
    <w:p w14:paraId="4E9CD119" w14:textId="77777777" w:rsidR="00FD5CE0" w:rsidRPr="00415B3E" w:rsidRDefault="00FD5CE0" w:rsidP="00FD5CE0">
      <w:pPr>
        <w:pStyle w:val="ListParagraph"/>
        <w:numPr>
          <w:ilvl w:val="0"/>
          <w:numId w:val="11"/>
        </w:numPr>
        <w:spacing w:after="240" w:line="240" w:lineRule="auto"/>
        <w:ind w:left="993" w:hanging="426"/>
        <w:contextualSpacing w:val="0"/>
        <w:rPr>
          <w:rFonts w:ascii="Arial" w:hAnsi="Arial" w:cs="Arial"/>
          <w:bCs/>
          <w:sz w:val="22"/>
          <w:szCs w:val="22"/>
          <w:lang w:val="es-419"/>
        </w:rPr>
      </w:pPr>
      <w:r w:rsidRPr="00415B3E">
        <w:rPr>
          <w:rFonts w:ascii="Arial" w:hAnsi="Arial" w:cs="Arial"/>
          <w:sz w:val="22"/>
          <w:szCs w:val="22"/>
          <w:lang w:val="es-419"/>
        </w:rPr>
        <w:t>Las propuestas de temas para webinarios sobre asistencia técnica que han de celebrarse en 2026 deberán enviarse a la Secretaría antes del 4 de agosto de 2025.</w:t>
      </w:r>
    </w:p>
    <w:p w14:paraId="710E7895" w14:textId="77777777" w:rsidR="00FD5CE0" w:rsidRPr="00415B3E" w:rsidRDefault="00FD5CE0" w:rsidP="00FD5CE0">
      <w:pPr>
        <w:pStyle w:val="ListParagraph"/>
        <w:numPr>
          <w:ilvl w:val="0"/>
          <w:numId w:val="11"/>
        </w:numPr>
        <w:spacing w:after="240" w:line="240" w:lineRule="auto"/>
        <w:ind w:left="993" w:hanging="426"/>
        <w:contextualSpacing w:val="0"/>
        <w:rPr>
          <w:rFonts w:ascii="Arial" w:hAnsi="Arial" w:cs="Arial"/>
          <w:bCs/>
          <w:sz w:val="22"/>
          <w:szCs w:val="22"/>
          <w:lang w:val="es-419"/>
        </w:rPr>
      </w:pPr>
      <w:r w:rsidRPr="00415B3E">
        <w:rPr>
          <w:rStyle w:val="Strong"/>
          <w:rFonts w:ascii="Arial" w:hAnsi="Arial" w:cs="Arial"/>
          <w:b w:val="0"/>
          <w:sz w:val="22"/>
          <w:szCs w:val="22"/>
          <w:lang w:val="es-419"/>
        </w:rPr>
        <w:t>Las propuestas para la categoría B: Recomendaciones que merecen mayor consideración, y la categoría C: Recomendaciones que ya se reflejan en las actividades de la OMPI pero requieren mayor consideración, según figuran en la Respuesta de la Secretaría sobre la situación de las recomendaciones del examen externo independiente de la asistencia técnica de la OMPI (documento CDIP/34/8), deberán enviarse a la Secretaría antes del 4 de agosto de 2025, a fin de que sean examinadas en la siguiente sesión del Comité.</w:t>
      </w:r>
    </w:p>
    <w:p w14:paraId="5334D76D" w14:textId="7BD98ECA" w:rsidR="00FD5CE0" w:rsidRPr="00415B3E" w:rsidRDefault="00FD5CE0" w:rsidP="00FD5CE0">
      <w:pPr>
        <w:pStyle w:val="ListParagraph"/>
        <w:numPr>
          <w:ilvl w:val="0"/>
          <w:numId w:val="28"/>
        </w:numPr>
        <w:spacing w:after="240" w:line="240" w:lineRule="auto"/>
        <w:ind w:left="0" w:firstLine="0"/>
        <w:contextualSpacing w:val="0"/>
        <w:rPr>
          <w:rFonts w:ascii="Arial" w:hAnsi="Arial" w:cs="Arial"/>
          <w:bCs/>
          <w:sz w:val="22"/>
          <w:szCs w:val="22"/>
          <w:lang w:val="es-419"/>
        </w:rPr>
      </w:pPr>
      <w:r w:rsidRPr="00415B3E">
        <w:rPr>
          <w:rFonts w:ascii="Arial" w:hAnsi="Arial" w:cs="Arial"/>
          <w:sz w:val="22"/>
          <w:szCs w:val="22"/>
          <w:lang w:val="es-419"/>
        </w:rPr>
        <w:t>El Comité tomó nota de que, en consonancia con el párrafo 30 del informe resumido de la sexagésima segunda serie de reuniones de las Asambleas de los Estados miembros de la OMPI (</w:t>
      </w:r>
      <w:hyperlink r:id="rId14" w:history="1">
        <w:r w:rsidRPr="00415B3E">
          <w:rPr>
            <w:rStyle w:val="Hyperlink"/>
            <w:rFonts w:ascii="Arial" w:hAnsi="Arial" w:cs="Arial"/>
            <w:sz w:val="22"/>
            <w:szCs w:val="22"/>
            <w:lang w:val="es-419"/>
          </w:rPr>
          <w:t>A/62/12</w:t>
        </w:r>
      </w:hyperlink>
      <w:r w:rsidRPr="00415B3E">
        <w:rPr>
          <w:rFonts w:ascii="Arial" w:hAnsi="Arial" w:cs="Arial"/>
          <w:sz w:val="22"/>
          <w:szCs w:val="22"/>
          <w:lang w:val="es-419"/>
        </w:rPr>
        <w:t xml:space="preserve">), las actas literales de las sesiones del CDIP serían sustituidas por transcripciones y traducciones automáticas, sincronizadas con la grabación de vídeo. Por consiguiente, el informe de la presente sesión será publicado de dicho modo. A fin de ayudar a mejorar la transcripción automática, se ruega a las delegaciones que presenten las correcciones de carácter sustantivo a la Secretaría, preferiblemente cuatro semanas antes de la próxima sesión del Comité. </w:t>
      </w:r>
    </w:p>
    <w:p w14:paraId="2D394EA2" w14:textId="77777777" w:rsidR="00FD5CE0" w:rsidRPr="00415B3E" w:rsidRDefault="00FD5CE0" w:rsidP="00FD5CE0">
      <w:pPr>
        <w:pStyle w:val="ListParagraph"/>
        <w:numPr>
          <w:ilvl w:val="0"/>
          <w:numId w:val="28"/>
        </w:numPr>
        <w:spacing w:after="600" w:line="240" w:lineRule="auto"/>
        <w:ind w:left="0" w:firstLine="0"/>
        <w:contextualSpacing w:val="0"/>
        <w:rPr>
          <w:rFonts w:ascii="Arial" w:hAnsi="Arial" w:cs="Arial"/>
          <w:bCs/>
          <w:sz w:val="22"/>
          <w:szCs w:val="22"/>
          <w:lang w:val="es-419"/>
        </w:rPr>
      </w:pPr>
      <w:r w:rsidRPr="00415B3E">
        <w:rPr>
          <w:rFonts w:ascii="Arial" w:hAnsi="Arial" w:cs="Arial"/>
          <w:sz w:val="22"/>
          <w:szCs w:val="22"/>
          <w:lang w:val="es-419"/>
        </w:rPr>
        <w:t xml:space="preserve">El presente resumen, junto con el resumen de la presidencia de la trigésima tercera sesión del Comité y el Informe del director general sobre la aplicación de la Agenda para el Desarrollo, contenido en el documento CDIP/34/2, constituirán el informe que presentará el Comité a la Asamblea General de la OMPI. </w:t>
      </w:r>
    </w:p>
    <w:p w14:paraId="0A8A751F" w14:textId="77777777" w:rsidR="00FD5CE0" w:rsidRPr="00415B3E" w:rsidRDefault="00FD5CE0" w:rsidP="00FD5CE0">
      <w:pPr>
        <w:spacing w:after="220"/>
        <w:ind w:left="5580"/>
        <w:rPr>
          <w:szCs w:val="22"/>
          <w:lang w:val="es-419"/>
        </w:rPr>
        <w:sectPr w:rsidR="00FD5CE0" w:rsidRPr="00415B3E" w:rsidSect="008E019A">
          <w:pgSz w:w="11906" w:h="16838" w:code="9"/>
          <w:pgMar w:top="567" w:right="1134" w:bottom="1418" w:left="1418" w:header="510" w:footer="1021" w:gutter="0"/>
          <w:pgNumType w:start="1"/>
          <w:cols w:space="720"/>
          <w:titlePg/>
          <w:docGrid w:linePitch="360"/>
        </w:sectPr>
      </w:pPr>
      <w:r w:rsidRPr="00415B3E">
        <w:rPr>
          <w:szCs w:val="22"/>
          <w:lang w:val="es-419"/>
        </w:rPr>
        <w:t>[Fin del documento]</w:t>
      </w:r>
    </w:p>
    <w:p w14:paraId="7CBBD8AF" w14:textId="77777777" w:rsidR="00FD5CE0" w:rsidRPr="00415B3E" w:rsidRDefault="00FD5CE0" w:rsidP="00FD5CE0">
      <w:pPr>
        <w:pBdr>
          <w:bottom w:val="single" w:sz="4" w:space="11" w:color="auto"/>
        </w:pBdr>
        <w:spacing w:before="360" w:after="240"/>
        <w:jc w:val="right"/>
        <w:rPr>
          <w:b/>
          <w:sz w:val="32"/>
          <w:szCs w:val="40"/>
          <w:lang w:val="es-419"/>
        </w:rPr>
      </w:pPr>
      <w:r w:rsidRPr="00415B3E">
        <w:rPr>
          <w:noProof/>
          <w:lang w:val="es-419"/>
        </w:rPr>
        <w:lastRenderedPageBreak/>
        <w:drawing>
          <wp:inline distT="0" distB="0" distL="0" distR="0" wp14:anchorId="4BC00EC6" wp14:editId="22039960">
            <wp:extent cx="3147729" cy="1353054"/>
            <wp:effectExtent l="0" t="0" r="0" b="0"/>
            <wp:docPr id="2144469707" name="Picture 2144469707"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2">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D74BB24" w14:textId="77777777" w:rsidR="00FD5CE0" w:rsidRPr="00415B3E" w:rsidRDefault="00FD5CE0" w:rsidP="00FD5CE0">
      <w:pPr>
        <w:jc w:val="right"/>
        <w:rPr>
          <w:rFonts w:ascii="Arial Black" w:hAnsi="Arial Black"/>
          <w:caps/>
          <w:sz w:val="15"/>
          <w:szCs w:val="15"/>
          <w:lang w:val="es-419"/>
        </w:rPr>
      </w:pPr>
      <w:r w:rsidRPr="00415B3E">
        <w:rPr>
          <w:rFonts w:ascii="Arial Black" w:hAnsi="Arial Black"/>
          <w:caps/>
          <w:sz w:val="15"/>
          <w:lang w:val="es-419"/>
        </w:rPr>
        <w:t>CDIP/34/2</w:t>
      </w:r>
    </w:p>
    <w:p w14:paraId="123C40CD" w14:textId="77777777" w:rsidR="00FD5CE0" w:rsidRPr="00415B3E" w:rsidRDefault="00FD5CE0" w:rsidP="00FD5CE0">
      <w:pPr>
        <w:jc w:val="right"/>
        <w:rPr>
          <w:rFonts w:ascii="Arial Black" w:hAnsi="Arial Black"/>
          <w:caps/>
          <w:sz w:val="15"/>
          <w:szCs w:val="15"/>
          <w:lang w:val="es-419"/>
        </w:rPr>
      </w:pPr>
      <w:r w:rsidRPr="00415B3E">
        <w:rPr>
          <w:rFonts w:ascii="Arial Black" w:hAnsi="Arial Black"/>
          <w:caps/>
          <w:sz w:val="15"/>
          <w:lang w:val="es-419"/>
        </w:rPr>
        <w:t>ORIGINAL: INGLÉS</w:t>
      </w:r>
    </w:p>
    <w:p w14:paraId="2C8EC174" w14:textId="77777777" w:rsidR="00FD5CE0" w:rsidRPr="00415B3E" w:rsidRDefault="00FD5CE0" w:rsidP="00FD5CE0">
      <w:pPr>
        <w:tabs>
          <w:tab w:val="left" w:pos="1890"/>
          <w:tab w:val="right" w:pos="9355"/>
        </w:tabs>
        <w:spacing w:after="1200"/>
        <w:jc w:val="right"/>
        <w:rPr>
          <w:rFonts w:ascii="Arial Black" w:hAnsi="Arial Black"/>
          <w:caps/>
          <w:sz w:val="15"/>
          <w:szCs w:val="15"/>
          <w:lang w:val="es-419"/>
        </w:rPr>
      </w:pPr>
      <w:r w:rsidRPr="00415B3E">
        <w:rPr>
          <w:rFonts w:ascii="Arial Black" w:hAnsi="Arial Black"/>
          <w:caps/>
          <w:sz w:val="15"/>
          <w:lang w:val="es-419"/>
        </w:rPr>
        <w:t>FECHA: 5 de marzo de 2025</w:t>
      </w:r>
    </w:p>
    <w:p w14:paraId="7BA055D4" w14:textId="77777777" w:rsidR="00FD5CE0" w:rsidRPr="00415B3E" w:rsidRDefault="00FD5CE0" w:rsidP="00FD5CE0">
      <w:pPr>
        <w:pStyle w:val="Heading1"/>
        <w:spacing w:before="0" w:after="600"/>
        <w:rPr>
          <w:sz w:val="28"/>
          <w:szCs w:val="28"/>
          <w:lang w:val="es-419"/>
        </w:rPr>
      </w:pPr>
      <w:r w:rsidRPr="00415B3E">
        <w:rPr>
          <w:caps w:val="0"/>
          <w:sz w:val="28"/>
          <w:lang w:val="es-419"/>
        </w:rPr>
        <w:t>Comité de Desarrollo y Propiedad Intelectual (CDIP)</w:t>
      </w:r>
    </w:p>
    <w:p w14:paraId="5109AC49" w14:textId="77777777" w:rsidR="00FD5CE0" w:rsidRPr="00415B3E" w:rsidRDefault="00FD5CE0" w:rsidP="00FD5CE0">
      <w:pPr>
        <w:outlineLvl w:val="1"/>
        <w:rPr>
          <w:b/>
          <w:sz w:val="24"/>
          <w:lang w:val="es-419"/>
        </w:rPr>
      </w:pPr>
      <w:r w:rsidRPr="00415B3E">
        <w:rPr>
          <w:b/>
          <w:sz w:val="24"/>
          <w:lang w:val="es-419"/>
        </w:rPr>
        <w:t>Trigésima cuarta sesión</w:t>
      </w:r>
    </w:p>
    <w:p w14:paraId="7B235989" w14:textId="77777777" w:rsidR="00FD5CE0" w:rsidRPr="00415B3E" w:rsidRDefault="00FD5CE0" w:rsidP="00FD5CE0">
      <w:pPr>
        <w:spacing w:after="720"/>
        <w:outlineLvl w:val="1"/>
        <w:rPr>
          <w:b/>
          <w:bCs/>
          <w:sz w:val="24"/>
          <w:szCs w:val="24"/>
          <w:lang w:val="es-419"/>
        </w:rPr>
      </w:pPr>
      <w:r w:rsidRPr="00415B3E">
        <w:rPr>
          <w:b/>
          <w:sz w:val="24"/>
          <w:lang w:val="es-419"/>
        </w:rPr>
        <w:t>Ginebra, 5 a 9 de mayo de 2025</w:t>
      </w:r>
    </w:p>
    <w:p w14:paraId="162EE7FD" w14:textId="77777777" w:rsidR="00FD5CE0" w:rsidRPr="00415B3E" w:rsidRDefault="00FD5CE0" w:rsidP="00FD5CE0">
      <w:pPr>
        <w:spacing w:after="360"/>
        <w:outlineLvl w:val="1"/>
        <w:rPr>
          <w:caps/>
          <w:sz w:val="24"/>
          <w:szCs w:val="24"/>
          <w:lang w:val="es-419"/>
        </w:rPr>
      </w:pPr>
      <w:r w:rsidRPr="00415B3E">
        <w:rPr>
          <w:caps/>
          <w:sz w:val="24"/>
          <w:lang w:val="es-419"/>
        </w:rPr>
        <w:t>INFORME DEL DIRECTOR GENERAL SOBRE LA APLICACIÓN DE LA AGENDA PARA EL DESARROLLO</w:t>
      </w:r>
    </w:p>
    <w:p w14:paraId="20869B45" w14:textId="77777777" w:rsidR="00FD5CE0" w:rsidRPr="00415B3E" w:rsidRDefault="00FD5CE0" w:rsidP="00FD5CE0">
      <w:pPr>
        <w:spacing w:after="960"/>
        <w:rPr>
          <w:i/>
          <w:lang w:val="es-419"/>
        </w:rPr>
      </w:pPr>
      <w:r w:rsidRPr="00415B3E">
        <w:rPr>
          <w:i/>
          <w:lang w:val="es-419"/>
        </w:rPr>
        <w:t>preparado por la Secretaría</w:t>
      </w:r>
    </w:p>
    <w:p w14:paraId="66FF6F0B"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el presente documento figura el informe del director general sobre la aplicación de la Agenda de la OMPI para el Desarrollo (AD) en 2024. Se trata del decimoquinto informe anual de esta índole, que proporciona un panorama general de las actividades llevadas a cabo por la OMPI para aplicar e incorporar la Agenda para el Desarrollo (AD) en todos los programas pertinentes de la Organización.</w:t>
      </w:r>
    </w:p>
    <w:p w14:paraId="7053F60C"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Conforme a la nueva estructura adoptada en la vigesimoctava sesión del Comité de Desarrollo y Propiedad Intelectual (CDIP), el informe describe la aplicación e incorporación de la AD en cada una de las principales esferas de la labor de cada sector de la OMPI: Desarrollo Regional y Nacional; Patentes y Tecnología; Marcas y Diseños; Derecho de Autor e Industrias Creativas; Infraestructura y Plataformas; Alianzas y Desafíos Mundiales; PI y Ecosistemas de Innovación y Administración, Finanzas y Gestión. Cada parte del informe proporciona una visión general de la labor del Sector relacionada con la PI y el desarrollo y ofrece información actualizada sobre la labor de los órganos pertinentes de la OMPI, junto con una visión general de los proyectos de la AD en curso e incorporados, en el marco de esos ámbitos de trabajo.</w:t>
      </w:r>
    </w:p>
    <w:p w14:paraId="601330A1"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informe también responde a la petición del Comité de vincular las recomendaciones de la AD a los resultados previstos y presentarlos en el Anexo I del informe anual del director general sobre la aplicación de la AD, según se expone en el párrafo 8.3 del resumen de la presidencia de la vigesimosegunda sesión del Comité. En el Anexo II figura una lista de los proyectos de la AD a partir de 2024.</w:t>
      </w:r>
    </w:p>
    <w:p w14:paraId="5B3D7D82" w14:textId="77777777" w:rsidR="00FD5CE0" w:rsidRPr="00415B3E" w:rsidRDefault="00FD5CE0" w:rsidP="00FF375D">
      <w:pPr>
        <w:pStyle w:val="Heading1"/>
        <w:spacing w:before="0" w:after="240"/>
        <w:rPr>
          <w:rFonts w:asciiTheme="minorBidi" w:hAnsiTheme="minorBidi" w:cstheme="minorBidi"/>
          <w:szCs w:val="22"/>
          <w:lang w:val="es-419"/>
        </w:rPr>
      </w:pPr>
      <w:r w:rsidRPr="00415B3E">
        <w:rPr>
          <w:rFonts w:asciiTheme="minorBidi" w:hAnsiTheme="minorBidi" w:cstheme="minorBidi"/>
          <w:szCs w:val="22"/>
          <w:lang w:val="es-419"/>
        </w:rPr>
        <w:lastRenderedPageBreak/>
        <w:t>INTRODUCCIÓN</w:t>
      </w:r>
    </w:p>
    <w:p w14:paraId="6104C914"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un panorama mundial cada vez más complejo, la Agenda para el Desarrollo (AD) sigue ocupando un lugar central en la misión de la OMPI, garantizando que las cuestiones de desarrollo se integren plenamente en la labor y las actividades de la Organización. Desde su adopción, la AD ha fomentado un compromiso continuado para traducir la política en acción, facilitando un ecosistema mundial de propiedad intelectual (PI) más inclusivo y que produzca más impacto. El Plan Estratégico a Mediano Plazo (PEMP) de la OMPI para 2022-2026</w:t>
      </w:r>
      <w:r w:rsidRPr="00415B3E">
        <w:rPr>
          <w:rStyle w:val="FootnoteReference"/>
          <w:rFonts w:asciiTheme="minorBidi" w:hAnsiTheme="minorBidi"/>
          <w:sz w:val="22"/>
          <w:szCs w:val="22"/>
          <w:lang w:val="es-419"/>
        </w:rPr>
        <w:footnoteReference w:id="2"/>
      </w:r>
      <w:r w:rsidRPr="00415B3E">
        <w:rPr>
          <w:rFonts w:asciiTheme="minorBidi" w:hAnsiTheme="minorBidi"/>
          <w:sz w:val="22"/>
          <w:szCs w:val="22"/>
          <w:lang w:val="es-419"/>
        </w:rPr>
        <w:t xml:space="preserve"> refuerza aún más este compromiso profundizando la colaboración con los Estados miembros y ampliando los esfuerzos para maximizar el papel de la PI en el desarrollo sostenible, ya que sigue siendo un motor clave del progreso en todas las regiones.</w:t>
      </w:r>
    </w:p>
    <w:p w14:paraId="0FA2F0D7"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el último año, la OMPI ha hecho mayor hincapié en perfeccionar sus enfoques para potenciar la incidencia de la PI como herramienta para el desarrollo. Al reforzar la coordinación entre sus sectores, la Organización ha puesto en marcha iniciativas más receptivas y basadas en las necesidades. La interacción con los Estados miembros también se ha profundizado, centrándose en el apoyo práctico adaptado a las prioridades nacionales y regionales. Además, la OMPI ha ampliado su colaboración con las pymes, las mujeres y los jóvenes, así como con los pueblos indígenas y las comunidades locales, ayudándoles a utilizar eficazmente la PI para el crecimiento y el desarrollo.</w:t>
      </w:r>
    </w:p>
    <w:p w14:paraId="78FE2325"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Mediante su compromiso de llevar la PI al terreno, trabajando con socios y centrándose en la repercusión, la OMPI sigue demostrando que la PI no es una mera construcción jurídica, sino un poderoso catalizador del progreso económico, cultural y social en todo el mundo. En el presente documento se destacan las etapas y los efectos fundamentales de la labor de la OMPI durante el año objeto del informe, y se ilustra el modo en que la Organización ha seguido integrando la dimensión de desarrollo en su labor, contribuyendo a un ecosistema mundial de innovación más dinámico y equitativo.</w:t>
      </w:r>
    </w:p>
    <w:p w14:paraId="489747BD" w14:textId="77777777" w:rsidR="00FD5CE0" w:rsidRPr="00415B3E" w:rsidRDefault="00FD5CE0" w:rsidP="00FF375D">
      <w:pPr>
        <w:pStyle w:val="Heading1"/>
        <w:keepNext w:val="0"/>
        <w:numPr>
          <w:ilvl w:val="0"/>
          <w:numId w:val="25"/>
        </w:numPr>
        <w:spacing w:after="220"/>
        <w:ind w:left="0" w:firstLine="0"/>
        <w:rPr>
          <w:rFonts w:asciiTheme="minorBidi" w:hAnsiTheme="minorBidi" w:cstheme="minorBidi"/>
          <w:szCs w:val="22"/>
          <w:lang w:val="es-419"/>
        </w:rPr>
      </w:pPr>
      <w:r w:rsidRPr="00415B3E">
        <w:rPr>
          <w:rFonts w:asciiTheme="minorBidi" w:hAnsiTheme="minorBidi" w:cstheme="minorBidi"/>
          <w:szCs w:val="22"/>
          <w:lang w:val="es-419"/>
        </w:rPr>
        <w:t>Sector de Desarrollo Regional Y Nacional</w:t>
      </w:r>
    </w:p>
    <w:p w14:paraId="6EA7FCE4" w14:textId="77777777" w:rsidR="00FD5CE0" w:rsidRPr="00415B3E" w:rsidRDefault="00FD5CE0" w:rsidP="00FD5CE0">
      <w:pPr>
        <w:pStyle w:val="ListParagraph"/>
        <w:numPr>
          <w:ilvl w:val="0"/>
          <w:numId w:val="13"/>
        </w:numPr>
        <w:spacing w:after="22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de Desarrollo Regional y Nacional siguió dedicado a actuar como puerta de entrada de la Organización para los Estados miembros, apoyando sus esfuerzos por aprovechar el uso estratégico de la PI para el crecimiento y el desarrollo. A través de la Academia de la OMPI y las divisiones regionales y las oficinas en el exterior, el Sector ha maximizado el impacto que las iniciativas de la OMPI de desarrollo tienen sobre el terreno. Además, el Equipo de Proyectos del Sector de Desarrollo Regional y Nacional ha persistido en sus esfuerzos por poner a prueba nuevas formas de ejecutar iniciativas urgentes de cooperación estratégica relacionadas con la PI para promover el trabajo con nuevas comunidades, circunscripciones y socios, así como colaborar más estrechamente con las principales partes interesadas, como las pymes, los empresarios, las mujeres y los jóvenes. La División de Coordinación de la Agenda para el Desarrollo seguirá facilitando la aplicación de las recomendaciones de la AD y velando por que estas y los principios de la AD se integren de manera sostenible en toda la labor de la Organización relacionada con el desarrollo.</w:t>
      </w:r>
    </w:p>
    <w:p w14:paraId="3D9DB1DC" w14:textId="77777777" w:rsidR="00FD5CE0" w:rsidRPr="00415B3E" w:rsidRDefault="00FD5CE0" w:rsidP="004A1B4D">
      <w:pPr>
        <w:pStyle w:val="Heading2"/>
        <w:keepNext w:val="0"/>
        <w:rPr>
          <w:rFonts w:asciiTheme="minorBidi" w:hAnsiTheme="minorBidi" w:cstheme="minorBidi"/>
          <w:szCs w:val="22"/>
          <w:lang w:val="es-419"/>
        </w:rPr>
      </w:pPr>
      <w:r w:rsidRPr="00415B3E">
        <w:rPr>
          <w:rFonts w:asciiTheme="minorBidi" w:hAnsiTheme="minorBidi" w:cstheme="minorBidi"/>
          <w:szCs w:val="22"/>
          <w:lang w:val="es-419"/>
        </w:rPr>
        <w:t>Asistencia Técnica y Fortalecimiento de Capacidades</w:t>
      </w:r>
    </w:p>
    <w:p w14:paraId="65BD28A6"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Los esfuerzos de asistencia técnica y fortalecimiento de capacidades del Sector siguieron armonizándose con las recomendaciones de la AD. Estas iniciativas centradas en el desarrollo e impulsadas por la demanda abarcan una amplia gama de esferas de la PI y comprenden, entre otras actividades, la formación y el fortalecimiento de capacidades en PI, campañas de sensibilización, facilitación de diálogos políticos, formulación de estrategias nacionales de PI y </w:t>
      </w:r>
      <w:r w:rsidRPr="00415B3E">
        <w:rPr>
          <w:rFonts w:asciiTheme="minorBidi" w:hAnsiTheme="minorBidi"/>
          <w:sz w:val="22"/>
          <w:szCs w:val="22"/>
          <w:lang w:val="es-419"/>
        </w:rPr>
        <w:lastRenderedPageBreak/>
        <w:t>asistencia jurídica. Los ejemplos incluyen: i) la Conferencia Regional Africana de la Juventud sobre PI, titulada “</w:t>
      </w:r>
      <w:r w:rsidRPr="00415B3E">
        <w:rPr>
          <w:rFonts w:asciiTheme="minorBidi" w:hAnsiTheme="minorBidi"/>
          <w:i/>
          <w:sz w:val="22"/>
          <w:szCs w:val="22"/>
          <w:lang w:val="es-419"/>
        </w:rPr>
        <w:t>From Ideas to Impact: The Role of IP in Fostering Youth Innovation and Creativity for Sustainable Development (De las ideas al impacto: el papel de la PI en el fomento de la innovación y la creatividad de los jóvenes para el desarrollo sostenible</w:t>
      </w:r>
      <w:r w:rsidRPr="00415B3E">
        <w:rPr>
          <w:rFonts w:asciiTheme="minorBidi" w:hAnsiTheme="minorBidi"/>
          <w:sz w:val="22"/>
          <w:szCs w:val="22"/>
          <w:lang w:val="es-419"/>
        </w:rPr>
        <w:t>;</w:t>
      </w:r>
      <w:r w:rsidRPr="00415B3E">
        <w:rPr>
          <w:rStyle w:val="FootnoteReference"/>
          <w:rFonts w:asciiTheme="minorBidi" w:hAnsiTheme="minorBidi"/>
          <w:iCs/>
          <w:sz w:val="22"/>
          <w:szCs w:val="22"/>
          <w:lang w:val="es-419"/>
        </w:rPr>
        <w:footnoteReference w:id="3"/>
      </w:r>
      <w:r w:rsidRPr="00415B3E">
        <w:rPr>
          <w:rFonts w:asciiTheme="minorBidi" w:hAnsiTheme="minorBidi"/>
          <w:i/>
          <w:sz w:val="22"/>
          <w:szCs w:val="22"/>
          <w:lang w:val="es-419"/>
        </w:rPr>
        <w:t xml:space="preserve"> </w:t>
      </w:r>
      <w:r w:rsidRPr="00415B3E">
        <w:rPr>
          <w:rFonts w:asciiTheme="minorBidi" w:hAnsiTheme="minorBidi"/>
          <w:sz w:val="22"/>
          <w:szCs w:val="22"/>
          <w:lang w:val="es-419"/>
        </w:rPr>
        <w:t>ii) la Reunión Regional Árabe sobre PI e Inteligencia Artificial (IA);</w:t>
      </w:r>
      <w:r w:rsidRPr="00415B3E">
        <w:rPr>
          <w:rStyle w:val="FootnoteReference"/>
          <w:rFonts w:asciiTheme="minorBidi" w:hAnsiTheme="minorBidi"/>
          <w:iCs/>
          <w:sz w:val="22"/>
          <w:szCs w:val="22"/>
          <w:lang w:val="es-419"/>
        </w:rPr>
        <w:footnoteReference w:id="4"/>
      </w:r>
      <w:r w:rsidRPr="00415B3E">
        <w:rPr>
          <w:rFonts w:asciiTheme="minorBidi" w:hAnsiTheme="minorBidi"/>
          <w:sz w:val="22"/>
          <w:szCs w:val="22"/>
          <w:lang w:val="es-419"/>
        </w:rPr>
        <w:t xml:space="preserve"> iii) </w:t>
      </w:r>
      <w:r w:rsidRPr="00415B3E">
        <w:rPr>
          <w:rFonts w:asciiTheme="minorBidi" w:hAnsiTheme="minorBidi"/>
          <w:i/>
          <w:iCs/>
          <w:sz w:val="22"/>
          <w:szCs w:val="22"/>
          <w:lang w:val="es-419"/>
        </w:rPr>
        <w:t>Mentorship for Empowering Women Creators and Creative Entrepreneurs in the Music Sector</w:t>
      </w:r>
      <w:r w:rsidRPr="00415B3E">
        <w:rPr>
          <w:rFonts w:asciiTheme="minorBidi" w:hAnsiTheme="minorBidi"/>
          <w:sz w:val="22"/>
          <w:szCs w:val="22"/>
          <w:lang w:val="es-419"/>
        </w:rPr>
        <w:t xml:space="preserve"> (Mentoría para el empoderamiento de las mujeres creadoras y empresarias creativas en el sector de la música);</w:t>
      </w:r>
      <w:r w:rsidRPr="00415B3E">
        <w:rPr>
          <w:rStyle w:val="FootnoteReference"/>
          <w:rFonts w:asciiTheme="minorBidi" w:hAnsiTheme="minorBidi"/>
          <w:sz w:val="22"/>
          <w:szCs w:val="22"/>
          <w:lang w:val="es-419"/>
        </w:rPr>
        <w:footnoteReference w:id="5"/>
      </w:r>
      <w:r w:rsidRPr="00415B3E">
        <w:rPr>
          <w:rFonts w:asciiTheme="minorBidi" w:hAnsiTheme="minorBidi"/>
          <w:i/>
          <w:sz w:val="22"/>
          <w:szCs w:val="22"/>
          <w:lang w:val="es-419"/>
        </w:rPr>
        <w:t xml:space="preserve"> </w:t>
      </w:r>
      <w:r w:rsidRPr="00415B3E">
        <w:rPr>
          <w:rFonts w:asciiTheme="minorBidi" w:hAnsiTheme="minorBidi"/>
          <w:sz w:val="22"/>
          <w:szCs w:val="22"/>
          <w:lang w:val="es-419"/>
        </w:rPr>
        <w:t>iv) un curso en línea sobre perspectivas de género en la gestión y las funciones de las oficinas de PI en América Latina;</w:t>
      </w:r>
      <w:r w:rsidRPr="00415B3E">
        <w:rPr>
          <w:rStyle w:val="FootnoteReference"/>
          <w:rFonts w:asciiTheme="minorBidi" w:hAnsiTheme="minorBidi"/>
          <w:i/>
          <w:iCs/>
          <w:sz w:val="22"/>
          <w:szCs w:val="22"/>
          <w:lang w:val="es-419"/>
        </w:rPr>
        <w:footnoteReference w:id="6"/>
      </w:r>
      <w:r w:rsidRPr="00415B3E">
        <w:rPr>
          <w:rFonts w:asciiTheme="minorBidi" w:hAnsiTheme="minorBidi"/>
          <w:sz w:val="22"/>
          <w:szCs w:val="22"/>
          <w:lang w:val="es-419"/>
        </w:rPr>
        <w:t xml:space="preserve"> y v) un taller regional para determinadas oficinas de los miembros del Sistema de Madrid de Europa Oriental y regiones circundantes centrado en la transición al intercambio de datos en lenguaje extensible de marcado (XML) y la aplicación de la interfaz de programación de aplicaciones (API).</w:t>
      </w:r>
      <w:r w:rsidRPr="00415B3E">
        <w:rPr>
          <w:rStyle w:val="FootnoteReference"/>
          <w:rFonts w:asciiTheme="minorBidi" w:hAnsiTheme="minorBidi"/>
          <w:sz w:val="22"/>
          <w:szCs w:val="22"/>
          <w:lang w:val="es-419"/>
        </w:rPr>
        <w:footnoteReference w:id="7"/>
      </w:r>
    </w:p>
    <w:p w14:paraId="24CD5F71"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bookmarkStart w:id="21" w:name="_Hlk157592735"/>
      <w:r w:rsidRPr="00415B3E">
        <w:rPr>
          <w:rFonts w:asciiTheme="minorBidi" w:hAnsiTheme="minorBidi"/>
          <w:sz w:val="22"/>
          <w:szCs w:val="22"/>
          <w:lang w:val="es-419"/>
        </w:rPr>
        <w:t>Como parte del Programa de Trabajo y Presupuesto 2024/25 de la OMPI, los Estados miembros aprobaron el nuevo Fondo de Reconstrucción para garantizar la continuidad sin fisuras de los proyectos y actividades puestos en marcha en el marco del paquete de medidas de la Organización en respuesta a la COVID-19. En 2024, el Fondo de Reconstrucción siguió ejecutando proyectos y actividades cuyo objetivo es producir impacto y que aprovechan la PI como catalizador del desarrollo socioeconómico y empoderan a las partes interesadas. Entre ellos se incluye un proyecto en Rumania sobre Apoyo a la recuperación de la pandemia de COVID-19 mediante la promoción de los conocimientos tradicionales (CC.TT.) y las expresiones culturales tradicionales (ECT), cuyo objetivo es reforzar la capacidad y las aptitudes de determinadas comunidades locales para proteger y promover sus CC.TT. y ECT a través de la PI.</w:t>
      </w:r>
    </w:p>
    <w:bookmarkEnd w:id="21"/>
    <w:p w14:paraId="75D3448B"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Como contribución de la Organización al Programa de Acción de Doha para 2022-2031,</w:t>
      </w:r>
      <w:r w:rsidRPr="00415B3E">
        <w:rPr>
          <w:rStyle w:val="FootnoteReference"/>
          <w:rFonts w:asciiTheme="minorBidi" w:hAnsiTheme="minorBidi"/>
          <w:sz w:val="22"/>
          <w:szCs w:val="22"/>
          <w:lang w:val="es-419"/>
        </w:rPr>
        <w:footnoteReference w:id="8"/>
      </w:r>
      <w:r w:rsidRPr="00415B3E">
        <w:rPr>
          <w:rFonts w:asciiTheme="minorBidi" w:hAnsiTheme="minorBidi"/>
          <w:sz w:val="22"/>
          <w:szCs w:val="22"/>
          <w:lang w:val="es-419"/>
        </w:rPr>
        <w:t xml:space="preserve"> el Sector ha seguido colaborando estrechamente con los países menos adelantados (PMA) para prestarles asistencia específica en materia de PI con miras a su preparación para la graduación a través del "Paquete de la OMPI de Apoyo a la Graduación de los PMA".</w:t>
      </w:r>
      <w:r w:rsidRPr="00415B3E">
        <w:rPr>
          <w:rStyle w:val="FootnoteReference"/>
          <w:rFonts w:asciiTheme="minorBidi" w:hAnsiTheme="minorBidi"/>
          <w:sz w:val="22"/>
          <w:szCs w:val="22"/>
          <w:lang w:val="es-419"/>
        </w:rPr>
        <w:footnoteReference w:id="9"/>
      </w:r>
      <w:r w:rsidRPr="00415B3E">
        <w:rPr>
          <w:rFonts w:asciiTheme="minorBidi" w:hAnsiTheme="minorBidi"/>
          <w:sz w:val="22"/>
          <w:szCs w:val="22"/>
          <w:lang w:val="es-419"/>
        </w:rPr>
        <w:t xml:space="preserve"> En 2024, la OMPI prestó apoyo a la graduación de Angola y avanzó en la aplicación de paquetes de apoyo específicos para la República Democrática Popular Lao y Santo Tomé y Príncipe. La asistencia técnica para la graduación de los PMA abarca áreas relacionadas con la PI, como un mayor apoyo al desarrollo de ecosistemas nacionales de PI e innovación, la modernización de las oficinas nacionales de PI, la formación especializada para diversas partes interesadas, la asistencia al fortalecimiento de capacidades tecnológicas, así como una serie de actividades de asistencia técnica sobre la utilización de la PI para la competitividad empresarial y la diversificación económica. También se están celebrando consultas con otros PMA que se están graduando.</w:t>
      </w:r>
    </w:p>
    <w:p w14:paraId="44F9882D"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lastRenderedPageBreak/>
        <w:t>Desarrollo de habilidades y conocimientos</w:t>
      </w:r>
    </w:p>
    <w:p w14:paraId="33E9ED9B"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La cantidad de personas que se beneficiaron con el Programa de Enseñanza a Distancia de la Academia de la OMPI alcanzó las 121 463 en 2024, con un total de 659 cursos en hasta 21 idiomas</w:t>
      </w:r>
      <w:r w:rsidRPr="00415B3E">
        <w:rPr>
          <w:rStyle w:val="FootnoteReference"/>
          <w:rFonts w:asciiTheme="minorBidi" w:hAnsiTheme="minorBidi"/>
          <w:iCs/>
          <w:sz w:val="22"/>
          <w:szCs w:val="22"/>
          <w:lang w:val="es-419"/>
        </w:rPr>
        <w:footnoteReference w:id="10"/>
      </w:r>
      <w:r w:rsidRPr="00415B3E">
        <w:rPr>
          <w:rFonts w:asciiTheme="minorBidi" w:hAnsiTheme="minorBidi"/>
          <w:sz w:val="22"/>
          <w:szCs w:val="22"/>
          <w:lang w:val="es-419"/>
        </w:rPr>
        <w:t xml:space="preserve"> impartidos por 264 tutores. La oferta de cursos de enseñanza a distancia se amplió para incluir una capacitación más práctica y orientada al desarrollo de competencias para partes interesadas y usuarios del sistema de PI altamente especializados. </w:t>
      </w:r>
      <w:r w:rsidRPr="00415B3E">
        <w:rPr>
          <w:rFonts w:asciiTheme="minorBidi" w:hAnsiTheme="minorBidi"/>
          <w:sz w:val="22"/>
          <w:szCs w:val="22"/>
          <w:shd w:val="clear" w:color="auto" w:fill="FFFFFF"/>
          <w:lang w:val="es-419"/>
        </w:rPr>
        <w:t xml:space="preserve">La segunda edición del </w:t>
      </w:r>
      <w:r w:rsidRPr="00415B3E">
        <w:rPr>
          <w:rFonts w:asciiTheme="minorBidi" w:hAnsiTheme="minorBidi"/>
          <w:i/>
          <w:sz w:val="22"/>
          <w:szCs w:val="22"/>
          <w:lang w:val="es-419"/>
        </w:rPr>
        <w:t>Curso de liderazgo sobre la PI</w:t>
      </w:r>
      <w:r w:rsidRPr="00415B3E">
        <w:rPr>
          <w:rFonts w:asciiTheme="minorBidi" w:hAnsiTheme="minorBidi"/>
          <w:sz w:val="22"/>
          <w:szCs w:val="22"/>
          <w:lang w:val="es-419"/>
        </w:rPr>
        <w:t xml:space="preserve">, </w:t>
      </w:r>
      <w:r w:rsidRPr="00415B3E">
        <w:rPr>
          <w:rFonts w:asciiTheme="minorBidi" w:hAnsiTheme="minorBidi"/>
          <w:i/>
          <w:sz w:val="22"/>
          <w:szCs w:val="22"/>
          <w:lang w:val="es-419"/>
        </w:rPr>
        <w:t>la ciencia y la innovación</w:t>
      </w:r>
      <w:r w:rsidRPr="00415B3E">
        <w:rPr>
          <w:rFonts w:asciiTheme="minorBidi" w:hAnsiTheme="minorBidi"/>
          <w:sz w:val="22"/>
          <w:szCs w:val="22"/>
          <w:lang w:val="es-419"/>
        </w:rPr>
        <w:t xml:space="preserve"> </w:t>
      </w:r>
      <w:r w:rsidRPr="00415B3E">
        <w:rPr>
          <w:rFonts w:asciiTheme="minorBidi" w:hAnsiTheme="minorBidi"/>
          <w:i/>
          <w:sz w:val="22"/>
          <w:szCs w:val="22"/>
          <w:lang w:val="es-419"/>
        </w:rPr>
        <w:t>para científicas e innovadoras</w:t>
      </w:r>
      <w:r w:rsidRPr="00415B3E">
        <w:rPr>
          <w:rFonts w:asciiTheme="minorBidi" w:hAnsiTheme="minorBidi"/>
          <w:sz w:val="22"/>
          <w:szCs w:val="22"/>
          <w:lang w:val="es-419"/>
        </w:rPr>
        <w:t xml:space="preserve"> se organizó </w:t>
      </w:r>
      <w:r w:rsidRPr="00415B3E">
        <w:rPr>
          <w:rFonts w:asciiTheme="minorBidi" w:hAnsiTheme="minorBidi"/>
          <w:sz w:val="22"/>
          <w:szCs w:val="22"/>
          <w:shd w:val="clear" w:color="auto" w:fill="FFFFFF"/>
          <w:lang w:val="es-419"/>
        </w:rPr>
        <w:t xml:space="preserve">en colaboración con la Oficina Surcoreana de Propiedad Intelectual y el programa L’Oréal-UNESCO La Mujer y la Ciencia, ofreciendo a científicas de éxito oportunidades de formación en PI combinada, en línea y fuera de línea. Las </w:t>
      </w:r>
      <w:r w:rsidRPr="00415B3E">
        <w:rPr>
          <w:rFonts w:asciiTheme="minorBidi" w:hAnsiTheme="minorBidi"/>
          <w:i/>
          <w:sz w:val="22"/>
          <w:szCs w:val="22"/>
          <w:lang w:val="es-419"/>
        </w:rPr>
        <w:t xml:space="preserve">Sesiones magistrales para empresarias digitales de Asia del Sur, </w:t>
      </w:r>
      <w:r w:rsidRPr="00415B3E">
        <w:rPr>
          <w:rFonts w:asciiTheme="minorBidi" w:hAnsiTheme="minorBidi"/>
          <w:sz w:val="22"/>
          <w:szCs w:val="22"/>
          <w:lang w:val="es-419"/>
        </w:rPr>
        <w:t>impartidas en colaboración con la Conferencia de las Naciones Unidas sobre Comercio y Desarrollo (UNCTAD), se centraron en cómo pueden utilizar los empresarios la PI para crear una ventaja competitiva. La Academia respondió a la demanda continua de que se adapten para destinatarios nacionales sus herramientas de aprendizaje de nivel básico y orientadas a los jóvenes, basándose en acuerdos sobre adaptación, nuevos y existentes, con las Oficinas de PI de 16 Estados miembros.</w:t>
      </w:r>
      <w:r w:rsidRPr="00415B3E">
        <w:rPr>
          <w:rStyle w:val="FootnoteReference"/>
          <w:rFonts w:asciiTheme="minorBidi" w:hAnsiTheme="minorBidi"/>
          <w:iCs/>
          <w:sz w:val="22"/>
          <w:szCs w:val="22"/>
          <w:lang w:val="es-419"/>
        </w:rPr>
        <w:footnoteReference w:id="11"/>
      </w:r>
      <w:r w:rsidRPr="00415B3E">
        <w:rPr>
          <w:rFonts w:asciiTheme="minorBidi" w:hAnsiTheme="minorBidi"/>
          <w:sz w:val="22"/>
          <w:szCs w:val="22"/>
          <w:lang w:val="es-419"/>
        </w:rPr>
        <w:t xml:space="preserve"> Además, las ediciones tercera y cuarta del </w:t>
      </w:r>
      <w:r w:rsidRPr="00415B3E">
        <w:rPr>
          <w:rFonts w:asciiTheme="minorBidi" w:hAnsiTheme="minorBidi"/>
          <w:i/>
          <w:sz w:val="22"/>
          <w:szCs w:val="22"/>
          <w:lang w:val="es-419"/>
        </w:rPr>
        <w:t>Curso OMPI-Harvard sobre Derecho de Patentes y Salud Pública Mundial</w:t>
      </w:r>
      <w:r w:rsidRPr="00415B3E">
        <w:rPr>
          <w:rFonts w:asciiTheme="minorBidi" w:hAnsiTheme="minorBidi"/>
          <w:sz w:val="22"/>
          <w:szCs w:val="22"/>
          <w:lang w:val="es-419"/>
        </w:rPr>
        <w:t xml:space="preserve"> (curso PatentX) se impartieron gratuitamente a más de 1 000 estudiantes de todo el mundo.</w:t>
      </w:r>
    </w:p>
    <w:p w14:paraId="304D232F" w14:textId="77777777" w:rsidR="00FD5CE0" w:rsidRPr="00415B3E" w:rsidRDefault="00FD5CE0" w:rsidP="00FD5CE0">
      <w:pPr>
        <w:pStyle w:val="ListParagraph"/>
        <w:numPr>
          <w:ilvl w:val="0"/>
          <w:numId w:val="13"/>
        </w:numPr>
        <w:spacing w:after="36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Además, la Academia de la OMPI continuó prestando apoyo a universidades en distintas regiones para mejorar la educación superior en materia de PI para los jóvenes, las empresarias y las pymes mediante la elaboración de planes de estudios y el suministro de recursos académicos en materia de PI, expertos de la OMPI y profesores internacionales. Los programas conjuntos de maestría de la Academia de la OMPI representaron otro aspecto clave de la labor de la Academia, orientados particularmente a los participantes de países en desarrollo, PMA y países con economías en transición. En 2024, se ofrecieron 14 programas conjuntos de maestría de la Academia de la OMPI, incluidos tres programas recién puestos en marcha,</w:t>
      </w:r>
      <w:r w:rsidRPr="00415B3E">
        <w:rPr>
          <w:rStyle w:val="FootnoteReference"/>
          <w:rFonts w:asciiTheme="minorBidi" w:hAnsiTheme="minorBidi"/>
          <w:sz w:val="22"/>
          <w:szCs w:val="22"/>
          <w:lang w:val="es-419"/>
        </w:rPr>
        <w:footnoteReference w:id="12"/>
      </w:r>
      <w:r w:rsidRPr="00415B3E">
        <w:rPr>
          <w:rFonts w:asciiTheme="minorBidi" w:hAnsiTheme="minorBidi"/>
          <w:sz w:val="22"/>
          <w:szCs w:val="22"/>
          <w:lang w:val="es-419"/>
        </w:rPr>
        <w:t xml:space="preserve"> a 292 participantes en universidades asociadas. Se organizaron 23 cursos de verano de la Academia de la OMPI sobre Derecho de la PI en 17 países para 1 956 participantes. Además, se celebró en Sudáfrica, en colaboración con la Universidad de Ciudad del Cabo, la segunda edición del Coloquio de la OMPI y la Organización Mundial del Comercio (OMC)</w:t>
      </w:r>
      <w:r w:rsidRPr="00415B3E">
        <w:rPr>
          <w:rStyle w:val="FootnoteReference"/>
          <w:rFonts w:asciiTheme="minorBidi" w:hAnsiTheme="minorBidi"/>
          <w:sz w:val="22"/>
          <w:szCs w:val="22"/>
          <w:lang w:val="es-419"/>
        </w:rPr>
        <w:footnoteReference w:id="13"/>
      </w:r>
      <w:r w:rsidRPr="00415B3E">
        <w:rPr>
          <w:rFonts w:asciiTheme="minorBidi" w:hAnsiTheme="minorBidi"/>
          <w:sz w:val="22"/>
          <w:szCs w:val="22"/>
          <w:lang w:val="es-419"/>
        </w:rPr>
        <w:t>, que ofreció respaldo a más de 73 especialistas en PI de 21 países de todo el mundo. Cabe mencionar que, durante el período examinado, 158 mujeres participantes completaron programas conjuntos de maestría, y 177 mujeres participaron en Cursos de Formación Avanzada y programas para directivos.</w:t>
      </w:r>
    </w:p>
    <w:p w14:paraId="1A4B8DAE" w14:textId="77777777" w:rsidR="00FD5CE0" w:rsidRPr="00415B3E" w:rsidRDefault="00FD5CE0" w:rsidP="004A1B4D">
      <w:pPr>
        <w:pStyle w:val="Heading2"/>
        <w:rPr>
          <w:rFonts w:asciiTheme="minorBidi" w:hAnsiTheme="minorBidi" w:cstheme="minorBidi"/>
          <w:szCs w:val="22"/>
          <w:lang w:val="es-419"/>
        </w:rPr>
      </w:pPr>
      <w:bookmarkStart w:id="23" w:name="_Hlk188892166"/>
      <w:r w:rsidRPr="00415B3E">
        <w:rPr>
          <w:rFonts w:asciiTheme="minorBidi" w:hAnsiTheme="minorBidi" w:cstheme="minorBidi"/>
          <w:szCs w:val="22"/>
          <w:lang w:val="es-419"/>
        </w:rPr>
        <w:t>La PI y el desarrollo</w:t>
      </w:r>
    </w:p>
    <w:p w14:paraId="5F870A40"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En el marco del punto del orden del día sobre </w:t>
      </w:r>
      <w:r w:rsidRPr="00415B3E">
        <w:rPr>
          <w:rFonts w:asciiTheme="minorBidi" w:hAnsiTheme="minorBidi"/>
          <w:i/>
          <w:sz w:val="22"/>
          <w:szCs w:val="22"/>
          <w:lang w:val="es-419"/>
        </w:rPr>
        <w:t>La PI y el desarrollo</w:t>
      </w:r>
      <w:r w:rsidRPr="00415B3E">
        <w:rPr>
          <w:rFonts w:asciiTheme="minorBidi" w:hAnsiTheme="minorBidi"/>
          <w:sz w:val="22"/>
          <w:szCs w:val="22"/>
          <w:lang w:val="es-419"/>
        </w:rPr>
        <w:t>, el CDIP siguió debatiendo los temas propuestos y acordados por los Estados miembros.</w:t>
      </w:r>
      <w:r w:rsidRPr="00415B3E">
        <w:rPr>
          <w:rStyle w:val="FootnoteReference"/>
          <w:rFonts w:asciiTheme="minorBidi" w:hAnsiTheme="minorBidi"/>
          <w:sz w:val="22"/>
          <w:szCs w:val="22"/>
          <w:lang w:val="es-419"/>
        </w:rPr>
        <w:footnoteReference w:id="14"/>
      </w:r>
      <w:r w:rsidRPr="00415B3E">
        <w:rPr>
          <w:rFonts w:asciiTheme="minorBidi" w:hAnsiTheme="minorBidi"/>
          <w:sz w:val="22"/>
          <w:szCs w:val="22"/>
          <w:lang w:val="es-419"/>
        </w:rPr>
        <w:t xml:space="preserve"> Este punto del orden del día sirve como plataforma para debatir de forma integral el tema seleccionado, </w:t>
      </w:r>
      <w:r w:rsidRPr="00415B3E">
        <w:rPr>
          <w:rFonts w:asciiTheme="minorBidi" w:hAnsiTheme="minorBidi"/>
          <w:sz w:val="22"/>
          <w:szCs w:val="22"/>
          <w:lang w:val="es-419"/>
        </w:rPr>
        <w:lastRenderedPageBreak/>
        <w:t xml:space="preserve">incluyendo la labor actual de la OMPI y la orientación futura en esa área. También brinda a los Estados miembros la oportunidad de compartir experiencias y sus expectativas sobre la labor y la asistencia técnica de la Organización en diversos ámbitos de la PI. Durante su trigésima segunda sesión, celebrada del 29 de abril al 3 de mayo de 2024, el Comité debatió el tema </w:t>
      </w:r>
      <w:r w:rsidRPr="00415B3E">
        <w:rPr>
          <w:rFonts w:asciiTheme="minorBidi" w:hAnsiTheme="minorBidi"/>
          <w:i/>
          <w:sz w:val="22"/>
          <w:szCs w:val="22"/>
          <w:lang w:val="es-419"/>
        </w:rPr>
        <w:t xml:space="preserve">Fortalecer las capacidades de las universidades para gestionar y comercializar la PI: transferencia de PI y tecnología. </w:t>
      </w:r>
      <w:r w:rsidRPr="00415B3E">
        <w:rPr>
          <w:rFonts w:asciiTheme="minorBidi" w:hAnsiTheme="minorBidi"/>
          <w:sz w:val="22"/>
          <w:szCs w:val="22"/>
          <w:lang w:val="es-419"/>
        </w:rPr>
        <w:t>El Comité escuchó la presentación de la Secretaría,</w:t>
      </w:r>
      <w:r w:rsidRPr="00415B3E">
        <w:rPr>
          <w:rStyle w:val="FootnoteReference"/>
          <w:rFonts w:asciiTheme="minorBidi" w:hAnsiTheme="minorBidi"/>
          <w:sz w:val="22"/>
          <w:szCs w:val="22"/>
          <w:lang w:val="es-419"/>
        </w:rPr>
        <w:footnoteReference w:id="15"/>
      </w:r>
      <w:r w:rsidRPr="00415B3E">
        <w:rPr>
          <w:rFonts w:asciiTheme="minorBidi" w:hAnsiTheme="minorBidi"/>
          <w:sz w:val="22"/>
          <w:szCs w:val="22"/>
          <w:lang w:val="es-419"/>
        </w:rPr>
        <w:t xml:space="preserve"> tras la cual los Estados miembros destacaron la importancia de las universidades y las instituciones públicas de investigación en la formación de un capital humano culto y cualificado. Compartieron información sobre sus programas, proyectos e iniciativas nacionales centrados en el apoyo a las universidades e instituciones públicas de investigación para gestionar y comercializar sus activos de PI. </w:t>
      </w:r>
      <w:bookmarkStart w:id="24" w:name="_Hlk189748121"/>
      <w:r w:rsidRPr="00415B3E">
        <w:rPr>
          <w:rFonts w:asciiTheme="minorBidi" w:hAnsiTheme="minorBidi"/>
          <w:sz w:val="22"/>
          <w:szCs w:val="22"/>
          <w:lang w:val="es-419"/>
        </w:rPr>
        <w:t>El Comité también volvió a tratar el tema “Las mujeres y la PI”</w:t>
      </w:r>
      <w:r w:rsidRPr="00415B3E">
        <w:rPr>
          <w:rStyle w:val="FootnoteReference"/>
          <w:rFonts w:asciiTheme="minorBidi" w:hAnsiTheme="minorBidi"/>
          <w:sz w:val="22"/>
          <w:szCs w:val="22"/>
          <w:lang w:val="es-419"/>
        </w:rPr>
        <w:footnoteReference w:id="16"/>
      </w:r>
      <w:r w:rsidRPr="00415B3E">
        <w:rPr>
          <w:rFonts w:asciiTheme="minorBidi" w:hAnsiTheme="minorBidi"/>
          <w:sz w:val="22"/>
          <w:szCs w:val="22"/>
          <w:lang w:val="es-419"/>
        </w:rPr>
        <w:t xml:space="preserve"> y tuvo en cuenta el informe sobre las mujeres y la PI:</w:t>
      </w:r>
      <w:r w:rsidRPr="00415B3E">
        <w:rPr>
          <w:rFonts w:asciiTheme="minorBidi" w:hAnsiTheme="minorBidi"/>
          <w:i/>
          <w:sz w:val="22"/>
          <w:szCs w:val="22"/>
          <w:lang w:val="es-419"/>
        </w:rPr>
        <w:t xml:space="preserve"> actividades internas</w:t>
      </w:r>
      <w:r w:rsidRPr="00415B3E">
        <w:rPr>
          <w:rFonts w:asciiTheme="minorBidi" w:hAnsiTheme="minorBidi"/>
          <w:sz w:val="22"/>
          <w:szCs w:val="22"/>
          <w:lang w:val="es-419"/>
        </w:rPr>
        <w:t xml:space="preserve"> y </w:t>
      </w:r>
      <w:r w:rsidRPr="00415B3E">
        <w:rPr>
          <w:rFonts w:asciiTheme="minorBidi" w:hAnsiTheme="minorBidi"/>
          <w:i/>
          <w:sz w:val="22"/>
          <w:szCs w:val="22"/>
          <w:lang w:val="es-419"/>
        </w:rPr>
        <w:t>externas, dirección estratégica.</w:t>
      </w:r>
      <w:r w:rsidRPr="00415B3E">
        <w:rPr>
          <w:rStyle w:val="FootnoteReference"/>
          <w:rFonts w:asciiTheme="minorBidi" w:hAnsiTheme="minorBidi"/>
          <w:sz w:val="22"/>
          <w:szCs w:val="22"/>
          <w:lang w:val="es-419"/>
        </w:rPr>
        <w:footnoteReference w:id="17"/>
      </w:r>
      <w:r w:rsidRPr="00415B3E">
        <w:rPr>
          <w:rFonts w:asciiTheme="minorBidi" w:hAnsiTheme="minorBidi"/>
          <w:i/>
          <w:sz w:val="22"/>
          <w:szCs w:val="22"/>
          <w:lang w:val="es-419"/>
        </w:rPr>
        <w:t xml:space="preserve"> </w:t>
      </w:r>
      <w:r w:rsidRPr="00415B3E">
        <w:rPr>
          <w:rFonts w:asciiTheme="minorBidi" w:hAnsiTheme="minorBidi"/>
          <w:sz w:val="22"/>
          <w:szCs w:val="22"/>
          <w:lang w:val="es-419"/>
        </w:rPr>
        <w:t>A este respecto, los Estados miembros intercambiaron sus iniciativas nacionales para promover la diversidad y fomentar la participación de la mujer en el ecosistema de la PI e instaron a la Secretaría a seguir llevando a cabo actividades en este ámbito organizando, entre otras cosas, sesiones de intercambio sobre la mujer y la PI.</w:t>
      </w:r>
    </w:p>
    <w:bookmarkEnd w:id="24"/>
    <w:p w14:paraId="5AA12260"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En su trigésima tercera sesión, celebrada del 9 al 13 de diciembre de 2024, el Comité debatió el tema </w:t>
      </w:r>
      <w:r w:rsidRPr="00415B3E">
        <w:rPr>
          <w:rFonts w:asciiTheme="minorBidi" w:hAnsiTheme="minorBidi"/>
          <w:i/>
          <w:sz w:val="22"/>
          <w:szCs w:val="22"/>
          <w:lang w:val="es-419"/>
        </w:rPr>
        <w:t>Repercusiones de la IA para la PI y el desarrollo</w:t>
      </w:r>
      <w:r w:rsidRPr="00415B3E">
        <w:rPr>
          <w:rFonts w:asciiTheme="minorBidi" w:hAnsiTheme="minorBidi"/>
          <w:sz w:val="22"/>
          <w:szCs w:val="22"/>
          <w:lang w:val="es-419"/>
        </w:rPr>
        <w:t>. Tras la presentación de la Secretaría,</w:t>
      </w:r>
      <w:r w:rsidRPr="00415B3E">
        <w:rPr>
          <w:rStyle w:val="FootnoteReference"/>
          <w:rFonts w:asciiTheme="minorBidi" w:hAnsiTheme="minorBidi"/>
          <w:sz w:val="22"/>
          <w:szCs w:val="22"/>
          <w:lang w:val="es-419"/>
        </w:rPr>
        <w:footnoteReference w:id="18"/>
      </w:r>
      <w:r w:rsidRPr="00415B3E">
        <w:rPr>
          <w:rFonts w:asciiTheme="minorBidi" w:hAnsiTheme="minorBidi"/>
          <w:sz w:val="22"/>
          <w:szCs w:val="22"/>
          <w:lang w:val="es-419"/>
        </w:rPr>
        <w:t xml:space="preserve"> algunos Estados miembros destacaron el papel de la PI en el desarrollo de soluciones impulsadas por la IA a los retos sociales para acelerar el progreso hacia el desarrollo sostenible, promover la innovación y fortalecer los ecosistemas locales de IA para apoyar la dignidad humana, la igualdad y la justicia. Además, el Comité acordó debatir el tema </w:t>
      </w:r>
      <w:r w:rsidRPr="00415B3E">
        <w:rPr>
          <w:rFonts w:asciiTheme="minorBidi" w:hAnsiTheme="minorBidi"/>
          <w:i/>
          <w:sz w:val="22"/>
          <w:szCs w:val="22"/>
          <w:lang w:val="es-419"/>
        </w:rPr>
        <w:t xml:space="preserve">La PI y el poder judicial: creación de capacidades y conocimientos especializados </w:t>
      </w:r>
      <w:r w:rsidRPr="00415B3E">
        <w:rPr>
          <w:rFonts w:asciiTheme="minorBidi" w:hAnsiTheme="minorBidi"/>
          <w:sz w:val="22"/>
          <w:szCs w:val="22"/>
          <w:lang w:val="es-419"/>
        </w:rPr>
        <w:t xml:space="preserve">en el marco del punto del orden del día sobre </w:t>
      </w:r>
      <w:r w:rsidRPr="00415B3E">
        <w:rPr>
          <w:rFonts w:asciiTheme="minorBidi" w:hAnsiTheme="minorBidi"/>
          <w:i/>
          <w:sz w:val="22"/>
          <w:szCs w:val="22"/>
          <w:lang w:val="es-419"/>
        </w:rPr>
        <w:t>la PI y el desarrollo</w:t>
      </w:r>
      <w:r w:rsidRPr="00415B3E">
        <w:rPr>
          <w:rFonts w:asciiTheme="minorBidi" w:hAnsiTheme="minorBidi"/>
          <w:sz w:val="22"/>
          <w:szCs w:val="22"/>
          <w:lang w:val="es-419"/>
        </w:rPr>
        <w:t xml:space="preserve"> en su trigésima cuarta sesión.</w:t>
      </w:r>
    </w:p>
    <w:p w14:paraId="72B090A4" w14:textId="77777777" w:rsidR="00FD5CE0" w:rsidRPr="00415B3E" w:rsidRDefault="00FD5CE0" w:rsidP="00FD5CE0">
      <w:pPr>
        <w:pStyle w:val="ListParagraph"/>
        <w:numPr>
          <w:ilvl w:val="0"/>
          <w:numId w:val="13"/>
        </w:numPr>
        <w:spacing w:after="36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 Según lo acordado por el Comité en su vigesimonovena sesión, y sobre la base de una propuesta del Grupo Africano</w:t>
      </w:r>
      <w:r w:rsidRPr="00415B3E">
        <w:rPr>
          <w:rStyle w:val="FootnoteReference"/>
          <w:rFonts w:asciiTheme="minorBidi" w:hAnsiTheme="minorBidi"/>
          <w:sz w:val="22"/>
          <w:szCs w:val="22"/>
          <w:lang w:val="es-419"/>
        </w:rPr>
        <w:t xml:space="preserve"> </w:t>
      </w:r>
      <w:r w:rsidRPr="00415B3E">
        <w:rPr>
          <w:rFonts w:asciiTheme="minorBidi" w:hAnsiTheme="minorBidi"/>
          <w:sz w:val="22"/>
          <w:szCs w:val="22"/>
          <w:lang w:val="es-419"/>
        </w:rPr>
        <w:t>de organizar tres Conferencias Internacionales bienales sobre PI y Desarrollo adicionales, en 2024 la Secretaría inició los preparativos para celebrar la próxima Conferencia Internacional sobre PI y Desarrollo durante la presente sesión del CDIP. El subtema de esta Conferencia, decidido por los Estados miembros,</w:t>
      </w:r>
      <w:r w:rsidRPr="00415B3E">
        <w:rPr>
          <w:rStyle w:val="FootnoteReference"/>
          <w:rFonts w:asciiTheme="minorBidi" w:eastAsia="Times New Roman" w:hAnsiTheme="minorBidi"/>
          <w:sz w:val="22"/>
          <w:szCs w:val="22"/>
          <w:lang w:val="es-419" w:eastAsia="fr-CH"/>
        </w:rPr>
        <w:footnoteReference w:id="19"/>
      </w:r>
      <w:r w:rsidRPr="00415B3E">
        <w:rPr>
          <w:rFonts w:asciiTheme="minorBidi" w:hAnsiTheme="minorBidi"/>
          <w:sz w:val="22"/>
          <w:szCs w:val="22"/>
          <w:lang w:val="es-419"/>
        </w:rPr>
        <w:t xml:space="preserve"> es “</w:t>
      </w:r>
      <w:r w:rsidRPr="00415B3E">
        <w:rPr>
          <w:rFonts w:asciiTheme="minorBidi" w:hAnsiTheme="minorBidi"/>
          <w:i/>
          <w:iCs/>
          <w:sz w:val="22"/>
          <w:szCs w:val="22"/>
          <w:lang w:val="es-419"/>
        </w:rPr>
        <w:t>La función de la PI y la innovación a la hora de afrontar los desafíos mundiales de salud pública: fomentar la transferencia de tecnología y las colaboraciones</w:t>
      </w:r>
      <w:r w:rsidRPr="00415B3E">
        <w:rPr>
          <w:rFonts w:asciiTheme="minorBidi" w:hAnsiTheme="minorBidi"/>
          <w:sz w:val="22"/>
          <w:szCs w:val="22"/>
          <w:lang w:val="es-419"/>
        </w:rPr>
        <w:t>”.</w:t>
      </w:r>
    </w:p>
    <w:p w14:paraId="7AA9E6A0" w14:textId="77777777" w:rsidR="00FD5CE0" w:rsidRPr="00415B3E" w:rsidRDefault="00FD5CE0" w:rsidP="004A1B4D">
      <w:pPr>
        <w:pStyle w:val="Heading2"/>
        <w:keepNext w:val="0"/>
        <w:rPr>
          <w:rFonts w:asciiTheme="minorBidi" w:hAnsiTheme="minorBidi" w:cstheme="minorBidi"/>
          <w:szCs w:val="22"/>
          <w:lang w:val="es-419"/>
        </w:rPr>
      </w:pPr>
      <w:bookmarkStart w:id="25" w:name="_Hlk188892115"/>
      <w:bookmarkEnd w:id="23"/>
      <w:r w:rsidRPr="00415B3E">
        <w:rPr>
          <w:rFonts w:asciiTheme="minorBidi" w:hAnsiTheme="minorBidi" w:cstheme="minorBidi"/>
          <w:szCs w:val="22"/>
          <w:lang w:val="es-419"/>
        </w:rPr>
        <w:t>Flexibilidades en el sistema de PI</w:t>
      </w:r>
    </w:p>
    <w:p w14:paraId="63017C7D" w14:textId="77777777" w:rsidR="00FD5CE0" w:rsidRPr="00415B3E" w:rsidRDefault="00FD5CE0" w:rsidP="00FD5CE0">
      <w:pPr>
        <w:pStyle w:val="ListParagraph"/>
        <w:numPr>
          <w:ilvl w:val="0"/>
          <w:numId w:val="13"/>
        </w:numPr>
        <w:spacing w:after="36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Se ha seguido difundiendo la información contenida en la base de datos sobre flexibilidades</w:t>
      </w:r>
      <w:r w:rsidRPr="00415B3E">
        <w:rPr>
          <w:rStyle w:val="FootnoteReference"/>
          <w:rFonts w:asciiTheme="minorBidi" w:hAnsiTheme="minorBidi"/>
          <w:sz w:val="22"/>
          <w:szCs w:val="22"/>
          <w:lang w:val="es-419"/>
        </w:rPr>
        <w:footnoteReference w:id="20"/>
      </w:r>
      <w:r w:rsidRPr="00415B3E">
        <w:rPr>
          <w:rFonts w:asciiTheme="minorBidi" w:hAnsiTheme="minorBidi"/>
          <w:sz w:val="22"/>
          <w:szCs w:val="22"/>
          <w:lang w:val="es-419"/>
        </w:rPr>
        <w:t>, tal como se presenta en el documento CDIP/20/5,</w:t>
      </w:r>
      <w:r w:rsidRPr="00415B3E">
        <w:rPr>
          <w:rStyle w:val="FootnoteReference"/>
          <w:rFonts w:asciiTheme="minorBidi" w:hAnsiTheme="minorBidi"/>
          <w:sz w:val="22"/>
          <w:szCs w:val="22"/>
          <w:lang w:val="es-419"/>
        </w:rPr>
        <w:footnoteReference w:id="21"/>
      </w:r>
      <w:r w:rsidRPr="00415B3E">
        <w:rPr>
          <w:rFonts w:asciiTheme="minorBidi" w:hAnsiTheme="minorBidi"/>
          <w:sz w:val="22"/>
          <w:szCs w:val="22"/>
          <w:lang w:val="es-419"/>
        </w:rPr>
        <w:t xml:space="preserve"> que, entre otras cosas, describe las medidas para la divulgación de esta información. La base de datos permite a los usuarios buscar información sobre la forma en que se aplican las flexibilidades en las legislaciones nacionales de PI en las jurisdicciones seleccionadas. Conforme lo acordado por el Comité en su decimoctava sesión de 2016, la página de entrada de la base de datos incluye información sobre su mecanismo de actualización. El mecanismo requiere que los Estados miembros faciliten a la Secretaría, por medio de una comunicación oficial, información </w:t>
      </w:r>
      <w:r w:rsidRPr="00415B3E">
        <w:rPr>
          <w:rFonts w:asciiTheme="minorBidi" w:hAnsiTheme="minorBidi"/>
          <w:sz w:val="22"/>
          <w:szCs w:val="22"/>
          <w:lang w:val="es-419"/>
        </w:rPr>
        <w:lastRenderedPageBreak/>
        <w:t>actualizada sobre las disposiciones nacionales relacionadas con las flexibilidades incluidas en la base de datos.</w:t>
      </w:r>
      <w:r w:rsidRPr="00415B3E">
        <w:rPr>
          <w:rStyle w:val="FootnoteReference"/>
          <w:rFonts w:asciiTheme="minorBidi" w:hAnsiTheme="minorBidi"/>
          <w:sz w:val="22"/>
          <w:szCs w:val="22"/>
          <w:lang w:val="es-419"/>
        </w:rPr>
        <w:footnoteReference w:id="22"/>
      </w:r>
      <w:r w:rsidRPr="00415B3E">
        <w:rPr>
          <w:rFonts w:asciiTheme="minorBidi" w:hAnsiTheme="minorBidi"/>
          <w:sz w:val="22"/>
          <w:szCs w:val="22"/>
          <w:lang w:val="es-419"/>
        </w:rPr>
        <w:t xml:space="preserve"> La información notificada se incluye de inmediato en la base de datos en un nuevo campo denominado “Información actualizada de los Estados miembros”. En 2024, los Estados miembros no comunicaron información actualizada.</w:t>
      </w:r>
    </w:p>
    <w:bookmarkEnd w:id="25"/>
    <w:p w14:paraId="4B11A4B2"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Las mujeres y la PI</w:t>
      </w:r>
    </w:p>
    <w:p w14:paraId="7EE81FF8"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Durante el período examinado, la OMPI potenció la participación de las mujeres en el ámbito de la PI. A raíz de una decisión del CDIP, se ha creado un foro para sensibilizar sobre la importancia de empoderar a las mujeres e intensificar su participación en el ecosistema de PI, con una serie de sesiones de intercambio de información titulada “Las mujeres y la PI”. Una de esas sesiones, titulada </w:t>
      </w:r>
      <w:r w:rsidRPr="00415B3E">
        <w:rPr>
          <w:rFonts w:asciiTheme="minorBidi" w:hAnsiTheme="minorBidi"/>
          <w:i/>
          <w:sz w:val="22"/>
          <w:szCs w:val="22"/>
          <w:lang w:val="es-419"/>
        </w:rPr>
        <w:t>“Las mujeres y los Objetivos de Desarrollo Sostenible”</w:t>
      </w:r>
      <w:r w:rsidRPr="00415B3E">
        <w:rPr>
          <w:rFonts w:asciiTheme="minorBidi" w:hAnsiTheme="minorBidi"/>
          <w:sz w:val="22"/>
          <w:szCs w:val="22"/>
          <w:lang w:val="es-419"/>
        </w:rPr>
        <w:t>, tuvo lugar el 23 de abril de 2024,</w:t>
      </w:r>
      <w:r w:rsidRPr="00415B3E">
        <w:rPr>
          <w:rStyle w:val="FootnoteReference"/>
          <w:rFonts w:asciiTheme="minorBidi" w:hAnsiTheme="minorBidi"/>
          <w:sz w:val="22"/>
          <w:szCs w:val="22"/>
          <w:lang w:val="es-419"/>
        </w:rPr>
        <w:footnoteReference w:id="23"/>
      </w:r>
      <w:r w:rsidRPr="00415B3E">
        <w:rPr>
          <w:rFonts w:asciiTheme="minorBidi" w:hAnsiTheme="minorBidi"/>
          <w:sz w:val="22"/>
          <w:szCs w:val="22"/>
          <w:lang w:val="es-419"/>
        </w:rPr>
        <w:t xml:space="preserve"> organizada en el contexto de las celebraciones del Día Mundial de la PI 2024. La sesión contó con empresarias de Chile, Etiopía, el Líbano, Georgia y Papua Nueva Guinea que han participado en proyectos dirigidos por la OMPI para apoyar a las mujeres y la PI. Compartieron su experiencia y los conocimientos adquiridos a través de esas iniciativas y destacaron el papel que la PI ha desempeñado en su trayectoria empresarial. La sesión reunió a aproximadamente 200 participantes</w:t>
      </w:r>
      <w:r w:rsidRPr="00415B3E">
        <w:rPr>
          <w:rStyle w:val="FootnoteReference"/>
          <w:rFonts w:asciiTheme="minorBidi" w:hAnsiTheme="minorBidi"/>
          <w:sz w:val="22"/>
          <w:szCs w:val="22"/>
          <w:lang w:val="es-419"/>
        </w:rPr>
        <w:footnoteReference w:id="24"/>
      </w:r>
      <w:r w:rsidRPr="00415B3E">
        <w:rPr>
          <w:rFonts w:asciiTheme="minorBidi" w:hAnsiTheme="minorBidi"/>
          <w:sz w:val="22"/>
          <w:szCs w:val="22"/>
          <w:lang w:val="es-419"/>
        </w:rPr>
        <w:t xml:space="preserve"> de más de 60 países. Esta serie de sesiones seguirá explorando otros aspectos del tema.</w:t>
      </w:r>
    </w:p>
    <w:p w14:paraId="2A1F6F19"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Durante el período examinado, el Equipo de Proyectos de Sector de Desarrollo Regional y Nacional completó proyectos destinados a capacitar a </w:t>
      </w:r>
      <w:r w:rsidRPr="00415B3E">
        <w:rPr>
          <w:rFonts w:asciiTheme="minorBidi" w:hAnsiTheme="minorBidi"/>
          <w:i/>
          <w:sz w:val="22"/>
          <w:szCs w:val="22"/>
          <w:lang w:val="es-419"/>
        </w:rPr>
        <w:t>Empresarias</w:t>
      </w:r>
      <w:r w:rsidRPr="00415B3E">
        <w:rPr>
          <w:rFonts w:asciiTheme="minorBidi" w:hAnsiTheme="minorBidi"/>
          <w:sz w:val="22"/>
          <w:szCs w:val="22"/>
          <w:lang w:val="es-419"/>
        </w:rPr>
        <w:t xml:space="preserve"> en el Brasil, Egipto y el Caribe. En el Brasil, el proyecto sobre </w:t>
      </w:r>
      <w:r w:rsidRPr="00415B3E">
        <w:rPr>
          <w:rFonts w:asciiTheme="minorBidi" w:hAnsiTheme="minorBidi"/>
          <w:i/>
          <w:sz w:val="22"/>
          <w:szCs w:val="22"/>
          <w:lang w:val="es-419"/>
        </w:rPr>
        <w:t xml:space="preserve">“PI para mujeres quilombolas: promoción del patrimonio cultural y el empoderamiento económico” </w:t>
      </w:r>
      <w:r w:rsidRPr="00415B3E">
        <w:rPr>
          <w:rFonts w:asciiTheme="minorBidi" w:hAnsiTheme="minorBidi"/>
          <w:sz w:val="22"/>
          <w:szCs w:val="22"/>
          <w:lang w:val="es-419"/>
        </w:rPr>
        <w:t xml:space="preserve">permitió a 50 empresarias afrodescendientes aprovechar la PI para la creación de empresas, la conservación del patrimonio cultural y el desarrollo socioeconómico. La OMPI y el Gobierno brasileño trabajaron codo con codo con ellos para estudiar cómo la PI podría aportar valor a los productos locales y a las expresiones culturales locales. El proyecto en Egipto sobre </w:t>
      </w:r>
      <w:r w:rsidRPr="00415B3E">
        <w:rPr>
          <w:rFonts w:asciiTheme="minorBidi" w:hAnsiTheme="minorBidi"/>
          <w:i/>
          <w:sz w:val="22"/>
          <w:szCs w:val="22"/>
          <w:lang w:val="es-419"/>
        </w:rPr>
        <w:t>“Empoderamiento de las mujeres en las comunidades locales a través de la PI (marca colectiva) - Producción de bordados tali en Sohag (Egipto)”,</w:t>
      </w:r>
      <w:r w:rsidRPr="00415B3E">
        <w:rPr>
          <w:rFonts w:asciiTheme="minorBidi" w:hAnsiTheme="minorBidi"/>
          <w:sz w:val="22"/>
          <w:szCs w:val="22"/>
          <w:lang w:val="es-419"/>
        </w:rPr>
        <w:t xml:space="preserve"> apoyó a más de 50 empresarias y artesanas que trabajan en la producción de bordados tali en las comunidades locales mediante la creación de vínculos sostenibles entre sus negocios y la PI. El proyecto dio lugar al desarrollo de la marca colectiva </w:t>
      </w:r>
      <w:r w:rsidRPr="00415B3E">
        <w:rPr>
          <w:rFonts w:asciiTheme="minorBidi" w:hAnsiTheme="minorBidi"/>
          <w:i/>
          <w:sz w:val="22"/>
          <w:szCs w:val="22"/>
          <w:lang w:val="es-419"/>
        </w:rPr>
        <w:t xml:space="preserve">“Tally Shandaweil” </w:t>
      </w:r>
      <w:r w:rsidRPr="00415B3E">
        <w:rPr>
          <w:rFonts w:asciiTheme="minorBidi" w:hAnsiTheme="minorBidi"/>
          <w:sz w:val="22"/>
          <w:szCs w:val="22"/>
          <w:lang w:val="es-419"/>
        </w:rPr>
        <w:t xml:space="preserve">y otras 22 marcas individuales, integrando la PI en la preservación del patrimonio cultural y ofreciendo una perspectiva de futuro. Esta metodología de proyecto se reproducirá para apoyar a las mujeres de otras comunidades locales de las regiones egipcias de Siwa y el Sinaí. El proyecto regional sobre </w:t>
      </w:r>
      <w:r w:rsidRPr="00415B3E">
        <w:rPr>
          <w:rFonts w:asciiTheme="minorBidi" w:hAnsiTheme="minorBidi"/>
          <w:i/>
          <w:sz w:val="22"/>
          <w:szCs w:val="22"/>
          <w:lang w:val="es-419"/>
        </w:rPr>
        <w:t>“PI para empresarias en el Caribe”</w:t>
      </w:r>
      <w:r w:rsidRPr="00415B3E">
        <w:rPr>
          <w:rFonts w:asciiTheme="minorBidi" w:hAnsiTheme="minorBidi"/>
          <w:sz w:val="22"/>
          <w:szCs w:val="22"/>
          <w:lang w:val="es-419"/>
        </w:rPr>
        <w:t xml:space="preserve"> se centró en la fortalecimiento de capacidades de las mujeres de tres países: Belice, Santa Lucía y San Vicente y las Granadinas, facilitando la creación de redes entre homólogos, las asociaciones y el intercambio de conocimientos. La estrategia de ejecución del proyecto incluyó un informe de evaluación de necesidades, formación y tutoría a medida y apoyo personalizado a un grupo seleccionado de empresarias en cuestiones técnicas que iban desde la creación y el registro de la PI hasta la comercialización. Además, en noviembre de 2024, el equipo de proyectos del Sector de Desarrollo Regional y Nacional puso en marcha el proyecto </w:t>
      </w:r>
      <w:r w:rsidRPr="00415B3E">
        <w:rPr>
          <w:rFonts w:asciiTheme="minorBidi" w:hAnsiTheme="minorBidi"/>
          <w:i/>
          <w:sz w:val="22"/>
          <w:szCs w:val="22"/>
          <w:lang w:val="es-419"/>
        </w:rPr>
        <w:t>“IP for Her - An IP Journey from Hand to Brand for Women Artisans (La PI para ella: el camino de la PI, desde la mano hasta la marca para acompañar a las artesanas)”</w:t>
      </w:r>
      <w:r w:rsidRPr="00415B3E">
        <w:rPr>
          <w:rFonts w:asciiTheme="minorBidi" w:hAnsiTheme="minorBidi"/>
          <w:sz w:val="22"/>
          <w:szCs w:val="22"/>
          <w:lang w:val="es-419"/>
        </w:rPr>
        <w:t xml:space="preserve"> en Djibouti, que beneficiará a 35 artesanas seleccionadas, mediante la mejora de sus conocimientos, competencias, protección, utilización </w:t>
      </w:r>
      <w:r w:rsidRPr="00415B3E">
        <w:rPr>
          <w:rFonts w:asciiTheme="minorBidi" w:hAnsiTheme="minorBidi"/>
          <w:sz w:val="22"/>
          <w:szCs w:val="22"/>
          <w:lang w:val="es-419"/>
        </w:rPr>
        <w:lastRenderedPageBreak/>
        <w:t>y gestión de la PI, capacitándolas así para aprovechar eficazmente la PI y las estrategias empresariales para mejorar su artesanía y su presencia en el mercado.</w:t>
      </w:r>
    </w:p>
    <w:p w14:paraId="12F5CB41"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El Sector también ha seguido implantando diversos proyectos regionales para las </w:t>
      </w:r>
      <w:r w:rsidRPr="00415B3E">
        <w:rPr>
          <w:rFonts w:asciiTheme="minorBidi" w:hAnsiTheme="minorBidi"/>
          <w:i/>
          <w:sz w:val="22"/>
          <w:szCs w:val="22"/>
          <w:lang w:val="es-419"/>
        </w:rPr>
        <w:t>empresarias</w:t>
      </w:r>
      <w:r w:rsidRPr="00415B3E">
        <w:rPr>
          <w:rFonts w:asciiTheme="minorBidi" w:hAnsiTheme="minorBidi"/>
          <w:sz w:val="22"/>
          <w:szCs w:val="22"/>
          <w:lang w:val="es-419"/>
        </w:rPr>
        <w:t xml:space="preserve">. Algunos ejemplos de estas iniciativas son: i) el proyecto en curso en Iraq sobre </w:t>
      </w:r>
      <w:r w:rsidRPr="00415B3E">
        <w:rPr>
          <w:rFonts w:asciiTheme="minorBidi" w:hAnsiTheme="minorBidi"/>
          <w:i/>
          <w:sz w:val="22"/>
          <w:szCs w:val="22"/>
          <w:lang w:val="es-419"/>
        </w:rPr>
        <w:t>PI y Empresarias</w:t>
      </w:r>
      <w:r w:rsidRPr="00415B3E">
        <w:rPr>
          <w:rFonts w:asciiTheme="minorBidi" w:hAnsiTheme="minorBidi"/>
          <w:sz w:val="22"/>
          <w:szCs w:val="22"/>
          <w:lang w:val="es-419"/>
        </w:rPr>
        <w:t xml:space="preserve">, cuyo objetivo es crear un sistema de apoyo para facilitar la gestión y comercialización de los derechos de PI por parte de las empresas dirigidas por mujeres en las comunidades locales y establecer vínculos sostenibles entre sus empresas de producción y la PI; ii) el proyecto sobre </w:t>
      </w:r>
      <w:r w:rsidRPr="00415B3E">
        <w:rPr>
          <w:rFonts w:asciiTheme="minorBidi" w:hAnsiTheme="minorBidi"/>
          <w:i/>
          <w:sz w:val="22"/>
          <w:szCs w:val="22"/>
          <w:lang w:val="es-419"/>
        </w:rPr>
        <w:t>“Branding Support for Women-Led R&amp;D and Enterprises to Empower Women through IP Knowledge” (Apoyo al desarrollo de marcas para I+D y empresas dirigidas por mujeres para empoderar a las mujeres a través del conocimiento de la PI)</w:t>
      </w:r>
      <w:r w:rsidRPr="00415B3E">
        <w:rPr>
          <w:rFonts w:asciiTheme="minorBidi" w:hAnsiTheme="minorBidi"/>
          <w:b/>
          <w:sz w:val="22"/>
          <w:szCs w:val="22"/>
          <w:lang w:val="es-419"/>
        </w:rPr>
        <w:t xml:space="preserve"> </w:t>
      </w:r>
      <w:r w:rsidRPr="00415B3E">
        <w:rPr>
          <w:rFonts w:asciiTheme="minorBidi" w:hAnsiTheme="minorBidi"/>
          <w:sz w:val="22"/>
          <w:szCs w:val="22"/>
          <w:lang w:val="es-419"/>
        </w:rPr>
        <w:t xml:space="preserve">en Bangladesh, la India, Indonesia y Viet Nam, cuyo objetivo es enseñar y orientar a las beneficiarias sobre cuestiones de PI pertinentes para sus carreras, negocios e intereses; iii) el proyecto sobre </w:t>
      </w:r>
      <w:r w:rsidRPr="00415B3E">
        <w:rPr>
          <w:rFonts w:asciiTheme="minorBidi" w:hAnsiTheme="minorBidi"/>
          <w:i/>
          <w:sz w:val="22"/>
          <w:szCs w:val="22"/>
          <w:lang w:val="es-419"/>
        </w:rPr>
        <w:t>"Gestión de la PI para mujeres en carreras de ciencia, tecnología, ingeniería y matemáticas (CTIM): Tercera edición en América Latina y edición nacional en el Brasil</w:t>
      </w:r>
      <w:r w:rsidRPr="00415B3E">
        <w:rPr>
          <w:rFonts w:asciiTheme="minorBidi" w:hAnsiTheme="minorBidi"/>
          <w:sz w:val="22"/>
          <w:szCs w:val="22"/>
          <w:lang w:val="es-419"/>
        </w:rPr>
        <w:t xml:space="preserve">, centrado en dotar a las mujeres profesionales en CTIM de competencias en materia de PI que les permitan aumentar el valor de sus creaciones en función de sus necesidades empresariales; y iv) el </w:t>
      </w:r>
      <w:r w:rsidRPr="00415B3E">
        <w:rPr>
          <w:rFonts w:asciiTheme="minorBidi" w:hAnsiTheme="minorBidi"/>
          <w:i/>
          <w:sz w:val="22"/>
          <w:szCs w:val="22"/>
          <w:lang w:val="es-419"/>
        </w:rPr>
        <w:t>“Proyecto de talleres sobre gestión de la PI”</w:t>
      </w:r>
      <w:r w:rsidRPr="00415B3E">
        <w:rPr>
          <w:rFonts w:asciiTheme="minorBidi" w:hAnsiTheme="minorBidi"/>
          <w:sz w:val="22"/>
          <w:szCs w:val="22"/>
          <w:lang w:val="es-419"/>
        </w:rPr>
        <w:t xml:space="preserve"> en los países de Asia Central, el Cáucaso y Europa Oriental. Este proyecto apoya a 19 pymes dirigidas por mujeres en la región y las capacita aumentando sus conocimientos y su sensibilización sobre la PI. Actualmente, el proyecto se encuentra en la fase de sesiones de formación.</w:t>
      </w:r>
    </w:p>
    <w:p w14:paraId="7A8346CA" w14:textId="77777777" w:rsidR="00FD5CE0" w:rsidRPr="00415B3E" w:rsidRDefault="00FD5CE0" w:rsidP="00FD5CE0">
      <w:pPr>
        <w:pStyle w:val="ListParagraph"/>
        <w:numPr>
          <w:ilvl w:val="0"/>
          <w:numId w:val="13"/>
        </w:numPr>
        <w:spacing w:after="360" w:line="240" w:lineRule="auto"/>
        <w:ind w:left="0" w:firstLine="0"/>
        <w:contextualSpacing w:val="0"/>
        <w:rPr>
          <w:rFonts w:asciiTheme="minorBidi" w:hAnsiTheme="minorBidi"/>
          <w:sz w:val="22"/>
          <w:szCs w:val="22"/>
          <w:lang w:val="es-419"/>
        </w:rPr>
      </w:pPr>
      <w:r w:rsidRPr="00415B3E">
        <w:rPr>
          <w:rFonts w:asciiTheme="minorBidi" w:hAnsiTheme="minorBidi"/>
          <w:sz w:val="22"/>
          <w:szCs w:val="22"/>
          <w:shd w:val="clear" w:color="auto" w:fill="FFFFFF"/>
          <w:lang w:val="es-419"/>
        </w:rPr>
        <w:t>E</w:t>
      </w:r>
      <w:r w:rsidRPr="00415B3E">
        <w:rPr>
          <w:rFonts w:asciiTheme="minorBidi" w:hAnsiTheme="minorBidi"/>
          <w:sz w:val="22"/>
          <w:szCs w:val="22"/>
          <w:lang w:val="es-419"/>
        </w:rPr>
        <w:t xml:space="preserve">n noviembre de 2024, se completó con éxito la publicación de </w:t>
      </w:r>
      <w:r w:rsidRPr="00415B3E">
        <w:rPr>
          <w:rFonts w:asciiTheme="minorBidi" w:hAnsiTheme="minorBidi"/>
          <w:i/>
          <w:sz w:val="22"/>
          <w:szCs w:val="22"/>
          <w:lang w:val="es-419"/>
        </w:rPr>
        <w:t>Women in Agribusiness Impact Publication</w:t>
      </w:r>
      <w:r w:rsidRPr="00415B3E">
        <w:rPr>
          <w:rFonts w:asciiTheme="minorBidi" w:hAnsiTheme="minorBidi"/>
          <w:sz w:val="22"/>
          <w:szCs w:val="22"/>
          <w:lang w:val="es-419"/>
        </w:rPr>
        <w:t xml:space="preserve">, que documenta los inspiradores viajes de 31 destacadas empresarias seleccionadas entre las 120 participantes en la </w:t>
      </w:r>
      <w:r w:rsidRPr="00415B3E">
        <w:rPr>
          <w:rFonts w:asciiTheme="minorBidi" w:hAnsiTheme="minorBidi"/>
          <w:i/>
          <w:sz w:val="22"/>
          <w:szCs w:val="22"/>
          <w:lang w:val="es-419"/>
        </w:rPr>
        <w:t>Conferencia Regional sobre PI para Mujeres en la agroindustria</w:t>
      </w:r>
      <w:r w:rsidRPr="00415B3E">
        <w:rPr>
          <w:rStyle w:val="FootnoteReference"/>
          <w:rFonts w:asciiTheme="minorBidi" w:hAnsiTheme="minorBidi"/>
          <w:iCs/>
          <w:sz w:val="22"/>
          <w:szCs w:val="22"/>
          <w:lang w:val="es-419"/>
        </w:rPr>
        <w:footnoteReference w:id="25"/>
      </w:r>
      <w:r w:rsidRPr="00415B3E">
        <w:rPr>
          <w:rFonts w:asciiTheme="minorBidi" w:hAnsiTheme="minorBidi"/>
          <w:sz w:val="22"/>
          <w:szCs w:val="22"/>
          <w:lang w:val="es-419"/>
        </w:rPr>
        <w:t xml:space="preserve"> celebrada en mayo de 2023. Esas empresarias se beneficiaron de mentorías y asesoramiento personalizados centrados en el uso eficaz de los conceptos de PI en la comercialización de sus activos de PI. La publicación presenta las historias de éxito de las mujeres y pone de relieve el impacto transformador del Programa de mentoría y asesoramiento sobre PI en sus negocios y en su crecimiento personal. La publicación </w:t>
      </w:r>
      <w:r w:rsidRPr="00415B3E">
        <w:rPr>
          <w:rFonts w:asciiTheme="minorBidi" w:hAnsiTheme="minorBidi"/>
          <w:i/>
          <w:sz w:val="22"/>
          <w:szCs w:val="22"/>
          <w:lang w:val="es-419"/>
        </w:rPr>
        <w:t>Women in Agribusiness Impact Publication</w:t>
      </w:r>
      <w:r w:rsidRPr="00415B3E">
        <w:rPr>
          <w:rFonts w:asciiTheme="minorBidi" w:hAnsiTheme="minorBidi"/>
          <w:sz w:val="22"/>
          <w:szCs w:val="22"/>
          <w:lang w:val="es-419"/>
        </w:rPr>
        <w:t xml:space="preserve"> tiene por objeto promover el uso estratégico de la PI para el desarrollo de capacidades empresariales y el empoderamiento. Ocupó un lugar destacado en el reciente acto paralelo del CDIP y en las actividades conexas, subrayando la importante contribución de la PI al empoderamiento, el espíritu empresarial y el éxito económico de las mujeres.</w:t>
      </w:r>
    </w:p>
    <w:p w14:paraId="193FACD8"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Órganos de la OMPI</w:t>
      </w:r>
    </w:p>
    <w:p w14:paraId="3AD69EE1"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actuó como custodio de la AD de la OMPI. La coordinación interinstitucional de la AD ha permitido aplicar las recomendaciones de la AD e integrarlas en toda la Organización, sobre la base de las orientaciones del CDIP.</w:t>
      </w:r>
    </w:p>
    <w:p w14:paraId="5699F15B"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Durante el período examinado, el Comité se reunió dos veces, en formato híbrido, celebrando su trigésima segunda sesión del 29 de abril al 3 de mayo de 2024, y su trigésima tercera sesión del 9 al 13 de diciembre de 2024. Los Estados miembros continuaron expresando su apoyo a la labor del CDIP y su compromiso con la implementación de las recomendaciones y de los proyectos de la AD. El CDIP adoptó las siguientes siete nuevas propuestas de proyecto, con lo que el número total de proyectos de la AD adoptados a finales de 2024 ascendía a 62:</w:t>
      </w:r>
    </w:p>
    <w:p w14:paraId="6ACD252B" w14:textId="77777777" w:rsidR="00FD5CE0" w:rsidRPr="00415B3E" w:rsidRDefault="00FD5CE0" w:rsidP="00FD5CE0">
      <w:pPr>
        <w:pStyle w:val="ListParagraph"/>
        <w:numPr>
          <w:ilvl w:val="0"/>
          <w:numId w:val="18"/>
        </w:numPr>
        <w:spacing w:after="240" w:line="240" w:lineRule="auto"/>
        <w:contextualSpacing w:val="0"/>
        <w:rPr>
          <w:rFonts w:asciiTheme="minorBidi" w:hAnsiTheme="minorBidi"/>
          <w:sz w:val="22"/>
          <w:szCs w:val="22"/>
          <w:lang w:val="es-419"/>
        </w:rPr>
      </w:pPr>
      <w:r w:rsidRPr="00415B3E">
        <w:rPr>
          <w:rFonts w:asciiTheme="minorBidi" w:hAnsiTheme="minorBidi"/>
          <w:sz w:val="22"/>
          <w:szCs w:val="22"/>
          <w:lang w:val="es-419"/>
        </w:rPr>
        <w:t xml:space="preserve">propuesta de proyecto presentada por el Reino Unido y la República Checa sobre </w:t>
      </w:r>
      <w:r w:rsidRPr="00415B3E">
        <w:rPr>
          <w:rFonts w:asciiTheme="minorBidi" w:hAnsiTheme="minorBidi"/>
          <w:i/>
          <w:sz w:val="22"/>
          <w:szCs w:val="22"/>
          <w:lang w:val="es-419"/>
        </w:rPr>
        <w:t>"Mejora de las capacidades de las Oficinas de PI nacionales en tiempos de crisis"</w:t>
      </w:r>
      <w:r w:rsidRPr="00415B3E">
        <w:rPr>
          <w:rFonts w:asciiTheme="minorBidi" w:hAnsiTheme="minorBidi"/>
          <w:sz w:val="22"/>
          <w:szCs w:val="22"/>
          <w:lang w:val="es-419"/>
        </w:rPr>
        <w:t xml:space="preserve">, </w:t>
      </w:r>
      <w:r w:rsidRPr="00415B3E">
        <w:rPr>
          <w:rFonts w:asciiTheme="minorBidi" w:hAnsiTheme="minorBidi"/>
          <w:sz w:val="22"/>
          <w:szCs w:val="22"/>
          <w:lang w:val="es-419"/>
        </w:rPr>
        <w:lastRenderedPageBreak/>
        <w:t>aprobada en la trigésima segunda sesión del CDIP y destinada a aplicar las recomendaciones 4, 3 y 10 de la AD;</w:t>
      </w:r>
    </w:p>
    <w:p w14:paraId="5B17DF27" w14:textId="77777777" w:rsidR="00FD5CE0" w:rsidRPr="00415B3E" w:rsidRDefault="00FD5CE0" w:rsidP="00FD5CE0">
      <w:pPr>
        <w:pStyle w:val="ListParagraph"/>
        <w:numPr>
          <w:ilvl w:val="0"/>
          <w:numId w:val="18"/>
        </w:numPr>
        <w:spacing w:after="240" w:line="240" w:lineRule="auto"/>
        <w:contextualSpacing w:val="0"/>
        <w:rPr>
          <w:rFonts w:asciiTheme="minorBidi" w:hAnsiTheme="minorBidi"/>
          <w:sz w:val="22"/>
          <w:szCs w:val="22"/>
          <w:lang w:val="es-419"/>
        </w:rPr>
      </w:pPr>
      <w:r w:rsidRPr="00415B3E">
        <w:rPr>
          <w:rFonts w:asciiTheme="minorBidi" w:hAnsiTheme="minorBidi"/>
          <w:sz w:val="22"/>
          <w:szCs w:val="22"/>
          <w:lang w:val="es-419"/>
        </w:rPr>
        <w:t xml:space="preserve">propuesta de proyecto piloto presentada por el Reino Unido y Georgia sobre </w:t>
      </w:r>
      <w:r w:rsidRPr="00415B3E">
        <w:rPr>
          <w:rFonts w:asciiTheme="minorBidi" w:hAnsiTheme="minorBidi"/>
          <w:i/>
          <w:sz w:val="22"/>
          <w:szCs w:val="22"/>
          <w:lang w:val="es-419"/>
        </w:rPr>
        <w:t>"Mejora de las capacidades de enseñanza de la PI de las instituciones académicas artísticas y creativas para fomentar la creatividad"</w:t>
      </w:r>
      <w:r w:rsidRPr="00415B3E">
        <w:rPr>
          <w:rFonts w:asciiTheme="minorBidi" w:hAnsiTheme="minorBidi"/>
          <w:sz w:val="22"/>
          <w:szCs w:val="22"/>
          <w:lang w:val="es-419"/>
        </w:rPr>
        <w:t>, aprobada en la trigésima segunda sesión del CDIP y destinada a aplicar las recomendaciones 1, 3 y 4 de la AD;</w:t>
      </w:r>
    </w:p>
    <w:p w14:paraId="3DD8B0D0" w14:textId="77777777" w:rsidR="00FD5CE0" w:rsidRPr="00415B3E" w:rsidRDefault="00FD5CE0" w:rsidP="00FD5CE0">
      <w:pPr>
        <w:pStyle w:val="ListParagraph"/>
        <w:numPr>
          <w:ilvl w:val="0"/>
          <w:numId w:val="18"/>
        </w:numPr>
        <w:spacing w:after="240" w:line="240" w:lineRule="auto"/>
        <w:contextualSpacing w:val="0"/>
        <w:rPr>
          <w:rFonts w:asciiTheme="minorBidi" w:hAnsiTheme="minorBidi"/>
          <w:i/>
          <w:sz w:val="22"/>
          <w:szCs w:val="22"/>
          <w:lang w:val="es-419"/>
        </w:rPr>
      </w:pPr>
      <w:r w:rsidRPr="00415B3E">
        <w:rPr>
          <w:rFonts w:asciiTheme="minorBidi" w:hAnsiTheme="minorBidi"/>
          <w:sz w:val="22"/>
          <w:szCs w:val="22"/>
          <w:lang w:val="es-419"/>
        </w:rPr>
        <w:t xml:space="preserve">propuesta de proyecto sobre </w:t>
      </w:r>
      <w:r w:rsidRPr="00415B3E">
        <w:rPr>
          <w:rFonts w:asciiTheme="minorBidi" w:hAnsiTheme="minorBidi"/>
          <w:i/>
          <w:sz w:val="22"/>
          <w:szCs w:val="22"/>
          <w:lang w:val="es-419"/>
        </w:rPr>
        <w:t>El apoyo y la consolidación del papel de las marcas colectivas como herramienta de impulso económico, cultural y social a través de un enfoque integrado del desarrollo</w:t>
      </w:r>
      <w:r w:rsidRPr="00415B3E">
        <w:rPr>
          <w:rFonts w:asciiTheme="minorBidi" w:hAnsiTheme="minorBidi"/>
          <w:sz w:val="22"/>
          <w:szCs w:val="22"/>
          <w:lang w:val="es-419"/>
        </w:rPr>
        <w:t xml:space="preserve"> presentada por Filipinas, el Brasil y el Estado Plurinacional de Bolivia y aprobada en la trigésima segunda sesión del CDIP y destinada a aplicar las recomendaciones 1, 2, 4 y 10 de la AD;</w:t>
      </w:r>
    </w:p>
    <w:p w14:paraId="3D03E6A4" w14:textId="77777777" w:rsidR="00FD5CE0" w:rsidRPr="00415B3E" w:rsidRDefault="00FD5CE0" w:rsidP="00FD5CE0">
      <w:pPr>
        <w:pStyle w:val="ListParagraph"/>
        <w:numPr>
          <w:ilvl w:val="0"/>
          <w:numId w:val="18"/>
        </w:numPr>
        <w:spacing w:after="240" w:line="240" w:lineRule="auto"/>
        <w:contextualSpacing w:val="0"/>
        <w:rPr>
          <w:rFonts w:asciiTheme="minorBidi" w:hAnsiTheme="minorBidi"/>
          <w:sz w:val="22"/>
          <w:szCs w:val="22"/>
          <w:lang w:val="es-419"/>
        </w:rPr>
      </w:pPr>
      <w:r w:rsidRPr="00415B3E">
        <w:rPr>
          <w:rFonts w:asciiTheme="minorBidi" w:hAnsiTheme="minorBidi"/>
          <w:sz w:val="22"/>
          <w:szCs w:val="22"/>
          <w:lang w:val="es-419"/>
        </w:rPr>
        <w:t xml:space="preserve">propuesta de proyecto de </w:t>
      </w:r>
      <w:r w:rsidRPr="00415B3E">
        <w:rPr>
          <w:rFonts w:asciiTheme="minorBidi" w:hAnsiTheme="minorBidi"/>
          <w:i/>
          <w:sz w:val="22"/>
          <w:szCs w:val="22"/>
          <w:lang w:val="es-419"/>
        </w:rPr>
        <w:t>Implantación de servicios de solución alternativa de controversias en las oficinas de derecho de autor, presentada por Namibia</w:t>
      </w:r>
      <w:r w:rsidRPr="00415B3E">
        <w:rPr>
          <w:rFonts w:asciiTheme="minorBidi" w:hAnsiTheme="minorBidi"/>
          <w:sz w:val="22"/>
          <w:szCs w:val="22"/>
          <w:lang w:val="es-419"/>
        </w:rPr>
        <w:t>,</w:t>
      </w:r>
      <w:r w:rsidRPr="00415B3E">
        <w:rPr>
          <w:rFonts w:asciiTheme="minorBidi" w:hAnsiTheme="minorBidi"/>
          <w:i/>
          <w:sz w:val="22"/>
          <w:szCs w:val="22"/>
          <w:lang w:val="es-419"/>
        </w:rPr>
        <w:t xml:space="preserve"> </w:t>
      </w:r>
      <w:r w:rsidRPr="00415B3E">
        <w:rPr>
          <w:rFonts w:asciiTheme="minorBidi" w:hAnsiTheme="minorBidi"/>
          <w:sz w:val="22"/>
          <w:szCs w:val="22"/>
          <w:lang w:val="es-419"/>
        </w:rPr>
        <w:t>aprobada en la trigésima tercera sesión del CDIP y destinada a aplicar las recomendaciones 1, 10 y 11 de la AD;</w:t>
      </w:r>
    </w:p>
    <w:p w14:paraId="59B3FB91" w14:textId="77777777" w:rsidR="00FD5CE0" w:rsidRPr="00415B3E" w:rsidRDefault="00FD5CE0" w:rsidP="00FD5CE0">
      <w:pPr>
        <w:pStyle w:val="ListParagraph"/>
        <w:numPr>
          <w:ilvl w:val="0"/>
          <w:numId w:val="18"/>
        </w:numPr>
        <w:spacing w:after="240" w:line="240" w:lineRule="auto"/>
        <w:contextualSpacing w:val="0"/>
        <w:rPr>
          <w:rFonts w:asciiTheme="minorBidi" w:hAnsiTheme="minorBidi"/>
          <w:sz w:val="22"/>
          <w:szCs w:val="22"/>
          <w:lang w:val="es-419"/>
        </w:rPr>
      </w:pPr>
      <w:r w:rsidRPr="00415B3E">
        <w:rPr>
          <w:rFonts w:asciiTheme="minorBidi" w:hAnsiTheme="minorBidi"/>
          <w:sz w:val="22"/>
          <w:szCs w:val="22"/>
          <w:lang w:val="es-419"/>
        </w:rPr>
        <w:t xml:space="preserve">propuesta de proyecto presentada por el Brasil sobre </w:t>
      </w:r>
      <w:r w:rsidRPr="00415B3E">
        <w:rPr>
          <w:rFonts w:asciiTheme="minorBidi" w:hAnsiTheme="minorBidi"/>
          <w:i/>
          <w:sz w:val="22"/>
          <w:szCs w:val="22"/>
          <w:lang w:val="es-419"/>
        </w:rPr>
        <w:t>"Creación de una Perspectiva de las Estrategias Nacionales de PI y de un Centro de Recursos en la OMPI"</w:t>
      </w:r>
      <w:r w:rsidRPr="00415B3E">
        <w:rPr>
          <w:rFonts w:asciiTheme="minorBidi" w:hAnsiTheme="minorBidi"/>
          <w:sz w:val="22"/>
          <w:szCs w:val="22"/>
          <w:lang w:val="es-419"/>
        </w:rPr>
        <w:t>,</w:t>
      </w:r>
      <w:r w:rsidRPr="00415B3E">
        <w:rPr>
          <w:rFonts w:asciiTheme="minorBidi" w:hAnsiTheme="minorBidi"/>
          <w:i/>
          <w:sz w:val="22"/>
          <w:szCs w:val="22"/>
          <w:lang w:val="es-419"/>
        </w:rPr>
        <w:t xml:space="preserve"> </w:t>
      </w:r>
      <w:r w:rsidRPr="00415B3E">
        <w:rPr>
          <w:rFonts w:asciiTheme="minorBidi" w:hAnsiTheme="minorBidi"/>
          <w:sz w:val="22"/>
          <w:szCs w:val="22"/>
          <w:lang w:val="es-419"/>
        </w:rPr>
        <w:t>aprobada en la trigésima tercera sesión del CDIP y destinada a aplicar las recomendaciones 1, 5 y 10 de la AD;</w:t>
      </w:r>
    </w:p>
    <w:p w14:paraId="68C6C948" w14:textId="77777777" w:rsidR="00FD5CE0" w:rsidRPr="00415B3E" w:rsidRDefault="00FD5CE0" w:rsidP="00FD5CE0">
      <w:pPr>
        <w:pStyle w:val="ListParagraph"/>
        <w:numPr>
          <w:ilvl w:val="0"/>
          <w:numId w:val="18"/>
        </w:numPr>
        <w:spacing w:after="240" w:line="240" w:lineRule="auto"/>
        <w:contextualSpacing w:val="0"/>
        <w:rPr>
          <w:rFonts w:asciiTheme="minorBidi" w:hAnsiTheme="minorBidi"/>
          <w:sz w:val="22"/>
          <w:szCs w:val="22"/>
          <w:lang w:val="es-419"/>
        </w:rPr>
      </w:pPr>
      <w:r w:rsidRPr="00415B3E">
        <w:rPr>
          <w:rFonts w:asciiTheme="minorBidi" w:hAnsiTheme="minorBidi"/>
          <w:sz w:val="22"/>
          <w:szCs w:val="22"/>
          <w:lang w:val="es-419"/>
        </w:rPr>
        <w:t xml:space="preserve">la propuesta de proyecto presentada por Angola, el Brasil, Cabo Verde y Portugal sobre </w:t>
      </w:r>
      <w:r w:rsidRPr="00415B3E">
        <w:rPr>
          <w:rFonts w:asciiTheme="minorBidi" w:hAnsiTheme="minorBidi"/>
          <w:i/>
          <w:sz w:val="22"/>
          <w:szCs w:val="22"/>
          <w:lang w:val="es-419"/>
        </w:rPr>
        <w:t xml:space="preserve">“Empoderamiento de los jóvenes músicos lusófonos en la era del </w:t>
      </w:r>
      <w:r w:rsidRPr="00415B3E">
        <w:rPr>
          <w:rFonts w:asciiTheme="minorBidi" w:hAnsiTheme="minorBidi"/>
          <w:sz w:val="22"/>
          <w:szCs w:val="22"/>
          <w:lang w:val="es-419"/>
        </w:rPr>
        <w:t>streaming</w:t>
      </w:r>
      <w:r w:rsidRPr="00415B3E">
        <w:rPr>
          <w:rFonts w:asciiTheme="minorBidi" w:hAnsiTheme="minorBidi"/>
          <w:i/>
          <w:sz w:val="22"/>
          <w:szCs w:val="22"/>
          <w:lang w:val="es-419"/>
        </w:rPr>
        <w:t>”</w:t>
      </w:r>
      <w:r w:rsidRPr="00415B3E">
        <w:rPr>
          <w:rFonts w:asciiTheme="minorBidi" w:hAnsiTheme="minorBidi"/>
          <w:sz w:val="22"/>
          <w:szCs w:val="22"/>
          <w:lang w:val="es-419"/>
        </w:rPr>
        <w:t>,</w:t>
      </w:r>
      <w:r w:rsidRPr="00415B3E">
        <w:rPr>
          <w:rFonts w:asciiTheme="minorBidi" w:hAnsiTheme="minorBidi"/>
          <w:i/>
          <w:sz w:val="22"/>
          <w:szCs w:val="22"/>
          <w:lang w:val="es-419"/>
        </w:rPr>
        <w:t xml:space="preserve"> </w:t>
      </w:r>
      <w:r w:rsidRPr="00415B3E">
        <w:rPr>
          <w:rFonts w:asciiTheme="minorBidi" w:hAnsiTheme="minorBidi"/>
          <w:sz w:val="22"/>
          <w:szCs w:val="22"/>
          <w:lang w:val="es-419"/>
        </w:rPr>
        <w:t>aprobada en la trigésima tercera sesión del CDIP y destinada a aplicar las recomendaciones 1, 4 y 11 de la AD; y</w:t>
      </w:r>
    </w:p>
    <w:p w14:paraId="2D24C6AB" w14:textId="77777777" w:rsidR="00FD5CE0" w:rsidRPr="00415B3E" w:rsidRDefault="00FD5CE0" w:rsidP="00FD5CE0">
      <w:pPr>
        <w:pStyle w:val="ListParagraph"/>
        <w:numPr>
          <w:ilvl w:val="0"/>
          <w:numId w:val="18"/>
        </w:numPr>
        <w:spacing w:after="240" w:line="240" w:lineRule="auto"/>
        <w:contextualSpacing w:val="0"/>
        <w:rPr>
          <w:rFonts w:asciiTheme="minorBidi" w:hAnsiTheme="minorBidi"/>
          <w:sz w:val="22"/>
          <w:szCs w:val="22"/>
          <w:lang w:val="es-419"/>
        </w:rPr>
      </w:pPr>
      <w:r w:rsidRPr="00415B3E">
        <w:rPr>
          <w:rFonts w:asciiTheme="minorBidi" w:hAnsiTheme="minorBidi"/>
          <w:sz w:val="22"/>
          <w:szCs w:val="22"/>
          <w:lang w:val="es-419"/>
        </w:rPr>
        <w:t xml:space="preserve">propuesta de proyecto presentada por la Arabia Saudita sobre </w:t>
      </w:r>
      <w:r w:rsidRPr="00415B3E">
        <w:rPr>
          <w:rFonts w:asciiTheme="minorBidi" w:hAnsiTheme="minorBidi"/>
          <w:i/>
          <w:sz w:val="22"/>
          <w:szCs w:val="22"/>
          <w:lang w:val="es-419"/>
        </w:rPr>
        <w:t>“Empoderamiento y reconocimiento de los examinadores de PI”</w:t>
      </w:r>
      <w:r w:rsidRPr="00415B3E">
        <w:rPr>
          <w:rFonts w:asciiTheme="minorBidi" w:hAnsiTheme="minorBidi"/>
          <w:sz w:val="22"/>
          <w:szCs w:val="22"/>
          <w:lang w:val="es-419"/>
        </w:rPr>
        <w:t>,</w:t>
      </w:r>
      <w:r w:rsidRPr="00415B3E">
        <w:rPr>
          <w:rFonts w:asciiTheme="minorBidi" w:hAnsiTheme="minorBidi"/>
          <w:i/>
          <w:sz w:val="22"/>
          <w:szCs w:val="22"/>
          <w:lang w:val="es-419"/>
        </w:rPr>
        <w:t xml:space="preserve"> </w:t>
      </w:r>
      <w:r w:rsidRPr="00415B3E">
        <w:rPr>
          <w:rFonts w:asciiTheme="minorBidi" w:hAnsiTheme="minorBidi"/>
          <w:sz w:val="22"/>
          <w:szCs w:val="22"/>
          <w:lang w:val="es-419"/>
        </w:rPr>
        <w:t>aprobada en la trigésima tercera sesión del CDIP y destinada a aplicar las recomendaciones 1 y 11 de la AD.</w:t>
      </w:r>
    </w:p>
    <w:p w14:paraId="76E65D18"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i/>
          <w:sz w:val="22"/>
          <w:szCs w:val="22"/>
          <w:lang w:val="es-419"/>
        </w:rPr>
      </w:pPr>
      <w:r w:rsidRPr="00415B3E">
        <w:rPr>
          <w:rFonts w:asciiTheme="minorBidi" w:hAnsiTheme="minorBidi"/>
          <w:sz w:val="22"/>
          <w:szCs w:val="22"/>
          <w:lang w:val="es-419"/>
        </w:rPr>
        <w:t xml:space="preserve">El proceso de llevar a cabo una evaluación independiente de los proyectos finalizados de la AD siguió siendo una herramienta esencial para que los Estados miembros valoren la eficacia y la eficiencia de estos proyectos y para proporcionar orientación para futuras iniciativas de la AD. La Secretaría de la OMPI ha seguido teniendo en cuenta las recomendaciones que emanan de las evaluaciones, velando por que se apliquen debidamente las recomendaciones acordadas. El Comité debatió y examinó los informes de finalización y de evaluación final independiente de tres proyectos de la AD, a saber, los proyectos sobre: a) </w:t>
      </w:r>
      <w:r w:rsidRPr="00415B3E">
        <w:rPr>
          <w:rFonts w:asciiTheme="minorBidi" w:hAnsiTheme="minorBidi"/>
          <w:i/>
          <w:sz w:val="22"/>
          <w:szCs w:val="22"/>
          <w:lang w:val="es-419"/>
        </w:rPr>
        <w:t>“Identificación y utilización de las invenciones que están en el dominio público”</w:t>
      </w:r>
      <w:r w:rsidRPr="00415B3E">
        <w:rPr>
          <w:rFonts w:asciiTheme="minorBidi" w:hAnsiTheme="minorBidi"/>
          <w:sz w:val="22"/>
          <w:szCs w:val="22"/>
          <w:lang w:val="es-419"/>
        </w:rPr>
        <w:t xml:space="preserve">; b) </w:t>
      </w:r>
      <w:r w:rsidRPr="00415B3E">
        <w:rPr>
          <w:rFonts w:asciiTheme="minorBidi" w:hAnsiTheme="minorBidi"/>
          <w:i/>
          <w:sz w:val="22"/>
          <w:szCs w:val="22"/>
          <w:lang w:val="es-419"/>
        </w:rPr>
        <w:t>“Registro de marcas colectivas de emprendimientos locales como eje transversal de desarrollo económico"</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26"/>
      </w:r>
      <w:r w:rsidRPr="00415B3E">
        <w:rPr>
          <w:rFonts w:asciiTheme="minorBidi" w:hAnsiTheme="minorBidi"/>
          <w:sz w:val="22"/>
          <w:szCs w:val="22"/>
          <w:lang w:val="es-419"/>
        </w:rPr>
        <w:t xml:space="preserve"> y c) </w:t>
      </w:r>
      <w:r w:rsidRPr="00415B3E">
        <w:rPr>
          <w:rFonts w:asciiTheme="minorBidi" w:hAnsiTheme="minorBidi"/>
          <w:i/>
          <w:sz w:val="22"/>
          <w:szCs w:val="22"/>
          <w:lang w:val="es-419"/>
        </w:rPr>
        <w:t xml:space="preserve">"Mejora del uso de la PI para aplicaciones móviles en el sector del </w:t>
      </w:r>
      <w:r w:rsidRPr="00415B3E">
        <w:rPr>
          <w:rFonts w:asciiTheme="minorBidi" w:hAnsiTheme="minorBidi"/>
          <w:sz w:val="22"/>
          <w:szCs w:val="22"/>
          <w:lang w:val="es-419"/>
        </w:rPr>
        <w:t>software</w:t>
      </w:r>
      <w:r w:rsidRPr="00415B3E">
        <w:rPr>
          <w:rFonts w:asciiTheme="minorBidi" w:hAnsiTheme="minorBidi"/>
          <w:i/>
          <w:sz w:val="22"/>
          <w:szCs w:val="22"/>
          <w:lang w:val="es-419"/>
        </w:rPr>
        <w:t xml:space="preserve"> - Fase II".</w:t>
      </w:r>
    </w:p>
    <w:p w14:paraId="7E8E4CCA"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Comité también examinó el “</w:t>
      </w:r>
      <w:r w:rsidRPr="00415B3E">
        <w:rPr>
          <w:rFonts w:asciiTheme="minorBidi" w:hAnsiTheme="minorBidi"/>
          <w:i/>
          <w:sz w:val="22"/>
          <w:szCs w:val="22"/>
          <w:lang w:val="es-419"/>
        </w:rPr>
        <w:t>Informe de evaluación de impacto</w:t>
      </w:r>
      <w:r w:rsidRPr="00415B3E">
        <w:rPr>
          <w:rFonts w:asciiTheme="minorBidi" w:hAnsiTheme="minorBidi"/>
          <w:sz w:val="22"/>
          <w:szCs w:val="22"/>
          <w:lang w:val="es-419"/>
        </w:rPr>
        <w:t xml:space="preserve"> </w:t>
      </w:r>
      <w:r w:rsidRPr="00415B3E">
        <w:rPr>
          <w:rFonts w:asciiTheme="minorBidi" w:hAnsiTheme="minorBidi"/>
          <w:i/>
          <w:sz w:val="22"/>
          <w:szCs w:val="22"/>
          <w:lang w:val="es-419"/>
        </w:rPr>
        <w:t>del proyecto de</w:t>
      </w:r>
      <w:r w:rsidRPr="00415B3E">
        <w:rPr>
          <w:rFonts w:asciiTheme="minorBidi" w:hAnsiTheme="minorBidi"/>
          <w:sz w:val="22"/>
          <w:szCs w:val="22"/>
          <w:lang w:val="es-419"/>
        </w:rPr>
        <w:t xml:space="preserve"> </w:t>
      </w:r>
      <w:r w:rsidRPr="00415B3E">
        <w:rPr>
          <w:rFonts w:asciiTheme="minorBidi" w:hAnsiTheme="minorBidi"/>
          <w:i/>
          <w:sz w:val="22"/>
          <w:szCs w:val="22"/>
          <w:lang w:val="es-419"/>
        </w:rPr>
        <w:t>acceso a bases de datos especializadas y ayuda”</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27"/>
      </w:r>
      <w:r w:rsidRPr="00415B3E">
        <w:rPr>
          <w:rFonts w:asciiTheme="minorBidi" w:hAnsiTheme="minorBidi"/>
          <w:sz w:val="22"/>
          <w:szCs w:val="22"/>
          <w:lang w:val="es-419"/>
        </w:rPr>
        <w:t xml:space="preserve"> Los Estados miembros reconocieron la importante contribución del proyecto al fortalecimiento del ecosistema de creatividad en los países beneficiarios y apreciaron su ampliación a otros países de todo el mundo. Los avances de este </w:t>
      </w:r>
      <w:r w:rsidRPr="00415B3E">
        <w:rPr>
          <w:rFonts w:asciiTheme="minorBidi" w:hAnsiTheme="minorBidi"/>
          <w:sz w:val="22"/>
          <w:szCs w:val="22"/>
          <w:lang w:val="es-419"/>
        </w:rPr>
        <w:lastRenderedPageBreak/>
        <w:t>proyecto han fomentado una mayor sensibilización sobre la PI, han reforzado su protección y han mejorado la creación de valor, garantizando la sostenibilidad a largo plazo de la red de Centros de Apoyo a la Tecnología y la Innovación (CATI).</w:t>
      </w:r>
    </w:p>
    <w:p w14:paraId="3424D0F4"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En 2024 había 12 proyectos de la AD en curso, cuya ejecución se presentó al Comité mediante un </w:t>
      </w:r>
      <w:r w:rsidRPr="00415B3E">
        <w:rPr>
          <w:rFonts w:asciiTheme="minorBidi" w:hAnsiTheme="minorBidi"/>
          <w:i/>
          <w:sz w:val="22"/>
          <w:szCs w:val="22"/>
          <w:lang w:val="es-419"/>
        </w:rPr>
        <w:t>informe de situación</w:t>
      </w:r>
      <w:r w:rsidRPr="00415B3E">
        <w:rPr>
          <w:rFonts w:asciiTheme="minorBidi" w:hAnsiTheme="minorBidi"/>
          <w:sz w:val="22"/>
          <w:szCs w:val="22"/>
          <w:lang w:val="es-419"/>
        </w:rPr>
        <w:t>.</w:t>
      </w:r>
      <w:r w:rsidRPr="00415B3E">
        <w:rPr>
          <w:rStyle w:val="FootnoteReference"/>
          <w:rFonts w:asciiTheme="minorBidi" w:hAnsiTheme="minorBidi"/>
          <w:iCs/>
          <w:sz w:val="22"/>
          <w:szCs w:val="22"/>
          <w:lang w:val="es-419"/>
        </w:rPr>
        <w:footnoteReference w:id="28"/>
      </w:r>
      <w:r w:rsidRPr="00415B3E">
        <w:rPr>
          <w:rStyle w:val="FootnoteReference"/>
          <w:rFonts w:asciiTheme="minorBidi" w:hAnsiTheme="minorBidi"/>
          <w:iCs/>
          <w:sz w:val="22"/>
          <w:szCs w:val="22"/>
          <w:lang w:val="es-419"/>
        </w:rPr>
        <w:t xml:space="preserve"> </w:t>
      </w:r>
      <w:r w:rsidRPr="00415B3E">
        <w:rPr>
          <w:rFonts w:asciiTheme="minorBidi" w:hAnsiTheme="minorBidi"/>
          <w:sz w:val="22"/>
          <w:szCs w:val="22"/>
          <w:lang w:val="es-419"/>
        </w:rPr>
        <w:t xml:space="preserve"> Al examinar el </w:t>
      </w:r>
      <w:r w:rsidRPr="00415B3E">
        <w:rPr>
          <w:rFonts w:asciiTheme="minorBidi" w:hAnsiTheme="minorBidi"/>
          <w:i/>
          <w:sz w:val="22"/>
          <w:szCs w:val="22"/>
          <w:lang w:val="es-419"/>
        </w:rPr>
        <w:t>Informe de situación sobre la aplicación de las 45 recomendaciones de la Agenda para el Desarrollo,</w:t>
      </w:r>
      <w:r w:rsidRPr="00415B3E">
        <w:rPr>
          <w:rFonts w:asciiTheme="minorBidi" w:hAnsiTheme="minorBidi"/>
          <w:sz w:val="22"/>
          <w:szCs w:val="22"/>
          <w:lang w:val="es-419"/>
        </w:rPr>
        <w:t xml:space="preserve"> el Comité agradeció a la Secretaría la actualización de su estructura, que simplifica la presentación de la información.</w:t>
      </w:r>
      <w:r w:rsidRPr="00415B3E">
        <w:rPr>
          <w:rStyle w:val="FootnoteReference"/>
          <w:rFonts w:asciiTheme="minorBidi" w:hAnsiTheme="minorBidi"/>
          <w:iCs/>
          <w:sz w:val="22"/>
          <w:szCs w:val="22"/>
          <w:lang w:val="es-419"/>
        </w:rPr>
        <w:footnoteReference w:id="29"/>
      </w:r>
    </w:p>
    <w:p w14:paraId="0370E5F4"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i/>
          <w:iCs/>
          <w:sz w:val="22"/>
          <w:szCs w:val="22"/>
          <w:lang w:val="es-419"/>
        </w:rPr>
      </w:pPr>
      <w:r w:rsidRPr="00415B3E">
        <w:rPr>
          <w:rFonts w:asciiTheme="minorBidi" w:hAnsiTheme="minorBidi"/>
          <w:sz w:val="22"/>
          <w:szCs w:val="22"/>
          <w:lang w:val="es-419"/>
        </w:rPr>
        <w:t xml:space="preserve">El Comité acogió con satisfacción y debatió el documento titulado </w:t>
      </w:r>
      <w:r w:rsidRPr="00415B3E">
        <w:rPr>
          <w:rFonts w:asciiTheme="minorBidi" w:hAnsiTheme="minorBidi"/>
          <w:i/>
          <w:sz w:val="22"/>
          <w:szCs w:val="22"/>
          <w:lang w:val="es-419"/>
        </w:rPr>
        <w:t>“Examen externo independiente de la asistencia técnica de la OMPI en el ámbito de la cooperación para el desarrollo”</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30"/>
      </w:r>
      <w:r w:rsidRPr="00415B3E">
        <w:rPr>
          <w:rFonts w:asciiTheme="minorBidi" w:hAnsiTheme="minorBidi"/>
          <w:sz w:val="22"/>
          <w:szCs w:val="22"/>
          <w:lang w:val="es-419"/>
        </w:rPr>
        <w:t xml:space="preserve"> Los Estados miembros decidieron continuar el debate en la actual sesión del CDIP y pidieron a la Secretaría que preparara un documento en el que se detallara la situación de cada recomendación y los requisitos necesarios para su aplicación.</w:t>
      </w:r>
    </w:p>
    <w:p w14:paraId="1D3275CB"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i/>
          <w:iCs/>
          <w:sz w:val="22"/>
          <w:szCs w:val="22"/>
          <w:lang w:val="es-419"/>
        </w:rPr>
      </w:pPr>
      <w:r w:rsidRPr="00415B3E">
        <w:rPr>
          <w:rFonts w:asciiTheme="minorBidi" w:hAnsiTheme="minorBidi"/>
          <w:sz w:val="22"/>
          <w:szCs w:val="22"/>
          <w:lang w:val="es-419"/>
        </w:rPr>
        <w:t xml:space="preserve">Además, el CDIP tomó nota del octavo </w:t>
      </w:r>
      <w:r w:rsidRPr="00415B3E">
        <w:rPr>
          <w:rFonts w:asciiTheme="minorBidi" w:hAnsiTheme="minorBidi"/>
          <w:i/>
          <w:iCs/>
          <w:sz w:val="22"/>
          <w:szCs w:val="22"/>
          <w:lang w:val="es-419"/>
        </w:rPr>
        <w:t>Informe sobre la contribución de la OMPI a la aplicación de los objetivos de desarrollo sostenible y las metas conexas</w:t>
      </w:r>
      <w:r w:rsidRPr="00415B3E">
        <w:rPr>
          <w:rStyle w:val="FootnoteReference"/>
          <w:rFonts w:asciiTheme="minorBidi" w:hAnsiTheme="minorBidi"/>
          <w:i/>
          <w:sz w:val="22"/>
          <w:szCs w:val="22"/>
          <w:lang w:val="es-419"/>
        </w:rPr>
        <w:footnoteReference w:id="31"/>
      </w:r>
      <w:r w:rsidRPr="00415B3E">
        <w:rPr>
          <w:rFonts w:asciiTheme="minorBidi" w:hAnsiTheme="minorBidi"/>
          <w:sz w:val="22"/>
          <w:szCs w:val="22"/>
          <w:lang w:val="es-419"/>
        </w:rPr>
        <w:t xml:space="preserve"> y de algunos de los resultados, estudios y guías elaborados en el contexto de los proyectos de la AD.</w:t>
      </w:r>
    </w:p>
    <w:p w14:paraId="33DDB068"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Proyectos integrados de la AD</w:t>
      </w:r>
    </w:p>
    <w:p w14:paraId="5AC56071"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A continuación, se encuentran las partes destacadas del trabajo relacionado con los proyectos integrados de la AD:</w:t>
      </w:r>
    </w:p>
    <w:p w14:paraId="6111C702" w14:textId="77777777" w:rsidR="00FD5CE0" w:rsidRPr="00415B3E" w:rsidRDefault="00FD5CE0" w:rsidP="00FD5CE0">
      <w:pPr>
        <w:pStyle w:val="ListParagraph"/>
        <w:numPr>
          <w:ilvl w:val="0"/>
          <w:numId w:val="7"/>
        </w:numPr>
        <w:spacing w:after="240" w:line="240" w:lineRule="auto"/>
        <w:ind w:hanging="540"/>
        <w:contextualSpacing w:val="0"/>
        <w:rPr>
          <w:rFonts w:asciiTheme="minorBidi" w:hAnsiTheme="minorBidi"/>
          <w:sz w:val="22"/>
          <w:szCs w:val="22"/>
          <w:lang w:val="es-419"/>
        </w:rPr>
      </w:pPr>
      <w:r w:rsidRPr="00415B3E">
        <w:rPr>
          <w:rFonts w:asciiTheme="minorBidi" w:hAnsiTheme="minorBidi"/>
          <w:i/>
          <w:sz w:val="22"/>
          <w:szCs w:val="22"/>
          <w:lang w:val="es-419"/>
        </w:rPr>
        <w:t>Creación de academias nacionales de PI, actualmente, el Programa de instituciones de formación en propiedad intelectual (IPTI):</w:t>
      </w:r>
      <w:r w:rsidRPr="00415B3E">
        <w:rPr>
          <w:rFonts w:asciiTheme="minorBidi" w:hAnsiTheme="minorBidi"/>
          <w:sz w:val="22"/>
          <w:szCs w:val="22"/>
          <w:lang w:val="es-419"/>
        </w:rPr>
        <w:t xml:space="preserve"> la Academia de la OMPI siguió apoyando a los Estados miembros en la creación de sus propias capacidades de formación en PI mediante el establecimiento de instituciones de formación en PI autónomas centradas en objetivos y prioridades nacionales específicos. En 2024, se habían establecido 26 IPTI nacionales, junto con dos IPTI regionales en el marco de la Asociación de Naciones de Asia Sudoriental (ASEAN) y la Organización Regional Africana de la Propiedad Intelectual (ARIPO), beneficiando a 53 países en total. Se calcula que, al final del período que abarca el informe, las IPTI establecidas habían impartido aproximadamente 10 300 programas y actividades de formación para más de 650 000 participantes. Se impartieron con éxito 22 módulos de formación para formadores para más de 700 participantes de 19 países en 2024. Además, la Academia de la OMPI se asoció con IPTI establecidas para ejecutar 39 proyectos conjuntos, que han llegado a aproximadamente 1 600 personas, incluidos empresarios, mujeres, así como jóvenes y niños de comunidades indígenas. En el curso de Estrategias de formación en PI, que se adapta al ritmo del estudiante,</w:t>
      </w:r>
      <w:r w:rsidRPr="00415B3E">
        <w:rPr>
          <w:rStyle w:val="FootnoteReference"/>
          <w:rFonts w:asciiTheme="minorBidi" w:hAnsiTheme="minorBidi"/>
          <w:sz w:val="22"/>
          <w:szCs w:val="22"/>
          <w:lang w:val="es-419"/>
        </w:rPr>
        <w:footnoteReference w:id="32"/>
      </w:r>
      <w:r w:rsidRPr="00415B3E">
        <w:rPr>
          <w:rFonts w:asciiTheme="minorBidi" w:hAnsiTheme="minorBidi"/>
          <w:sz w:val="22"/>
          <w:szCs w:val="22"/>
          <w:lang w:val="es-419"/>
        </w:rPr>
        <w:t xml:space="preserve"> se inscribieron más de 1 350 participantes, mientras que la Red de IPTI, que cuenta con 28 miembros activos, organizó siete eventos en 2024 que reunieron en conjunto a más de 800 participantes, incluida una conferencia internacional para instituciones de formación en PI latinoamericanas y oficinas de PI de América Central.</w:t>
      </w:r>
    </w:p>
    <w:p w14:paraId="020C9084" w14:textId="77777777" w:rsidR="00FD5CE0" w:rsidRPr="00415B3E" w:rsidRDefault="00FD5CE0" w:rsidP="00FD5CE0">
      <w:pPr>
        <w:pStyle w:val="ListParagraph"/>
        <w:numPr>
          <w:ilvl w:val="0"/>
          <w:numId w:val="7"/>
        </w:numPr>
        <w:spacing w:after="0" w:line="240" w:lineRule="auto"/>
        <w:rPr>
          <w:rFonts w:asciiTheme="minorBidi" w:hAnsiTheme="minorBidi"/>
          <w:sz w:val="22"/>
          <w:szCs w:val="22"/>
          <w:lang w:val="es-419"/>
        </w:rPr>
      </w:pPr>
      <w:r w:rsidRPr="00415B3E">
        <w:rPr>
          <w:rFonts w:asciiTheme="minorBidi" w:hAnsiTheme="minorBidi"/>
          <w:i/>
          <w:sz w:val="22"/>
          <w:szCs w:val="22"/>
          <w:lang w:val="es-419"/>
        </w:rPr>
        <w:t>Fortalecimiento de capacidades en el uso de información técnica y científica relativa a tecnologías apropiadas para solucionar determinados problemas de desarrollo</w:t>
      </w:r>
      <w:r w:rsidRPr="00415B3E">
        <w:rPr>
          <w:rFonts w:asciiTheme="minorBidi" w:hAnsiTheme="minorBidi"/>
          <w:sz w:val="22"/>
          <w:szCs w:val="22"/>
          <w:lang w:val="es-419"/>
        </w:rPr>
        <w:t xml:space="preserve">: al facilitar el uso de la información técnica y científica de los documentos de patente, el proyecto pretende identificar las tecnologías apropiadas para abordar las necesidades específicas de desarrollo de los PMA y mejorar la capacidad nacional en este ámbito. </w:t>
      </w:r>
      <w:r w:rsidRPr="00415B3E">
        <w:rPr>
          <w:rFonts w:asciiTheme="minorBidi" w:hAnsiTheme="minorBidi"/>
          <w:sz w:val="22"/>
          <w:szCs w:val="22"/>
          <w:lang w:val="es-419"/>
        </w:rPr>
        <w:lastRenderedPageBreak/>
        <w:t xml:space="preserve">Se tomaron medidas continuas para potenciar la incidencia de estos proyectos en el desarrollo de los países beneficiarios y las comunidades locales. Se ha avanzado en la ejecución de los </w:t>
      </w:r>
      <w:r w:rsidRPr="00415B3E">
        <w:rPr>
          <w:rFonts w:asciiTheme="minorBidi" w:hAnsiTheme="minorBidi"/>
          <w:i/>
          <w:sz w:val="22"/>
          <w:szCs w:val="22"/>
          <w:lang w:val="es-419"/>
        </w:rPr>
        <w:t>Proyectos piloto sobre facilitación de la transferencia de tecnologías apropiadas en los PMA para el desarrollo comunitario a través de universidades e instituciones de investigación</w:t>
      </w:r>
      <w:r w:rsidRPr="00415B3E">
        <w:rPr>
          <w:rFonts w:asciiTheme="minorBidi" w:hAnsiTheme="minorBidi"/>
          <w:sz w:val="22"/>
          <w:szCs w:val="22"/>
          <w:lang w:val="es-419"/>
        </w:rPr>
        <w:t>, que se pusieron en marcha en 2023 en Bhután y Malawi. Se han realizado labores preparatorias para poner en marcha un proyecto similar en Camboya a principios de 2025. Para perfeccionar el modelo de proyecto sobre la base de los resultados y las lecciones aprendidas de los proyectos piloto mencionados, se han realizado nuevas revisiones y se ha elaborado un nuevo proyecto modelo sobre la facilitación de la transferencia de tecnología para el desarrollo comunitario en los PMA. Se han emprendido consultas y preparativos para reproducir estos proyectos según el modelo renovado en otros PMA beneficiarios.</w:t>
      </w:r>
    </w:p>
    <w:p w14:paraId="3710C3F0" w14:textId="77777777" w:rsidR="00FD5CE0" w:rsidRPr="00415B3E" w:rsidRDefault="00FD5CE0" w:rsidP="00FD5CE0">
      <w:pPr>
        <w:pStyle w:val="ListParagraph"/>
        <w:rPr>
          <w:rFonts w:asciiTheme="minorBidi" w:hAnsiTheme="minorBidi"/>
          <w:bCs/>
          <w:sz w:val="22"/>
          <w:szCs w:val="22"/>
          <w:lang w:val="es-419"/>
        </w:rPr>
      </w:pPr>
    </w:p>
    <w:p w14:paraId="19399992" w14:textId="77777777" w:rsidR="00FD5CE0" w:rsidRPr="00415B3E" w:rsidRDefault="00FD5CE0" w:rsidP="00FD5CE0">
      <w:pPr>
        <w:pStyle w:val="ListParagraph"/>
        <w:numPr>
          <w:ilvl w:val="0"/>
          <w:numId w:val="7"/>
        </w:numPr>
        <w:spacing w:after="240" w:line="240" w:lineRule="auto"/>
        <w:ind w:hanging="540"/>
        <w:contextualSpacing w:val="0"/>
        <w:rPr>
          <w:rFonts w:asciiTheme="minorBidi" w:hAnsiTheme="minorBidi"/>
          <w:sz w:val="22"/>
          <w:szCs w:val="22"/>
          <w:lang w:val="es-419"/>
        </w:rPr>
      </w:pPr>
      <w:r w:rsidRPr="00415B3E">
        <w:rPr>
          <w:rFonts w:asciiTheme="minorBidi" w:hAnsiTheme="minorBidi"/>
          <w:i/>
          <w:sz w:val="22"/>
          <w:szCs w:val="22"/>
          <w:lang w:val="es-419"/>
        </w:rPr>
        <w:t>La base de datos de asistencia técnica de PI (IP-TAD)</w:t>
      </w:r>
      <w:r w:rsidRPr="00415B3E">
        <w:rPr>
          <w:rStyle w:val="FootnoteReference"/>
          <w:rFonts w:asciiTheme="minorBidi" w:hAnsiTheme="minorBidi"/>
          <w:sz w:val="22"/>
          <w:szCs w:val="22"/>
          <w:lang w:val="es-419"/>
        </w:rPr>
        <w:footnoteReference w:id="33"/>
      </w:r>
      <w:r w:rsidRPr="00415B3E">
        <w:rPr>
          <w:rFonts w:asciiTheme="minorBidi" w:hAnsiTheme="minorBidi"/>
          <w:sz w:val="22"/>
          <w:szCs w:val="22"/>
          <w:lang w:val="es-419"/>
        </w:rPr>
        <w:t xml:space="preserve"> siguió dando cabida a las actividades de asistencia técnica realizadas de forma virtual o en formato híbrido. La base de datos presenta información relativa a las actividades de asistencia técnica de la Organización, mediante la recopilación de datos procedentes de los distintos programas y sectores que realizan actividades de cooperación orientadas al desarrollo. En 2024, la base de datos registró 1 037 actividades de asistencia técnica realizadas por la OMPI en 2023, con participantes de países en desarrollo, PMA y países con economías en transición.</w:t>
      </w:r>
    </w:p>
    <w:p w14:paraId="51C5362D" w14:textId="77777777" w:rsidR="00FD5CE0" w:rsidRPr="00415B3E" w:rsidRDefault="00FD5CE0" w:rsidP="00FD5CE0">
      <w:pPr>
        <w:pStyle w:val="ListParagraph"/>
        <w:numPr>
          <w:ilvl w:val="0"/>
          <w:numId w:val="7"/>
        </w:numPr>
        <w:spacing w:after="240" w:line="240" w:lineRule="auto"/>
        <w:ind w:hanging="540"/>
        <w:contextualSpacing w:val="0"/>
        <w:rPr>
          <w:rFonts w:asciiTheme="minorBidi" w:hAnsiTheme="minorBidi"/>
          <w:sz w:val="22"/>
          <w:szCs w:val="22"/>
          <w:lang w:val="es-419"/>
        </w:rPr>
      </w:pPr>
      <w:r w:rsidRPr="00415B3E">
        <w:rPr>
          <w:rFonts w:asciiTheme="minorBidi" w:hAnsiTheme="minorBidi"/>
          <w:i/>
          <w:sz w:val="22"/>
          <w:szCs w:val="22"/>
          <w:lang w:val="es-419"/>
        </w:rPr>
        <w:t xml:space="preserve">La base de datos de consultores de la OMPI (IP-ROC) </w:t>
      </w:r>
      <w:r w:rsidRPr="00415B3E">
        <w:rPr>
          <w:rFonts w:asciiTheme="minorBidi" w:hAnsiTheme="minorBidi"/>
          <w:sz w:val="22"/>
          <w:szCs w:val="22"/>
          <w:lang w:val="es-419"/>
        </w:rPr>
        <w:t>contiene información sobre los consultores al servicio de la Organización para llevar a cabo actividades específicas de asistencia técnica en materia de PI a escala nacional en países en desarrollo, países menos adelantados o países con economías en transición en el sector de la PI.</w:t>
      </w:r>
      <w:r w:rsidRPr="00415B3E">
        <w:rPr>
          <w:rStyle w:val="FootnoteReference"/>
          <w:rFonts w:asciiTheme="minorBidi" w:hAnsiTheme="minorBidi"/>
          <w:sz w:val="22"/>
          <w:szCs w:val="22"/>
          <w:lang w:val="es-419"/>
        </w:rPr>
        <w:footnoteReference w:id="34"/>
      </w:r>
      <w:r w:rsidRPr="00415B3E">
        <w:rPr>
          <w:rFonts w:asciiTheme="minorBidi" w:hAnsiTheme="minorBidi"/>
          <w:sz w:val="22"/>
          <w:szCs w:val="22"/>
          <w:lang w:val="es-419"/>
        </w:rPr>
        <w:t xml:space="preserve"> Un consultor puede ser un especialista en más de un ámbito de la PI y trabajar en más de un idioma. La función de búsquedas de la base de datos facilita la identificación de consultores por ámbito de especialización y actividad realizada. Concretamente, las búsquedas de consultores pueden efectuarse en función de diversos criterios, como sexo, nacionalidad, idioma, nombre, experiencia por sector de la PI, país beneficiario y año de actividad. En 2024, había 2 602 especialistas o consultores activos en la IP - ROC.</w:t>
      </w:r>
    </w:p>
    <w:p w14:paraId="15BC48C6" w14:textId="77777777" w:rsidR="00FD5CE0" w:rsidRPr="00415B3E" w:rsidRDefault="00FD5CE0" w:rsidP="00FD5CE0">
      <w:pPr>
        <w:pStyle w:val="ListParagraph"/>
        <w:numPr>
          <w:ilvl w:val="0"/>
          <w:numId w:val="7"/>
        </w:numPr>
        <w:spacing w:after="240" w:line="240" w:lineRule="auto"/>
        <w:ind w:hanging="540"/>
        <w:contextualSpacing w:val="0"/>
        <w:rPr>
          <w:rFonts w:asciiTheme="minorBidi" w:hAnsiTheme="minorBidi"/>
          <w:sz w:val="22"/>
          <w:szCs w:val="22"/>
          <w:lang w:val="es-419"/>
        </w:rPr>
      </w:pPr>
      <w:r w:rsidRPr="00415B3E">
        <w:rPr>
          <w:rFonts w:asciiTheme="minorBidi" w:hAnsiTheme="minorBidi"/>
          <w:i/>
          <w:sz w:val="22"/>
          <w:szCs w:val="22"/>
          <w:lang w:val="es-419"/>
        </w:rPr>
        <w:t xml:space="preserve">Base de datos de Vinculación para Atender las Necesidades de Desarrollo en materia de PI, </w:t>
      </w:r>
      <w:r w:rsidRPr="00415B3E">
        <w:rPr>
          <w:rFonts w:asciiTheme="minorBidi" w:hAnsiTheme="minorBidi"/>
          <w:sz w:val="22"/>
          <w:szCs w:val="22"/>
          <w:lang w:val="es-419"/>
        </w:rPr>
        <w:t xml:space="preserve">actualmente, </w:t>
      </w:r>
      <w:r w:rsidRPr="00415B3E">
        <w:rPr>
          <w:rFonts w:asciiTheme="minorBidi" w:hAnsiTheme="minorBidi"/>
          <w:i/>
          <w:sz w:val="22"/>
          <w:szCs w:val="22"/>
          <w:lang w:val="es-419"/>
        </w:rPr>
        <w:t>WIPO Match</w:t>
      </w:r>
      <w:r w:rsidRPr="00415B3E">
        <w:rPr>
          <w:rFonts w:asciiTheme="minorBidi" w:hAnsiTheme="minorBidi"/>
          <w:sz w:val="22"/>
          <w:szCs w:val="22"/>
          <w:lang w:val="es-419"/>
        </w:rPr>
        <w:t xml:space="preserve">: En la vigesimoctava sesión del CDIP, celebrada en abril de 2022, la Secretaría presentó al Comité, para su examen, un documento sobre la </w:t>
      </w:r>
      <w:r w:rsidRPr="00415B3E">
        <w:rPr>
          <w:rFonts w:asciiTheme="minorBidi" w:hAnsiTheme="minorBidi"/>
          <w:i/>
          <w:sz w:val="22"/>
          <w:szCs w:val="22"/>
          <w:lang w:val="es-419"/>
        </w:rPr>
        <w:t>“Estrategia para la mejora futura de WIPO Match”</w:t>
      </w:r>
      <w:r w:rsidRPr="00415B3E">
        <w:rPr>
          <w:rFonts w:asciiTheme="minorBidi" w:hAnsiTheme="minorBidi"/>
          <w:sz w:val="22"/>
          <w:szCs w:val="22"/>
          <w:lang w:val="es-419"/>
        </w:rPr>
        <w:t>,</w:t>
      </w:r>
      <w:r w:rsidRPr="00415B3E">
        <w:rPr>
          <w:rStyle w:val="FootnoteReference"/>
          <w:rFonts w:asciiTheme="minorBidi" w:hAnsiTheme="minorBidi"/>
          <w:iCs/>
          <w:sz w:val="22"/>
          <w:szCs w:val="22"/>
          <w:lang w:val="es-419"/>
        </w:rPr>
        <w:footnoteReference w:id="35"/>
      </w:r>
      <w:r w:rsidRPr="00415B3E">
        <w:rPr>
          <w:rFonts w:asciiTheme="minorBidi" w:hAnsiTheme="minorBidi"/>
          <w:sz w:val="22"/>
          <w:szCs w:val="22"/>
          <w:lang w:val="es-419"/>
        </w:rPr>
        <w:t xml:space="preserve"> en el que se esbozan los principios en los que se basarán los ajustes de la finalidad, los objetivos y las funcionalidades de la plataforma WIPO Match. Posteriormente, se presentó al Comité una actualización de dicha Estrategia para que la examinara en su trigésima tercera sesión, celebrada en diciembre de 2024, en la que se detallaban las mejoras técnicas que se proponía introducir en la Plataforma Match de la OMPI.</w:t>
      </w:r>
      <w:r w:rsidRPr="00415B3E">
        <w:rPr>
          <w:rStyle w:val="FootnoteReference"/>
          <w:rFonts w:asciiTheme="minorBidi" w:hAnsiTheme="minorBidi"/>
          <w:iCs/>
          <w:sz w:val="22"/>
          <w:szCs w:val="22"/>
          <w:lang w:val="es-419"/>
        </w:rPr>
        <w:footnoteReference w:id="36"/>
      </w:r>
      <w:r w:rsidRPr="00415B3E">
        <w:rPr>
          <w:rFonts w:asciiTheme="minorBidi" w:hAnsiTheme="minorBidi"/>
          <w:sz w:val="22"/>
          <w:szCs w:val="22"/>
          <w:lang w:val="es-419"/>
        </w:rPr>
        <w:t xml:space="preserve"> El Comité acogió con satisfacción la Estrategia actualizada y pidió a la Secretaría que comenzara a aplicarla y que informara sobre los progresos realizados en su </w:t>
      </w:r>
      <w:r w:rsidRPr="00415B3E">
        <w:rPr>
          <w:rFonts w:asciiTheme="minorBidi" w:hAnsiTheme="minorBidi"/>
          <w:i/>
          <w:sz w:val="22"/>
          <w:szCs w:val="22"/>
          <w:lang w:val="es-419"/>
        </w:rPr>
        <w:t>Informe de situación sobre las 45 recomendaciones de la Agenda para el Desarrollo</w:t>
      </w:r>
      <w:r w:rsidRPr="00415B3E">
        <w:rPr>
          <w:rFonts w:asciiTheme="minorBidi" w:hAnsiTheme="minorBidi"/>
          <w:sz w:val="22"/>
          <w:szCs w:val="22"/>
          <w:lang w:val="es-419"/>
        </w:rPr>
        <w:t xml:space="preserve">. La Secretaría presentará una evaluación en 2027. Desde 2023, la Secretaría trabaja en la aplicación de la Estrategia. Uno de los resultados tangibles es el desarrollo, y la puesta en marcha, de una página </w:t>
      </w:r>
      <w:r w:rsidRPr="00415B3E">
        <w:rPr>
          <w:rFonts w:asciiTheme="minorBidi" w:hAnsiTheme="minorBidi"/>
          <w:sz w:val="22"/>
          <w:szCs w:val="22"/>
          <w:lang w:val="es-419"/>
        </w:rPr>
        <w:lastRenderedPageBreak/>
        <w:t>web integrada y de fácil uso denominada Centro de Cooperación de la OMPI,</w:t>
      </w:r>
      <w:r w:rsidRPr="00415B3E">
        <w:rPr>
          <w:rStyle w:val="FootnoteReference"/>
          <w:rFonts w:asciiTheme="minorBidi" w:hAnsiTheme="minorBidi"/>
          <w:iCs/>
          <w:sz w:val="22"/>
          <w:szCs w:val="22"/>
          <w:lang w:val="es-419"/>
        </w:rPr>
        <w:footnoteReference w:id="37"/>
      </w:r>
      <w:r w:rsidRPr="00415B3E">
        <w:rPr>
          <w:rFonts w:asciiTheme="minorBidi" w:hAnsiTheme="minorBidi"/>
          <w:sz w:val="22"/>
          <w:szCs w:val="22"/>
          <w:lang w:val="es-419"/>
        </w:rPr>
        <w:t xml:space="preserve"> que sirve de punto de entrada a la plataforma WIPO Match y a otros recursos, materiales y herramientas relacionados con el desarrollo, como el Catálogo de proyectos y resultados de la Agenda para el Desarrollo, la Base de Datos de Asistencia Técnica de PI (IP-TAD), la Lista de Consultores en PI (IP-ROC) y IP Advantage. El Centro de Cooperación de la OMPI pretende ofrecer un espacio para el intercambio de conocimientos, experiencias e información destinado a apoyar iniciativas eficaces de cooperación Sur-Sur y Triangular en diversos ámbitos de la PI y la innovación. La propia plataforma WIPO Match está siendo objeto de mejoras técnicas y reestructuración con el fin de ofrecer más herramientas, servicios y funcionalidades que ayuden a obtener mejores resultados y repercusión.</w:t>
      </w:r>
    </w:p>
    <w:p w14:paraId="73408109" w14:textId="77777777" w:rsidR="00FD5CE0" w:rsidRPr="00415B3E" w:rsidRDefault="00FD5CE0" w:rsidP="00FD5CE0">
      <w:pPr>
        <w:pStyle w:val="ListParagraph"/>
        <w:numPr>
          <w:ilvl w:val="0"/>
          <w:numId w:val="7"/>
        </w:numPr>
        <w:spacing w:after="240" w:line="240" w:lineRule="auto"/>
        <w:ind w:hanging="540"/>
        <w:contextualSpacing w:val="0"/>
        <w:rPr>
          <w:rFonts w:asciiTheme="minorBidi" w:hAnsiTheme="minorBidi"/>
          <w:sz w:val="22"/>
          <w:szCs w:val="22"/>
          <w:lang w:val="es-419"/>
        </w:rPr>
      </w:pPr>
      <w:r w:rsidRPr="00415B3E">
        <w:rPr>
          <w:rFonts w:asciiTheme="minorBidi" w:hAnsiTheme="minorBidi"/>
          <w:i/>
          <w:sz w:val="22"/>
          <w:szCs w:val="22"/>
          <w:lang w:val="es-419"/>
        </w:rPr>
        <w:t>Intensificación de la Cooperación Sur-Sur en materia de PI y desarrollo entre los países en desarrollo y los PMA</w:t>
      </w:r>
      <w:r w:rsidRPr="00415B3E">
        <w:rPr>
          <w:rFonts w:asciiTheme="minorBidi" w:hAnsiTheme="minorBidi"/>
          <w:sz w:val="22"/>
          <w:szCs w:val="22"/>
          <w:lang w:val="es-419"/>
        </w:rPr>
        <w:t xml:space="preserve"> El éxito de las dos mesas redondas sobre el fomento de la cooperación Sur-Sur y triangular en materia de PI e innovación celebradas anteriormente ha marcado la pauta de la labor de la Organización en este ámbito. Estas mesas redondas definieron grupos temáticos, como la innovación ecológica y agrícola, la transferencia de tecnología, la gestión de la PI, la PI y la digitalización, las economías creativas y la IA en la prestación de servicios de PI, y retos, como el nivel de exposición a la tecnología, los limitados recursos financieros y humanos, y la necesidad de fomentar la participación del sector privado, implicar a los responsables de la toma de decisiones e institucionalizar la evaluación de los efectos. Como parte del sistema de las Naciones Unidas, la OMPI ha participado activamente en las reuniones del Mecanismo Interinstitucional para la Cooperación Sur-Sur y Triangular, organizado por la Oficina de las Naciones Unidas para la Cooperación Sur-Sur (UNOSSC).</w:t>
      </w:r>
    </w:p>
    <w:p w14:paraId="0CA31D73" w14:textId="77777777" w:rsidR="00FD5CE0" w:rsidRPr="00415B3E" w:rsidRDefault="00FD5CE0" w:rsidP="00FD5CE0">
      <w:pPr>
        <w:pStyle w:val="ListParagraph"/>
        <w:numPr>
          <w:ilvl w:val="0"/>
          <w:numId w:val="7"/>
        </w:numPr>
        <w:spacing w:after="240" w:line="240" w:lineRule="auto"/>
        <w:ind w:hanging="540"/>
        <w:contextualSpacing w:val="0"/>
        <w:rPr>
          <w:rFonts w:asciiTheme="minorBidi" w:hAnsiTheme="minorBidi"/>
          <w:sz w:val="22"/>
          <w:szCs w:val="22"/>
          <w:lang w:val="es-419"/>
        </w:rPr>
      </w:pPr>
      <w:r w:rsidRPr="00415B3E">
        <w:rPr>
          <w:rFonts w:asciiTheme="minorBidi" w:hAnsiTheme="minorBidi"/>
          <w:i/>
          <w:sz w:val="22"/>
          <w:szCs w:val="22"/>
          <w:lang w:val="es-419"/>
        </w:rPr>
        <w:t>Herramientas para la elaboración de propuestas de proyectos de la Agenda para el Desarrollo</w:t>
      </w:r>
      <w:r w:rsidRPr="00415B3E">
        <w:rPr>
          <w:rFonts w:asciiTheme="minorBidi" w:hAnsiTheme="minorBidi"/>
          <w:sz w:val="22"/>
          <w:szCs w:val="22"/>
          <w:lang w:val="es-419"/>
        </w:rPr>
        <w:t xml:space="preserve">: tras completar el proyecto, la nueva metodología de proyectos de la AD </w:t>
      </w:r>
      <w:r w:rsidRPr="00415B3E">
        <w:rPr>
          <w:rStyle w:val="bumpedfont20"/>
          <w:rFonts w:asciiTheme="minorBidi" w:hAnsiTheme="minorBidi"/>
          <w:sz w:val="22"/>
          <w:szCs w:val="22"/>
          <w:lang w:val="es-419"/>
        </w:rPr>
        <w:t>se incorporó a la labor regular de la OMPI, incluidos</w:t>
      </w:r>
      <w:r w:rsidRPr="00415B3E">
        <w:rPr>
          <w:rFonts w:asciiTheme="minorBidi" w:hAnsiTheme="minorBidi"/>
          <w:sz w:val="22"/>
          <w:szCs w:val="22"/>
          <w:lang w:val="es-419"/>
        </w:rPr>
        <w:t xml:space="preserve"> el Catálogo en línea sobre proyectos de la AD,</w:t>
      </w:r>
      <w:r w:rsidRPr="00415B3E">
        <w:rPr>
          <w:rStyle w:val="FootnoteReference"/>
          <w:rFonts w:asciiTheme="minorBidi" w:hAnsiTheme="minorBidi"/>
          <w:sz w:val="22"/>
          <w:szCs w:val="22"/>
          <w:lang w:val="es-419"/>
        </w:rPr>
        <w:footnoteReference w:id="38"/>
      </w:r>
      <w:r w:rsidRPr="00415B3E">
        <w:rPr>
          <w:rFonts w:asciiTheme="minorBidi" w:hAnsiTheme="minorBidi"/>
          <w:sz w:val="22"/>
          <w:szCs w:val="22"/>
          <w:lang w:val="es-419"/>
        </w:rPr>
        <w:t xml:space="preserve"> la Guía sobre gestión de proyectos de la AD,</w:t>
      </w:r>
      <w:r w:rsidRPr="00415B3E">
        <w:rPr>
          <w:rStyle w:val="FootnoteReference"/>
          <w:rFonts w:asciiTheme="minorBidi" w:hAnsiTheme="minorBidi"/>
          <w:sz w:val="22"/>
          <w:szCs w:val="22"/>
          <w:lang w:val="es-419"/>
        </w:rPr>
        <w:footnoteReference w:id="39"/>
      </w:r>
      <w:r w:rsidRPr="00415B3E">
        <w:rPr>
          <w:rFonts w:asciiTheme="minorBidi" w:hAnsiTheme="minorBidi"/>
          <w:sz w:val="22"/>
          <w:szCs w:val="22"/>
          <w:lang w:val="es-419"/>
        </w:rPr>
        <w:t xml:space="preserve"> el Curso de enseñanza a distancia sobre proyectos de la AD exitosos, del que se beneficiaron 119 participantes en 2024 y cursos de formación personalizados sobre desarrollo y ejecución de proyectos para los Estados miembros y otras partes interesadas pertinentes. En la vigesimonovena sesión del CDIP, el Comité pidió a la Secretaría que realizara una revisión del proyecto en 2024. Este Informe de Revisión fue examinado en la trigésima tercera sesión del Comité, en la que las delegaciones destacaron el éxito del proyecto y solicitaron a la Secretaría que siguiera integrando sus resultados, asegurándose de que se mantuvieran actualizados y visibles. Además, el Comité pidió a la Secretaría que realizara una revisión de la metodología y los resultados del proyecto en 2027.</w:t>
      </w:r>
    </w:p>
    <w:p w14:paraId="68AD7CE5" w14:textId="77777777" w:rsidR="00FD5CE0" w:rsidRPr="00415B3E" w:rsidRDefault="00FD5CE0" w:rsidP="00FD5CE0">
      <w:pPr>
        <w:pStyle w:val="ListParagraph"/>
        <w:numPr>
          <w:ilvl w:val="0"/>
          <w:numId w:val="7"/>
        </w:numPr>
        <w:spacing w:after="240" w:line="240" w:lineRule="auto"/>
        <w:ind w:hanging="540"/>
        <w:contextualSpacing w:val="0"/>
        <w:rPr>
          <w:rFonts w:asciiTheme="minorBidi" w:hAnsiTheme="minorBidi"/>
          <w:sz w:val="22"/>
          <w:szCs w:val="22"/>
          <w:lang w:val="es-419"/>
        </w:rPr>
      </w:pPr>
      <w:r w:rsidRPr="00415B3E">
        <w:rPr>
          <w:rFonts w:asciiTheme="minorBidi" w:hAnsiTheme="minorBidi"/>
          <w:sz w:val="22"/>
          <w:szCs w:val="22"/>
          <w:lang w:val="es-419"/>
        </w:rPr>
        <w:t xml:space="preserve"> Las actividades del proyecto sobre </w:t>
      </w:r>
      <w:r w:rsidRPr="00415B3E">
        <w:rPr>
          <w:rFonts w:asciiTheme="minorBidi" w:hAnsiTheme="minorBidi"/>
          <w:i/>
          <w:sz w:val="22"/>
          <w:szCs w:val="22"/>
          <w:lang w:val="es-419"/>
        </w:rPr>
        <w:t xml:space="preserve">PI y desarrollo de marcas de producto para el fomento de las empresas de países en desarrollo y PMA </w:t>
      </w:r>
      <w:r w:rsidRPr="00415B3E">
        <w:rPr>
          <w:rFonts w:asciiTheme="minorBidi" w:hAnsiTheme="minorBidi"/>
          <w:sz w:val="22"/>
          <w:szCs w:val="22"/>
          <w:lang w:val="es-419"/>
        </w:rPr>
        <w:t xml:space="preserve">se integraron en la labor ordinaria del Sector y en su prestación de asistencia técnica en los ámbitos del desarrollo de marcas de productos y el desarrollo empresarial. Por ejemplo, en la República Democrática Popular Lao, la Agencia Japonesa de Cooperación Internacional (JICA) continuó la iniciativa One District One Product (ODOP) apoyando a las pequeñas empresas mediante mejoras en su cadena de suministro y sus operaciones comerciales. En 2024, la OMPI siguió apoyando el desarrollo de marcas ODOP. Como resultado, se renovaron las marcas de 23 productos y se presentaron un total de 26 solicitudes de registro de marca. En Bangladesh, la OMPI siguió ejecutando un proyecto de apoyo a las 20 principales empresas dirigidas por mujeres que producen alfombras </w:t>
      </w:r>
      <w:r w:rsidRPr="00415B3E">
        <w:rPr>
          <w:rFonts w:asciiTheme="minorBidi" w:hAnsiTheme="minorBidi"/>
          <w:sz w:val="22"/>
          <w:szCs w:val="22"/>
          <w:lang w:val="es-419"/>
        </w:rPr>
        <w:lastRenderedPageBreak/>
        <w:t>Shataranji de Rangpur.</w:t>
      </w:r>
      <w:r w:rsidRPr="00415B3E">
        <w:rPr>
          <w:rStyle w:val="FootnoteReference"/>
          <w:rFonts w:asciiTheme="minorBidi" w:hAnsiTheme="minorBidi"/>
          <w:sz w:val="22"/>
          <w:szCs w:val="22"/>
          <w:lang w:val="es-419"/>
        </w:rPr>
        <w:footnoteReference w:id="40"/>
      </w:r>
      <w:r w:rsidRPr="00415B3E">
        <w:rPr>
          <w:rFonts w:asciiTheme="minorBidi" w:hAnsiTheme="minorBidi"/>
          <w:sz w:val="22"/>
          <w:szCs w:val="22"/>
          <w:lang w:val="es-419"/>
        </w:rPr>
        <w:t xml:space="preserve"> Durante el período examinado, estas empresas experimentaron un enorme aumento de la demanda de sus productos gracias al uso de la marca colectiva registrada y de marcas individuales para comercializar productos a través de diferentes canales, como las redes sociales.</w:t>
      </w:r>
    </w:p>
    <w:p w14:paraId="629D5F44"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Proyectos de la AD en curso</w:t>
      </w:r>
    </w:p>
    <w:p w14:paraId="4A5C9A21"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se encarga de la aplicación de los siguientes proyectos de la AD en curso:</w:t>
      </w:r>
    </w:p>
    <w:p w14:paraId="5D91C971" w14:textId="77777777" w:rsidR="00FD5CE0" w:rsidRPr="00415B3E" w:rsidRDefault="00FD5CE0" w:rsidP="00FD5CE0">
      <w:pPr>
        <w:pStyle w:val="ListParagraph"/>
        <w:numPr>
          <w:ilvl w:val="0"/>
          <w:numId w:val="22"/>
        </w:numPr>
        <w:spacing w:after="240" w:line="240" w:lineRule="auto"/>
        <w:contextualSpacing w:val="0"/>
        <w:rPr>
          <w:rFonts w:asciiTheme="minorBidi" w:hAnsiTheme="minorBidi"/>
          <w:sz w:val="22"/>
          <w:szCs w:val="22"/>
          <w:lang w:val="es-419"/>
        </w:rPr>
      </w:pPr>
      <w:r w:rsidRPr="00415B3E">
        <w:rPr>
          <w:rFonts w:asciiTheme="minorBidi" w:hAnsiTheme="minorBidi"/>
          <w:i/>
          <w:sz w:val="22"/>
          <w:szCs w:val="22"/>
          <w:lang w:val="es-419"/>
        </w:rPr>
        <w:t>Reducción de los accidentes laborales y las enfermedades profesionales mediante la innovación y la PI</w:t>
      </w:r>
      <w:r w:rsidRPr="00415B3E">
        <w:rPr>
          <w:rFonts w:asciiTheme="minorBidi" w:hAnsiTheme="minorBidi"/>
          <w:sz w:val="22"/>
          <w:szCs w:val="22"/>
          <w:lang w:val="es-419"/>
        </w:rPr>
        <w:t>,</w:t>
      </w:r>
      <w:r w:rsidRPr="00415B3E">
        <w:rPr>
          <w:rFonts w:asciiTheme="minorBidi" w:hAnsiTheme="minorBidi"/>
          <w:i/>
          <w:sz w:val="22"/>
          <w:szCs w:val="22"/>
          <w:lang w:val="es-419"/>
        </w:rPr>
        <w:t xml:space="preserve"> </w:t>
      </w:r>
      <w:r w:rsidRPr="00415B3E">
        <w:rPr>
          <w:rFonts w:asciiTheme="minorBidi" w:hAnsiTheme="minorBidi"/>
          <w:sz w:val="22"/>
          <w:szCs w:val="22"/>
          <w:lang w:val="es-419"/>
        </w:rPr>
        <w:t>cuyos objetivos son: i) explorar la función de las herramientas de PI y la innovación para proporcionar un ambiente más seguro para los trabajadores; y ii) contribuir a la disminución de accidentes laborales y enfermedades profesionales mediante el uso de herramientas de PI y la promoción de la innovación. Se ha seleccionado un coordinador nacional y se ha desarrollado y aprobado un plan de proyecto a medida para cada país beneficiario.</w:t>
      </w:r>
      <w:r w:rsidRPr="00415B3E">
        <w:rPr>
          <w:rStyle w:val="FootnoteReference"/>
          <w:rFonts w:asciiTheme="minorBidi" w:hAnsiTheme="minorBidi"/>
          <w:sz w:val="22"/>
          <w:szCs w:val="22"/>
          <w:lang w:val="es-419"/>
        </w:rPr>
        <w:footnoteReference w:id="41"/>
      </w:r>
      <w:r w:rsidRPr="00415B3E">
        <w:rPr>
          <w:rFonts w:asciiTheme="minorBidi" w:hAnsiTheme="minorBidi"/>
          <w:sz w:val="22"/>
          <w:szCs w:val="22"/>
          <w:lang w:val="es-419"/>
        </w:rPr>
        <w:t xml:space="preserve"> En 2024, se llevó a cabo un estudio exploratorio para evaluar el panorama en cada país en materia de salud y seguridad en el trabajo, junto con un </w:t>
      </w:r>
      <w:r w:rsidRPr="00415B3E">
        <w:rPr>
          <w:rFonts w:asciiTheme="minorBidi" w:hAnsiTheme="minorBidi"/>
          <w:i/>
          <w:sz w:val="22"/>
          <w:szCs w:val="22"/>
          <w:lang w:val="es-419"/>
        </w:rPr>
        <w:t>informe sobre la actividad de patentamiento mundial</w:t>
      </w:r>
      <w:r w:rsidRPr="00415B3E">
        <w:rPr>
          <w:rFonts w:asciiTheme="minorBidi" w:hAnsiTheme="minorBidi"/>
          <w:sz w:val="22"/>
          <w:szCs w:val="22"/>
          <w:lang w:val="es-419"/>
        </w:rPr>
        <w:t xml:space="preserve"> con un análisis en profundidad de las patentes. Se han celebrado reuniones periódicas para examinar los avances y garantizar una aplicación eficaz. Se pondrá en marcha el </w:t>
      </w:r>
      <w:r w:rsidRPr="00415B3E">
        <w:rPr>
          <w:rFonts w:asciiTheme="minorBidi" w:hAnsiTheme="minorBidi"/>
          <w:i/>
          <w:sz w:val="22"/>
          <w:szCs w:val="22"/>
          <w:lang w:val="es-419"/>
        </w:rPr>
        <w:t>informe sobre la actividad de patentamiento mundial</w:t>
      </w:r>
      <w:r w:rsidRPr="00415B3E">
        <w:rPr>
          <w:rFonts w:asciiTheme="minorBidi" w:hAnsiTheme="minorBidi"/>
          <w:sz w:val="22"/>
          <w:szCs w:val="22"/>
          <w:lang w:val="es-419"/>
        </w:rPr>
        <w:t xml:space="preserve"> durante la presente sesión del CDIP, y también se presentará el estudio exploratorio.</w:t>
      </w:r>
    </w:p>
    <w:p w14:paraId="3CE9CBA4" w14:textId="77777777" w:rsidR="00FD5CE0" w:rsidRPr="00415B3E" w:rsidRDefault="00FD5CE0" w:rsidP="00FD5CE0">
      <w:pPr>
        <w:pStyle w:val="ListParagraph"/>
        <w:numPr>
          <w:ilvl w:val="0"/>
          <w:numId w:val="22"/>
        </w:numPr>
        <w:spacing w:after="480" w:line="240" w:lineRule="auto"/>
        <w:ind w:left="992"/>
        <w:contextualSpacing w:val="0"/>
        <w:rPr>
          <w:rFonts w:asciiTheme="minorBidi" w:hAnsiTheme="minorBidi"/>
          <w:iCs/>
          <w:sz w:val="22"/>
          <w:szCs w:val="22"/>
          <w:lang w:val="es-419"/>
        </w:rPr>
      </w:pPr>
      <w:r w:rsidRPr="00415B3E">
        <w:rPr>
          <w:rFonts w:asciiTheme="minorBidi" w:hAnsiTheme="minorBidi"/>
          <w:i/>
          <w:sz w:val="22"/>
          <w:szCs w:val="22"/>
          <w:lang w:val="es-419"/>
        </w:rPr>
        <w:t>Fortalecer la posición de la juventud (edad escolar) e innovar para un futuro mejor</w:t>
      </w:r>
      <w:r w:rsidRPr="00415B3E">
        <w:rPr>
          <w:rFonts w:asciiTheme="minorBidi" w:hAnsiTheme="minorBidi"/>
          <w:sz w:val="22"/>
          <w:szCs w:val="22"/>
          <w:lang w:val="es-419"/>
        </w:rPr>
        <w:t xml:space="preserve"> El programa </w:t>
      </w:r>
      <w:r w:rsidRPr="00415B3E">
        <w:rPr>
          <w:rFonts w:asciiTheme="minorBidi" w:hAnsiTheme="minorBidi"/>
          <w:i/>
          <w:sz w:val="22"/>
          <w:szCs w:val="22"/>
          <w:lang w:val="es-419"/>
        </w:rPr>
        <w:t>IP4Youth&amp;Teachers</w:t>
      </w:r>
      <w:r w:rsidRPr="00415B3E">
        <w:rPr>
          <w:rFonts w:asciiTheme="minorBidi" w:hAnsiTheme="minorBidi"/>
          <w:sz w:val="22"/>
          <w:szCs w:val="22"/>
          <w:lang w:val="es-419"/>
        </w:rPr>
        <w:t xml:space="preserve"> de la Academia de la OMPI</w:t>
      </w:r>
      <w:r w:rsidRPr="00415B3E">
        <w:rPr>
          <w:rStyle w:val="FootnoteReference"/>
          <w:rFonts w:asciiTheme="minorBidi" w:hAnsiTheme="minorBidi"/>
          <w:sz w:val="22"/>
          <w:szCs w:val="22"/>
          <w:lang w:val="es-419"/>
        </w:rPr>
        <w:footnoteReference w:id="42"/>
      </w:r>
      <w:r w:rsidRPr="00415B3E">
        <w:rPr>
          <w:rFonts w:asciiTheme="minorBidi" w:hAnsiTheme="minorBidi"/>
          <w:sz w:val="22"/>
          <w:szCs w:val="22"/>
          <w:lang w:val="es-419"/>
        </w:rPr>
        <w:t xml:space="preserve"> gestiona este proyecto en curso con el objetivo general de capacitar a los escolares (edad escolar o 5-18 años) de los países beneficiarios</w:t>
      </w:r>
      <w:r w:rsidRPr="00415B3E">
        <w:rPr>
          <w:rStyle w:val="FootnoteReference"/>
          <w:rFonts w:asciiTheme="minorBidi" w:hAnsiTheme="minorBidi"/>
          <w:sz w:val="22"/>
          <w:szCs w:val="22"/>
          <w:lang w:val="es-419"/>
        </w:rPr>
        <w:footnoteReference w:id="43"/>
      </w:r>
      <w:r w:rsidRPr="00415B3E">
        <w:rPr>
          <w:rFonts w:asciiTheme="minorBidi" w:hAnsiTheme="minorBidi"/>
          <w:sz w:val="22"/>
          <w:szCs w:val="22"/>
          <w:lang w:val="es-419"/>
        </w:rPr>
        <w:t xml:space="preserve"> para que participen más en la educación CTIM y en actividades innovadoras. El proyecto también sensibilizará sobre el papel del espíritu inventivo y la creatividad, vinculándolo a la PI, la investigación en colaboración, la creación de redes y otras actividades y planes de estudio aplicables y adecuados a la edad para apoyar este objetivo. En 2024, el proyecto se encontraba en las primeras fases de trazado y evaluación. Ese trazado definirá pasos y soluciones para posibilitar, promover y hacer avanzar la formación en CTIM y las actividades innovadoras relacionadas entre los estudiantes de enseñanza primaria, secundaria y superior.</w:t>
      </w:r>
    </w:p>
    <w:p w14:paraId="70363961" w14:textId="77777777" w:rsidR="00FD5CE0" w:rsidRPr="00415B3E" w:rsidRDefault="00FD5CE0" w:rsidP="00FF375D">
      <w:pPr>
        <w:pStyle w:val="Heading1"/>
        <w:numPr>
          <w:ilvl w:val="0"/>
          <w:numId w:val="25"/>
        </w:numPr>
        <w:spacing w:after="120"/>
        <w:ind w:left="0" w:firstLine="0"/>
        <w:rPr>
          <w:rFonts w:asciiTheme="minorBidi" w:hAnsiTheme="minorBidi" w:cstheme="minorBidi"/>
          <w:szCs w:val="22"/>
          <w:lang w:val="es-419"/>
        </w:rPr>
      </w:pPr>
      <w:r w:rsidRPr="00415B3E">
        <w:rPr>
          <w:rFonts w:asciiTheme="minorBidi" w:hAnsiTheme="minorBidi" w:cstheme="minorBidi"/>
          <w:szCs w:val="22"/>
          <w:lang w:val="es-419"/>
        </w:rPr>
        <w:t>Sector de Patentes y Tecnología</w:t>
      </w:r>
    </w:p>
    <w:p w14:paraId="6B44202B" w14:textId="77777777" w:rsidR="00FD5CE0" w:rsidRPr="00415B3E" w:rsidRDefault="00FD5CE0" w:rsidP="00FD5CE0">
      <w:pPr>
        <w:pStyle w:val="ListParagraph"/>
        <w:numPr>
          <w:ilvl w:val="0"/>
          <w:numId w:val="13"/>
        </w:numPr>
        <w:spacing w:after="36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de Patentes y Tecnología mantuvo su compromiso de ayudar a los Estados miembros a reforzar sus marcos legislativos para proteger valiosos activos innovadores. Ha desempeñado un papel clave a la hora de facilitar el proceso normativo impulsado por los Estados miembros, fomentando un entorno propicio al diálogo y la colaboración. Durante el período que abarca el informe, el Sector amplió su divulgación mediante iniciativas de formación y fortalecimiento de capacidades en los PMA, los países en desarrollo y los países con economías en transición. Además, coordinó los esfuerzos de la Organización para dar forma a su enfoque estratégico de apoyo a las mujeres en la innovación y la PI.</w:t>
      </w:r>
    </w:p>
    <w:p w14:paraId="2F92FB0C" w14:textId="77777777" w:rsidR="00FD5CE0" w:rsidRPr="00415B3E" w:rsidRDefault="00FD5CE0" w:rsidP="004A1B4D">
      <w:pPr>
        <w:pStyle w:val="Heading2"/>
        <w:keepNext w:val="0"/>
        <w:rPr>
          <w:rFonts w:asciiTheme="minorBidi" w:hAnsiTheme="minorBidi" w:cstheme="minorBidi"/>
          <w:szCs w:val="22"/>
          <w:lang w:val="es-419"/>
        </w:rPr>
      </w:pPr>
      <w:r w:rsidRPr="00415B3E">
        <w:rPr>
          <w:rFonts w:asciiTheme="minorBidi" w:hAnsiTheme="minorBidi" w:cstheme="minorBidi"/>
          <w:szCs w:val="22"/>
          <w:lang w:val="es-419"/>
        </w:rPr>
        <w:lastRenderedPageBreak/>
        <w:t>Derecho de patentes y tecnología y Tratado de Cooperación en materia de Patentes</w:t>
      </w:r>
    </w:p>
    <w:p w14:paraId="34B5C4B7" w14:textId="77777777" w:rsidR="00FD5CE0" w:rsidRPr="00415B3E" w:rsidRDefault="00FD5CE0" w:rsidP="004A1B4D">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2024, en el área de patentes, modelos de utilidad, secretos comerciales y esquemas de trazado de los circuitos integrados, el Sector prestó asesoramiento en materia legislativa y de políticas a 16 países en desarrollo, PMA y países con economías en transición.</w:t>
      </w:r>
      <w:r w:rsidRPr="00415B3E">
        <w:rPr>
          <w:rStyle w:val="FootnoteReference"/>
          <w:rFonts w:asciiTheme="minorBidi" w:hAnsiTheme="minorBidi"/>
          <w:sz w:val="22"/>
          <w:szCs w:val="22"/>
          <w:lang w:val="es-419"/>
        </w:rPr>
        <w:footnoteReference w:id="44"/>
      </w:r>
      <w:r w:rsidRPr="00415B3E">
        <w:rPr>
          <w:rFonts w:asciiTheme="minorBidi" w:hAnsiTheme="minorBidi"/>
          <w:sz w:val="22"/>
          <w:szCs w:val="22"/>
          <w:lang w:val="es-419"/>
        </w:rPr>
        <w:t xml:space="preserve"> Además, el Sector ha continuado prestando apoyo a las Partes Contratantes actuales y potenciales del Convenio de París, el Tratado sobre el Derecho de Patentes (PLT) y el Tratado de Budapest mediante el suministro de información sobre los aspectos jurídicos, técnicos e institucionales de estos tratados y la facilitación del intercambio de experiencias entre los Estados miembros sobre la aplicación nacional de los tratados. Dicha asistencia ayudó a los Estados miembros de la OMPI a desarrollar su propio marco legislativo para proteger activos innovadores valiosos en su territorio, teniendo en cuenta su propio nivel de desarrollo, prioridades de política y obligaciones internacionales, a la luz de las recomendaciones 13, 14 y 17 de la AD.</w:t>
      </w:r>
    </w:p>
    <w:p w14:paraId="3C4873A7"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Como proveedor de un servicio de alcance mundial para la protección internacional de las invenciones a través del Tratado de Cooperación en materia de Patentes (PCT), el Sector apoyó la difusión internacional de la información técnica relacionada con las innovaciones a través de la base de datos PATENTSCOPE de la Organización, que es gratuita.</w:t>
      </w:r>
      <w:r w:rsidRPr="00415B3E">
        <w:rPr>
          <w:rStyle w:val="FootnoteReference"/>
          <w:rFonts w:asciiTheme="minorBidi" w:hAnsiTheme="minorBidi"/>
          <w:sz w:val="22"/>
          <w:szCs w:val="22"/>
          <w:lang w:val="es-419"/>
        </w:rPr>
        <w:footnoteReference w:id="45"/>
      </w:r>
      <w:r w:rsidRPr="00415B3E">
        <w:rPr>
          <w:rFonts w:asciiTheme="minorBidi" w:hAnsiTheme="minorBidi"/>
          <w:sz w:val="22"/>
          <w:szCs w:val="22"/>
          <w:lang w:val="es-419"/>
        </w:rPr>
        <w:t xml:space="preserve"> PATENTSCOPE ha proporcionado acceso a más de 120 millones de invenciones susceptibles de búsqueda, incluidos 5 millones de solicitudes PCT publicadas. En 2024, más de 271 200 nuevas solicitudes PCT (que contienen la divulgación de la invención) estuvieron disponibles en PATENTSCOPE. Por término medio, se publicaron semanalmente 5363 nuevas solicitudes PCT,</w:t>
      </w:r>
      <w:r w:rsidRPr="00415B3E">
        <w:rPr>
          <w:rStyle w:val="FootnoteReference"/>
          <w:rFonts w:asciiTheme="minorBidi" w:hAnsiTheme="minorBidi"/>
          <w:sz w:val="22"/>
          <w:szCs w:val="22"/>
          <w:lang w:val="es-419"/>
        </w:rPr>
        <w:footnoteReference w:id="46"/>
      </w:r>
      <w:r w:rsidRPr="00415B3E">
        <w:rPr>
          <w:rFonts w:asciiTheme="minorBidi" w:hAnsiTheme="minorBidi"/>
          <w:sz w:val="22"/>
          <w:szCs w:val="22"/>
          <w:lang w:val="es-419"/>
        </w:rPr>
        <w:t xml:space="preserve"> contribuyendo a la difusión de información sobre patentes. Además, para facilitar el acceso a la base de datos y su uso, en 2024 se impartieron 23 webinarios gratuitos relacionados con PATENTSCOPE, a los que asistieron más de 5 500 participantes.</w:t>
      </w:r>
    </w:p>
    <w:p w14:paraId="428998F9"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siguió ofreciendo programas de divulgación y apoyo a los usuarios, así como formación y fortalecimiento de capacidades, teniendo en cuenta las necesidades y las circunstancias de los Estados miembros beneficiarios. Durante el período examinado, el Sector realizó un total de 67 actividades de asistencia técnica relacionadas con el PCT y ePCT en beneficio de países en desarrollo, PMA y países con economías en transición.</w:t>
      </w:r>
      <w:r w:rsidRPr="00415B3E">
        <w:rPr>
          <w:rStyle w:val="FootnoteReference"/>
          <w:rFonts w:asciiTheme="minorBidi" w:hAnsiTheme="minorBidi"/>
          <w:sz w:val="22"/>
          <w:szCs w:val="22"/>
          <w:lang w:val="es-419"/>
        </w:rPr>
        <w:footnoteReference w:id="47"/>
      </w:r>
      <w:r w:rsidRPr="00415B3E">
        <w:rPr>
          <w:rFonts w:asciiTheme="minorBidi" w:hAnsiTheme="minorBidi"/>
          <w:sz w:val="22"/>
          <w:szCs w:val="22"/>
          <w:lang w:val="es-419"/>
        </w:rPr>
        <w:t xml:space="preserve"> La mayoría de estos eventos se llevaron a cabo de manera virtual o en formato híbrido y asistieron a ellos 6 400 participantes de 90 países, incluidos personal de la Oficina de PI, usuarios potenciales del sistema y otras partes interesadas.</w:t>
      </w:r>
      <w:r w:rsidRPr="00415B3E">
        <w:rPr>
          <w:rStyle w:val="FootnoteReference"/>
          <w:rFonts w:asciiTheme="minorBidi" w:hAnsiTheme="minorBidi"/>
          <w:sz w:val="22"/>
          <w:szCs w:val="22"/>
          <w:lang w:val="es-419"/>
        </w:rPr>
        <w:footnoteReference w:id="48"/>
      </w:r>
      <w:r w:rsidRPr="00415B3E">
        <w:rPr>
          <w:rFonts w:asciiTheme="minorBidi" w:hAnsiTheme="minorBidi"/>
          <w:sz w:val="22"/>
          <w:szCs w:val="22"/>
          <w:lang w:val="es-419"/>
        </w:rPr>
        <w:t xml:space="preserve"> Además, en 2024, las solicitudes internacionales presentadas por personas físicas de países en desarrollo y todos los solicitantes de los PMA continuaron recibiendo descuentos del 90 % en sus tasas de presentación internacionales y otras tasas determinadas.</w:t>
      </w:r>
    </w:p>
    <w:p w14:paraId="33BE50FD"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Además, en 2024, el Sector lanzó dos versiones principales del ePCT con nuevas funciones y mejoras para las Oficinas de PI y los solicitantes. A fines de 2024, un total de 112 Oficinas de PI tenían acceso a los servicios de la Oficina ePCT en calidad de Oficina receptora, Administración encargada de la búsqueda internacional u Oficina designada. Cabe mencionar que 91 de estas Oficinas de PI utilizaron los servicios de ePCT para Oficinas, en un navegador de Internet, como herramienta principal para la tramitación de solicitudes internacionales en su </w:t>
      </w:r>
      <w:r w:rsidRPr="00415B3E">
        <w:rPr>
          <w:rFonts w:asciiTheme="minorBidi" w:hAnsiTheme="minorBidi"/>
          <w:sz w:val="22"/>
          <w:szCs w:val="22"/>
          <w:lang w:val="es-419"/>
        </w:rPr>
        <w:lastRenderedPageBreak/>
        <w:t>función de Oficina receptora, mientras que 89 de estas Oficinas de PI ofrecieron presentación de solicitudes mediante el sistema ePCT a sus clientes para presentar nuevas solicitudes internacionales en línea.</w:t>
      </w:r>
    </w:p>
    <w:p w14:paraId="2735CD28"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La PI y las mujeres</w:t>
      </w:r>
    </w:p>
    <w:p w14:paraId="560C49CD"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Durante 2024, el Sector avanzó en la aplicación del Plan de Acción sobre PI y Género (IPGAP),</w:t>
      </w:r>
      <w:r w:rsidRPr="00415B3E">
        <w:rPr>
          <w:rStyle w:val="FootnoteReference"/>
          <w:rFonts w:asciiTheme="minorBidi" w:hAnsiTheme="minorBidi"/>
          <w:sz w:val="22"/>
          <w:szCs w:val="22"/>
          <w:lang w:val="es-419"/>
        </w:rPr>
        <w:footnoteReference w:id="49"/>
      </w:r>
      <w:r w:rsidRPr="00415B3E">
        <w:rPr>
          <w:rStyle w:val="FootnoteReference"/>
          <w:rFonts w:asciiTheme="minorBidi" w:hAnsiTheme="minorBidi"/>
          <w:sz w:val="22"/>
          <w:szCs w:val="22"/>
          <w:lang w:val="es-419"/>
        </w:rPr>
        <w:t xml:space="preserve"> </w:t>
      </w:r>
      <w:r w:rsidRPr="00415B3E">
        <w:rPr>
          <w:rFonts w:asciiTheme="minorBidi" w:hAnsiTheme="minorBidi"/>
          <w:sz w:val="22"/>
          <w:szCs w:val="22"/>
          <w:lang w:val="es-419"/>
        </w:rPr>
        <w:t>puesto en marcha públicamente en abril de 2023, para impulsar los esfuerzos mundiales en materia de igualdad económica y participación de las mujeres en la innovación, la creación y la PI. En consonancia con el PEMP para 2022-2026 de la Organización, las iniciativas del IPGAP contribuyen a los grupos A, B, C y E de la AD, centrándose en: i) apoyo del gobierno para incorporar una perspectiva de apoyo a las mujeres en la legislación, las políticas, los programas y los proyectos de PI (Pilar 1); ii) investigación para identificar el alcance y la naturaleza de la brecha de género en la PI y las formas de cerrarla (Pilar 2); y iii) probar nuevos proyectos en el entorno de la PI para educar y mejorar eficazmente las habilidades de PI de las mujeres y de las instituciones que las apoyan (Pilar 3).</w:t>
      </w:r>
    </w:p>
    <w:p w14:paraId="3078283F"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elaboró la base de datos IPGAP en el marco del Pilar 1.</w:t>
      </w:r>
      <w:r w:rsidRPr="00415B3E">
        <w:rPr>
          <w:rStyle w:val="FootnoteReference"/>
          <w:rFonts w:asciiTheme="minorBidi" w:hAnsiTheme="minorBidi"/>
          <w:sz w:val="22"/>
          <w:szCs w:val="22"/>
          <w:lang w:val="es-419"/>
        </w:rPr>
        <w:footnoteReference w:id="50"/>
      </w:r>
      <w:r w:rsidRPr="00415B3E">
        <w:rPr>
          <w:rFonts w:asciiTheme="minorBidi" w:hAnsiTheme="minorBidi"/>
          <w:sz w:val="22"/>
          <w:szCs w:val="22"/>
          <w:lang w:val="es-419"/>
        </w:rPr>
        <w:t xml:space="preserve"> Se trata de un recurso exhaustivo que muestra las políticas e iniciativas mundiales que apoyan la participación de las mujeres en la innovación, la PI y el espíritu empresarial. Esta base de datos, que proporciona datos y ejemplos prácticos, ayuda a las personas encargadas de la formulación de políticas y a las organizaciones a elaborar estrategias adaptadas a las necesidades nacionales, al tiempo que ofrece a los investigadores valiosas perspectivas para fomentar la participación de las mujeres en el ecosistema de la PI. Además, como parte de las iniciativas destinadas a impulsar la investigación basada en datos en el marco del Pilar 2, en noviembre de 2024 se celebró la </w:t>
      </w:r>
      <w:r w:rsidRPr="00415B3E">
        <w:rPr>
          <w:rFonts w:asciiTheme="minorBidi" w:hAnsiTheme="minorBidi"/>
          <w:i/>
          <w:sz w:val="22"/>
          <w:szCs w:val="22"/>
          <w:lang w:val="es-419"/>
        </w:rPr>
        <w:t xml:space="preserve">"Reunión mundial de especialistas en investigación del IPGAP </w:t>
      </w:r>
      <w:r w:rsidRPr="00415B3E">
        <w:rPr>
          <w:rStyle w:val="normaltextrun"/>
          <w:rFonts w:asciiTheme="minorBidi" w:hAnsiTheme="minorBidi"/>
          <w:i/>
          <w:sz w:val="22"/>
          <w:szCs w:val="22"/>
          <w:shd w:val="clear" w:color="auto" w:fill="FFFFFF"/>
          <w:lang w:val="es-419"/>
        </w:rPr>
        <w:t>sobre la mejora de la igualdad de género y la diversidad en la PI y la innovación</w:t>
      </w:r>
      <w:r w:rsidRPr="00415B3E">
        <w:rPr>
          <w:rFonts w:asciiTheme="minorBidi" w:hAnsiTheme="minorBidi"/>
          <w:i/>
          <w:sz w:val="22"/>
          <w:szCs w:val="22"/>
          <w:lang w:val="es-419"/>
        </w:rPr>
        <w:t xml:space="preserve"> </w:t>
      </w:r>
      <w:r w:rsidRPr="00415B3E">
        <w:rPr>
          <w:rStyle w:val="FootnoteReference"/>
          <w:rFonts w:asciiTheme="minorBidi" w:hAnsiTheme="minorBidi"/>
          <w:sz w:val="22"/>
          <w:szCs w:val="22"/>
          <w:lang w:val="es-419"/>
        </w:rPr>
        <w:footnoteReference w:id="51"/>
      </w:r>
      <w:r w:rsidRPr="00415B3E">
        <w:rPr>
          <w:rFonts w:asciiTheme="minorBidi" w:hAnsiTheme="minorBidi"/>
          <w:sz w:val="22"/>
          <w:szCs w:val="22"/>
          <w:lang w:val="es-419"/>
        </w:rPr>
        <w:t xml:space="preserve"> que proporcionó una plataforma estratégica para que académicos, investigadores y expertos en políticas examinaran las disparidades en la participación de las mujeres en los ámbitos relacionados con la PI y la innovación. Los participantes identificaron los obstáculos a la participación de las mujeres a través de presentaciones de investigación y debates, elaboraron nuevas metodologías e indicadores para medir la participación de las mujeres en la innovación, la investigación académica y las industrias creativas, e hicieron hincapié en la necesidad vital de soluciones basadas en datos para informar las políticas.</w:t>
      </w:r>
    </w:p>
    <w:p w14:paraId="0CACCC83" w14:textId="77777777" w:rsidR="00FD5CE0" w:rsidRPr="00415B3E" w:rsidRDefault="00FD5CE0" w:rsidP="00FD5CE0">
      <w:pPr>
        <w:pStyle w:val="ListParagraph"/>
        <w:numPr>
          <w:ilvl w:val="0"/>
          <w:numId w:val="13"/>
        </w:numPr>
        <w:spacing w:after="36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2024, el Sector siguió coordinando un mensaje conjunto</w:t>
      </w:r>
      <w:r w:rsidRPr="00415B3E">
        <w:rPr>
          <w:rStyle w:val="FootnoteReference"/>
          <w:rFonts w:asciiTheme="minorBidi" w:hAnsiTheme="minorBidi"/>
          <w:sz w:val="22"/>
          <w:szCs w:val="22"/>
          <w:lang w:val="es-419"/>
        </w:rPr>
        <w:footnoteReference w:id="52"/>
      </w:r>
      <w:r w:rsidRPr="00415B3E">
        <w:rPr>
          <w:rFonts w:asciiTheme="minorBidi" w:hAnsiTheme="minorBidi"/>
          <w:sz w:val="22"/>
          <w:szCs w:val="22"/>
          <w:lang w:val="es-419"/>
        </w:rPr>
        <w:t xml:space="preserve"> con más de 70 oficinas de PI y organizaciones de todo el mundo para celebrar el Día Internacional de la Mujer. El mensaje, en consonancia con el lema de 2024 </w:t>
      </w:r>
      <w:r w:rsidRPr="00415B3E">
        <w:rPr>
          <w:rFonts w:asciiTheme="minorBidi" w:hAnsiTheme="minorBidi"/>
          <w:i/>
          <w:sz w:val="22"/>
          <w:szCs w:val="22"/>
          <w:lang w:val="es-419"/>
        </w:rPr>
        <w:t>“Invertir en las mujeres: Acelerar el Progreso”</w:t>
      </w:r>
      <w:r w:rsidRPr="00415B3E">
        <w:rPr>
          <w:rFonts w:asciiTheme="minorBidi" w:hAnsiTheme="minorBidi"/>
          <w:sz w:val="22"/>
          <w:szCs w:val="22"/>
          <w:lang w:val="es-419"/>
        </w:rPr>
        <w:t>, reafirmó el compromiso de potenciar la creatividad y la innovación de las mujeres, abordando al mismo tiempo las dificultades a las que pueden enfrentarse para acceder a los recursos y oportunidades del ecosistema de la PI.</w:t>
      </w:r>
    </w:p>
    <w:p w14:paraId="5C2E65FA"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Órganos de la OMPI</w:t>
      </w:r>
    </w:p>
    <w:p w14:paraId="7B0AFDFC"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siguió apoyando la labor de varios órganos de la OMPI, como el Comité Permanente sobre el Derecho de Patentes (SCP) y el Grupo de Trabajo del Tratado de Cooperación en materia de Patentes (PCT WG).</w:t>
      </w:r>
    </w:p>
    <w:p w14:paraId="6FBEA867"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lastRenderedPageBreak/>
        <w:t>El SCP celebró su trigésima quinta sesión, en formato híbrido, del 14 al 18 de octubre de 2023. De conformidad con las recomendaciones de la AD, las actividades del SCP continuaron siendo inclusivas e impulsadas por los Estados miembros, fomentando un entorno propicio para el compromiso y el diálogo entre los Estados miembros y teniendo en cuenta sus diferentes niveles de desarrollo Los Estados miembros continuaron debatiendo, entre otras cosas, las siguientes cuestiones: i) las excepciones y limitaciones a los derechos conferidos por las patentes; ii) la calidad de las patentes, incluidos los regímenes de oposición; iii) las patentes y la salud; iv) la confidencialidad de las comunicaciones entre los asesores de patentes y sus clientes; y v) la transferencia de tecnología. En particular, los Estados miembros compartieron información sobre sus leyes, prácticas y experiencias con respecto a la excepción relativa a la preparación extemporánea de medicamentos; la unidad de invención; las patentes y las tecnologías emergentes; el uso de diversas herramientas, incluida la IA, para procedimientos eficaces de examen de patentes; las limitaciones a las que se enfrentan los países en desarrollo y los PMA para hacer pleno uso de las flexibilidades en materia de patentes; los aspectos transfronterizos de la confidencialidad de la comunicación entre los clientes y sus asesores de patentes; y la transferencia de tecnología, incluidas las patentes esenciales estándar y las cuestiones de invención y propiedad en la investigación colaborativa, complementada por una mesa redonda sobre invención y propiedad de patentes para invenciones universitarias.</w:t>
      </w:r>
      <w:r w:rsidRPr="00415B3E">
        <w:rPr>
          <w:rStyle w:val="FootnoteReference"/>
          <w:rFonts w:asciiTheme="minorBidi" w:hAnsiTheme="minorBidi"/>
          <w:sz w:val="22"/>
          <w:szCs w:val="22"/>
          <w:lang w:val="es-419"/>
        </w:rPr>
        <w:footnoteReference w:id="53"/>
      </w:r>
    </w:p>
    <w:p w14:paraId="004F5B00" w14:textId="77777777" w:rsidR="00FD5CE0" w:rsidRPr="00415B3E" w:rsidRDefault="00FD5CE0" w:rsidP="004A1B4D">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Grupo de Trabajo del PCT celebró su decimoséptima sesión, en formato híbrido, del 19 al 21 de febrero de 2024. Acordó presentar varias modificaciones del Reglamento del PCT para su aprobación por la Asamblea en su quincuagésimo quinto período de sesiones en julio de 2024, en relación con: i) el medio de presentación de las solicitudes internacionales y los documentos conexos (Regla 89</w:t>
      </w:r>
      <w:r w:rsidRPr="00415B3E">
        <w:rPr>
          <w:rFonts w:asciiTheme="minorBidi" w:hAnsiTheme="minorBidi"/>
          <w:i/>
          <w:sz w:val="22"/>
          <w:szCs w:val="22"/>
          <w:lang w:val="es-419"/>
        </w:rPr>
        <w:t>bis</w:t>
      </w:r>
      <w:r w:rsidRPr="00415B3E">
        <w:rPr>
          <w:rFonts w:asciiTheme="minorBidi" w:hAnsiTheme="minorBidi"/>
          <w:sz w:val="22"/>
          <w:szCs w:val="22"/>
          <w:lang w:val="es-419"/>
        </w:rPr>
        <w:t>) para permitir a las Oficinas receptoras la opción de exigir que la presentación de las solicitudes internacionales y la presentación de los documentos ulteriormente presentados se realicen únicamente en formato electrónico; ii) ampliar gradualmente los idiomas de comunicación utilizados por la Oficina Internacional con los solicitantes y las Oficinas Nacionales para incluir cualquiera de los 10 idiomas de publicación internacional (Regla 92); iii) ampliar la definición de "estado anterior de la técnica pertinente" tanto para la búsqueda internacional como para el examen preliminar internacional para incluir la cita de divulgaciones no escritas (Reglas 33 y 64); iv) colmar un vacío legal en la Regla 26.3</w:t>
      </w:r>
      <w:r w:rsidRPr="00415B3E">
        <w:rPr>
          <w:rFonts w:asciiTheme="minorBidi" w:hAnsiTheme="minorBidi"/>
          <w:i/>
          <w:sz w:val="22"/>
          <w:szCs w:val="22"/>
          <w:lang w:val="es-419"/>
        </w:rPr>
        <w:t xml:space="preserve">ter </w:t>
      </w:r>
      <w:r w:rsidRPr="00415B3E">
        <w:rPr>
          <w:rFonts w:asciiTheme="minorBidi" w:hAnsiTheme="minorBidi"/>
          <w:sz w:val="22"/>
          <w:szCs w:val="22"/>
          <w:lang w:val="es-419"/>
        </w:rPr>
        <w:t>que no permite a las Oficinas receptoras cursar invitaciones a presentar una traducción del resumen o del texto de los dibujos al idioma de la publicación internacional cuando el idioma del resumen y del texto de los dibujos se haya presentado en un idioma distinto del de la publicación internacional pero aceptado por la Administración encargada de la búsqueda internacional para llevar a cabo la búsqueda internacional (Regla 26.3</w:t>
      </w:r>
      <w:r w:rsidRPr="00415B3E">
        <w:rPr>
          <w:rFonts w:asciiTheme="minorBidi" w:hAnsiTheme="minorBidi"/>
          <w:i/>
          <w:iCs/>
          <w:sz w:val="22"/>
          <w:szCs w:val="22"/>
          <w:lang w:val="es-419"/>
        </w:rPr>
        <w:t>ter</w:t>
      </w:r>
      <w:r w:rsidRPr="00415B3E">
        <w:rPr>
          <w:rFonts w:asciiTheme="minorBidi" w:hAnsiTheme="minorBidi"/>
          <w:sz w:val="22"/>
          <w:szCs w:val="22"/>
          <w:lang w:val="es-419"/>
        </w:rPr>
        <w:t>); y v) mantener los criterios previstos en el punto 5 de la Tabla de tasas del PCT, y que la Asamblea revise de nuevo los criterios dentro de cinco años. El Grupo de Trabajo también acordó recomendar que la Asamblea adopte las modificaciones propuestas de las Directivas para la actualización de las listas de Estados que cumplen los criterios para la reducción de determinadas tasas del PCT. La Asamblea de la Unión del PCT, en su quincuagésimo sexto período de sesiones, aprobó esas modificaciones del Reglamento del PCT.</w:t>
      </w:r>
      <w:r w:rsidRPr="00415B3E">
        <w:rPr>
          <w:rStyle w:val="FootnoteReference"/>
          <w:rFonts w:asciiTheme="minorBidi" w:hAnsiTheme="minorBidi"/>
          <w:sz w:val="22"/>
          <w:szCs w:val="22"/>
          <w:lang w:val="es-419"/>
        </w:rPr>
        <w:footnoteReference w:id="54"/>
      </w:r>
      <w:r w:rsidRPr="00415B3E">
        <w:rPr>
          <w:rFonts w:asciiTheme="minorBidi" w:hAnsiTheme="minorBidi"/>
          <w:sz w:val="22"/>
          <w:szCs w:val="22"/>
          <w:lang w:val="es-419"/>
        </w:rPr>
        <w:t xml:space="preserve"> El Grupo de Trabajo del PCT también invitó a la Oficina Internacional a estudiar cómo podría modificarse la Regla 11 para permitir la presentación y tramitación de solicitudes internacionales que contengan dibujos en color, teniendo en cuenta diversos factores, como la necesidad de distinguir entre dibujos, fotografías y otras formas de imagen y las diferentes circunstancias en las que podrían ser apropiados.</w:t>
      </w:r>
    </w:p>
    <w:p w14:paraId="7F62D1E8" w14:textId="77777777" w:rsidR="00FD5CE0" w:rsidRPr="00415B3E" w:rsidRDefault="00FD5CE0" w:rsidP="00FF375D">
      <w:pPr>
        <w:pStyle w:val="Heading1"/>
        <w:numPr>
          <w:ilvl w:val="0"/>
          <w:numId w:val="25"/>
        </w:numPr>
        <w:spacing w:after="240"/>
        <w:ind w:left="0" w:firstLine="0"/>
        <w:rPr>
          <w:rFonts w:asciiTheme="minorBidi" w:hAnsiTheme="minorBidi" w:cstheme="minorBidi"/>
          <w:szCs w:val="22"/>
          <w:lang w:val="es-419"/>
        </w:rPr>
      </w:pPr>
      <w:r w:rsidRPr="00415B3E">
        <w:rPr>
          <w:rFonts w:asciiTheme="minorBidi" w:hAnsiTheme="minorBidi" w:cstheme="minorBidi"/>
          <w:szCs w:val="22"/>
          <w:lang w:val="es-419"/>
        </w:rPr>
        <w:lastRenderedPageBreak/>
        <w:t>Sector de Marcas y Diseños</w:t>
      </w:r>
    </w:p>
    <w:p w14:paraId="0D1BB95B"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2024, el Sector de Marcas y Diseños siguió dedicado a ayudar a los Estados miembros a reforzar sus marcos legislativos e institucionales en materia de marcas, diseños industriales e indicaciones geográficas, al tiempo que prestó apoyo en la aplicación práctica de marcas y diseños, y asesoramiento político adaptado a sus objetivos socioeconómicos. Además, se han realizado importantes esfuerzos para ampliar la accesibilidad y la repercusión de las iniciativas de formación y fortalecimiento de capacidades, en particular para los PMA, los países en desarrollo y los países con economías en transición, de formación. Entre ellos, se incluyen el desarrollo de programas de formación personalizados, talleres regionales e iniciativas de intercambio de conocimientos para mejorar las capacidades institucionales, fomentar las buenas prácticas y dotar a las partes interesadas de las herramientas necesarias para aplicar y gestionar eficazmente la protección de marcas y diseños.</w:t>
      </w:r>
    </w:p>
    <w:p w14:paraId="7BA29486"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Asistencia Técnica y Fortalecimiento de Capacidades</w:t>
      </w:r>
    </w:p>
    <w:p w14:paraId="2728C8ED"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La asistencia técnica y el fortalecimiento de capacidades del Sector siguieron guiándose por las recomendaciones de la AD. En 2024, el Sector respondió a 14 solicitudes de asesoramiento legislativo de siete países,</w:t>
      </w:r>
      <w:r w:rsidRPr="00415B3E">
        <w:rPr>
          <w:rStyle w:val="FootnoteReference"/>
          <w:rFonts w:asciiTheme="minorBidi" w:hAnsiTheme="minorBidi"/>
          <w:sz w:val="22"/>
          <w:szCs w:val="22"/>
          <w:lang w:val="es-419"/>
        </w:rPr>
        <w:footnoteReference w:id="55"/>
      </w:r>
      <w:r w:rsidRPr="00415B3E">
        <w:rPr>
          <w:rFonts w:asciiTheme="minorBidi" w:hAnsiTheme="minorBidi"/>
          <w:sz w:val="22"/>
          <w:szCs w:val="22"/>
          <w:lang w:val="es-419"/>
        </w:rPr>
        <w:t xml:space="preserve"> siete de ellas sobre marcas, tres sobre diseños industriales y cuatro sobre indicaciones geográficas. Mientras tanto, el Sector amplió aún más su alcance mediante actividades de fortalecimiento de capacidades y sensibilización, de las cuales 21 estaban relacionadas con las marcas, ocho con los diseños industriales y siete con indicaciones geográficas.</w:t>
      </w:r>
      <w:r w:rsidRPr="00415B3E">
        <w:rPr>
          <w:rStyle w:val="FootnoteReference"/>
          <w:rFonts w:asciiTheme="minorBidi" w:hAnsiTheme="minorBidi"/>
          <w:sz w:val="22"/>
          <w:szCs w:val="22"/>
          <w:lang w:val="es-419"/>
        </w:rPr>
        <w:footnoteReference w:id="56"/>
      </w:r>
      <w:r w:rsidRPr="00415B3E">
        <w:rPr>
          <w:rFonts w:asciiTheme="minorBidi" w:hAnsiTheme="minorBidi"/>
          <w:sz w:val="22"/>
          <w:szCs w:val="22"/>
          <w:lang w:val="es-419"/>
        </w:rPr>
        <w:t xml:space="preserve"> Dos de esas actividades se celebraron a nivel subregional, una para los Estados de Europa Central y el Báltico (CEBS) y países del Mediterráneo, y otra para los países de la Comunidad Andina.</w:t>
      </w:r>
    </w:p>
    <w:p w14:paraId="62B0E378"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El </w:t>
      </w:r>
      <w:r w:rsidRPr="00415B3E">
        <w:rPr>
          <w:rFonts w:asciiTheme="minorBidi" w:hAnsiTheme="minorBidi"/>
          <w:i/>
          <w:iCs/>
          <w:sz w:val="22"/>
          <w:szCs w:val="22"/>
          <w:lang w:val="es-419"/>
        </w:rPr>
        <w:t>Proyecto Piloto sobre Diseños de la Comunidad Económica de los Estados de África Occidental (CEDEAO) y la OMPI</w:t>
      </w:r>
      <w:r w:rsidRPr="00415B3E">
        <w:rPr>
          <w:rFonts w:asciiTheme="minorBidi" w:hAnsiTheme="minorBidi"/>
          <w:sz w:val="22"/>
          <w:szCs w:val="22"/>
          <w:lang w:val="es-419"/>
        </w:rPr>
        <w:t xml:space="preserve"> finalizó en 2024, con el objetivo principal de sensibilizar a las empresas de África Occidental sobre el valor y la función de los diseños industriales en la comercialización de productos. La piedra angular de este proyecto fue la finalización y el lanzamiento de la aplicación móvil </w:t>
      </w:r>
      <w:r w:rsidRPr="00415B3E">
        <w:rPr>
          <w:rFonts w:asciiTheme="minorBidi" w:hAnsiTheme="minorBidi"/>
          <w:i/>
          <w:sz w:val="22"/>
          <w:szCs w:val="22"/>
          <w:lang w:val="es-419"/>
        </w:rPr>
        <w:t>AfricDeezayn</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57"/>
      </w:r>
      <w:r w:rsidRPr="00415B3E">
        <w:rPr>
          <w:rFonts w:asciiTheme="minorBidi" w:hAnsiTheme="minorBidi"/>
          <w:sz w:val="22"/>
          <w:szCs w:val="22"/>
          <w:lang w:val="es-419"/>
        </w:rPr>
        <w:t xml:space="preserve"> con contenidos que abarcan los 15 países de la CEDEAO. Toda la información pertinente relativa a los diseños industriales en la región de África Occidental está centralizada en la aplicación. También sirve de plataforma de comunicación para los usuarios inscritos y permite a los diseñadores promocionar su trabajo. También se impartió un programa de formación a diez microempresas y pequeñas y medianas empresas (pymes) de Côte d'Ivoire sobre la optimización de las marcas y los diseños para el crecimiento empresarial.</w:t>
      </w:r>
    </w:p>
    <w:p w14:paraId="3713555A"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Durante el período examinado, el Sector también prestó apoyo a los apicultores de Antigua y Barbuda, que registraron su primera marca colectiva para desarrollar la marca de sus productos derivados de la miel.</w:t>
      </w:r>
      <w:r w:rsidRPr="00415B3E">
        <w:rPr>
          <w:rStyle w:val="FootnoteReference"/>
          <w:rFonts w:asciiTheme="minorBidi" w:hAnsiTheme="minorBidi"/>
          <w:iCs/>
          <w:sz w:val="22"/>
          <w:szCs w:val="22"/>
          <w:lang w:val="es-419"/>
        </w:rPr>
        <w:footnoteReference w:id="58"/>
      </w:r>
      <w:r w:rsidRPr="00415B3E">
        <w:rPr>
          <w:rFonts w:asciiTheme="minorBidi" w:hAnsiTheme="minorBidi"/>
          <w:sz w:val="22"/>
          <w:szCs w:val="22"/>
          <w:lang w:val="es-419"/>
        </w:rPr>
        <w:t xml:space="preserve"> Las nuevas marcas colectivas permitieron a los apicultores revisar el etiquetado, el envasado y los precios de sus productos para mejorar su posicionamiento en el mercado. También se está preparando una campaña de promoción para abril de 2025.</w:t>
      </w:r>
    </w:p>
    <w:p w14:paraId="7BBE209A"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lastRenderedPageBreak/>
        <w:t>El Sector siguió ayudando a las comunidades locales a desarrollar, proteger y comercializar sus indicaciones geográficas,</w:t>
      </w:r>
      <w:r w:rsidRPr="00415B3E">
        <w:rPr>
          <w:rStyle w:val="FootnoteReference"/>
          <w:rFonts w:asciiTheme="minorBidi" w:hAnsiTheme="minorBidi"/>
          <w:sz w:val="22"/>
          <w:szCs w:val="22"/>
          <w:lang w:val="es-419"/>
        </w:rPr>
        <w:footnoteReference w:id="59"/>
      </w:r>
      <w:r w:rsidRPr="00415B3E">
        <w:rPr>
          <w:rFonts w:asciiTheme="minorBidi" w:hAnsiTheme="minorBidi"/>
          <w:sz w:val="22"/>
          <w:szCs w:val="22"/>
          <w:lang w:val="es-419"/>
        </w:rPr>
        <w:t xml:space="preserve"> entre otras cosas: los productores de “</w:t>
      </w:r>
      <w:r w:rsidRPr="00415B3E">
        <w:rPr>
          <w:rFonts w:asciiTheme="minorBidi" w:hAnsiTheme="minorBidi"/>
          <w:i/>
          <w:sz w:val="22"/>
          <w:szCs w:val="22"/>
          <w:lang w:val="es-419"/>
        </w:rPr>
        <w:t>Nuez moscada de Granada</w:t>
      </w:r>
      <w:r w:rsidRPr="00415B3E">
        <w:rPr>
          <w:rFonts w:asciiTheme="minorBidi" w:hAnsiTheme="minorBidi"/>
          <w:sz w:val="22"/>
          <w:szCs w:val="22"/>
          <w:lang w:val="es-419"/>
        </w:rPr>
        <w:t>” y “</w:t>
      </w:r>
      <w:r w:rsidRPr="00415B3E">
        <w:rPr>
          <w:rFonts w:asciiTheme="minorBidi" w:hAnsiTheme="minorBidi"/>
          <w:i/>
          <w:sz w:val="22"/>
          <w:szCs w:val="22"/>
          <w:lang w:val="es-419"/>
        </w:rPr>
        <w:t>Cacao de Granada</w:t>
      </w:r>
      <w:r w:rsidRPr="00415B3E">
        <w:rPr>
          <w:rFonts w:asciiTheme="minorBidi" w:hAnsiTheme="minorBidi"/>
          <w:sz w:val="22"/>
          <w:szCs w:val="22"/>
          <w:lang w:val="es-419"/>
        </w:rPr>
        <w:t>” en Granada; y los productores de “</w:t>
      </w:r>
      <w:r w:rsidRPr="00415B3E">
        <w:rPr>
          <w:rFonts w:asciiTheme="minorBidi" w:hAnsiTheme="minorBidi"/>
          <w:i/>
          <w:sz w:val="22"/>
          <w:szCs w:val="22"/>
          <w:lang w:val="es-419"/>
        </w:rPr>
        <w:t>Seda de Houaphan</w:t>
      </w:r>
      <w:r w:rsidRPr="00415B3E">
        <w:rPr>
          <w:rFonts w:asciiTheme="minorBidi" w:hAnsiTheme="minorBidi"/>
          <w:sz w:val="22"/>
          <w:szCs w:val="22"/>
          <w:lang w:val="es-419"/>
        </w:rPr>
        <w:t xml:space="preserve"> “ y “</w:t>
      </w:r>
      <w:r w:rsidRPr="00415B3E">
        <w:rPr>
          <w:rFonts w:asciiTheme="minorBidi" w:hAnsiTheme="minorBidi"/>
          <w:i/>
          <w:sz w:val="22"/>
          <w:szCs w:val="22"/>
          <w:lang w:val="es-419"/>
        </w:rPr>
        <w:t>Seda de Luang Prabang</w:t>
      </w:r>
      <w:r w:rsidRPr="00415B3E">
        <w:rPr>
          <w:rFonts w:asciiTheme="minorBidi" w:hAnsiTheme="minorBidi"/>
          <w:sz w:val="22"/>
          <w:szCs w:val="22"/>
          <w:lang w:val="es-419"/>
        </w:rPr>
        <w:t>” en la República Democrática Popular Lao. El Sector también prestó apoyo jurídico y técnico sobre la aplicación del Acta de Ginebra del Arreglo de La Haya a China, Viet Nam y la Organización Africana de la Propiedad Intelectual (OAPI), para facilitar la revisión y modificación de sus declaraciones. Además, el Sector organizó dos sesiones de formación posterior a la adhesión para Saint Kitts y Nevis.</w:t>
      </w:r>
    </w:p>
    <w:p w14:paraId="47F5BC04"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Órganos de la OMPI</w:t>
      </w:r>
    </w:p>
    <w:p w14:paraId="393AB9E6" w14:textId="77777777" w:rsidR="00FD5CE0" w:rsidRPr="00415B3E" w:rsidRDefault="00FD5CE0" w:rsidP="00FD5CE0">
      <w:pPr>
        <w:pStyle w:val="BalloonText"/>
        <w:numPr>
          <w:ilvl w:val="0"/>
          <w:numId w:val="13"/>
        </w:numPr>
        <w:spacing w:after="240"/>
        <w:ind w:left="0" w:firstLine="0"/>
        <w:rPr>
          <w:rFonts w:asciiTheme="minorBidi" w:hAnsiTheme="minorBidi" w:cstheme="minorBidi"/>
          <w:iCs/>
          <w:sz w:val="22"/>
          <w:szCs w:val="22"/>
          <w:lang w:val="es-419"/>
        </w:rPr>
      </w:pPr>
      <w:r w:rsidRPr="00415B3E">
        <w:rPr>
          <w:rFonts w:asciiTheme="minorBidi" w:hAnsiTheme="minorBidi" w:cstheme="minorBidi"/>
          <w:sz w:val="22"/>
          <w:szCs w:val="22"/>
          <w:lang w:val="es-419"/>
        </w:rPr>
        <w:t>El Sector continuó apoyando la labor del Comité Permanente sobre el Derecho de Marcas, Diseños Industriales e Indicaciones Geográficas (SCT), que se reunió en su cuadragésima séptima sesión del 18 al 20 de marzo de 2024.</w:t>
      </w:r>
      <w:r w:rsidRPr="00415B3E">
        <w:rPr>
          <w:rStyle w:val="FootnoteReference"/>
          <w:rFonts w:asciiTheme="minorBidi" w:hAnsiTheme="minorBidi" w:cstheme="minorBidi"/>
          <w:iCs/>
          <w:sz w:val="22"/>
          <w:szCs w:val="22"/>
          <w:lang w:val="es-419"/>
        </w:rPr>
        <w:footnoteReference w:id="60"/>
      </w:r>
      <w:r w:rsidRPr="00415B3E">
        <w:rPr>
          <w:rFonts w:asciiTheme="minorBidi" w:hAnsiTheme="minorBidi" w:cstheme="minorBidi"/>
          <w:sz w:val="22"/>
          <w:szCs w:val="22"/>
          <w:lang w:val="es-419"/>
        </w:rPr>
        <w:t xml:space="preserve"> Durante esta sesión, el Comité examinó dos propuestas sobre diseños industriales, incluida una propuesta del Grupo Africano relativa a la realización de un </w:t>
      </w:r>
      <w:r w:rsidRPr="00415B3E">
        <w:rPr>
          <w:rFonts w:asciiTheme="minorBidi" w:hAnsiTheme="minorBidi" w:cstheme="minorBidi"/>
          <w:i/>
          <w:sz w:val="22"/>
          <w:szCs w:val="22"/>
          <w:lang w:val="es-419"/>
        </w:rPr>
        <w:t>“</w:t>
      </w:r>
      <w:r w:rsidRPr="00415B3E">
        <w:rPr>
          <w:rFonts w:asciiTheme="minorBidi" w:hAnsiTheme="minorBidi" w:cstheme="minorBidi"/>
          <w:sz w:val="22"/>
          <w:szCs w:val="22"/>
          <w:lang w:val="es-419"/>
        </w:rPr>
        <w:t>Estudio sobre la incidencia en la innovación de la protección de los diseños de Interfaces Gráficas de Usuario (IGU) en calidad de diseños industriales</w:t>
      </w:r>
      <w:r w:rsidRPr="00415B3E">
        <w:rPr>
          <w:rFonts w:asciiTheme="minorBidi" w:hAnsiTheme="minorBidi" w:cstheme="minorBidi"/>
          <w:i/>
          <w:sz w:val="22"/>
          <w:szCs w:val="22"/>
          <w:lang w:val="es-419"/>
        </w:rPr>
        <w:t>”</w:t>
      </w:r>
      <w:r w:rsidRPr="00415B3E">
        <w:rPr>
          <w:rFonts w:asciiTheme="minorBidi" w:hAnsiTheme="minorBidi" w:cstheme="minorBidi"/>
          <w:sz w:val="22"/>
          <w:szCs w:val="22"/>
          <w:lang w:val="es-419"/>
        </w:rPr>
        <w:t>.</w:t>
      </w:r>
      <w:r w:rsidRPr="00415B3E">
        <w:rPr>
          <w:rStyle w:val="FootnoteReference"/>
          <w:rFonts w:asciiTheme="minorBidi" w:hAnsiTheme="minorBidi" w:cstheme="minorBidi"/>
          <w:iCs/>
          <w:sz w:val="22"/>
          <w:szCs w:val="22"/>
          <w:lang w:val="es-419"/>
        </w:rPr>
        <w:footnoteReference w:id="61"/>
      </w:r>
      <w:r w:rsidRPr="00415B3E">
        <w:rPr>
          <w:rFonts w:asciiTheme="minorBidi" w:hAnsiTheme="minorBidi" w:cstheme="minorBidi"/>
          <w:sz w:val="22"/>
          <w:szCs w:val="22"/>
          <w:lang w:val="es-419"/>
        </w:rPr>
        <w:t xml:space="preserve"> El Comité también examinó cuatro propuestas de los Estados miembros relacionadas con la protección de los nombres de países. También se celebraron sesiones de información sobre la protección de las marcas país y las indicaciones geográficas. Se llevaron a cabo deliberaciones de forma inclusiva e impulsada por los Estados miembros, en consonancia con las recomendaciones de la AD.</w:t>
      </w:r>
    </w:p>
    <w:p w14:paraId="1CFA7B3B" w14:textId="77777777" w:rsidR="00FD5CE0" w:rsidRPr="00415B3E" w:rsidRDefault="00FD5CE0" w:rsidP="00FD5CE0">
      <w:pPr>
        <w:pStyle w:val="BalloonText"/>
        <w:numPr>
          <w:ilvl w:val="0"/>
          <w:numId w:val="13"/>
        </w:numPr>
        <w:spacing w:after="240"/>
        <w:ind w:left="0" w:firstLine="0"/>
        <w:rPr>
          <w:rFonts w:asciiTheme="minorBidi" w:hAnsiTheme="minorBidi" w:cstheme="minorBidi"/>
          <w:sz w:val="22"/>
          <w:szCs w:val="22"/>
          <w:lang w:val="es-419"/>
        </w:rPr>
      </w:pPr>
      <w:r w:rsidRPr="00415B3E">
        <w:rPr>
          <w:rFonts w:asciiTheme="minorBidi" w:hAnsiTheme="minorBidi" w:cstheme="minorBidi"/>
          <w:sz w:val="22"/>
          <w:szCs w:val="22"/>
          <w:lang w:val="es-419"/>
        </w:rPr>
        <w:t>Además, el Sector organizó y celebró la Conferencia Diplomática para la Celebración y Adopción de un Tratado sobre el Derecho de los Diseños, que tuvo lugar en Riad (Arabia Saudita) del 11 al 22 de noviembre de 2024, cuya exitosa conclusión fue la adopción del Tratado de Riad sobre el Derecho de los Diseños.</w:t>
      </w:r>
      <w:r w:rsidRPr="00415B3E">
        <w:rPr>
          <w:rStyle w:val="FootnoteReference"/>
          <w:rFonts w:asciiTheme="minorBidi" w:hAnsiTheme="minorBidi" w:cstheme="minorBidi"/>
          <w:bCs/>
          <w:sz w:val="22"/>
          <w:szCs w:val="22"/>
          <w:lang w:val="es-419"/>
        </w:rPr>
        <w:footnoteReference w:id="62"/>
      </w:r>
      <w:r w:rsidRPr="00415B3E">
        <w:rPr>
          <w:rFonts w:asciiTheme="minorBidi" w:hAnsiTheme="minorBidi" w:cstheme="minorBidi"/>
          <w:sz w:val="22"/>
          <w:szCs w:val="22"/>
          <w:lang w:val="es-419"/>
        </w:rPr>
        <w:t xml:space="preserve"> El tratado simplifica los procedimientos de registro de diseños y, entre otras cosas, contiene un artículo específico (artículo 24) sobre asistencia técnica y fortalecimiento de capacidades para la aplicación del Tratado. La Organización ofreció asistencia financiera para la participación en la Conferencia Diplomática a un representante de cada uno de los 159 Estados miembros de la OMPI que son países en desarrollo, incluidos los PMA y los países con economías en transición.</w:t>
      </w:r>
    </w:p>
    <w:p w14:paraId="505655A2"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Proyectos integrados de la AD</w:t>
      </w:r>
    </w:p>
    <w:p w14:paraId="1B200178"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El proyecto sobre </w:t>
      </w:r>
      <w:r w:rsidRPr="00415B3E">
        <w:rPr>
          <w:rFonts w:asciiTheme="minorBidi" w:hAnsiTheme="minorBidi"/>
          <w:i/>
          <w:sz w:val="22"/>
          <w:szCs w:val="22"/>
          <w:lang w:val="es-419"/>
        </w:rPr>
        <w:t>PI y gestión de diseños para fomentar las actividades comerciales en los países en desarrollo y los países menos adelantados</w:t>
      </w:r>
      <w:r w:rsidRPr="00415B3E">
        <w:rPr>
          <w:rFonts w:asciiTheme="minorBidi" w:hAnsiTheme="minorBidi"/>
          <w:sz w:val="22"/>
          <w:szCs w:val="22"/>
          <w:lang w:val="es-419"/>
        </w:rPr>
        <w:t xml:space="preserve"> se completó en abril de 2016 y se evaluó en marzo de 2017. En su vigésima sesión, en diciembre de 2017, el CDIP aprobó las actividades complementarias correspondientes al proyecto, tras examinar su evaluación. En este sentido, durante el período examinado, se siguieron integrando las actividades del proyecto en la labor ordinaria de sensibilización y fortalecimiento de capacidades que lleva a cabo la Organización.</w:t>
      </w:r>
    </w:p>
    <w:p w14:paraId="35E5155D"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lastRenderedPageBreak/>
        <w:t>Proyectos de la AD en curso</w:t>
      </w:r>
    </w:p>
    <w:p w14:paraId="3071502D"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ha estado a cargo de la ejecución de los siguientes proyectos de la AD en curso:</w:t>
      </w:r>
    </w:p>
    <w:p w14:paraId="061D9B74" w14:textId="77777777" w:rsidR="00FD5CE0" w:rsidRPr="00415B3E" w:rsidRDefault="00FD5CE0" w:rsidP="00FD5CE0">
      <w:pPr>
        <w:pStyle w:val="ListParagraph"/>
        <w:numPr>
          <w:ilvl w:val="0"/>
          <w:numId w:val="19"/>
        </w:numPr>
        <w:spacing w:after="240" w:line="240" w:lineRule="auto"/>
        <w:contextualSpacing w:val="0"/>
        <w:rPr>
          <w:rFonts w:asciiTheme="minorBidi" w:hAnsiTheme="minorBidi"/>
          <w:sz w:val="22"/>
          <w:szCs w:val="22"/>
          <w:lang w:val="es-419"/>
        </w:rPr>
      </w:pPr>
      <w:r w:rsidRPr="00415B3E">
        <w:rPr>
          <w:rFonts w:asciiTheme="minorBidi" w:hAnsiTheme="minorBidi"/>
          <w:i/>
          <w:sz w:val="22"/>
          <w:szCs w:val="22"/>
          <w:lang w:val="es-419"/>
        </w:rPr>
        <w:t xml:space="preserve">Empoderamiento de las pequeñas empresas mediante la PI: Desarrollo de estrategias de apoyo a las indicaciones geográficas y las marcas colectivas en el período posterior al registro: </w:t>
      </w:r>
      <w:r w:rsidRPr="00415B3E">
        <w:rPr>
          <w:rFonts w:asciiTheme="minorBidi" w:hAnsiTheme="minorBidi"/>
          <w:sz w:val="22"/>
          <w:szCs w:val="22"/>
          <w:lang w:val="es-419"/>
        </w:rPr>
        <w:t>De acuerdo con su estrategia de ejecución, el proyecto incluía las siguientes actividades, realizadas en 2024 en Argelia, el Brasil, el Pakistán y Uganda: i) cuatro estudios nacionales y un estudio global sobre los retos en el período posterior al registro; ii) actividades informativas y talleres sobre gestión colectiva para difundir las conclusiones de los informes nacionales y colaborar con las autoridades nacionales, los productores de indicaciones geográficas y otras partes interesadas; y iii) desarrollo de estrategias, herramientas e iniciativas para abordar los retos identificados en los estudios nacionales, actividades informativas y talleres.</w:t>
      </w:r>
      <w:r w:rsidRPr="00415B3E">
        <w:rPr>
          <w:rStyle w:val="FootnoteReference"/>
          <w:rFonts w:asciiTheme="minorBidi" w:hAnsiTheme="minorBidi"/>
          <w:sz w:val="22"/>
          <w:szCs w:val="22"/>
          <w:lang w:val="es-419"/>
        </w:rPr>
        <w:footnoteReference w:id="63"/>
      </w:r>
    </w:p>
    <w:p w14:paraId="38E16118" w14:textId="77777777" w:rsidR="00FD5CE0" w:rsidRPr="00415B3E" w:rsidRDefault="00FD5CE0" w:rsidP="00FD5CE0">
      <w:pPr>
        <w:pStyle w:val="ListParagraph"/>
        <w:numPr>
          <w:ilvl w:val="0"/>
          <w:numId w:val="19"/>
        </w:numPr>
        <w:spacing w:after="240" w:line="240" w:lineRule="auto"/>
        <w:contextualSpacing w:val="0"/>
        <w:rPr>
          <w:rFonts w:asciiTheme="minorBidi" w:hAnsiTheme="minorBidi"/>
          <w:sz w:val="22"/>
          <w:szCs w:val="22"/>
          <w:lang w:val="es-419"/>
        </w:rPr>
      </w:pPr>
      <w:r w:rsidRPr="00415B3E">
        <w:rPr>
          <w:rFonts w:asciiTheme="minorBidi" w:hAnsiTheme="minorBidi"/>
          <w:i/>
          <w:sz w:val="22"/>
          <w:szCs w:val="22"/>
          <w:lang w:val="es-419"/>
        </w:rPr>
        <w:t xml:space="preserve">PI y aprovechamiento del potencial de las indicaciones geográficas no agrícolas para el empoderamiento de las comunidades locales y la preservación o la recuperación de las artes y tradiciones locales: </w:t>
      </w:r>
      <w:r w:rsidRPr="00415B3E">
        <w:rPr>
          <w:rFonts w:asciiTheme="minorBidi" w:hAnsiTheme="minorBidi"/>
          <w:sz w:val="22"/>
          <w:szCs w:val="22"/>
          <w:lang w:val="es-419"/>
        </w:rPr>
        <w:t>Durante el período examinado, el proyecto se encontraba en la fase previa a la ejecución. Se han seleccionado especialistas internacionales y nacionales para la elaboración de una metodología para emprender un estudio sobre el impacto multifactorial de la utilización de las indicaciones geográficas para productos no agrícolas en las comunidades locales y en la conservación o la recuperación de las artes y tradiciones locales.</w:t>
      </w:r>
    </w:p>
    <w:p w14:paraId="3956B926" w14:textId="77777777" w:rsidR="00FD5CE0" w:rsidRPr="00415B3E" w:rsidRDefault="00FD5CE0" w:rsidP="00FD5CE0">
      <w:pPr>
        <w:pStyle w:val="ListParagraph"/>
        <w:numPr>
          <w:ilvl w:val="0"/>
          <w:numId w:val="19"/>
        </w:numPr>
        <w:spacing w:after="240" w:line="240" w:lineRule="auto"/>
        <w:contextualSpacing w:val="0"/>
        <w:rPr>
          <w:rFonts w:asciiTheme="minorBidi" w:hAnsiTheme="minorBidi"/>
          <w:sz w:val="22"/>
          <w:szCs w:val="22"/>
          <w:lang w:val="es-419"/>
        </w:rPr>
      </w:pPr>
      <w:r w:rsidRPr="00415B3E">
        <w:rPr>
          <w:rFonts w:asciiTheme="minorBidi" w:hAnsiTheme="minorBidi"/>
          <w:i/>
          <w:sz w:val="22"/>
          <w:szCs w:val="22"/>
          <w:lang w:val="es-419"/>
        </w:rPr>
        <w:t>Propiedad intelectual y turismo gastronómico en el Perú y otros países en desarrollo:</w:t>
      </w:r>
      <w:r w:rsidRPr="00415B3E">
        <w:rPr>
          <w:rFonts w:asciiTheme="minorBidi" w:hAnsiTheme="minorBidi"/>
          <w:sz w:val="22"/>
          <w:szCs w:val="22"/>
          <w:lang w:val="es-419"/>
        </w:rPr>
        <w:t xml:space="preserve"> fomento del desarrollo del turismo gastronómico a través de la PI: La ejecución de la Fase II del proyecto se inició en enero de 2024, en el Perú, el Camerún, Malasia y Marruecos; y durante el período examinado se llevaron a cabo las siguientes actividades: i) selección de una tradición culinaria en cada país beneficiario (Ndolé en el Camerún, Nasi Kerabu en Malasia, Tangia en Marruecos y Ocopa en el Perú); ii) identificación e inventario de las partes interesadas y los beneficiarios de la tradición seleccionada en todos los países beneficiarios; y iii) un taller de iniciación con las partes interesadas y los beneficiarios en Arequipa, Perú.</w:t>
      </w:r>
    </w:p>
    <w:p w14:paraId="4F09C211" w14:textId="77777777" w:rsidR="00FD5CE0" w:rsidRPr="00415B3E" w:rsidRDefault="00FD5CE0" w:rsidP="004A1B4D">
      <w:pPr>
        <w:pStyle w:val="Heading1"/>
        <w:numPr>
          <w:ilvl w:val="0"/>
          <w:numId w:val="25"/>
        </w:numPr>
        <w:spacing w:after="220"/>
        <w:ind w:left="0" w:firstLine="0"/>
        <w:rPr>
          <w:rFonts w:asciiTheme="minorBidi" w:hAnsiTheme="minorBidi" w:cstheme="minorBidi"/>
          <w:szCs w:val="22"/>
          <w:lang w:val="es-419"/>
        </w:rPr>
      </w:pPr>
      <w:r w:rsidRPr="00415B3E">
        <w:rPr>
          <w:rFonts w:asciiTheme="minorBidi" w:hAnsiTheme="minorBidi" w:cstheme="minorBidi"/>
          <w:szCs w:val="22"/>
          <w:lang w:val="es-419"/>
        </w:rPr>
        <w:t>Sector de Derecho de Autor e Industrias Creativas</w:t>
      </w:r>
    </w:p>
    <w:p w14:paraId="4466E928"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El Sector de Derecho de Autor e Industrias Creativas siguió centrado en los Estados miembros para mejorar sus capacidades institucionales, así como para actualizar sus conocimientos y habilidades prácticas para utilizar el ecosistema del derecho de autor como herramienta para el desarrollo sostenible. Durante el período que abarca el informe, el Sector apoyó el uso del derecho de autor y los derechos conexos por parte de los Estados miembros, ofreciendo asesoramiento personalizado en materia de leyes, políticas, infraestructura y gestión. Además, el Consorcio de Libros Accesibles (ABC) mantuvo su compromiso de aumentar la disponibilidad de libros en formatos accesibles, fomentando la participación en la educación, el empleo y la vida cultural de las personas con dificultad para acceder al texto </w:t>
      </w:r>
      <w:r w:rsidRPr="00415B3E">
        <w:rPr>
          <w:rFonts w:asciiTheme="minorBidi" w:hAnsiTheme="minorBidi"/>
          <w:sz w:val="22"/>
          <w:szCs w:val="22"/>
          <w:lang w:val="es-419"/>
        </w:rPr>
        <w:lastRenderedPageBreak/>
        <w:t>impreso en todo el mundo. El Sector también amplió sus actividades de formación y fortalecimiento de capacidades para los PMA, los países en desarrollo y los países con economías en transición, y dirigió los esfuerzos de la OMPI para sensibilizar a la opinión pública mundial sobre el potencial de la PI para mejorar la vida de las personas en todo el mundo, en particular a través de la plataforma CLIP (</w:t>
      </w:r>
      <w:r w:rsidRPr="00415B3E">
        <w:rPr>
          <w:rFonts w:asciiTheme="minorBidi" w:hAnsiTheme="minorBidi"/>
          <w:i/>
          <w:iCs/>
          <w:sz w:val="22"/>
          <w:szCs w:val="22"/>
          <w:lang w:val="es-419"/>
        </w:rPr>
        <w:t>Creators Learn Intellectual Property</w:t>
      </w:r>
      <w:r w:rsidRPr="00415B3E">
        <w:rPr>
          <w:rFonts w:asciiTheme="minorBidi" w:hAnsiTheme="minorBidi"/>
          <w:sz w:val="22"/>
          <w:szCs w:val="22"/>
          <w:lang w:val="es-419"/>
        </w:rPr>
        <w:t>, los creadores se forman en propiedad intelectual) de la OMPI.</w:t>
      </w:r>
      <w:r w:rsidRPr="00415B3E">
        <w:rPr>
          <w:rStyle w:val="FootnoteReference"/>
          <w:rFonts w:asciiTheme="minorBidi" w:hAnsiTheme="minorBidi"/>
          <w:sz w:val="22"/>
          <w:szCs w:val="22"/>
          <w:lang w:val="es-419"/>
        </w:rPr>
        <w:footnoteReference w:id="64"/>
      </w:r>
      <w:r w:rsidRPr="00415B3E">
        <w:rPr>
          <w:rFonts w:asciiTheme="minorBidi" w:hAnsiTheme="minorBidi"/>
          <w:sz w:val="22"/>
          <w:szCs w:val="22"/>
          <w:lang w:val="es-419"/>
        </w:rPr>
        <w:t xml:space="preserve"> Este alcance mundial se vio reforzado por el Programa de Premios Mundiales de la OMPI, que experimentó un crecimiento sostenido durante el año objeto del informe y amplió su alcance para incluir a las empresas de nueva creación, fomentando y apoyando una nueva ola de innovación.</w:t>
      </w:r>
    </w:p>
    <w:p w14:paraId="3B0B7B59"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Asistencia Técnica y Fortalecimiento de Capacidades</w:t>
      </w:r>
    </w:p>
    <w:p w14:paraId="4287DAAD"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La Asistencia técnica y el fortalecimiento de capacidades del Sector siguieron guiándose por las recomendaciones de la AD. En 2024, se proporcionó un asesoramiento legislativo a medida a 13 Estados miembros</w:t>
      </w:r>
      <w:r w:rsidRPr="00415B3E">
        <w:rPr>
          <w:rStyle w:val="FootnoteReference"/>
          <w:rFonts w:asciiTheme="minorBidi" w:hAnsiTheme="minorBidi"/>
          <w:iCs/>
          <w:sz w:val="22"/>
          <w:szCs w:val="22"/>
          <w:lang w:val="es-419"/>
        </w:rPr>
        <w:footnoteReference w:id="65"/>
      </w:r>
      <w:r w:rsidRPr="00415B3E">
        <w:rPr>
          <w:rFonts w:asciiTheme="minorBidi" w:hAnsiTheme="minorBidi"/>
          <w:sz w:val="22"/>
          <w:szCs w:val="22"/>
          <w:lang w:val="es-419"/>
        </w:rPr>
        <w:t xml:space="preserve"> y a otros se los asesoró sobre las disposiciones de sus estrategias nacionales en materia de derecho de autor y derechos conexos. Mientras tanto, una serie de actividades de asistencia técnica y fortalecimiento de capacidades llegaron a más de 1.500 participantes de unos 100 países en desarrollo y PMA, beneficiando, entre otros, a responsables políticos, profesionales y gestores de los sectores cultural y creativo, creadores y jóvenes. Los ejemplos incluyen: i) el </w:t>
      </w:r>
      <w:r w:rsidRPr="00415B3E">
        <w:rPr>
          <w:rFonts w:asciiTheme="minorBidi" w:hAnsiTheme="minorBidi"/>
          <w:i/>
          <w:iCs/>
          <w:sz w:val="22"/>
          <w:szCs w:val="22"/>
          <w:lang w:val="es-419"/>
        </w:rPr>
        <w:t>Seminario Regional OMPI-ARIPO sobre “Derecho de autor</w:t>
      </w:r>
      <w:r w:rsidRPr="00415B3E">
        <w:rPr>
          <w:rFonts w:asciiTheme="minorBidi" w:hAnsiTheme="minorBidi"/>
          <w:sz w:val="22"/>
          <w:szCs w:val="22"/>
          <w:lang w:val="es-419"/>
        </w:rPr>
        <w:t>:</w:t>
      </w:r>
      <w:r w:rsidRPr="00415B3E">
        <w:rPr>
          <w:rFonts w:asciiTheme="minorBidi" w:hAnsiTheme="minorBidi"/>
          <w:i/>
          <w:sz w:val="22"/>
          <w:szCs w:val="22"/>
          <w:lang w:val="es-419"/>
        </w:rPr>
        <w:t xml:space="preserve"> un impulsor de la economía creativa</w:t>
      </w:r>
      <w:r w:rsidRPr="00415B3E">
        <w:rPr>
          <w:rFonts w:asciiTheme="minorBidi" w:hAnsiTheme="minorBidi"/>
          <w:sz w:val="22"/>
          <w:szCs w:val="22"/>
          <w:lang w:val="es-419"/>
        </w:rPr>
        <w:t xml:space="preserve">”, celebrado en Zimbabwe, del 26 al 28 de noviembre de 2024; ii) el </w:t>
      </w:r>
      <w:r w:rsidRPr="00415B3E">
        <w:rPr>
          <w:rFonts w:asciiTheme="minorBidi" w:hAnsiTheme="minorBidi"/>
          <w:i/>
          <w:sz w:val="22"/>
          <w:szCs w:val="22"/>
          <w:lang w:val="es-419"/>
        </w:rPr>
        <w:t>Programa de formación y tutoría para músicos y profesionales latinoamericanos</w:t>
      </w:r>
      <w:r w:rsidRPr="00415B3E">
        <w:rPr>
          <w:rFonts w:asciiTheme="minorBidi" w:hAnsiTheme="minorBidi"/>
          <w:sz w:val="22"/>
          <w:szCs w:val="22"/>
          <w:lang w:val="es-419"/>
        </w:rPr>
        <w:t>, celebrado en España, del 18 al 21 de marzo de 2024; y iii) la participación y el compromiso con la Plataforma Interinstitucional sobre la Cultura para el Desarrollo Sostenible, dirigida por la Organización de las Naciones Unidas para la Educación, la Ciencia y la Cultura (UNESCO), Grupo de Trabajo sobre Derechos Culturales.</w:t>
      </w:r>
    </w:p>
    <w:p w14:paraId="70DCF46A"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prestó especial atención a la difusión mundial de la Plataforma CLIP,</w:t>
      </w:r>
      <w:r w:rsidRPr="00415B3E">
        <w:rPr>
          <w:rStyle w:val="FootnoteReference"/>
          <w:rFonts w:asciiTheme="minorBidi" w:hAnsiTheme="minorBidi"/>
          <w:sz w:val="22"/>
          <w:szCs w:val="22"/>
          <w:lang w:val="es-419"/>
        </w:rPr>
        <w:footnoteReference w:id="66"/>
      </w:r>
      <w:r w:rsidRPr="00415B3E">
        <w:rPr>
          <w:rFonts w:asciiTheme="minorBidi" w:hAnsiTheme="minorBidi"/>
          <w:sz w:val="22"/>
          <w:szCs w:val="22"/>
          <w:lang w:val="es-419"/>
        </w:rPr>
        <w:t xml:space="preserve"> que se puso a disposición en siete idiomas.</w:t>
      </w:r>
      <w:r w:rsidRPr="00415B3E">
        <w:rPr>
          <w:rStyle w:val="FootnoteReference"/>
          <w:rFonts w:asciiTheme="minorBidi" w:hAnsiTheme="minorBidi"/>
          <w:iCs/>
          <w:sz w:val="22"/>
          <w:szCs w:val="22"/>
          <w:lang w:val="es-419"/>
        </w:rPr>
        <w:footnoteReference w:id="67"/>
      </w:r>
      <w:r w:rsidRPr="00415B3E">
        <w:rPr>
          <w:rFonts w:asciiTheme="minorBidi" w:hAnsiTheme="minorBidi"/>
          <w:sz w:val="22"/>
          <w:szCs w:val="22"/>
          <w:lang w:val="es-419"/>
        </w:rPr>
        <w:t xml:space="preserve"> De carácter gratuito, la Plataforma pretende proporcionar a los creadores los conocimientos necesarios para tomar decisiones profesionales con conocimiento de causa, salvaguardar su PI y recibir una remuneración justa. También se introdujo un programa "CLIP Champions" con el objetivo de reforzar los esfuerzos de promoción en conferencias y eventos del sector en todo el mundo.</w:t>
      </w:r>
      <w:r w:rsidRPr="00415B3E">
        <w:rPr>
          <w:rStyle w:val="FootnoteReference"/>
          <w:rFonts w:asciiTheme="minorBidi" w:hAnsiTheme="minorBidi"/>
          <w:iCs/>
          <w:sz w:val="22"/>
          <w:szCs w:val="22"/>
          <w:lang w:val="es-419"/>
        </w:rPr>
        <w:footnoteReference w:id="68"/>
      </w:r>
    </w:p>
    <w:p w14:paraId="679970FB"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Consorcio de Libros Accesibles (ABC) aplicó eficazmente los objetivos del Tratado de Marrakech, apoyando a las personas ciegas, con discapacidad visual o con dificultad para acceder al texto impreso. Durante el período examinado, el ABC celebró su décimo aniversario con un concierto al margen de la trigésima segunda sesión del CDIP.</w:t>
      </w:r>
      <w:r w:rsidRPr="00415B3E">
        <w:rPr>
          <w:rStyle w:val="FootnoteReference"/>
          <w:rFonts w:asciiTheme="minorBidi" w:hAnsiTheme="minorBidi"/>
          <w:sz w:val="22"/>
          <w:szCs w:val="22"/>
          <w:lang w:val="es-419"/>
        </w:rPr>
        <w:footnoteReference w:id="69"/>
      </w:r>
      <w:r w:rsidRPr="00415B3E">
        <w:rPr>
          <w:rFonts w:asciiTheme="minorBidi" w:hAnsiTheme="minorBidi"/>
          <w:sz w:val="22"/>
          <w:szCs w:val="22"/>
          <w:lang w:val="es-419"/>
        </w:rPr>
        <w:t xml:space="preserve"> Mientras tanto, el Servicio Mundial de Libros del ABC siguió ofreciendo y gestionando un catálogo en línea gratuito de libros en formatos accesibles para 145 entidades autorizadas (EA) que atienden a personas con dificultades para acceder al texto impreso, más de la mitad de las cuales tienen su sede en países en desarrollo o PMA. El Servicio Mundial de Libros del ABC también permitió a las EA intercambiar libros accesibles entre países. A finales de 2024, en el marco del Tratado de Marrakech, el Servicio Mundial de Libros contaba con más de un millón de títulos en 80 lenguas disponibles para el intercambio transfronterizo, incluidos más de 100 000 títulos en braille digital y 11 000 partituras en braille. El ABC también ofrece la aplicación suplementaria, que es gratuita para las EA participantes y permite a sus usuarios buscar en un catálogo </w:t>
      </w:r>
      <w:r w:rsidRPr="00415B3E">
        <w:rPr>
          <w:rFonts w:asciiTheme="minorBidi" w:hAnsiTheme="minorBidi"/>
          <w:sz w:val="22"/>
          <w:szCs w:val="22"/>
          <w:lang w:val="es-419"/>
        </w:rPr>
        <w:lastRenderedPageBreak/>
        <w:t>público, enviar consultas y descargar inmediatamente títulos en formato accesible. En total, 43 EA participantes han aceptado ofrecer a sus afiliados la aplicación ABC para beneficiarios; 15 de ellas se encuentran en países en desarrollo o PMA. Desde 2021 hasta finales de 2024, casi 20 000 libros fueron descargados directamente por los usuarios finales a través de la aplicación beneficiaria.</w:t>
      </w:r>
    </w:p>
    <w:p w14:paraId="04902B5F"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Además, el ABC dirigió 17 proyectos de formación y asistencia técnica en curso en países en desarrollo y PMA, 11 de los cuales se habían iniciado en años anteriores. El objetivo de estos proyectos era transferir conocimientos a las organizaciones asociadas para garantizar su capacidad de producir títulos educativos en formatos accesibles de forma independiente para los estudiantes con dificultades para acceder al texto impreso. A finales de 2024, casi 22 000 títulos educativos habían sido producidos en idiomas nacionales en formatos accesibles por socios del ABC a través de la financiación proporcionada por el ABC. Otro hito en 2024 fue el crecimiento sustancial del </w:t>
      </w:r>
      <w:r w:rsidRPr="00415B3E">
        <w:rPr>
          <w:rFonts w:asciiTheme="minorBidi" w:hAnsiTheme="minorBidi"/>
          <w:i/>
          <w:iCs/>
          <w:sz w:val="22"/>
          <w:szCs w:val="22"/>
          <w:lang w:val="es-419"/>
        </w:rPr>
        <w:t>Premio Internacional del ABC a la Excelencia en la Edición Accesible</w:t>
      </w:r>
      <w:r w:rsidRPr="00415B3E">
        <w:rPr>
          <w:rFonts w:asciiTheme="minorBidi" w:hAnsiTheme="minorBidi"/>
          <w:sz w:val="22"/>
          <w:szCs w:val="22"/>
          <w:lang w:val="es-419"/>
        </w:rPr>
        <w:t>, que se ha convertido en un importante acontecimiento anual en el ámbito de la edición accesible. Los ganadores se anunciaron en diciembre de 2024, durante la cena de gala del Congreso de la Unión Internacional de Editores en Guadalajara, México.</w:t>
      </w:r>
      <w:r w:rsidRPr="00415B3E">
        <w:rPr>
          <w:rStyle w:val="FootnoteReference"/>
          <w:rFonts w:asciiTheme="minorBidi" w:hAnsiTheme="minorBidi"/>
          <w:sz w:val="22"/>
          <w:szCs w:val="22"/>
          <w:lang w:val="es-419"/>
        </w:rPr>
        <w:footnoteReference w:id="70"/>
      </w:r>
    </w:p>
    <w:p w14:paraId="29DC9B5A"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La OMPI organizó la conferencia sobre el “derecho a la lectura”</w:t>
      </w:r>
      <w:r w:rsidRPr="00415B3E">
        <w:rPr>
          <w:rStyle w:val="FootnoteReference"/>
          <w:rFonts w:asciiTheme="minorBidi" w:hAnsiTheme="minorBidi"/>
          <w:sz w:val="22"/>
          <w:szCs w:val="22"/>
          <w:lang w:val="es-419"/>
        </w:rPr>
        <w:footnoteReference w:id="71"/>
      </w:r>
      <w:r w:rsidRPr="00415B3E">
        <w:rPr>
          <w:rFonts w:asciiTheme="minorBidi" w:hAnsiTheme="minorBidi"/>
          <w:sz w:val="22"/>
          <w:szCs w:val="22"/>
          <w:lang w:val="es-419"/>
        </w:rPr>
        <w:t xml:space="preserve"> en Sídney (Australia). Con el apoyo del Programa de Fondos Fiduciarios OMPI-Australia, el acto reunió a representantes de asociaciones de personas con discapacidad, incluidas las de ciegos, y a autoridades de PI de nueve Estados miembros de las Islas del Pacífico.</w:t>
      </w:r>
      <w:r w:rsidRPr="00415B3E">
        <w:rPr>
          <w:rStyle w:val="FootnoteReference"/>
          <w:rFonts w:asciiTheme="minorBidi" w:hAnsiTheme="minorBidi"/>
          <w:sz w:val="22"/>
          <w:szCs w:val="22"/>
          <w:lang w:val="es-419"/>
        </w:rPr>
        <w:footnoteReference w:id="72"/>
      </w:r>
      <w:r w:rsidRPr="00415B3E">
        <w:rPr>
          <w:rFonts w:asciiTheme="minorBidi" w:hAnsiTheme="minorBidi"/>
          <w:sz w:val="22"/>
          <w:szCs w:val="22"/>
          <w:lang w:val="es-419"/>
        </w:rPr>
        <w:t xml:space="preserve"> Los participantes abordaron los retos que plantea la mejora de la lectura para las personas con dificultades para acceder al texto impreso. Los debates pusieron de relieve la importancia de la colaboración local y de aprovechar recursos como el Servicio Mundial de Libros del ABC. Además, el ABC y la </w:t>
      </w:r>
      <w:r w:rsidRPr="00415B3E">
        <w:rPr>
          <w:rFonts w:asciiTheme="minorBidi" w:hAnsiTheme="minorBidi"/>
          <w:i/>
          <w:sz w:val="22"/>
          <w:szCs w:val="22"/>
          <w:lang w:val="es-419"/>
        </w:rPr>
        <w:t>Unión Latinoamericana de Ciegos (ULAC)</w:t>
      </w:r>
      <w:r w:rsidRPr="00415B3E">
        <w:rPr>
          <w:rFonts w:asciiTheme="minorBidi" w:hAnsiTheme="minorBidi"/>
          <w:sz w:val="22"/>
          <w:szCs w:val="22"/>
          <w:lang w:val="es-419"/>
        </w:rPr>
        <w:t xml:space="preserve"> organizaron una sesión interactiva durante el Congreso de la ULAC en Lima (Perú) en la que los delegados de la Unión acordaron poner en marcha una hoja de ruta para dar a conocer el ABC y el Tratado de Marrakech en América Latina y mejorar los mecanismos que permiten a los usuarios finales con dificultad para acceder al texto impreso obtener material de lectura.</w:t>
      </w:r>
    </w:p>
    <w:p w14:paraId="0F409C3F"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Los Premios Mundiales de la OMPI</w:t>
      </w:r>
      <w:r w:rsidRPr="00415B3E">
        <w:rPr>
          <w:rStyle w:val="FootnoteReference"/>
          <w:rFonts w:asciiTheme="minorBidi" w:hAnsiTheme="minorBidi"/>
          <w:sz w:val="22"/>
          <w:szCs w:val="22"/>
          <w:lang w:val="es-419"/>
        </w:rPr>
        <w:footnoteReference w:id="73"/>
      </w:r>
      <w:r w:rsidRPr="00415B3E">
        <w:rPr>
          <w:rFonts w:asciiTheme="minorBidi" w:hAnsiTheme="minorBidi"/>
          <w:sz w:val="22"/>
          <w:szCs w:val="22"/>
          <w:lang w:val="es-419"/>
        </w:rPr>
        <w:t xml:space="preserve"> experimentaron un crecimiento continuado durante el año de referencia, con solicitudes de 661 empresas emergentes y pymes de 107 países, lo que supone un aumento del 20 % respecto al año anterior. El programa se amplió para incluir a las empresas emergentes, acogiendo ideas revolucionarias de todo el mundo y fomentando una nueva ola de innovación. Se preseleccionaron 25 finalistas y nueve ganadores, cada uno de los cuales demostró un éxito excepcional en la comercialización de la PI. La conclusión con éxito del programa de tutoría para los ganadores de los Premios Mundiales de la OMPI 2023 resultó transformadora, ya que les permitió perfeccionar sus estrategias de PI, entrar en nuevos mercados internacionales, forjar alianzas empresariales de gran repercusión, lograr eficiencias que ahorran costos en la gestión de la PI y obtener un prestigioso reconocimiento mundial. Además, en lo que respecta a los Premios Nacionales,</w:t>
      </w:r>
      <w:r w:rsidRPr="00415B3E">
        <w:rPr>
          <w:rStyle w:val="FootnoteReference"/>
          <w:rFonts w:asciiTheme="minorBidi" w:hAnsiTheme="minorBidi"/>
          <w:iCs/>
          <w:sz w:val="22"/>
          <w:szCs w:val="22"/>
          <w:lang w:val="es-419"/>
        </w:rPr>
        <w:footnoteReference w:id="74"/>
      </w:r>
      <w:r w:rsidRPr="00415B3E">
        <w:rPr>
          <w:rFonts w:asciiTheme="minorBidi" w:hAnsiTheme="minorBidi"/>
          <w:sz w:val="22"/>
          <w:szCs w:val="22"/>
          <w:lang w:val="es-419"/>
        </w:rPr>
        <w:t xml:space="preserve"> los Premios de la OMPI apoyaron 41 candidaturas de 32 países, y entregaron 150 certificados y 24 medallas, reforzando aún más su compromiso de reconocer y celebrar la innovación en todo el mundo.</w:t>
      </w:r>
    </w:p>
    <w:p w14:paraId="3CB6DA7A"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Órganos de la OMPI</w:t>
      </w:r>
    </w:p>
    <w:p w14:paraId="4DE85FFF"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El Sector siguió apoyando la labor del Comité Permanente de Derecho de Autor y Derechos Conexos (SCCR). El Comité se reunió una vez en 2024, y su cuadragésima quinta </w:t>
      </w:r>
      <w:r w:rsidRPr="00415B3E">
        <w:rPr>
          <w:rFonts w:asciiTheme="minorBidi" w:hAnsiTheme="minorBidi"/>
          <w:sz w:val="22"/>
          <w:szCs w:val="22"/>
          <w:lang w:val="es-419"/>
        </w:rPr>
        <w:lastRenderedPageBreak/>
        <w:t>sesión se celebró del 15 al 19 de abril de 2024, en formato híbrido.</w:t>
      </w:r>
      <w:r w:rsidRPr="00415B3E">
        <w:rPr>
          <w:rStyle w:val="FootnoteReference"/>
          <w:rFonts w:asciiTheme="minorBidi" w:hAnsiTheme="minorBidi"/>
          <w:sz w:val="22"/>
          <w:szCs w:val="22"/>
          <w:lang w:val="es-419"/>
        </w:rPr>
        <w:footnoteReference w:id="75"/>
      </w:r>
      <w:r w:rsidRPr="00415B3E">
        <w:rPr>
          <w:rFonts w:asciiTheme="minorBidi" w:hAnsiTheme="minorBidi"/>
          <w:sz w:val="22"/>
          <w:szCs w:val="22"/>
          <w:lang w:val="es-419"/>
        </w:rPr>
        <w:t xml:space="preserve"> Se presentó un proyecto revisado del Tratado de la OMPI sobre los Organismos de Radiodifusión</w:t>
      </w:r>
      <w:r w:rsidRPr="00415B3E">
        <w:rPr>
          <w:rStyle w:val="FootnoteReference"/>
          <w:rFonts w:asciiTheme="minorBidi" w:hAnsiTheme="minorBidi"/>
          <w:sz w:val="22"/>
          <w:szCs w:val="22"/>
          <w:lang w:val="es-419"/>
        </w:rPr>
        <w:footnoteReference w:id="76"/>
      </w:r>
      <w:r w:rsidRPr="00415B3E">
        <w:rPr>
          <w:rFonts w:asciiTheme="minorBidi" w:hAnsiTheme="minorBidi"/>
          <w:sz w:val="22"/>
          <w:szCs w:val="22"/>
          <w:lang w:val="es-419"/>
        </w:rPr>
        <w:t xml:space="preserve"> a los Estados miembros, que llegaron a una postura común sobre los objetivos del Tratado y su objeto de protección (materia). Aunque el Comité avanzó en otros temas fundamentales, como la definición de los organismos de radiodifusión o los beneficiarios de la protección, no se alcanzó un consenso, por lo que los debates se reanudarán en la próxima sesión del SCCR.</w:t>
      </w:r>
    </w:p>
    <w:p w14:paraId="66B7A621"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Los Estados miembros debatieron una propuesta de </w:t>
      </w:r>
      <w:r w:rsidRPr="00415B3E">
        <w:rPr>
          <w:rFonts w:asciiTheme="minorBidi" w:hAnsiTheme="minorBidi"/>
          <w:i/>
          <w:sz w:val="22"/>
          <w:szCs w:val="22"/>
          <w:lang w:val="es-419"/>
        </w:rPr>
        <w:t>“Estudio exploratorio sobre los derechos de los autores audiovisuales y su remuneración por la explotación de sus obras”</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77"/>
      </w:r>
      <w:r w:rsidRPr="00415B3E">
        <w:rPr>
          <w:rFonts w:asciiTheme="minorBidi" w:hAnsiTheme="minorBidi"/>
          <w:sz w:val="22"/>
          <w:szCs w:val="22"/>
          <w:lang w:val="es-419"/>
        </w:rPr>
        <w:t xml:space="preserve"> Además, se presentó un plan de trabajo sobre </w:t>
      </w:r>
      <w:r w:rsidRPr="00415B3E">
        <w:rPr>
          <w:rFonts w:asciiTheme="minorBidi" w:hAnsiTheme="minorBidi"/>
          <w:i/>
          <w:sz w:val="22"/>
          <w:szCs w:val="22"/>
          <w:lang w:val="es-419"/>
        </w:rPr>
        <w:t>"El derecho de autor en el entorno digital"</w:t>
      </w:r>
      <w:r w:rsidRPr="00415B3E">
        <w:rPr>
          <w:rStyle w:val="FootnoteReference"/>
          <w:rFonts w:asciiTheme="minorBidi" w:hAnsiTheme="minorBidi"/>
          <w:sz w:val="22"/>
          <w:szCs w:val="22"/>
          <w:lang w:val="es-419"/>
        </w:rPr>
        <w:footnoteReference w:id="78"/>
      </w:r>
      <w:r w:rsidRPr="00415B3E">
        <w:rPr>
          <w:rFonts w:asciiTheme="minorBidi" w:hAnsiTheme="minorBidi"/>
          <w:sz w:val="22"/>
          <w:szCs w:val="22"/>
          <w:lang w:val="es-419"/>
        </w:rPr>
        <w:t xml:space="preserve"> y el Comité acordó continuar los debates sobre el tema en la próxima sesión. Tal como había solicitado previamente el Comité, la Secretaría presentó una </w:t>
      </w:r>
      <w:r w:rsidRPr="00415B3E">
        <w:rPr>
          <w:rFonts w:asciiTheme="minorBidi" w:hAnsiTheme="minorBidi"/>
          <w:i/>
          <w:iCs/>
          <w:sz w:val="22"/>
          <w:szCs w:val="22"/>
          <w:lang w:val="es-419"/>
        </w:rPr>
        <w:t>Sesión de información sobre las oportunidades y retos que plantea la IA generativa en relación con el derecho de autor</w:t>
      </w:r>
      <w:r w:rsidRPr="00415B3E">
        <w:rPr>
          <w:rFonts w:asciiTheme="minorBidi" w:hAnsiTheme="minorBidi"/>
          <w:sz w:val="22"/>
          <w:szCs w:val="22"/>
          <w:lang w:val="es-419"/>
        </w:rPr>
        <w:t>, que incluyó una sesión de preguntas y respuestas entre los Estados miembros y los creadores, profesionales y especialistas. Las delegaciones expresaron su firme apoyo y solicitaron la organización de más sesiones sobre este tema.</w:t>
      </w:r>
    </w:p>
    <w:p w14:paraId="2E6D40CB"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En el punto del orden del día sobre </w:t>
      </w:r>
      <w:r w:rsidRPr="00415B3E">
        <w:rPr>
          <w:rFonts w:asciiTheme="minorBidi" w:hAnsiTheme="minorBidi"/>
          <w:i/>
          <w:sz w:val="22"/>
          <w:szCs w:val="22"/>
          <w:lang w:val="es-419"/>
        </w:rPr>
        <w:t>limitaciones y excepciones para bibliotecas y archivos, instituciones educativas y de investigación y personas con otras discapacidades"</w:t>
      </w:r>
      <w:r w:rsidRPr="00415B3E">
        <w:rPr>
          <w:rFonts w:asciiTheme="minorBidi" w:hAnsiTheme="minorBidi"/>
          <w:sz w:val="22"/>
          <w:szCs w:val="22"/>
          <w:lang w:val="es-419"/>
        </w:rPr>
        <w:t>, se presentó el Proyecto de plan de ejecución del programa de trabajo sobre limitaciones y excepciones y comentarios preliminares recibidos hasta el 29 de marzo de 2024</w:t>
      </w:r>
      <w:r w:rsidRPr="00415B3E">
        <w:rPr>
          <w:rStyle w:val="FootnoteReference"/>
          <w:rFonts w:asciiTheme="minorBidi" w:hAnsiTheme="minorBidi"/>
          <w:sz w:val="22"/>
          <w:szCs w:val="22"/>
          <w:lang w:val="es-419"/>
        </w:rPr>
        <w:footnoteReference w:id="79"/>
      </w:r>
      <w:r w:rsidRPr="00415B3E">
        <w:rPr>
          <w:rFonts w:asciiTheme="minorBidi" w:hAnsiTheme="minorBidi"/>
          <w:sz w:val="22"/>
          <w:szCs w:val="22"/>
          <w:lang w:val="es-419"/>
        </w:rPr>
        <w:t xml:space="preserve"> a raíz de la petición de los Estados miembros en la cuadragésima cuarta sesión del SCCR. Asimismo, la Delegación de los Estados Unidos de América explicó con más detalle la versión actualizada del documento </w:t>
      </w:r>
      <w:r w:rsidRPr="00415B3E">
        <w:rPr>
          <w:rFonts w:asciiTheme="minorBidi" w:hAnsiTheme="minorBidi"/>
          <w:i/>
          <w:sz w:val="22"/>
          <w:szCs w:val="22"/>
          <w:lang w:val="es-419"/>
        </w:rPr>
        <w:t>“Objetivos y principios relativos a las excepciones y limitaciones en favor de las bibliotecas y los archivos</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80"/>
      </w:r>
    </w:p>
    <w:p w14:paraId="305B6870"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Se presentó al Comité una breve actualización sobre el tema del </w:t>
      </w:r>
      <w:r w:rsidRPr="00415B3E">
        <w:rPr>
          <w:rFonts w:asciiTheme="minorBidi" w:hAnsiTheme="minorBidi"/>
          <w:i/>
          <w:sz w:val="22"/>
          <w:szCs w:val="22"/>
          <w:lang w:val="es-419"/>
        </w:rPr>
        <w:t>fortalecimiento de la protección de los derechos de los directores de teatro</w:t>
      </w:r>
      <w:r w:rsidRPr="00415B3E">
        <w:rPr>
          <w:rFonts w:asciiTheme="minorBidi" w:hAnsiTheme="minorBidi"/>
          <w:sz w:val="22"/>
          <w:szCs w:val="22"/>
          <w:lang w:val="es-419"/>
        </w:rPr>
        <w:t xml:space="preserve">.” Sobre el tema del derecho de participación en las reventas, se pidió a los Estados miembros que formularan comentarios sobre la </w:t>
      </w:r>
      <w:r w:rsidRPr="00415B3E">
        <w:rPr>
          <w:rFonts w:asciiTheme="minorBidi" w:hAnsiTheme="minorBidi"/>
          <w:i/>
          <w:sz w:val="22"/>
          <w:szCs w:val="22"/>
          <w:lang w:val="es-419"/>
        </w:rPr>
        <w:t>“Parte 2 de la Guía práctica de la OMPI sobre el derecho de participación de los artistas en las reventas”.</w:t>
      </w:r>
      <w:r w:rsidRPr="00415B3E">
        <w:rPr>
          <w:rStyle w:val="FootnoteReference"/>
          <w:rFonts w:asciiTheme="minorBidi" w:hAnsiTheme="minorBidi"/>
          <w:sz w:val="22"/>
          <w:szCs w:val="22"/>
          <w:lang w:val="es-419"/>
        </w:rPr>
        <w:footnoteReference w:id="81"/>
      </w:r>
      <w:r w:rsidRPr="00415B3E">
        <w:rPr>
          <w:rFonts w:asciiTheme="minorBidi" w:hAnsiTheme="minorBidi"/>
          <w:sz w:val="22"/>
          <w:szCs w:val="22"/>
          <w:lang w:val="es-419"/>
        </w:rPr>
        <w:t xml:space="preserve"> Además, se presentó un </w:t>
      </w:r>
      <w:r w:rsidRPr="00415B3E">
        <w:rPr>
          <w:rFonts w:asciiTheme="minorBidi" w:hAnsiTheme="minorBidi"/>
          <w:i/>
          <w:sz w:val="22"/>
          <w:szCs w:val="22"/>
          <w:lang w:val="es-419"/>
        </w:rPr>
        <w:t>“Estudio exploratorio sobre el derecho de préstamo público”</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82"/>
      </w:r>
      <w:r w:rsidRPr="00415B3E">
        <w:rPr>
          <w:rFonts w:asciiTheme="minorBidi" w:hAnsiTheme="minorBidi"/>
          <w:sz w:val="22"/>
          <w:szCs w:val="22"/>
          <w:lang w:val="es-419"/>
        </w:rPr>
        <w:t xml:space="preserve"> seguido de una sesión de preguntas y respuestas en la que los Estados miembros aportaron sus comentarios. Antes de la próxima sesión del Comité se presentará una versión revisada del estudio.</w:t>
      </w:r>
    </w:p>
    <w:p w14:paraId="3DC26F79"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Proyectos integrados de la AD</w:t>
      </w:r>
    </w:p>
    <w:p w14:paraId="673B462D"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A continuación, se encuentran las partes destacadas del trabajo relacionado con los proyectos integrados de la AD:</w:t>
      </w:r>
    </w:p>
    <w:p w14:paraId="680028A7" w14:textId="77777777" w:rsidR="00FD5CE0" w:rsidRPr="00415B3E" w:rsidRDefault="00FD5CE0" w:rsidP="00FD5CE0">
      <w:pPr>
        <w:pStyle w:val="ListParagraph"/>
        <w:numPr>
          <w:ilvl w:val="0"/>
          <w:numId w:val="20"/>
        </w:numPr>
        <w:spacing w:after="240" w:line="240" w:lineRule="auto"/>
        <w:contextualSpacing w:val="0"/>
        <w:rPr>
          <w:rFonts w:asciiTheme="minorBidi" w:hAnsiTheme="minorBidi"/>
          <w:sz w:val="22"/>
          <w:szCs w:val="22"/>
          <w:lang w:val="es-419"/>
        </w:rPr>
      </w:pPr>
      <w:r w:rsidRPr="00415B3E">
        <w:rPr>
          <w:rFonts w:asciiTheme="minorBidi" w:hAnsiTheme="minorBidi"/>
          <w:i/>
          <w:sz w:val="22"/>
          <w:szCs w:val="22"/>
          <w:lang w:val="es-419"/>
        </w:rPr>
        <w:t>La PI y el dominio público:</w:t>
      </w:r>
      <w:r w:rsidRPr="00415B3E">
        <w:rPr>
          <w:rFonts w:asciiTheme="minorBidi" w:hAnsiTheme="minorBidi"/>
          <w:sz w:val="22"/>
          <w:szCs w:val="22"/>
          <w:lang w:val="es-419"/>
        </w:rPr>
        <w:t xml:space="preserve"> se dedicaron esfuerzos continuos al ámbito de los sistemas de catalogación del derecho de autor, en el que se hizo asimismo hincapié. El asesoramiento legislativo y la sensibilización sobre los sistemas de registro facultativo </w:t>
      </w:r>
      <w:r w:rsidRPr="00415B3E">
        <w:rPr>
          <w:rFonts w:asciiTheme="minorBidi" w:hAnsiTheme="minorBidi"/>
          <w:sz w:val="22"/>
          <w:szCs w:val="22"/>
          <w:lang w:val="es-419"/>
        </w:rPr>
        <w:lastRenderedPageBreak/>
        <w:t>continuaron siendo parte de la labor cotidiana del Sector, en coordinación estrecha con otras unidades pertinentes en la OMPI.</w:t>
      </w:r>
    </w:p>
    <w:p w14:paraId="6924759E" w14:textId="77777777" w:rsidR="00FD5CE0" w:rsidRPr="00415B3E" w:rsidRDefault="00FD5CE0" w:rsidP="00FD5CE0">
      <w:pPr>
        <w:pStyle w:val="ListParagraph"/>
        <w:numPr>
          <w:ilvl w:val="0"/>
          <w:numId w:val="20"/>
        </w:numPr>
        <w:spacing w:after="240" w:line="240" w:lineRule="auto"/>
        <w:contextualSpacing w:val="0"/>
        <w:rPr>
          <w:rFonts w:asciiTheme="minorBidi" w:hAnsiTheme="minorBidi"/>
          <w:sz w:val="22"/>
          <w:szCs w:val="22"/>
          <w:lang w:val="es-419"/>
        </w:rPr>
      </w:pPr>
      <w:r w:rsidRPr="00415B3E">
        <w:rPr>
          <w:rFonts w:asciiTheme="minorBidi" w:hAnsiTheme="minorBidi"/>
          <w:i/>
          <w:sz w:val="22"/>
          <w:szCs w:val="22"/>
          <w:lang w:val="es-419"/>
        </w:rPr>
        <w:t>La PI, las tecnologías de la información y la comunicación (TIC), la brecha digital y el acceso a los conocimientos, y las –ya aprobadas– nuevas actividades de la OMPI relacionadas con la utilización del derecho de autor para promover el acceso a la información y el contenido creativo:</w:t>
      </w:r>
      <w:r w:rsidRPr="00415B3E">
        <w:rPr>
          <w:rStyle w:val="FootnoteReference"/>
          <w:rFonts w:asciiTheme="minorBidi" w:hAnsiTheme="minorBidi"/>
          <w:sz w:val="22"/>
          <w:szCs w:val="22"/>
          <w:lang w:val="es-419"/>
        </w:rPr>
        <w:footnoteReference w:id="83"/>
      </w:r>
      <w:r w:rsidRPr="00415B3E">
        <w:rPr>
          <w:rFonts w:asciiTheme="minorBidi" w:hAnsiTheme="minorBidi"/>
          <w:sz w:val="22"/>
          <w:szCs w:val="22"/>
          <w:lang w:val="es-419"/>
        </w:rPr>
        <w:t xml:space="preserve"> se siguieron llevando a cabo actividades de asistencia técnica, fortalecimiento de capacidades y sensibilización en relación con las licencias abiertas y el código abierto. Se realizaron presentaciones e intervenciones en diversos foros.</w:t>
      </w:r>
    </w:p>
    <w:p w14:paraId="36C11E44" w14:textId="77777777" w:rsidR="00FD5CE0" w:rsidRPr="00415B3E" w:rsidRDefault="00FD5CE0" w:rsidP="00FD5CE0">
      <w:pPr>
        <w:pStyle w:val="ListParagraph"/>
        <w:numPr>
          <w:ilvl w:val="0"/>
          <w:numId w:val="20"/>
        </w:numPr>
        <w:spacing w:after="240" w:line="240" w:lineRule="auto"/>
        <w:contextualSpacing w:val="0"/>
        <w:rPr>
          <w:rFonts w:asciiTheme="minorBidi" w:hAnsiTheme="minorBidi"/>
          <w:sz w:val="22"/>
          <w:szCs w:val="22"/>
          <w:lang w:val="es-419"/>
        </w:rPr>
      </w:pPr>
      <w:r w:rsidRPr="00415B3E">
        <w:rPr>
          <w:rFonts w:asciiTheme="minorBidi" w:hAnsiTheme="minorBidi"/>
          <w:i/>
          <w:sz w:val="22"/>
          <w:szCs w:val="22"/>
          <w:lang w:val="es-419"/>
        </w:rPr>
        <w:t>Mejora del uso de la PI para aplicaciones móviles en el sector del software</w:t>
      </w:r>
      <w:r w:rsidRPr="00415B3E">
        <w:rPr>
          <w:rFonts w:asciiTheme="minorBidi" w:hAnsiTheme="minorBidi"/>
          <w:sz w:val="22"/>
          <w:szCs w:val="22"/>
          <w:lang w:val="es-419"/>
        </w:rPr>
        <w:t>: la Fase II del proyecto finalizó en 2024 y su objetivo era garantizar la sostenibilidad a largo plazo de los resultados obtenidos en la Fase I del proyecto, potenciando el uso de la protección de la PI y apoyando la industria de las aplicaciones móviles en determinados sectores creativos. Durante el año del informe se elaboraron un manual sobre la PI en las aplicaciones móviles y cuatro herramientas sobre el uso de aplicaciones móviles en la música, la edición, los videojuegos y los medios sociales.</w:t>
      </w:r>
      <w:r w:rsidRPr="00415B3E">
        <w:rPr>
          <w:rStyle w:val="FootnoteReference"/>
          <w:rFonts w:asciiTheme="minorBidi" w:hAnsiTheme="minorBidi"/>
          <w:bCs/>
          <w:sz w:val="22"/>
          <w:szCs w:val="22"/>
          <w:lang w:val="es-419"/>
        </w:rPr>
        <w:footnoteReference w:id="84"/>
      </w:r>
      <w:r w:rsidRPr="00415B3E">
        <w:rPr>
          <w:rFonts w:asciiTheme="minorBidi" w:hAnsiTheme="minorBidi"/>
          <w:sz w:val="22"/>
          <w:szCs w:val="22"/>
          <w:lang w:val="es-419"/>
        </w:rPr>
        <w:t xml:space="preserve"> Se celebró un acto paralelo a la trigésima tercera sesión del CDIP, en el que los países beneficiarios presentaron a los Estados miembros las enseñanzas extraídas del proyecto.</w:t>
      </w:r>
    </w:p>
    <w:p w14:paraId="29B2F7D0"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Proyectos de la AD en curso</w:t>
      </w:r>
    </w:p>
    <w:p w14:paraId="51D9A99F"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iCs/>
          <w:sz w:val="22"/>
          <w:szCs w:val="22"/>
          <w:lang w:val="es-419"/>
        </w:rPr>
      </w:pPr>
      <w:r w:rsidRPr="00415B3E">
        <w:rPr>
          <w:rFonts w:asciiTheme="minorBidi" w:hAnsiTheme="minorBidi"/>
          <w:sz w:val="22"/>
          <w:szCs w:val="22"/>
          <w:lang w:val="es-419"/>
        </w:rPr>
        <w:t>El Sector ha estado a cargo de la ejecución de los siguientes proyectos de la AD en curso:</w:t>
      </w:r>
    </w:p>
    <w:p w14:paraId="264D2868" w14:textId="77777777" w:rsidR="00FD5CE0" w:rsidRPr="00415B3E" w:rsidRDefault="00FD5CE0" w:rsidP="00FD5CE0">
      <w:pPr>
        <w:pStyle w:val="ListParagraph"/>
        <w:numPr>
          <w:ilvl w:val="0"/>
          <w:numId w:val="16"/>
        </w:numPr>
        <w:spacing w:after="240" w:line="240" w:lineRule="auto"/>
        <w:ind w:hanging="578"/>
        <w:rPr>
          <w:rFonts w:asciiTheme="minorBidi" w:hAnsiTheme="minorBidi"/>
          <w:sz w:val="22"/>
          <w:szCs w:val="22"/>
          <w:lang w:val="es-419"/>
        </w:rPr>
      </w:pPr>
      <w:r w:rsidRPr="00415B3E">
        <w:rPr>
          <w:rFonts w:asciiTheme="minorBidi" w:hAnsiTheme="minorBidi"/>
          <w:i/>
          <w:sz w:val="22"/>
          <w:szCs w:val="22"/>
          <w:lang w:val="es-419"/>
        </w:rPr>
        <w:t>Derecho de autor y distribución de contenido en el entorno digital</w:t>
      </w:r>
      <w:r w:rsidRPr="00415B3E">
        <w:rPr>
          <w:rFonts w:asciiTheme="minorBidi" w:hAnsiTheme="minorBidi"/>
          <w:sz w:val="22"/>
          <w:szCs w:val="22"/>
          <w:lang w:val="es-419"/>
        </w:rPr>
        <w:t>:</w:t>
      </w:r>
      <w:r w:rsidRPr="00415B3E">
        <w:rPr>
          <w:rStyle w:val="FootnoteReference"/>
          <w:rFonts w:asciiTheme="minorBidi" w:hAnsiTheme="minorBidi"/>
          <w:iCs/>
          <w:sz w:val="22"/>
          <w:szCs w:val="22"/>
          <w:lang w:val="es-419"/>
        </w:rPr>
        <w:footnoteReference w:id="85"/>
      </w:r>
      <w:r w:rsidRPr="00415B3E">
        <w:rPr>
          <w:rFonts w:asciiTheme="minorBidi" w:hAnsiTheme="minorBidi"/>
          <w:i/>
          <w:sz w:val="22"/>
          <w:szCs w:val="22"/>
          <w:lang w:val="es-419"/>
        </w:rPr>
        <w:t xml:space="preserve"> </w:t>
      </w:r>
      <w:r w:rsidRPr="00415B3E">
        <w:rPr>
          <w:rFonts w:asciiTheme="minorBidi" w:hAnsiTheme="minorBidi"/>
          <w:sz w:val="22"/>
          <w:szCs w:val="22"/>
          <w:lang w:val="es-419"/>
        </w:rPr>
        <w:t>la</w:t>
      </w:r>
      <w:r w:rsidRPr="00415B3E">
        <w:rPr>
          <w:rFonts w:asciiTheme="minorBidi" w:hAnsiTheme="minorBidi"/>
          <w:i/>
          <w:sz w:val="22"/>
          <w:szCs w:val="22"/>
          <w:lang w:val="es-419"/>
        </w:rPr>
        <w:t xml:space="preserve"> </w:t>
      </w:r>
      <w:r w:rsidRPr="00415B3E">
        <w:rPr>
          <w:rFonts w:asciiTheme="minorBidi" w:hAnsiTheme="minorBidi"/>
          <w:sz w:val="22"/>
          <w:szCs w:val="22"/>
          <w:lang w:val="es-419"/>
        </w:rPr>
        <w:t>Fase II del proyecto fue aprobada en la trigésima primera sesión del CDIP, con el objetivo de mejorar la comprensión del uso de la PI para comercializar los contenidos audiovisuales en la era del streaming en los países beneficiarios. En 2024 se identificaron los países beneficiarios: Argentina, Brasil, Colombia, Ecuador, Perú y Uruguay. Los resultados concretos previstos para 2025 se encargaron a especialistas seleccionados y deberían estar terminados a tiempo en 2025.</w:t>
      </w:r>
    </w:p>
    <w:p w14:paraId="7913E9FB" w14:textId="77777777" w:rsidR="00FD5CE0" w:rsidRPr="00415B3E" w:rsidRDefault="00FD5CE0" w:rsidP="00FD5CE0">
      <w:pPr>
        <w:pStyle w:val="ListParagraph"/>
        <w:spacing w:after="240"/>
        <w:rPr>
          <w:rFonts w:asciiTheme="minorBidi" w:hAnsiTheme="minorBidi"/>
          <w:sz w:val="22"/>
          <w:szCs w:val="22"/>
          <w:lang w:val="es-419"/>
        </w:rPr>
      </w:pPr>
    </w:p>
    <w:p w14:paraId="0C0437F9" w14:textId="77777777" w:rsidR="00FD5CE0" w:rsidRPr="00415B3E" w:rsidRDefault="00FD5CE0" w:rsidP="00FD5CE0">
      <w:pPr>
        <w:pStyle w:val="ListParagraph"/>
        <w:numPr>
          <w:ilvl w:val="0"/>
          <w:numId w:val="16"/>
        </w:numPr>
        <w:spacing w:after="240" w:line="240" w:lineRule="auto"/>
        <w:ind w:hanging="578"/>
        <w:contextualSpacing w:val="0"/>
        <w:rPr>
          <w:rFonts w:asciiTheme="minorBidi" w:hAnsiTheme="minorBidi"/>
          <w:sz w:val="22"/>
          <w:szCs w:val="22"/>
          <w:lang w:val="es-419"/>
        </w:rPr>
      </w:pPr>
      <w:r w:rsidRPr="00415B3E">
        <w:rPr>
          <w:rFonts w:asciiTheme="minorBidi" w:hAnsiTheme="minorBidi"/>
          <w:i/>
          <w:sz w:val="22"/>
          <w:szCs w:val="22"/>
          <w:lang w:val="es-419"/>
        </w:rPr>
        <w:t>Desarrollo del sector de la música y de los nuevos modelos económicos de la música en Burkina Faso y en todos los demás países de la Unión Económica y Monetaria del África Occidental (UEMOA):</w:t>
      </w:r>
      <w:r w:rsidRPr="00415B3E">
        <w:rPr>
          <w:rFonts w:asciiTheme="minorBidi" w:hAnsiTheme="minorBidi"/>
          <w:sz w:val="22"/>
          <w:szCs w:val="22"/>
          <w:lang w:val="es-419"/>
        </w:rPr>
        <w:t xml:space="preserve"> Del 23 al 25 de abril se celebró en Cotonú (Benin) el Segundo taller nacional para los principales actores del sector de la música en Benin y Diálogo intersectorial, que reunió a 60 actores clave del sector de la música en Benin, a los responsables de los organismos de gestión colectiva (OGC) y a los coordinadores de los proyectos de los ocho países de la UEMOA. En el taller se trataron temas relacionados con el entorno jurídico, el ecosistema de la música en línea, así como los contratos y la concesión de licencias; se entabló un diálogo intersectorial entre las partes interesadas del sector de la música en Benin. La segunda reunión de los responsables de los OGC de los 8 países de la UEMOA se celebró el 26 de abril de 2024 en Cotonú (Benin) y asistieron 20 participantes. Esta reunión permitió a los OGC hacer un balance de la evolución de la situación desde su primera reunión. Además, se presentaron soluciones de TI para OGC y la UEMOA presentó información actualizada acerca de la aplicación de la Directiva n.º 07/2023/CM/UEMOA sobre la </w:t>
      </w:r>
      <w:r w:rsidRPr="00415B3E">
        <w:rPr>
          <w:rFonts w:asciiTheme="minorBidi" w:hAnsiTheme="minorBidi"/>
          <w:sz w:val="22"/>
          <w:szCs w:val="22"/>
          <w:lang w:val="es-419"/>
        </w:rPr>
        <w:lastRenderedPageBreak/>
        <w:t>armonización de las disposiciones relativas al derecho de remuneración por copia privada en los Estados miembros de la UEMOA. La segunda reunión anual de coordinación de los coordinadores de los proyectos se organizó en Cotonú (Benin) el 26 de abril de 2024 y asistieron 20 participantes (coordinadores de los ocho países de la UEMOA, responsables de OGC y socios clave). La reunión se organizó a efecto de coordinación, seguimiento del proyecto y análisis de las dificultades actuales y las futuras actividades. El Tercer taller nacional para los principales actores del sector de la música en Togo y se organizó en Lomé (Togo), un diálogo intersectorial del 12 al 13 de noviembre de 2024. El taller reunió a más de 45 participantes, incluyendo actores principales del sector de la música de Togo, los responsables de los OGC y los coordinadores de proyectos de los países de la UEMOA. El 14 de noviembre de 2024 se celebró en Lomé (Togo) el primer taller nacional de formación para funcionarios judiciales, al que asistieron especialistas y 24 funcionarios judiciales de Togo. Este taller sirvió de proyecto piloto para la organización de una formación subregional para funcionarios judiciales a escala de la UEMOA, que se llevará a cabo en 2025.</w:t>
      </w:r>
    </w:p>
    <w:p w14:paraId="18E4139E" w14:textId="77777777" w:rsidR="00FD5CE0" w:rsidRPr="00415B3E" w:rsidRDefault="00FD5CE0" w:rsidP="00FD5CE0">
      <w:pPr>
        <w:pStyle w:val="ListParagraph"/>
        <w:numPr>
          <w:ilvl w:val="0"/>
          <w:numId w:val="16"/>
        </w:numPr>
        <w:spacing w:after="240" w:line="240" w:lineRule="auto"/>
        <w:ind w:hanging="578"/>
        <w:rPr>
          <w:rFonts w:asciiTheme="minorBidi" w:hAnsiTheme="minorBidi"/>
          <w:sz w:val="22"/>
          <w:szCs w:val="22"/>
          <w:lang w:val="es-419"/>
        </w:rPr>
      </w:pPr>
      <w:r w:rsidRPr="00415B3E">
        <w:rPr>
          <w:rFonts w:asciiTheme="minorBidi" w:hAnsiTheme="minorBidi"/>
          <w:i/>
          <w:sz w:val="22"/>
          <w:szCs w:val="22"/>
          <w:lang w:val="es-419"/>
        </w:rPr>
        <w:t>Promover el uso de la PI en los países en desarrollo en las industrias creativas en la era digital</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86"/>
      </w:r>
      <w:r w:rsidRPr="00415B3E">
        <w:rPr>
          <w:rFonts w:asciiTheme="minorBidi" w:hAnsiTheme="minorBidi"/>
          <w:sz w:val="22"/>
          <w:szCs w:val="22"/>
          <w:lang w:val="es-419"/>
        </w:rPr>
        <w:t xml:space="preserve"> se siguieron elaborando herramientas de fortalecimiento de capacidades conforme al calendario del proyecto y, en 2024, se completaron las siguientes:</w:t>
      </w:r>
      <w:r w:rsidRPr="00415B3E">
        <w:rPr>
          <w:rStyle w:val="FootnoteReference"/>
          <w:rFonts w:asciiTheme="minorBidi" w:hAnsiTheme="minorBidi"/>
          <w:iCs/>
          <w:sz w:val="22"/>
          <w:szCs w:val="22"/>
          <w:lang w:val="es-419"/>
        </w:rPr>
        <w:footnoteReference w:id="87"/>
      </w:r>
      <w:r w:rsidRPr="00415B3E">
        <w:rPr>
          <w:rFonts w:asciiTheme="minorBidi" w:hAnsiTheme="minorBidi"/>
          <w:sz w:val="22"/>
          <w:szCs w:val="22"/>
          <w:lang w:val="es-419"/>
        </w:rPr>
        <w:t xml:space="preserve"> i) </w:t>
      </w:r>
      <w:r w:rsidRPr="00415B3E">
        <w:rPr>
          <w:rFonts w:asciiTheme="minorBidi" w:hAnsiTheme="minorBidi"/>
          <w:i/>
          <w:sz w:val="22"/>
          <w:szCs w:val="22"/>
          <w:lang w:val="es-419"/>
        </w:rPr>
        <w:t xml:space="preserve">The Global Digital Music Landscape; ii) Intellectual Property in Mobile Applications; </w:t>
      </w:r>
      <w:r w:rsidRPr="00415B3E">
        <w:rPr>
          <w:rFonts w:asciiTheme="minorBidi" w:hAnsiTheme="minorBidi"/>
          <w:sz w:val="22"/>
          <w:szCs w:val="22"/>
          <w:lang w:val="es-419"/>
        </w:rPr>
        <w:t>y </w:t>
      </w:r>
      <w:r w:rsidRPr="00415B3E">
        <w:rPr>
          <w:rFonts w:asciiTheme="minorBidi" w:hAnsiTheme="minorBidi"/>
          <w:i/>
          <w:sz w:val="22"/>
          <w:szCs w:val="22"/>
          <w:lang w:val="es-419"/>
        </w:rPr>
        <w:t>iii) Understanding Intellectual Property in Video Games.</w:t>
      </w:r>
      <w:r w:rsidRPr="00415B3E">
        <w:rPr>
          <w:rFonts w:asciiTheme="minorBidi" w:hAnsiTheme="minorBidi"/>
          <w:sz w:val="22"/>
          <w:szCs w:val="22"/>
          <w:lang w:val="es-419"/>
        </w:rPr>
        <w:t xml:space="preserve"> Se celebraron talleres de fortalecimiento de capacidades en países beneficiarios sobre: i) La propiedad intelectual en los videojuegos - cuestiones comerciales y jurídicas, celebrado el 1 y el 2 de mayo de 2024, en Dubai (Emiratos Árabes Unidos); ii) La propiedad intelectual en la industria de la animación - cuestiones comerciales y jurídicas, celebrado el 14 y el 15 de mayo de 2024, en Bandung (Indonesia); iii) Reseña jurídica del papel de la industria de la moda en el ámbito digital, celebrado el 8 de octubre de 2024, en Santiago de Chile; y iv) El papel de la PI en la economía de la industria editorial,</w:t>
      </w:r>
      <w:r w:rsidRPr="00415B3E">
        <w:rPr>
          <w:rFonts w:asciiTheme="minorBidi" w:hAnsiTheme="minorBidi"/>
          <w:i/>
          <w:sz w:val="22"/>
          <w:szCs w:val="22"/>
          <w:lang w:val="es-419"/>
        </w:rPr>
        <w:t xml:space="preserve"> </w:t>
      </w:r>
      <w:r w:rsidRPr="00415B3E">
        <w:rPr>
          <w:rFonts w:asciiTheme="minorBidi" w:hAnsiTheme="minorBidi"/>
          <w:sz w:val="22"/>
          <w:szCs w:val="22"/>
          <w:lang w:val="es-419"/>
        </w:rPr>
        <w:t xml:space="preserve">celebrado el 11 y el 12 de noviembre de 2024, en Sharjah, Emiratos Árabes Unidos. El 13 de diciembre de 2024 se impartió formación en línea para creadores de </w:t>
      </w:r>
      <w:r w:rsidRPr="00415B3E">
        <w:rPr>
          <w:rFonts w:asciiTheme="minorBidi" w:hAnsiTheme="minorBidi"/>
          <w:i/>
          <w:iCs/>
          <w:sz w:val="22"/>
          <w:szCs w:val="22"/>
          <w:lang w:val="es-419"/>
        </w:rPr>
        <w:t>software</w:t>
      </w:r>
      <w:r w:rsidRPr="00415B3E">
        <w:rPr>
          <w:rFonts w:asciiTheme="minorBidi" w:hAnsiTheme="minorBidi"/>
          <w:sz w:val="22"/>
          <w:szCs w:val="22"/>
          <w:lang w:val="es-419"/>
        </w:rPr>
        <w:t>, en colaboración con la Cámara Uruguaya de Tecnologías de la Información.</w:t>
      </w:r>
    </w:p>
    <w:p w14:paraId="00D144CE" w14:textId="77777777" w:rsidR="00FD5CE0" w:rsidRPr="00415B3E" w:rsidRDefault="00FD5CE0" w:rsidP="004A1B4D">
      <w:pPr>
        <w:pStyle w:val="BalloonText"/>
        <w:numPr>
          <w:ilvl w:val="0"/>
          <w:numId w:val="16"/>
        </w:numPr>
        <w:spacing w:after="240"/>
        <w:ind w:hanging="578"/>
        <w:rPr>
          <w:rFonts w:asciiTheme="minorBidi" w:hAnsiTheme="minorBidi" w:cstheme="minorBidi"/>
          <w:sz w:val="22"/>
          <w:szCs w:val="22"/>
          <w:lang w:val="es-419"/>
        </w:rPr>
      </w:pPr>
      <w:r w:rsidRPr="00415B3E">
        <w:rPr>
          <w:rFonts w:asciiTheme="minorBidi" w:hAnsiTheme="minorBidi" w:cstheme="minorBidi"/>
          <w:i/>
          <w:sz w:val="22"/>
          <w:szCs w:val="22"/>
          <w:lang w:val="es-419"/>
        </w:rPr>
        <w:t>Minería de textos y datos en apoyo de la investigación y la innovación en universidades y otras instituciones orientadas a la investigación en África:</w:t>
      </w:r>
      <w:r w:rsidRPr="00415B3E">
        <w:rPr>
          <w:rFonts w:asciiTheme="minorBidi" w:hAnsiTheme="minorBidi" w:cstheme="minorBidi"/>
          <w:sz w:val="22"/>
          <w:szCs w:val="22"/>
          <w:lang w:val="es-419"/>
        </w:rPr>
        <w:t xml:space="preserve"> el proyecto siguió avanzando en 2024, con la cartografía de los marcos jurídicos y las prácticas de minería de textos y datos en todos los países africanos. Se elaboró un informe en el que se resumían los resultados de la investigación y el análisis de las respuestas al cuestionario, que se presentó en la trigésima tercera sesión del CDIP. Se están preparando talleres con tres instituciones piloto de África,</w:t>
      </w:r>
      <w:r w:rsidRPr="00415B3E">
        <w:rPr>
          <w:rStyle w:val="FootnoteReference"/>
          <w:rFonts w:asciiTheme="minorBidi" w:hAnsiTheme="minorBidi" w:cstheme="minorBidi"/>
          <w:iCs/>
          <w:sz w:val="22"/>
          <w:szCs w:val="22"/>
          <w:lang w:val="es-419"/>
        </w:rPr>
        <w:footnoteReference w:id="88"/>
      </w:r>
      <w:r w:rsidRPr="00415B3E">
        <w:rPr>
          <w:rFonts w:asciiTheme="minorBidi" w:hAnsiTheme="minorBidi" w:cstheme="minorBidi"/>
          <w:sz w:val="22"/>
          <w:szCs w:val="22"/>
          <w:lang w:val="es-419"/>
        </w:rPr>
        <w:t xml:space="preserve"> que desempeñarán un papel clave en la elaboración de estudios de casos y facilitarán la creación de materiales de formación.</w:t>
      </w:r>
    </w:p>
    <w:p w14:paraId="77495359" w14:textId="77777777" w:rsidR="00FD5CE0" w:rsidRPr="00415B3E" w:rsidRDefault="00FD5CE0" w:rsidP="004A1B4D">
      <w:pPr>
        <w:pStyle w:val="Heading1"/>
        <w:keepNext w:val="0"/>
        <w:numPr>
          <w:ilvl w:val="0"/>
          <w:numId w:val="25"/>
        </w:numPr>
        <w:spacing w:before="0" w:after="120"/>
        <w:ind w:left="0" w:firstLine="0"/>
        <w:rPr>
          <w:rFonts w:asciiTheme="minorBidi" w:hAnsiTheme="minorBidi" w:cstheme="minorBidi"/>
          <w:szCs w:val="22"/>
          <w:lang w:val="es-419"/>
        </w:rPr>
      </w:pPr>
      <w:r w:rsidRPr="00415B3E">
        <w:rPr>
          <w:rFonts w:asciiTheme="minorBidi" w:hAnsiTheme="minorBidi" w:cstheme="minorBidi"/>
          <w:szCs w:val="22"/>
          <w:lang w:val="es-419"/>
        </w:rPr>
        <w:t>Sector de Infraestructura y Plataformas</w:t>
      </w:r>
      <w:bookmarkStart w:id="26" w:name="_Hlk157605440"/>
    </w:p>
    <w:p w14:paraId="530F663B" w14:textId="77777777" w:rsidR="00FD5CE0" w:rsidRPr="00415B3E" w:rsidRDefault="00FD5CE0" w:rsidP="00FD5CE0">
      <w:pPr>
        <w:pStyle w:val="ListParagraph"/>
        <w:numPr>
          <w:ilvl w:val="0"/>
          <w:numId w:val="13"/>
        </w:numPr>
        <w:spacing w:before="240"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La labor del Sector de Infraestructura y Plataformas siguió centrándose en prestar servicios de PI adaptados y de alta calidad y en proporcionar conocimientos y datos para las Oficinas de PI, los profesionales de la PI, los investigadores y otros usuarios especializados en PI y ecosistemas de innovación. Durante el período examinado, el Sector siguió dirigiendo los esfuerzos de la Organización para fortalecer y promover las bases mundiales de datos públicas de la Organización, a saber, PATENTSCOPE, la Base Mundial de Datos sobre Marcas y la </w:t>
      </w:r>
      <w:r w:rsidRPr="00415B3E">
        <w:rPr>
          <w:rFonts w:asciiTheme="minorBidi" w:hAnsiTheme="minorBidi"/>
          <w:sz w:val="22"/>
          <w:szCs w:val="22"/>
          <w:lang w:val="es-419"/>
        </w:rPr>
        <w:lastRenderedPageBreak/>
        <w:t>Base Mundial de Datos sobre Dibujos y Modelos, cuya cobertura siguió aumentando en 2024. Se han añadido tres nuevas colecciones nacionales a PATENTSCOPE, siete a la Base Mundial de Datos sobre Marcas y una a la Base Mundial de Datos sobre Dibujos y Modelos. Además, en PATENTSCOPE está disponible una nueva pestaña para las listas de secuencias PCT. Ahora los usuarios pueden acceder a más información sobre las listas de secuencias en las solicitudes PCT en la Norma ST.26</w:t>
      </w:r>
      <w:r w:rsidRPr="00415B3E">
        <w:rPr>
          <w:rStyle w:val="FootnoteReference"/>
          <w:rFonts w:asciiTheme="minorBidi" w:hAnsiTheme="minorBidi"/>
          <w:sz w:val="22"/>
          <w:szCs w:val="22"/>
          <w:lang w:val="es-419"/>
        </w:rPr>
        <w:footnoteReference w:id="89"/>
      </w:r>
      <w:r w:rsidRPr="00415B3E">
        <w:rPr>
          <w:rFonts w:asciiTheme="minorBidi" w:hAnsiTheme="minorBidi"/>
          <w:sz w:val="22"/>
          <w:szCs w:val="22"/>
          <w:lang w:val="es-419"/>
        </w:rPr>
        <w:t xml:space="preserve"> de la OMPI presentadas después del 1 de julio de 2022. En 2024 se añadieron globos de ayuda a la Base Mundial de Datos sobre Marcas para facilitar su uso.</w:t>
      </w:r>
    </w:p>
    <w:p w14:paraId="10D1D634" w14:textId="77777777" w:rsidR="00FD5CE0" w:rsidRPr="00415B3E" w:rsidRDefault="00FD5CE0" w:rsidP="00FD5CE0">
      <w:pPr>
        <w:pStyle w:val="ListParagraph"/>
        <w:numPr>
          <w:ilvl w:val="0"/>
          <w:numId w:val="13"/>
        </w:numPr>
        <w:spacing w:before="240"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2024, la investigación sobre la IA siguió impulsada por el Centro de Aplicaciones Tecnológicas Avanzadas (ATAC), que trabajó para mejorar las funciones y los procesos en la Organización. WIPO Translate ahora cubre 18 idiomas en PATENTSCOPE, permitiendo a los usuarios traducir sin esfuerzo la lista de resultados de PATENTSCOPE, los datos bibliográficos, la descripción y las reivindicaciones de los documentos de patente, y el texto de las patentes, utilizando la herramienta independiente.</w:t>
      </w:r>
    </w:p>
    <w:p w14:paraId="5D134A87" w14:textId="77777777" w:rsidR="00FD5CE0" w:rsidRPr="00415B3E" w:rsidRDefault="00FD5CE0" w:rsidP="00FD5CE0">
      <w:pPr>
        <w:pStyle w:val="ListParagraph"/>
        <w:numPr>
          <w:ilvl w:val="0"/>
          <w:numId w:val="13"/>
        </w:numPr>
        <w:spacing w:before="240"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Diálogo de la OMPI sobre PI y Tecnologías de Vanguardia</w:t>
      </w:r>
      <w:r w:rsidRPr="00415B3E">
        <w:rPr>
          <w:rStyle w:val="FootnoteReference"/>
          <w:rFonts w:asciiTheme="minorBidi" w:hAnsiTheme="minorBidi"/>
          <w:iCs/>
          <w:sz w:val="22"/>
          <w:szCs w:val="22"/>
          <w:lang w:val="es-419"/>
        </w:rPr>
        <w:footnoteReference w:id="90"/>
      </w:r>
      <w:r w:rsidRPr="00415B3E">
        <w:rPr>
          <w:rFonts w:asciiTheme="minorBidi" w:hAnsiTheme="minorBidi"/>
          <w:sz w:val="22"/>
          <w:szCs w:val="22"/>
          <w:lang w:val="es-419"/>
        </w:rPr>
        <w:t xml:space="preserve"> siguieron siendo un foro puntero sobre cuestiones de IA y PI. A finales de 2024, había formado una comunidad de más de 12 000 personas de más de 170 países. Las sesiones novena y décima del Diálogo de la OMPI incluyeron debates y un diálogo abierto sobre el papel de la IA en cuestiones de creación de capacidades y desarrollo.</w:t>
      </w:r>
    </w:p>
    <w:p w14:paraId="481EFB61" w14:textId="77777777" w:rsidR="00FD5CE0" w:rsidRPr="00415B3E" w:rsidRDefault="00FD5CE0" w:rsidP="00FD5CE0">
      <w:pPr>
        <w:pStyle w:val="ListParagraph"/>
        <w:numPr>
          <w:ilvl w:val="0"/>
          <w:numId w:val="13"/>
        </w:numPr>
        <w:spacing w:before="240"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Además, el Sector dirigió tres proyectos de base para apoyar el desarrollo mundial de la IA y salvar las brechas digitales: i) </w:t>
      </w:r>
      <w:r w:rsidRPr="00415B3E">
        <w:rPr>
          <w:rFonts w:asciiTheme="minorBidi" w:hAnsiTheme="minorBidi"/>
          <w:i/>
          <w:iCs/>
          <w:sz w:val="22"/>
          <w:szCs w:val="22"/>
          <w:lang w:val="es-419"/>
        </w:rPr>
        <w:t>Fomento de la innovación en IA en América Latina y el Caribe</w:t>
      </w:r>
      <w:r w:rsidRPr="00415B3E">
        <w:rPr>
          <w:rFonts w:asciiTheme="minorBidi" w:hAnsiTheme="minorBidi"/>
          <w:sz w:val="22"/>
          <w:szCs w:val="22"/>
          <w:lang w:val="es-419"/>
        </w:rPr>
        <w:t>; ii) </w:t>
      </w:r>
      <w:r w:rsidRPr="00415B3E">
        <w:rPr>
          <w:rFonts w:asciiTheme="minorBidi" w:hAnsiTheme="minorBidi"/>
          <w:i/>
          <w:sz w:val="22"/>
          <w:szCs w:val="22"/>
          <w:lang w:val="es-419"/>
        </w:rPr>
        <w:t>Talleres de la OMPI sobre IA y gestión de la PI en la región árabe</w:t>
      </w:r>
      <w:r w:rsidRPr="00415B3E">
        <w:rPr>
          <w:rFonts w:asciiTheme="minorBidi" w:hAnsiTheme="minorBidi"/>
          <w:sz w:val="22"/>
          <w:szCs w:val="22"/>
          <w:lang w:val="es-419"/>
        </w:rPr>
        <w:t>;</w:t>
      </w:r>
      <w:r w:rsidRPr="00415B3E">
        <w:rPr>
          <w:rFonts w:asciiTheme="minorBidi" w:hAnsiTheme="minorBidi"/>
          <w:i/>
          <w:sz w:val="22"/>
          <w:szCs w:val="22"/>
          <w:lang w:val="es-419"/>
        </w:rPr>
        <w:t xml:space="preserve"> </w:t>
      </w:r>
      <w:r w:rsidRPr="00415B3E">
        <w:rPr>
          <w:rFonts w:asciiTheme="minorBidi" w:hAnsiTheme="minorBidi"/>
          <w:sz w:val="22"/>
          <w:szCs w:val="22"/>
          <w:lang w:val="es-419"/>
        </w:rPr>
        <w:t xml:space="preserve">y iii) </w:t>
      </w:r>
      <w:r w:rsidRPr="00415B3E">
        <w:rPr>
          <w:rFonts w:asciiTheme="minorBidi" w:hAnsiTheme="minorBidi"/>
          <w:i/>
          <w:sz w:val="22"/>
          <w:szCs w:val="22"/>
          <w:lang w:val="es-419"/>
        </w:rPr>
        <w:t>La PI y la IA: Agricultura 4.0 en la ASEAN</w:t>
      </w:r>
      <w:r w:rsidRPr="00415B3E">
        <w:rPr>
          <w:rFonts w:asciiTheme="minorBidi" w:hAnsiTheme="minorBidi"/>
          <w:sz w:val="22"/>
          <w:szCs w:val="22"/>
          <w:lang w:val="es-419"/>
        </w:rPr>
        <w:t xml:space="preserve">. Además, en 2024 se puso en marcha la guía de políticas de PI sobre </w:t>
      </w:r>
      <w:r w:rsidRPr="00415B3E">
        <w:rPr>
          <w:rFonts w:asciiTheme="minorBidi" w:hAnsiTheme="minorBidi"/>
          <w:i/>
          <w:sz w:val="22"/>
          <w:szCs w:val="22"/>
          <w:lang w:val="es-419"/>
        </w:rPr>
        <w:t>Preparar el sistema de innovación para la IA</w:t>
      </w:r>
      <w:r w:rsidRPr="00415B3E">
        <w:rPr>
          <w:rStyle w:val="FootnoteReference"/>
          <w:rFonts w:asciiTheme="minorBidi" w:hAnsiTheme="minorBidi"/>
          <w:sz w:val="22"/>
          <w:szCs w:val="22"/>
          <w:lang w:val="es-419"/>
        </w:rPr>
        <w:footnoteReference w:id="91"/>
      </w:r>
      <w:r w:rsidRPr="00415B3E">
        <w:rPr>
          <w:rFonts w:asciiTheme="minorBidi" w:hAnsiTheme="minorBidi"/>
          <w:sz w:val="22"/>
          <w:szCs w:val="22"/>
          <w:lang w:val="es-419"/>
        </w:rPr>
        <w:t xml:space="preserve"> para mejorar la comprensión de la IA y la PI entre los responsables de la formulación de políticas y las oficinas de PI, y sugerir acciones prácticas que podrían considerar ahora, y en el futuro, para apoyar a los innovadores locales y fomentar un entorno propicio para la innovación en IA. Durante el período examinado, el Sector también publicó la guía titulada “</w:t>
      </w:r>
      <w:r w:rsidRPr="00415B3E">
        <w:rPr>
          <w:rFonts w:asciiTheme="minorBidi" w:hAnsiTheme="minorBidi"/>
          <w:i/>
          <w:sz w:val="22"/>
          <w:szCs w:val="22"/>
          <w:lang w:val="es-419"/>
        </w:rPr>
        <w:t xml:space="preserve">IA generativa: </w:t>
      </w:r>
      <w:r w:rsidRPr="00415B3E">
        <w:rPr>
          <w:rFonts w:asciiTheme="minorBidi" w:hAnsiTheme="minorBidi"/>
          <w:i/>
          <w:iCs/>
          <w:sz w:val="22"/>
          <w:szCs w:val="22"/>
          <w:lang w:val="es-419"/>
        </w:rPr>
        <w:t>cuestiones de propiedad intelectual</w:t>
      </w:r>
      <w:r w:rsidRPr="00415B3E">
        <w:rPr>
          <w:rFonts w:asciiTheme="minorBidi" w:hAnsiTheme="minorBidi"/>
          <w:sz w:val="22"/>
          <w:szCs w:val="22"/>
          <w:lang w:val="es-419"/>
        </w:rPr>
        <w:t>”,</w:t>
      </w:r>
      <w:r w:rsidRPr="00415B3E">
        <w:rPr>
          <w:rStyle w:val="FootnoteReference"/>
          <w:rFonts w:asciiTheme="minorBidi" w:hAnsiTheme="minorBidi"/>
          <w:iCs/>
          <w:sz w:val="22"/>
          <w:szCs w:val="22"/>
          <w:lang w:val="es-419"/>
        </w:rPr>
        <w:footnoteReference w:id="92"/>
      </w:r>
      <w:r w:rsidRPr="00415B3E">
        <w:rPr>
          <w:rFonts w:asciiTheme="minorBidi" w:hAnsiTheme="minorBidi"/>
          <w:sz w:val="22"/>
          <w:szCs w:val="22"/>
          <w:lang w:val="es-419"/>
        </w:rPr>
        <w:t xml:space="preserve"> cuyo objetivo es </w:t>
      </w:r>
      <w:bookmarkStart w:id="27" w:name="_Hlk190265945"/>
      <w:r w:rsidRPr="00415B3E">
        <w:rPr>
          <w:rFonts w:asciiTheme="minorBidi" w:hAnsiTheme="minorBidi"/>
          <w:sz w:val="22"/>
          <w:szCs w:val="22"/>
          <w:lang w:val="es-419"/>
        </w:rPr>
        <w:t>ayudar a las empresas y organizaciones a adoptar la IA generativa para mitigar los problemas y riesgos relacionados con la PI.</w:t>
      </w:r>
      <w:bookmarkEnd w:id="27"/>
      <w:r w:rsidRPr="00415B3E">
        <w:rPr>
          <w:rFonts w:asciiTheme="minorBidi" w:hAnsiTheme="minorBidi"/>
          <w:sz w:val="22"/>
          <w:szCs w:val="22"/>
          <w:lang w:val="es-419"/>
        </w:rPr>
        <w:t>"</w:t>
      </w:r>
    </w:p>
    <w:bookmarkEnd w:id="26"/>
    <w:p w14:paraId="679E8603"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Proyectos integrados de la AD</w:t>
      </w:r>
    </w:p>
    <w:p w14:paraId="47880FC2" w14:textId="77777777" w:rsidR="00FD5CE0" w:rsidRPr="00415B3E" w:rsidRDefault="00FD5CE0" w:rsidP="004A1B4D">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i/>
          <w:sz w:val="22"/>
          <w:szCs w:val="22"/>
          <w:lang w:val="es-419"/>
        </w:rPr>
        <w:t xml:space="preserve">Proyecto de la AD: Instituciones de PI eficaces: </w:t>
      </w:r>
      <w:r w:rsidRPr="00415B3E">
        <w:rPr>
          <w:rFonts w:asciiTheme="minorBidi" w:hAnsiTheme="minorBidi"/>
          <w:sz w:val="22"/>
          <w:szCs w:val="22"/>
          <w:lang w:val="es-419"/>
        </w:rPr>
        <w:t xml:space="preserve">la instalación de componentes y metodologías creados a medida para modernizar la infraestructura de PI de las instituciones nacionales y regionales de PI tenía como objetivo ayudar a los Estados miembros a desarrollar y mejorar la capacidad institucional nacional de la propiedad intelectual a través de un mayor desarrollo de la infraestructura y otras instalaciones. El proyecto se ha integrado a través del programa de soluciones operativas de la OMPI para las oficinas de PI, en consonancia con la recomendación 10 de la AD. El programa pretendía mejorar los sistemas empresariales y la infraestructura técnica de las oficinas nacionales y regionales de PI para ayudarlas a prestar servicios más rentables y de mayor calidad a las partes interesadas. En este contexto, se prestaron los siguientes servicios: i) consultoría técnica; ii) evaluación de las necesidades; iii) estudio y planificación de proyectos; iv) análisis de procesos; v) concepción y aplicación de soluciones adaptadas especialmente a los sistemas para la administración de derechos de PI para el intercambio de documentos de prioridad y de los resultados de la búsqueda y el examen; vi) creación de bases de datos de PI; vii) asistencia en la digitalización de archivos de </w:t>
      </w:r>
      <w:r w:rsidRPr="00415B3E">
        <w:rPr>
          <w:rFonts w:asciiTheme="minorBidi" w:hAnsiTheme="minorBidi"/>
          <w:sz w:val="22"/>
          <w:szCs w:val="22"/>
          <w:lang w:val="es-419"/>
        </w:rPr>
        <w:lastRenderedPageBreak/>
        <w:t xml:space="preserve">PI y preparación de datos para la publicación en línea y el intercambio electrónico de datos; y viii) formación y transferencia de conocimientos para personal de instituciones de PI y apoyo a los sistemas proporcionados por la OMPI. La asistencia se ofreció teniendo en cuenta las normas técnicas de la OMPI sobre información y datos de PI, cuando fuese procedente. La formación virtual o sobre el terreno, las tutorías y los talleres de formación regionales constituyeron una parte importante de las actividades y fueron decisivos para lograr los resultados previstos. A fines de 2024, 90 Oficinas de PI de países en desarrollo de todas las regiones, incluidos 20 PMA, utilizaban activamente las soluciones operativas de la OMPI para la administración de derechos de PI. Además, 61 Oficinas de PI participaron en una de las plataformas de intercambio en Internet ofrecidas por la OMPI, el </w:t>
      </w:r>
      <w:r w:rsidRPr="00415B3E">
        <w:rPr>
          <w:rFonts w:asciiTheme="minorBidi" w:hAnsiTheme="minorBidi"/>
          <w:i/>
          <w:sz w:val="22"/>
          <w:szCs w:val="22"/>
          <w:lang w:val="es-419"/>
        </w:rPr>
        <w:t>Acceso Centralizado a los Resultados de Búsqueda y el Examen y Servicio de Acceso Digital</w:t>
      </w:r>
      <w:r w:rsidRPr="00415B3E">
        <w:rPr>
          <w:rFonts w:asciiTheme="minorBidi" w:hAnsiTheme="minorBidi"/>
          <w:sz w:val="22"/>
          <w:szCs w:val="22"/>
          <w:lang w:val="es-419"/>
        </w:rPr>
        <w:t>. Una de las prioridades era mejorar el nivel de servicios de las Oficinas de PI, ayudándolas a incrementar los servicios que ofrecen por Internet para la presentación de solicitudes y la difusión de información sobre la PI.</w:t>
      </w:r>
      <w:r w:rsidRPr="00415B3E">
        <w:rPr>
          <w:rStyle w:val="FootnoteReference"/>
          <w:rFonts w:asciiTheme="minorBidi" w:hAnsiTheme="minorBidi"/>
          <w:sz w:val="22"/>
          <w:szCs w:val="22"/>
          <w:lang w:val="es-419" w:eastAsia="ja-JP"/>
        </w:rPr>
        <w:footnoteReference w:id="93"/>
      </w:r>
    </w:p>
    <w:p w14:paraId="49D16A2E" w14:textId="77777777" w:rsidR="00FD5CE0" w:rsidRPr="00415B3E" w:rsidRDefault="00FD5CE0" w:rsidP="004A1B4D">
      <w:pPr>
        <w:pStyle w:val="Heading1"/>
        <w:keepNext w:val="0"/>
        <w:numPr>
          <w:ilvl w:val="0"/>
          <w:numId w:val="25"/>
        </w:numPr>
        <w:spacing w:before="0" w:after="240"/>
        <w:ind w:left="0" w:firstLine="0"/>
        <w:rPr>
          <w:rFonts w:asciiTheme="minorBidi" w:hAnsiTheme="minorBidi" w:cstheme="minorBidi"/>
          <w:szCs w:val="22"/>
          <w:lang w:val="es-419"/>
        </w:rPr>
      </w:pPr>
      <w:r w:rsidRPr="00415B3E">
        <w:rPr>
          <w:rFonts w:asciiTheme="minorBidi" w:hAnsiTheme="minorBidi" w:cstheme="minorBidi"/>
          <w:szCs w:val="22"/>
          <w:lang w:val="es-419"/>
        </w:rPr>
        <w:t>Sector de Alianzas y Desafíos Mundiales</w:t>
      </w:r>
    </w:p>
    <w:p w14:paraId="01E34559"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de Alianzas y Desafíos Mundiales mantuvo firme su decisión de liderar los esfuerzos de la OMPI para establecer y fomentar alianzas internacionales cuyo objetivo principal sea generar impacto en respuesta a las nuevas cuestiones y los desafíos en materia de políticas que se plantean a escala mundial en las áreas de PI, innovación y creatividad. Además, el Sector también continuó facilitando el trabajo normativo en los ámbitos de los recursos genéticos (RR.GG.), los conocimientos tradicionales (CC.TT.) y las expresiones culturales tradicionales (ECT).</w:t>
      </w:r>
    </w:p>
    <w:p w14:paraId="06E82A9F"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Interacción con las Naciones Unidas, otras organizaciones intergubernamentales y partes interesadas no gubernamentales</w:t>
      </w:r>
    </w:p>
    <w:p w14:paraId="13B7CD97"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El Sector continuó liderando la participación de la OMPI en el sistema de la ONU y las organizaciones intergubernamentales (OIG) pertinentes. La cooperación trilateral en materia de salud pública, PI y comercio con la Organización Mundial del Comercio (OMC) y la Organización Mundial de la Salud (OMS) fue especialmente relevante. En junio de 2024, la OMPI organizó, en nombre de la Cooperación Trilateral, el Quinto Webinario Técnico Trilateral sobre </w:t>
      </w:r>
      <w:r w:rsidRPr="00415B3E">
        <w:rPr>
          <w:rFonts w:asciiTheme="minorBidi" w:hAnsiTheme="minorBidi"/>
          <w:i/>
          <w:sz w:val="22"/>
          <w:szCs w:val="22"/>
          <w:lang w:val="es-419"/>
        </w:rPr>
        <w:t>la interacción entre la propiedad intelectual y la competencia en apoyo de la innovación y el acceso a las tecnologías sanitarias.</w:t>
      </w:r>
      <w:r w:rsidRPr="00415B3E">
        <w:rPr>
          <w:rStyle w:val="FootnoteReference"/>
          <w:rFonts w:asciiTheme="minorBidi" w:hAnsiTheme="minorBidi"/>
          <w:i/>
          <w:iCs/>
          <w:sz w:val="22"/>
          <w:szCs w:val="22"/>
          <w:lang w:val="es-419"/>
        </w:rPr>
        <w:footnoteReference w:id="94"/>
      </w:r>
      <w:r w:rsidRPr="00415B3E">
        <w:rPr>
          <w:rFonts w:asciiTheme="minorBidi" w:hAnsiTheme="minorBidi"/>
          <w:sz w:val="22"/>
          <w:szCs w:val="22"/>
          <w:lang w:val="es-419"/>
        </w:rPr>
        <w:t xml:space="preserve"> Alrededor de 200 participantes y ponentes de todo el mundo se reunieron para debatir la interacción entre la PI, las leyes y políticas de competencia y los marcos reguladores, con el fin de explorar cómo las diversas opciones políticas y los agentes institucionales pueden contribuir a apoyar una actividad innovadora sostenida y la competitividad en el sector farmacéutico. Además, los participantes debatieron sobre el modo en que las organizaciones internacionales, como la OMC, la OMS y la OMPI, las autoridades reguladoras nacionales y la coordinación interinstitucional pueden desempeñar un papel de apoyo al proceso. En noviembre de 2024, la OMPI impartió sesiones en el </w:t>
      </w:r>
      <w:r w:rsidRPr="00415B3E">
        <w:rPr>
          <w:rFonts w:asciiTheme="minorBidi" w:hAnsiTheme="minorBidi"/>
          <w:i/>
          <w:sz w:val="22"/>
          <w:szCs w:val="22"/>
          <w:lang w:val="es-419"/>
        </w:rPr>
        <w:t>Taller sobre comercio y salud pública</w:t>
      </w:r>
      <w:r w:rsidRPr="00415B3E">
        <w:rPr>
          <w:rFonts w:asciiTheme="minorBidi" w:hAnsiTheme="minorBidi"/>
          <w:sz w:val="22"/>
          <w:szCs w:val="22"/>
          <w:lang w:val="es-419"/>
        </w:rPr>
        <w:t xml:space="preserve"> para miembros y observadores de Asia sudoriental en Bangkok (Tailandia), organizado por la OMC y diseñado en estrecha colaboración con las Secretarías de la OMS y la OMPI. Organizado con el apoyo del Programa tailandés de Comercio Internacional y Salud, el Taller tenía por objeto promover un enfoque multidisciplinar para fomentar la innovación y el acceso a las tecnologías sanitarias en la región del Asia sudoriental. Además, en diciembre de 2024, la Cooperación Trilateral celebró el 11.º Simposio Técnico Conjunto</w:t>
      </w:r>
      <w:r w:rsidRPr="00415B3E">
        <w:rPr>
          <w:rStyle w:val="FootnoteReference"/>
          <w:rFonts w:asciiTheme="minorBidi" w:hAnsiTheme="minorBidi"/>
          <w:sz w:val="22"/>
          <w:szCs w:val="22"/>
          <w:lang w:val="es-419"/>
        </w:rPr>
        <w:footnoteReference w:id="95"/>
      </w:r>
      <w:r w:rsidRPr="00415B3E">
        <w:rPr>
          <w:rFonts w:asciiTheme="minorBidi" w:hAnsiTheme="minorBidi"/>
          <w:sz w:val="22"/>
          <w:szCs w:val="22"/>
          <w:lang w:val="es-419"/>
        </w:rPr>
        <w:t xml:space="preserve"> sobre el </w:t>
      </w:r>
      <w:r w:rsidRPr="00415B3E">
        <w:rPr>
          <w:rFonts w:asciiTheme="minorBidi" w:hAnsiTheme="minorBidi"/>
          <w:i/>
          <w:sz w:val="22"/>
          <w:szCs w:val="22"/>
          <w:lang w:val="es-419"/>
        </w:rPr>
        <w:t xml:space="preserve">Fortalecimiento de la capacidad de producción para responder a las enfermedades no transmisibles. </w:t>
      </w:r>
      <w:r w:rsidRPr="00415B3E">
        <w:rPr>
          <w:rFonts w:asciiTheme="minorBidi" w:hAnsiTheme="minorBidi"/>
          <w:sz w:val="22"/>
          <w:szCs w:val="22"/>
          <w:lang w:val="es-419"/>
        </w:rPr>
        <w:t xml:space="preserve">El evento subrayó la importancia de explorar las intersecciones entre la salud </w:t>
      </w:r>
      <w:r w:rsidRPr="00415B3E">
        <w:rPr>
          <w:rFonts w:asciiTheme="minorBidi" w:hAnsiTheme="minorBidi"/>
          <w:sz w:val="22"/>
          <w:szCs w:val="22"/>
          <w:lang w:val="es-419"/>
        </w:rPr>
        <w:lastRenderedPageBreak/>
        <w:t>pública, el comercio y la PI para analizar en qué medida el fortalecimiento y la diversificación de las capacidades de producción a través de iniciativas locales y regionales y la coordinación de esfuerzos pueden promover la innovación y mejorar el acceso a las tecnologías sanitarias para prevenir, detectar y tratar las enfermedades no transmisibles. El Simposio pretendía abordar los últimos avances y estrategias para: reducir la carga mundial de enfermedades no transmisibles; destacar los retos y las oportunidades de mejorar las capacidades de producción y coordinar los esfuerzos relacionados, también en relación con el comercio y la PI; y considerar el papel de la innovación y la contribución de la producción local y regional para optimizar la respuesta mundial a la carga que generan las enfermedades no transmisibles.</w:t>
      </w:r>
    </w:p>
    <w:p w14:paraId="0D56CA54"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Durante el año objeto del informe, la OMPI siguió colaborando estrechamente con la Unión Internacional de Telecomunicaciones (UIT) y la OMS para desarrollar la Iniciativa Mundial sobre IA para la Salud de la OMPI, la OMS y la UIT.</w:t>
      </w:r>
      <w:r w:rsidRPr="00415B3E">
        <w:rPr>
          <w:rStyle w:val="FootnoteReference"/>
          <w:rFonts w:asciiTheme="minorBidi" w:hAnsiTheme="minorBidi"/>
          <w:iCs/>
          <w:sz w:val="22"/>
          <w:szCs w:val="22"/>
          <w:lang w:val="es-419"/>
        </w:rPr>
        <w:footnoteReference w:id="96"/>
      </w:r>
      <w:r w:rsidRPr="00415B3E">
        <w:rPr>
          <w:rFonts w:asciiTheme="minorBidi" w:hAnsiTheme="minorBidi"/>
          <w:sz w:val="22"/>
          <w:szCs w:val="22"/>
          <w:lang w:val="es-419"/>
        </w:rPr>
        <w:t xml:space="preserve"> También contribuyó a un taller sobre IA y medicina tradicional con el objetivo de explorar el papel de la PI en el uso de la IA en la medicina tradicional. La Organización siguió participando en el Equipo de Tareas Interinstitucional de las Naciones Unidas sobre la Prevención y el Control de las Enfermedades no transmisibles para garantizar una mayor coordinación sobre los temas pertinentes en todo el sistema de las Naciones Unidas. El Sector siguió dedicado a supervisar los procesos intergubernamentales relativos a la PI y la innovación, a los que contribuye, incluida la labor del Órgano Intergubernamental de Negociación para redactar y negociar un convenio, acuerdo u otro instrumento internacional de la OMS sobre prevención, preparación y respuesta ante pandemias, y del Consejo de los Aspectos de los Derechos de Propiedad Intelectual relacionados con el Comercio (ADPIC). En mayo de 2024, se concedió a la OMPI la condición de observador en el Grupo de Trabajo sobre Comercio y Transferencia de Tecnología de la OMC, lo que le permitirá apoyar los debates sobre transferencia y desarrollo de tecnología en la OMC, cuando así se solicite. La participación de la OMPI en estos procesos promueve una comprensión holística de la PI como herramienta que permite la innovación y el acceso a los efectos de dicha innovación, especialmente en el contexto del comercio y la salud.</w:t>
      </w:r>
    </w:p>
    <w:p w14:paraId="559CB0C0"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También cabe destacar que el Sector coordinó la participación de la OMPI en la Cumbre Mundial sobre la Sociedad de la Información (CMSI) + Evento de Alto Nivel del Foro 20, de 2024,</w:t>
      </w:r>
      <w:r w:rsidRPr="00415B3E">
        <w:rPr>
          <w:rStyle w:val="FootnoteReference"/>
          <w:rFonts w:asciiTheme="minorBidi" w:hAnsiTheme="minorBidi"/>
          <w:iCs/>
          <w:sz w:val="22"/>
          <w:szCs w:val="22"/>
          <w:lang w:val="es-419"/>
        </w:rPr>
        <w:footnoteReference w:id="97"/>
      </w:r>
      <w:r w:rsidRPr="00415B3E">
        <w:rPr>
          <w:rFonts w:asciiTheme="minorBidi" w:hAnsiTheme="minorBidi"/>
          <w:sz w:val="22"/>
          <w:szCs w:val="22"/>
          <w:lang w:val="es-419"/>
        </w:rPr>
        <w:t xml:space="preserve"> celebrados en mayo de 2024. El Sector organizó una sesión dedicada a </w:t>
      </w:r>
      <w:r w:rsidRPr="00415B3E">
        <w:rPr>
          <w:rFonts w:asciiTheme="minorBidi" w:hAnsiTheme="minorBidi"/>
          <w:i/>
          <w:sz w:val="22"/>
          <w:szCs w:val="22"/>
          <w:lang w:val="es-419"/>
        </w:rPr>
        <w:t>La PI y los deportes electrónicos para el desarrollo</w:t>
      </w:r>
      <w:r w:rsidRPr="00415B3E">
        <w:rPr>
          <w:rFonts w:asciiTheme="minorBidi" w:hAnsiTheme="minorBidi"/>
          <w:sz w:val="22"/>
          <w:szCs w:val="22"/>
          <w:lang w:val="es-419"/>
        </w:rPr>
        <w:t>, que contó con una participación de alto nivel. Además, también en cooperación con otras Unidades, el Sector coordinó: i) el compromiso y la participación de alto nivel de la OMPI en los paneles pertinentes de la Cumbre Mundial “AI for Good”</w:t>
      </w:r>
      <w:r w:rsidRPr="00415B3E">
        <w:rPr>
          <w:rStyle w:val="FootnoteReference"/>
          <w:rFonts w:asciiTheme="minorBidi" w:hAnsiTheme="minorBidi"/>
          <w:iCs/>
          <w:sz w:val="22"/>
          <w:szCs w:val="22"/>
          <w:lang w:val="es-419"/>
        </w:rPr>
        <w:footnoteReference w:id="98"/>
      </w:r>
      <w:r w:rsidRPr="00415B3E">
        <w:rPr>
          <w:rFonts w:asciiTheme="minorBidi" w:hAnsiTheme="minorBidi"/>
          <w:sz w:val="22"/>
          <w:szCs w:val="22"/>
          <w:lang w:val="es-419"/>
        </w:rPr>
        <w:t>, en mayo de 2024; y ii) la firma de una carta de intenciones y un plan de acción conjunto con la Oficina de las Naciones Unidas contra la Droga y el Delito para mejorar las sinergias y la colaboración en materia de observancia de la PI, sensibilización y fortalecimiento de capacidades.</w:t>
      </w:r>
    </w:p>
    <w:p w14:paraId="773588BB"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participó activamente y apoyó el Foro de Gobernanza de Internet, que se celebró en Riad (Arabia Saudita) del 15 al 20 de diciembre de 2024. Entre otras actividades, organizó y acogió el Foro Abierto sobre “</w:t>
      </w:r>
      <w:r w:rsidRPr="00415B3E">
        <w:rPr>
          <w:rFonts w:asciiTheme="minorBidi" w:hAnsiTheme="minorBidi"/>
          <w:i/>
          <w:sz w:val="22"/>
          <w:szCs w:val="22"/>
          <w:lang w:val="es-419"/>
        </w:rPr>
        <w:t>Las mujeres en los juegos y las aplicaciones: innovación, creatividad y PI</w:t>
      </w:r>
      <w:r w:rsidRPr="00415B3E">
        <w:rPr>
          <w:rFonts w:asciiTheme="minorBidi" w:hAnsiTheme="minorBidi"/>
          <w:sz w:val="22"/>
          <w:szCs w:val="22"/>
          <w:lang w:val="es-419"/>
        </w:rPr>
        <w:t xml:space="preserve">”. El acto se centró en destacar cómo la innovación, la creatividad y un ecosistema de PI propicio pueden mejorar la igualdad de género en el desarrollo de videojuegos y aplicaciones. Para lograrlo, la sesión puso de relieve la creatividad y la innovación de las mujeres que trabajan en este campo y mostró cómo, a través de distintas políticas, se puede garantizar la igualdad y la atribución creativa. Este acto también brindó la </w:t>
      </w:r>
      <w:r w:rsidRPr="00415B3E">
        <w:rPr>
          <w:rFonts w:asciiTheme="minorBidi" w:hAnsiTheme="minorBidi"/>
          <w:sz w:val="22"/>
          <w:szCs w:val="22"/>
          <w:lang w:val="es-419"/>
        </w:rPr>
        <w:lastRenderedPageBreak/>
        <w:t>oportunidad de presentar herramientas prácticas que pueden ser utilizadas por desarrolladores de todo el mundo.</w:t>
      </w:r>
    </w:p>
    <w:p w14:paraId="5BCB6152"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el año 2024, el Sector siguió colaborando con organizaciones no gubernamentales (ONG) y partes interesadas de la industria. Su labor en ese contexto incluyó la coordinación y organización de reuniones en Ginebra (Suiza) entre expertos técnicos de ONG y socios de la industria, incluida la Asociación Internacional para la Protección de la Propiedad Intelectual (AIPPI) y la Secretaría de la OMPI, para debatir cuestiones fundamentales relacionadas con la Conferencia Diplomática para la Celebración de un Instrumento Jurídico Internacional relativo a la Propiedad Intelectual, los Recursos Genéticos y los Conocimientos Tradicionales Asociados a los Recursos Genéticos, celebrada en mayo de 2024, y la Conferencia Diplomática para la Celebración y Adopción de un Tratado sobre el Derecho de los Diseños, celebrada en noviembre de 2024. Esta colaboración sirvió de base para los debates de fondo y reforzó el apoyo a las conferencias,</w:t>
      </w:r>
      <w:r w:rsidRPr="00415B3E">
        <w:rPr>
          <w:rStyle w:val="FootnoteReference"/>
          <w:rFonts w:asciiTheme="minorBidi" w:hAnsiTheme="minorBidi"/>
          <w:iCs/>
          <w:sz w:val="22"/>
          <w:szCs w:val="22"/>
          <w:lang w:val="es-419"/>
        </w:rPr>
        <w:footnoteReference w:id="99"/>
      </w:r>
      <w:r w:rsidRPr="00415B3E">
        <w:rPr>
          <w:rFonts w:asciiTheme="minorBidi" w:hAnsiTheme="minorBidi"/>
          <w:sz w:val="22"/>
          <w:szCs w:val="22"/>
          <w:lang w:val="es-419"/>
        </w:rPr>
        <w:t xml:space="preserve"> que desembocaron en tratados históricos. En particular, el Tratado de la OMPI sobre la propiedad intelectual, los recursos genéticos y los conocimientos tradicionales asociados es el primer instrumento de este tipo que incluye disposiciones específicamente relacionadas con los Pueblos Indígenas y las comunidades locales; las ONG que representan a los Pueblos Indígenas participaron activamente en las negociaciones. Además, en julio de 2024, 63 representantes de 54 ONG y organizaciones de distintos sectores se reunieron en Ginebra para el Diálogo anual OMPI-ONG de partes interesadas con el Director General. Este acto, que incluyó debates sobre la IA y la PI y sobre el cambio climático y la PI, reflejó la importancia que la OMPI concede a la sociedad civil como socio en la construcción de un ecosistema mundial de PI más integrador. El Sector acogió a un total de nueve delegaciones de ONG y de distintos sectores en la sede de la OMPI a lo largo de 2024 para mantener debates en profundidad sobre una amplia gama de cuestiones relativas a la PI. Los nueve actos trataron temas relacionados con la AD y permitieron compartir información actualizada sobre los esfuerzos de colaboración en su apoyo. La Licensing Executives Society International (LESI), por ejemplo, apoya la labor de la OMPI en materia de transferencia de tecnología y comercialización de la PI, en particular para las pymes, en los países en desarrollo de todo el mundo.</w:t>
      </w:r>
    </w:p>
    <w:p w14:paraId="24617C81"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La PI y la juventud</w:t>
      </w:r>
    </w:p>
    <w:p w14:paraId="4AF2220D"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iCs/>
          <w:sz w:val="22"/>
          <w:szCs w:val="22"/>
          <w:lang w:val="es-419"/>
        </w:rPr>
      </w:pPr>
      <w:r w:rsidRPr="00415B3E">
        <w:rPr>
          <w:rFonts w:asciiTheme="minorBidi" w:hAnsiTheme="minorBidi"/>
          <w:sz w:val="22"/>
          <w:szCs w:val="22"/>
          <w:lang w:val="es-419"/>
        </w:rPr>
        <w:t>En 2024, la OMPI puso en marcha la Estrategia de la OMPI sobre Propiedad Intelectual y Empoderamiento de los Jóvenes (IP-YES!),</w:t>
      </w:r>
      <w:r w:rsidRPr="00415B3E">
        <w:rPr>
          <w:rStyle w:val="FootnoteReference"/>
          <w:rFonts w:asciiTheme="minorBidi" w:hAnsiTheme="minorBidi"/>
          <w:sz w:val="22"/>
          <w:szCs w:val="22"/>
          <w:lang w:val="es-419"/>
        </w:rPr>
        <w:footnoteReference w:id="100"/>
      </w:r>
      <w:r w:rsidRPr="00415B3E">
        <w:rPr>
          <w:rFonts w:asciiTheme="minorBidi" w:hAnsiTheme="minorBidi"/>
          <w:sz w:val="22"/>
          <w:szCs w:val="22"/>
          <w:lang w:val="es-419"/>
        </w:rPr>
        <w:t xml:space="preserve"> un marco específico que orienta los esfuerzos de la Organización por implicar a los jóvenes. IP-YES! se centra en tres áreas de acción clave: i) </w:t>
      </w:r>
      <w:r w:rsidRPr="00415B3E">
        <w:rPr>
          <w:rFonts w:asciiTheme="minorBidi" w:hAnsiTheme="minorBidi"/>
          <w:i/>
          <w:sz w:val="22"/>
          <w:szCs w:val="22"/>
          <w:lang w:val="es-419"/>
        </w:rPr>
        <w:t>Suscitar la pasión:</w:t>
      </w:r>
      <w:r w:rsidRPr="00415B3E">
        <w:rPr>
          <w:rFonts w:asciiTheme="minorBidi" w:hAnsiTheme="minorBidi"/>
          <w:sz w:val="22"/>
          <w:szCs w:val="22"/>
          <w:lang w:val="es-419"/>
        </w:rPr>
        <w:t xml:space="preserve"> acercar la PI a los jóvenes y promover la innovación y la creatividad impulsadas por ellos; ii) </w:t>
      </w:r>
      <w:r w:rsidRPr="00415B3E">
        <w:rPr>
          <w:rFonts w:asciiTheme="minorBidi" w:hAnsiTheme="minorBidi"/>
          <w:i/>
          <w:sz w:val="22"/>
          <w:szCs w:val="22"/>
          <w:lang w:val="es-419"/>
        </w:rPr>
        <w:t>Fortalecer las capacidades:</w:t>
      </w:r>
      <w:r w:rsidRPr="00415B3E">
        <w:rPr>
          <w:rFonts w:asciiTheme="minorBidi" w:hAnsiTheme="minorBidi"/>
          <w:sz w:val="22"/>
          <w:szCs w:val="22"/>
          <w:lang w:val="es-419"/>
        </w:rPr>
        <w:t xml:space="preserve"> dotar a los jóvenes de la educación, la formación, los conocimientos y las aptitudes pertinentes en materia de PI; y iii) </w:t>
      </w:r>
      <w:r w:rsidRPr="00415B3E">
        <w:rPr>
          <w:rFonts w:asciiTheme="minorBidi" w:hAnsiTheme="minorBidi"/>
          <w:i/>
          <w:sz w:val="22"/>
          <w:szCs w:val="22"/>
          <w:lang w:val="es-419"/>
        </w:rPr>
        <w:t>Llevar las ideas a la práctica:</w:t>
      </w:r>
      <w:r w:rsidRPr="00415B3E">
        <w:rPr>
          <w:rFonts w:asciiTheme="minorBidi" w:hAnsiTheme="minorBidi"/>
          <w:sz w:val="22"/>
          <w:szCs w:val="22"/>
          <w:lang w:val="es-419"/>
        </w:rPr>
        <w:t xml:space="preserve"> crear oportunidades interesantes que permitan a los jóvenes aplicar los conocimientos adquiridos en la vida real y prosperar en sus áreas de interés. Mediante este enfoque estructurado, la OMPI sigue sensibilizando a los jóvenes sobre la PI. Otro hito importante del año fue la creación del “</w:t>
      </w:r>
      <w:r w:rsidRPr="00415B3E">
        <w:rPr>
          <w:rFonts w:asciiTheme="minorBidi" w:hAnsiTheme="minorBidi"/>
          <w:i/>
          <w:sz w:val="22"/>
          <w:szCs w:val="22"/>
          <w:lang w:val="es-419"/>
        </w:rPr>
        <w:t>TANIT Youth Innovation Hub"</w:t>
      </w:r>
      <w:r w:rsidRPr="00415B3E">
        <w:rPr>
          <w:rFonts w:asciiTheme="minorBidi" w:hAnsiTheme="minorBidi"/>
          <w:sz w:val="22"/>
          <w:szCs w:val="22"/>
          <w:lang w:val="es-419"/>
        </w:rPr>
        <w:t xml:space="preserve"> en Túnez,</w:t>
      </w:r>
      <w:r w:rsidRPr="00415B3E">
        <w:rPr>
          <w:rStyle w:val="FootnoteReference"/>
          <w:rFonts w:asciiTheme="minorBidi" w:hAnsiTheme="minorBidi"/>
          <w:sz w:val="22"/>
          <w:szCs w:val="22"/>
          <w:lang w:val="es-419"/>
        </w:rPr>
        <w:footnoteReference w:id="101"/>
      </w:r>
      <w:r w:rsidRPr="00415B3E">
        <w:rPr>
          <w:rFonts w:asciiTheme="minorBidi" w:hAnsiTheme="minorBidi"/>
          <w:sz w:val="22"/>
          <w:szCs w:val="22"/>
          <w:lang w:val="es-419"/>
        </w:rPr>
        <w:t xml:space="preserve"> un proyecto desarrollado en colaboración con el Ministerio de Juventud y Deportes de Túnez. El </w:t>
      </w:r>
      <w:r w:rsidRPr="00415B3E">
        <w:rPr>
          <w:rFonts w:asciiTheme="minorBidi" w:hAnsiTheme="minorBidi"/>
          <w:i/>
          <w:iCs/>
          <w:sz w:val="22"/>
          <w:szCs w:val="22"/>
          <w:lang w:val="es-419"/>
        </w:rPr>
        <w:t>Hub</w:t>
      </w:r>
      <w:r w:rsidRPr="00415B3E">
        <w:rPr>
          <w:rFonts w:asciiTheme="minorBidi" w:hAnsiTheme="minorBidi"/>
          <w:sz w:val="22"/>
          <w:szCs w:val="22"/>
          <w:lang w:val="es-419"/>
        </w:rPr>
        <w:t xml:space="preserve">, puesto en marcha a través de un programa de fortalecimiento de capacidades para 50 líderes de clubes juveniles tunecinos, integra la educación en PI en el ecosistema nacional de innovación, dotando a los jóvenes de las competencias necesarias para proteger y comercializar sus innovaciones. La OMPI también profundizó sus alianzas con actores mundiales clave, reforzando el papel de la PI en los modelos empresariales sostenibles impulsados por los jóvenes. Como socio principal del programa </w:t>
      </w:r>
      <w:r w:rsidRPr="00415B3E">
        <w:rPr>
          <w:rFonts w:asciiTheme="minorBidi" w:hAnsiTheme="minorBidi"/>
          <w:i/>
          <w:sz w:val="22"/>
          <w:szCs w:val="22"/>
          <w:lang w:val="es-419"/>
        </w:rPr>
        <w:t xml:space="preserve">ITC Youth Ecopreneur </w:t>
      </w:r>
      <w:r w:rsidRPr="00415B3E">
        <w:rPr>
          <w:rFonts w:asciiTheme="minorBidi" w:hAnsiTheme="minorBidi"/>
          <w:i/>
          <w:sz w:val="22"/>
          <w:szCs w:val="22"/>
          <w:lang w:val="es-419"/>
        </w:rPr>
        <w:lastRenderedPageBreak/>
        <w:t>Program</w:t>
      </w:r>
      <w:r w:rsidRPr="00415B3E">
        <w:rPr>
          <w:rFonts w:asciiTheme="minorBidi" w:hAnsiTheme="minorBidi"/>
          <w:sz w:val="22"/>
          <w:szCs w:val="22"/>
          <w:lang w:val="es-419"/>
        </w:rPr>
        <w:t xml:space="preserve">, la OMPI impartió formación especializada en PI a jóvenes empresarios, dotándolos de estrategias para integrar la PI en sus planes y prácticas empresariales. Además, la OMPI codirigió el </w:t>
      </w:r>
      <w:r w:rsidRPr="00415B3E">
        <w:rPr>
          <w:rFonts w:asciiTheme="minorBidi" w:hAnsiTheme="minorBidi"/>
          <w:i/>
          <w:sz w:val="22"/>
          <w:szCs w:val="22"/>
          <w:lang w:val="es-419"/>
        </w:rPr>
        <w:t>Foro de la Juventud del ECOSOC</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102"/>
      </w:r>
      <w:r w:rsidRPr="00415B3E">
        <w:rPr>
          <w:rFonts w:asciiTheme="minorBidi" w:hAnsiTheme="minorBidi"/>
          <w:sz w:val="22"/>
          <w:szCs w:val="22"/>
          <w:lang w:val="es-419"/>
        </w:rPr>
        <w:t xml:space="preserve"> un espacio para el diálogo intergeneracional que reunió a Ministros de la Juventud de Colombia, Nigeria, Sierra Leona y Uganda con jóvenes empresarios y líderes juveniles para explorar cómo la PI puede impulsar la innovación y crear oportunidades. En reconocimiento de las nuevas carreras que están surgiendo en la economía digital, la OMPI también puso en marcha un Curso intensivo en línea sobre desarrollo de marcas para jóvenes creadores de contenidos,</w:t>
      </w:r>
      <w:r w:rsidRPr="00415B3E">
        <w:rPr>
          <w:rStyle w:val="FootnoteReference"/>
          <w:rFonts w:asciiTheme="minorBidi" w:hAnsiTheme="minorBidi"/>
          <w:sz w:val="22"/>
          <w:szCs w:val="22"/>
          <w:lang w:val="es-419"/>
        </w:rPr>
        <w:footnoteReference w:id="103"/>
      </w:r>
      <w:r w:rsidRPr="00415B3E">
        <w:rPr>
          <w:rFonts w:asciiTheme="minorBidi" w:hAnsiTheme="minorBidi"/>
          <w:sz w:val="22"/>
          <w:szCs w:val="22"/>
          <w:lang w:val="es-419"/>
        </w:rPr>
        <w:t xml:space="preserve"> que abordó el cambiante panorama de la iniciativa empresarial en los medios sociales y la cultura de los influentes. El Curso intensivo permitió aprender cómo aprovechar la PI para crear y proteger marcas en línea, navegar por los algoritmos de las plataformas y comercializar la producción creativa. Además, la OMPI, en colaboración con la Federación Internacional de Asociaciones de Industriales Farmacéuticos, organizó un innovador Diálogo Intergeneracional durante las Asambleas de la OMPI.</w:t>
      </w:r>
      <w:r w:rsidRPr="00415B3E">
        <w:rPr>
          <w:rStyle w:val="FootnoteReference"/>
          <w:rFonts w:asciiTheme="minorBidi" w:hAnsiTheme="minorBidi"/>
          <w:sz w:val="22"/>
          <w:szCs w:val="22"/>
          <w:lang w:val="es-419"/>
        </w:rPr>
        <w:footnoteReference w:id="104"/>
      </w:r>
      <w:r w:rsidRPr="00415B3E">
        <w:rPr>
          <w:rFonts w:asciiTheme="minorBidi" w:hAnsiTheme="minorBidi"/>
          <w:sz w:val="22"/>
          <w:szCs w:val="22"/>
          <w:lang w:val="es-419"/>
        </w:rPr>
        <w:t xml:space="preserve"> El acto, concebido como una sesión pública de tutoría, brindó a innovadores jóvenes y experimentados del sector de las ciencias de la vida la oportunidad de compartir sus experiencias en materia de PI y debatir sobre los retos y las oportunidades de la administración y la reglamentación de la PI a escala nacional.</w:t>
      </w:r>
    </w:p>
    <w:p w14:paraId="4611279C"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WIPO Green</w:t>
      </w:r>
    </w:p>
    <w:p w14:paraId="1B29722D" w14:textId="77777777" w:rsidR="00FD5CE0" w:rsidRPr="00415B3E" w:rsidRDefault="00FD5CE0" w:rsidP="00FD5CE0">
      <w:pPr>
        <w:pStyle w:val="ListParagraph"/>
        <w:numPr>
          <w:ilvl w:val="0"/>
          <w:numId w:val="13"/>
        </w:numPr>
        <w:shd w:val="clear" w:color="auto" w:fill="FFFFFF" w:themeFill="background1"/>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2024, la base de datos WIPO GREEN alcanzó el hito de catalogar más de 130 000 tecnologías ecológicas. Desde su lanzamiento en 2013, la plataforma ha facilitado más de 1 000 conexiones entre miembros de la red. En 2023, siete instituciones privadas y públicas</w:t>
      </w:r>
      <w:r w:rsidRPr="00415B3E">
        <w:rPr>
          <w:rStyle w:val="FootnoteReference"/>
          <w:rFonts w:asciiTheme="minorBidi" w:hAnsiTheme="minorBidi"/>
          <w:sz w:val="22"/>
          <w:szCs w:val="22"/>
          <w:lang w:val="es-419"/>
        </w:rPr>
        <w:footnoteReference w:id="105"/>
      </w:r>
      <w:r w:rsidRPr="00415B3E">
        <w:rPr>
          <w:rFonts w:asciiTheme="minorBidi" w:hAnsiTheme="minorBidi"/>
          <w:sz w:val="22"/>
          <w:szCs w:val="22"/>
          <w:lang w:val="es-419"/>
        </w:rPr>
        <w:t xml:space="preserve"> se unieron a WIPO GREEN, llevando la cantidad total de socios a 157.</w:t>
      </w:r>
      <w:r w:rsidRPr="00415B3E">
        <w:rPr>
          <w:rStyle w:val="FootnoteReference"/>
          <w:rFonts w:asciiTheme="minorBidi" w:hAnsiTheme="minorBidi"/>
          <w:sz w:val="22"/>
          <w:szCs w:val="22"/>
          <w:lang w:val="es-419"/>
        </w:rPr>
        <w:footnoteReference w:id="106"/>
      </w:r>
      <w:r w:rsidRPr="00415B3E">
        <w:rPr>
          <w:rFonts w:asciiTheme="minorBidi" w:hAnsiTheme="minorBidi"/>
          <w:sz w:val="22"/>
          <w:szCs w:val="22"/>
          <w:lang w:val="es-419"/>
        </w:rPr>
        <w:t xml:space="preserve"> El creciente equipo mundial de socios, entre los que figuran empresas de la lista Fortune 500, pymes y oficinas de PI, trabajó conjuntamente para facilitar intercambios de tecnologías ecológicas, proyectos de aceleración y colaboraciones con partes interesadas, con el objetivo final de aumentar el despliegue de soluciones amigables con el medio ambiente para combatir el cambio climático. En 2024, el Sector lanzó la tercera edición del </w:t>
      </w:r>
      <w:r w:rsidRPr="00415B3E">
        <w:rPr>
          <w:rFonts w:asciiTheme="minorBidi" w:hAnsiTheme="minorBidi"/>
          <w:i/>
          <w:sz w:val="22"/>
          <w:szCs w:val="22"/>
          <w:lang w:val="es-419"/>
        </w:rPr>
        <w:t>Libro sobre tecnología ecológica: Soluciones energéticas para el cambio climático,</w:t>
      </w:r>
      <w:r w:rsidRPr="00415B3E">
        <w:rPr>
          <w:rStyle w:val="FootnoteReference"/>
          <w:rFonts w:asciiTheme="minorBidi" w:hAnsiTheme="minorBidi"/>
          <w:sz w:val="22"/>
          <w:szCs w:val="22"/>
          <w:lang w:val="es-419"/>
        </w:rPr>
        <w:footnoteReference w:id="107"/>
      </w:r>
      <w:r w:rsidRPr="00415B3E">
        <w:rPr>
          <w:rFonts w:asciiTheme="minorBidi" w:hAnsiTheme="minorBidi"/>
          <w:sz w:val="22"/>
          <w:szCs w:val="22"/>
          <w:lang w:val="es-419"/>
        </w:rPr>
        <w:t xml:space="preserve"> en la vigesimonovena Conferencia de las Partes en la Convención Marco de las Naciones Unidas sobre el Cambio Climático en Bakú, Azerbaiyán. Esta tercera edición del </w:t>
      </w:r>
      <w:r w:rsidRPr="00415B3E">
        <w:rPr>
          <w:rFonts w:asciiTheme="minorBidi" w:hAnsiTheme="minorBidi"/>
          <w:i/>
          <w:sz w:val="22"/>
          <w:szCs w:val="22"/>
          <w:lang w:val="es-419"/>
        </w:rPr>
        <w:t>Libro sobre tecnología ecológica</w:t>
      </w:r>
      <w:r w:rsidRPr="00415B3E">
        <w:rPr>
          <w:rFonts w:asciiTheme="minorBidi" w:hAnsiTheme="minorBidi"/>
          <w:sz w:val="22"/>
          <w:szCs w:val="22"/>
          <w:lang w:val="es-419"/>
        </w:rPr>
        <w:t xml:space="preserve"> repasa el estado de las tecnologías destinadas a responder a algunos de los retos medioambientales más críticos de nuestro tiempo, y se ha elaborado en colaboración con el Centro y Red de Tecnología del Clima (CRTC) y la Academia Egipcia de Investigación Científica y Tecnología (ASTR). Centrado en las soluciones energéticas, ofrece orientaciones prácticas sobre cómo las tecnologías nuevas y futuras pueden contribuir a los esfuerzos de mitigación y adaptación al cambio climático en las ciudades, las zonas rurales y el sector de los servicios, incluidos los supermercados, las instalaciones sanitarias y los centros de datos. Esta edición del </w:t>
      </w:r>
      <w:r w:rsidRPr="00415B3E">
        <w:rPr>
          <w:rFonts w:asciiTheme="minorBidi" w:hAnsiTheme="minorBidi"/>
          <w:i/>
          <w:sz w:val="22"/>
          <w:szCs w:val="22"/>
          <w:lang w:val="es-419"/>
        </w:rPr>
        <w:t>Libro sobre tecnología ecológica</w:t>
      </w:r>
      <w:r w:rsidRPr="00415B3E">
        <w:rPr>
          <w:rFonts w:asciiTheme="minorBidi" w:hAnsiTheme="minorBidi"/>
          <w:sz w:val="22"/>
          <w:szCs w:val="22"/>
          <w:lang w:val="es-419"/>
        </w:rPr>
        <w:t xml:space="preserve"> sigue a las publicaciones sobre </w:t>
      </w:r>
      <w:r w:rsidRPr="00415B3E">
        <w:rPr>
          <w:rFonts w:asciiTheme="minorBidi" w:hAnsiTheme="minorBidi"/>
          <w:i/>
          <w:sz w:val="22"/>
          <w:szCs w:val="22"/>
          <w:lang w:val="es-419"/>
        </w:rPr>
        <w:t>Soluciones para la adaptación al cambio climático</w:t>
      </w:r>
      <w:r w:rsidRPr="00415B3E">
        <w:rPr>
          <w:rFonts w:asciiTheme="minorBidi" w:hAnsiTheme="minorBidi"/>
          <w:sz w:val="22"/>
          <w:szCs w:val="22"/>
          <w:lang w:val="es-419"/>
        </w:rPr>
        <w:t xml:space="preserve"> (2022) y </w:t>
      </w:r>
      <w:r w:rsidRPr="00415B3E">
        <w:rPr>
          <w:rFonts w:asciiTheme="minorBidi" w:hAnsiTheme="minorBidi"/>
          <w:i/>
          <w:sz w:val="22"/>
          <w:szCs w:val="22"/>
          <w:lang w:val="es-419"/>
        </w:rPr>
        <w:t>Soluciones para mitigar el cambio climático</w:t>
      </w:r>
      <w:r w:rsidRPr="00415B3E">
        <w:rPr>
          <w:rFonts w:asciiTheme="minorBidi" w:hAnsiTheme="minorBidi"/>
          <w:sz w:val="22"/>
          <w:szCs w:val="22"/>
          <w:lang w:val="es-419"/>
        </w:rPr>
        <w:t xml:space="preserve"> (2023). En la base de datos WIPO GREEN se han identificado más de 1 000 tecnologías en relación con el </w:t>
      </w:r>
      <w:r w:rsidRPr="00415B3E">
        <w:rPr>
          <w:rFonts w:asciiTheme="minorBidi" w:hAnsiTheme="minorBidi"/>
          <w:i/>
          <w:sz w:val="22"/>
          <w:szCs w:val="22"/>
          <w:lang w:val="es-419"/>
        </w:rPr>
        <w:t>Libro sobre tecnología ecológica</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108"/>
      </w:r>
    </w:p>
    <w:p w14:paraId="200DEE68"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lastRenderedPageBreak/>
        <w:t>Los proyectos de aceleración WIPO GREEN</w:t>
      </w:r>
      <w:r w:rsidRPr="00415B3E">
        <w:rPr>
          <w:rStyle w:val="FootnoteReference"/>
          <w:rFonts w:asciiTheme="minorBidi" w:hAnsiTheme="minorBidi"/>
          <w:sz w:val="22"/>
          <w:szCs w:val="22"/>
          <w:lang w:val="es-419"/>
        </w:rPr>
        <w:footnoteReference w:id="109"/>
      </w:r>
      <w:r w:rsidRPr="00415B3E">
        <w:rPr>
          <w:rFonts w:asciiTheme="minorBidi" w:hAnsiTheme="minorBidi"/>
          <w:sz w:val="22"/>
          <w:szCs w:val="22"/>
          <w:lang w:val="es-419"/>
        </w:rPr>
        <w:t xml:space="preserve"> siguieron siendo el principal medio de participación de la plataforma en 2024. Estos proyectos se centran en una zona geográfica o un ámbito tecnológico concretos, donde los proveedores y quienes se interesan en las tecnologías establecen conexiones cruciales que pueden conducir a la utilización o la transferencia de tecnologías ecológicas, generando conocimientos sobre el panorama de las tecnologías ecológicas y abriendo una puerta de acceso a la posibilidad de financiación, asesoramiento jurídico y redes comerciales locales e internacionales. A través de la financiación proporcionada por fondos fiduciarios del Japón, WIPO GREEN continuó su Proyecto de Aceleración en América Latina</w:t>
      </w:r>
      <w:r w:rsidRPr="00415B3E">
        <w:rPr>
          <w:rStyle w:val="FootnoteReference"/>
          <w:rFonts w:asciiTheme="minorBidi" w:hAnsiTheme="minorBidi"/>
          <w:sz w:val="22"/>
          <w:szCs w:val="22"/>
          <w:lang w:val="es-419"/>
        </w:rPr>
        <w:footnoteReference w:id="110"/>
      </w:r>
      <w:r w:rsidRPr="00415B3E">
        <w:rPr>
          <w:rFonts w:asciiTheme="minorBidi" w:hAnsiTheme="minorBidi"/>
          <w:sz w:val="22"/>
          <w:szCs w:val="22"/>
          <w:lang w:val="es-419"/>
        </w:rPr>
        <w:t xml:space="preserve"> en 2024, cuyo objetivo era identificar soluciones tecnológicas sostenibles relacionadas con la Agricultura Climáticamente Inteligente y seguir conectando a quienes se interesan por la tecnología y los proveedores. Las Oficinas de PI nacionales y otras entidades gubernamentales en la Argentina, el Brasil, Chile y el Perú son socios en el proyecto, cuya cuarta fase se ha centrado más en el establecimiento de contactos. En la actualidad, la base de datos de WIPO GREEN cuenta con 251 soluciones de tecnología y 138 necesidades cargadas en la colección de agricultura climáticamente inteligente de América Latina y el Caribe en la base de datos WIPO GREEN. En total, se han realizado 19 intermediaciones y 15 conexiones en la Fase III. El Proyecto de Aceleración en curso en China siguió dedicado a buscar soluciones a las necesidades medioambientales urbanas.</w:t>
      </w:r>
      <w:r w:rsidRPr="00415B3E">
        <w:rPr>
          <w:rStyle w:val="FootnoteReference"/>
          <w:rFonts w:asciiTheme="minorBidi" w:hAnsiTheme="minorBidi"/>
          <w:sz w:val="22"/>
          <w:szCs w:val="22"/>
          <w:lang w:val="es-419"/>
        </w:rPr>
        <w:footnoteReference w:id="111"/>
      </w:r>
      <w:r w:rsidRPr="00415B3E">
        <w:rPr>
          <w:rFonts w:asciiTheme="minorBidi" w:hAnsiTheme="minorBidi"/>
          <w:sz w:val="22"/>
          <w:szCs w:val="22"/>
          <w:lang w:val="es-419"/>
        </w:rPr>
        <w:t xml:space="preserve"> El objetivo del proyecto era apoyar a China para que logre su objetivo de reducir las emisiones de carbono en 2030 y que alcance la neutralidad en las emisiones de carbono en 2060. El proyecto se centró inicialmente en Beijing, con una expansión esperada hacia otras grandes ciudades en 2025. A lo largo del año objeto del informe, tres acuerdos han sido fruto de este proyecto: uno relacionado con el tratamiento ecológico de los residuos; otro con un sistema de almacenamiento de energía basado en IA; y otro con servicios de iluminación inteligente. También se han establecido cinco conexiones. La continuación del proyecto está prevista hasta 2025, con una expansión a Shanghai, Chongqing y Hainan. En lo referente al proyecto de aceleración en Indonesia, en 2024 se desarrolló un catálogo nuevo de soluciones tecnológicas para el tratamiento de los efluentes de la molienda del aceite de palma. A lo largo del año, el Sector prosiguió sus esfuerzos para influir en los responsables políticos a fin de que adopten tecnologías de reducción de las emisiones de metano. Además, el proyecto de aceleración WIPO GREEN de Acceso al agua en Tayikistán tiene como objetivo crear un acceso resiliente al agua potable, mejorar las condiciones sanitarias, mejorar la calidad de vida y crear nuevas oportunidades de empleo en las zonas rurales montañosas de Tayikistán. De este proyecto han surgido tres intermediaciones:</w:t>
      </w:r>
      <w:r w:rsidRPr="00415B3E">
        <w:rPr>
          <w:rStyle w:val="FootnoteReference"/>
          <w:rFonts w:asciiTheme="minorBidi" w:hAnsiTheme="minorBidi"/>
          <w:sz w:val="22"/>
          <w:szCs w:val="22"/>
          <w:lang w:val="es-419"/>
        </w:rPr>
        <w:footnoteReference w:id="112"/>
      </w:r>
      <w:r w:rsidRPr="00415B3E">
        <w:rPr>
          <w:rFonts w:asciiTheme="minorBidi" w:hAnsiTheme="minorBidi"/>
          <w:sz w:val="22"/>
          <w:szCs w:val="22"/>
          <w:lang w:val="es-419"/>
        </w:rPr>
        <w:t xml:space="preserve"> una relacionada con el aumento del suministro de agua con energías renovables en un complejo recreativo y otras dos relacionadas con el aumento del suministro de agua en un orfanato y en un internado.</w:t>
      </w:r>
    </w:p>
    <w:p w14:paraId="517FDF40"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Las primeras fases de un nuevo Proyecto de Aceleración en la India, titulado </w:t>
      </w:r>
      <w:r w:rsidRPr="00415B3E">
        <w:rPr>
          <w:rFonts w:asciiTheme="minorBidi" w:hAnsiTheme="minorBidi"/>
          <w:i/>
          <w:sz w:val="22"/>
          <w:szCs w:val="22"/>
          <w:lang w:val="es-419"/>
        </w:rPr>
        <w:t>Acelerar la producción de alimentos neutrales en carbono</w:t>
      </w:r>
      <w:r w:rsidRPr="00415B3E">
        <w:rPr>
          <w:rFonts w:asciiTheme="minorBidi" w:hAnsiTheme="minorBidi"/>
          <w:sz w:val="22"/>
          <w:szCs w:val="22"/>
          <w:lang w:val="es-419"/>
        </w:rPr>
        <w:t xml:space="preserve"> y</w:t>
      </w:r>
      <w:r w:rsidRPr="00415B3E">
        <w:rPr>
          <w:rFonts w:asciiTheme="minorBidi" w:hAnsiTheme="minorBidi"/>
          <w:i/>
          <w:sz w:val="22"/>
          <w:szCs w:val="22"/>
          <w:lang w:val="es-419"/>
        </w:rPr>
        <w:t xml:space="preserve"> </w:t>
      </w:r>
      <w:r w:rsidRPr="00415B3E">
        <w:rPr>
          <w:rFonts w:asciiTheme="minorBidi" w:hAnsiTheme="minorBidi"/>
          <w:sz w:val="22"/>
          <w:szCs w:val="22"/>
          <w:lang w:val="es-419"/>
        </w:rPr>
        <w:t>financiado por Fondos Fiduciarios del Japón, empezaron a tomar forma en 2024. El objetivo del proyecto es movilizar nuevas tecnologías innovadoras que puedan apoyar prácticas de adaptación para una producción de alimentos neutral en carbono, con el fin de hacer frente a los retos medioambientales y climáticos del sector agrícola indio. Del mismo modo, a finales de 2024, se sentaron las bases para un nuevo Proyecto de Aceleración en la República Democrática Popular Lao, centrado en la adaptación al cambio climático dentro del sector cafetero. Se espera que los proyectos de India y la República Democrática Popular Lao continúen a lo largo de 2025.</w:t>
      </w:r>
    </w:p>
    <w:p w14:paraId="31A4816D" w14:textId="77777777" w:rsidR="00FD5CE0" w:rsidRPr="00415B3E" w:rsidRDefault="00FD5CE0" w:rsidP="00FD5CE0">
      <w:pPr>
        <w:pStyle w:val="ListParagraph"/>
        <w:numPr>
          <w:ilvl w:val="0"/>
          <w:numId w:val="13"/>
        </w:numPr>
        <w:shd w:val="clear" w:color="auto" w:fill="FFFFFF" w:themeFill="background1"/>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lastRenderedPageBreak/>
        <w:t>La iniciativa IPO GREEN</w:t>
      </w:r>
      <w:r w:rsidRPr="00415B3E">
        <w:rPr>
          <w:rStyle w:val="FootnoteReference"/>
          <w:rFonts w:asciiTheme="minorBidi" w:hAnsiTheme="minorBidi"/>
          <w:sz w:val="22"/>
          <w:szCs w:val="22"/>
          <w:lang w:val="es-419"/>
        </w:rPr>
        <w:footnoteReference w:id="113"/>
      </w:r>
      <w:r w:rsidRPr="00415B3E">
        <w:rPr>
          <w:rFonts w:asciiTheme="minorBidi" w:hAnsiTheme="minorBidi"/>
          <w:sz w:val="22"/>
          <w:szCs w:val="22"/>
          <w:lang w:val="es-419"/>
        </w:rPr>
        <w:t xml:space="preserve"> reúne a las </w:t>
      </w:r>
      <w:bookmarkStart w:id="28" w:name="_Hlk191128943"/>
      <w:r w:rsidRPr="00415B3E">
        <w:rPr>
          <w:rFonts w:asciiTheme="minorBidi" w:hAnsiTheme="minorBidi"/>
          <w:sz w:val="22"/>
          <w:szCs w:val="22"/>
          <w:lang w:val="es-419"/>
        </w:rPr>
        <w:t xml:space="preserve">Oficinas de Propiedad Intelectual (OPI) </w:t>
      </w:r>
      <w:bookmarkEnd w:id="28"/>
      <w:r w:rsidRPr="00415B3E">
        <w:rPr>
          <w:rFonts w:asciiTheme="minorBidi" w:hAnsiTheme="minorBidi"/>
          <w:sz w:val="22"/>
          <w:szCs w:val="22"/>
          <w:lang w:val="es-419"/>
        </w:rPr>
        <w:t>para que compartan sus experiencias y puntos de vista. Proporciona investigación y análisis sobre las actividades de OPI que contribuyen a estimular el desarrollo y la implantación de nuevas soluciones tecnológicas ecológicas. Dado que las OPI ya han puesto en marcha una amplia gama de políticas y programas para acelerar la transición ecológica, WIPO GREEN ha preparado unas notas conceptuales sobre los tipos de políticas que otras OPI podrían utilizar como referencia o inspiración. A finales de 2024, se habían realizado 18 webinarios en el marco de la serie de webinarios IPO Green</w:t>
      </w:r>
      <w:r w:rsidRPr="00415B3E">
        <w:rPr>
          <w:rStyle w:val="FootnoteReference"/>
          <w:rFonts w:asciiTheme="minorBidi" w:hAnsiTheme="minorBidi"/>
          <w:sz w:val="22"/>
          <w:szCs w:val="22"/>
          <w:lang w:val="es-419"/>
        </w:rPr>
        <w:footnoteReference w:id="114"/>
      </w:r>
      <w:r w:rsidRPr="00415B3E">
        <w:rPr>
          <w:rFonts w:asciiTheme="minorBidi" w:hAnsiTheme="minorBidi"/>
          <w:sz w:val="22"/>
          <w:szCs w:val="22"/>
          <w:lang w:val="es-419"/>
        </w:rPr>
        <w:t>, proporcionando una plataforma para que OPI de todo el mundo compartan sus experiencias y buenas prácticas en la aplicación de iniciativas relacionadas con la sostenibilidad.</w:t>
      </w:r>
    </w:p>
    <w:p w14:paraId="0F061103"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Fomentar el respeto por la PI</w:t>
      </w:r>
    </w:p>
    <w:p w14:paraId="76C74E78"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el transcurso de 2024, el Sector siguió dedicado a ayudar a los Estados miembros a establecer un entorno sostenible de respeto de la PI, teniendo debidamente en cuenta los intereses sociales más amplios y las preocupaciones orientadas al desarrollo, de conformidad con la recomendación 45 de la AD. Nueve</w:t>
      </w:r>
      <w:r w:rsidRPr="00415B3E">
        <w:rPr>
          <w:rStyle w:val="FootnoteReference"/>
          <w:rFonts w:asciiTheme="minorBidi" w:hAnsiTheme="minorBidi"/>
          <w:sz w:val="22"/>
          <w:szCs w:val="22"/>
          <w:lang w:val="es-419"/>
        </w:rPr>
        <w:footnoteReference w:id="115"/>
      </w:r>
      <w:r w:rsidRPr="00415B3E">
        <w:rPr>
          <w:rFonts w:asciiTheme="minorBidi" w:hAnsiTheme="minorBidi"/>
          <w:sz w:val="22"/>
          <w:szCs w:val="22"/>
          <w:lang w:val="es-419"/>
        </w:rPr>
        <w:t xml:space="preserve"> Estados miembros recibieron asistencia legislativa en el proceso de modificación o adopción de los marcos jurídicos pertinentes sobre el cumplimiento eficaz de la PI en consonancia con la Parte III del Acuerdo sobre los ADPIC. Se organizaron nueve</w:t>
      </w:r>
      <w:r w:rsidRPr="00415B3E">
        <w:rPr>
          <w:rStyle w:val="FootnoteReference"/>
          <w:rFonts w:asciiTheme="minorBidi" w:hAnsiTheme="minorBidi"/>
          <w:sz w:val="22"/>
          <w:szCs w:val="22"/>
          <w:lang w:val="es-419"/>
        </w:rPr>
        <w:footnoteReference w:id="116"/>
      </w:r>
      <w:r w:rsidRPr="00415B3E">
        <w:rPr>
          <w:rFonts w:asciiTheme="minorBidi" w:hAnsiTheme="minorBidi"/>
          <w:sz w:val="22"/>
          <w:szCs w:val="22"/>
          <w:lang w:val="es-419"/>
        </w:rPr>
        <w:t xml:space="preserve"> actividades de fortalecimiento de capacidades y formación, ya sea en línea o en formato híbrido, para tratar temas relacionados con el cumplimiento de la PI y el fomento del respeto por la PI a escala nacional, subregional o regional.</w:t>
      </w:r>
      <w:r w:rsidRPr="00415B3E">
        <w:rPr>
          <w:rStyle w:val="FootnoteReference"/>
          <w:rFonts w:asciiTheme="minorBidi" w:hAnsiTheme="minorBidi"/>
          <w:sz w:val="22"/>
          <w:szCs w:val="22"/>
          <w:lang w:val="es-419"/>
        </w:rPr>
        <w:footnoteReference w:id="117"/>
      </w:r>
      <w:r w:rsidRPr="00415B3E">
        <w:rPr>
          <w:rFonts w:asciiTheme="minorBidi" w:hAnsiTheme="minorBidi"/>
          <w:sz w:val="22"/>
          <w:szCs w:val="22"/>
          <w:lang w:val="es-419"/>
        </w:rPr>
        <w:t xml:space="preserve"> La estrecha colaboración con organizaciones intergubernamentales, ONG y Estados miembros para reforzar los esfuerzos internacionales destinados a aumentar las capacidades de observancia de la PI y fomentar el respeto por la PI siguió siendo una parte fundamental de las iniciativas del Sector. En este sentido, el Sector organizó el 5 de noviembre de 2024 la </w:t>
      </w:r>
      <w:r w:rsidRPr="00415B3E">
        <w:rPr>
          <w:rFonts w:asciiTheme="minorBidi" w:hAnsiTheme="minorBidi"/>
          <w:i/>
          <w:iCs/>
          <w:sz w:val="22"/>
          <w:szCs w:val="22"/>
          <w:lang w:val="es-419"/>
        </w:rPr>
        <w:t>Reunión de coordinación con las asociaciones del sector privado sobre observancia de la PI</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118"/>
      </w:r>
      <w:r w:rsidRPr="00415B3E">
        <w:rPr>
          <w:rFonts w:asciiTheme="minorBidi" w:hAnsiTheme="minorBidi"/>
          <w:sz w:val="22"/>
          <w:szCs w:val="22"/>
          <w:lang w:val="es-419"/>
        </w:rPr>
        <w:t xml:space="preserve"> que se celebra cada año. En la reunión participaron 15 organismos de protección de la PI que trabajan en el ámbito de la observancia de la PI y el fomento del respeto por la misma, para compartir información actualizada sobre sus esfuerzos contra la falsificación y la piratería, y debatir ideas para una posible colaboración. Además, el Sector siguió reforzando sus esfuerzos de divulgación y sensibilización. Concretamente, el proyecto Clubes de PI de la OMPI y ARIPO se amplió en 2024, llegando a más de 300 estudiantes y 30 profesores en 15 escuelas de Liberia, Malawi y Zimbabwe; Liberia participó por primera vez. Se está preparando la ampliación del proyecto a otros cinco países en 2025. Además, se completó con éxito la Fase II de la prueba de utilización del Manual de la OMPI para la realización de encuestas entre los consumidores en Filipinas, consistente en una campaña de sensibilización sobre la importancia de respetar el derecho de autor. Se ideó a partir de los resultados de la encuesta de consumidores (Fase I). Además, en 2024 se lanzó la versión en árabe del juego IP Challenge,</w:t>
      </w:r>
      <w:r w:rsidRPr="00415B3E">
        <w:rPr>
          <w:rStyle w:val="FootnoteReference"/>
          <w:rFonts w:asciiTheme="minorBidi" w:hAnsiTheme="minorBidi"/>
          <w:sz w:val="22"/>
          <w:szCs w:val="22"/>
          <w:lang w:val="es-419"/>
        </w:rPr>
        <w:footnoteReference w:id="119"/>
      </w:r>
      <w:r w:rsidRPr="00415B3E">
        <w:rPr>
          <w:rFonts w:asciiTheme="minorBidi" w:hAnsiTheme="minorBidi"/>
          <w:sz w:val="22"/>
          <w:szCs w:val="22"/>
          <w:lang w:val="es-419"/>
        </w:rPr>
        <w:t xml:space="preserve"> con lo que el número total de versiones en distintos idiomas asciende a siete.</w:t>
      </w:r>
    </w:p>
    <w:p w14:paraId="571A3C24"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Conocimientos tradicionales</w:t>
      </w:r>
    </w:p>
    <w:p w14:paraId="2482164F"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Durante el año objeto del informe, el Sector continuó suministrando información neutral y basada en la demanda para ayudar a elaborar y aplicar políticas y legislación, a escala </w:t>
      </w:r>
      <w:r w:rsidRPr="00415B3E">
        <w:rPr>
          <w:rFonts w:asciiTheme="minorBidi" w:hAnsiTheme="minorBidi"/>
          <w:sz w:val="22"/>
          <w:szCs w:val="22"/>
          <w:lang w:val="es-419"/>
        </w:rPr>
        <w:lastRenderedPageBreak/>
        <w:t xml:space="preserve">nacional y regional, en materia recursos genéticos (RR.GG.), conocimientos tradicionales (CC.TT.) y expresiones culturales tradicionales (ECT). Concretamente, tras la adopción del </w:t>
      </w:r>
      <w:r w:rsidRPr="00415B3E">
        <w:rPr>
          <w:rFonts w:asciiTheme="minorBidi" w:hAnsiTheme="minorBidi"/>
          <w:i/>
          <w:iCs/>
          <w:sz w:val="22"/>
          <w:szCs w:val="22"/>
          <w:lang w:val="es-419"/>
        </w:rPr>
        <w:t>Tratado de la OMPI sobre la Propiedad Intelectual, los Recursos Genéticos y los Conocimientos Tradicionales Asociados</w:t>
      </w:r>
      <w:r w:rsidRPr="00415B3E">
        <w:rPr>
          <w:rFonts w:asciiTheme="minorBidi" w:hAnsiTheme="minorBidi"/>
          <w:sz w:val="22"/>
          <w:szCs w:val="22"/>
          <w:lang w:val="es-419"/>
        </w:rPr>
        <w:t xml:space="preserve"> en mayo de 2024. Además, el Sector siguió apoyando a los pueblos indígenas, las comunidades locales y los organismos gubernamentales mediante la creación de capacidades y la sensibilización, al tiempo que reforzaba los diálogos y procesos políticos nacionales. Ejemplos de estas iniciativas son el </w:t>
      </w:r>
      <w:r w:rsidRPr="00415B3E">
        <w:rPr>
          <w:rFonts w:asciiTheme="minorBidi" w:hAnsiTheme="minorBidi"/>
          <w:i/>
          <w:sz w:val="22"/>
          <w:szCs w:val="22"/>
          <w:lang w:val="es-419"/>
        </w:rPr>
        <w:t>Premio de Fotografía de la OMPI para Jóvenes Indígenas</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120"/>
      </w:r>
      <w:r w:rsidRPr="00415B3E">
        <w:rPr>
          <w:rFonts w:asciiTheme="minorBidi" w:hAnsiTheme="minorBidi"/>
          <w:sz w:val="22"/>
          <w:szCs w:val="22"/>
          <w:lang w:val="es-419"/>
        </w:rPr>
        <w:t xml:space="preserve"> sobre el tema de </w:t>
      </w:r>
      <w:r w:rsidRPr="00415B3E">
        <w:rPr>
          <w:rFonts w:asciiTheme="minorBidi" w:hAnsiTheme="minorBidi"/>
          <w:i/>
          <w:sz w:val="22"/>
          <w:szCs w:val="22"/>
          <w:lang w:val="es-419"/>
        </w:rPr>
        <w:t>“Modos de sanación y bienestar en los Pueblos Indígenas: honrar la sabiduría y los conocimientos de nuestros ancestros”</w:t>
      </w:r>
      <w:r w:rsidRPr="00415B3E">
        <w:rPr>
          <w:rFonts w:asciiTheme="minorBidi" w:hAnsiTheme="minorBidi"/>
          <w:sz w:val="22"/>
          <w:szCs w:val="22"/>
          <w:lang w:val="es-419"/>
        </w:rPr>
        <w:t xml:space="preserve">. El anuncio oficial de los tres ganadores -jóvenes fotógrafos de Colombia, Ghana y Guatemala- tuvo lugar en una ceremonia de entrega de premios celebrada en la sede de la OMPI en diciembre de 2024. En el acto también se presentó una hermosa exposición fotográfica con las 15 obras finalistas. Además, el Sector organizó el </w:t>
      </w:r>
      <w:r w:rsidRPr="00415B3E">
        <w:rPr>
          <w:rFonts w:asciiTheme="minorBidi" w:hAnsiTheme="minorBidi"/>
          <w:i/>
          <w:sz w:val="22"/>
          <w:szCs w:val="22"/>
          <w:lang w:val="es-419"/>
        </w:rPr>
        <w:t>Programa de la OMPI de formación, mentoría y establecimiento de contactos en materia de PI para empresarias de Pueblos Indígenas y comunidades locales</w:t>
      </w:r>
      <w:r w:rsidRPr="00415B3E">
        <w:rPr>
          <w:rFonts w:asciiTheme="minorBidi" w:hAnsiTheme="minorBidi"/>
          <w:sz w:val="22"/>
          <w:szCs w:val="22"/>
          <w:lang w:val="es-419"/>
        </w:rPr>
        <w:t xml:space="preserve"> (el WEP)</w:t>
      </w:r>
      <w:r w:rsidRPr="00415B3E">
        <w:rPr>
          <w:rStyle w:val="FootnoteReference"/>
          <w:rFonts w:asciiTheme="minorBidi" w:hAnsiTheme="minorBidi"/>
          <w:sz w:val="22"/>
          <w:szCs w:val="22"/>
          <w:lang w:val="es-419"/>
        </w:rPr>
        <w:footnoteReference w:id="121"/>
      </w:r>
      <w:r w:rsidRPr="00415B3E">
        <w:rPr>
          <w:rFonts w:asciiTheme="minorBidi" w:hAnsiTheme="minorBidi"/>
          <w:sz w:val="22"/>
          <w:szCs w:val="22"/>
          <w:lang w:val="es-419"/>
        </w:rPr>
        <w:t xml:space="preserve">, cuyo objeto era asegurar que se brindara formación en materia de PI a empresarias de Pueblos Indígenas y comunidades locales. Además, el WEP de la región de Europa Central y los Estados Bálticos </w:t>
      </w:r>
      <w:r w:rsidRPr="00415B3E">
        <w:rPr>
          <w:rStyle w:val="FootnoteReference"/>
          <w:rFonts w:asciiTheme="minorBidi" w:hAnsiTheme="minorBidi"/>
          <w:sz w:val="22"/>
          <w:szCs w:val="22"/>
          <w:lang w:val="es-419"/>
        </w:rPr>
        <w:footnoteReference w:id="122"/>
      </w:r>
      <w:r w:rsidRPr="00415B3E">
        <w:rPr>
          <w:rFonts w:asciiTheme="minorBidi" w:hAnsiTheme="minorBidi"/>
          <w:sz w:val="22"/>
          <w:szCs w:val="22"/>
          <w:lang w:val="es-419"/>
        </w:rPr>
        <w:t xml:space="preserve"> concluyó a principios de 2024, y la fase de mentoría y establecimiento de contactos del tercer WEP mundial (WEP 3) continuó a lo largo de 2024. Tras un taller práctico exhaustivo sobre PI y conocimientos médicos tradicionales en 2023, el Sector ayudó a algunos países africanos a dar forma y poner en marcha proyectos nacionales sobre PI y conocimientos médicos tradicionales en 2024. También cabe destacar que en 2024, el Sector puso en marcha una </w:t>
      </w:r>
      <w:r w:rsidRPr="00415B3E">
        <w:rPr>
          <w:rFonts w:asciiTheme="minorBidi" w:hAnsiTheme="minorBidi"/>
          <w:i/>
          <w:sz w:val="22"/>
          <w:szCs w:val="22"/>
          <w:lang w:val="es-419"/>
        </w:rPr>
        <w:t>Exposición Virtual 360</w:t>
      </w:r>
      <w:r w:rsidRPr="00415B3E">
        <w:rPr>
          <w:rFonts w:asciiTheme="minorBidi" w:hAnsiTheme="minorBidi"/>
          <w:i/>
          <w:sz w:val="22"/>
          <w:szCs w:val="22"/>
          <w:vertAlign w:val="superscript"/>
          <w:lang w:val="es-419"/>
        </w:rPr>
        <w:t>0</w:t>
      </w:r>
      <w:r w:rsidRPr="00415B3E">
        <w:rPr>
          <w:rFonts w:asciiTheme="minorBidi" w:hAnsiTheme="minorBidi"/>
          <w:i/>
          <w:sz w:val="22"/>
          <w:szCs w:val="22"/>
          <w:lang w:val="es-419"/>
        </w:rPr>
        <w:t xml:space="preserve"> sobre Propiedad Intelectual y Conocimientos Tradicionales, Expresiones Culturales Tradicionales y Recursos Genéticos</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123"/>
      </w:r>
      <w:r w:rsidRPr="00415B3E">
        <w:rPr>
          <w:rFonts w:asciiTheme="minorBidi" w:hAnsiTheme="minorBidi"/>
          <w:sz w:val="22"/>
          <w:szCs w:val="22"/>
          <w:lang w:val="es-419"/>
        </w:rPr>
        <w:t xml:space="preserve"> con el objetivo de presentar una visión detallada de las principales oportunidades y desafíos a los que se enfrentan los Pueblos Indígenas y las comunidades locales a la hora de preservar y promover sus conocimientos tradicionales y expresiones culturales como PI.</w:t>
      </w:r>
    </w:p>
    <w:p w14:paraId="2D9E9763"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Órganos de la OMPI</w:t>
      </w:r>
    </w:p>
    <w:p w14:paraId="38227DC4"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Tras la decisión de los Estados miembros de la OMPI en julio de 2022, se acordó convocar, a más tardar en 2024, una Conferencia Diplomática para la Celebración de un Instrumento Jurídico Internacional relativo a la Propiedad Intelectual, los Recursos Genéticos y los Conocimientos Tradicionales Asociados a los Recursos Genéticos . En consecuencia, la Conferencia Diplomática se celebró debidamente del 13 al 24 de mayo de 2024, en la Sede de la OMPI. Por consenso, los Estados miembros adoptaron un nuevo e histórico</w:t>
      </w:r>
      <w:r w:rsidRPr="00415B3E">
        <w:rPr>
          <w:rFonts w:asciiTheme="minorBidi" w:hAnsiTheme="minorBidi"/>
          <w:i/>
          <w:iCs/>
          <w:sz w:val="22"/>
          <w:szCs w:val="22"/>
          <w:lang w:val="es-419"/>
        </w:rPr>
        <w:t xml:space="preserve"> Tratado de la OMPI sobre la Propiedad Intelectual, los Recursos Genéticos y los Conocimientos Tradicionales Asociados</w:t>
      </w:r>
      <w:r w:rsidRPr="00415B3E">
        <w:rPr>
          <w:rFonts w:asciiTheme="minorBidi" w:hAnsiTheme="minorBidi"/>
          <w:sz w:val="22"/>
          <w:szCs w:val="22"/>
          <w:lang w:val="es-419"/>
        </w:rPr>
        <w:t xml:space="preserve"> el 24 de mayo de 2024.</w:t>
      </w:r>
      <w:r w:rsidRPr="00415B3E">
        <w:rPr>
          <w:rStyle w:val="FootnoteReference"/>
          <w:rFonts w:asciiTheme="minorBidi" w:hAnsiTheme="minorBidi"/>
          <w:sz w:val="22"/>
          <w:szCs w:val="22"/>
          <w:lang w:val="es-419"/>
        </w:rPr>
        <w:footnoteReference w:id="124"/>
      </w:r>
      <w:r w:rsidRPr="00415B3E">
        <w:rPr>
          <w:rFonts w:asciiTheme="minorBidi" w:hAnsiTheme="minorBidi"/>
          <w:sz w:val="22"/>
          <w:szCs w:val="22"/>
          <w:lang w:val="es-419"/>
        </w:rPr>
        <w:t xml:space="preserve"> Es el primer Tratado de la OMPI que aborda la interacción entre la PI, los recursos genéticos y los conocimientos tradicionales y que incluye disposiciones específicas para los Pueblos Indígenas y las comunidades locales. El Tratado, una vez que entre en vigor con 15 Partes Contratantes, establecerá un requisito de divulgación obligatoria para los solicitantes de patentes, cuyas invenciones se basen en recursos genéticos o conocimientos tradicionales asociados. Los solicitantes deberán revelar el país de origen de los recursos genéticos o de los Pueblos Indígenas o comunidades locales que proporcionan los conocimientos tradicionales asociados.</w:t>
      </w:r>
    </w:p>
    <w:p w14:paraId="1E3FA903"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lastRenderedPageBreak/>
        <w:t>El Sector siguió apoyando el trabajo del Comité Intergubernamental sobre Propiedad Intelectual y Recursos Genéticos, Conocimientos Tradicionales y Folclore (CIG), que se reunió dos veces durante el año objeto del informe: en su cuadragésima octava sesión, celebrada el 29 de noviembre de 2024,</w:t>
      </w:r>
      <w:r w:rsidRPr="00415B3E">
        <w:rPr>
          <w:rStyle w:val="FootnoteReference"/>
          <w:rFonts w:asciiTheme="minorBidi" w:hAnsiTheme="minorBidi"/>
          <w:sz w:val="22"/>
          <w:szCs w:val="22"/>
          <w:lang w:val="es-419"/>
        </w:rPr>
        <w:footnoteReference w:id="125"/>
      </w:r>
      <w:r w:rsidRPr="00415B3E">
        <w:rPr>
          <w:rFonts w:asciiTheme="minorBidi" w:hAnsiTheme="minorBidi"/>
          <w:sz w:val="22"/>
          <w:szCs w:val="22"/>
          <w:lang w:val="es-419"/>
        </w:rPr>
        <w:t xml:space="preserve"> y en su cuadragésima novena sesión, celebrada del 2 al 6 de diciembre de 2024.</w:t>
      </w:r>
      <w:r w:rsidRPr="00415B3E">
        <w:rPr>
          <w:rStyle w:val="FootnoteReference"/>
          <w:rFonts w:asciiTheme="minorBidi" w:hAnsiTheme="minorBidi"/>
          <w:sz w:val="22"/>
          <w:szCs w:val="22"/>
          <w:lang w:val="es-419"/>
        </w:rPr>
        <w:footnoteReference w:id="126"/>
      </w:r>
      <w:r w:rsidRPr="00415B3E">
        <w:rPr>
          <w:rFonts w:asciiTheme="minorBidi" w:hAnsiTheme="minorBidi"/>
          <w:sz w:val="22"/>
          <w:szCs w:val="22"/>
          <w:lang w:val="es-419"/>
        </w:rPr>
        <w:t xml:space="preserve"> En la cuadragésima octava sesión, el Comité examinó los progresos realizados en materia de recursos genéticos y conocimientos tradicionales asociados a los recursos genéticos y tomó nota de la adopción del Tratado de la OMPI conexo. La cuadragésima novena sesión marcó la primera reunión del bienio 2024/25 y se centró en los conocimientos tradicionales y las expresiones culturales tradicionales.</w:t>
      </w:r>
    </w:p>
    <w:p w14:paraId="0B43A5A5"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Además, del 31 de enero al 2 de febrero de 2024 se celebró la decimosexta sesión del Comité Asesor sobre Observancia (ACE), en el marco de la recomendación 45 de la AD.</w:t>
      </w:r>
      <w:r w:rsidRPr="00415B3E">
        <w:rPr>
          <w:rStyle w:val="FootnoteReference"/>
          <w:rFonts w:asciiTheme="minorBidi" w:hAnsiTheme="minorBidi"/>
          <w:bCs/>
          <w:sz w:val="22"/>
          <w:szCs w:val="22"/>
          <w:lang w:val="es-419"/>
        </w:rPr>
        <w:footnoteReference w:id="127"/>
      </w:r>
      <w:r w:rsidRPr="00415B3E">
        <w:rPr>
          <w:rFonts w:asciiTheme="minorBidi" w:hAnsiTheme="minorBidi"/>
          <w:sz w:val="22"/>
          <w:szCs w:val="22"/>
          <w:lang w:val="es-419"/>
        </w:rPr>
        <w:t xml:space="preserve"> Dicha sesión del ACE se centró en</w:t>
      </w:r>
      <w:bookmarkStart w:id="29" w:name="_Hlk158716762"/>
      <w:r w:rsidRPr="00415B3E">
        <w:rPr>
          <w:rFonts w:asciiTheme="minorBidi" w:hAnsiTheme="minorBidi"/>
          <w:sz w:val="22"/>
          <w:szCs w:val="22"/>
          <w:lang w:val="es-419"/>
        </w:rPr>
        <w:t>: i) medidas contra la infracción de la propiedad intelectual en línea y fuera de línea; ii) retos y soluciones para las pymes en materia de observancia de la PI; iii) coordinación de la observancia de la PI; iv) IA y observancia de la PI; y v) la persecución de los delitos contra la PI</w:t>
      </w:r>
      <w:bookmarkEnd w:id="29"/>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128"/>
      </w:r>
      <w:r w:rsidRPr="00415B3E">
        <w:rPr>
          <w:rFonts w:asciiTheme="minorBidi" w:hAnsiTheme="minorBidi"/>
          <w:sz w:val="22"/>
          <w:szCs w:val="22"/>
          <w:lang w:val="es-419"/>
        </w:rPr>
        <w:t xml:space="preserve"> Asistieron a la sesión un total de 272 participantes, en representación de 87 Estados miembros, un Estado no miembro (la Unión Europea), 28 observadores, siete OIG, 21 ONG internacionales y 12 ponentes del mundo académico y del sector privado.</w:t>
      </w:r>
    </w:p>
    <w:p w14:paraId="3D365E58" w14:textId="77777777" w:rsidR="00FD5CE0" w:rsidRPr="00415B3E" w:rsidRDefault="00FD5CE0" w:rsidP="004A1B4D">
      <w:pPr>
        <w:pStyle w:val="Heading2"/>
        <w:rPr>
          <w:rFonts w:asciiTheme="minorBidi" w:hAnsiTheme="minorBidi" w:cstheme="minorBidi"/>
          <w:b/>
          <w:szCs w:val="22"/>
          <w:lang w:val="es-419"/>
        </w:rPr>
      </w:pPr>
      <w:r w:rsidRPr="00415B3E">
        <w:rPr>
          <w:rFonts w:asciiTheme="minorBidi" w:hAnsiTheme="minorBidi" w:cstheme="minorBidi"/>
          <w:szCs w:val="22"/>
          <w:lang w:val="es-419"/>
        </w:rPr>
        <w:t>Proyectos integrados de la AD</w:t>
      </w:r>
    </w:p>
    <w:p w14:paraId="69CE20AC"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La PI y políticas en materia de competencia:</w:t>
      </w:r>
      <w:r w:rsidRPr="00415B3E">
        <w:rPr>
          <w:rStyle w:val="FootnoteReference"/>
          <w:rFonts w:asciiTheme="minorBidi" w:hAnsiTheme="minorBidi"/>
          <w:sz w:val="22"/>
          <w:szCs w:val="22"/>
          <w:lang w:val="es-419"/>
        </w:rPr>
        <w:footnoteReference w:id="129"/>
      </w:r>
      <w:r w:rsidRPr="00415B3E">
        <w:rPr>
          <w:rFonts w:asciiTheme="minorBidi" w:hAnsiTheme="minorBidi"/>
          <w:sz w:val="22"/>
          <w:szCs w:val="22"/>
          <w:lang w:val="es-419"/>
        </w:rPr>
        <w:t xml:space="preserve"> La OMPI continuó reforzando su conexión con la Red Internacional de Competencia, contribuyendo a las deliberaciones sobre cuestiones de competencia relacionadas con la PI y aportando una perspectiva favorable a la competencia a los círculos de organismos encargados de la competencia. La OMPI también incrementó su colaboración con la Organización para la Cooperación y el Desarrollo Económicos (OCDE) y la UNCTAD. Durante el año objeto del informe, la OMPI participó en talleres dirigidos a las oficinas de PI y a los organismos nacionales de competencia para presentar cuestiones pertinentes y salvar las distancias entre esas entidades. Además, la OMPI prosiguió su labor sobre propiedad intelectual, competencia y sostenibilidad, así como sobre cuestiones relacionadas con la agricultura y la seguridad alimentaria.</w:t>
      </w:r>
      <w:r w:rsidRPr="00415B3E">
        <w:rPr>
          <w:rFonts w:asciiTheme="minorBidi" w:hAnsiTheme="minorBidi"/>
          <w:i/>
          <w:sz w:val="22"/>
          <w:szCs w:val="22"/>
          <w:lang w:val="es-419"/>
        </w:rPr>
        <w:t xml:space="preserve"> </w:t>
      </w:r>
      <w:r w:rsidRPr="00415B3E">
        <w:rPr>
          <w:rFonts w:asciiTheme="minorBidi" w:hAnsiTheme="minorBidi"/>
          <w:sz w:val="22"/>
          <w:szCs w:val="22"/>
          <w:lang w:val="es-419"/>
        </w:rPr>
        <w:t>La Organización finalizó el primer borrador del conjunto de la guía práctica sobre competencia desleal. También organizó programas y presentaciones nacionales y prestó asesoramiento legislativo en materia de competencia, incluida la competencia desleal y la PI, para varios países.</w:t>
      </w:r>
      <w:r w:rsidRPr="00415B3E">
        <w:rPr>
          <w:rStyle w:val="FootnoteReference"/>
          <w:rFonts w:asciiTheme="minorBidi" w:hAnsiTheme="minorBidi"/>
          <w:sz w:val="22"/>
          <w:szCs w:val="22"/>
          <w:lang w:val="es-419"/>
        </w:rPr>
        <w:footnoteReference w:id="130"/>
      </w:r>
    </w:p>
    <w:p w14:paraId="23C843FF" w14:textId="77777777" w:rsidR="00FD5CE0" w:rsidRPr="00415B3E" w:rsidRDefault="00FD5CE0" w:rsidP="004A1B4D">
      <w:pPr>
        <w:pStyle w:val="Heading2"/>
        <w:rPr>
          <w:rFonts w:asciiTheme="minorBidi" w:hAnsiTheme="minorBidi" w:cstheme="minorBidi"/>
          <w:b/>
          <w:szCs w:val="22"/>
          <w:lang w:val="es-419"/>
        </w:rPr>
      </w:pPr>
      <w:r w:rsidRPr="00415B3E">
        <w:rPr>
          <w:rFonts w:asciiTheme="minorBidi" w:hAnsiTheme="minorBidi" w:cstheme="minorBidi"/>
          <w:szCs w:val="22"/>
          <w:lang w:val="es-419"/>
        </w:rPr>
        <w:t>Proyectos de la AD en curso</w:t>
      </w:r>
    </w:p>
    <w:p w14:paraId="54E55B7C"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bookmarkStart w:id="30" w:name="_Hlk191301815"/>
      <w:r w:rsidRPr="00415B3E">
        <w:rPr>
          <w:rFonts w:asciiTheme="minorBidi" w:hAnsiTheme="minorBidi"/>
          <w:sz w:val="22"/>
          <w:szCs w:val="22"/>
          <w:lang w:val="es-419"/>
        </w:rPr>
        <w:t xml:space="preserve">El Sector ha estado a cargo </w:t>
      </w:r>
      <w:bookmarkEnd w:id="30"/>
      <w:r w:rsidRPr="00415B3E">
        <w:rPr>
          <w:rFonts w:asciiTheme="minorBidi" w:hAnsiTheme="minorBidi"/>
          <w:sz w:val="22"/>
          <w:szCs w:val="22"/>
          <w:lang w:val="es-419"/>
        </w:rPr>
        <w:t>de la ejecución de los siguientes proyectos de la AD en curso:</w:t>
      </w:r>
    </w:p>
    <w:p w14:paraId="7DF399AE" w14:textId="77777777" w:rsidR="00FD5CE0" w:rsidRPr="00415B3E" w:rsidRDefault="00FD5CE0" w:rsidP="00FD5CE0">
      <w:pPr>
        <w:pStyle w:val="BalloonText"/>
        <w:numPr>
          <w:ilvl w:val="0"/>
          <w:numId w:val="23"/>
        </w:numPr>
        <w:spacing w:after="240"/>
        <w:contextualSpacing/>
        <w:rPr>
          <w:rFonts w:asciiTheme="minorBidi" w:hAnsiTheme="minorBidi" w:cstheme="minorBidi"/>
          <w:sz w:val="22"/>
          <w:szCs w:val="22"/>
          <w:lang w:val="es-419"/>
        </w:rPr>
      </w:pPr>
      <w:r w:rsidRPr="00415B3E">
        <w:rPr>
          <w:rFonts w:asciiTheme="minorBidi" w:hAnsiTheme="minorBidi" w:cstheme="minorBidi"/>
          <w:i/>
          <w:sz w:val="22"/>
          <w:szCs w:val="22"/>
          <w:lang w:val="es-419"/>
        </w:rPr>
        <w:t xml:space="preserve">Elaboración de estrategias y herramientas para hacer frente a la piratería del derecho de autor en Internet en el mercado digital africano: </w:t>
      </w:r>
      <w:r w:rsidRPr="00415B3E">
        <w:rPr>
          <w:rFonts w:asciiTheme="minorBidi" w:hAnsiTheme="minorBidi" w:cstheme="minorBidi"/>
          <w:sz w:val="22"/>
          <w:szCs w:val="22"/>
          <w:lang w:val="es-419"/>
        </w:rPr>
        <w:t xml:space="preserve">aprobado en 2023 y puesto en marcha en 2024, este proyecto se está llevando a cabo en Ghana, Kenya, Nigeria y Sudáfrica. Para aprovechar al máximo las oportunidades que ofrecen los </w:t>
      </w:r>
      <w:r w:rsidRPr="00415B3E">
        <w:rPr>
          <w:rFonts w:asciiTheme="minorBidi" w:hAnsiTheme="minorBidi" w:cstheme="minorBidi"/>
          <w:sz w:val="22"/>
          <w:szCs w:val="22"/>
          <w:lang w:val="es-419"/>
        </w:rPr>
        <w:lastRenderedPageBreak/>
        <w:t>mercados digitales a las industrias culturales, el proyecto se propone desarrollar herramientas eficaces para combatir la prevalencia de la piratería en línea en estos mercados. El proyecto va por buen camino y se han llevado a cabo diversas actividades, entre ellas reuniones de consulta con los coordinadores nacionales y el desarrollo de planes de proyecto adaptados a cada país beneficiario.</w:t>
      </w:r>
    </w:p>
    <w:p w14:paraId="055BAF29" w14:textId="77777777" w:rsidR="00FD5CE0" w:rsidRPr="00415B3E" w:rsidRDefault="00FD5CE0" w:rsidP="004A1B4D">
      <w:pPr>
        <w:pStyle w:val="Heading1"/>
        <w:keepNext w:val="0"/>
        <w:numPr>
          <w:ilvl w:val="0"/>
          <w:numId w:val="25"/>
        </w:numPr>
        <w:spacing w:after="240"/>
        <w:ind w:left="0" w:firstLine="0"/>
        <w:rPr>
          <w:rFonts w:asciiTheme="minorBidi" w:hAnsiTheme="minorBidi" w:cstheme="minorBidi"/>
          <w:szCs w:val="22"/>
          <w:lang w:val="es-419"/>
        </w:rPr>
      </w:pPr>
      <w:bookmarkStart w:id="31" w:name="_Hlk187850578"/>
      <w:r w:rsidRPr="00415B3E">
        <w:rPr>
          <w:rFonts w:asciiTheme="minorBidi" w:hAnsiTheme="minorBidi" w:cstheme="minorBidi"/>
          <w:szCs w:val="22"/>
          <w:lang w:val="es-419"/>
        </w:rPr>
        <w:t>Sector de PI y Ecosistemas de Innovación</w:t>
      </w:r>
    </w:p>
    <w:p w14:paraId="295B709E"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de PI y Ecosistemas de Innovación mantuvo su compromiso de apoyar a los Estados miembros en el fomento de ecosistemas propicios en los que la propiedad intelectual y la innovación sean motores clave del crecimiento económico. El Sector siguió dando prioridad a la gestión y comercialización de la PI, ofreciendo instrumentos, recursos y plataformas adaptados a investigadores, innovadores y pymes. Sus esfuerzos se centraron en áreas críticas, como el análisis económico, los datos sobre PI e innovación, los servicios de solución de controversias en materia de PI, las estrategias nacionales de PI y la formación judicial para jueces de PI.</w:t>
      </w:r>
    </w:p>
    <w:p w14:paraId="33FC2422"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PI para empresas e innovadores</w:t>
      </w:r>
    </w:p>
    <w:p w14:paraId="6B02F1CF"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De acuerdo con la Recomendación 4 de la AD, se siguió haciendo especial hincapié en las necesidades de las microempresas y las pymes. En 2024, se puso en marcha la Plataforma de Instituciones de Apoyo a las pymes</w:t>
      </w:r>
      <w:r w:rsidRPr="00415B3E">
        <w:rPr>
          <w:rStyle w:val="FootnoteReference"/>
          <w:rFonts w:asciiTheme="minorBidi" w:hAnsiTheme="minorBidi"/>
          <w:sz w:val="22"/>
          <w:szCs w:val="22"/>
          <w:lang w:val="es-419"/>
        </w:rPr>
        <w:footnoteReference w:id="131"/>
      </w:r>
      <w:r w:rsidRPr="00415B3E">
        <w:rPr>
          <w:rFonts w:asciiTheme="minorBidi" w:hAnsiTheme="minorBidi"/>
          <w:sz w:val="22"/>
          <w:szCs w:val="22"/>
          <w:lang w:val="es-419"/>
        </w:rPr>
        <w:t xml:space="preserve"> en el sitio web de la OMPI, que permite a las pymes ponerse en contacto con una serie de proveedores de servicios empresariales, también en el ámbito de la PI. Actualmente, el directorio de la Plataforma contiene más de 500 aportaciones de 140 países. La Plataforma presenta herramientas y materiales elaborados por la OMPI sobre la PI al servicio de las empresas, algunos de los cuales están adaptados al contexto local específico de los Estados miembros. En cuanto a la herramienta de la OMPI de diagnóstico de PI</w:t>
      </w:r>
      <w:r w:rsidRPr="00415B3E">
        <w:rPr>
          <w:rStyle w:val="FootnoteReference"/>
          <w:rFonts w:asciiTheme="minorBidi" w:hAnsiTheme="minorBidi"/>
          <w:sz w:val="22"/>
          <w:szCs w:val="22"/>
          <w:lang w:val="es-419"/>
        </w:rPr>
        <w:footnoteReference w:id="132"/>
      </w:r>
      <w:r w:rsidRPr="00415B3E">
        <w:rPr>
          <w:rFonts w:asciiTheme="minorBidi" w:hAnsiTheme="minorBidi"/>
          <w:sz w:val="22"/>
          <w:szCs w:val="22"/>
          <w:lang w:val="es-419"/>
        </w:rPr>
        <w:t>, cabe destacar que siguió ayudando a las empresas a autoevaluar sus activos de PI. Para que la herramienta sea accesible a un público más amplio, se tradujo al bengalí, hindi, jemer, rumano, tailandés, tamil, urdu, uzbeko y vietnamita. También se adaptó a los contextos jurídico, normativo y procedimental de Egipto, Estonia, la Federación de Rusia, Hungría, y Lituania y se tradujo a las lenguas de esos países.</w:t>
      </w:r>
    </w:p>
    <w:p w14:paraId="6B037AA6" w14:textId="77777777" w:rsidR="00FD5CE0" w:rsidRPr="00415B3E" w:rsidRDefault="00FD5CE0" w:rsidP="004A1B4D">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En el marco del proyecto sobre </w:t>
      </w:r>
      <w:r w:rsidRPr="00415B3E">
        <w:rPr>
          <w:rFonts w:asciiTheme="minorBidi" w:hAnsiTheme="minorBidi"/>
          <w:i/>
          <w:sz w:val="22"/>
          <w:szCs w:val="22"/>
          <w:lang w:val="es-419"/>
        </w:rPr>
        <w:t>Promoción del uso del sistema de PI como fuente de financiación para emprendedores y mipymes en América Central y la República Dominicana</w:t>
      </w:r>
      <w:r w:rsidRPr="00415B3E">
        <w:rPr>
          <w:rFonts w:asciiTheme="minorBidi" w:hAnsiTheme="minorBidi"/>
          <w:sz w:val="22"/>
          <w:szCs w:val="22"/>
          <w:lang w:val="es-419"/>
        </w:rPr>
        <w:t>, se estaban desarrollando servicios especializados de apoyo a la PI en 25 instituciones de apoyo a las pymes en seis Estados miembros.</w:t>
      </w:r>
      <w:r w:rsidRPr="00415B3E">
        <w:rPr>
          <w:rStyle w:val="FootnoteReference"/>
          <w:rFonts w:asciiTheme="minorBidi" w:hAnsiTheme="minorBidi"/>
          <w:iCs/>
          <w:sz w:val="22"/>
          <w:szCs w:val="22"/>
          <w:lang w:val="es-419"/>
        </w:rPr>
        <w:footnoteReference w:id="133"/>
      </w:r>
      <w:r w:rsidRPr="00415B3E">
        <w:rPr>
          <w:rFonts w:asciiTheme="minorBidi" w:hAnsiTheme="minorBidi"/>
          <w:sz w:val="22"/>
          <w:szCs w:val="22"/>
          <w:lang w:val="es-419"/>
        </w:rPr>
        <w:t xml:space="preserve"> Se organizó un taller entre las pymes participantes y el personal formado de las instituciones de apoyo para enseñarles a utilizar la herramienta de la OMPI de diagnóstico de PI para identificar posibles activos de PI. Cada país recibió también material de la OMPI destinado a ayudar a las empresas en cuestiones de PI. En total, se dispone de 24 publicaciones “La PI para las empresas”, sobre marcas, patentes, derecho de autor y diseños industriales (cuatro por país), adaptadas al contexto jurídico y normativo de cada Estado miembro, junto con material de comunicación en redes sociales en formato de “potenciadores” para que las instituciones de apoyo a las pymes informen al público sobre la disponibilidad de apoyo en materia de PI a través de sus redes sociales. También, cabe destacar que se organizó y completó el programa de seminario sobre gestión de la PI para 300 pymes de 30 Estados miembros que trabajan en diversos sectores de la industria, tales como tecnologías ecológicas, tecnología agrícola de alimentos y bebidas, artesanía, comercio </w:t>
      </w:r>
      <w:r w:rsidRPr="00415B3E">
        <w:rPr>
          <w:rFonts w:asciiTheme="minorBidi" w:hAnsiTheme="minorBidi"/>
          <w:sz w:val="22"/>
          <w:szCs w:val="22"/>
          <w:lang w:val="es-419"/>
        </w:rPr>
        <w:lastRenderedPageBreak/>
        <w:t>electrónico, franquicia, fabricación, tecnología de la salud, biotecnología y tecnología médica, educación, agricultura y comercio y alimentos agrícolas.</w:t>
      </w:r>
    </w:p>
    <w:p w14:paraId="7F85143B"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consonancia con la recomendación 11 de la AD, el Programa de Asistencia a Inventores (PAI) continuó empoderando a los inventores y a las pequeñas empresas con pocos recursos a través del sistema de patentes, con miras a que puedan transformar sus ideas en activos. En 2024, el PAI se implantó en nueve Estados miembros,</w:t>
      </w:r>
      <w:r w:rsidRPr="00415B3E">
        <w:rPr>
          <w:rStyle w:val="FootnoteReference"/>
          <w:rFonts w:asciiTheme="minorBidi" w:hAnsiTheme="minorBidi"/>
          <w:sz w:val="22"/>
          <w:szCs w:val="22"/>
          <w:lang w:val="es-419"/>
        </w:rPr>
        <w:footnoteReference w:id="134"/>
      </w:r>
      <w:r w:rsidRPr="00415B3E">
        <w:rPr>
          <w:rFonts w:asciiTheme="minorBidi" w:hAnsiTheme="minorBidi"/>
          <w:sz w:val="22"/>
          <w:szCs w:val="22"/>
          <w:lang w:val="es-419"/>
        </w:rPr>
        <w:t xml:space="preserve"> donde otros 40 beneficiarios recibieron apoyo gratuito de profesionales de patentes experimentados para afrontar el proceso de obtención de patentes en sus propios países y determinadas jurisdicciones. Hasta la fecha, el PAI ha prestado apoyo a 236 inventores y pymes, lo que incluye la obtención de 63 patentes concedidas. En cuanto a la asistencia en materia de patentes, el Programa de formación en redacción de solicitudes de patente siguió desarrollando las capacidades prácticas de redacción de solicitudes de patente de los participantes, de los que se han beneficiado unos 1 450 desde 2016. El Programa Internacional de Formación en Redacción de Solicitudes de Patente se celebró en 2024, en cooperación con la Federación Internacional de Abogados de Propiedad Intelectual (FICPI). El programa de formación tiene como objetivo desarrollar las capacidades de los redactores de solicitudes de patente primerizos, al tiempo que crea una comunidad de apoyo para ayudar a estos profesionales a progresar durante ocho meses. La formación incluyó a 35 participantes de más de 30 países. Además, se organizaron tres talleres nacionales.</w:t>
      </w:r>
      <w:r w:rsidRPr="00415B3E">
        <w:rPr>
          <w:rStyle w:val="FootnoteReference"/>
          <w:rFonts w:asciiTheme="minorBidi" w:hAnsiTheme="minorBidi"/>
          <w:sz w:val="22"/>
          <w:szCs w:val="22"/>
          <w:lang w:val="es-419"/>
        </w:rPr>
        <w:footnoteReference w:id="135"/>
      </w:r>
    </w:p>
    <w:p w14:paraId="2F662B39"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En 2024, la Organización prosiguió sus esfuerzos para que la financiación de la PI pase de ser una corriente marginal a una práctica generalizada. Con este fin, la OMPI ha publicado la primera edición de la serie </w:t>
      </w:r>
      <w:r w:rsidRPr="00415B3E">
        <w:rPr>
          <w:rFonts w:asciiTheme="minorBidi" w:hAnsiTheme="minorBidi"/>
          <w:i/>
          <w:sz w:val="22"/>
          <w:szCs w:val="22"/>
          <w:lang w:val="es-419"/>
        </w:rPr>
        <w:t>La financiación de PI en la práctica: Obtener préstamos gracias a los activos de PI</w:t>
      </w:r>
      <w:r w:rsidRPr="00415B3E">
        <w:rPr>
          <w:rFonts w:asciiTheme="minorBidi" w:hAnsiTheme="minorBidi"/>
          <w:sz w:val="22"/>
          <w:szCs w:val="22"/>
          <w:lang w:val="es-419"/>
        </w:rPr>
        <w:t>,</w:t>
      </w:r>
      <w:r w:rsidRPr="00415B3E">
        <w:rPr>
          <w:rStyle w:val="FootnoteReference"/>
          <w:rFonts w:asciiTheme="minorBidi" w:hAnsiTheme="minorBidi"/>
          <w:sz w:val="22"/>
          <w:szCs w:val="22"/>
          <w:lang w:val="es-419"/>
        </w:rPr>
        <w:footnoteReference w:id="136"/>
      </w:r>
      <w:r w:rsidRPr="00415B3E">
        <w:rPr>
          <w:rFonts w:asciiTheme="minorBidi" w:hAnsiTheme="minorBidi"/>
          <w:sz w:val="22"/>
          <w:szCs w:val="22"/>
          <w:lang w:val="es-419"/>
        </w:rPr>
        <w:t xml:space="preserve"> que prepara a las empresas y a los titulares de derechos de PI para las conversaciones con los prestamistas y ofrece información sobre el proceso de concesión de préstamos. Junto con los Estados miembros de la ASEAN, la OMPI también publicó una guía práctica de valoración de la PI</w:t>
      </w:r>
      <w:r w:rsidRPr="00415B3E">
        <w:rPr>
          <w:rStyle w:val="FootnoteReference"/>
          <w:rFonts w:asciiTheme="minorBidi" w:eastAsia="Arial" w:hAnsiTheme="minorBidi"/>
          <w:sz w:val="22"/>
          <w:szCs w:val="22"/>
          <w:lang w:val="es-419"/>
        </w:rPr>
        <w:footnoteReference w:id="137"/>
      </w:r>
      <w:r w:rsidRPr="00415B3E">
        <w:rPr>
          <w:rFonts w:asciiTheme="minorBidi" w:hAnsiTheme="minorBidi"/>
          <w:sz w:val="22"/>
          <w:szCs w:val="22"/>
          <w:lang w:val="es-419"/>
        </w:rPr>
        <w:t xml:space="preserve"> para la región, sobre la base de entrevistas con más de 400 profesionales locales, especialistas financieros, gestores tecnológicos y empresas. Se celebraron tres seminarios nacionales de formación sobre valoración de la PI en Indonesia, Filipinas y Malasia, en los que participaron alrededor de 450 personas.</w:t>
      </w:r>
    </w:p>
    <w:p w14:paraId="7D94F30F"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mantuvo su compromiso de apoyar a los Estados miembros en la creación de Centros de Apoyo a la Tecnología y la Innovación (CATI), que facilitan el acceso a la información tecnológica contenida en documentos de patente, y publicaciones científicas y técnicas y proporciona asistencia y asesoramiento sobre la gestión y comercialización de la PI. El programa CATI respondió a más de 2,25 millones de consultas de investigadores, inventores y empresarios de todo el mundo, ayudándolos a proteger, gestionar y crear valor a partir de la PI de forma eficaz. A finales de 2024, se habían creado más de 1 600 CATI individuales en 93 países, 33 de ellos en PMA,</w:t>
      </w:r>
      <w:r w:rsidRPr="00415B3E">
        <w:rPr>
          <w:rStyle w:val="FootnoteReference"/>
          <w:rFonts w:asciiTheme="minorBidi" w:hAnsiTheme="minorBidi"/>
          <w:sz w:val="22"/>
          <w:szCs w:val="22"/>
          <w:lang w:val="es-419"/>
        </w:rPr>
        <w:footnoteReference w:id="138"/>
      </w:r>
      <w:r w:rsidRPr="00415B3E">
        <w:rPr>
          <w:rFonts w:asciiTheme="minorBidi" w:hAnsiTheme="minorBidi"/>
          <w:sz w:val="22"/>
          <w:szCs w:val="22"/>
          <w:lang w:val="es-419"/>
        </w:rPr>
        <w:t xml:space="preserve"> y se habían puesto en marcha cuatro redes regionales de CATI entre los Estados miembros de la ARIPO, la ASEAN, los países de América Central y la República Dominicana (CATI-CARD) y los países árabes, y se habían creado otras dos redes regionales de CATI para los Estados miembros de la OAPI y los países de Asia Central. La OMPI ha apoyado a los CATI en el desarrollo de la gama y la calidad de sus servicios mediante formación a medida, recursos especializados y la creación de redes a escala nacional, regional e internacional.</w:t>
      </w:r>
    </w:p>
    <w:p w14:paraId="563D7FFB" w14:textId="77777777" w:rsidR="00FD5CE0" w:rsidRPr="00415B3E" w:rsidRDefault="00FD5CE0" w:rsidP="00FD5CE0">
      <w:pPr>
        <w:pStyle w:val="ListParagraph"/>
        <w:numPr>
          <w:ilvl w:val="0"/>
          <w:numId w:val="13"/>
        </w:numPr>
        <w:spacing w:after="36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Además, en 2024, el Sector también publicó una guía de la OMPI titulada </w:t>
      </w:r>
      <w:r w:rsidRPr="00415B3E">
        <w:rPr>
          <w:rFonts w:asciiTheme="minorBidi" w:hAnsiTheme="minorBidi"/>
          <w:i/>
          <w:sz w:val="22"/>
          <w:szCs w:val="22"/>
          <w:lang w:val="es-419"/>
        </w:rPr>
        <w:t xml:space="preserve">Incentivos en la transferencia de tecnología: </w:t>
      </w:r>
      <w:r w:rsidRPr="00415B3E">
        <w:rPr>
          <w:rFonts w:asciiTheme="minorBidi" w:hAnsiTheme="minorBidi"/>
          <w:i/>
          <w:iCs/>
          <w:sz w:val="22"/>
          <w:szCs w:val="22"/>
          <w:lang w:val="es-419"/>
        </w:rPr>
        <w:t xml:space="preserve">Guía destinada a alentar, reconocer y recompensar a </w:t>
      </w:r>
      <w:r w:rsidRPr="00415B3E">
        <w:rPr>
          <w:rFonts w:asciiTheme="minorBidi" w:hAnsiTheme="minorBidi"/>
          <w:i/>
          <w:iCs/>
          <w:sz w:val="22"/>
          <w:szCs w:val="22"/>
          <w:lang w:val="es-419"/>
        </w:rPr>
        <w:lastRenderedPageBreak/>
        <w:t>investigadores y profesionales</w:t>
      </w:r>
      <w:r w:rsidRPr="00415B3E">
        <w:rPr>
          <w:rFonts w:asciiTheme="minorBidi" w:hAnsiTheme="minorBidi"/>
          <w:i/>
          <w:sz w:val="22"/>
          <w:szCs w:val="22"/>
          <w:lang w:val="es-419"/>
        </w:rPr>
        <w:t>,</w:t>
      </w:r>
      <w:r w:rsidRPr="00415B3E">
        <w:rPr>
          <w:rStyle w:val="FootnoteReference"/>
          <w:rFonts w:asciiTheme="minorBidi" w:eastAsia="Arial" w:hAnsiTheme="minorBidi"/>
          <w:sz w:val="22"/>
          <w:szCs w:val="22"/>
          <w:lang w:val="es-419"/>
        </w:rPr>
        <w:footnoteReference w:id="139"/>
      </w:r>
      <w:r w:rsidRPr="00415B3E">
        <w:rPr>
          <w:rFonts w:asciiTheme="minorBidi" w:hAnsiTheme="minorBidi"/>
          <w:sz w:val="22"/>
          <w:szCs w:val="22"/>
          <w:lang w:val="es-419"/>
        </w:rPr>
        <w:t xml:space="preserve"> cuyo objetivo es facilitar la transición de la investigación académica a la aplicación práctica. Destaca la importancia de ofrecer incentivos y apoyo a los investigadores y profesionales de la transferencia de tecnología para convertir los resultados de la investigación académica en soluciones tangibles.</w:t>
      </w:r>
    </w:p>
    <w:p w14:paraId="1063B201"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Economía y análisis de datos</w:t>
      </w:r>
    </w:p>
    <w:p w14:paraId="5BB08077" w14:textId="77777777" w:rsidR="00FD5CE0" w:rsidRPr="00415B3E" w:rsidRDefault="00FD5CE0" w:rsidP="00FD5CE0">
      <w:pPr>
        <w:pStyle w:val="ListParagraph"/>
        <w:numPr>
          <w:ilvl w:val="0"/>
          <w:numId w:val="13"/>
        </w:numPr>
        <w:spacing w:after="36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El Sector continuó preparando estudios relacionados con el desarrollo sobre la brecha de género en la PI y los núcleos de innovación y proporcionó datos de PI de alta calidad para ayudar a los encargados de formular políticas a tomar decisiones informadas. Durante el período cubierto por el informe, se trabajó sobre la brecha de género en PI: i) la preparación de un nuevo Estudio de Desarrollo sobre </w:t>
      </w:r>
      <w:r w:rsidRPr="00415B3E">
        <w:rPr>
          <w:rFonts w:asciiTheme="minorBidi" w:hAnsiTheme="minorBidi"/>
          <w:i/>
          <w:sz w:val="22"/>
          <w:szCs w:val="22"/>
          <w:lang w:val="es-419"/>
        </w:rPr>
        <w:t>La Brecha de Género en el ámbito de los Diseños en los Estados de Europa Central y el Báltico</w:t>
      </w:r>
      <w:r w:rsidRPr="00415B3E">
        <w:rPr>
          <w:rFonts w:asciiTheme="minorBidi" w:hAnsiTheme="minorBidi"/>
          <w:sz w:val="22"/>
          <w:szCs w:val="22"/>
          <w:lang w:val="es-419"/>
        </w:rPr>
        <w:t xml:space="preserve"> que se publicará en 2025</w:t>
      </w:r>
      <w:r w:rsidRPr="00415B3E">
        <w:rPr>
          <w:rFonts w:asciiTheme="minorBidi" w:hAnsiTheme="minorBidi"/>
          <w:i/>
          <w:sz w:val="22"/>
          <w:szCs w:val="22"/>
          <w:lang w:val="es-419"/>
        </w:rPr>
        <w:t>;</w:t>
      </w:r>
      <w:r w:rsidRPr="00415B3E">
        <w:rPr>
          <w:rFonts w:asciiTheme="minorBidi" w:hAnsiTheme="minorBidi"/>
          <w:sz w:val="22"/>
          <w:szCs w:val="22"/>
          <w:lang w:val="es-419"/>
        </w:rPr>
        <w:t xml:space="preserve"> ii) nuevas mejoras técnicas del Diccionario mundial de nombres de hombres y mujeres, de la OMPI;</w:t>
      </w:r>
      <w:r w:rsidRPr="00415B3E">
        <w:rPr>
          <w:rStyle w:val="FootnoteReference"/>
          <w:rFonts w:asciiTheme="minorBidi" w:hAnsiTheme="minorBidi"/>
          <w:bCs/>
          <w:sz w:val="22"/>
          <w:szCs w:val="22"/>
          <w:lang w:val="es-419"/>
        </w:rPr>
        <w:footnoteReference w:id="140"/>
      </w:r>
      <w:r w:rsidRPr="00415B3E">
        <w:rPr>
          <w:rFonts w:asciiTheme="minorBidi" w:hAnsiTheme="minorBidi"/>
          <w:sz w:val="22"/>
          <w:szCs w:val="22"/>
          <w:lang w:val="es-419"/>
        </w:rPr>
        <w:t xml:space="preserve"> iii) apoyo técnico para la realización de dos reuniones de expertos en investigación de género;</w:t>
      </w:r>
      <w:r w:rsidRPr="00415B3E">
        <w:rPr>
          <w:rStyle w:val="FootnoteReference"/>
          <w:rFonts w:asciiTheme="minorBidi" w:hAnsiTheme="minorBidi"/>
          <w:bCs/>
          <w:sz w:val="22"/>
          <w:szCs w:val="22"/>
          <w:lang w:val="es-419"/>
        </w:rPr>
        <w:footnoteReference w:id="141"/>
      </w:r>
      <w:r w:rsidRPr="00415B3E">
        <w:rPr>
          <w:rFonts w:asciiTheme="minorBidi" w:hAnsiTheme="minorBidi"/>
          <w:sz w:val="22"/>
          <w:szCs w:val="22"/>
          <w:lang w:val="es-419"/>
        </w:rPr>
        <w:t xml:space="preserve"> y iv) la contratación de un nuevo becario de investigación de género. En cuanto a los núcleos de innovación, entre los logros más destacados de 2024 figuran los siguientes: i) la publicación de </w:t>
      </w:r>
      <w:r w:rsidRPr="00415B3E">
        <w:rPr>
          <w:rFonts w:asciiTheme="minorBidi" w:hAnsiTheme="minorBidi"/>
          <w:i/>
          <w:sz w:val="22"/>
          <w:szCs w:val="22"/>
          <w:lang w:val="es-419"/>
        </w:rPr>
        <w:t>La distribución geográfica desigual de la actividad innovadora,</w:t>
      </w:r>
      <w:r w:rsidRPr="00415B3E">
        <w:rPr>
          <w:rStyle w:val="FootnoteReference"/>
          <w:rFonts w:asciiTheme="minorBidi" w:hAnsiTheme="minorBidi"/>
          <w:bCs/>
          <w:sz w:val="22"/>
          <w:szCs w:val="22"/>
          <w:lang w:val="es-419"/>
        </w:rPr>
        <w:footnoteReference w:id="142"/>
      </w:r>
      <w:r w:rsidRPr="00415B3E">
        <w:rPr>
          <w:rFonts w:asciiTheme="minorBidi" w:hAnsiTheme="minorBidi"/>
          <w:sz w:val="22"/>
          <w:szCs w:val="22"/>
          <w:lang w:val="es-419"/>
        </w:rPr>
        <w:t xml:space="preserve"> y ii) la preparación de una publicación sobre la </w:t>
      </w:r>
      <w:r w:rsidRPr="00415B3E">
        <w:rPr>
          <w:rFonts w:asciiTheme="minorBidi" w:hAnsiTheme="minorBidi"/>
          <w:i/>
          <w:sz w:val="22"/>
          <w:szCs w:val="22"/>
          <w:lang w:val="es-419"/>
        </w:rPr>
        <w:t>Red Global de Innovación Local</w:t>
      </w:r>
      <w:r w:rsidRPr="00415B3E">
        <w:rPr>
          <w:rFonts w:asciiTheme="minorBidi" w:hAnsiTheme="minorBidi"/>
          <w:sz w:val="22"/>
          <w:szCs w:val="22"/>
          <w:lang w:val="es-419"/>
        </w:rPr>
        <w:t xml:space="preserve"> que se publicará en los próximos años. El Sector también siguió trabajando en el Índice Mundial de Innovación (el Índice), prestando una amplia asistencia técnica destinada a i) mejorar la disponibilidad de datos sobre innovación, ii) evaluar los resultados de las economías en materia de innovación, y iii) ofrecer aportaciones basadas en el Índice para las políticas de innovación y PI. Una encuesta realizada en 2024 mostró que el 77 % de los Estados miembros de la OMPI utilizaban el Índice para mejorar los ecosistemas y parámetros de innovación, y como referencia para las políticas nacionales de innovación en todas las regiones del mundo. En total, se celebraron más de 65 reuniones en línea o presenciales con este propósito en 2024.</w:t>
      </w:r>
    </w:p>
    <w:p w14:paraId="1D3D4699"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Instituto Judicial de la OMPI</w:t>
      </w:r>
    </w:p>
    <w:p w14:paraId="52CA2E9A"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Instituto Judicial de la OMPI continuó brindando apoyo a las autoridades judiciales de países en desarrollo y PMA a fin de que cumplan con su papel vital en la resolución eficaz de controversias de PI. El intercambio de experiencias y buenas prácticas entre jueces se facilitó mediante: i) el Foro de la OMPI para Jueces de PI,</w:t>
      </w:r>
      <w:r w:rsidRPr="00415B3E">
        <w:rPr>
          <w:rStyle w:val="FootnoteReference"/>
          <w:rFonts w:asciiTheme="minorBidi" w:hAnsiTheme="minorBidi"/>
          <w:sz w:val="22"/>
          <w:szCs w:val="22"/>
          <w:lang w:val="es-419"/>
        </w:rPr>
        <w:footnoteReference w:id="143"/>
      </w:r>
      <w:r w:rsidRPr="00415B3E">
        <w:rPr>
          <w:rFonts w:asciiTheme="minorBidi" w:hAnsiTheme="minorBidi"/>
          <w:sz w:val="22"/>
          <w:szCs w:val="22"/>
          <w:lang w:val="es-419"/>
        </w:rPr>
        <w:t xml:space="preserve"> que reunió, en formato híbrido, a más de 435 jueces de 101 países y seis tribunales regionales; ii) una Clase Magistral de la OMPI sobre resolución judicial de causas relativas a la PI, que promovió el intercambio judicial entre pares de experiencias relacionadas con patentes y novedades en materia de jurisprudencia, para 37 jueces de patentes experimentados de 20 jurisdicciones; iii) el Simposio Judicial Internacional sobre la PI,</w:t>
      </w:r>
      <w:r w:rsidRPr="00415B3E">
        <w:rPr>
          <w:rStyle w:val="FootnoteReference"/>
          <w:rFonts w:asciiTheme="minorBidi" w:hAnsiTheme="minorBidi"/>
          <w:sz w:val="22"/>
          <w:szCs w:val="22"/>
          <w:lang w:val="es-419"/>
        </w:rPr>
        <w:footnoteReference w:id="144"/>
      </w:r>
      <w:r w:rsidRPr="00415B3E">
        <w:rPr>
          <w:rFonts w:asciiTheme="minorBidi" w:hAnsiTheme="minorBidi"/>
          <w:sz w:val="22"/>
          <w:szCs w:val="22"/>
          <w:lang w:val="es-419"/>
        </w:rPr>
        <w:t xml:space="preserve"> que reunió a jueces y expertos de nueve jurisdicciones para debatir temas de vanguardia sobre resolución de causas judiciales relativas a la PI; y iv) una entrega de la serie Webinarios para jueces, que brindó la oportunidad de examinar casos emblemáticos y novedades en materia de licencias obligatorias. Más del 80 % de los jueces que participaron procedían de países en desarrollo y PMA. En colaboración estrecha con las autoridades judiciales y otras autoridades pertinentes y en consonancia con las recomendaciones de la AD, se continuó brindando apoyo mediante el fortalecimiento de capacidades a medida para </w:t>
      </w:r>
      <w:r w:rsidRPr="00415B3E">
        <w:rPr>
          <w:rFonts w:asciiTheme="minorBidi" w:hAnsiTheme="minorBidi"/>
          <w:sz w:val="22"/>
          <w:szCs w:val="22"/>
          <w:lang w:val="es-419"/>
        </w:rPr>
        <w:lastRenderedPageBreak/>
        <w:t>aumentar los conocimientos sobre la PI y las capacidades pertinentes de los jueces. En respuesta a las solicitudes recibidas, la OMPI ofreció respaldo a programas de formación judicial en cuatro Estados miembros.</w:t>
      </w:r>
      <w:r w:rsidRPr="00415B3E">
        <w:rPr>
          <w:rStyle w:val="FootnoteReference"/>
          <w:rFonts w:asciiTheme="minorBidi" w:hAnsiTheme="minorBidi"/>
          <w:sz w:val="22"/>
          <w:szCs w:val="22"/>
          <w:lang w:val="es-419"/>
        </w:rPr>
        <w:footnoteReference w:id="145"/>
      </w:r>
      <w:r w:rsidRPr="00415B3E">
        <w:rPr>
          <w:rFonts w:asciiTheme="minorBidi" w:hAnsiTheme="minorBidi"/>
          <w:sz w:val="22"/>
          <w:szCs w:val="22"/>
          <w:lang w:val="es-419"/>
        </w:rPr>
        <w:t xml:space="preserve"> Además, se impartió formación judicial regional en América Latina y la región del Báltico.</w:t>
      </w:r>
    </w:p>
    <w:p w14:paraId="316AADAD" w14:textId="77777777" w:rsidR="00FD5CE0" w:rsidRPr="00415B3E" w:rsidRDefault="00FD5CE0" w:rsidP="00FD5CE0">
      <w:pPr>
        <w:pStyle w:val="ListParagraph"/>
        <w:numPr>
          <w:ilvl w:val="0"/>
          <w:numId w:val="13"/>
        </w:numPr>
        <w:spacing w:after="360" w:line="240" w:lineRule="auto"/>
        <w:ind w:left="0" w:firstLine="0"/>
        <w:contextualSpacing w:val="0"/>
        <w:rPr>
          <w:rStyle w:val="null"/>
          <w:rFonts w:asciiTheme="minorBidi" w:hAnsiTheme="minorBidi"/>
          <w:sz w:val="22"/>
          <w:szCs w:val="22"/>
          <w:lang w:val="es-419"/>
        </w:rPr>
      </w:pPr>
      <w:r w:rsidRPr="00415B3E">
        <w:rPr>
          <w:rFonts w:asciiTheme="minorBidi" w:hAnsiTheme="minorBidi"/>
          <w:sz w:val="22"/>
          <w:szCs w:val="22"/>
          <w:lang w:val="es-419"/>
        </w:rPr>
        <w:t xml:space="preserve">Durante el período examinado, el Sector siguió </w:t>
      </w:r>
      <w:r w:rsidRPr="00415B3E">
        <w:rPr>
          <w:rStyle w:val="null"/>
          <w:rFonts w:asciiTheme="minorBidi" w:hAnsiTheme="minorBidi"/>
          <w:sz w:val="22"/>
          <w:szCs w:val="22"/>
          <w:lang w:val="es-419"/>
        </w:rPr>
        <w:t>mejorando la base de datos WIPO Lex.</w:t>
      </w:r>
      <w:r w:rsidRPr="00415B3E">
        <w:rPr>
          <w:rStyle w:val="FootnoteReference"/>
          <w:rFonts w:asciiTheme="minorBidi" w:hAnsiTheme="minorBidi"/>
          <w:sz w:val="22"/>
          <w:szCs w:val="22"/>
          <w:lang w:val="es-419"/>
        </w:rPr>
        <w:footnoteReference w:id="146"/>
      </w:r>
      <w:r w:rsidRPr="00415B3E">
        <w:rPr>
          <w:rStyle w:val="null"/>
          <w:rFonts w:asciiTheme="minorBidi" w:hAnsiTheme="minorBidi"/>
          <w:sz w:val="22"/>
          <w:szCs w:val="22"/>
          <w:lang w:val="es-419"/>
        </w:rPr>
        <w:t xml:space="preserve"> </w:t>
      </w:r>
      <w:r w:rsidRPr="00415B3E">
        <w:rPr>
          <w:rFonts w:asciiTheme="minorBidi" w:hAnsiTheme="minorBidi"/>
          <w:sz w:val="22"/>
          <w:szCs w:val="22"/>
          <w:lang w:val="es-419"/>
        </w:rPr>
        <w:t xml:space="preserve">Las colecciones de leyes, tratados y sentencias de WIPO Lex siguieron proporcionando la fuente más integral, fidedigna y confiable de información jurídica sobre PI disponible en Internet. En 2024, WIPO Lex añadirá 1 177 nuevas leyes de 101 jurisdicciones. La base de datos ahora contiene más de 19 000 leyes, que abarcan la legislación nacional de PI y relacionada con la PI de 202 jurisdicciones, así como 200 tratados en materia de PI, incluidos los 27 tratados administrados por la OMPI. La colección de </w:t>
      </w:r>
      <w:r w:rsidRPr="00415B3E">
        <w:rPr>
          <w:rStyle w:val="null"/>
          <w:rFonts w:asciiTheme="minorBidi" w:hAnsiTheme="minorBidi"/>
          <w:sz w:val="22"/>
          <w:szCs w:val="22"/>
          <w:lang w:val="es-419"/>
        </w:rPr>
        <w:t>sentencias de WIPO Lex ha aumentado su cobertura a 46 jurisdicciones.</w:t>
      </w:r>
      <w:r w:rsidRPr="00415B3E">
        <w:rPr>
          <w:rStyle w:val="FootnoteReference"/>
          <w:rFonts w:asciiTheme="minorBidi" w:hAnsiTheme="minorBidi"/>
          <w:sz w:val="22"/>
          <w:szCs w:val="22"/>
          <w:lang w:val="es-419"/>
        </w:rPr>
        <w:footnoteReference w:id="147"/>
      </w:r>
      <w:r w:rsidRPr="00415B3E">
        <w:rPr>
          <w:rStyle w:val="null"/>
          <w:rFonts w:asciiTheme="minorBidi" w:hAnsiTheme="minorBidi"/>
          <w:sz w:val="22"/>
          <w:szCs w:val="22"/>
          <w:lang w:val="es-419"/>
        </w:rPr>
        <w:t xml:space="preserve"> En 2024, WIPO Lex también puso en marcha la Colección de jurisprudencia sobre patentes esenciales para cumplir con las normas técnicas (PEN),</w:t>
      </w:r>
      <w:r w:rsidRPr="00415B3E">
        <w:rPr>
          <w:rStyle w:val="FootnoteReference"/>
          <w:rFonts w:asciiTheme="minorBidi" w:hAnsiTheme="minorBidi"/>
          <w:sz w:val="22"/>
          <w:szCs w:val="22"/>
          <w:lang w:val="es-419"/>
        </w:rPr>
        <w:footnoteReference w:id="148"/>
      </w:r>
      <w:r w:rsidRPr="00415B3E">
        <w:rPr>
          <w:rStyle w:val="null"/>
          <w:rFonts w:asciiTheme="minorBidi" w:hAnsiTheme="minorBidi"/>
          <w:sz w:val="22"/>
          <w:szCs w:val="22"/>
          <w:lang w:val="es-419"/>
        </w:rPr>
        <w:t xml:space="preserve"> que facilita el acceso a sentencias destacadas de todo el mundo en este ámbito.</w:t>
      </w:r>
    </w:p>
    <w:p w14:paraId="6495969E"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Centro de Arbitraje y Mediación de la OMPI</w:t>
      </w:r>
    </w:p>
    <w:p w14:paraId="59C02442" w14:textId="77777777" w:rsidR="00FD5CE0" w:rsidRPr="00415B3E" w:rsidRDefault="00FD5CE0" w:rsidP="00FD5CE0">
      <w:pPr>
        <w:pStyle w:val="ListParagraph"/>
        <w:numPr>
          <w:ilvl w:val="0"/>
          <w:numId w:val="13"/>
        </w:numPr>
        <w:spacing w:after="360" w:line="240" w:lineRule="auto"/>
        <w:ind w:left="0" w:firstLine="0"/>
        <w:contextualSpacing w:val="0"/>
        <w:rPr>
          <w:rFonts w:asciiTheme="minorBidi" w:hAnsiTheme="minorBidi"/>
          <w:i/>
          <w:iCs/>
          <w:sz w:val="22"/>
          <w:szCs w:val="22"/>
          <w:lang w:val="es-419"/>
        </w:rPr>
      </w:pPr>
      <w:r w:rsidRPr="00415B3E">
        <w:rPr>
          <w:rFonts w:asciiTheme="minorBidi" w:hAnsiTheme="minorBidi"/>
          <w:sz w:val="22"/>
          <w:szCs w:val="22"/>
          <w:lang w:val="es-419"/>
        </w:rPr>
        <w:t>El Centro de Arbitraje y Mediación de la OMPI siguió ofreciendo opciones de solución alternativa de controversias (ADR) rentables y rápidas, tales como la mediación, el arbitraje, el arbitraje acelerado y la decisión de expertos, para permitir a partes del sector privado resolver sus litigios comerciales nacionales o transfronterizos. Durante el período examinado, el Centro intervino en la resolución de casi 830 controversias, en las cuales, el 55 % de las partes representaban pymes, incluidos empresas emergentes, creadores e innovadores, muchos de los cuales provenían de países en desarrollo y PMA. Para sensibilizar sobre la ADR de controversias en materia de PI, se organizaron más de 60 sesiones de formación en línea, de las que formaron parte unos 5 300 participantes de países en desarrollo y PMA. El Centro también proporcionó apoyo de gestión de casos para la celebración en línea de reuniones de solución extrajudicial de controversias para Oficinas y tribunales de derecho de autor en países en desarrollo y PMA, particularmente en África y América Latina. Además, se continuaron celebrando sesiones de</w:t>
      </w:r>
      <w:r w:rsidRPr="00415B3E">
        <w:rPr>
          <w:rFonts w:asciiTheme="minorBidi" w:hAnsiTheme="minorBidi"/>
          <w:i/>
          <w:sz w:val="22"/>
          <w:szCs w:val="22"/>
          <w:lang w:val="es-419"/>
        </w:rPr>
        <w:t xml:space="preserve"> </w:t>
      </w:r>
      <w:r w:rsidRPr="00415B3E">
        <w:rPr>
          <w:rFonts w:asciiTheme="minorBidi" w:hAnsiTheme="minorBidi"/>
          <w:sz w:val="22"/>
          <w:szCs w:val="22"/>
          <w:lang w:val="es-419"/>
        </w:rPr>
        <w:t>orientación en línea personales para posibles usuarios de los servicios de ADR. Más de 70 sesiones fueron reservadas por usuarios de unos 30 países, principalmente de países en desarrollo y PMA. Finalmente, el grupo WIPO ADR Young, que ofrece un foro de creación de redes y de formación para profesionales jóvenes en las comunidades de PI y resolución de controversias,</w:t>
      </w:r>
      <w:r w:rsidRPr="00415B3E">
        <w:rPr>
          <w:rFonts w:asciiTheme="minorBidi" w:hAnsiTheme="minorBidi"/>
          <w:i/>
          <w:sz w:val="22"/>
          <w:szCs w:val="22"/>
          <w:lang w:val="es-419"/>
        </w:rPr>
        <w:t xml:space="preserve"> </w:t>
      </w:r>
      <w:r w:rsidRPr="00415B3E">
        <w:rPr>
          <w:rFonts w:asciiTheme="minorBidi" w:hAnsiTheme="minorBidi"/>
          <w:sz w:val="22"/>
          <w:szCs w:val="22"/>
          <w:lang w:val="es-419"/>
        </w:rPr>
        <w:t>se amplió a más de 1 700 miembros de aproximadamente 110 países.</w:t>
      </w:r>
      <w:r w:rsidRPr="00415B3E">
        <w:rPr>
          <w:rStyle w:val="FootnoteReference"/>
          <w:rFonts w:asciiTheme="minorBidi" w:hAnsiTheme="minorBidi"/>
          <w:iCs/>
          <w:sz w:val="22"/>
          <w:szCs w:val="22"/>
          <w:lang w:val="es-419"/>
        </w:rPr>
        <w:footnoteReference w:id="149"/>
      </w:r>
    </w:p>
    <w:p w14:paraId="3B3BD14B"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Proyectos integrados de la AD</w:t>
      </w:r>
    </w:p>
    <w:p w14:paraId="00D8F182"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A continuación, se encuentran las partes destacadas del trabajo relacionado con los proyectos integrados de la AD:</w:t>
      </w:r>
    </w:p>
    <w:p w14:paraId="1DB5B1BD" w14:textId="4CA3DDD4" w:rsidR="00FD5CE0" w:rsidRPr="00415B3E" w:rsidRDefault="00FD5CE0" w:rsidP="00FD5CE0">
      <w:pPr>
        <w:pStyle w:val="ListParagraph"/>
        <w:numPr>
          <w:ilvl w:val="0"/>
          <w:numId w:val="15"/>
        </w:numPr>
        <w:spacing w:after="240" w:line="240" w:lineRule="auto"/>
        <w:ind w:hanging="540"/>
        <w:contextualSpacing w:val="0"/>
        <w:rPr>
          <w:rFonts w:asciiTheme="minorBidi" w:hAnsiTheme="minorBidi"/>
          <w:bCs/>
          <w:i/>
          <w:sz w:val="22"/>
          <w:szCs w:val="22"/>
          <w:lang w:val="es-419"/>
        </w:rPr>
      </w:pPr>
      <w:bookmarkStart w:id="32" w:name="_Hlk188460694"/>
      <w:bookmarkStart w:id="33" w:name="_Hlk188460788"/>
      <w:r w:rsidRPr="00415B3E">
        <w:rPr>
          <w:rFonts w:asciiTheme="minorBidi" w:hAnsiTheme="minorBidi"/>
          <w:i/>
          <w:sz w:val="22"/>
          <w:szCs w:val="22"/>
          <w:lang w:val="es-419"/>
        </w:rPr>
        <w:t xml:space="preserve">Acceso a bases de datos especializadas y ayuda: </w:t>
      </w:r>
      <w:bookmarkEnd w:id="32"/>
      <w:r w:rsidRPr="00415B3E">
        <w:rPr>
          <w:rFonts w:asciiTheme="minorBidi" w:hAnsiTheme="minorBidi"/>
          <w:sz w:val="22"/>
          <w:szCs w:val="22"/>
          <w:lang w:val="es-419"/>
        </w:rPr>
        <w:t xml:space="preserve">se han incorporado actividades de formación y sensibilización sobre derechos de PI, información sobre patentes, estrategias y técnicas de búsqueda de patentes, y bases de datos de tecnología a las actividades regulares proporcionadas a los CATI y sus partes interesadas. Se promovió </w:t>
      </w:r>
      <w:r w:rsidRPr="00415B3E">
        <w:rPr>
          <w:rFonts w:asciiTheme="minorBidi" w:hAnsiTheme="minorBidi"/>
          <w:sz w:val="22"/>
          <w:szCs w:val="22"/>
          <w:lang w:val="es-419"/>
        </w:rPr>
        <w:lastRenderedPageBreak/>
        <w:t>el intercambio de experiencias y buenas prácticas entre los CATI por medio de cuatro</w:t>
      </w:r>
      <w:r w:rsidRPr="00415B3E">
        <w:rPr>
          <w:rStyle w:val="FootnoteReference"/>
          <w:rFonts w:asciiTheme="minorBidi" w:hAnsiTheme="minorBidi"/>
          <w:sz w:val="22"/>
          <w:szCs w:val="22"/>
          <w:lang w:val="es-419"/>
        </w:rPr>
        <w:footnoteReference w:id="150"/>
      </w:r>
      <w:r w:rsidRPr="00415B3E">
        <w:rPr>
          <w:rFonts w:asciiTheme="minorBidi" w:hAnsiTheme="minorBidi"/>
          <w:sz w:val="22"/>
          <w:szCs w:val="22"/>
          <w:lang w:val="es-419"/>
        </w:rPr>
        <w:t xml:space="preserve"> conferencias regionales, y por medio de la plataforma eTISC de intercambio de conocimientos,</w:t>
      </w:r>
      <w:r w:rsidR="00B026F2" w:rsidRPr="00415B3E">
        <w:rPr>
          <w:rStyle w:val="FootnoteReference"/>
          <w:rFonts w:asciiTheme="minorBidi" w:hAnsiTheme="minorBidi"/>
          <w:sz w:val="22"/>
          <w:szCs w:val="22"/>
          <w:lang w:val="es-419"/>
        </w:rPr>
        <w:t xml:space="preserve"> </w:t>
      </w:r>
      <w:r w:rsidR="00B026F2" w:rsidRPr="00415B3E">
        <w:rPr>
          <w:rStyle w:val="FootnoteReference"/>
          <w:rFonts w:asciiTheme="minorBidi" w:hAnsiTheme="minorBidi"/>
          <w:sz w:val="22"/>
          <w:szCs w:val="22"/>
          <w:lang w:val="es-419"/>
        </w:rPr>
        <w:footnoteReference w:id="151"/>
      </w:r>
      <w:r w:rsidR="00B026F2" w:rsidRPr="00415B3E">
        <w:rPr>
          <w:rFonts w:asciiTheme="minorBidi" w:hAnsiTheme="minorBidi"/>
          <w:sz w:val="22"/>
          <w:szCs w:val="22"/>
          <w:lang w:val="es-419"/>
        </w:rPr>
        <w:t xml:space="preserve"> </w:t>
      </w:r>
      <w:r w:rsidRPr="00415B3E">
        <w:rPr>
          <w:rFonts w:asciiTheme="minorBidi" w:hAnsiTheme="minorBidi"/>
          <w:sz w:val="22"/>
          <w:szCs w:val="22"/>
          <w:lang w:val="es-419"/>
        </w:rPr>
        <w:t>que tenía casi 1 300 miembros inscritos a fines de 2024. El número de informes sobre bases de datos de patentes,</w:t>
      </w:r>
      <w:r w:rsidRPr="00415B3E">
        <w:rPr>
          <w:rStyle w:val="FootnoteReference"/>
          <w:rFonts w:asciiTheme="minorBidi" w:hAnsiTheme="minorBidi"/>
          <w:sz w:val="22"/>
          <w:szCs w:val="22"/>
          <w:lang w:val="es-419"/>
        </w:rPr>
        <w:footnoteReference w:id="152"/>
      </w:r>
      <w:r w:rsidRPr="00415B3E">
        <w:rPr>
          <w:rFonts w:asciiTheme="minorBidi" w:hAnsiTheme="minorBidi"/>
          <w:sz w:val="22"/>
          <w:szCs w:val="22"/>
          <w:lang w:val="es-419"/>
        </w:rPr>
        <w:t xml:space="preserve"> en la plataforma WIPO INSPIRE,</w:t>
      </w:r>
      <w:r w:rsidRPr="00415B3E">
        <w:rPr>
          <w:rStyle w:val="FootnoteReference"/>
          <w:rFonts w:asciiTheme="minorBidi" w:hAnsiTheme="minorBidi"/>
          <w:sz w:val="22"/>
          <w:szCs w:val="22"/>
          <w:lang w:val="es-419"/>
        </w:rPr>
        <w:footnoteReference w:id="153"/>
      </w:r>
      <w:r w:rsidRPr="00415B3E">
        <w:rPr>
          <w:rFonts w:asciiTheme="minorBidi" w:hAnsiTheme="minorBidi"/>
          <w:sz w:val="22"/>
          <w:szCs w:val="22"/>
          <w:lang w:val="es-419"/>
        </w:rPr>
        <w:t xml:space="preserve"> aumentó a 50, contribuyendo aún más al cumplimiento de las recomendaciones 19, 30 y 31 de la AD. Al final de 2024, el Directorio de CATI incluía información de contacto e información sobre servicios proporcionados por 1 624 CATI. El sitio web de CATI</w:t>
      </w:r>
      <w:r w:rsidRPr="00415B3E">
        <w:rPr>
          <w:rStyle w:val="FootnoteReference"/>
          <w:rFonts w:asciiTheme="minorBidi" w:hAnsiTheme="minorBidi"/>
          <w:sz w:val="22"/>
          <w:szCs w:val="22"/>
          <w:lang w:val="es-419"/>
        </w:rPr>
        <w:footnoteReference w:id="154"/>
      </w:r>
      <w:r w:rsidRPr="00415B3E">
        <w:rPr>
          <w:rFonts w:asciiTheme="minorBidi" w:hAnsiTheme="minorBidi"/>
          <w:sz w:val="22"/>
          <w:szCs w:val="22"/>
          <w:lang w:val="es-419"/>
        </w:rPr>
        <w:t>, que proporciona acceso a información sobre varios recursos que apoyan el desarrollo de conocimiento y competencias, fue visitado por 92 766 usuarios únicos. Se extendió la plataforma de gestión de proyectos y rendimiento de los CATI</w:t>
      </w:r>
      <w:r w:rsidRPr="00415B3E">
        <w:rPr>
          <w:rStyle w:val="FootnoteReference"/>
          <w:rFonts w:asciiTheme="minorBidi" w:hAnsiTheme="minorBidi"/>
          <w:sz w:val="22"/>
          <w:szCs w:val="22"/>
          <w:lang w:val="es-419"/>
        </w:rPr>
        <w:footnoteReference w:id="155"/>
      </w:r>
      <w:r w:rsidRPr="00415B3E">
        <w:rPr>
          <w:rFonts w:asciiTheme="minorBidi" w:hAnsiTheme="minorBidi"/>
          <w:sz w:val="22"/>
          <w:szCs w:val="22"/>
          <w:lang w:val="es-419"/>
        </w:rPr>
        <w:t xml:space="preserve"> a otros países de CATI. Además, los programas de la OMPI de </w:t>
      </w:r>
      <w:r w:rsidRPr="00415B3E">
        <w:rPr>
          <w:rFonts w:asciiTheme="minorBidi" w:hAnsiTheme="minorBidi"/>
          <w:i/>
          <w:sz w:val="22"/>
          <w:szCs w:val="22"/>
          <w:lang w:val="es-419"/>
        </w:rPr>
        <w:t>acceso a la investigación para el desarrollo y la innovación (</w:t>
      </w:r>
      <w:r w:rsidRPr="00415B3E">
        <w:rPr>
          <w:rFonts w:asciiTheme="minorBidi" w:hAnsiTheme="minorBidi"/>
          <w:sz w:val="22"/>
          <w:szCs w:val="22"/>
          <w:lang w:val="es-419"/>
        </w:rPr>
        <w:t>ARDI</w:t>
      </w:r>
      <w:r w:rsidRPr="00415B3E">
        <w:rPr>
          <w:rFonts w:asciiTheme="minorBidi" w:hAnsiTheme="minorBidi"/>
          <w:i/>
          <w:sz w:val="22"/>
          <w:szCs w:val="22"/>
          <w:lang w:val="es-419"/>
        </w:rPr>
        <w:t>)</w:t>
      </w:r>
      <w:r w:rsidRPr="00415B3E">
        <w:rPr>
          <w:rFonts w:asciiTheme="minorBidi" w:hAnsiTheme="minorBidi"/>
          <w:sz w:val="22"/>
          <w:szCs w:val="22"/>
          <w:lang w:val="es-419"/>
        </w:rPr>
        <w:t xml:space="preserve"> y de </w:t>
      </w:r>
      <w:r w:rsidRPr="00415B3E">
        <w:rPr>
          <w:rFonts w:asciiTheme="minorBidi" w:hAnsiTheme="minorBidi"/>
          <w:i/>
          <w:sz w:val="22"/>
          <w:szCs w:val="22"/>
          <w:lang w:val="es-419"/>
        </w:rPr>
        <w:t xml:space="preserve">acceso a la información especializada sobre patentes </w:t>
      </w:r>
      <w:r w:rsidRPr="00415B3E">
        <w:rPr>
          <w:rFonts w:asciiTheme="minorBidi" w:hAnsiTheme="minorBidi"/>
          <w:sz w:val="22"/>
          <w:szCs w:val="22"/>
          <w:lang w:val="es-419"/>
        </w:rPr>
        <w:t>(ASPI) contribuyeron con el logro de la recomendación 8 de la AD. En 2024, el ARDI proporcionó acceso gratuito o a bajo costo a más de 50 000 contenidos académicos y revisados por profesionales homólogos, incluidos publicaciones, libros y otros recursos revisados por homólogos. El programa siguió siendo miembro de la alianza Research4Life (R4L), junto con programas administrados por la Organización Mundial de la Salud (OMS), la Organización de las Naciones Unidas para la Alimentación y la Agricultura (FAO), la Organización Internacional del Trabajo (OIT) y el Programa de las Naciones Unidas para el Medio Ambiente (PNUMA), cada uno de los cuales ofrecía contenido en sus respectivos campos especializados. R4L ofreció acceso a más de 230 000 recursos de los cinco programas asociados de organismos de la ONU a más de 11 900 instituciones registradas, que tenían acceso a cada uno de los programas de R4L. El programa ASPI proporcionó acceso gratuito o de bajo costo a servicios de bases de datos comerciales sobre patentes con nueve proveedores líderes que ofrecían, cada uno, herramientas avanzadas y sofisticadas para buscar y analizar la información técnica contenida en documentos de patentes. En 2024, había 96 instituciones que utilizaban activamente el ASPI.</w:t>
      </w:r>
    </w:p>
    <w:bookmarkEnd w:id="33"/>
    <w:p w14:paraId="5E706B43" w14:textId="3A9E71B4" w:rsidR="00FD5CE0" w:rsidRPr="00415B3E" w:rsidRDefault="00FD5CE0" w:rsidP="00FD5CE0">
      <w:pPr>
        <w:pStyle w:val="ListParagraph"/>
        <w:numPr>
          <w:ilvl w:val="0"/>
          <w:numId w:val="15"/>
        </w:numPr>
        <w:spacing w:after="240" w:line="240" w:lineRule="auto"/>
        <w:ind w:hanging="540"/>
        <w:contextualSpacing w:val="0"/>
        <w:rPr>
          <w:rFonts w:asciiTheme="minorBidi" w:hAnsiTheme="minorBidi"/>
          <w:sz w:val="22"/>
          <w:szCs w:val="22"/>
          <w:lang w:val="es-419"/>
        </w:rPr>
      </w:pPr>
      <w:r w:rsidRPr="00415B3E">
        <w:rPr>
          <w:rFonts w:asciiTheme="minorBidi" w:hAnsiTheme="minorBidi"/>
          <w:i/>
          <w:sz w:val="22"/>
          <w:szCs w:val="22"/>
          <w:lang w:val="es-419"/>
        </w:rPr>
        <w:t>Desarrollo de herramientas de acceso a la información sobre patentes</w:t>
      </w:r>
      <w:r w:rsidRPr="00415B3E">
        <w:rPr>
          <w:rFonts w:asciiTheme="minorBidi" w:hAnsiTheme="minorBidi"/>
          <w:sz w:val="22"/>
          <w:szCs w:val="22"/>
          <w:lang w:val="es-419"/>
        </w:rPr>
        <w:t>: el desarrollo del análisis de patentes y la redacción de informes sobre la actividad de patentamiento se inició en el marco de este proyecto, que responde a las recomendaciones 19, 30 y 31 de la AD. En este contexto, hasta la fecha se han encargado 21 informes sobre la actividad de patentamiento en materia de tecnologías –especialmente en los ámbitos de la salud, el cambio climático y el medio ambiente</w:t>
      </w:r>
      <w:r w:rsidRPr="00415B3E">
        <w:rPr>
          <w:rStyle w:val="FootnoteReference"/>
          <w:rFonts w:asciiTheme="minorBidi" w:hAnsiTheme="minorBidi"/>
          <w:sz w:val="22"/>
          <w:szCs w:val="22"/>
          <w:lang w:val="es-419"/>
        </w:rPr>
        <w:footnoteReference w:id="156"/>
      </w:r>
      <w:r w:rsidRPr="00415B3E">
        <w:rPr>
          <w:rFonts w:asciiTheme="minorBidi" w:hAnsiTheme="minorBidi"/>
          <w:sz w:val="22"/>
          <w:szCs w:val="22"/>
          <w:lang w:val="es-419"/>
        </w:rPr>
        <w:t>– mientras que en 2024 se publicaron informes sobre inteligencia artificial generativa, agroalimentación y los Objetivos de Desarrollo Sostenible (ODS).</w:t>
      </w:r>
      <w:r w:rsidRPr="00415B3E">
        <w:rPr>
          <w:rStyle w:val="FootnoteReference"/>
          <w:rFonts w:asciiTheme="minorBidi" w:hAnsiTheme="minorBidi"/>
          <w:sz w:val="22"/>
          <w:szCs w:val="22"/>
          <w:lang w:val="es-419"/>
        </w:rPr>
        <w:footnoteReference w:id="157"/>
      </w:r>
      <w:r w:rsidRPr="00415B3E">
        <w:rPr>
          <w:rFonts w:asciiTheme="minorBidi" w:hAnsiTheme="minorBidi"/>
          <w:sz w:val="22"/>
          <w:szCs w:val="22"/>
          <w:lang w:val="es-419"/>
        </w:rPr>
        <w:t xml:space="preserve"> Además, el sitio web de la OMPI aloja un compendio que enumera más de 250 informes, procedentes de otras organizaciones, sobre la actividad de patentamiento de diversas tecnologías. Se formalizaron directrices metodológicas para la preparación de dichos informes en la publicación de la OMPI </w:t>
      </w:r>
      <w:r w:rsidRPr="00415B3E">
        <w:rPr>
          <w:rFonts w:asciiTheme="minorBidi" w:hAnsiTheme="minorBidi"/>
          <w:i/>
          <w:iCs/>
          <w:sz w:val="22"/>
          <w:szCs w:val="22"/>
          <w:lang w:val="es-419"/>
        </w:rPr>
        <w:t>Directrices para la elaboración de informes sobre la actividad de patentamiento</w:t>
      </w:r>
      <w:r w:rsidRPr="00415B3E">
        <w:rPr>
          <w:rFonts w:asciiTheme="minorBidi" w:hAnsiTheme="minorBidi"/>
          <w:sz w:val="22"/>
          <w:szCs w:val="22"/>
          <w:lang w:val="es-419"/>
        </w:rPr>
        <w:t xml:space="preserve">, el </w:t>
      </w:r>
      <w:r w:rsidRPr="00415B3E">
        <w:rPr>
          <w:rFonts w:asciiTheme="minorBidi" w:hAnsiTheme="minorBidi"/>
          <w:i/>
          <w:iCs/>
          <w:sz w:val="22"/>
          <w:szCs w:val="22"/>
          <w:lang w:val="es-419"/>
        </w:rPr>
        <w:t>Manual de la OMPI sobre herramientas de fuente abierta para el análisis de patentes</w:t>
      </w:r>
      <w:r w:rsidRPr="00415B3E">
        <w:rPr>
          <w:rFonts w:asciiTheme="minorBidi" w:hAnsiTheme="minorBidi"/>
          <w:sz w:val="22"/>
          <w:szCs w:val="22"/>
          <w:lang w:val="es-419"/>
        </w:rPr>
        <w:t xml:space="preserve"> y el </w:t>
      </w:r>
      <w:r w:rsidRPr="00415B3E">
        <w:rPr>
          <w:rFonts w:asciiTheme="minorBidi" w:hAnsiTheme="minorBidi"/>
          <w:i/>
          <w:iCs/>
          <w:sz w:val="22"/>
          <w:szCs w:val="22"/>
          <w:lang w:val="es-419"/>
        </w:rPr>
        <w:t>Manual de análisis de patentes</w:t>
      </w:r>
      <w:r w:rsidRPr="00415B3E">
        <w:rPr>
          <w:rFonts w:asciiTheme="minorBidi" w:hAnsiTheme="minorBidi"/>
          <w:sz w:val="22"/>
          <w:szCs w:val="22"/>
          <w:lang w:val="es-419"/>
        </w:rPr>
        <w:t xml:space="preserve">. En esta línea, el tutorial electrónico sobre la </w:t>
      </w:r>
      <w:r w:rsidRPr="00415B3E">
        <w:rPr>
          <w:rFonts w:asciiTheme="minorBidi" w:hAnsiTheme="minorBidi"/>
          <w:sz w:val="22"/>
          <w:szCs w:val="22"/>
          <w:lang w:val="es-419"/>
        </w:rPr>
        <w:lastRenderedPageBreak/>
        <w:t>utilización de información sobre patentes se puso a disposición como curso de enseñanza a distancia de la Academia de la OMPI (DL-177).</w:t>
      </w:r>
      <w:r w:rsidRPr="00415B3E">
        <w:rPr>
          <w:rStyle w:val="FootnoteReference"/>
          <w:rFonts w:asciiTheme="minorBidi" w:hAnsiTheme="minorBidi"/>
          <w:sz w:val="22"/>
          <w:szCs w:val="22"/>
          <w:lang w:val="es-419"/>
        </w:rPr>
        <w:footnoteReference w:id="158"/>
      </w:r>
      <w:r w:rsidRPr="00415B3E">
        <w:rPr>
          <w:rFonts w:asciiTheme="minorBidi" w:hAnsiTheme="minorBidi"/>
          <w:sz w:val="22"/>
          <w:szCs w:val="22"/>
          <w:lang w:val="es-419"/>
        </w:rPr>
        <w:t xml:space="preserve"> Además, el Portal de Registros de Patentes</w:t>
      </w:r>
      <w:r w:rsidR="00B026F2" w:rsidRPr="00415B3E">
        <w:rPr>
          <w:rStyle w:val="FootnoteReference"/>
          <w:rFonts w:asciiTheme="minorBidi" w:hAnsiTheme="minorBidi"/>
          <w:sz w:val="22"/>
          <w:szCs w:val="22"/>
          <w:lang w:val="es-419"/>
        </w:rPr>
        <w:footnoteReference w:id="159"/>
      </w:r>
      <w:r w:rsidRPr="00415B3E">
        <w:rPr>
          <w:rFonts w:asciiTheme="minorBidi" w:hAnsiTheme="minorBidi"/>
          <w:sz w:val="22"/>
          <w:szCs w:val="22"/>
          <w:lang w:val="es-419"/>
        </w:rPr>
        <w:t xml:space="preserve"> proporcionó información sobre los registros de patentes en línea, las gacetas y la información relacionada con la situación jurídica de más de 200 jurisdicciones y colecciones de información contenida en patentes.</w:t>
      </w:r>
    </w:p>
    <w:p w14:paraId="19CFD93F" w14:textId="77777777" w:rsidR="00FD5CE0" w:rsidRPr="00415B3E" w:rsidRDefault="00FD5CE0" w:rsidP="00FD5CE0">
      <w:pPr>
        <w:pStyle w:val="ListParagraph"/>
        <w:numPr>
          <w:ilvl w:val="0"/>
          <w:numId w:val="15"/>
        </w:numPr>
        <w:spacing w:before="240" w:after="240" w:line="240" w:lineRule="auto"/>
        <w:ind w:hanging="540"/>
        <w:contextualSpacing w:val="0"/>
        <w:rPr>
          <w:rFonts w:asciiTheme="minorBidi" w:hAnsiTheme="minorBidi"/>
          <w:sz w:val="22"/>
          <w:szCs w:val="22"/>
          <w:lang w:val="es-419"/>
        </w:rPr>
      </w:pPr>
      <w:r w:rsidRPr="00415B3E">
        <w:rPr>
          <w:rFonts w:asciiTheme="minorBidi" w:hAnsiTheme="minorBidi"/>
          <w:i/>
          <w:sz w:val="22"/>
          <w:szCs w:val="22"/>
          <w:lang w:val="es-419"/>
        </w:rPr>
        <w:t>Uso de la información en el dominio público en favor de desarrollo económico</w:t>
      </w:r>
      <w:r w:rsidRPr="00415B3E">
        <w:rPr>
          <w:rFonts w:asciiTheme="minorBidi" w:hAnsiTheme="minorBidi"/>
          <w:sz w:val="22"/>
          <w:szCs w:val="22"/>
          <w:lang w:val="es-419"/>
        </w:rPr>
        <w:t>:</w:t>
      </w:r>
      <w:r w:rsidRPr="00415B3E">
        <w:rPr>
          <w:rFonts w:asciiTheme="minorBidi" w:hAnsiTheme="minorBidi"/>
          <w:i/>
          <w:sz w:val="22"/>
          <w:szCs w:val="22"/>
          <w:lang w:val="es-419"/>
        </w:rPr>
        <w:t xml:space="preserve"> </w:t>
      </w:r>
      <w:r w:rsidRPr="00415B3E">
        <w:rPr>
          <w:rFonts w:asciiTheme="minorBidi" w:hAnsiTheme="minorBidi"/>
          <w:sz w:val="22"/>
          <w:szCs w:val="22"/>
          <w:lang w:val="es-419"/>
        </w:rPr>
        <w:t>las guías prácticas de identificación</w:t>
      </w:r>
      <w:r w:rsidRPr="00415B3E">
        <w:rPr>
          <w:rStyle w:val="FootnoteReference"/>
          <w:rFonts w:asciiTheme="minorBidi" w:hAnsiTheme="minorBidi"/>
          <w:sz w:val="22"/>
          <w:szCs w:val="22"/>
          <w:lang w:val="es-419"/>
        </w:rPr>
        <w:footnoteReference w:id="160"/>
      </w:r>
      <w:r w:rsidRPr="00415B3E">
        <w:rPr>
          <w:rFonts w:asciiTheme="minorBidi" w:hAnsiTheme="minorBidi"/>
          <w:sz w:val="22"/>
          <w:szCs w:val="22"/>
          <w:lang w:val="es-419"/>
        </w:rPr>
        <w:t xml:space="preserve"> y utilización</w:t>
      </w:r>
      <w:r w:rsidRPr="00415B3E">
        <w:rPr>
          <w:rStyle w:val="FootnoteReference"/>
          <w:rFonts w:asciiTheme="minorBidi" w:hAnsiTheme="minorBidi"/>
          <w:sz w:val="22"/>
          <w:szCs w:val="22"/>
          <w:lang w:val="es-419"/>
        </w:rPr>
        <w:footnoteReference w:id="161"/>
      </w:r>
      <w:r w:rsidRPr="00415B3E">
        <w:rPr>
          <w:rFonts w:asciiTheme="minorBidi" w:hAnsiTheme="minorBidi"/>
          <w:sz w:val="22"/>
          <w:szCs w:val="22"/>
          <w:lang w:val="es-419"/>
        </w:rPr>
        <w:t xml:space="preserve"> de invenciones que están en el dominio público fueron consultadas y descargadas unas 27 000 veces en 2024. Las guías se complementaron en 2024 con la </w:t>
      </w:r>
      <w:r w:rsidRPr="00415B3E">
        <w:rPr>
          <w:rFonts w:asciiTheme="minorBidi" w:hAnsiTheme="minorBidi"/>
          <w:i/>
          <w:sz w:val="22"/>
          <w:szCs w:val="22"/>
          <w:lang w:val="es-419"/>
        </w:rPr>
        <w:t>Guía para el uso de invenciones que están en el dominio público</w:t>
      </w:r>
      <w:r w:rsidRPr="00415B3E">
        <w:rPr>
          <w:rFonts w:asciiTheme="minorBidi" w:hAnsiTheme="minorBidi"/>
          <w:sz w:val="22"/>
          <w:szCs w:val="22"/>
          <w:lang w:val="es-419"/>
        </w:rPr>
        <w:t>, que proporciona a investigadores, inventores, empresarios y CATI herramientas prácticas para perfeccionar nuevos conceptos de productos y servicios a partir de invenciones de dominio público y llevar estos conceptos al mercado.</w:t>
      </w:r>
    </w:p>
    <w:p w14:paraId="55CE1742" w14:textId="77777777" w:rsidR="00FD5CE0" w:rsidRPr="00415B3E" w:rsidRDefault="00FD5CE0" w:rsidP="00FD5CE0">
      <w:pPr>
        <w:numPr>
          <w:ilvl w:val="0"/>
          <w:numId w:val="15"/>
        </w:numPr>
        <w:spacing w:after="240"/>
        <w:ind w:hanging="578"/>
        <w:rPr>
          <w:rFonts w:asciiTheme="minorBidi" w:hAnsiTheme="minorBidi" w:cstheme="minorBidi"/>
          <w:szCs w:val="22"/>
          <w:lang w:val="es-419"/>
        </w:rPr>
      </w:pPr>
      <w:r w:rsidRPr="00415B3E">
        <w:rPr>
          <w:rFonts w:asciiTheme="minorBidi" w:hAnsiTheme="minorBidi" w:cstheme="minorBidi"/>
          <w:i/>
          <w:szCs w:val="22"/>
          <w:lang w:val="es-419"/>
        </w:rPr>
        <w:t>Gestión de la propiedad intelectual y transferencia de tecnología: fomentar el uso eficaz de la PI en los países en desarrollo, PMA y países con economías en transición</w:t>
      </w:r>
      <w:r w:rsidRPr="00415B3E">
        <w:rPr>
          <w:rFonts w:asciiTheme="minorBidi" w:hAnsiTheme="minorBidi" w:cstheme="minorBidi"/>
          <w:szCs w:val="22"/>
          <w:lang w:val="es-419"/>
        </w:rPr>
        <w:t>:</w:t>
      </w:r>
      <w:r w:rsidRPr="00415B3E">
        <w:rPr>
          <w:rFonts w:asciiTheme="minorBidi" w:hAnsiTheme="minorBidi" w:cstheme="minorBidi"/>
          <w:i/>
          <w:szCs w:val="22"/>
          <w:lang w:val="es-419"/>
        </w:rPr>
        <w:t xml:space="preserve"> </w:t>
      </w:r>
      <w:r w:rsidRPr="00415B3E">
        <w:rPr>
          <w:rFonts w:asciiTheme="minorBidi" w:hAnsiTheme="minorBidi" w:cstheme="minorBidi"/>
          <w:szCs w:val="22"/>
          <w:lang w:val="es-419"/>
        </w:rPr>
        <w:t>se elaboraron un manual y una guía práctica</w:t>
      </w:r>
      <w:r w:rsidRPr="00415B3E">
        <w:rPr>
          <w:rStyle w:val="FootnoteReference"/>
          <w:rFonts w:asciiTheme="minorBidi" w:hAnsiTheme="minorBidi" w:cstheme="minorBidi"/>
          <w:szCs w:val="22"/>
          <w:lang w:val="es-419"/>
        </w:rPr>
        <w:footnoteReference w:id="162"/>
      </w:r>
      <w:r w:rsidRPr="00415B3E">
        <w:rPr>
          <w:rFonts w:asciiTheme="minorBidi" w:hAnsiTheme="minorBidi" w:cstheme="minorBidi"/>
          <w:szCs w:val="22"/>
          <w:lang w:val="es-419"/>
        </w:rPr>
        <w:t xml:space="preserve"> para evaluar las necesidades de formación en ámbitos relacionados con la transferencia de tecnología, ayudando a elaborar un inventario de las cadenas de valor de la innovación –incluidos financiadores, creadores, gestores y usuarios de PI e instituciones de apoyo conexas, como los CATI– y las relaciones entre ellos, por orden: i) para identificar las brechas en capacidades y competencias; y ii) para diseñar programas de formación eficaces para personas e instituciones a escala nacional. Desde que se introdujo la guía práctica de evaluación de las necesidades de formación en Botswana en enero de 2022, otros países han expresado su interés por difundirla. Las conversaciones están en curso y se espera recibir formación adicional en un futuro próximo.</w:t>
      </w:r>
    </w:p>
    <w:p w14:paraId="5E5F22DB" w14:textId="77777777" w:rsidR="00FD5CE0" w:rsidRPr="00415B3E" w:rsidRDefault="00FD5CE0" w:rsidP="00FD5CE0">
      <w:pPr>
        <w:numPr>
          <w:ilvl w:val="0"/>
          <w:numId w:val="15"/>
        </w:numPr>
        <w:spacing w:after="240"/>
        <w:ind w:hanging="578"/>
        <w:rPr>
          <w:rFonts w:asciiTheme="minorBidi" w:hAnsiTheme="minorBidi" w:cstheme="minorBidi"/>
          <w:szCs w:val="22"/>
          <w:lang w:val="es-419"/>
        </w:rPr>
      </w:pPr>
      <w:r w:rsidRPr="00415B3E">
        <w:rPr>
          <w:rFonts w:asciiTheme="minorBidi" w:hAnsiTheme="minorBidi" w:cstheme="minorBidi"/>
          <w:i/>
          <w:szCs w:val="22"/>
          <w:lang w:val="es-419"/>
        </w:rPr>
        <w:t>PI y transferencia de tecnología: desafíos comunes y búsqueda de soluciones</w:t>
      </w:r>
      <w:r w:rsidRPr="00415B3E">
        <w:rPr>
          <w:rFonts w:asciiTheme="minorBidi" w:hAnsiTheme="minorBidi" w:cstheme="minorBidi"/>
          <w:szCs w:val="22"/>
          <w:lang w:val="es-419"/>
        </w:rPr>
        <w:t>:</w:t>
      </w:r>
      <w:r w:rsidRPr="00415B3E">
        <w:rPr>
          <w:rFonts w:asciiTheme="minorBidi" w:hAnsiTheme="minorBidi" w:cstheme="minorBidi"/>
          <w:i/>
          <w:szCs w:val="22"/>
          <w:lang w:val="es-419"/>
        </w:rPr>
        <w:t xml:space="preserve"> </w:t>
      </w:r>
      <w:r w:rsidRPr="00415B3E">
        <w:rPr>
          <w:rFonts w:asciiTheme="minorBidi" w:hAnsiTheme="minorBidi" w:cstheme="minorBidi"/>
          <w:szCs w:val="22"/>
          <w:lang w:val="es-419"/>
        </w:rPr>
        <w:t>La base de datos de la OMPI sobre políticas de PI incluye políticas, directrices, modelos y acuerdos de PI de unas 700 instituciones académicas y de investigación a escala mundial. Algunos de estos ejemplos incluyeron directrices o referencias a la cooperación Norte</w:t>
      </w:r>
      <w:r w:rsidRPr="00415B3E">
        <w:rPr>
          <w:rFonts w:asciiTheme="minorBidi" w:hAnsiTheme="minorBidi" w:cstheme="minorBidi"/>
          <w:szCs w:val="22"/>
          <w:lang w:val="es-419"/>
        </w:rPr>
        <w:noBreakHyphen/>
        <w:t xml:space="preserve">Sur y a la comercialización y transferencia responsables de los conocimientos. Además, los sitios web de la OMPI de transferencia de tecnología experimentaron un crecimiento sustancial, pasando de los 82 299 visitantes únicos en 2023 a 97 159 en 2024. El número de descargas también aumentó drásticamente -de 37 714 a 120 991, debido a la publicación de la </w:t>
      </w:r>
      <w:r w:rsidRPr="00415B3E">
        <w:rPr>
          <w:rFonts w:asciiTheme="minorBidi" w:hAnsiTheme="minorBidi" w:cstheme="minorBidi"/>
          <w:i/>
          <w:szCs w:val="22"/>
          <w:lang w:val="es-419"/>
        </w:rPr>
        <w:t>Guía sobre incentivos en la transferencia de tecnología,</w:t>
      </w:r>
      <w:r w:rsidRPr="00415B3E">
        <w:rPr>
          <w:rStyle w:val="FootnoteReference"/>
          <w:rFonts w:asciiTheme="minorBidi" w:hAnsiTheme="minorBidi" w:cstheme="minorBidi"/>
          <w:i/>
          <w:iCs/>
          <w:szCs w:val="22"/>
          <w:lang w:val="es-419"/>
        </w:rPr>
        <w:footnoteReference w:id="163"/>
      </w:r>
      <w:r w:rsidRPr="00415B3E">
        <w:rPr>
          <w:rFonts w:asciiTheme="minorBidi" w:hAnsiTheme="minorBidi" w:cstheme="minorBidi"/>
          <w:i/>
          <w:szCs w:val="22"/>
          <w:lang w:val="es-419"/>
        </w:rPr>
        <w:t xml:space="preserve"> </w:t>
      </w:r>
      <w:r w:rsidRPr="00415B3E">
        <w:rPr>
          <w:rFonts w:asciiTheme="minorBidi" w:hAnsiTheme="minorBidi" w:cstheme="minorBidi"/>
          <w:szCs w:val="22"/>
          <w:lang w:val="es-419"/>
        </w:rPr>
        <w:t>en marzo de 2024.</w:t>
      </w:r>
    </w:p>
    <w:p w14:paraId="02C90A46" w14:textId="77777777" w:rsidR="00FD5CE0" w:rsidRPr="00415B3E" w:rsidRDefault="00FD5CE0" w:rsidP="00FD5CE0">
      <w:pPr>
        <w:numPr>
          <w:ilvl w:val="0"/>
          <w:numId w:val="15"/>
        </w:numPr>
        <w:spacing w:after="240"/>
        <w:ind w:hanging="578"/>
        <w:rPr>
          <w:rFonts w:asciiTheme="minorBidi" w:hAnsiTheme="minorBidi" w:cstheme="minorBidi"/>
          <w:i/>
          <w:szCs w:val="22"/>
          <w:lang w:val="es-419"/>
        </w:rPr>
      </w:pPr>
      <w:r w:rsidRPr="00415B3E">
        <w:rPr>
          <w:rFonts w:asciiTheme="minorBidi" w:hAnsiTheme="minorBidi" w:cstheme="minorBidi"/>
          <w:i/>
          <w:iCs/>
          <w:szCs w:val="22"/>
          <w:lang w:val="es-419"/>
        </w:rPr>
        <w:t>Mejora de la capacidad de las instituciones de PI de ámbito nacional, subregional y regional y de los respectivos usuarios</w:t>
      </w:r>
      <w:r w:rsidRPr="00415B3E">
        <w:rPr>
          <w:rFonts w:asciiTheme="minorBidi" w:hAnsiTheme="minorBidi" w:cstheme="minorBidi"/>
          <w:szCs w:val="22"/>
          <w:lang w:val="es-419"/>
        </w:rPr>
        <w:t>: los objetivos clave del enfoque renovado aplicado por la OMPI para apoyar la formulación de estrategias nacionales de PI son:</w:t>
      </w:r>
      <w:r w:rsidRPr="00415B3E">
        <w:rPr>
          <w:rFonts w:asciiTheme="minorBidi" w:hAnsiTheme="minorBidi" w:cstheme="minorBidi"/>
          <w:i/>
          <w:szCs w:val="22"/>
          <w:lang w:val="es-419"/>
        </w:rPr>
        <w:t xml:space="preserve"> </w:t>
      </w:r>
      <w:r w:rsidRPr="00415B3E">
        <w:rPr>
          <w:rFonts w:asciiTheme="minorBidi" w:hAnsiTheme="minorBidi" w:cstheme="minorBidi"/>
          <w:szCs w:val="22"/>
          <w:lang w:val="es-419"/>
        </w:rPr>
        <w:t>i)</w:t>
      </w:r>
      <w:r w:rsidRPr="00415B3E">
        <w:rPr>
          <w:rFonts w:asciiTheme="minorBidi" w:hAnsiTheme="minorBidi" w:cstheme="minorBidi"/>
          <w:i/>
          <w:szCs w:val="22"/>
          <w:lang w:val="es-419"/>
        </w:rPr>
        <w:t xml:space="preserve"> </w:t>
      </w:r>
      <w:r w:rsidRPr="00415B3E">
        <w:rPr>
          <w:rFonts w:asciiTheme="minorBidi" w:hAnsiTheme="minorBidi" w:cstheme="minorBidi"/>
          <w:szCs w:val="22"/>
          <w:lang w:val="es-419"/>
        </w:rPr>
        <w:t>armonizar mejor las estrategias de PI nacionales en el contexto de los objetivos de desarrollo económico y los ecosistemas de creatividad e innovación de los Estados miembros; ii)</w:t>
      </w:r>
      <w:r w:rsidRPr="00415B3E">
        <w:rPr>
          <w:rFonts w:asciiTheme="minorBidi" w:hAnsiTheme="minorBidi" w:cstheme="minorBidi"/>
          <w:i/>
          <w:szCs w:val="22"/>
          <w:lang w:val="es-419"/>
        </w:rPr>
        <w:t xml:space="preserve"> </w:t>
      </w:r>
      <w:r w:rsidRPr="00415B3E">
        <w:rPr>
          <w:rFonts w:asciiTheme="minorBidi" w:hAnsiTheme="minorBidi" w:cstheme="minorBidi"/>
          <w:szCs w:val="22"/>
          <w:lang w:val="es-419"/>
        </w:rPr>
        <w:t xml:space="preserve">garantizar que el asesoramiento estratégico y sustancial de la OMPI a los Estados miembros produzca estrategias de alta calidad para satisfacer las necesidades y prioridades de un país, y adecuadas a sus circunstancias; y iii) mejorar el conocimiento sobre el valor y el impacto de las estrategias nacionales de PI entre los Estados miembros y los encargados de formular políticas, en particular mediante el </w:t>
      </w:r>
      <w:r w:rsidRPr="00415B3E">
        <w:rPr>
          <w:rFonts w:asciiTheme="minorBidi" w:hAnsiTheme="minorBidi" w:cstheme="minorBidi"/>
          <w:szCs w:val="22"/>
          <w:lang w:val="es-419"/>
        </w:rPr>
        <w:lastRenderedPageBreak/>
        <w:t>análisis de las tendencias, las buenas prácticas y la eficacia. En 2024, el equipo de estrategias nacionales de PI siguió trabajando en colaboración y coordinación estrechas con las divisiones regionales del Sector de Desarrollo Regional y Nacional, así como con otros sectores de la OMPI para ofrecer mejor respaldo y asesoramiento a los Estados miembros en más de 20 estrategias de PI nacionales. La Metodología de la OMPI para la elaboración de estrategias nacionales de propiedad intelectual siguió ofreciendo un enfoque flexible y fácilmente personalizable para apoyar el proceso de formulación de estrategias nacionales de PI.</w:t>
      </w:r>
    </w:p>
    <w:p w14:paraId="759BC351" w14:textId="77777777" w:rsidR="00FD5CE0" w:rsidRPr="00415B3E" w:rsidRDefault="00FD5CE0" w:rsidP="00FD5CE0">
      <w:pPr>
        <w:numPr>
          <w:ilvl w:val="0"/>
          <w:numId w:val="15"/>
        </w:numPr>
        <w:spacing w:after="240"/>
        <w:ind w:hanging="578"/>
        <w:rPr>
          <w:rFonts w:asciiTheme="minorBidi" w:hAnsiTheme="minorBidi" w:cstheme="minorBidi"/>
          <w:i/>
          <w:szCs w:val="22"/>
          <w:lang w:val="es-419"/>
        </w:rPr>
      </w:pPr>
      <w:r w:rsidRPr="00415B3E">
        <w:rPr>
          <w:rFonts w:asciiTheme="minorBidi" w:hAnsiTheme="minorBidi" w:cstheme="minorBidi"/>
          <w:i/>
          <w:szCs w:val="22"/>
          <w:lang w:val="es-419"/>
        </w:rPr>
        <w:t>La PI y la economía informal</w:t>
      </w:r>
      <w:r w:rsidRPr="00415B3E">
        <w:rPr>
          <w:rFonts w:asciiTheme="minorBidi" w:hAnsiTheme="minorBidi" w:cstheme="minorBidi"/>
          <w:szCs w:val="22"/>
          <w:lang w:val="es-419"/>
        </w:rPr>
        <w:t xml:space="preserve"> y el correspondiente volumen del libro titulado </w:t>
      </w:r>
      <w:r w:rsidRPr="00415B3E">
        <w:rPr>
          <w:rFonts w:asciiTheme="minorBidi" w:hAnsiTheme="minorBidi" w:cstheme="minorBidi"/>
          <w:i/>
          <w:szCs w:val="22"/>
          <w:lang w:val="es-419"/>
        </w:rPr>
        <w:t>The Informal Economy in Developing Nations - Hidden Engine of Innovation? (La economía informal en las naciones en desarrollo: ¿un motor oculto de la innovación?)</w:t>
      </w:r>
      <w:r w:rsidRPr="00415B3E">
        <w:rPr>
          <w:rFonts w:asciiTheme="minorBidi" w:hAnsiTheme="minorBidi" w:cstheme="minorBidi"/>
          <w:szCs w:val="22"/>
          <w:lang w:val="es-419"/>
        </w:rPr>
        <w:t>,</w:t>
      </w:r>
      <w:r w:rsidRPr="00415B3E">
        <w:rPr>
          <w:rStyle w:val="FootnoteReference"/>
          <w:rFonts w:asciiTheme="minorBidi" w:hAnsiTheme="minorBidi" w:cstheme="minorBidi"/>
          <w:szCs w:val="22"/>
          <w:lang w:val="es-419"/>
        </w:rPr>
        <w:footnoteReference w:id="164"/>
      </w:r>
      <w:r w:rsidRPr="00415B3E">
        <w:rPr>
          <w:rFonts w:asciiTheme="minorBidi" w:hAnsiTheme="minorBidi" w:cstheme="minorBidi"/>
          <w:szCs w:val="22"/>
          <w:lang w:val="es-419"/>
        </w:rPr>
        <w:t xml:space="preserve"> publicado por Cambridge University Press, continuaron recibiendo una gran atención por parte de responsables políticos y académicos. Este proyecto de la AD y el libro estimularon nuevos trabajos sobre este tema crucial pero poco investigado, por ejemplo, en círculos políticos, tales como la Unión Africana y en el contexto de los planes nacionales de innovación en África, el Sudeste Asiático y América Latina. En 2024, el Sector siguió investigando la innovación en el sector informal y publicó datos sobre la migración de inventores. Medir y fomentar la innovación en la economía informal sigue siendo una prioridad principal para los países en desarrollo y los PMA.</w:t>
      </w:r>
    </w:p>
    <w:p w14:paraId="73A0FADA" w14:textId="77777777" w:rsidR="00FD5CE0" w:rsidRPr="00415B3E" w:rsidRDefault="00FD5CE0" w:rsidP="00FD5CE0">
      <w:pPr>
        <w:numPr>
          <w:ilvl w:val="0"/>
          <w:numId w:val="15"/>
        </w:numPr>
        <w:spacing w:after="240"/>
        <w:ind w:hanging="578"/>
        <w:rPr>
          <w:rFonts w:asciiTheme="minorBidi" w:hAnsiTheme="minorBidi" w:cstheme="minorBidi"/>
          <w:i/>
          <w:szCs w:val="22"/>
          <w:lang w:val="es-419"/>
        </w:rPr>
      </w:pPr>
      <w:r w:rsidRPr="00415B3E">
        <w:rPr>
          <w:rFonts w:asciiTheme="minorBidi" w:hAnsiTheme="minorBidi" w:cstheme="minorBidi"/>
          <w:i/>
          <w:szCs w:val="22"/>
          <w:lang w:val="es-419"/>
        </w:rPr>
        <w:t>Cooperación en materia de desarrollo y de instrucción y formación profesional en derechos de propiedad intelectual con instituciones de formación judicial de países en desarrollo y países menos adelantados:</w:t>
      </w:r>
      <w:r w:rsidRPr="00415B3E">
        <w:rPr>
          <w:rStyle w:val="FootnoteReference"/>
          <w:rFonts w:asciiTheme="minorBidi" w:hAnsiTheme="minorBidi" w:cstheme="minorBidi"/>
          <w:i/>
          <w:szCs w:val="22"/>
          <w:lang w:val="es-419"/>
        </w:rPr>
        <w:footnoteReference w:id="165"/>
      </w:r>
      <w:r w:rsidRPr="00415B3E">
        <w:rPr>
          <w:rFonts w:asciiTheme="minorBidi" w:hAnsiTheme="minorBidi" w:cstheme="minorBidi"/>
          <w:szCs w:val="22"/>
          <w:lang w:val="es-419"/>
        </w:rPr>
        <w:t xml:space="preserve"> el Instituto Judicial de la OMPI, en colaboración con la Academia de la OMPI y otras áreas de trabajo pertinentes de la OMPI, continuó desarrollando su gama de ofertas para respaldar a las autoridades judiciales nacionales y regionales, ayudándolas a cumplir su función de establecer un ecosistema de PI equilibrado y eficaz, entre otros, en países en desarrollo y PMA. Específicamente, el proyecto se integró en un programa de formación judicial continua,</w:t>
      </w:r>
      <w:r w:rsidRPr="00415B3E">
        <w:rPr>
          <w:rStyle w:val="FootnoteReference"/>
          <w:rFonts w:asciiTheme="minorBidi" w:hAnsiTheme="minorBidi" w:cstheme="minorBidi"/>
          <w:szCs w:val="22"/>
          <w:lang w:val="es-419"/>
        </w:rPr>
        <w:footnoteReference w:id="166"/>
      </w:r>
      <w:r w:rsidRPr="00415B3E">
        <w:rPr>
          <w:rFonts w:asciiTheme="minorBidi" w:hAnsiTheme="minorBidi" w:cstheme="minorBidi"/>
          <w:szCs w:val="22"/>
          <w:lang w:val="es-419"/>
        </w:rPr>
        <w:t xml:space="preserve"> coordinado por el Instituto Judicial de la OMPI. En 2024, la OMPI inició una colaboración con la Corte Popular Suprema de Viet Nam para desarrollar la cooperación y establecer un programa de formación judicial continua.</w:t>
      </w:r>
    </w:p>
    <w:p w14:paraId="01C47ADB" w14:textId="77777777" w:rsidR="00FD5CE0" w:rsidRPr="00415B3E" w:rsidRDefault="00FD5CE0" w:rsidP="00FD5CE0">
      <w:pPr>
        <w:numPr>
          <w:ilvl w:val="0"/>
          <w:numId w:val="15"/>
        </w:numPr>
        <w:spacing w:after="240"/>
        <w:ind w:hanging="578"/>
        <w:rPr>
          <w:rFonts w:asciiTheme="minorBidi" w:hAnsiTheme="minorBidi" w:cstheme="minorBidi"/>
          <w:i/>
          <w:szCs w:val="22"/>
          <w:lang w:val="es-419"/>
        </w:rPr>
      </w:pPr>
      <w:r w:rsidRPr="00415B3E">
        <w:rPr>
          <w:rFonts w:asciiTheme="minorBidi" w:hAnsiTheme="minorBidi" w:cstheme="minorBidi"/>
          <w:i/>
          <w:szCs w:val="22"/>
          <w:lang w:val="es-419"/>
        </w:rPr>
        <w:t>Fortalecimiento del papel de las mujeres en la innovación y el emprendimiento: alentar a las mujeres de países en desarrollo a utilizar el sistema de propiedad intelectual</w:t>
      </w:r>
      <w:r w:rsidRPr="00415B3E">
        <w:rPr>
          <w:rFonts w:asciiTheme="minorBidi" w:hAnsiTheme="minorBidi" w:cstheme="minorBidi"/>
          <w:szCs w:val="22"/>
          <w:lang w:val="es-419"/>
        </w:rPr>
        <w:t>: este proyecto se completó con éxito en México, Uganda, Omán y el Pakistán en diciembre de 2022. Los resultados del proyecto incluida la información sobre el Programa de mentoría de la OMPI sobre propiedad intelectual para inventoras y un conjunto de estudios de casos de inventoras están disponibles en el sitio web del proyecto.</w:t>
      </w:r>
      <w:r w:rsidRPr="00415B3E">
        <w:rPr>
          <w:rStyle w:val="FootnoteReference"/>
          <w:rFonts w:asciiTheme="minorBidi" w:hAnsiTheme="minorBidi" w:cstheme="minorBidi"/>
          <w:szCs w:val="22"/>
          <w:lang w:val="es-419"/>
        </w:rPr>
        <w:footnoteReference w:id="167"/>
      </w:r>
      <w:r w:rsidRPr="00415B3E">
        <w:rPr>
          <w:rFonts w:asciiTheme="minorBidi" w:hAnsiTheme="minorBidi" w:cstheme="minorBidi"/>
          <w:szCs w:val="22"/>
          <w:lang w:val="es-419"/>
        </w:rPr>
        <w:t xml:space="preserve"> En su trigésima sesión, el Comité examinó los informes de conclusión</w:t>
      </w:r>
      <w:r w:rsidRPr="00415B3E">
        <w:rPr>
          <w:rStyle w:val="FootnoteReference"/>
          <w:rFonts w:asciiTheme="minorBidi" w:hAnsiTheme="minorBidi" w:cstheme="minorBidi"/>
          <w:szCs w:val="22"/>
          <w:lang w:val="es-419"/>
        </w:rPr>
        <w:footnoteReference w:id="168"/>
      </w:r>
      <w:r w:rsidRPr="00415B3E">
        <w:rPr>
          <w:rFonts w:asciiTheme="minorBidi" w:hAnsiTheme="minorBidi" w:cstheme="minorBidi"/>
          <w:szCs w:val="22"/>
          <w:lang w:val="es-419"/>
        </w:rPr>
        <w:t xml:space="preserve"> y evaluación</w:t>
      </w:r>
      <w:r w:rsidRPr="00415B3E">
        <w:rPr>
          <w:rStyle w:val="FootnoteReference"/>
          <w:rFonts w:asciiTheme="minorBidi" w:hAnsiTheme="minorBidi" w:cstheme="minorBidi"/>
          <w:szCs w:val="22"/>
          <w:lang w:val="es-419"/>
        </w:rPr>
        <w:footnoteReference w:id="169"/>
      </w:r>
      <w:r w:rsidRPr="00415B3E">
        <w:rPr>
          <w:rFonts w:asciiTheme="minorBidi" w:hAnsiTheme="minorBidi" w:cstheme="minorBidi"/>
          <w:szCs w:val="22"/>
          <w:lang w:val="es-419"/>
        </w:rPr>
        <w:t xml:space="preserve"> del proyecto y solicitó a la Secretaría que siguiera integrando en su trabajo ordinario la labor realizada en el marco del proyecto, en particular, el programa de tutoría. El Comité también solicitó a la Secretaría que evaluara el trabajo adicional que debía realizarse en esta área y que informara al Comité a su debido tiempo. En 2024, el Comité examinó los siguientes informes sobre el tema </w:t>
      </w:r>
      <w:r w:rsidRPr="00415B3E">
        <w:rPr>
          <w:rFonts w:asciiTheme="minorBidi" w:hAnsiTheme="minorBidi" w:cstheme="minorBidi"/>
          <w:i/>
          <w:szCs w:val="22"/>
          <w:lang w:val="es-419"/>
        </w:rPr>
        <w:t>Las mujeres y la PI</w:t>
      </w:r>
      <w:r w:rsidRPr="00415B3E">
        <w:rPr>
          <w:rFonts w:asciiTheme="minorBidi" w:hAnsiTheme="minorBidi" w:cstheme="minorBidi"/>
          <w:szCs w:val="22"/>
          <w:lang w:val="es-419"/>
        </w:rPr>
        <w:t>:</w:t>
      </w:r>
      <w:r w:rsidRPr="00415B3E">
        <w:rPr>
          <w:rFonts w:asciiTheme="minorBidi" w:hAnsiTheme="minorBidi" w:cstheme="minorBidi"/>
          <w:i/>
          <w:szCs w:val="22"/>
          <w:lang w:val="es-419"/>
        </w:rPr>
        <w:t xml:space="preserve"> Actividades Internas y Externas, Dirección Estratégica</w:t>
      </w:r>
      <w:r w:rsidRPr="00415B3E">
        <w:rPr>
          <w:rFonts w:asciiTheme="minorBidi" w:hAnsiTheme="minorBidi" w:cstheme="minorBidi"/>
          <w:szCs w:val="22"/>
          <w:lang w:val="es-419"/>
        </w:rPr>
        <w:t xml:space="preserve">, reconoció el compromiso constante de la OMPI de </w:t>
      </w:r>
      <w:r w:rsidRPr="00415B3E">
        <w:rPr>
          <w:rFonts w:asciiTheme="minorBidi" w:hAnsiTheme="minorBidi" w:cstheme="minorBidi"/>
          <w:szCs w:val="22"/>
          <w:lang w:val="es-419"/>
        </w:rPr>
        <w:lastRenderedPageBreak/>
        <w:t>integrar una perspectiva de género en toda la Organización, y alentó a la Secretaría a seguir llevando a cabo actividades en este ámbito, por ejemplo, organizando sesiones de intercambio de información sobre las mujeres y la PI.</w:t>
      </w:r>
    </w:p>
    <w:p w14:paraId="69A9C832" w14:textId="77777777" w:rsidR="00FD5CE0" w:rsidRPr="00415B3E" w:rsidRDefault="00FD5CE0" w:rsidP="00FD5CE0">
      <w:pPr>
        <w:numPr>
          <w:ilvl w:val="0"/>
          <w:numId w:val="15"/>
        </w:numPr>
        <w:spacing w:after="240"/>
        <w:ind w:hanging="578"/>
        <w:rPr>
          <w:rFonts w:asciiTheme="minorBidi" w:hAnsiTheme="minorBidi" w:cstheme="minorBidi"/>
          <w:szCs w:val="22"/>
          <w:lang w:val="es-419"/>
        </w:rPr>
      </w:pPr>
      <w:r w:rsidRPr="00415B3E">
        <w:rPr>
          <w:rFonts w:asciiTheme="minorBidi" w:hAnsiTheme="minorBidi" w:cstheme="minorBidi"/>
          <w:i/>
          <w:szCs w:val="22"/>
          <w:lang w:val="es-419"/>
        </w:rPr>
        <w:t>Identificación y utilización de las invenciones que están en el dominio público</w:t>
      </w:r>
      <w:r w:rsidRPr="00415B3E">
        <w:rPr>
          <w:rFonts w:asciiTheme="minorBidi" w:hAnsiTheme="minorBidi" w:cstheme="minorBidi"/>
          <w:szCs w:val="22"/>
          <w:lang w:val="es-419"/>
        </w:rPr>
        <w:t xml:space="preserve">: en su trigésima segunda sesión, el Comité examinó el </w:t>
      </w:r>
      <w:r w:rsidRPr="00415B3E">
        <w:rPr>
          <w:rFonts w:asciiTheme="minorBidi" w:hAnsiTheme="minorBidi" w:cstheme="minorBidi"/>
          <w:i/>
          <w:szCs w:val="22"/>
          <w:lang w:val="es-419"/>
        </w:rPr>
        <w:t>Informe de finalización</w:t>
      </w:r>
      <w:r w:rsidRPr="00415B3E">
        <w:rPr>
          <w:rStyle w:val="FootnoteReference"/>
          <w:rFonts w:asciiTheme="minorBidi" w:hAnsiTheme="minorBidi" w:cstheme="minorBidi"/>
          <w:szCs w:val="22"/>
          <w:lang w:val="es-419"/>
        </w:rPr>
        <w:footnoteReference w:id="170"/>
      </w:r>
      <w:r w:rsidRPr="00415B3E">
        <w:rPr>
          <w:rFonts w:asciiTheme="minorBidi" w:hAnsiTheme="minorBidi" w:cstheme="minorBidi"/>
          <w:szCs w:val="22"/>
          <w:lang w:val="es-419"/>
        </w:rPr>
        <w:t xml:space="preserve"> del proyecto, que concluyó en 2024, y pidió a la Secretaría que siguiera integrando sus resultados en la labor ordinaria de la Organización y que mantuviera informado al Comité. Por consiguiente, las guías prácticas sobre i) </w:t>
      </w:r>
      <w:r w:rsidRPr="00415B3E">
        <w:rPr>
          <w:rFonts w:asciiTheme="minorBidi" w:hAnsiTheme="minorBidi" w:cstheme="minorBidi"/>
          <w:i/>
          <w:szCs w:val="22"/>
          <w:lang w:val="es-419"/>
        </w:rPr>
        <w:t xml:space="preserve">Identificación de invenciones que están en el dominio público: guía para inventores y emprendedores </w:t>
      </w:r>
      <w:r w:rsidRPr="00415B3E">
        <w:rPr>
          <w:rFonts w:asciiTheme="minorBidi" w:hAnsiTheme="minorBidi" w:cstheme="minorBidi"/>
          <w:szCs w:val="22"/>
          <w:lang w:val="es-419"/>
        </w:rPr>
        <w:t>(2020)</w:t>
      </w:r>
      <w:r w:rsidRPr="00415B3E">
        <w:rPr>
          <w:rStyle w:val="FootnoteReference"/>
          <w:rFonts w:asciiTheme="minorBidi" w:hAnsiTheme="minorBidi" w:cstheme="minorBidi"/>
          <w:szCs w:val="22"/>
          <w:lang w:val="es-419"/>
        </w:rPr>
        <w:footnoteReference w:id="171"/>
      </w:r>
      <w:r w:rsidRPr="00415B3E">
        <w:rPr>
          <w:rFonts w:asciiTheme="minorBidi" w:hAnsiTheme="minorBidi" w:cstheme="minorBidi"/>
          <w:szCs w:val="22"/>
          <w:lang w:val="es-419"/>
        </w:rPr>
        <w:t xml:space="preserve">; y ii) </w:t>
      </w:r>
      <w:r w:rsidRPr="00415B3E">
        <w:rPr>
          <w:rFonts w:asciiTheme="minorBidi" w:hAnsiTheme="minorBidi" w:cstheme="minorBidi"/>
          <w:i/>
          <w:szCs w:val="22"/>
          <w:lang w:val="es-419"/>
        </w:rPr>
        <w:t xml:space="preserve">Uso de invenciones que están en el dominio público: guía para inventores y emprendedores </w:t>
      </w:r>
      <w:r w:rsidRPr="00415B3E">
        <w:rPr>
          <w:rFonts w:asciiTheme="minorBidi" w:hAnsiTheme="minorBidi" w:cstheme="minorBidi"/>
          <w:szCs w:val="22"/>
          <w:lang w:val="es-419"/>
        </w:rPr>
        <w:t>(2020),</w:t>
      </w:r>
      <w:r w:rsidRPr="00415B3E">
        <w:rPr>
          <w:rStyle w:val="FootnoteReference"/>
          <w:rFonts w:asciiTheme="minorBidi" w:hAnsiTheme="minorBidi" w:cstheme="minorBidi"/>
          <w:szCs w:val="22"/>
          <w:lang w:val="es-419"/>
        </w:rPr>
        <w:footnoteReference w:id="172"/>
      </w:r>
      <w:r w:rsidRPr="00415B3E">
        <w:rPr>
          <w:rFonts w:asciiTheme="minorBidi" w:hAnsiTheme="minorBidi" w:cstheme="minorBidi"/>
          <w:szCs w:val="22"/>
          <w:lang w:val="es-419"/>
        </w:rPr>
        <w:t xml:space="preserve"> se han publicado en todos los idiomas oficiales de las Naciones Unidas, y los programas de formación asociados se pusieron en todo el mundo a disposición de los CATI, permitiéndoles el desarrollo de servicios relacionados con las búsquedas relativas a la libertad de acción y de nuevos productos o servicios basados en invenciones de dominio público.</w:t>
      </w:r>
    </w:p>
    <w:p w14:paraId="31721F8D"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Proyectos de la AD en curso</w:t>
      </w:r>
    </w:p>
    <w:p w14:paraId="02313899"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ha estado a cargo de la ejecución de los siguientes proyectos de la AD en curso:</w:t>
      </w:r>
    </w:p>
    <w:p w14:paraId="3554E6ED" w14:textId="77777777" w:rsidR="00FD5CE0" w:rsidRPr="00415B3E" w:rsidRDefault="00FD5CE0" w:rsidP="00FD5CE0">
      <w:pPr>
        <w:pStyle w:val="ListParagraph"/>
        <w:numPr>
          <w:ilvl w:val="0"/>
          <w:numId w:val="21"/>
        </w:numPr>
        <w:spacing w:after="240" w:line="240" w:lineRule="auto"/>
        <w:contextualSpacing w:val="0"/>
        <w:rPr>
          <w:rFonts w:asciiTheme="minorBidi" w:hAnsiTheme="minorBidi"/>
          <w:sz w:val="22"/>
          <w:szCs w:val="22"/>
          <w:lang w:val="es-419"/>
        </w:rPr>
      </w:pPr>
      <w:r w:rsidRPr="00415B3E">
        <w:rPr>
          <w:rFonts w:asciiTheme="minorBidi" w:hAnsiTheme="minorBidi"/>
          <w:i/>
          <w:sz w:val="22"/>
          <w:szCs w:val="22"/>
          <w:lang w:val="es-419"/>
        </w:rPr>
        <w:t>Sistematización de datos estadísticos y diseño y puesta en marcha de una metodología para la elaboración de estudios de incidencia sobre la utilización del sistema de PI</w:t>
      </w:r>
      <w:r w:rsidRPr="00415B3E">
        <w:rPr>
          <w:rFonts w:asciiTheme="minorBidi" w:hAnsiTheme="minorBidi"/>
          <w:sz w:val="22"/>
          <w:szCs w:val="22"/>
          <w:lang w:val="es-419"/>
        </w:rPr>
        <w:t>:</w:t>
      </w:r>
      <w:r w:rsidRPr="00415B3E">
        <w:rPr>
          <w:rFonts w:asciiTheme="minorBidi" w:hAnsiTheme="minorBidi"/>
          <w:i/>
          <w:sz w:val="22"/>
          <w:szCs w:val="22"/>
          <w:lang w:val="es-419"/>
        </w:rPr>
        <w:t xml:space="preserve"> </w:t>
      </w:r>
      <w:r w:rsidRPr="00415B3E">
        <w:rPr>
          <w:rFonts w:asciiTheme="minorBidi" w:hAnsiTheme="minorBidi"/>
          <w:sz w:val="22"/>
          <w:szCs w:val="22"/>
          <w:lang w:val="es-419"/>
        </w:rPr>
        <w:t>Los logros notables en 2024 incluyeron: i) consolidar los datos de entrada necesarios de tres Estados miembros de la OMPI beneficiarios del proyecto piloto; ii) revisar la metodología del proyecto; y iii) aplicar un ciclo completo de datos y análisis del enfoque metodológico en El Salvador.</w:t>
      </w:r>
    </w:p>
    <w:p w14:paraId="152BE56C" w14:textId="7494842E" w:rsidR="00FD5CE0" w:rsidRPr="00415B3E" w:rsidRDefault="00FD5CE0" w:rsidP="00683D4A">
      <w:pPr>
        <w:pStyle w:val="ListParagraph"/>
        <w:numPr>
          <w:ilvl w:val="0"/>
          <w:numId w:val="21"/>
        </w:numPr>
        <w:spacing w:after="240" w:line="240" w:lineRule="auto"/>
        <w:ind w:left="714" w:hanging="357"/>
        <w:contextualSpacing w:val="0"/>
        <w:rPr>
          <w:rFonts w:asciiTheme="minorBidi" w:hAnsiTheme="minorBidi"/>
          <w:bCs/>
          <w:i/>
          <w:sz w:val="22"/>
          <w:szCs w:val="22"/>
          <w:lang w:val="es-419"/>
        </w:rPr>
      </w:pPr>
      <w:hyperlink r:id="rId15" w:history="1">
        <w:r w:rsidRPr="00415B3E">
          <w:rPr>
            <w:rFonts w:asciiTheme="minorBidi" w:hAnsiTheme="minorBidi"/>
            <w:i/>
            <w:sz w:val="22"/>
            <w:szCs w:val="22"/>
            <w:lang w:val="es-419"/>
          </w:rPr>
          <w:t>Colaboración en el ámbito de la PI y la innovación en sustento a la transferencia de tecnología y la introducción en el mercado de los productos de la investigación</w:t>
        </w:r>
      </w:hyperlink>
      <w:r w:rsidRPr="00415B3E">
        <w:rPr>
          <w:rFonts w:asciiTheme="minorBidi" w:hAnsiTheme="minorBidi"/>
          <w:sz w:val="22"/>
          <w:szCs w:val="22"/>
          <w:lang w:val="es-419"/>
        </w:rPr>
        <w:t>: la fase previa a la ejecución del proyecto concluyó en 2024. El objetivo del proyecto es mejorar la capacidad de los creadores de tecnología y los intermediarios tecnológicos para emprender y respaldar la colaboración en el ámbito de la innovación mediante: i) la identificación y la difusión de buenas prácticas y marcos políticos institucionales eficaces; y ii) la preparación y el perfeccionamiento de orientaciones y programas de formación en la materia. El proyecto se centra en apoyar a los creadores de tecnología, como las instituciones académicas y de investigación y las empresas, y a los intermediarios tecnológicos, como las Oficinas de Transferencia de Tecnología (OTT) y los CATI, reforzando su capacidad para participar en la colaboración en innovación y facilitarla, haciendo especial hincapié en los países en desarrollo y los PMA.</w:t>
      </w:r>
      <w:r w:rsidRPr="00415B3E">
        <w:rPr>
          <w:rStyle w:val="FootnoteReference"/>
          <w:rFonts w:asciiTheme="minorBidi" w:hAnsiTheme="minorBidi"/>
          <w:bCs/>
          <w:iCs/>
          <w:sz w:val="22"/>
          <w:szCs w:val="22"/>
          <w:lang w:val="es-419"/>
        </w:rPr>
        <w:footnoteReference w:id="173"/>
      </w:r>
    </w:p>
    <w:p w14:paraId="500D2A1D" w14:textId="77777777" w:rsidR="00FD5CE0" w:rsidRPr="00415B3E" w:rsidRDefault="00FD5CE0" w:rsidP="00683D4A">
      <w:pPr>
        <w:pStyle w:val="Heading1"/>
        <w:keepNext w:val="0"/>
        <w:numPr>
          <w:ilvl w:val="0"/>
          <w:numId w:val="25"/>
        </w:numPr>
        <w:spacing w:before="0" w:after="240"/>
        <w:ind w:left="0" w:firstLine="0"/>
        <w:rPr>
          <w:rFonts w:asciiTheme="minorBidi" w:hAnsiTheme="minorBidi" w:cstheme="minorBidi"/>
          <w:szCs w:val="22"/>
          <w:lang w:val="es-419"/>
        </w:rPr>
      </w:pPr>
      <w:r w:rsidRPr="00415B3E">
        <w:rPr>
          <w:rFonts w:asciiTheme="minorBidi" w:hAnsiTheme="minorBidi" w:cstheme="minorBidi"/>
          <w:szCs w:val="22"/>
          <w:lang w:val="es-419"/>
        </w:rPr>
        <w:t>Sector de Administración, Finanzas y Gestión</w:t>
      </w:r>
    </w:p>
    <w:p w14:paraId="2415781F"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El Sector de Administración, Finanzas y Gestión permaneció comprometido con proporcionar las bases para la obtención eficaz de resultados en toda la OMPI. En 2024, se siguió integrando el desarrollo como un tema transversal en todos los pilares estratégicos de la OMPI, en línea con el programa de trabajo y presupuesto para 2024/25, con vínculos claros entre el trabajo de la Organización y los ODS de las Naciones Unidas. Durante el bienio, la OMPI siguió ampliando la repercusión de sus iniciativas y proyectos de asistencia técnica y fortalecimiento de capacidades. La aplicación del Fondo de Reconstrucción de la OMPI, </w:t>
      </w:r>
      <w:r w:rsidRPr="00415B3E">
        <w:rPr>
          <w:rFonts w:asciiTheme="minorBidi" w:hAnsiTheme="minorBidi"/>
          <w:sz w:val="22"/>
          <w:szCs w:val="22"/>
          <w:lang w:val="es-419"/>
        </w:rPr>
        <w:lastRenderedPageBreak/>
        <w:t>anteriormente el Paquete de medidas en respuesta a la COVID-19, apoyó alrededor de 35 proyectos de incidencia real, beneficiando a más de 50 Estados miembros de la OMPI.</w:t>
      </w:r>
      <w:r w:rsidRPr="00415B3E">
        <w:rPr>
          <w:rStyle w:val="FootnoteReference"/>
          <w:rFonts w:asciiTheme="minorBidi" w:hAnsiTheme="minorBidi"/>
          <w:sz w:val="22"/>
          <w:szCs w:val="22"/>
          <w:lang w:val="es-419"/>
        </w:rPr>
        <w:footnoteReference w:id="174"/>
      </w:r>
    </w:p>
    <w:p w14:paraId="66AE1214"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Sector también contribuyó a los objetivos de la Organización a través de un proyecto clave que explora el camino de evolución de las oficinas de PI a medida que van desempeñando otras funciones, más allá del registro. El proyecto examinó las futuras competencias y funciones que necesitarán las oficinas de PI, incluidas las de derecho de autor, para seguir siendo eficaces en un ecosistema cambiante, teniendo en cuenta su tamaño específico, nivel de desarrollo y ubicación geográfica. Además, en respuesta a una serie de peticiones de los Estados miembros en 2023, se encargó al Sector la preparación de la versión 2025 de la Encuesta mundial sobre la percepción de la PI, también conocida como WIPO Pulse. En su calidad de primera encuesta mundial sobre la percepción de la PI, WIPO Pulse capta los conocimientos que el público tiene de la PI más allá de los círculos de expertos y evalúa las actitudes generales hacia el papel de la PI en las economías nacionales. La primera versión de WIPO Pulse ofreció datos valiosos sobre la repercusión de la PI en las economías y las sociedades. Sobre esta base, el Sector trabajó para ampliar el alcance de la encuesta en 2024 y aumentar la representación regional, en preparación de su futura distribución.</w:t>
      </w:r>
    </w:p>
    <w:p w14:paraId="3EF87AC8"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Proyectos integrados de la AD</w:t>
      </w:r>
    </w:p>
    <w:p w14:paraId="5D8B2B9D"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i/>
          <w:sz w:val="22"/>
          <w:szCs w:val="22"/>
          <w:lang w:val="es-419"/>
        </w:rPr>
        <w:t>Mejora del marco de la OMPI de gestión por resultados</w:t>
      </w:r>
      <w:r w:rsidRPr="00415B3E">
        <w:rPr>
          <w:rFonts w:asciiTheme="minorBidi" w:hAnsiTheme="minorBidi"/>
          <w:sz w:val="22"/>
          <w:szCs w:val="22"/>
          <w:lang w:val="es-419"/>
        </w:rPr>
        <w:t xml:space="preserve">: el proyecto suscitó debates sobre la asistencia técnica de la OMPI en el contexto del CDIP, que finalmente culminaron con la adopción de la denominada </w:t>
      </w:r>
      <w:r w:rsidRPr="00415B3E">
        <w:rPr>
          <w:rFonts w:asciiTheme="minorBidi" w:hAnsiTheme="minorBidi"/>
          <w:i/>
          <w:sz w:val="22"/>
          <w:szCs w:val="22"/>
          <w:lang w:val="es-419"/>
        </w:rPr>
        <w:t xml:space="preserve">propuesta de España, </w:t>
      </w:r>
      <w:r w:rsidRPr="00415B3E">
        <w:rPr>
          <w:rFonts w:asciiTheme="minorBidi" w:hAnsiTheme="minorBidi"/>
          <w:sz w:val="22"/>
          <w:szCs w:val="22"/>
          <w:lang w:val="es-419"/>
        </w:rPr>
        <w:t xml:space="preserve">también conocida como la </w:t>
      </w:r>
      <w:r w:rsidRPr="00415B3E">
        <w:rPr>
          <w:rFonts w:asciiTheme="minorBidi" w:hAnsiTheme="minorBidi"/>
          <w:i/>
          <w:sz w:val="22"/>
          <w:szCs w:val="22"/>
          <w:lang w:val="es-419"/>
        </w:rPr>
        <w:t>propuesta de seis puntos sobre asistencia técnica</w:t>
      </w:r>
      <w:r w:rsidRPr="00415B3E">
        <w:rPr>
          <w:rFonts w:asciiTheme="minorBidi" w:hAnsiTheme="minorBidi"/>
          <w:sz w:val="22"/>
          <w:szCs w:val="22"/>
          <w:lang w:val="es-419"/>
        </w:rPr>
        <w:t>, en la decimoctava sesión del Comité. En dicha propuesta se pedía a la Secretaría que tomara una serie de medidas, que se llevaron a cabo tal como se detalla en un informe presentado en la vigesimocuarta sesión del CDIP. En dicha sesión, el Comité decidió que los futuros debates relacionados con la asistencia técnica de la OMPI continuarían en el marco del apartado del subpunto del orden del día “</w:t>
      </w:r>
      <w:r w:rsidRPr="00415B3E">
        <w:rPr>
          <w:rFonts w:asciiTheme="minorBidi" w:hAnsiTheme="minorBidi"/>
          <w:i/>
          <w:sz w:val="22"/>
          <w:szCs w:val="22"/>
          <w:lang w:val="es-419"/>
        </w:rPr>
        <w:t>Asistencia técnica de la OMPI en el ámbito de la cooperación para el desarrollo</w:t>
      </w:r>
      <w:r w:rsidRPr="00415B3E">
        <w:rPr>
          <w:rFonts w:asciiTheme="minorBidi" w:hAnsiTheme="minorBidi"/>
          <w:sz w:val="22"/>
          <w:szCs w:val="22"/>
          <w:lang w:val="es-419"/>
        </w:rPr>
        <w:t>”. En la vigesimonovena sesión, en el marco de ese subpunto del orden del día, el Comité aprobó una versión revisada del documento sobre futuros seminarios web,</w:t>
      </w:r>
      <w:r w:rsidRPr="00415B3E">
        <w:rPr>
          <w:rStyle w:val="FootnoteReference"/>
          <w:rFonts w:asciiTheme="minorBidi" w:hAnsiTheme="minorBidi"/>
          <w:sz w:val="22"/>
          <w:szCs w:val="22"/>
          <w:lang w:val="es-419"/>
        </w:rPr>
        <w:footnoteReference w:id="175"/>
      </w:r>
      <w:r w:rsidRPr="00415B3E">
        <w:rPr>
          <w:rFonts w:asciiTheme="minorBidi" w:hAnsiTheme="minorBidi"/>
          <w:sz w:val="22"/>
          <w:szCs w:val="22"/>
          <w:lang w:val="es-419"/>
        </w:rPr>
        <w:t xml:space="preserve"> que describe la estrategia de la Secretaría para la organización de seminarios web sobre asistencia técnica a partir de 2024. En consecuencia, durante el año objeto del informe, la Secretaría organizó dos seminarios web que ofrecieron una visión amplia de los retos y las oportunidades en la prestación de asistencia técnica y el fortalecimiento de capacidades sobre los siguientes temas acordados por los Estados miembros:</w:t>
      </w:r>
      <w:r w:rsidRPr="00415B3E">
        <w:rPr>
          <w:rStyle w:val="FootnoteReference"/>
          <w:rFonts w:asciiTheme="minorBidi" w:hAnsiTheme="minorBidi"/>
          <w:sz w:val="22"/>
          <w:szCs w:val="22"/>
          <w:lang w:val="es-419"/>
        </w:rPr>
        <w:footnoteReference w:id="176"/>
      </w:r>
      <w:r w:rsidRPr="00415B3E">
        <w:rPr>
          <w:rFonts w:asciiTheme="minorBidi" w:hAnsiTheme="minorBidi"/>
          <w:sz w:val="22"/>
          <w:szCs w:val="22"/>
          <w:lang w:val="es-419"/>
        </w:rPr>
        <w:t xml:space="preserve"> i) </w:t>
      </w:r>
      <w:r w:rsidRPr="00415B3E">
        <w:rPr>
          <w:rFonts w:asciiTheme="minorBidi" w:hAnsiTheme="minorBidi"/>
          <w:i/>
          <w:sz w:val="22"/>
          <w:szCs w:val="22"/>
          <w:lang w:val="es-419"/>
        </w:rPr>
        <w:t>Asistencia técnica y fortalecimiento de capacidades orientados a la incidencia: factores de éxito y enseñanzas extraídas</w:t>
      </w:r>
      <w:r w:rsidRPr="00415B3E">
        <w:rPr>
          <w:rFonts w:asciiTheme="minorBidi" w:hAnsiTheme="minorBidi"/>
          <w:sz w:val="22"/>
          <w:szCs w:val="22"/>
          <w:lang w:val="es-419"/>
        </w:rPr>
        <w:t xml:space="preserve">, celebrado el 11 de abril de 2024; y ii) </w:t>
      </w:r>
      <w:r w:rsidRPr="00415B3E">
        <w:rPr>
          <w:rFonts w:asciiTheme="minorBidi" w:hAnsiTheme="minorBidi"/>
          <w:i/>
          <w:sz w:val="22"/>
          <w:szCs w:val="22"/>
          <w:lang w:val="es-419"/>
        </w:rPr>
        <w:t>Asistencia técnica y fortalecimiento de capacidades de manera virtual: examen crítico de las ventajas y limitaciones</w:t>
      </w:r>
      <w:r w:rsidRPr="00415B3E">
        <w:rPr>
          <w:rFonts w:asciiTheme="minorBidi" w:hAnsiTheme="minorBidi"/>
          <w:sz w:val="22"/>
          <w:szCs w:val="22"/>
          <w:lang w:val="es-419"/>
        </w:rPr>
        <w:t xml:space="preserve">, celebrado el 12 de septiembre de 2024. Además, en 2024, el Comité acogió con satisfacción la introducción de dos nuevos temas para los seminarios web: i) </w:t>
      </w:r>
      <w:r w:rsidRPr="00415B3E">
        <w:rPr>
          <w:rFonts w:asciiTheme="minorBidi" w:hAnsiTheme="minorBidi"/>
          <w:i/>
          <w:sz w:val="22"/>
          <w:szCs w:val="22"/>
          <w:lang w:val="es-419"/>
        </w:rPr>
        <w:t>Maximizar el impacto: planificación estratégica de la asistencia técnica y el fortalecimiento de capacidades</w:t>
      </w:r>
      <w:r w:rsidRPr="00415B3E">
        <w:rPr>
          <w:rFonts w:asciiTheme="minorBidi" w:hAnsiTheme="minorBidi"/>
          <w:sz w:val="22"/>
          <w:szCs w:val="22"/>
          <w:lang w:val="es-419"/>
        </w:rPr>
        <w:t xml:space="preserve">; y ii) </w:t>
      </w:r>
      <w:r w:rsidRPr="00415B3E">
        <w:rPr>
          <w:rFonts w:asciiTheme="minorBidi" w:hAnsiTheme="minorBidi"/>
          <w:i/>
          <w:sz w:val="22"/>
          <w:szCs w:val="22"/>
          <w:lang w:val="es-419"/>
        </w:rPr>
        <w:t>Cuantificación del impacto: estrategias de seguimiento y evaluación de la asistencia técnica y el fortalecimiento de capacidades</w:t>
      </w:r>
      <w:r w:rsidRPr="00415B3E">
        <w:rPr>
          <w:rFonts w:asciiTheme="minorBidi" w:hAnsiTheme="minorBidi"/>
          <w:sz w:val="22"/>
          <w:szCs w:val="22"/>
          <w:lang w:val="es-419"/>
        </w:rPr>
        <w:t>. Por último, a raíz de la propuesta del Grupo Africano de llevar a cabo un nuevo examen externo independiente de la asistencia técnica que presta la OMPI en el ámbito de la cooperación para el desarrollo</w:t>
      </w:r>
      <w:r w:rsidRPr="00415B3E">
        <w:rPr>
          <w:rFonts w:asciiTheme="minorBidi" w:hAnsiTheme="minorBidi"/>
          <w:i/>
          <w:sz w:val="22"/>
          <w:szCs w:val="22"/>
          <w:lang w:val="es-419"/>
        </w:rPr>
        <w:t>,</w:t>
      </w:r>
      <w:r w:rsidRPr="00415B3E">
        <w:rPr>
          <w:rStyle w:val="FootnoteReference"/>
          <w:rFonts w:asciiTheme="minorBidi" w:hAnsiTheme="minorBidi"/>
          <w:sz w:val="22"/>
          <w:szCs w:val="22"/>
          <w:lang w:val="es-419"/>
        </w:rPr>
        <w:footnoteReference w:id="177"/>
      </w:r>
      <w:r w:rsidRPr="00415B3E">
        <w:rPr>
          <w:rFonts w:asciiTheme="minorBidi" w:hAnsiTheme="minorBidi"/>
          <w:sz w:val="22"/>
          <w:szCs w:val="22"/>
          <w:lang w:val="es-419"/>
        </w:rPr>
        <w:t xml:space="preserve"> dicho examen tuvo lugar durante el año objeto del informe y se presentó al Comité en su trigésima tercera sesión. Los debates sobre el tema proseguirán en la presente sesión del CDIP.</w:t>
      </w:r>
      <w:r w:rsidRPr="00415B3E">
        <w:rPr>
          <w:rStyle w:val="FootnoteReference"/>
          <w:rFonts w:asciiTheme="minorBidi" w:hAnsiTheme="minorBidi"/>
          <w:sz w:val="22"/>
          <w:szCs w:val="22"/>
          <w:lang w:val="es-419"/>
        </w:rPr>
        <w:footnoteReference w:id="178"/>
      </w:r>
    </w:p>
    <w:bookmarkEnd w:id="31"/>
    <w:p w14:paraId="3F150186" w14:textId="77777777" w:rsidR="00FD5CE0" w:rsidRPr="00415B3E" w:rsidRDefault="00FD5CE0" w:rsidP="00683D4A">
      <w:pPr>
        <w:pStyle w:val="Heading1"/>
        <w:keepNext w:val="0"/>
        <w:numPr>
          <w:ilvl w:val="0"/>
          <w:numId w:val="25"/>
        </w:numPr>
        <w:spacing w:before="0" w:after="240"/>
        <w:ind w:left="0" w:firstLine="0"/>
        <w:rPr>
          <w:rFonts w:asciiTheme="minorBidi" w:hAnsiTheme="minorBidi" w:cstheme="minorBidi"/>
          <w:szCs w:val="22"/>
          <w:lang w:val="es-419"/>
        </w:rPr>
      </w:pPr>
      <w:r w:rsidRPr="00415B3E">
        <w:rPr>
          <w:rFonts w:asciiTheme="minorBidi" w:hAnsiTheme="minorBidi" w:cstheme="minorBidi"/>
          <w:szCs w:val="22"/>
          <w:lang w:val="es-419"/>
        </w:rPr>
        <w:lastRenderedPageBreak/>
        <w:t>Oficina del director general</w:t>
      </w:r>
    </w:p>
    <w:p w14:paraId="23E84334"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 xml:space="preserve">La Oficina del director general se centró en la dirección estratégica general y la coordinación de la labor de la Organización. Por lo tanto, la OMPI introdujo nuevas políticas e iniciativas que fomentan una cultura de trabajo dinámica y diversa geográficamente, empoderando al personal de la OMPI para que trabaje de manera eficaz, colaborativa e innovadora. Se hizo especial hincapié en la comunicaciones habituales con los Estados miembros, y las que van dirigidas a algunos de ellos en particular, para difundir información y recibir comentarios sobre las actividades de la Organización con el objeto de mejorar la transparencia. Además, durante el año objeto del informe se dio prioridad a la aplicación del nuevo </w:t>
      </w:r>
      <w:r w:rsidRPr="00415B3E">
        <w:rPr>
          <w:rFonts w:asciiTheme="minorBidi" w:hAnsiTheme="minorBidi"/>
          <w:i/>
          <w:sz w:val="22"/>
          <w:szCs w:val="22"/>
          <w:lang w:val="es-419"/>
        </w:rPr>
        <w:t>Plan de Acción de Diversidad Geográfica</w:t>
      </w:r>
      <w:r w:rsidRPr="00415B3E">
        <w:rPr>
          <w:rFonts w:asciiTheme="minorBidi" w:hAnsiTheme="minorBidi"/>
          <w:sz w:val="22"/>
          <w:szCs w:val="22"/>
          <w:lang w:val="es-419"/>
        </w:rPr>
        <w:t>, cuyo objetivo es mejorar</w:t>
      </w:r>
      <w:r w:rsidRPr="00415B3E">
        <w:rPr>
          <w:rStyle w:val="ui-provider"/>
          <w:rFonts w:asciiTheme="minorBidi" w:hAnsiTheme="minorBidi"/>
          <w:sz w:val="22"/>
          <w:szCs w:val="22"/>
          <w:lang w:val="es-419"/>
        </w:rPr>
        <w:t xml:space="preserve"> la diversidad geográfica de la plantilla en la Organización.</w:t>
      </w:r>
    </w:p>
    <w:p w14:paraId="2066ED58"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Noticias y medios de comunicación</w:t>
      </w:r>
    </w:p>
    <w:p w14:paraId="27AC1F70"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A lo largo de 2024, las actividades de Comunicación siguieron centrándose en la sensibilización sobre la importancia de la PI para el crecimiento y el desarrollo. Para ilustrar el modo en que la PI apoya el desarrollo, se reforzó el enfoque narrativo, destacando las historias impactantes de innovadores y creadores de todo el mundo. Se centró la atención en destacar el impacto positivo desde el punto de vista humano que producen las actividades de la OMPI destinadas al desarrollo, de las cuales muchas han sido aprobadas por el CDIP. La página web “Historias sobre el impacto de la PI”, en la que los lectores pueden encontrar vídeos y artículos sobre los beneficiarios de la OMPI en todo el mundo, siguió atrayendo un número considerable de visitas.</w:t>
      </w:r>
      <w:r w:rsidRPr="00415B3E">
        <w:rPr>
          <w:rStyle w:val="FootnoteReference"/>
          <w:rFonts w:asciiTheme="minorBidi" w:hAnsiTheme="minorBidi"/>
          <w:sz w:val="22"/>
          <w:szCs w:val="22"/>
          <w:lang w:val="es-419"/>
        </w:rPr>
        <w:footnoteReference w:id="179"/>
      </w:r>
      <w:r w:rsidRPr="00415B3E">
        <w:rPr>
          <w:rFonts w:asciiTheme="minorBidi" w:hAnsiTheme="minorBidi"/>
          <w:sz w:val="22"/>
          <w:szCs w:val="22"/>
          <w:lang w:val="es-419"/>
        </w:rPr>
        <w:t xml:space="preserve"> Se produjeron más de 250 videos,</w:t>
      </w:r>
      <w:r w:rsidRPr="00415B3E">
        <w:rPr>
          <w:rStyle w:val="FootnoteReference"/>
          <w:rFonts w:asciiTheme="minorBidi" w:hAnsiTheme="minorBidi"/>
          <w:sz w:val="22"/>
          <w:szCs w:val="22"/>
          <w:lang w:val="es-419"/>
        </w:rPr>
        <w:footnoteReference w:id="180"/>
      </w:r>
      <w:r w:rsidRPr="00415B3E">
        <w:rPr>
          <w:rFonts w:asciiTheme="minorBidi" w:hAnsiTheme="minorBidi"/>
          <w:sz w:val="22"/>
          <w:szCs w:val="22"/>
          <w:lang w:val="es-419"/>
        </w:rPr>
        <w:t xml:space="preserve"> de los cuales aproximadamente la mitad presentaban a personas de países en desarrollo que utilizan la PI para transformar vidas y comunidades. El contenido de las redes sociales en todas las plataformas de la OMPI también se adaptó para destacar la importancia de la PI en el apoyo a la innovación en los países y las comunidades en desarrollo, mediante un planteamiento centrado en las personas. La presencia de la OMPI en los medios sociales experimentó un crecimiento de dos dígitos durante el año objeto del informe y alcanzó más de 550 000 seguidores, lo que indica un creciente interés mundial en la OMPI y en el uso de la PI para el crecimiento económico y cultural nacional.</w:t>
      </w:r>
    </w:p>
    <w:p w14:paraId="113ED6B2"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Ética e integridad</w:t>
      </w:r>
    </w:p>
    <w:p w14:paraId="32BF1753"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La Oficina de Ética Profesional de la OMPI continuó prestando ayuda al director general a afianzar la concepción, el desarrollo y la aplicación de la estrategia ética de la OMPI para mejorar la integridad, asegurar el cumplimiento de las disposiciones en materia de ética profesional y promover el comportamiento ético en las actividades de la Organización. Además de su mandato de proporcionar asesoramiento confidencial al personal sobre cuestiones relacionadas con la ética profesional,</w:t>
      </w:r>
      <w:r w:rsidRPr="00415B3E">
        <w:rPr>
          <w:rStyle w:val="FootnoteReference"/>
          <w:rFonts w:asciiTheme="minorBidi" w:hAnsiTheme="minorBidi"/>
          <w:sz w:val="22"/>
          <w:szCs w:val="22"/>
          <w:lang w:val="es-419"/>
        </w:rPr>
        <w:footnoteReference w:id="181"/>
      </w:r>
      <w:r w:rsidRPr="00415B3E">
        <w:rPr>
          <w:rFonts w:asciiTheme="minorBidi" w:hAnsiTheme="minorBidi"/>
          <w:sz w:val="22"/>
          <w:szCs w:val="22"/>
          <w:lang w:val="es-419"/>
        </w:rPr>
        <w:t xml:space="preserve"> y de supervisar la realización del curso obligatorio sobre Ética Profesional e Integridad, en 2024 la Oficina de Ética Profesional emprendió varias iniciativas destinadas a profundizar en el conocimiento de las normas éticas y reforzar la responsabilidad y el cumplimiento en toda la Organización. En primer lugar, la Oficina de Ética Profesional rediseñó sus páginas de Intranet para proporcionar información útil sobre cómo pueden manifestarse y abordarse los conflictos de intereses, en particular los derivados de relaciones íntimas, intereses privados, la recepción de obsequios o atenciones sociales y actividades externas, al tiempo que se facilita el acceso a los recursos y contactos pertinentes dentro de la OMPI. La Oficina de Ética Profesional también puso en marcha una encuesta para dar a conocer mejor los valores éticos de la OMPI y fomentar una mayor conexión entre estos valores y el personal. Además, se organizó una asamblea pública con unos 300 participantes </w:t>
      </w:r>
      <w:r w:rsidRPr="00415B3E">
        <w:rPr>
          <w:rFonts w:asciiTheme="minorBidi" w:hAnsiTheme="minorBidi"/>
          <w:sz w:val="22"/>
          <w:szCs w:val="22"/>
          <w:lang w:val="es-419"/>
        </w:rPr>
        <w:lastRenderedPageBreak/>
        <w:t>para presentar el mandato de la Oficina de Ética Profesional y animar al personal a buscar apoyo cuando se enfrente a dilemas éticos, incluidos los conflictos de intereses reales, potenciales o percibidos. Por último, la oficial jefa de Ética Profesional se reunió con los responsables de los sectores, tanto individual como colectivamente, para destacar el papel ejemplar de los directores y supervisores en la promoción de la conducta ética dentro de sus unidades.</w:t>
      </w:r>
    </w:p>
    <w:p w14:paraId="67EE8884"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Supervisión interna</w:t>
      </w:r>
    </w:p>
    <w:p w14:paraId="44F82717"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iCs/>
          <w:sz w:val="22"/>
          <w:szCs w:val="22"/>
          <w:lang w:val="es-419"/>
        </w:rPr>
      </w:pPr>
      <w:r w:rsidRPr="00415B3E">
        <w:rPr>
          <w:rFonts w:asciiTheme="minorBidi" w:hAnsiTheme="minorBidi"/>
          <w:sz w:val="22"/>
          <w:szCs w:val="22"/>
          <w:lang w:val="es-419"/>
        </w:rPr>
        <w:t xml:space="preserve">Las iniciativas de supervisión interna continuaron brindando apoyo a la Organización en la consecución de sus objetivos mediante el fortalecimiento de la rendición de cuentas, el cumplimiento, el uso óptimo de los recursos, la administración, el control interno y el buen gobierno. En 2024, la Sección de Evaluación de la División de Supervisión Interna completó el trabajo </w:t>
      </w:r>
      <w:r w:rsidRPr="00415B3E">
        <w:rPr>
          <w:rFonts w:asciiTheme="minorBidi" w:hAnsiTheme="minorBidi"/>
          <w:i/>
          <w:sz w:val="22"/>
          <w:szCs w:val="22"/>
          <w:lang w:val="es-419"/>
        </w:rPr>
        <w:t>“El impacto del apoyo de la OMPI a las empresarias”</w:t>
      </w:r>
      <w:r w:rsidRPr="00415B3E">
        <w:rPr>
          <w:rFonts w:asciiTheme="minorBidi" w:hAnsiTheme="minorBidi"/>
          <w:sz w:val="22"/>
          <w:szCs w:val="22"/>
          <w:lang w:val="es-419"/>
        </w:rPr>
        <w:t>, cuyo objetivo principal era identificar buenas prácticas en la OMPI para abordar la disparidad de género en las empresas. Se evaluaron tres iniciativas de la OMPI destinadas a apoyar a las empresarias: i) El Programa para emprendedoras de pueblos indígenas y comunidades locales; ii) el Proyecto sobre el fortalecimiento del papel de las mujeres en la innovación y el emprendimiento; y iii) el Proyecto de las cestas de Chobe. Las principales recomendaciones fueron las siguientes: i) todo proyecto de la OMPI destinado a apoyar a las empresarias debería incluir una estrategia de salida para garantizar la sostenibilidad; ii) debería integrarse un análisis de género en el análisis de la situación de cada proyecto; iii) debería potenciarse el papel fundamental de las oficinas nacionales de PI y otras partes interesadas locales en materia de PI en los futuros proyectos de la OMPI que apoyen a las empresarias; y iv) los futuros proyectos deberían diferenciar claramente entre el registro de la PI y la creación de marcas y la comercialización de productos para gestionar las expectativas de los beneficiarios de los proyectos en relación con el apoyo de la OMPI.</w:t>
      </w:r>
    </w:p>
    <w:p w14:paraId="7F006FD9" w14:textId="77777777" w:rsidR="00FD5CE0" w:rsidRPr="00415B3E" w:rsidRDefault="00FD5CE0" w:rsidP="004A1B4D">
      <w:pPr>
        <w:pStyle w:val="Heading2"/>
        <w:rPr>
          <w:rFonts w:asciiTheme="minorBidi" w:hAnsiTheme="minorBidi" w:cstheme="minorBidi"/>
          <w:szCs w:val="22"/>
          <w:lang w:val="es-419"/>
        </w:rPr>
      </w:pPr>
      <w:bookmarkStart w:id="34" w:name="_Hlk190684999"/>
      <w:r w:rsidRPr="00415B3E">
        <w:rPr>
          <w:rFonts w:asciiTheme="minorBidi" w:hAnsiTheme="minorBidi" w:cstheme="minorBidi"/>
          <w:szCs w:val="22"/>
          <w:lang w:val="es-419"/>
        </w:rPr>
        <w:t>Plan de Acción de Diversidad Geográfica</w:t>
      </w:r>
    </w:p>
    <w:p w14:paraId="4ECFD782"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iCs/>
          <w:sz w:val="22"/>
          <w:szCs w:val="22"/>
          <w:lang w:val="es-419"/>
        </w:rPr>
      </w:pPr>
      <w:r w:rsidRPr="00415B3E">
        <w:rPr>
          <w:rFonts w:asciiTheme="minorBidi" w:hAnsiTheme="minorBidi"/>
          <w:sz w:val="22"/>
          <w:szCs w:val="22"/>
          <w:lang w:val="es-419"/>
        </w:rPr>
        <w:t>En julio de 2023, la OMPI presentó el Plan de Acción de Diversidad Geográfica a su Comité de Coordinación, reafirmando su compromiso de aumentar la diversidad geográfica entre su personal. Aprobado por los Estados miembros, el plan se centra en tres objetivos clave: i) fomentar las alianzas con los Estados miembros para llegar a un público más específico; ii) integrar la diversidad geográfica en toda la OMPI, y iii) impulsar los esfuerzos de fortalecimiento de capacidades. En 2024, la OMPI llevó a cabo cuatro consultas regionales y 22 consultas específicas por países para reforzar dichas asociaciones. La OMPI también organizó sesiones informativas sobre recursos humanos en otras reuniones de la OMPI, dirigidas a la comunidad de la PI para abordar los retos comunes en materia de adquisición y retención de talentos. Por último, como parte del pilar iii), la OMPI inició en 2024 el proyecto piloto sobre carreras profesionales en la PI con tres países seleccionados,</w:t>
      </w:r>
      <w:r w:rsidRPr="00415B3E">
        <w:rPr>
          <w:rStyle w:val="FootnoteReference"/>
          <w:rFonts w:asciiTheme="minorBidi" w:hAnsiTheme="minorBidi"/>
          <w:iCs/>
          <w:sz w:val="22"/>
          <w:szCs w:val="22"/>
          <w:lang w:val="es-419"/>
        </w:rPr>
        <w:footnoteReference w:id="182"/>
      </w:r>
      <w:r w:rsidRPr="00415B3E">
        <w:rPr>
          <w:rFonts w:asciiTheme="minorBidi" w:hAnsiTheme="minorBidi"/>
          <w:sz w:val="22"/>
          <w:szCs w:val="22"/>
          <w:lang w:val="es-419"/>
        </w:rPr>
        <w:t xml:space="preserve"> un esfuerzo emblemático que aprovecha un enfoque basado en proyectos a través de una estrecha colaboración con Sector de Desarrollo Regional y Nacional. El objetivo del proyecto es reforzar la capacidad de las partes interesadas nacionales, incluidos funcionarios gubernamentales, profesionales y estudiantes interesados en seguir una carrera en el ámbito de la PI, al tiempo que se diseña un marco para dotar a las principales partes interesadas de las herramientas necesarias para fomentar el desarrollo del talento. En este contexto, un objetivo clave del proyecto será ampliar la reserva de talentos para garantizar un flujo más diverso de talentos para las oportunidades de PI nacionales e internacionales. La Academia de la OMPI será un socio central en la ejecución del proyecto mediante el fomento de la educación en PI y las iniciativas de fortalecimiento de capacidades en los países seleccionados, apoyando así la creación de reservas nacionales sostenibles de talentos y garantizando la sostenibilidad y la adaptabilidad de los resultados. En el marco del proyecto, también se desarrollará una metodología repetible </w:t>
      </w:r>
      <w:r w:rsidRPr="00415B3E">
        <w:rPr>
          <w:rFonts w:asciiTheme="minorBidi" w:hAnsiTheme="minorBidi"/>
          <w:sz w:val="22"/>
          <w:szCs w:val="22"/>
          <w:lang w:val="es-419"/>
        </w:rPr>
        <w:lastRenderedPageBreak/>
        <w:t>para atraer talento, que permitirá que los esfuerzos de fortalecimiento de capacidades lleguen a otros países.</w:t>
      </w:r>
    </w:p>
    <w:bookmarkEnd w:id="34"/>
    <w:p w14:paraId="168B83D9" w14:textId="77777777" w:rsidR="00FD5CE0" w:rsidRPr="00415B3E" w:rsidRDefault="00FD5CE0" w:rsidP="004A1B4D">
      <w:pPr>
        <w:pStyle w:val="Heading2"/>
        <w:rPr>
          <w:rFonts w:asciiTheme="minorBidi" w:hAnsiTheme="minorBidi" w:cstheme="minorBidi"/>
          <w:szCs w:val="22"/>
          <w:lang w:val="es-419"/>
        </w:rPr>
      </w:pPr>
      <w:r w:rsidRPr="00415B3E">
        <w:rPr>
          <w:rFonts w:asciiTheme="minorBidi" w:hAnsiTheme="minorBidi" w:cstheme="minorBidi"/>
          <w:szCs w:val="22"/>
          <w:lang w:val="es-419"/>
        </w:rPr>
        <w:t>Programa de Jóvenes Especialistas</w:t>
      </w:r>
    </w:p>
    <w:p w14:paraId="014DEBB6" w14:textId="77777777" w:rsidR="00FD5CE0" w:rsidRPr="00415B3E" w:rsidRDefault="00FD5CE0" w:rsidP="00FD5CE0">
      <w:pPr>
        <w:pStyle w:val="ListParagraph"/>
        <w:numPr>
          <w:ilvl w:val="0"/>
          <w:numId w:val="13"/>
        </w:numPr>
        <w:spacing w:after="24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El Programa de Jóvenes Especialistas de la OMPI, lanzado en 2022, tenía como objetivo formar a la próxima generación de líderes globales en materia de PI para que ayuden a crear ecosistemas de creatividad en todo el mundo. Este programa, que tiene una duración de dos años y está organizado por la OMPI, está diseñado para que los jóvenes profesionales con gran potencial, en particular, de países en desarrollo, PMA y países con economías en transición, se familiaricen con los aspectos técnicos y las políticas de la PI. Cada participante se pone en contacto con un mentor y se beneficia de oportunidades de establecimiento de redes de contacto con altos directivos de la OMPI. Tras la exitosa graduación de dos grupos en 2022 y 2023, el programa ha entrado en su cuarto año. La convocación de candidaturas para el cuarto grupo, lanzada en julio de 2024, atrajo 5 872 solicitudes. El 1 de febrero de 2025, ese grupo, seleccionado entre una amplia gama de países, comenzó sus tareas. Durante el año objeto del informe, se rediseñó el Programa de Jóvenes Especialistas, lo que permitió al cuarto grupo dividir su tiempo a partes iguales entre las tareas seleccionadas. Como resultado, los participantes adquirirán una amplia experiencia laboral en la OMPI, centrada en el aprendizaje en el puesto de trabajo en varios sectores de la OMPI. La OMPI espera que los jóvenes especialistas aporten nuevas perspectivas y experiencias diversas a la Organización, al tiempo que defienden sus valores fundamentales y su pasión por promover un sistema internacional de PI equilibrado y eficaz.</w:t>
      </w:r>
    </w:p>
    <w:p w14:paraId="25584A5C" w14:textId="77777777" w:rsidR="00FD5CE0" w:rsidRPr="00415B3E" w:rsidRDefault="00FD5CE0" w:rsidP="00683D4A">
      <w:pPr>
        <w:pStyle w:val="Heading1"/>
        <w:keepLines/>
        <w:spacing w:before="0" w:after="240"/>
        <w:rPr>
          <w:rFonts w:asciiTheme="minorBidi" w:hAnsiTheme="minorBidi" w:cstheme="minorBidi"/>
          <w:szCs w:val="22"/>
          <w:lang w:val="es-419"/>
        </w:rPr>
      </w:pPr>
      <w:r w:rsidRPr="00415B3E">
        <w:rPr>
          <w:rFonts w:asciiTheme="minorBidi" w:hAnsiTheme="minorBidi" w:cstheme="minorBidi"/>
          <w:caps w:val="0"/>
          <w:szCs w:val="22"/>
          <w:lang w:val="es-419"/>
        </w:rPr>
        <w:t>CONCLUSIÓN</w:t>
      </w:r>
    </w:p>
    <w:p w14:paraId="47296977" w14:textId="77777777" w:rsidR="00FD5CE0" w:rsidRPr="00415B3E" w:rsidRDefault="00FD5CE0" w:rsidP="00683D4A">
      <w:pPr>
        <w:pStyle w:val="ListParagraph"/>
        <w:keepNext/>
        <w:keepLines/>
        <w:numPr>
          <w:ilvl w:val="0"/>
          <w:numId w:val="13"/>
        </w:numPr>
        <w:spacing w:after="0" w:line="240" w:lineRule="auto"/>
        <w:ind w:left="0" w:firstLine="0"/>
        <w:contextualSpacing w:val="0"/>
        <w:rPr>
          <w:rFonts w:asciiTheme="minorBidi" w:hAnsiTheme="minorBidi"/>
          <w:sz w:val="22"/>
          <w:szCs w:val="22"/>
          <w:lang w:val="es-419"/>
        </w:rPr>
      </w:pPr>
      <w:r w:rsidRPr="00415B3E">
        <w:rPr>
          <w:rFonts w:asciiTheme="minorBidi" w:hAnsiTheme="minorBidi"/>
          <w:sz w:val="22"/>
          <w:szCs w:val="22"/>
          <w:lang w:val="es-419"/>
        </w:rPr>
        <w:t>En 2024, la OMPI siguió avanzando en su misión de fomentar la innovación y la creatividad para un futuro mejor, apoyando a los Estados miembros en el aprovechamiento de la PI para el desarrollo. Los esfuerzos de la Organización se guiaron por el Plan Estratégico a Mediano Plazo (PEMP) para 2022-2026, que hace hincapié en la importancia de los sistemas de PI orientados al desarrollo. Entre los principales logros cabe destacar la adopción de siete nuevos proyectos de la AD, que reflejan el compromiso de la OMPI de satisfacer las necesidades cambiantes de sus Estados miembros. Mediante el refuerzo de la coordinación interna y el aprovechamiento de las sinergias entre sus sectores, la OMPI proporcionó apoyo específico y adaptado para ayudar a los Estados miembros a desenvolverse en el complejo panorama de la PI. A medida que avanza, la OMPI mantiene su compromiso de garantizar que la Agenda para el Desarrollo siga siendo un pilar central de su labor, impulsando el crecimiento y el desarrollo sostenibles en todo el mundo.</w:t>
      </w:r>
    </w:p>
    <w:p w14:paraId="1ABFC87F" w14:textId="77777777" w:rsidR="00FD5CE0" w:rsidRPr="00415B3E" w:rsidRDefault="00FD5CE0" w:rsidP="00FD5CE0">
      <w:pPr>
        <w:pStyle w:val="ListParagraph"/>
        <w:spacing w:before="720"/>
        <w:ind w:left="5528"/>
        <w:contextualSpacing w:val="0"/>
        <w:rPr>
          <w:rFonts w:asciiTheme="minorBidi" w:hAnsiTheme="minorBidi"/>
          <w:sz w:val="22"/>
          <w:szCs w:val="22"/>
          <w:lang w:val="es-419"/>
        </w:rPr>
        <w:sectPr w:rsidR="00FD5CE0" w:rsidRPr="00415B3E" w:rsidSect="008E019A">
          <w:headerReference w:type="default" r:id="rId16"/>
          <w:endnotePr>
            <w:numFmt w:val="decimal"/>
          </w:endnotePr>
          <w:pgSz w:w="11907" w:h="16840" w:code="9"/>
          <w:pgMar w:top="567" w:right="1134" w:bottom="1418" w:left="1418" w:header="510" w:footer="1021" w:gutter="0"/>
          <w:pgNumType w:start="1"/>
          <w:cols w:space="720"/>
          <w:titlePg/>
          <w:docGrid w:linePitch="299"/>
        </w:sectPr>
      </w:pPr>
      <w:r w:rsidRPr="00415B3E">
        <w:rPr>
          <w:rFonts w:asciiTheme="minorBidi" w:hAnsiTheme="minorBidi"/>
          <w:sz w:val="22"/>
          <w:szCs w:val="22"/>
          <w:lang w:val="es-419"/>
        </w:rPr>
        <w:t>[Siguen los Anexos]</w:t>
      </w:r>
    </w:p>
    <w:p w14:paraId="4A7B6C3B" w14:textId="77777777" w:rsidR="00FD5CE0" w:rsidRPr="00415B3E" w:rsidRDefault="00FD5CE0" w:rsidP="00FD5CE0">
      <w:pPr>
        <w:pStyle w:val="Heading1"/>
        <w:spacing w:after="120"/>
        <w:jc w:val="center"/>
        <w:rPr>
          <w:rFonts w:asciiTheme="minorBidi" w:hAnsiTheme="minorBidi" w:cstheme="minorBidi"/>
          <w:szCs w:val="22"/>
          <w:lang w:val="es-419"/>
        </w:rPr>
      </w:pPr>
      <w:bookmarkStart w:id="35" w:name="_Hlk190866920"/>
      <w:r w:rsidRPr="00415B3E">
        <w:rPr>
          <w:rFonts w:asciiTheme="minorBidi" w:hAnsiTheme="minorBidi" w:cstheme="minorBidi"/>
          <w:szCs w:val="22"/>
          <w:lang w:val="es-419"/>
        </w:rPr>
        <w:lastRenderedPageBreak/>
        <w:t>VÍNCULOS ENTRE LAS 45 RECOMENDACIONES DE LA AD Y LOS RESULTADOS PREVISTOS DE LA OMPI PARA 2022-26</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FD5CE0" w:rsidRPr="00415B3E" w14:paraId="2217DCFD" w14:textId="77777777" w:rsidTr="00325E6F">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F3E0D5"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1*</w:t>
            </w:r>
            <w:r w:rsidRPr="00415B3E">
              <w:rPr>
                <w:rFonts w:asciiTheme="minorBidi" w:eastAsia="Times New Roman" w:hAnsiTheme="minorBidi" w:cstheme="minorBidi"/>
                <w:b/>
                <w:i/>
                <w:szCs w:val="22"/>
                <w:vertAlign w:val="superscript"/>
                <w:lang w:val="es-419" w:eastAsia="en-US"/>
              </w:rPr>
              <w:footnoteReference w:id="183"/>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53D92" w14:textId="77777777" w:rsidR="00FD5CE0" w:rsidRPr="00415B3E" w:rsidRDefault="00FD5CE0" w:rsidP="00325E6F">
            <w:pPr>
              <w:rPr>
                <w:rFonts w:asciiTheme="minorBidi" w:hAnsiTheme="minorBidi" w:cstheme="minorBidi"/>
                <w:b/>
                <w:i/>
                <w:szCs w:val="22"/>
                <w:lang w:val="es-419"/>
              </w:rPr>
            </w:pPr>
            <w:r w:rsidRPr="00415B3E">
              <w:rPr>
                <w:rFonts w:asciiTheme="minorBidi" w:hAnsiTheme="minorBidi" w:cstheme="minorBidi"/>
                <w:b/>
                <w:i/>
                <w:szCs w:val="22"/>
                <w:lang w:val="es-419"/>
              </w:rPr>
              <w:t>Vínculo a los resultados previstos</w:t>
            </w:r>
            <w:r w:rsidRPr="00415B3E">
              <w:rPr>
                <w:rFonts w:asciiTheme="minorBidi" w:hAnsiTheme="minorBidi" w:cstheme="minorBidi"/>
                <w:b/>
                <w:i/>
                <w:szCs w:val="22"/>
                <w:vertAlign w:val="superscript"/>
                <w:lang w:val="es-419"/>
              </w:rPr>
              <w:footnoteReference w:id="184"/>
            </w:r>
          </w:p>
        </w:tc>
      </w:tr>
      <w:tr w:rsidR="00FD5CE0" w:rsidRPr="00415B3E" w14:paraId="18AA13C4"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8858C5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664879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59B2A457" w14:textId="77777777" w:rsidR="00FD5CE0" w:rsidRPr="00415B3E" w:rsidRDefault="00FD5CE0" w:rsidP="00325E6F">
            <w:pPr>
              <w:rPr>
                <w:rFonts w:asciiTheme="minorBidi" w:hAnsiTheme="minorBidi" w:cstheme="minorBidi"/>
                <w:szCs w:val="22"/>
                <w:lang w:val="es-419"/>
              </w:rPr>
            </w:pPr>
          </w:p>
          <w:p w14:paraId="35577A7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2.4 Interacción y lazos de colaboración eficaces con la ONU, las OIG y las ONG para apoyar los objetivos mundiales a los que puede contribuir la PI.</w:t>
            </w:r>
          </w:p>
          <w:p w14:paraId="78011CE9" w14:textId="77777777" w:rsidR="00FD5CE0" w:rsidRPr="00415B3E" w:rsidRDefault="00FD5CE0" w:rsidP="00325E6F">
            <w:pPr>
              <w:rPr>
                <w:rFonts w:asciiTheme="minorBidi" w:hAnsiTheme="minorBidi" w:cstheme="minorBidi"/>
                <w:szCs w:val="22"/>
                <w:lang w:val="es-419"/>
              </w:rPr>
            </w:pPr>
          </w:p>
          <w:p w14:paraId="5DBF0B0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05162904" w14:textId="77777777" w:rsidR="00FD5CE0" w:rsidRPr="00415B3E" w:rsidRDefault="00FD5CE0" w:rsidP="00325E6F">
            <w:pPr>
              <w:rPr>
                <w:rFonts w:asciiTheme="minorBidi" w:hAnsiTheme="minorBidi" w:cstheme="minorBidi"/>
                <w:szCs w:val="22"/>
                <w:lang w:val="es-419"/>
              </w:rPr>
            </w:pPr>
          </w:p>
          <w:p w14:paraId="3E30376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5ACA1FB1" w14:textId="77777777" w:rsidR="00FD5CE0" w:rsidRPr="00415B3E" w:rsidRDefault="00FD5CE0" w:rsidP="00325E6F">
            <w:pPr>
              <w:rPr>
                <w:rFonts w:asciiTheme="minorBidi" w:hAnsiTheme="minorBidi" w:cstheme="minorBidi"/>
                <w:szCs w:val="22"/>
                <w:lang w:val="es-419"/>
              </w:rPr>
            </w:pPr>
          </w:p>
          <w:p w14:paraId="172EA8C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4.3 Aumento de los conocimientos y competencias en materia de PI en todos los Estados miembros.</w:t>
            </w:r>
          </w:p>
          <w:p w14:paraId="740D040C" w14:textId="77777777" w:rsidR="00FD5CE0" w:rsidRPr="00415B3E" w:rsidRDefault="00FD5CE0" w:rsidP="00325E6F">
            <w:pPr>
              <w:rPr>
                <w:rFonts w:asciiTheme="minorBidi" w:hAnsiTheme="minorBidi" w:cstheme="minorBidi"/>
                <w:szCs w:val="22"/>
                <w:lang w:val="es-419"/>
              </w:rPr>
            </w:pPr>
          </w:p>
          <w:p w14:paraId="32613DF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4.5 Mejora de la infraestructura de PI en las oficinas de PI.</w:t>
            </w:r>
          </w:p>
          <w:p w14:paraId="57920A82" w14:textId="77777777" w:rsidR="00FD5CE0" w:rsidRPr="00415B3E" w:rsidRDefault="00FD5CE0" w:rsidP="00325E6F">
            <w:pPr>
              <w:rPr>
                <w:rFonts w:asciiTheme="minorBidi" w:hAnsiTheme="minorBidi" w:cstheme="minorBidi"/>
                <w:szCs w:val="22"/>
                <w:lang w:val="es-419"/>
              </w:rPr>
            </w:pPr>
          </w:p>
        </w:tc>
      </w:tr>
      <w:tr w:rsidR="00FD5CE0" w:rsidRPr="00415B3E" w14:paraId="78B35497"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C5075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B68258"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46E2EB17"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3B24510" w14:textId="30EB4C9B" w:rsidR="00FD5CE0" w:rsidRPr="00415B3E" w:rsidRDefault="00FD5CE0" w:rsidP="001743F1">
            <w:pPr>
              <w:spacing w:after="360"/>
              <w:rPr>
                <w:rFonts w:asciiTheme="minorBidi" w:hAnsiTheme="minorBidi" w:cstheme="minorBidi"/>
                <w:szCs w:val="22"/>
                <w:lang w:val="es-419"/>
              </w:rPr>
            </w:pPr>
            <w:r w:rsidRPr="00415B3E">
              <w:rPr>
                <w:rFonts w:asciiTheme="minorBidi" w:hAnsiTheme="minorBidi" w:cstheme="minorBidi"/>
                <w:szCs w:val="22"/>
                <w:lang w:val="es-419"/>
              </w:rPr>
              <w:t xml:space="preserve">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w:t>
            </w:r>
            <w:r w:rsidRPr="00415B3E">
              <w:rPr>
                <w:rFonts w:asciiTheme="minorBidi" w:hAnsiTheme="minorBidi" w:cstheme="minorBidi"/>
                <w:szCs w:val="22"/>
                <w:lang w:val="es-419"/>
              </w:rPr>
              <w:lastRenderedPageBreak/>
              <w:t>explotación de la propiedad intelectual en esos países desde el punto de vista jurídico, comercial, cultural y económico.</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1033C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lastRenderedPageBreak/>
              <w:t>4.1 Un uso más eficaz de un sistema equilibrado de PI para apoyar el crecimiento y el desarrollo de todos los Estados miembros y sus regiones y subregiones, entre otras cosas, mediante la implantación de las recomendaciones de la Agenda para el Desarrollo.</w:t>
            </w:r>
          </w:p>
          <w:p w14:paraId="3DA03A21" w14:textId="77777777" w:rsidR="00FD5CE0" w:rsidRPr="00415B3E" w:rsidRDefault="00FD5CE0" w:rsidP="00325E6F">
            <w:pPr>
              <w:rPr>
                <w:rFonts w:asciiTheme="minorBidi" w:hAnsiTheme="minorBidi" w:cstheme="minorBidi"/>
                <w:szCs w:val="22"/>
                <w:lang w:val="es-419"/>
              </w:rPr>
            </w:pPr>
          </w:p>
        </w:tc>
      </w:tr>
      <w:tr w:rsidR="00FD5CE0" w:rsidRPr="00415B3E" w14:paraId="0368A4A2"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61A8C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9572F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24A10CE1"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0809D1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11744B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1.1 Una comunicación y una implicación más sólidas en todo el mundo para aumentar la concienciación y el conocimiento sobre la forma en que la PI puede mejorar la vida de la humanidad en su conjunto, y en todas partes.</w:t>
            </w:r>
          </w:p>
          <w:p w14:paraId="34B3CD4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70D75B2F" w14:textId="77777777" w:rsidR="00FD5CE0" w:rsidRPr="00415B3E" w:rsidRDefault="00FD5CE0" w:rsidP="00325E6F">
            <w:pPr>
              <w:rPr>
                <w:rFonts w:asciiTheme="minorBidi" w:hAnsiTheme="minorBidi" w:cstheme="minorBidi"/>
                <w:szCs w:val="22"/>
                <w:lang w:val="es-419"/>
              </w:rPr>
            </w:pPr>
          </w:p>
          <w:p w14:paraId="10D208F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4.3 Aumento de los conocimientos y competencias en materia de PI en todos los Estados miembros.</w:t>
            </w:r>
          </w:p>
          <w:p w14:paraId="64AEE556" w14:textId="77777777" w:rsidR="00FD5CE0" w:rsidRPr="00415B3E" w:rsidRDefault="00FD5CE0" w:rsidP="00325E6F">
            <w:pPr>
              <w:rPr>
                <w:rFonts w:asciiTheme="minorBidi" w:hAnsiTheme="minorBidi" w:cstheme="minorBidi"/>
                <w:szCs w:val="22"/>
                <w:lang w:val="es-419"/>
              </w:rPr>
            </w:pPr>
          </w:p>
        </w:tc>
      </w:tr>
      <w:tr w:rsidR="00FD5CE0" w:rsidRPr="00415B3E" w14:paraId="4A260D59"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77D82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ABFD6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5F52835C"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0DAE59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Destacar, en particular, las necesidades de las pymes y las instituciones de investigación científica, así como las industrias culturales, y asistir a los Estados miembros, cuando éstos lo soliciten, en el establecimiento de estrategias nacionales adecuadas en el campo de la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8A614D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767B41AA" w14:textId="77777777" w:rsidR="00FD5CE0" w:rsidRPr="00415B3E" w:rsidRDefault="00FD5CE0" w:rsidP="00325E6F">
            <w:pPr>
              <w:rPr>
                <w:rFonts w:asciiTheme="minorBidi" w:hAnsiTheme="minorBidi" w:cstheme="minorBidi"/>
                <w:szCs w:val="22"/>
                <w:lang w:val="es-419"/>
              </w:rPr>
            </w:pPr>
          </w:p>
          <w:p w14:paraId="71931FB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3434FDE9" w14:textId="77777777" w:rsidR="00FD5CE0" w:rsidRPr="00415B3E" w:rsidRDefault="00FD5CE0" w:rsidP="00325E6F">
            <w:pPr>
              <w:rPr>
                <w:rFonts w:asciiTheme="minorBidi" w:hAnsiTheme="minorBidi" w:cstheme="minorBidi"/>
                <w:szCs w:val="22"/>
                <w:lang w:val="es-419"/>
              </w:rPr>
            </w:pPr>
          </w:p>
          <w:p w14:paraId="6FFD974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6EA265FF" w14:textId="77777777" w:rsidR="00FD5CE0" w:rsidRPr="00415B3E" w:rsidRDefault="00FD5CE0" w:rsidP="00325E6F">
            <w:pPr>
              <w:rPr>
                <w:rFonts w:asciiTheme="minorBidi" w:hAnsiTheme="minorBidi" w:cstheme="minorBidi"/>
                <w:szCs w:val="22"/>
                <w:lang w:val="es-419"/>
              </w:rPr>
            </w:pPr>
          </w:p>
          <w:p w14:paraId="672FDFB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4.4 Más innovadores, creadores, pymes, universidades, instituciones de investigación y comunidades sacan provecho de la PI.</w:t>
            </w:r>
          </w:p>
          <w:p w14:paraId="32A782D2" w14:textId="77777777" w:rsidR="00FD5CE0" w:rsidRPr="00415B3E" w:rsidRDefault="00FD5CE0" w:rsidP="00325E6F">
            <w:pPr>
              <w:rPr>
                <w:rFonts w:asciiTheme="minorBidi" w:hAnsiTheme="minorBidi" w:cstheme="minorBidi"/>
                <w:szCs w:val="22"/>
                <w:lang w:val="es-419"/>
              </w:rPr>
            </w:pPr>
          </w:p>
        </w:tc>
      </w:tr>
      <w:tr w:rsidR="00FD5CE0" w:rsidRPr="00415B3E" w14:paraId="39961886"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864ECA" w14:textId="77777777" w:rsidR="00FD5CE0" w:rsidRPr="00415B3E" w:rsidRDefault="00FD5CE0" w:rsidP="001743F1">
            <w:pPr>
              <w:keepNext/>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898A93" w14:textId="77777777" w:rsidR="00FD5CE0" w:rsidRPr="00415B3E" w:rsidRDefault="00FD5CE0" w:rsidP="001743F1">
            <w:pPr>
              <w:keepNext/>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30A269A8"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E378E77" w14:textId="77777777" w:rsidR="00FD5CE0" w:rsidRPr="00415B3E" w:rsidRDefault="00FD5CE0" w:rsidP="001743F1">
            <w:pPr>
              <w:keepNext/>
              <w:rPr>
                <w:rFonts w:asciiTheme="minorBidi" w:hAnsiTheme="minorBidi" w:cstheme="minorBidi"/>
                <w:szCs w:val="22"/>
                <w:lang w:val="es-419"/>
              </w:rPr>
            </w:pPr>
            <w:r w:rsidRPr="00415B3E">
              <w:rPr>
                <w:rFonts w:asciiTheme="minorBidi" w:hAnsiTheme="minorBidi" w:cstheme="minorBidi"/>
                <w:szCs w:val="22"/>
                <w:lang w:val="es-419"/>
              </w:rPr>
              <w:t>La OMPI publicará en su sitio web la información general sobre todas las actividades de asistencia técnica y, a petición de los Estados miembros, proporcionará los detalles de determinadas actividades, con el consentimiento de los Estados miembros y los beneficiarios interesados para los cuales se haya llevado a cabo la actividad en cuestión.</w:t>
            </w:r>
          </w:p>
          <w:p w14:paraId="44615780" w14:textId="77777777" w:rsidR="00FD5CE0" w:rsidRPr="00415B3E" w:rsidRDefault="00FD5CE0" w:rsidP="001743F1">
            <w:pPr>
              <w:keepNext/>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566B565" w14:textId="77777777" w:rsidR="00FD5CE0" w:rsidRPr="00415B3E" w:rsidRDefault="00FD5CE0" w:rsidP="001743F1">
            <w:pPr>
              <w:keepNext/>
              <w:rPr>
                <w:rFonts w:asciiTheme="minorBidi" w:hAnsiTheme="minorBidi" w:cstheme="minorBidi"/>
                <w:szCs w:val="22"/>
                <w:lang w:val="es-419"/>
              </w:rPr>
            </w:pPr>
            <w:r w:rsidRPr="00415B3E">
              <w:rPr>
                <w:rFonts w:asciiTheme="minorBidi" w:hAnsiTheme="minorBidi" w:cstheme="minorBidi"/>
                <w:szCs w:val="22"/>
                <w:lang w:val="es-419"/>
              </w:rPr>
              <w:t>3.1 Uso más amplio y eficaz de los sistemas, servicios, conocimientos y datos mundiales de la OMPI en materia de propiedad intelectual.</w:t>
            </w:r>
          </w:p>
          <w:p w14:paraId="3049D31C" w14:textId="77777777" w:rsidR="00FD5CE0" w:rsidRPr="00415B3E" w:rsidRDefault="00FD5CE0" w:rsidP="001743F1">
            <w:pPr>
              <w:keepNext/>
              <w:rPr>
                <w:rFonts w:asciiTheme="minorBidi" w:hAnsiTheme="minorBidi" w:cstheme="minorBidi"/>
                <w:szCs w:val="22"/>
                <w:lang w:val="es-419"/>
              </w:rPr>
            </w:pPr>
          </w:p>
          <w:p w14:paraId="1B34B6D6" w14:textId="77777777" w:rsidR="00FD5CE0" w:rsidRPr="00415B3E" w:rsidRDefault="00FD5CE0" w:rsidP="001743F1">
            <w:pPr>
              <w:keepNext/>
              <w:spacing w:after="240"/>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5056E52A" w14:textId="77777777" w:rsidR="00FD5CE0" w:rsidRPr="00415B3E" w:rsidRDefault="00FD5CE0" w:rsidP="001743F1">
            <w:pPr>
              <w:keepNext/>
              <w:rPr>
                <w:rFonts w:asciiTheme="minorBidi" w:hAnsiTheme="minorBidi" w:cstheme="minorBidi"/>
                <w:szCs w:val="22"/>
                <w:lang w:val="es-419"/>
              </w:rPr>
            </w:pPr>
          </w:p>
        </w:tc>
      </w:tr>
      <w:tr w:rsidR="00FD5CE0" w:rsidRPr="00415B3E" w14:paraId="1C053703"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BC0D0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4B90F8"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366E8ED6"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F1C3B6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El personal y los consultores de la OMPI encargados de la asistencia técnica seguirán siendo neutrales y responsables, prestando particular atención al Código Deontológico en vigor y evitando eventuales conflictos de interés. La OMPI elaborará una lista de los consultores encargados de la asistencia técnica al servicio de la OMPI, lista que será ampliamente difundida entre sus Estados miembros.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9203CB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74C6A8FF" w14:textId="77777777" w:rsidR="00FD5CE0" w:rsidRPr="00415B3E" w:rsidRDefault="00FD5CE0" w:rsidP="00325E6F">
            <w:pPr>
              <w:rPr>
                <w:rFonts w:asciiTheme="minorBidi" w:hAnsiTheme="minorBidi" w:cstheme="minorBidi"/>
                <w:szCs w:val="22"/>
                <w:lang w:val="es-419"/>
              </w:rPr>
            </w:pPr>
          </w:p>
          <w:p w14:paraId="044E416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5.1 Empoderamiento de la Secretaría gracias a una cultura institucional dinámica y dotada de la formación y los recursos necesarios para trabajar de forma eficaz, colaborativa e innovadora.</w:t>
            </w:r>
          </w:p>
          <w:p w14:paraId="492F4B74" w14:textId="77777777" w:rsidR="00FD5CE0" w:rsidRPr="00415B3E" w:rsidRDefault="00FD5CE0" w:rsidP="00325E6F">
            <w:pPr>
              <w:rPr>
                <w:rFonts w:asciiTheme="minorBidi" w:hAnsiTheme="minorBidi" w:cstheme="minorBidi"/>
                <w:szCs w:val="22"/>
                <w:lang w:val="es-419"/>
              </w:rPr>
            </w:pPr>
          </w:p>
        </w:tc>
      </w:tr>
      <w:tr w:rsidR="00FD5CE0" w:rsidRPr="00415B3E" w14:paraId="4149C03C"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6A7E95"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8707F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2A1115DE"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560A37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14:paraId="276C4574"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FB14D9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4FFA09D2" w14:textId="77777777" w:rsidR="00FD5CE0" w:rsidRPr="00415B3E" w:rsidRDefault="00FD5CE0" w:rsidP="00325E6F">
            <w:pPr>
              <w:rPr>
                <w:rFonts w:asciiTheme="minorBidi" w:hAnsiTheme="minorBidi" w:cstheme="minorBidi"/>
                <w:szCs w:val="22"/>
                <w:lang w:val="es-419"/>
              </w:rPr>
            </w:pPr>
          </w:p>
          <w:p w14:paraId="46579C39" w14:textId="77777777" w:rsidR="00FD5CE0" w:rsidRPr="00415B3E" w:rsidRDefault="00FD5CE0" w:rsidP="00325E6F">
            <w:pPr>
              <w:rPr>
                <w:rFonts w:asciiTheme="minorBidi" w:hAnsiTheme="minorBidi" w:cstheme="minorBidi"/>
                <w:szCs w:val="22"/>
                <w:lang w:val="es-419"/>
              </w:rPr>
            </w:pPr>
          </w:p>
        </w:tc>
      </w:tr>
      <w:tr w:rsidR="00FD5CE0" w:rsidRPr="00415B3E" w14:paraId="1AFE2CBC"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80B35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6D450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65A9D963"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406E03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 xml:space="preserve">Solicitar a la OMPI que celebre acuerdos con instituciones de investigación y empresas privadas, con miras a facilitar el acceso de las oficinas nacionales de los países en desarrollo, </w:t>
            </w:r>
            <w:r w:rsidRPr="00415B3E">
              <w:rPr>
                <w:rFonts w:asciiTheme="minorBidi" w:hAnsiTheme="minorBidi" w:cstheme="minorBidi"/>
                <w:szCs w:val="22"/>
                <w:lang w:val="es-419"/>
              </w:rPr>
              <w:lastRenderedPageBreak/>
              <w:t>especialmente los PMA, y sus organizaciones regionales y subregionales de PI, a las bases de datos especializadas para realizar búsquedas en materia de patentes.</w:t>
            </w:r>
          </w:p>
          <w:p w14:paraId="36D3A4F9"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06CB0E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lastRenderedPageBreak/>
              <w:t>3.3 Facilitar la transferencia de conocimientos y la adaptación de la tecnología a través de las plataformas y herramientas de PI de la OMPI para hacer frente a los desafíos mundiales.</w:t>
            </w:r>
          </w:p>
          <w:p w14:paraId="14CAB26F" w14:textId="77777777" w:rsidR="00FD5CE0" w:rsidRPr="00415B3E" w:rsidRDefault="00FD5CE0" w:rsidP="00325E6F">
            <w:pPr>
              <w:rPr>
                <w:rFonts w:asciiTheme="minorBidi" w:hAnsiTheme="minorBidi" w:cstheme="minorBidi"/>
                <w:szCs w:val="22"/>
                <w:lang w:val="es-419"/>
              </w:rPr>
            </w:pPr>
          </w:p>
          <w:p w14:paraId="3F2C083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4.3 Aumento de los conocimientos y competencias en materia de PI en todos los Estados miembros.</w:t>
            </w:r>
          </w:p>
          <w:p w14:paraId="17431EAA" w14:textId="77777777" w:rsidR="00FD5CE0" w:rsidRPr="00415B3E" w:rsidRDefault="00FD5CE0" w:rsidP="00325E6F">
            <w:pPr>
              <w:rPr>
                <w:rFonts w:asciiTheme="minorBidi" w:hAnsiTheme="minorBidi" w:cstheme="minorBidi"/>
                <w:szCs w:val="22"/>
                <w:lang w:val="es-419"/>
              </w:rPr>
            </w:pPr>
          </w:p>
          <w:p w14:paraId="04FC119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4.4 Más innovadores, creadores, pymes, universidades, instituciones de investigación y comunidades sacan provecho de la PI.</w:t>
            </w:r>
          </w:p>
          <w:p w14:paraId="553B7950" w14:textId="77777777" w:rsidR="00FD5CE0" w:rsidRPr="00415B3E" w:rsidRDefault="00FD5CE0" w:rsidP="00325E6F">
            <w:pPr>
              <w:rPr>
                <w:rFonts w:asciiTheme="minorBidi" w:hAnsiTheme="minorBidi" w:cstheme="minorBidi"/>
                <w:szCs w:val="22"/>
                <w:lang w:val="es-419"/>
              </w:rPr>
            </w:pPr>
          </w:p>
        </w:tc>
      </w:tr>
      <w:tr w:rsidR="00FD5CE0" w:rsidRPr="00415B3E" w14:paraId="2ED8139C"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05975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8AA49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4AD12DEC"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27525B5"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p>
          <w:p w14:paraId="53346905"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CADBD9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504FC683" w14:textId="77777777" w:rsidR="00FD5CE0" w:rsidRPr="00415B3E" w:rsidRDefault="00FD5CE0" w:rsidP="00325E6F">
            <w:pPr>
              <w:rPr>
                <w:rFonts w:asciiTheme="minorBidi" w:hAnsiTheme="minorBidi" w:cstheme="minorBidi"/>
                <w:szCs w:val="22"/>
                <w:lang w:val="es-419"/>
              </w:rPr>
            </w:pPr>
          </w:p>
          <w:p w14:paraId="1F7F7C5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78D0D20A" w14:textId="77777777" w:rsidR="00FD5CE0" w:rsidRPr="00415B3E" w:rsidRDefault="00FD5CE0" w:rsidP="00325E6F">
            <w:pPr>
              <w:rPr>
                <w:rFonts w:asciiTheme="minorBidi" w:hAnsiTheme="minorBidi" w:cstheme="minorBidi"/>
                <w:szCs w:val="22"/>
                <w:lang w:val="es-419"/>
              </w:rPr>
            </w:pPr>
          </w:p>
          <w:p w14:paraId="7E16C6A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tc>
      </w:tr>
      <w:tr w:rsidR="00FD5CE0" w:rsidRPr="00415B3E" w14:paraId="4D139501"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DB846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747E0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1E4704F9"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34825A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1D831F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5E006A4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50F91494" w14:textId="77777777" w:rsidR="00FD5CE0" w:rsidRPr="00415B3E" w:rsidRDefault="00FD5CE0" w:rsidP="00325E6F">
            <w:pPr>
              <w:rPr>
                <w:rFonts w:asciiTheme="minorBidi" w:hAnsiTheme="minorBidi" w:cstheme="minorBidi"/>
                <w:szCs w:val="22"/>
                <w:lang w:val="es-419"/>
              </w:rPr>
            </w:pPr>
          </w:p>
          <w:p w14:paraId="7E97433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4.3 Aumento de los conocimientos y competencias en materia de PI en todos los Estados miembros.</w:t>
            </w:r>
          </w:p>
          <w:p w14:paraId="0BFA5978" w14:textId="77777777" w:rsidR="00FD5CE0" w:rsidRPr="00415B3E" w:rsidRDefault="00FD5CE0" w:rsidP="00325E6F">
            <w:pPr>
              <w:rPr>
                <w:rFonts w:asciiTheme="minorBidi" w:hAnsiTheme="minorBidi" w:cstheme="minorBidi"/>
                <w:szCs w:val="22"/>
                <w:lang w:val="es-419"/>
              </w:rPr>
            </w:pPr>
          </w:p>
        </w:tc>
      </w:tr>
      <w:tr w:rsidR="00FD5CE0" w:rsidRPr="00415B3E" w14:paraId="43282263"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9676A9"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52FFB3"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207DF593"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5BBF7D1"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71F148C"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0E641003" w14:textId="77777777" w:rsidR="00FD5CE0" w:rsidRPr="00415B3E" w:rsidRDefault="00FD5CE0" w:rsidP="00325E6F">
            <w:pPr>
              <w:keepNext/>
              <w:rPr>
                <w:rFonts w:asciiTheme="minorBidi" w:hAnsiTheme="minorBidi" w:cstheme="minorBidi"/>
                <w:szCs w:val="22"/>
                <w:lang w:val="es-419"/>
              </w:rPr>
            </w:pPr>
          </w:p>
          <w:p w14:paraId="2FC6EBB4"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4.3 Aumento de los conocimientos y competencias en materia de PI en todos los Estados miembros.</w:t>
            </w:r>
          </w:p>
          <w:p w14:paraId="7D4D1D19" w14:textId="77777777" w:rsidR="00FD5CE0" w:rsidRPr="00415B3E" w:rsidRDefault="00FD5CE0" w:rsidP="00325E6F">
            <w:pPr>
              <w:keepNext/>
              <w:rPr>
                <w:rFonts w:asciiTheme="minorBidi" w:hAnsiTheme="minorBidi" w:cstheme="minorBidi"/>
                <w:szCs w:val="22"/>
                <w:lang w:val="es-419"/>
              </w:rPr>
            </w:pPr>
          </w:p>
          <w:p w14:paraId="12623794"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4.4 Más innovadores, creadores, pymes, universidades, instituciones de investigación y comunidades sacan provecho de la PI.</w:t>
            </w:r>
          </w:p>
          <w:p w14:paraId="5CFAE708" w14:textId="77777777" w:rsidR="00FD5CE0" w:rsidRPr="00415B3E" w:rsidRDefault="00FD5CE0" w:rsidP="00325E6F">
            <w:pPr>
              <w:keepNext/>
              <w:rPr>
                <w:rFonts w:asciiTheme="minorBidi" w:hAnsiTheme="minorBidi" w:cstheme="minorBidi"/>
                <w:szCs w:val="22"/>
                <w:lang w:val="es-419"/>
              </w:rPr>
            </w:pPr>
          </w:p>
        </w:tc>
      </w:tr>
      <w:tr w:rsidR="00FD5CE0" w:rsidRPr="00415B3E" w14:paraId="28F83474"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42CFD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2B160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5CBF2A81"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501050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Facilitar la incorporación de las cuestiones de desarrollo a las actividades y los debates de asistencia técnica y de otra índole que lleva a cabo la OMPI, con arreglo a su mandato.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329E06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18930F50" w14:textId="77777777" w:rsidR="00FD5CE0" w:rsidRPr="00415B3E" w:rsidRDefault="00FD5CE0" w:rsidP="00325E6F">
            <w:pPr>
              <w:rPr>
                <w:rFonts w:asciiTheme="minorBidi" w:hAnsiTheme="minorBidi" w:cstheme="minorBidi"/>
                <w:szCs w:val="22"/>
                <w:lang w:val="es-419"/>
              </w:rPr>
            </w:pPr>
          </w:p>
        </w:tc>
      </w:tr>
      <w:tr w:rsidR="00FD5CE0" w:rsidRPr="00415B3E" w14:paraId="6F23E026"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CE8AC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AECE1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63D3E745"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E5B15A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75B821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2C996F17" w14:textId="77777777" w:rsidR="00FD5CE0" w:rsidRPr="00415B3E" w:rsidRDefault="00FD5CE0" w:rsidP="00325E6F">
            <w:pPr>
              <w:rPr>
                <w:rFonts w:asciiTheme="minorBidi" w:hAnsiTheme="minorBidi" w:cstheme="minorBidi"/>
                <w:szCs w:val="22"/>
                <w:lang w:val="es-419"/>
              </w:rPr>
            </w:pPr>
          </w:p>
          <w:p w14:paraId="15477F9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72F60969" w14:textId="77777777" w:rsidR="00FD5CE0" w:rsidRPr="00415B3E" w:rsidRDefault="00FD5CE0" w:rsidP="00325E6F">
            <w:pPr>
              <w:rPr>
                <w:rFonts w:asciiTheme="minorBidi" w:hAnsiTheme="minorBidi" w:cstheme="minorBidi"/>
                <w:szCs w:val="22"/>
                <w:lang w:val="es-419"/>
              </w:rPr>
            </w:pPr>
          </w:p>
        </w:tc>
      </w:tr>
      <w:tr w:rsidR="00FD5CE0" w:rsidRPr="00415B3E" w14:paraId="25432DAB"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5C3215"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FA3EA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0995C57E"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D3BC32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8BA745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440D8718" w14:textId="77777777" w:rsidR="00FD5CE0" w:rsidRPr="00415B3E" w:rsidRDefault="00FD5CE0" w:rsidP="00325E6F">
            <w:pPr>
              <w:rPr>
                <w:rFonts w:asciiTheme="minorBidi" w:hAnsiTheme="minorBidi" w:cstheme="minorBidi"/>
                <w:szCs w:val="22"/>
                <w:lang w:val="es-419"/>
              </w:rPr>
            </w:pPr>
          </w:p>
          <w:p w14:paraId="56046F9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033B00AE" w14:textId="77777777" w:rsidR="00FD5CE0" w:rsidRPr="00415B3E" w:rsidRDefault="00FD5CE0" w:rsidP="00325E6F">
            <w:pPr>
              <w:rPr>
                <w:rFonts w:asciiTheme="minorBidi" w:hAnsiTheme="minorBidi" w:cstheme="minorBidi"/>
                <w:szCs w:val="22"/>
                <w:lang w:val="es-419"/>
              </w:rPr>
            </w:pPr>
          </w:p>
        </w:tc>
      </w:tr>
      <w:tr w:rsidR="00FD5CE0" w:rsidRPr="00415B3E" w14:paraId="5B10B614"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C621A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06F5C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4978D14E"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B25F9B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Las actividades normativas deberán:</w:t>
            </w:r>
          </w:p>
          <w:p w14:paraId="6AEA33F4" w14:textId="77777777" w:rsidR="00FD5CE0" w:rsidRPr="00415B3E" w:rsidRDefault="00FD5CE0" w:rsidP="00325E6F">
            <w:pPr>
              <w:rPr>
                <w:rFonts w:asciiTheme="minorBidi" w:hAnsiTheme="minorBidi" w:cstheme="minorBidi"/>
                <w:szCs w:val="22"/>
                <w:lang w:val="es-419"/>
              </w:rPr>
            </w:pPr>
          </w:p>
          <w:p w14:paraId="35D7FA3F" w14:textId="77777777" w:rsidR="00FD5CE0" w:rsidRPr="00415B3E" w:rsidRDefault="00FD5CE0" w:rsidP="00325E6F">
            <w:pPr>
              <w:numPr>
                <w:ilvl w:val="0"/>
                <w:numId w:val="17"/>
              </w:numPr>
              <w:tabs>
                <w:tab w:val="left" w:pos="567"/>
              </w:tabs>
              <w:ind w:left="91" w:hanging="17"/>
              <w:rPr>
                <w:rFonts w:asciiTheme="minorBidi" w:hAnsiTheme="minorBidi" w:cstheme="minorBidi"/>
                <w:szCs w:val="22"/>
                <w:lang w:val="es-419"/>
              </w:rPr>
            </w:pPr>
            <w:r w:rsidRPr="00415B3E">
              <w:rPr>
                <w:rFonts w:asciiTheme="minorBidi" w:hAnsiTheme="minorBidi" w:cstheme="minorBidi"/>
                <w:szCs w:val="22"/>
                <w:lang w:val="es-419"/>
              </w:rPr>
              <w:t>ser inclusivas y estar orientadas hacia los miembros;</w:t>
            </w:r>
          </w:p>
          <w:p w14:paraId="39A81E3A" w14:textId="77777777" w:rsidR="00FD5CE0" w:rsidRPr="00415B3E" w:rsidRDefault="00FD5CE0" w:rsidP="00325E6F">
            <w:pPr>
              <w:tabs>
                <w:tab w:val="left" w:pos="567"/>
              </w:tabs>
              <w:ind w:left="91"/>
              <w:rPr>
                <w:rFonts w:asciiTheme="minorBidi" w:hAnsiTheme="minorBidi" w:cstheme="minorBidi"/>
                <w:szCs w:val="22"/>
                <w:lang w:val="es-419"/>
              </w:rPr>
            </w:pPr>
          </w:p>
          <w:p w14:paraId="019C5AA9" w14:textId="77777777" w:rsidR="00FD5CE0" w:rsidRPr="00415B3E" w:rsidRDefault="00FD5CE0" w:rsidP="00325E6F">
            <w:pPr>
              <w:numPr>
                <w:ilvl w:val="0"/>
                <w:numId w:val="17"/>
              </w:numPr>
              <w:tabs>
                <w:tab w:val="left" w:pos="567"/>
              </w:tabs>
              <w:ind w:left="91" w:hanging="17"/>
              <w:rPr>
                <w:rFonts w:asciiTheme="minorBidi" w:hAnsiTheme="minorBidi" w:cstheme="minorBidi"/>
                <w:szCs w:val="22"/>
                <w:lang w:val="es-419"/>
              </w:rPr>
            </w:pPr>
            <w:r w:rsidRPr="00415B3E">
              <w:rPr>
                <w:rFonts w:asciiTheme="minorBidi" w:hAnsiTheme="minorBidi" w:cstheme="minorBidi"/>
                <w:szCs w:val="22"/>
                <w:lang w:val="es-419"/>
              </w:rPr>
              <w:t>tener en cuenta los distintos niveles de desarrollo;</w:t>
            </w:r>
          </w:p>
          <w:p w14:paraId="664EB2B9" w14:textId="77777777" w:rsidR="00FD5CE0" w:rsidRPr="00415B3E" w:rsidRDefault="00FD5CE0" w:rsidP="00325E6F">
            <w:pPr>
              <w:tabs>
                <w:tab w:val="left" w:pos="567"/>
              </w:tabs>
              <w:ind w:left="91"/>
              <w:rPr>
                <w:rFonts w:asciiTheme="minorBidi" w:hAnsiTheme="minorBidi" w:cstheme="minorBidi"/>
                <w:szCs w:val="22"/>
                <w:lang w:val="es-419"/>
              </w:rPr>
            </w:pPr>
          </w:p>
          <w:p w14:paraId="742B5F49" w14:textId="77777777" w:rsidR="00FD5CE0" w:rsidRPr="00415B3E" w:rsidRDefault="00FD5CE0" w:rsidP="00325E6F">
            <w:pPr>
              <w:numPr>
                <w:ilvl w:val="0"/>
                <w:numId w:val="17"/>
              </w:numPr>
              <w:tabs>
                <w:tab w:val="left" w:pos="567"/>
              </w:tabs>
              <w:ind w:left="91" w:hanging="17"/>
              <w:rPr>
                <w:rFonts w:asciiTheme="minorBidi" w:hAnsiTheme="minorBidi" w:cstheme="minorBidi"/>
                <w:szCs w:val="22"/>
                <w:lang w:val="es-419"/>
              </w:rPr>
            </w:pPr>
            <w:r w:rsidRPr="00415B3E">
              <w:rPr>
                <w:rFonts w:asciiTheme="minorBidi" w:hAnsiTheme="minorBidi" w:cstheme="minorBidi"/>
                <w:szCs w:val="22"/>
                <w:lang w:val="es-419"/>
              </w:rPr>
              <w:t>tomar en consideración el equilibrio entre los costos y los beneficios;</w:t>
            </w:r>
          </w:p>
          <w:p w14:paraId="3EF37765" w14:textId="77777777" w:rsidR="00FD5CE0" w:rsidRPr="00415B3E" w:rsidRDefault="00FD5CE0" w:rsidP="00325E6F">
            <w:pPr>
              <w:tabs>
                <w:tab w:val="left" w:pos="567"/>
              </w:tabs>
              <w:ind w:left="91"/>
              <w:rPr>
                <w:rFonts w:asciiTheme="minorBidi" w:hAnsiTheme="minorBidi" w:cstheme="minorBidi"/>
                <w:szCs w:val="22"/>
                <w:lang w:val="es-419"/>
              </w:rPr>
            </w:pPr>
          </w:p>
          <w:p w14:paraId="1D382B8B" w14:textId="77777777" w:rsidR="00FD5CE0" w:rsidRPr="00415B3E" w:rsidRDefault="00FD5CE0" w:rsidP="00325E6F">
            <w:pPr>
              <w:numPr>
                <w:ilvl w:val="0"/>
                <w:numId w:val="17"/>
              </w:numPr>
              <w:tabs>
                <w:tab w:val="left" w:pos="567"/>
              </w:tabs>
              <w:ind w:left="91" w:hanging="17"/>
              <w:rPr>
                <w:rFonts w:asciiTheme="minorBidi" w:hAnsiTheme="minorBidi" w:cstheme="minorBidi"/>
                <w:szCs w:val="22"/>
                <w:lang w:val="es-419"/>
              </w:rPr>
            </w:pPr>
            <w:r w:rsidRPr="00415B3E">
              <w:rPr>
                <w:rFonts w:asciiTheme="minorBidi" w:hAnsiTheme="minorBidi" w:cstheme="minorBidi"/>
                <w:szCs w:val="22"/>
                <w:lang w:val="es-419"/>
              </w:rPr>
              <w:t>ser un proceso participativo que tenga en cuenta los intereses y las prioridades de todos los Estados miembros y el punto de vista de otras partes interesadas, por ejemplo, las organizaciones intergubernamentales y no gubernamentales acreditadas; y</w:t>
            </w:r>
          </w:p>
          <w:p w14:paraId="0EEB42C6" w14:textId="77777777" w:rsidR="00FD5CE0" w:rsidRPr="00415B3E" w:rsidRDefault="00FD5CE0" w:rsidP="00325E6F">
            <w:pPr>
              <w:rPr>
                <w:rFonts w:asciiTheme="minorBidi" w:hAnsiTheme="minorBidi" w:cstheme="minorBidi"/>
                <w:szCs w:val="22"/>
                <w:lang w:val="es-419"/>
              </w:rPr>
            </w:pPr>
          </w:p>
          <w:p w14:paraId="726D6025"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w:t>
            </w:r>
            <w:r w:rsidRPr="00415B3E">
              <w:rPr>
                <w:rFonts w:asciiTheme="minorBidi" w:hAnsiTheme="minorBidi" w:cstheme="minorBidi"/>
                <w:szCs w:val="22"/>
                <w:lang w:val="es-419"/>
              </w:rPr>
              <w:tab/>
              <w:t>estar en consonancia con el principio de neutralidad de la Secretaría de la OMPI.</w:t>
            </w:r>
          </w:p>
          <w:p w14:paraId="690E70D0"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A0AC1B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39B56CE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001EDBD1" w14:textId="77777777" w:rsidR="00FD5CE0" w:rsidRPr="00415B3E" w:rsidRDefault="00FD5CE0" w:rsidP="00325E6F">
            <w:pPr>
              <w:rPr>
                <w:rFonts w:asciiTheme="minorBidi" w:hAnsiTheme="minorBidi" w:cstheme="minorBidi"/>
                <w:b/>
                <w:szCs w:val="22"/>
                <w:lang w:val="es-419"/>
              </w:rPr>
            </w:pPr>
          </w:p>
          <w:p w14:paraId="3AE39FDE" w14:textId="77777777" w:rsidR="00FD5CE0" w:rsidRPr="00415B3E" w:rsidRDefault="00FD5CE0" w:rsidP="00325E6F">
            <w:pPr>
              <w:rPr>
                <w:rFonts w:asciiTheme="minorBidi" w:hAnsiTheme="minorBidi" w:cstheme="minorBidi"/>
                <w:b/>
                <w:szCs w:val="22"/>
                <w:lang w:val="es-419"/>
              </w:rPr>
            </w:pPr>
          </w:p>
        </w:tc>
      </w:tr>
      <w:tr w:rsidR="00FD5CE0" w:rsidRPr="00415B3E" w14:paraId="58260A40"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02746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386FC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7B5D7947"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6641FF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Considerar la preservación del dominio público en los procesos normativos de la OMPI y profundizar en el análisis de las consecuencias y los beneficios de un dominio público abundante y accesible.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A2B94C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3.1 Uso más amplio y eficaz de los sistemas, servicios, conocimientos y datos mundiales de la OMPI en materia de propiedad intelectual.</w:t>
            </w:r>
          </w:p>
          <w:p w14:paraId="44F7AA20" w14:textId="77777777" w:rsidR="00FD5CE0" w:rsidRPr="00415B3E" w:rsidRDefault="00FD5CE0" w:rsidP="00325E6F">
            <w:pPr>
              <w:rPr>
                <w:rFonts w:asciiTheme="minorBidi" w:hAnsiTheme="minorBidi" w:cstheme="minorBidi"/>
                <w:szCs w:val="22"/>
                <w:lang w:val="es-419"/>
              </w:rPr>
            </w:pPr>
          </w:p>
          <w:p w14:paraId="6C4675EC" w14:textId="77777777" w:rsidR="00FD5CE0" w:rsidRPr="00415B3E" w:rsidRDefault="00FD5CE0" w:rsidP="00325E6F">
            <w:pPr>
              <w:spacing w:after="240"/>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6626D8F1" w14:textId="77777777" w:rsidR="00FD5CE0" w:rsidRPr="00415B3E" w:rsidRDefault="00FD5CE0" w:rsidP="00325E6F">
            <w:pPr>
              <w:rPr>
                <w:rFonts w:asciiTheme="minorBidi" w:hAnsiTheme="minorBidi" w:cstheme="minorBidi"/>
                <w:szCs w:val="22"/>
                <w:lang w:val="es-419"/>
              </w:rPr>
            </w:pPr>
          </w:p>
        </w:tc>
      </w:tr>
      <w:tr w:rsidR="00FD5CE0" w:rsidRPr="00415B3E" w14:paraId="70D1A30F"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028FE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58701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1742B87A"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5695BD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En sus actividades, entre las que figuran las actividades normativas, la OMPI deberá tener en cuenta las flexibilidades establecidas en los acuerdos de PI internacionales, especialmente aquellas que afectan a los países en desarrollo y PMA.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5F4A4B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355FCC02" w14:textId="77777777" w:rsidR="00FD5CE0" w:rsidRPr="00415B3E" w:rsidRDefault="00FD5CE0" w:rsidP="00325E6F">
            <w:pPr>
              <w:rPr>
                <w:rFonts w:asciiTheme="minorBidi" w:hAnsiTheme="minorBidi" w:cstheme="minorBidi"/>
                <w:szCs w:val="22"/>
                <w:lang w:val="es-419"/>
              </w:rPr>
            </w:pPr>
          </w:p>
          <w:p w14:paraId="3722462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38EA8024" w14:textId="77777777" w:rsidR="00FD5CE0" w:rsidRPr="00415B3E" w:rsidRDefault="00FD5CE0" w:rsidP="00325E6F">
            <w:pPr>
              <w:rPr>
                <w:rFonts w:asciiTheme="minorBidi" w:hAnsiTheme="minorBidi" w:cstheme="minorBidi"/>
                <w:szCs w:val="22"/>
                <w:lang w:val="es-419"/>
              </w:rPr>
            </w:pPr>
          </w:p>
        </w:tc>
      </w:tr>
      <w:tr w:rsidR="00FD5CE0" w:rsidRPr="00415B3E" w14:paraId="33B09CD4"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ABDA29"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DD5FC9"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51A824B1" w14:textId="77777777" w:rsidTr="00325E6F">
        <w:trPr>
          <w:trHeight w:val="1058"/>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97D3FB1"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Instar al Comité Intergubernamental a agilizar el proceso sobre la protección de recursos genéticos, conocimientos tradicionales y folclore, sin perjuicio de ningún posible resultado, como pueda ser la elaboración de un instrumento o instrumentos de dimensión internacional.</w:t>
            </w:r>
          </w:p>
          <w:p w14:paraId="7501387F" w14:textId="77777777" w:rsidR="00FD5CE0" w:rsidRPr="00415B3E" w:rsidRDefault="00FD5CE0" w:rsidP="00325E6F">
            <w:pPr>
              <w:keepNext/>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AE1601D"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43311BAA" w14:textId="77777777" w:rsidR="00FD5CE0" w:rsidRPr="00415B3E" w:rsidRDefault="00FD5CE0" w:rsidP="00325E6F">
            <w:pPr>
              <w:keepNext/>
              <w:rPr>
                <w:rFonts w:asciiTheme="minorBidi" w:hAnsiTheme="minorBidi" w:cstheme="minorBidi"/>
                <w:b/>
                <w:szCs w:val="22"/>
                <w:lang w:val="es-419"/>
              </w:rPr>
            </w:pPr>
          </w:p>
          <w:p w14:paraId="4DFF2E83" w14:textId="77777777" w:rsidR="00FD5CE0" w:rsidRPr="00415B3E" w:rsidRDefault="00FD5CE0" w:rsidP="00325E6F">
            <w:pPr>
              <w:keepNext/>
              <w:rPr>
                <w:rFonts w:asciiTheme="minorBidi" w:hAnsiTheme="minorBidi" w:cstheme="minorBidi"/>
                <w:b/>
                <w:szCs w:val="22"/>
                <w:lang w:val="es-419"/>
              </w:rPr>
            </w:pPr>
          </w:p>
        </w:tc>
      </w:tr>
      <w:tr w:rsidR="00FD5CE0" w:rsidRPr="00415B3E" w14:paraId="0A10E048"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94709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B140D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39C66938"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78E6E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D3FD17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1.1 Una comunicación y una implicación más sólidas en todo el mundo para aumentar la concienciación y el conocimiento sobre la forma en que la PI puede mejorar la vida de la humanidad en su conjunto, y en todas partes.</w:t>
            </w:r>
          </w:p>
          <w:p w14:paraId="4454758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772CF8FB" w14:textId="77777777" w:rsidR="00FD5CE0" w:rsidRPr="00415B3E" w:rsidRDefault="00FD5CE0" w:rsidP="00325E6F">
            <w:pPr>
              <w:rPr>
                <w:rFonts w:asciiTheme="minorBidi" w:hAnsiTheme="minorBidi" w:cstheme="minorBidi"/>
                <w:szCs w:val="22"/>
                <w:lang w:val="es-419"/>
              </w:rPr>
            </w:pPr>
          </w:p>
          <w:p w14:paraId="13589F9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49EEEE45" w14:textId="77777777" w:rsidR="00FD5CE0" w:rsidRPr="00415B3E" w:rsidRDefault="00FD5CE0" w:rsidP="00325E6F">
            <w:pPr>
              <w:rPr>
                <w:rFonts w:asciiTheme="minorBidi" w:hAnsiTheme="minorBidi" w:cstheme="minorBidi"/>
                <w:szCs w:val="22"/>
                <w:lang w:val="es-419"/>
              </w:rPr>
            </w:pPr>
          </w:p>
          <w:p w14:paraId="6E37B06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6977F387" w14:textId="77777777" w:rsidR="00FD5CE0" w:rsidRPr="00415B3E" w:rsidRDefault="00FD5CE0" w:rsidP="00325E6F">
            <w:pPr>
              <w:rPr>
                <w:rFonts w:asciiTheme="minorBidi" w:hAnsiTheme="minorBidi" w:cstheme="minorBidi"/>
                <w:szCs w:val="22"/>
                <w:lang w:val="es-419"/>
              </w:rPr>
            </w:pPr>
          </w:p>
        </w:tc>
      </w:tr>
      <w:tr w:rsidR="00FD5CE0" w:rsidRPr="00415B3E" w14:paraId="0D2B5B1C"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BF67C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FC2BD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47918EA6"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352FFE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22F829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3.1 Uso más amplio y eficaz de los sistemas, servicios, conocimientos y datos mundiales de la OMPI en materia de propiedad intelectual.</w:t>
            </w:r>
          </w:p>
          <w:p w14:paraId="63B13CCF" w14:textId="77777777" w:rsidR="00FD5CE0" w:rsidRPr="00415B3E" w:rsidRDefault="00FD5CE0" w:rsidP="00325E6F">
            <w:pPr>
              <w:rPr>
                <w:rFonts w:asciiTheme="minorBidi" w:hAnsiTheme="minorBidi" w:cstheme="minorBidi"/>
                <w:szCs w:val="22"/>
                <w:lang w:val="es-419"/>
              </w:rPr>
            </w:pPr>
          </w:p>
          <w:p w14:paraId="2176B14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617B0592" w14:textId="77777777" w:rsidR="00FD5CE0" w:rsidRPr="00415B3E" w:rsidRDefault="00FD5CE0" w:rsidP="00325E6F">
            <w:pPr>
              <w:rPr>
                <w:rFonts w:asciiTheme="minorBidi" w:hAnsiTheme="minorBidi" w:cstheme="minorBidi"/>
                <w:szCs w:val="22"/>
                <w:lang w:val="es-419"/>
              </w:rPr>
            </w:pPr>
          </w:p>
        </w:tc>
      </w:tr>
      <w:tr w:rsidR="00FD5CE0" w:rsidRPr="00415B3E" w14:paraId="41C7567F"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1A63A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6CCB7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6E201A59"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74E290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 xml:space="preserve">Antes de iniciar nuevas actividades normativas, la OMPI deberá celebrar consultas informales, abiertas y equilibradas, cuando </w:t>
            </w:r>
            <w:r w:rsidRPr="00415B3E">
              <w:rPr>
                <w:rFonts w:asciiTheme="minorBidi" w:hAnsiTheme="minorBidi" w:cstheme="minorBidi"/>
                <w:szCs w:val="22"/>
                <w:lang w:val="es-419"/>
              </w:rPr>
              <w:lastRenderedPageBreak/>
              <w:t>proceda, mediante un proceso impulsado por los miembros en el que se fomente la participación de expertos de los Estados miembros, especialmente de los países en desarrollo y PMA.</w:t>
            </w:r>
          </w:p>
          <w:p w14:paraId="2C895BD8"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C9546E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lastRenderedPageBreak/>
              <w:t>2.1 Desarrollo de marcos normativos internacionales de PI equilibrados y eficaces.</w:t>
            </w:r>
          </w:p>
          <w:p w14:paraId="75CF1404" w14:textId="77777777" w:rsidR="00FD5CE0" w:rsidRPr="00415B3E" w:rsidRDefault="00FD5CE0" w:rsidP="00325E6F">
            <w:pPr>
              <w:rPr>
                <w:rFonts w:asciiTheme="minorBidi" w:hAnsiTheme="minorBidi" w:cstheme="minorBidi"/>
                <w:szCs w:val="22"/>
                <w:lang w:val="es-419"/>
              </w:rPr>
            </w:pPr>
          </w:p>
          <w:p w14:paraId="243FCB7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3E6CC721" w14:textId="77777777" w:rsidR="00FD5CE0" w:rsidRPr="00415B3E" w:rsidRDefault="00FD5CE0" w:rsidP="00325E6F">
            <w:pPr>
              <w:rPr>
                <w:rFonts w:asciiTheme="minorBidi" w:hAnsiTheme="minorBidi" w:cstheme="minorBidi"/>
                <w:szCs w:val="22"/>
                <w:lang w:val="es-419"/>
              </w:rPr>
            </w:pPr>
          </w:p>
        </w:tc>
      </w:tr>
      <w:tr w:rsidR="00FD5CE0" w:rsidRPr="00415B3E" w14:paraId="6A64E724"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9FAE9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FA6E4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63DA7FC3"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C04320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Las actividades normativas de la OMPI deberán contribuir a los objetivos de desarrollo aprobados en el sistema de las Naciones Unidas, sin olvidar los que figuran en la Declaración del Milenio.</w:t>
            </w:r>
          </w:p>
          <w:p w14:paraId="07FF6014" w14:textId="77777777" w:rsidR="00FD5CE0" w:rsidRPr="00415B3E" w:rsidRDefault="00FD5CE0" w:rsidP="00325E6F">
            <w:pPr>
              <w:rPr>
                <w:rFonts w:asciiTheme="minorBidi" w:hAnsiTheme="minorBidi" w:cstheme="minorBidi"/>
                <w:szCs w:val="22"/>
                <w:lang w:val="es-419"/>
              </w:rPr>
            </w:pPr>
          </w:p>
          <w:p w14:paraId="6B15A19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Conforme a lo dispuesto por los Estados miembros, la Secretaría de la OMPI deberá abordar en los documentos de trabajo de las actividades normativas, cuando proceda, y sin perjuicio de los resultados de las reflexiones de los Estados miembros, cuestiones como:</w:t>
            </w:r>
          </w:p>
          <w:p w14:paraId="37E47B17" w14:textId="77777777" w:rsidR="00FD5CE0" w:rsidRPr="00415B3E" w:rsidRDefault="00FD5CE0" w:rsidP="00325E6F">
            <w:pPr>
              <w:rPr>
                <w:rFonts w:asciiTheme="minorBidi" w:hAnsiTheme="minorBidi" w:cstheme="minorBidi"/>
                <w:szCs w:val="22"/>
                <w:lang w:val="es-419"/>
              </w:rPr>
            </w:pPr>
          </w:p>
          <w:p w14:paraId="5352F06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a) la salvaguardia de la aplicación nacional de normas sobre propiedad intelectual;</w:t>
            </w:r>
            <w:r w:rsidRPr="00415B3E">
              <w:rPr>
                <w:rFonts w:asciiTheme="minorBidi" w:hAnsiTheme="minorBidi" w:cstheme="minorBidi"/>
                <w:szCs w:val="22"/>
                <w:lang w:val="es-419"/>
              </w:rPr>
              <w:cr/>
            </w:r>
            <w:r w:rsidRPr="00415B3E">
              <w:rPr>
                <w:rFonts w:asciiTheme="minorBidi" w:hAnsiTheme="minorBidi" w:cstheme="minorBidi"/>
                <w:szCs w:val="22"/>
                <w:lang w:val="es-419"/>
              </w:rPr>
              <w:br/>
              <w:t>b) la relación entre la PI y la competencia;</w:t>
            </w:r>
          </w:p>
          <w:p w14:paraId="2FDD917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c) la transferencia de tecnología en materia de PI;</w:t>
            </w:r>
            <w:r w:rsidRPr="00415B3E">
              <w:rPr>
                <w:rFonts w:asciiTheme="minorBidi" w:hAnsiTheme="minorBidi" w:cstheme="minorBidi"/>
                <w:szCs w:val="22"/>
                <w:lang w:val="es-419"/>
              </w:rPr>
              <w:cr/>
            </w:r>
            <w:r w:rsidRPr="00415B3E">
              <w:rPr>
                <w:rFonts w:asciiTheme="minorBidi" w:hAnsiTheme="minorBidi" w:cstheme="minorBidi"/>
                <w:szCs w:val="22"/>
                <w:lang w:val="es-419"/>
              </w:rPr>
              <w:br/>
              <w:t>d) las posibles flexibilidades, excepciones y limitaciones de los Estados miembros y;</w:t>
            </w:r>
            <w:r w:rsidRPr="00415B3E">
              <w:rPr>
                <w:rFonts w:asciiTheme="minorBidi" w:hAnsiTheme="minorBidi" w:cstheme="minorBidi"/>
                <w:szCs w:val="22"/>
                <w:lang w:val="es-419"/>
              </w:rPr>
              <w:cr/>
            </w:r>
            <w:r w:rsidRPr="00415B3E">
              <w:rPr>
                <w:rFonts w:asciiTheme="minorBidi" w:hAnsiTheme="minorBidi" w:cstheme="minorBidi"/>
                <w:szCs w:val="22"/>
                <w:lang w:val="es-419"/>
              </w:rPr>
              <w:br/>
              <w:t>e) la posibilidad de establecer nuevas disposiciones especiales para los países en desarrollo y los PMA.</w:t>
            </w:r>
          </w:p>
          <w:p w14:paraId="622220E0"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254166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3.1 Uso más amplio y eficaz de los sistemas, servicios, conocimientos y datos mundiales de la OMPI en materia de propiedad intelectual.</w:t>
            </w:r>
          </w:p>
          <w:p w14:paraId="7EEB5B61" w14:textId="77777777" w:rsidR="00FD5CE0" w:rsidRPr="00415B3E" w:rsidRDefault="00FD5CE0" w:rsidP="00325E6F">
            <w:pPr>
              <w:rPr>
                <w:rFonts w:asciiTheme="minorBidi" w:hAnsiTheme="minorBidi" w:cstheme="minorBidi"/>
                <w:szCs w:val="22"/>
                <w:lang w:val="es-419"/>
              </w:rPr>
            </w:pPr>
          </w:p>
          <w:p w14:paraId="261D97C5"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58541A09" w14:textId="77777777" w:rsidR="00FD5CE0" w:rsidRPr="00415B3E" w:rsidRDefault="00FD5CE0" w:rsidP="00325E6F">
            <w:pPr>
              <w:rPr>
                <w:rFonts w:asciiTheme="minorBidi" w:hAnsiTheme="minorBidi" w:cstheme="minorBidi"/>
                <w:szCs w:val="22"/>
                <w:lang w:val="es-419"/>
              </w:rPr>
            </w:pPr>
          </w:p>
          <w:p w14:paraId="2D77B15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FD5CE0" w:rsidRPr="00415B3E" w14:paraId="6C597FB3"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64480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2C663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57A6CE18"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084F9A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w:t>
            </w:r>
          </w:p>
          <w:p w14:paraId="486B413B" w14:textId="77777777" w:rsidR="00FD5CE0" w:rsidRPr="00415B3E" w:rsidRDefault="00FD5CE0" w:rsidP="00325E6F">
            <w:pPr>
              <w:rPr>
                <w:rFonts w:asciiTheme="minorBidi" w:hAnsiTheme="minorBidi" w:cstheme="minorBidi"/>
                <w:szCs w:val="22"/>
                <w:lang w:val="es-419"/>
              </w:rPr>
            </w:pPr>
          </w:p>
          <w:p w14:paraId="55B2570A"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5C1F5F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lastRenderedPageBreak/>
              <w:t>3.3 Facilitar la transferencia de conocimientos y la adaptación de la tecnología a través de las plataformas y herramientas de PI de la OMPI para hacer frente a los desafíos mundiales.</w:t>
            </w:r>
          </w:p>
          <w:p w14:paraId="6D06150A" w14:textId="77777777" w:rsidR="00FD5CE0" w:rsidRPr="00415B3E" w:rsidRDefault="00FD5CE0" w:rsidP="00325E6F">
            <w:pPr>
              <w:rPr>
                <w:rFonts w:asciiTheme="minorBidi" w:hAnsiTheme="minorBidi" w:cstheme="minorBidi"/>
                <w:szCs w:val="22"/>
                <w:lang w:val="es-419"/>
              </w:rPr>
            </w:pPr>
          </w:p>
          <w:p w14:paraId="1D621AB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 xml:space="preserve">4.1 Un uso más eficaz de un sistema equilibrado de PI para apoyar el crecimiento y el desarrollo de todos los Estados </w:t>
            </w:r>
            <w:r w:rsidRPr="00415B3E">
              <w:rPr>
                <w:rFonts w:asciiTheme="minorBidi" w:hAnsiTheme="minorBidi" w:cstheme="minorBidi"/>
                <w:szCs w:val="22"/>
                <w:lang w:val="es-419"/>
              </w:rPr>
              <w:lastRenderedPageBreak/>
              <w:t>miembros y sus regiones y subregiones, entre otras cosas, mediante la implantación de las recomendaciones de la Agenda para el Desarrollo.</w:t>
            </w:r>
          </w:p>
        </w:tc>
      </w:tr>
      <w:tr w:rsidR="00FD5CE0" w:rsidRPr="00415B3E" w14:paraId="122E8B5B"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3D47B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F5C90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1D872E96"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EA4EC2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Solicitar a la OMPI que, dentro de su mandato, amplíe el alcance de sus actividades destinadas a colmar la brecha digital, de conformidad con los resultados de la Cumbre Mundial sobre la Sociedad de la Información (CMSI), y teniendo en cuenta la importancia del Fondo de Solidaridad Digital.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804D36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2C2E456C" w14:textId="77777777" w:rsidR="00FD5CE0" w:rsidRPr="00415B3E" w:rsidRDefault="00FD5CE0" w:rsidP="00325E6F">
            <w:pPr>
              <w:rPr>
                <w:rFonts w:asciiTheme="minorBidi" w:hAnsiTheme="minorBidi" w:cstheme="minorBidi"/>
                <w:szCs w:val="22"/>
                <w:lang w:val="es-419"/>
              </w:rPr>
            </w:pPr>
          </w:p>
          <w:p w14:paraId="062A0C8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162ED3FC" w14:textId="77777777" w:rsidR="00FD5CE0" w:rsidRPr="00415B3E" w:rsidRDefault="00FD5CE0" w:rsidP="00325E6F">
            <w:pPr>
              <w:rPr>
                <w:rFonts w:asciiTheme="minorBidi" w:hAnsiTheme="minorBidi" w:cstheme="minorBidi"/>
                <w:szCs w:val="22"/>
                <w:lang w:val="es-419"/>
              </w:rPr>
            </w:pPr>
          </w:p>
        </w:tc>
      </w:tr>
      <w:tr w:rsidR="00FD5CE0" w:rsidRPr="00415B3E" w14:paraId="5918BE87"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12E145"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58F76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54862492"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552283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14:paraId="5BDDCAC1"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6B822D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411E161B" w14:textId="77777777" w:rsidR="00FD5CE0" w:rsidRPr="00415B3E" w:rsidRDefault="00FD5CE0" w:rsidP="00325E6F">
            <w:pPr>
              <w:rPr>
                <w:rFonts w:asciiTheme="minorBidi" w:hAnsiTheme="minorBidi" w:cstheme="minorBidi"/>
                <w:szCs w:val="22"/>
                <w:lang w:val="es-419"/>
              </w:rPr>
            </w:pPr>
          </w:p>
          <w:p w14:paraId="3A42EEE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34D35594" w14:textId="77777777" w:rsidR="00FD5CE0" w:rsidRPr="00415B3E" w:rsidRDefault="00FD5CE0" w:rsidP="00325E6F">
            <w:pPr>
              <w:rPr>
                <w:rFonts w:asciiTheme="minorBidi" w:hAnsiTheme="minorBidi" w:cstheme="minorBidi"/>
                <w:szCs w:val="22"/>
                <w:lang w:val="es-419"/>
              </w:rPr>
            </w:pPr>
          </w:p>
          <w:p w14:paraId="2A86E3D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13DE5C43" w14:textId="77777777" w:rsidR="00FD5CE0" w:rsidRPr="00415B3E" w:rsidRDefault="00FD5CE0" w:rsidP="00325E6F">
            <w:pPr>
              <w:rPr>
                <w:rFonts w:asciiTheme="minorBidi" w:hAnsiTheme="minorBidi" w:cstheme="minorBidi"/>
                <w:szCs w:val="22"/>
                <w:lang w:val="es-419"/>
              </w:rPr>
            </w:pPr>
          </w:p>
        </w:tc>
      </w:tr>
      <w:tr w:rsidR="00FD5CE0" w:rsidRPr="00415B3E" w14:paraId="29DC667D"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35D1A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B8BAA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64697E21"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754A58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14:paraId="555DDC0B"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CCF62D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0B0FD1F0" w14:textId="77777777" w:rsidR="00FD5CE0" w:rsidRPr="00415B3E" w:rsidRDefault="00FD5CE0" w:rsidP="00325E6F">
            <w:pPr>
              <w:rPr>
                <w:rFonts w:asciiTheme="minorBidi" w:hAnsiTheme="minorBidi" w:cstheme="minorBidi"/>
                <w:szCs w:val="22"/>
                <w:lang w:val="es-419"/>
              </w:rPr>
            </w:pPr>
          </w:p>
          <w:p w14:paraId="78F5930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0015EE74" w14:textId="77777777" w:rsidR="00FD5CE0" w:rsidRPr="00415B3E" w:rsidRDefault="00FD5CE0" w:rsidP="00325E6F">
            <w:pPr>
              <w:rPr>
                <w:rFonts w:asciiTheme="minorBidi" w:hAnsiTheme="minorBidi" w:cstheme="minorBidi"/>
                <w:szCs w:val="22"/>
                <w:lang w:val="es-419"/>
              </w:rPr>
            </w:pPr>
          </w:p>
        </w:tc>
      </w:tr>
      <w:tr w:rsidR="00FD5CE0" w:rsidRPr="00415B3E" w14:paraId="6CED29A6"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18955A"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266B3F"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561E8311"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163B65F"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Determinar los aspectos de las TIC relacionados con la PI que favorecen el crecimiento y el desarrollo: 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9583819"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586CEBE6" w14:textId="77777777" w:rsidR="00FD5CE0" w:rsidRPr="00415B3E" w:rsidRDefault="00FD5CE0" w:rsidP="00325E6F">
            <w:pPr>
              <w:keepNext/>
              <w:rPr>
                <w:rFonts w:asciiTheme="minorBidi" w:hAnsiTheme="minorBidi" w:cstheme="minorBidi"/>
                <w:szCs w:val="22"/>
                <w:lang w:val="es-419"/>
              </w:rPr>
            </w:pPr>
          </w:p>
          <w:p w14:paraId="65A2C812"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3.2 Mejora de la productividad y de la calidad de los sistemas, servicios, conocimientos y datos mundiales de la OMPI en materia de PI.</w:t>
            </w:r>
          </w:p>
          <w:p w14:paraId="30E23B7F" w14:textId="77777777" w:rsidR="00FD5CE0" w:rsidRPr="00415B3E" w:rsidRDefault="00FD5CE0" w:rsidP="00325E6F">
            <w:pPr>
              <w:keepNext/>
              <w:rPr>
                <w:rFonts w:asciiTheme="minorBidi" w:hAnsiTheme="minorBidi" w:cstheme="minorBidi"/>
                <w:szCs w:val="22"/>
                <w:lang w:val="es-419"/>
              </w:rPr>
            </w:pPr>
          </w:p>
          <w:p w14:paraId="7211529F"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4.1 Integración de las recomendaciones de la AD en la labor de la OMPI.</w:t>
            </w:r>
          </w:p>
          <w:p w14:paraId="1D9B95A6" w14:textId="77777777" w:rsidR="00FD5CE0" w:rsidRPr="00415B3E" w:rsidRDefault="00FD5CE0" w:rsidP="00325E6F">
            <w:pPr>
              <w:keepNext/>
              <w:rPr>
                <w:rFonts w:asciiTheme="minorBidi" w:hAnsiTheme="minorBidi" w:cstheme="minorBidi"/>
                <w:szCs w:val="22"/>
                <w:lang w:val="es-419"/>
              </w:rPr>
            </w:pPr>
          </w:p>
          <w:p w14:paraId="74C8CCC1"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4.5 Mejora de la infraestructura de PI en las oficinas de PI.</w:t>
            </w:r>
          </w:p>
          <w:p w14:paraId="566404F1" w14:textId="77777777" w:rsidR="00FD5CE0" w:rsidRPr="00415B3E" w:rsidRDefault="00FD5CE0" w:rsidP="00325E6F">
            <w:pPr>
              <w:keepNext/>
              <w:rPr>
                <w:rFonts w:asciiTheme="minorBidi" w:hAnsiTheme="minorBidi" w:cstheme="minorBidi"/>
                <w:szCs w:val="22"/>
                <w:lang w:val="es-419"/>
              </w:rPr>
            </w:pPr>
          </w:p>
        </w:tc>
      </w:tr>
      <w:tr w:rsidR="00FD5CE0" w:rsidRPr="00415B3E" w14:paraId="0E4A74B5"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97042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8667D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0A86CB03"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96BEFC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Estudiar las políticas y medidas de apoyo a la PI que podrían adoptar los Estados miembros, en especial los países desarrollados, para fomentar la transferencia y difusión de tecnología a los países en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CDBD0E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37EA4606" w14:textId="77777777" w:rsidR="00FD5CE0" w:rsidRPr="00415B3E" w:rsidRDefault="00FD5CE0" w:rsidP="00325E6F">
            <w:pPr>
              <w:rPr>
                <w:rFonts w:asciiTheme="minorBidi" w:hAnsiTheme="minorBidi" w:cstheme="minorBidi"/>
                <w:szCs w:val="22"/>
                <w:lang w:val="es-419"/>
              </w:rPr>
            </w:pPr>
          </w:p>
          <w:p w14:paraId="318D23A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0E9E9957" w14:textId="77777777" w:rsidR="00FD5CE0" w:rsidRPr="00415B3E" w:rsidRDefault="00FD5CE0" w:rsidP="00325E6F">
            <w:pPr>
              <w:rPr>
                <w:rFonts w:asciiTheme="minorBidi" w:hAnsiTheme="minorBidi" w:cstheme="minorBidi"/>
                <w:szCs w:val="22"/>
                <w:lang w:val="es-419"/>
              </w:rPr>
            </w:pPr>
          </w:p>
          <w:p w14:paraId="756D4AE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7CDECDB6" w14:textId="77777777" w:rsidR="00FD5CE0" w:rsidRPr="00415B3E" w:rsidRDefault="00FD5CE0" w:rsidP="00325E6F">
            <w:pPr>
              <w:rPr>
                <w:rFonts w:asciiTheme="minorBidi" w:hAnsiTheme="minorBidi" w:cstheme="minorBidi"/>
                <w:szCs w:val="22"/>
                <w:lang w:val="es-419"/>
              </w:rPr>
            </w:pPr>
          </w:p>
        </w:tc>
      </w:tr>
      <w:tr w:rsidR="00FD5CE0" w:rsidRPr="00415B3E" w14:paraId="49A451E0"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26EA5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F9B51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0DB8A191"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FE5CC2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Incorporar al mandato de un órgano adecuado de la OMPI debates sobre transferencia de tecnología en materia de PI.</w:t>
            </w:r>
          </w:p>
          <w:p w14:paraId="6DD5BC79"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BAC52A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5CEBFC07" w14:textId="77777777" w:rsidR="00FD5CE0" w:rsidRPr="00415B3E" w:rsidRDefault="00FD5CE0" w:rsidP="00325E6F">
            <w:pPr>
              <w:rPr>
                <w:rFonts w:asciiTheme="minorBidi" w:hAnsiTheme="minorBidi" w:cstheme="minorBidi"/>
                <w:szCs w:val="22"/>
                <w:lang w:val="es-419"/>
              </w:rPr>
            </w:pPr>
          </w:p>
          <w:p w14:paraId="6430823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33FF6FFD" w14:textId="77777777" w:rsidR="00FD5CE0" w:rsidRPr="00415B3E" w:rsidRDefault="00FD5CE0" w:rsidP="00325E6F">
            <w:pPr>
              <w:rPr>
                <w:rFonts w:asciiTheme="minorBidi" w:hAnsiTheme="minorBidi" w:cstheme="minorBidi"/>
                <w:szCs w:val="22"/>
                <w:lang w:val="es-419"/>
              </w:rPr>
            </w:pPr>
          </w:p>
          <w:p w14:paraId="6977FCB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lastRenderedPageBreak/>
              <w:t>4.2 Desarrollo de ecosistemas equilibrados y eficaces de PI, innovación y creatividad en los Estados miembros.</w:t>
            </w:r>
          </w:p>
          <w:p w14:paraId="3B28224C" w14:textId="77777777" w:rsidR="00FD5CE0" w:rsidRPr="00415B3E" w:rsidRDefault="00FD5CE0" w:rsidP="00325E6F">
            <w:pPr>
              <w:rPr>
                <w:rFonts w:asciiTheme="minorBidi" w:hAnsiTheme="minorBidi" w:cstheme="minorBidi"/>
                <w:szCs w:val="22"/>
                <w:lang w:val="es-419"/>
              </w:rPr>
            </w:pPr>
          </w:p>
        </w:tc>
      </w:tr>
      <w:tr w:rsidR="00FD5CE0" w:rsidRPr="00415B3E" w14:paraId="46215438"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1AF6F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823468"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4BB1631A"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7A8CB6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18FE6D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2.4 Interacción y lazos de colaboración eficaces con la ONU, las OIG y las ONG para apoyar los objetivos mundiales a los que puede contribuir la PI.</w:t>
            </w:r>
          </w:p>
          <w:p w14:paraId="38979754" w14:textId="77777777" w:rsidR="00FD5CE0" w:rsidRPr="00415B3E" w:rsidRDefault="00FD5CE0" w:rsidP="00325E6F">
            <w:pPr>
              <w:rPr>
                <w:rFonts w:asciiTheme="minorBidi" w:hAnsiTheme="minorBidi" w:cstheme="minorBidi"/>
                <w:szCs w:val="22"/>
                <w:lang w:val="es-419"/>
              </w:rPr>
            </w:pPr>
          </w:p>
          <w:p w14:paraId="2A95477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3.1 Uso más amplio y eficaz de los sistemas, servicios, conocimientos y datos mundiales de la OMPI en materia de propiedad intelectual.</w:t>
            </w:r>
          </w:p>
          <w:p w14:paraId="3BE33A75" w14:textId="77777777" w:rsidR="00FD5CE0" w:rsidRPr="00415B3E" w:rsidRDefault="00FD5CE0" w:rsidP="00325E6F">
            <w:pPr>
              <w:rPr>
                <w:rFonts w:asciiTheme="minorBidi" w:hAnsiTheme="minorBidi" w:cstheme="minorBidi"/>
                <w:szCs w:val="22"/>
                <w:lang w:val="es-419"/>
              </w:rPr>
            </w:pPr>
          </w:p>
          <w:p w14:paraId="1746640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027781D6" w14:textId="77777777" w:rsidR="00FD5CE0" w:rsidRPr="00415B3E" w:rsidRDefault="00FD5CE0" w:rsidP="00325E6F">
            <w:pPr>
              <w:rPr>
                <w:rFonts w:asciiTheme="minorBidi" w:hAnsiTheme="minorBidi" w:cstheme="minorBidi"/>
                <w:szCs w:val="22"/>
                <w:lang w:val="es-419"/>
              </w:rPr>
            </w:pPr>
          </w:p>
          <w:p w14:paraId="3DBCB1C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4.3 Aumento de los conocimientos y competencias en materia de PI en todos los Estados miembros.</w:t>
            </w:r>
          </w:p>
          <w:p w14:paraId="0AFDF51F" w14:textId="77777777" w:rsidR="00FD5CE0" w:rsidRPr="00415B3E" w:rsidRDefault="00FD5CE0" w:rsidP="00325E6F">
            <w:pPr>
              <w:rPr>
                <w:rFonts w:asciiTheme="minorBidi" w:hAnsiTheme="minorBidi" w:cstheme="minorBidi"/>
                <w:szCs w:val="22"/>
                <w:lang w:val="es-419"/>
              </w:rPr>
            </w:pPr>
          </w:p>
        </w:tc>
      </w:tr>
      <w:tr w:rsidR="00FD5CE0" w:rsidRPr="00415B3E" w14:paraId="4DC9CDC9"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33C92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B93F9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407DC2EC"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1E885D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Emprender las iniciativas adoptadas por los Estados miembros que contribuyen a la transferencia de tecnología a los países en desarrollo, tales como solicitar a la OMPI que proporcione mejor acceso a la información publicada sobre patentes.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064541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3.1 Uso más amplio y eficaz de los sistemas, servicios, conocimientos y datos mundiales de la OMPI en materia de propiedad intelectual.</w:t>
            </w:r>
          </w:p>
          <w:p w14:paraId="03F9CF6B" w14:textId="77777777" w:rsidR="00FD5CE0" w:rsidRPr="00415B3E" w:rsidRDefault="00FD5CE0" w:rsidP="00325E6F">
            <w:pPr>
              <w:rPr>
                <w:rFonts w:asciiTheme="minorBidi" w:hAnsiTheme="minorBidi" w:cstheme="minorBidi"/>
                <w:szCs w:val="22"/>
                <w:lang w:val="es-419"/>
              </w:rPr>
            </w:pPr>
          </w:p>
          <w:p w14:paraId="2196FB0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382966D4" w14:textId="77777777" w:rsidR="00FD5CE0" w:rsidRPr="00415B3E" w:rsidRDefault="00FD5CE0" w:rsidP="00325E6F">
            <w:pPr>
              <w:rPr>
                <w:rFonts w:asciiTheme="minorBidi" w:hAnsiTheme="minorBidi" w:cstheme="minorBidi"/>
                <w:szCs w:val="22"/>
                <w:lang w:val="es-419"/>
              </w:rPr>
            </w:pPr>
          </w:p>
          <w:p w14:paraId="275AB5B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4.3 Aumento de los conocimientos y competencias en materia de PI en todos los Estados miembros.</w:t>
            </w:r>
          </w:p>
          <w:p w14:paraId="5DF94FF8" w14:textId="77777777" w:rsidR="00FD5CE0" w:rsidRPr="00415B3E" w:rsidRDefault="00FD5CE0" w:rsidP="00325E6F">
            <w:pPr>
              <w:rPr>
                <w:rFonts w:asciiTheme="minorBidi" w:hAnsiTheme="minorBidi" w:cstheme="minorBidi"/>
                <w:szCs w:val="22"/>
                <w:lang w:val="es-419"/>
              </w:rPr>
            </w:pPr>
          </w:p>
        </w:tc>
      </w:tr>
      <w:tr w:rsidR="00FD5CE0" w:rsidRPr="00415B3E" w14:paraId="5A3BA6B6"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ABABC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EAD008"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4173E3A9"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D776BD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Contar con la posibilidad de intercambiar, en el seno de la OMPI, las experiencias e información, en los ámbitos nacional y regional, sobre la relación existente entre los derechos de PI y las políticas de competencia.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971A54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07DF2E4D" w14:textId="77777777" w:rsidR="00FD5CE0" w:rsidRPr="00415B3E" w:rsidRDefault="00FD5CE0" w:rsidP="00325E6F">
            <w:pPr>
              <w:rPr>
                <w:rFonts w:asciiTheme="minorBidi" w:hAnsiTheme="minorBidi" w:cstheme="minorBidi"/>
                <w:szCs w:val="22"/>
                <w:lang w:val="es-419"/>
              </w:rPr>
            </w:pPr>
          </w:p>
          <w:p w14:paraId="180003B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lastRenderedPageBreak/>
              <w:t>2.2 La OMPI congrega a la comunidad internacional para hacer frente de forma proactiva a los problemas y desafíos políticos que van planteándose a nivel mundial en relación con la propiedad intelectual, la innovación y la creatividad.</w:t>
            </w:r>
          </w:p>
          <w:p w14:paraId="539B1862" w14:textId="77777777" w:rsidR="00FD5CE0" w:rsidRPr="00415B3E" w:rsidRDefault="00FD5CE0" w:rsidP="00325E6F">
            <w:pPr>
              <w:rPr>
                <w:rFonts w:asciiTheme="minorBidi" w:hAnsiTheme="minorBidi" w:cstheme="minorBidi"/>
                <w:szCs w:val="22"/>
                <w:lang w:val="es-419"/>
              </w:rPr>
            </w:pPr>
          </w:p>
          <w:p w14:paraId="00035B7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2.4 Interacción y lazos de colaboración eficaces con la ONU, las OIG y las ONG para apoyar los objetivos mundiales a los que puede contribuir la PI.</w:t>
            </w:r>
          </w:p>
          <w:p w14:paraId="1BD7D0D9" w14:textId="77777777" w:rsidR="00FD5CE0" w:rsidRPr="00415B3E" w:rsidRDefault="00FD5CE0" w:rsidP="00325E6F">
            <w:pPr>
              <w:rPr>
                <w:rFonts w:asciiTheme="minorBidi" w:hAnsiTheme="minorBidi" w:cstheme="minorBidi"/>
                <w:szCs w:val="22"/>
                <w:lang w:val="es-419"/>
              </w:rPr>
            </w:pPr>
          </w:p>
        </w:tc>
      </w:tr>
      <w:tr w:rsidR="00FD5CE0" w:rsidRPr="00415B3E" w14:paraId="0C97180C"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F18EF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077818"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50B608CF"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B824A6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Solicitar a la OMPI que cree un mecanismo eficaz de examen y evaluación anuales con respecto a todas sus actividades orientadas a potenciar el desarrollo, entre ellas, las relacionadas con la asistencia técnica, estableciendo a tal efecto indicadores y parámetros específicos, según corresponda.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06DBE5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3D2BF6C8" w14:textId="77777777" w:rsidR="00FD5CE0" w:rsidRPr="00415B3E" w:rsidRDefault="00FD5CE0" w:rsidP="00325E6F">
            <w:pPr>
              <w:rPr>
                <w:rFonts w:asciiTheme="minorBidi" w:hAnsiTheme="minorBidi" w:cstheme="minorBidi"/>
                <w:szCs w:val="22"/>
                <w:lang w:val="es-419"/>
              </w:rPr>
            </w:pPr>
          </w:p>
          <w:p w14:paraId="5AA7352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5.3 Gestión financiera sólida y prudente y gobernanza y supervisión institucionales eficaces.</w:t>
            </w:r>
          </w:p>
          <w:p w14:paraId="5BAE81CA" w14:textId="77777777" w:rsidR="00FD5CE0" w:rsidRPr="00415B3E" w:rsidRDefault="00FD5CE0" w:rsidP="00325E6F">
            <w:pPr>
              <w:rPr>
                <w:rFonts w:asciiTheme="minorBidi" w:hAnsiTheme="minorBidi" w:cstheme="minorBidi"/>
                <w:szCs w:val="22"/>
                <w:lang w:val="es-419"/>
              </w:rPr>
            </w:pPr>
          </w:p>
        </w:tc>
      </w:tr>
      <w:tr w:rsidR="00FD5CE0" w:rsidRPr="00415B3E" w14:paraId="4FD752DA"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7CD2A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AA284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40CF7E73"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2925E1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14:paraId="1430A3F3"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90E63F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3.1 Uso más amplio y eficaz de los sistemas, servicios, conocimientos y datos mundiales de la OMPI en materia de propiedad intelectual.</w:t>
            </w:r>
          </w:p>
          <w:p w14:paraId="281DC789" w14:textId="77777777" w:rsidR="00FD5CE0" w:rsidRPr="00415B3E" w:rsidRDefault="00FD5CE0" w:rsidP="00325E6F">
            <w:pPr>
              <w:rPr>
                <w:rFonts w:asciiTheme="minorBidi" w:hAnsiTheme="minorBidi" w:cstheme="minorBidi"/>
                <w:szCs w:val="22"/>
                <w:lang w:val="es-419"/>
              </w:rPr>
            </w:pPr>
          </w:p>
          <w:p w14:paraId="197C8D3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5A424488" w14:textId="77777777" w:rsidR="00FD5CE0" w:rsidRPr="00415B3E" w:rsidRDefault="00FD5CE0" w:rsidP="00325E6F">
            <w:pPr>
              <w:rPr>
                <w:rFonts w:asciiTheme="minorBidi" w:hAnsiTheme="minorBidi" w:cstheme="minorBidi"/>
                <w:szCs w:val="22"/>
                <w:lang w:val="es-419"/>
              </w:rPr>
            </w:pPr>
          </w:p>
          <w:p w14:paraId="3B4BEF2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4.4 Más innovadores, creadores, pymes, universidades, instituciones de investigación y comunidades sacan provecho de la PI.</w:t>
            </w:r>
          </w:p>
          <w:p w14:paraId="6B2335B0" w14:textId="77777777" w:rsidR="00FD5CE0" w:rsidRPr="00415B3E" w:rsidRDefault="00FD5CE0" w:rsidP="00325E6F">
            <w:pPr>
              <w:rPr>
                <w:rFonts w:asciiTheme="minorBidi" w:hAnsiTheme="minorBidi" w:cstheme="minorBidi"/>
                <w:szCs w:val="22"/>
                <w:lang w:val="es-419"/>
              </w:rPr>
            </w:pPr>
          </w:p>
        </w:tc>
      </w:tr>
      <w:tr w:rsidR="00FD5CE0" w:rsidRPr="00415B3E" w14:paraId="59C67392"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32CFA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5422C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406557C0"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D4C951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Solicitar a la OMPI que emprenda, a petición de los Estados miembros, nuevos estudios destinados a evaluar las consecuencias económicas, sociales y culturales de la utilización de sistemas de PI en dichos Estados.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DFF454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3.1 Uso más amplio y eficaz de los sistemas, servicios, conocimientos y datos mundiales de la OMPI en materia de propiedad intelectual.</w:t>
            </w:r>
          </w:p>
          <w:p w14:paraId="7512878A" w14:textId="77777777" w:rsidR="00FD5CE0" w:rsidRPr="00415B3E" w:rsidRDefault="00FD5CE0" w:rsidP="00325E6F">
            <w:pPr>
              <w:rPr>
                <w:rFonts w:asciiTheme="minorBidi" w:hAnsiTheme="minorBidi" w:cstheme="minorBidi"/>
                <w:szCs w:val="22"/>
                <w:lang w:val="es-419"/>
              </w:rPr>
            </w:pPr>
          </w:p>
          <w:p w14:paraId="62E6C0F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lastRenderedPageBreak/>
              <w:t>3.3 Facilitar la transferencia de conocimientos y la adaptación de la tecnología a través de las plataformas y herramientas de PI de la OMPI para hacer frente a los desafíos mundiales.</w:t>
            </w:r>
          </w:p>
          <w:p w14:paraId="49861CCC" w14:textId="77777777" w:rsidR="00FD5CE0" w:rsidRPr="00415B3E" w:rsidRDefault="00FD5CE0" w:rsidP="00325E6F">
            <w:pPr>
              <w:rPr>
                <w:rFonts w:asciiTheme="minorBidi" w:hAnsiTheme="minorBidi" w:cstheme="minorBidi"/>
                <w:szCs w:val="22"/>
                <w:lang w:val="es-419"/>
              </w:rPr>
            </w:pPr>
          </w:p>
          <w:p w14:paraId="390BA01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0E0A68DB" w14:textId="77777777" w:rsidR="00FD5CE0" w:rsidRPr="00415B3E" w:rsidRDefault="00FD5CE0" w:rsidP="00325E6F">
            <w:pPr>
              <w:rPr>
                <w:rFonts w:asciiTheme="minorBidi" w:hAnsiTheme="minorBidi" w:cstheme="minorBidi"/>
                <w:szCs w:val="22"/>
                <w:lang w:val="es-419"/>
              </w:rPr>
            </w:pPr>
          </w:p>
        </w:tc>
      </w:tr>
      <w:tr w:rsidR="00FD5CE0" w:rsidRPr="00415B3E" w14:paraId="7E6291C5"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E4317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49D44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0FD0701D"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67F1FE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Intercambiar experiencias sobre proyectos de colaboración abierta, como el Proyecto del Genoma Humano, y sobre modelos de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5F721E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3.1 Uso más amplio y eficaz de los sistemas, servicios, conocimientos y datos mundiales de la OMPI en materia de propiedad intelectual.</w:t>
            </w:r>
          </w:p>
          <w:p w14:paraId="24DC7DFA" w14:textId="77777777" w:rsidR="00FD5CE0" w:rsidRPr="00415B3E" w:rsidRDefault="00FD5CE0" w:rsidP="00325E6F">
            <w:pPr>
              <w:rPr>
                <w:rFonts w:asciiTheme="minorBidi" w:hAnsiTheme="minorBidi" w:cstheme="minorBidi"/>
                <w:szCs w:val="22"/>
                <w:lang w:val="es-419"/>
              </w:rPr>
            </w:pPr>
          </w:p>
          <w:p w14:paraId="39D9986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6BB8137C" w14:textId="77777777" w:rsidR="00FD5CE0" w:rsidRPr="00415B3E" w:rsidRDefault="00FD5CE0" w:rsidP="00325E6F">
            <w:pPr>
              <w:rPr>
                <w:rFonts w:asciiTheme="minorBidi" w:hAnsiTheme="minorBidi" w:cstheme="minorBidi"/>
                <w:szCs w:val="22"/>
                <w:lang w:val="es-419"/>
              </w:rPr>
            </w:pPr>
          </w:p>
        </w:tc>
      </w:tr>
      <w:tr w:rsidR="00FD5CE0" w:rsidRPr="00415B3E" w14:paraId="470D51E4"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69C9F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7538B5"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1A747A92"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50B855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6087CC9"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3.1 Uso más amplio y eficaz de los sistemas, servicios, conocimientos y datos mundiales de la OMPI en materia de propiedad intelectual.</w:t>
            </w:r>
          </w:p>
          <w:p w14:paraId="0EA7D462" w14:textId="77777777" w:rsidR="00FD5CE0" w:rsidRPr="00415B3E" w:rsidRDefault="00FD5CE0" w:rsidP="00325E6F">
            <w:pPr>
              <w:rPr>
                <w:rFonts w:asciiTheme="minorBidi" w:hAnsiTheme="minorBidi" w:cstheme="minorBidi"/>
                <w:szCs w:val="22"/>
                <w:lang w:val="es-419"/>
              </w:rPr>
            </w:pPr>
          </w:p>
          <w:p w14:paraId="578B7144"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p w14:paraId="1B852A5A" w14:textId="77777777" w:rsidR="00FD5CE0" w:rsidRPr="00415B3E" w:rsidRDefault="00FD5CE0" w:rsidP="00325E6F">
            <w:pPr>
              <w:rPr>
                <w:rFonts w:asciiTheme="minorBidi" w:hAnsiTheme="minorBidi" w:cstheme="minorBidi"/>
                <w:szCs w:val="22"/>
                <w:lang w:val="es-419"/>
              </w:rPr>
            </w:pPr>
          </w:p>
          <w:p w14:paraId="5EB680B5"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tc>
      </w:tr>
      <w:tr w:rsidR="00FD5CE0" w:rsidRPr="00415B3E" w14:paraId="5C9A6E34"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8EEC3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089DC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636BC5E5"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B82B70E"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Fortalecer la capacidad de la OMPI para efectuar evaluaciones objetivas de la repercusión de las actividades de la Organización en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0B558B8"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5819735E" w14:textId="77777777" w:rsidR="00FD5CE0" w:rsidRPr="00415B3E" w:rsidRDefault="00FD5CE0" w:rsidP="00325E6F">
            <w:pPr>
              <w:rPr>
                <w:rFonts w:asciiTheme="minorBidi" w:hAnsiTheme="minorBidi" w:cstheme="minorBidi"/>
                <w:szCs w:val="22"/>
                <w:lang w:val="es-419"/>
              </w:rPr>
            </w:pPr>
          </w:p>
        </w:tc>
      </w:tr>
      <w:tr w:rsidR="00FD5CE0" w:rsidRPr="00415B3E" w14:paraId="2D16CEE5"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93DFD9"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FF52C3"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1BEDAEDC"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F0BE8AD"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14:paraId="66EA2B9B" w14:textId="77777777" w:rsidR="00FD5CE0" w:rsidRPr="00415B3E" w:rsidRDefault="00FD5CE0" w:rsidP="00325E6F">
            <w:pPr>
              <w:keepNext/>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097D5B1"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FD5CE0" w:rsidRPr="00415B3E" w14:paraId="5CA5AFD4"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59F34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D7D8D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62809565"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B57330D"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p w14:paraId="3B4E6E29"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AE4FF13"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1.1 Una comunicación y una implicación más sólidas en todo el mundo para aumentar la concienciación y el conocimiento sobre la forma en que la PI puede mejorar la vida de la humanidad en su conjunto, y en todas partes.</w:t>
            </w:r>
          </w:p>
          <w:p w14:paraId="4E1A501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2.4 Interacción y lazos de colaboración eficaces con la ONU, las OIG y las ONG para apoyar los objetivos mundiales a los que puede contribuir la PI.</w:t>
            </w:r>
          </w:p>
        </w:tc>
      </w:tr>
      <w:tr w:rsidR="00FD5CE0" w:rsidRPr="00415B3E" w14:paraId="71F4A836"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F01F40"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EBD91B"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1EAD7C76"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1E623C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Emprender una revisión de las actividades de asistencia técnica en curso en la OMPI en la esfera de la cooperación y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4F7E61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35437EF6" w14:textId="77777777" w:rsidR="00FD5CE0" w:rsidRPr="00415B3E" w:rsidRDefault="00FD5CE0" w:rsidP="00325E6F">
            <w:pPr>
              <w:rPr>
                <w:rFonts w:asciiTheme="minorBidi" w:hAnsiTheme="minorBidi" w:cstheme="minorBidi"/>
                <w:szCs w:val="22"/>
                <w:lang w:val="es-419"/>
              </w:rPr>
            </w:pPr>
          </w:p>
          <w:p w14:paraId="796A857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068E5DB4" w14:textId="77777777" w:rsidR="00FD5CE0" w:rsidRPr="00415B3E" w:rsidRDefault="00FD5CE0" w:rsidP="00325E6F">
            <w:pPr>
              <w:rPr>
                <w:rFonts w:asciiTheme="minorBidi" w:hAnsiTheme="minorBidi" w:cstheme="minorBidi"/>
                <w:szCs w:val="22"/>
                <w:lang w:val="es-419"/>
              </w:rPr>
            </w:pPr>
          </w:p>
        </w:tc>
      </w:tr>
      <w:tr w:rsidR="00FD5CE0" w:rsidRPr="00415B3E" w14:paraId="23DB8AC8"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8C8BF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E1648F"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13002173"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867EEE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6455772"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2.4 Interacción y lazos de colaboración eficaces con la ONU, las OIG y las ONG para apoyar los objetivos mundiales a los que puede contribuir la PI.</w:t>
            </w:r>
          </w:p>
          <w:p w14:paraId="2D3876B3" w14:textId="77777777" w:rsidR="00FD5CE0" w:rsidRPr="00415B3E" w:rsidRDefault="00FD5CE0" w:rsidP="00325E6F">
            <w:pPr>
              <w:rPr>
                <w:rFonts w:asciiTheme="minorBidi" w:hAnsiTheme="minorBidi" w:cstheme="minorBidi"/>
                <w:szCs w:val="22"/>
                <w:lang w:val="es-419"/>
              </w:rPr>
            </w:pPr>
          </w:p>
          <w:p w14:paraId="6A2E7309" w14:textId="77777777" w:rsidR="00FD5CE0" w:rsidRPr="00415B3E" w:rsidRDefault="00FD5CE0" w:rsidP="00325E6F">
            <w:pPr>
              <w:rPr>
                <w:rFonts w:asciiTheme="minorBidi" w:hAnsiTheme="minorBidi" w:cstheme="minorBidi"/>
                <w:szCs w:val="22"/>
                <w:lang w:val="es-419"/>
              </w:rPr>
            </w:pPr>
          </w:p>
        </w:tc>
      </w:tr>
      <w:tr w:rsidR="00FD5CE0" w:rsidRPr="00415B3E" w14:paraId="69277899"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0FF1F4"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b/>
                <w:i/>
                <w:szCs w:val="22"/>
                <w:lang w:val="es-419"/>
              </w:rPr>
              <w:lastRenderedPageBreak/>
              <w:t>Recomendación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C1C176"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6043F655"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A4A7048"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Examinar el modo de mejorar la función de la OMPI a la hora de encontrar socios para financiar y ejecutar los proyectos de asistencia en materia de PI de un modo transparente e impulsado por los miembros, y sin perjuicio de las actividades en curso de la OMPI.</w:t>
            </w:r>
          </w:p>
          <w:p w14:paraId="04C246D0" w14:textId="77777777" w:rsidR="00FD5CE0" w:rsidRPr="00415B3E" w:rsidRDefault="00FD5CE0" w:rsidP="00325E6F">
            <w:pPr>
              <w:keepNext/>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C234612" w14:textId="77777777" w:rsidR="00FD5CE0" w:rsidRPr="00415B3E" w:rsidRDefault="00FD5CE0" w:rsidP="00325E6F">
            <w:pPr>
              <w:keepNext/>
              <w:rPr>
                <w:rFonts w:asciiTheme="minorBidi" w:hAnsiTheme="minorBidi" w:cstheme="minorBidi"/>
                <w:szCs w:val="22"/>
                <w:lang w:val="es-419"/>
              </w:rPr>
            </w:pPr>
            <w:r w:rsidRPr="00415B3E">
              <w:rPr>
                <w:rFonts w:asciiTheme="minorBidi" w:hAnsiTheme="minorBidi" w:cstheme="minorBidi"/>
                <w:szCs w:val="22"/>
                <w:lang w:val="es-419"/>
              </w:rPr>
              <w:t>3.3 Facilitar la transferencia de conocimientos y la adaptación de la tecnología a través de las plataformas y herramientas de PI de la OMPI para hacer frente a los desafíos mundiales.</w:t>
            </w:r>
          </w:p>
        </w:tc>
      </w:tr>
      <w:tr w:rsidR="00FD5CE0" w:rsidRPr="00415B3E" w14:paraId="0AF6FC8D"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4DF3E5"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9269F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1E3E9992"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04350F7"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Estas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p w14:paraId="7185DFDB"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7E9C36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2.1 Desarrollo de marcos normativos internacionales de PI equilibrados y eficaces.</w:t>
            </w:r>
          </w:p>
          <w:p w14:paraId="1DF92C98" w14:textId="77777777" w:rsidR="00FD5CE0" w:rsidRPr="00415B3E" w:rsidRDefault="00FD5CE0" w:rsidP="00325E6F">
            <w:pPr>
              <w:rPr>
                <w:rFonts w:asciiTheme="minorBidi" w:hAnsiTheme="minorBidi" w:cstheme="minorBidi"/>
                <w:szCs w:val="22"/>
                <w:lang w:val="es-419"/>
              </w:rPr>
            </w:pPr>
          </w:p>
          <w:p w14:paraId="7B307A36"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0DCD7643" w14:textId="77777777" w:rsidR="00FD5CE0" w:rsidRPr="00415B3E" w:rsidRDefault="00FD5CE0" w:rsidP="00325E6F">
            <w:pPr>
              <w:rPr>
                <w:rFonts w:asciiTheme="minorBidi" w:hAnsiTheme="minorBidi" w:cstheme="minorBidi"/>
                <w:szCs w:val="22"/>
                <w:lang w:val="es-419"/>
              </w:rPr>
            </w:pPr>
          </w:p>
        </w:tc>
      </w:tr>
      <w:tr w:rsidR="00FD5CE0" w:rsidRPr="00415B3E" w14:paraId="35E95E42"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B4C841"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Recomendación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73289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b/>
                <w:i/>
                <w:szCs w:val="22"/>
                <w:lang w:val="es-419"/>
              </w:rPr>
              <w:t>Vínculo a los resultados previstos</w:t>
            </w:r>
          </w:p>
        </w:tc>
      </w:tr>
      <w:tr w:rsidR="00FD5CE0" w:rsidRPr="00415B3E" w14:paraId="4E487ED3" w14:textId="77777777" w:rsidTr="00325E6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4D1DA4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socioeconómico y el equilibrio de derechos y obligaciones”, conforme a lo señalado en el Artículo 7 del Acuerdo sobre los ADPIC.</w:t>
            </w:r>
          </w:p>
          <w:p w14:paraId="11B08B06" w14:textId="77777777" w:rsidR="00FD5CE0" w:rsidRPr="00415B3E" w:rsidRDefault="00FD5CE0" w:rsidP="00325E6F">
            <w:pPr>
              <w:rPr>
                <w:rFonts w:asciiTheme="minorBidi" w:hAnsiTheme="minorBidi" w:cstheme="minorBidi"/>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CD230DC"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2.3 Diálogo y cooperación internacionales para fomentar el respeto por la PI.</w:t>
            </w:r>
          </w:p>
          <w:p w14:paraId="66A92CEE" w14:textId="77777777" w:rsidR="00FD5CE0" w:rsidRPr="00415B3E" w:rsidRDefault="00FD5CE0" w:rsidP="00325E6F">
            <w:pPr>
              <w:rPr>
                <w:rFonts w:asciiTheme="minorBidi" w:hAnsiTheme="minorBidi" w:cstheme="minorBidi"/>
                <w:szCs w:val="22"/>
                <w:lang w:val="es-419"/>
              </w:rPr>
            </w:pPr>
          </w:p>
          <w:p w14:paraId="032D8B78"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4.2 Desarrollo de ecosistemas equilibrados y eficaces de PI, innovación y creatividad en los Estados miembros.</w:t>
            </w:r>
          </w:p>
          <w:p w14:paraId="054C2861" w14:textId="77777777" w:rsidR="00FD5CE0" w:rsidRPr="00415B3E" w:rsidRDefault="00FD5CE0" w:rsidP="00325E6F">
            <w:pPr>
              <w:rPr>
                <w:rFonts w:asciiTheme="minorBidi" w:hAnsiTheme="minorBidi" w:cstheme="minorBidi"/>
                <w:szCs w:val="22"/>
                <w:lang w:val="es-419"/>
              </w:rPr>
            </w:pPr>
          </w:p>
          <w:p w14:paraId="55B5C40A" w14:textId="77777777" w:rsidR="00FD5CE0" w:rsidRPr="00415B3E" w:rsidRDefault="00FD5CE0" w:rsidP="00325E6F">
            <w:pPr>
              <w:rPr>
                <w:rFonts w:asciiTheme="minorBidi" w:hAnsiTheme="minorBidi" w:cstheme="minorBidi"/>
                <w:szCs w:val="22"/>
                <w:lang w:val="es-419"/>
              </w:rPr>
            </w:pPr>
            <w:r w:rsidRPr="00415B3E">
              <w:rPr>
                <w:rFonts w:asciiTheme="minorBidi" w:hAnsiTheme="minorBidi" w:cstheme="minorBidi"/>
                <w:szCs w:val="22"/>
                <w:lang w:val="es-419"/>
              </w:rPr>
              <w:t>4.3 Aumento de los conocimientos y competencias en materia de PI en todos los Estados miembros.</w:t>
            </w:r>
          </w:p>
          <w:p w14:paraId="392EAA50" w14:textId="77777777" w:rsidR="00FD5CE0" w:rsidRPr="00415B3E" w:rsidRDefault="00FD5CE0" w:rsidP="00325E6F">
            <w:pPr>
              <w:rPr>
                <w:rFonts w:asciiTheme="minorBidi" w:hAnsiTheme="minorBidi" w:cstheme="minorBidi"/>
                <w:szCs w:val="22"/>
                <w:lang w:val="es-419"/>
              </w:rPr>
            </w:pPr>
          </w:p>
        </w:tc>
      </w:tr>
    </w:tbl>
    <w:bookmarkEnd w:id="35"/>
    <w:p w14:paraId="4E365498" w14:textId="77777777" w:rsidR="00FD5CE0" w:rsidRPr="00415B3E" w:rsidRDefault="00FD5CE0" w:rsidP="001743F1">
      <w:pPr>
        <w:pStyle w:val="Endofdocument-Annex"/>
        <w:tabs>
          <w:tab w:val="left" w:pos="8370"/>
        </w:tabs>
        <w:spacing w:before="480"/>
        <w:ind w:left="7921"/>
        <w:rPr>
          <w:rFonts w:asciiTheme="minorBidi" w:hAnsiTheme="minorBidi" w:cstheme="minorBidi"/>
          <w:szCs w:val="22"/>
          <w:lang w:val="es-419"/>
        </w:rPr>
      </w:pPr>
      <w:r w:rsidRPr="00415B3E">
        <w:rPr>
          <w:rFonts w:asciiTheme="minorBidi" w:hAnsiTheme="minorBidi" w:cstheme="minorBidi"/>
          <w:szCs w:val="22"/>
          <w:lang w:val="es-419"/>
        </w:rPr>
        <w:t>[Sigue el Anexo II]</w:t>
      </w:r>
    </w:p>
    <w:p w14:paraId="1558334C" w14:textId="77777777" w:rsidR="00FD5CE0" w:rsidRPr="00415B3E" w:rsidRDefault="00FD5CE0" w:rsidP="00FD5CE0">
      <w:pPr>
        <w:ind w:left="5533"/>
        <w:rPr>
          <w:rFonts w:asciiTheme="minorBidi" w:hAnsiTheme="minorBidi" w:cstheme="minorBidi"/>
          <w:i/>
          <w:szCs w:val="22"/>
          <w:lang w:val="es-419"/>
        </w:rPr>
        <w:sectPr w:rsidR="00FD5CE0" w:rsidRPr="00415B3E" w:rsidSect="009D4B97">
          <w:headerReference w:type="default" r:id="rId17"/>
          <w:headerReference w:type="first" r:id="rId18"/>
          <w:endnotePr>
            <w:numFmt w:val="decimal"/>
          </w:endnotePr>
          <w:pgSz w:w="16840" w:h="11907" w:orient="landscape" w:code="9"/>
          <w:pgMar w:top="1418" w:right="2440" w:bottom="1134" w:left="1418" w:header="510" w:footer="1021" w:gutter="0"/>
          <w:pgNumType w:start="2"/>
          <w:cols w:space="720"/>
          <w:titlePg/>
          <w:docGrid w:linePitch="299"/>
        </w:sectPr>
      </w:pPr>
    </w:p>
    <w:p w14:paraId="73B4A98C" w14:textId="77777777" w:rsidR="00FD5CE0" w:rsidRPr="00415B3E" w:rsidRDefault="00FD5CE0" w:rsidP="00FD5CE0">
      <w:pPr>
        <w:spacing w:after="120"/>
        <w:ind w:left="142"/>
        <w:outlineLvl w:val="0"/>
        <w:rPr>
          <w:rFonts w:asciiTheme="minorBidi" w:hAnsiTheme="minorBidi" w:cstheme="minorBidi"/>
          <w:b/>
          <w:szCs w:val="22"/>
          <w:lang w:val="es-419"/>
        </w:rPr>
      </w:pPr>
      <w:r w:rsidRPr="00415B3E">
        <w:rPr>
          <w:rFonts w:asciiTheme="minorBidi" w:hAnsiTheme="minorBidi" w:cstheme="minorBidi"/>
          <w:b/>
          <w:szCs w:val="22"/>
          <w:lang w:val="es-419"/>
        </w:rPr>
        <w:lastRenderedPageBreak/>
        <w:t>LISTA DE PROYECTOS DE LA AGENDA PARA EL DESARROLLO EN 2024</w:t>
      </w:r>
    </w:p>
    <w:tbl>
      <w:tblPr>
        <w:tblStyle w:val="TableGrid"/>
        <w:tblW w:w="0" w:type="auto"/>
        <w:tblInd w:w="142" w:type="dxa"/>
        <w:tblLook w:val="04A0" w:firstRow="1" w:lastRow="0" w:firstColumn="1" w:lastColumn="0" w:noHBand="0" w:noVBand="1"/>
        <w:tblCaption w:val="Proyectos de la Agenda para el Desarrollo en curso de ejecución en diciembre de 2023 (8)"/>
      </w:tblPr>
      <w:tblGrid>
        <w:gridCol w:w="814"/>
        <w:gridCol w:w="12016"/>
      </w:tblGrid>
      <w:tr w:rsidR="00FD5CE0" w:rsidRPr="00415B3E" w14:paraId="4FDA337E" w14:textId="77777777" w:rsidTr="00325E6F">
        <w:tc>
          <w:tcPr>
            <w:tcW w:w="12830" w:type="dxa"/>
            <w:gridSpan w:val="2"/>
          </w:tcPr>
          <w:p w14:paraId="74D94FE0" w14:textId="77777777" w:rsidR="00FD5CE0" w:rsidRPr="00415B3E" w:rsidRDefault="00FD5CE0" w:rsidP="00325E6F">
            <w:pPr>
              <w:rPr>
                <w:rFonts w:asciiTheme="minorBidi" w:hAnsiTheme="minorBidi" w:cstheme="minorBidi"/>
                <w:b/>
                <w:i/>
                <w:szCs w:val="22"/>
                <w:lang w:val="es-419"/>
              </w:rPr>
            </w:pPr>
            <w:r w:rsidRPr="00415B3E">
              <w:rPr>
                <w:rFonts w:asciiTheme="minorBidi" w:hAnsiTheme="minorBidi" w:cstheme="minorBidi"/>
                <w:b/>
                <w:i/>
                <w:szCs w:val="22"/>
                <w:lang w:val="es-419"/>
              </w:rPr>
              <w:t>Proyectos concluidos y evaluados de la Agenda para el Desarrollo (43)</w:t>
            </w:r>
          </w:p>
        </w:tc>
      </w:tr>
      <w:tr w:rsidR="00FD5CE0" w:rsidRPr="00415B3E" w14:paraId="5F4F2E26" w14:textId="77777777" w:rsidTr="00325E6F">
        <w:tc>
          <w:tcPr>
            <w:tcW w:w="814" w:type="dxa"/>
          </w:tcPr>
          <w:p w14:paraId="00F65101"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w:t>
            </w:r>
          </w:p>
        </w:tc>
        <w:tc>
          <w:tcPr>
            <w:tcW w:w="12016" w:type="dxa"/>
          </w:tcPr>
          <w:p w14:paraId="048E39E1"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Conferencia sobre la movilización de recursos para el desarrollo</w:t>
            </w:r>
          </w:p>
        </w:tc>
      </w:tr>
      <w:tr w:rsidR="00FD5CE0" w:rsidRPr="00415B3E" w14:paraId="23001806" w14:textId="77777777" w:rsidTr="00325E6F">
        <w:tc>
          <w:tcPr>
            <w:tcW w:w="814" w:type="dxa"/>
          </w:tcPr>
          <w:p w14:paraId="7BAA6317"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w:t>
            </w:r>
          </w:p>
        </w:tc>
        <w:tc>
          <w:tcPr>
            <w:tcW w:w="12016" w:type="dxa"/>
          </w:tcPr>
          <w:p w14:paraId="52A870E6"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Base de datos de asistencia técnica en materia de PI (IP-TAD)</w:t>
            </w:r>
          </w:p>
        </w:tc>
      </w:tr>
      <w:tr w:rsidR="00FD5CE0" w:rsidRPr="00415B3E" w14:paraId="4C89C7CF" w14:textId="77777777" w:rsidTr="00325E6F">
        <w:tc>
          <w:tcPr>
            <w:tcW w:w="814" w:type="dxa"/>
          </w:tcPr>
          <w:p w14:paraId="55A66A4E"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w:t>
            </w:r>
          </w:p>
        </w:tc>
        <w:tc>
          <w:tcPr>
            <w:tcW w:w="12016" w:type="dxa"/>
          </w:tcPr>
          <w:p w14:paraId="6C492127"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Acceso a bases de datos especializadas y ayuda - Fase I</w:t>
            </w:r>
          </w:p>
        </w:tc>
      </w:tr>
      <w:tr w:rsidR="00FD5CE0" w:rsidRPr="00415B3E" w14:paraId="5C75BD89" w14:textId="77777777" w:rsidTr="00325E6F">
        <w:tc>
          <w:tcPr>
            <w:tcW w:w="814" w:type="dxa"/>
          </w:tcPr>
          <w:p w14:paraId="5CC326B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4.</w:t>
            </w:r>
          </w:p>
        </w:tc>
        <w:tc>
          <w:tcPr>
            <w:tcW w:w="12016" w:type="dxa"/>
          </w:tcPr>
          <w:p w14:paraId="45B218FF"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Base de Datos de Vinculación para Atender las Necesidades de Desarrollo en materia de PI (IP-DMD)</w:t>
            </w:r>
          </w:p>
        </w:tc>
      </w:tr>
      <w:tr w:rsidR="00FD5CE0" w:rsidRPr="00415B3E" w14:paraId="3C21B861" w14:textId="77777777" w:rsidTr="00325E6F">
        <w:tc>
          <w:tcPr>
            <w:tcW w:w="814" w:type="dxa"/>
          </w:tcPr>
          <w:p w14:paraId="2BF514E0"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5.</w:t>
            </w:r>
          </w:p>
        </w:tc>
        <w:tc>
          <w:tcPr>
            <w:tcW w:w="12016" w:type="dxa"/>
          </w:tcPr>
          <w:p w14:paraId="742EA2A0"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Creación de academias nacionales de PI</w:t>
            </w:r>
          </w:p>
        </w:tc>
      </w:tr>
      <w:tr w:rsidR="00FD5CE0" w:rsidRPr="00415B3E" w14:paraId="704FF98A" w14:textId="77777777" w:rsidTr="00325E6F">
        <w:tc>
          <w:tcPr>
            <w:tcW w:w="814" w:type="dxa"/>
          </w:tcPr>
          <w:p w14:paraId="74AB3C93"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6.</w:t>
            </w:r>
          </w:p>
        </w:tc>
        <w:tc>
          <w:tcPr>
            <w:tcW w:w="12016" w:type="dxa"/>
          </w:tcPr>
          <w:p w14:paraId="683FBD59"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Proyecto de Instituciones de PI eficaces</w:t>
            </w:r>
          </w:p>
        </w:tc>
      </w:tr>
      <w:tr w:rsidR="00FD5CE0" w:rsidRPr="00415B3E" w14:paraId="0977F0CD" w14:textId="77777777" w:rsidTr="00325E6F">
        <w:tc>
          <w:tcPr>
            <w:tcW w:w="814" w:type="dxa"/>
          </w:tcPr>
          <w:p w14:paraId="472506CA"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7.</w:t>
            </w:r>
          </w:p>
        </w:tc>
        <w:tc>
          <w:tcPr>
            <w:tcW w:w="12016" w:type="dxa"/>
          </w:tcPr>
          <w:p w14:paraId="72823D56"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Estructura de apoyo a la innovación y la transferencia de tecnología para las instituciones nacionales de PI</w:t>
            </w:r>
          </w:p>
        </w:tc>
      </w:tr>
      <w:tr w:rsidR="00FD5CE0" w:rsidRPr="00415B3E" w14:paraId="04C1C2CB" w14:textId="77777777" w:rsidTr="00325E6F">
        <w:tc>
          <w:tcPr>
            <w:tcW w:w="814" w:type="dxa"/>
          </w:tcPr>
          <w:p w14:paraId="595D92F5"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8.</w:t>
            </w:r>
          </w:p>
        </w:tc>
        <w:tc>
          <w:tcPr>
            <w:tcW w:w="12016" w:type="dxa"/>
          </w:tcPr>
          <w:p w14:paraId="75DB9A77"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Mejora de la capacidad de las instituciones de PI de ámbito nacional, subregional y regional y de los respectivos usuarios</w:t>
            </w:r>
          </w:p>
        </w:tc>
      </w:tr>
      <w:tr w:rsidR="00FD5CE0" w:rsidRPr="00415B3E" w14:paraId="080CD617" w14:textId="77777777" w:rsidTr="00325E6F">
        <w:tc>
          <w:tcPr>
            <w:tcW w:w="814" w:type="dxa"/>
          </w:tcPr>
          <w:p w14:paraId="185A8718"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9.</w:t>
            </w:r>
          </w:p>
        </w:tc>
        <w:tc>
          <w:tcPr>
            <w:tcW w:w="12016" w:type="dxa"/>
          </w:tcPr>
          <w:p w14:paraId="63FD50A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La propiedad intelectual y el dominio público</w:t>
            </w:r>
          </w:p>
        </w:tc>
      </w:tr>
      <w:tr w:rsidR="00FD5CE0" w:rsidRPr="00415B3E" w14:paraId="1ED46B7E" w14:textId="77777777" w:rsidTr="00325E6F">
        <w:tc>
          <w:tcPr>
            <w:tcW w:w="814" w:type="dxa"/>
          </w:tcPr>
          <w:p w14:paraId="6F7DF0A4"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10.</w:t>
            </w:r>
          </w:p>
        </w:tc>
        <w:tc>
          <w:tcPr>
            <w:tcW w:w="12016" w:type="dxa"/>
          </w:tcPr>
          <w:p w14:paraId="4D85BDEF"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PI y políticas en materia de competencia</w:t>
            </w:r>
          </w:p>
        </w:tc>
      </w:tr>
      <w:tr w:rsidR="00FD5CE0" w:rsidRPr="00415B3E" w14:paraId="57994E66" w14:textId="77777777" w:rsidTr="00325E6F">
        <w:tc>
          <w:tcPr>
            <w:tcW w:w="814" w:type="dxa"/>
          </w:tcPr>
          <w:p w14:paraId="562C894E"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11.</w:t>
            </w:r>
          </w:p>
        </w:tc>
        <w:tc>
          <w:tcPr>
            <w:tcW w:w="12016" w:type="dxa"/>
          </w:tcPr>
          <w:p w14:paraId="059C4896"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La PI, las tecnologías de la información y la comunicación (TIC), la brecha digital y el acceso a los conocimientos</w:t>
            </w:r>
          </w:p>
        </w:tc>
      </w:tr>
      <w:tr w:rsidR="00FD5CE0" w:rsidRPr="00415B3E" w14:paraId="05A204F8" w14:textId="77777777" w:rsidTr="00325E6F">
        <w:tc>
          <w:tcPr>
            <w:tcW w:w="814" w:type="dxa"/>
          </w:tcPr>
          <w:p w14:paraId="2F6189D4"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12.</w:t>
            </w:r>
          </w:p>
        </w:tc>
        <w:tc>
          <w:tcPr>
            <w:tcW w:w="12016" w:type="dxa"/>
          </w:tcPr>
          <w:p w14:paraId="4BF15DA3"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Proyecto de creación de instrumentos de acceso a la información sobre patentes</w:t>
            </w:r>
          </w:p>
        </w:tc>
      </w:tr>
      <w:tr w:rsidR="00FD5CE0" w:rsidRPr="00415B3E" w14:paraId="0A4E1DDE" w14:textId="77777777" w:rsidTr="00325E6F">
        <w:tc>
          <w:tcPr>
            <w:tcW w:w="814" w:type="dxa"/>
          </w:tcPr>
          <w:p w14:paraId="33A54DE6"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13.</w:t>
            </w:r>
          </w:p>
        </w:tc>
        <w:tc>
          <w:tcPr>
            <w:tcW w:w="12016" w:type="dxa"/>
          </w:tcPr>
          <w:p w14:paraId="67AA460C"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Mejora del marco de la OMPI de gestión por resultados para respaldar la supervisión y evaluación de las actividades de desarrollo</w:t>
            </w:r>
          </w:p>
        </w:tc>
      </w:tr>
      <w:tr w:rsidR="00FD5CE0" w:rsidRPr="00415B3E" w14:paraId="3CF8E2E7" w14:textId="77777777" w:rsidTr="00325E6F">
        <w:tc>
          <w:tcPr>
            <w:tcW w:w="814" w:type="dxa"/>
          </w:tcPr>
          <w:p w14:paraId="71DC8983"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14.</w:t>
            </w:r>
          </w:p>
        </w:tc>
        <w:tc>
          <w:tcPr>
            <w:tcW w:w="12016" w:type="dxa"/>
          </w:tcPr>
          <w:p w14:paraId="34946BD0"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Fortalecimiento de capacidades en el uso de información técnica y científica relativa a tecnologías apropiadas para solucionar determinados problemas de desarrollo</w:t>
            </w:r>
          </w:p>
        </w:tc>
      </w:tr>
      <w:tr w:rsidR="00FD5CE0" w:rsidRPr="00415B3E" w14:paraId="4C68E58E" w14:textId="77777777" w:rsidTr="00325E6F">
        <w:tc>
          <w:tcPr>
            <w:tcW w:w="814" w:type="dxa"/>
          </w:tcPr>
          <w:p w14:paraId="332597A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15.</w:t>
            </w:r>
          </w:p>
        </w:tc>
        <w:tc>
          <w:tcPr>
            <w:tcW w:w="12016" w:type="dxa"/>
          </w:tcPr>
          <w:p w14:paraId="4438A6EF"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La propiedad intelectual y el desarrollo de marcas de productos para fomentar las actividades comerciales en los países en desarrollo y los PMA</w:t>
            </w:r>
          </w:p>
        </w:tc>
      </w:tr>
      <w:tr w:rsidR="00FD5CE0" w:rsidRPr="00415B3E" w14:paraId="7999035D" w14:textId="77777777" w:rsidTr="00325E6F">
        <w:tc>
          <w:tcPr>
            <w:tcW w:w="814" w:type="dxa"/>
          </w:tcPr>
          <w:p w14:paraId="6F3B6468"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16.</w:t>
            </w:r>
          </w:p>
        </w:tc>
        <w:tc>
          <w:tcPr>
            <w:tcW w:w="12016" w:type="dxa"/>
          </w:tcPr>
          <w:p w14:paraId="5487D23B"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Patentes y dominio público</w:t>
            </w:r>
          </w:p>
        </w:tc>
      </w:tr>
      <w:tr w:rsidR="00FD5CE0" w:rsidRPr="00415B3E" w14:paraId="016269B0" w14:textId="77777777" w:rsidTr="00325E6F">
        <w:tc>
          <w:tcPr>
            <w:tcW w:w="814" w:type="dxa"/>
          </w:tcPr>
          <w:p w14:paraId="7E22F022"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17.</w:t>
            </w:r>
          </w:p>
        </w:tc>
        <w:tc>
          <w:tcPr>
            <w:tcW w:w="12016" w:type="dxa"/>
          </w:tcPr>
          <w:p w14:paraId="1D63312E"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La propiedad intelectual y la fuga de cerebros</w:t>
            </w:r>
          </w:p>
        </w:tc>
      </w:tr>
      <w:tr w:rsidR="00FD5CE0" w:rsidRPr="00415B3E" w14:paraId="28998D2B" w14:textId="77777777" w:rsidTr="00325E6F">
        <w:tc>
          <w:tcPr>
            <w:tcW w:w="814" w:type="dxa"/>
          </w:tcPr>
          <w:p w14:paraId="377D2C5A"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18.</w:t>
            </w:r>
          </w:p>
        </w:tc>
        <w:tc>
          <w:tcPr>
            <w:tcW w:w="12016" w:type="dxa"/>
          </w:tcPr>
          <w:p w14:paraId="581B4100"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La propiedad intelectual y la economía informal</w:t>
            </w:r>
          </w:p>
        </w:tc>
      </w:tr>
      <w:tr w:rsidR="00FD5CE0" w:rsidRPr="00415B3E" w14:paraId="640EE239" w14:textId="77777777" w:rsidTr="00325E6F">
        <w:tc>
          <w:tcPr>
            <w:tcW w:w="814" w:type="dxa"/>
          </w:tcPr>
          <w:p w14:paraId="25C9813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19.</w:t>
            </w:r>
          </w:p>
        </w:tc>
        <w:tc>
          <w:tcPr>
            <w:tcW w:w="12016" w:type="dxa"/>
          </w:tcPr>
          <w:p w14:paraId="3E6FDA1A"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Acceso a bases de datos especializadas y ayuda - Fase II</w:t>
            </w:r>
          </w:p>
        </w:tc>
      </w:tr>
      <w:tr w:rsidR="00FD5CE0" w:rsidRPr="00415B3E" w14:paraId="2B390145" w14:textId="77777777" w:rsidTr="00325E6F">
        <w:tc>
          <w:tcPr>
            <w:tcW w:w="814" w:type="dxa"/>
          </w:tcPr>
          <w:p w14:paraId="2A098930"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20.</w:t>
            </w:r>
          </w:p>
        </w:tc>
        <w:tc>
          <w:tcPr>
            <w:tcW w:w="12016" w:type="dxa"/>
          </w:tcPr>
          <w:p w14:paraId="4AE0C02B"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Creación de academias nacionales de PI - Fase II</w:t>
            </w:r>
          </w:p>
        </w:tc>
      </w:tr>
      <w:tr w:rsidR="00FD5CE0" w:rsidRPr="00415B3E" w14:paraId="78F60953" w14:textId="77777777" w:rsidTr="00325E6F">
        <w:tc>
          <w:tcPr>
            <w:tcW w:w="814" w:type="dxa"/>
          </w:tcPr>
          <w:p w14:paraId="44F29121"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21.</w:t>
            </w:r>
          </w:p>
        </w:tc>
        <w:tc>
          <w:tcPr>
            <w:tcW w:w="12016" w:type="dxa"/>
          </w:tcPr>
          <w:p w14:paraId="28B66965"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Propiedad intelectual y desarrollo socioeconómico</w:t>
            </w:r>
          </w:p>
        </w:tc>
      </w:tr>
      <w:tr w:rsidR="00FD5CE0" w:rsidRPr="00415B3E" w14:paraId="56FFD1A2" w14:textId="77777777" w:rsidTr="00325E6F">
        <w:tc>
          <w:tcPr>
            <w:tcW w:w="814" w:type="dxa"/>
          </w:tcPr>
          <w:p w14:paraId="11D0B9DA"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22.</w:t>
            </w:r>
          </w:p>
        </w:tc>
        <w:tc>
          <w:tcPr>
            <w:tcW w:w="12016" w:type="dxa"/>
          </w:tcPr>
          <w:p w14:paraId="0F76AE0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Creación de instrumentos de acceso a la información contenida en patentes – Fase II</w:t>
            </w:r>
          </w:p>
        </w:tc>
      </w:tr>
      <w:tr w:rsidR="00FD5CE0" w:rsidRPr="00415B3E" w14:paraId="7E353401" w14:textId="77777777" w:rsidTr="00325E6F">
        <w:tc>
          <w:tcPr>
            <w:tcW w:w="814" w:type="dxa"/>
          </w:tcPr>
          <w:p w14:paraId="2F1A146F"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23.</w:t>
            </w:r>
          </w:p>
        </w:tc>
        <w:tc>
          <w:tcPr>
            <w:tcW w:w="12016" w:type="dxa"/>
          </w:tcPr>
          <w:p w14:paraId="168EC556"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p>
        </w:tc>
      </w:tr>
      <w:tr w:rsidR="00FD5CE0" w:rsidRPr="00415B3E" w14:paraId="4DCFE330" w14:textId="77777777" w:rsidTr="00325E6F">
        <w:tc>
          <w:tcPr>
            <w:tcW w:w="814" w:type="dxa"/>
          </w:tcPr>
          <w:p w14:paraId="5A18FA4E"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24.</w:t>
            </w:r>
          </w:p>
        </w:tc>
        <w:tc>
          <w:tcPr>
            <w:tcW w:w="12016" w:type="dxa"/>
          </w:tcPr>
          <w:p w14:paraId="0B476A91"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PI y la transferencia de tecnología: Desafíos comunes y búsqueda de soluciones</w:t>
            </w:r>
          </w:p>
        </w:tc>
      </w:tr>
      <w:tr w:rsidR="00FD5CE0" w:rsidRPr="00415B3E" w14:paraId="586E3148" w14:textId="77777777" w:rsidTr="00325E6F">
        <w:tc>
          <w:tcPr>
            <w:tcW w:w="814" w:type="dxa"/>
          </w:tcPr>
          <w:p w14:paraId="3B4B9037"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25.</w:t>
            </w:r>
          </w:p>
        </w:tc>
        <w:tc>
          <w:tcPr>
            <w:tcW w:w="12016" w:type="dxa"/>
          </w:tcPr>
          <w:p w14:paraId="5CE85769"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Proyectos de colaboración abierta y los modelos de PI</w:t>
            </w:r>
          </w:p>
        </w:tc>
      </w:tr>
      <w:tr w:rsidR="00FD5CE0" w:rsidRPr="00415B3E" w14:paraId="637E5155" w14:textId="77777777" w:rsidTr="00325E6F">
        <w:trPr>
          <w:trHeight w:hRule="exact" w:val="302"/>
        </w:trPr>
        <w:tc>
          <w:tcPr>
            <w:tcW w:w="814" w:type="dxa"/>
          </w:tcPr>
          <w:p w14:paraId="166584B4"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26.</w:t>
            </w:r>
          </w:p>
        </w:tc>
        <w:tc>
          <w:tcPr>
            <w:tcW w:w="12016" w:type="dxa"/>
          </w:tcPr>
          <w:p w14:paraId="4FA0B64C" w14:textId="77777777" w:rsidR="00FD5CE0" w:rsidRPr="00415B3E" w:rsidRDefault="00FD5CE0" w:rsidP="00325E6F">
            <w:pPr>
              <w:spacing w:after="200" w:line="360" w:lineRule="auto"/>
              <w:rPr>
                <w:rFonts w:asciiTheme="minorBidi" w:hAnsiTheme="minorBidi" w:cstheme="minorBidi"/>
                <w:szCs w:val="22"/>
                <w:lang w:val="es-419"/>
              </w:rPr>
            </w:pPr>
            <w:r w:rsidRPr="00415B3E">
              <w:rPr>
                <w:rFonts w:asciiTheme="minorBidi" w:hAnsiTheme="minorBidi" w:cstheme="minorBidi"/>
                <w:szCs w:val="22"/>
                <w:lang w:val="es-419"/>
              </w:rPr>
              <w:t>Fortalecimiento y desarrollo del sector audiovisual en Burkina Faso y en determinados países de África</w:t>
            </w:r>
          </w:p>
        </w:tc>
      </w:tr>
      <w:tr w:rsidR="00FD5CE0" w:rsidRPr="00415B3E" w14:paraId="05A1917A" w14:textId="77777777" w:rsidTr="00325E6F">
        <w:tc>
          <w:tcPr>
            <w:tcW w:w="814" w:type="dxa"/>
          </w:tcPr>
          <w:p w14:paraId="00030DEA"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27.</w:t>
            </w:r>
          </w:p>
        </w:tc>
        <w:tc>
          <w:tcPr>
            <w:tcW w:w="12016" w:type="dxa"/>
          </w:tcPr>
          <w:p w14:paraId="103969EE"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Intensificación de la Cooperación Sur-Sur en materia de PI y desarrollo entre los países en desarrollo y los PMA</w:t>
            </w:r>
          </w:p>
        </w:tc>
      </w:tr>
      <w:tr w:rsidR="00FD5CE0" w:rsidRPr="00415B3E" w14:paraId="46046274" w14:textId="77777777" w:rsidTr="00325E6F">
        <w:tc>
          <w:tcPr>
            <w:tcW w:w="814" w:type="dxa"/>
          </w:tcPr>
          <w:p w14:paraId="2256B799"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lastRenderedPageBreak/>
              <w:t>28.</w:t>
            </w:r>
          </w:p>
        </w:tc>
        <w:tc>
          <w:tcPr>
            <w:tcW w:w="12016" w:type="dxa"/>
          </w:tcPr>
          <w:p w14:paraId="73CE223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Propiedad intelectual y la gestión de diseños para fomentar las actividades comerciales en los países en desarrollo y los países menos adelantados (PMA)</w:t>
            </w:r>
          </w:p>
        </w:tc>
      </w:tr>
      <w:tr w:rsidR="00FD5CE0" w:rsidRPr="00415B3E" w14:paraId="528246B9" w14:textId="77777777" w:rsidTr="00325E6F">
        <w:tc>
          <w:tcPr>
            <w:tcW w:w="814" w:type="dxa"/>
          </w:tcPr>
          <w:p w14:paraId="3141C7BF"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29.</w:t>
            </w:r>
          </w:p>
        </w:tc>
        <w:tc>
          <w:tcPr>
            <w:tcW w:w="12016" w:type="dxa"/>
          </w:tcPr>
          <w:p w14:paraId="4398A86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Fortalecimiento de capacidades en el uso de información técnica y científica relativa a tecnologías apropiadas para solucionar determinados problemas de desarrollo – Fase II</w:t>
            </w:r>
          </w:p>
        </w:tc>
      </w:tr>
      <w:tr w:rsidR="00FD5CE0" w:rsidRPr="00415B3E" w14:paraId="4027BA3A" w14:textId="77777777" w:rsidTr="00325E6F">
        <w:tc>
          <w:tcPr>
            <w:tcW w:w="814" w:type="dxa"/>
          </w:tcPr>
          <w:p w14:paraId="6ADFFAF9"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30.</w:t>
            </w:r>
          </w:p>
        </w:tc>
        <w:tc>
          <w:tcPr>
            <w:tcW w:w="12016" w:type="dxa"/>
          </w:tcPr>
          <w:p w14:paraId="2DAC2582"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Propiedad intelectual y desarrollo socioeconómico – Fase II</w:t>
            </w:r>
          </w:p>
        </w:tc>
      </w:tr>
      <w:tr w:rsidR="00FD5CE0" w:rsidRPr="00415B3E" w14:paraId="2C9AE1E6" w14:textId="77777777" w:rsidTr="00325E6F">
        <w:tc>
          <w:tcPr>
            <w:tcW w:w="814" w:type="dxa"/>
          </w:tcPr>
          <w:p w14:paraId="4F202048"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31.</w:t>
            </w:r>
          </w:p>
        </w:tc>
        <w:tc>
          <w:tcPr>
            <w:tcW w:w="12016" w:type="dxa"/>
          </w:tcPr>
          <w:p w14:paraId="1E834280"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Fortalecimiento y desarrollo del sector audiovisual en Burkina Faso y en determinados países de África – Fase II</w:t>
            </w:r>
          </w:p>
        </w:tc>
      </w:tr>
      <w:tr w:rsidR="00FD5CE0" w:rsidRPr="00415B3E" w14:paraId="3CA99781" w14:textId="77777777" w:rsidTr="00325E6F">
        <w:tc>
          <w:tcPr>
            <w:tcW w:w="814" w:type="dxa"/>
          </w:tcPr>
          <w:p w14:paraId="4CD8ED46"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32.</w:t>
            </w:r>
          </w:p>
        </w:tc>
        <w:tc>
          <w:tcPr>
            <w:tcW w:w="12016" w:type="dxa"/>
          </w:tcPr>
          <w:p w14:paraId="39138387"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Cooperación en materia de desarrollo y de instrucción y formación profesional en derechos de propiedad intelectual con instituciones de formación judicial de países en desarrollo y países menos adelantados</w:t>
            </w:r>
          </w:p>
        </w:tc>
      </w:tr>
      <w:tr w:rsidR="00FD5CE0" w:rsidRPr="00415B3E" w14:paraId="55F6EFDC" w14:textId="77777777" w:rsidTr="00325E6F">
        <w:tc>
          <w:tcPr>
            <w:tcW w:w="814" w:type="dxa"/>
          </w:tcPr>
          <w:p w14:paraId="5125F1F3"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33.</w:t>
            </w:r>
          </w:p>
        </w:tc>
        <w:tc>
          <w:tcPr>
            <w:tcW w:w="12016" w:type="dxa"/>
          </w:tcPr>
          <w:p w14:paraId="37BFD90F"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Propiedad intelectual, turismo y cultura: apoyo a los objetivos de desarrollo y promoción del patrimonio cultural de Egipto y otros países en desarrollo</w:t>
            </w:r>
          </w:p>
        </w:tc>
      </w:tr>
      <w:tr w:rsidR="00FD5CE0" w:rsidRPr="00415B3E" w14:paraId="126A4775" w14:textId="77777777" w:rsidTr="00325E6F">
        <w:tc>
          <w:tcPr>
            <w:tcW w:w="814" w:type="dxa"/>
          </w:tcPr>
          <w:p w14:paraId="7D5CBBD6"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34.</w:t>
            </w:r>
          </w:p>
        </w:tc>
        <w:tc>
          <w:tcPr>
            <w:tcW w:w="12016" w:type="dxa"/>
          </w:tcPr>
          <w:p w14:paraId="699EF6A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El uso de la información en el dominio público en favor del desarrollo económico</w:t>
            </w:r>
          </w:p>
        </w:tc>
      </w:tr>
      <w:tr w:rsidR="00FD5CE0" w:rsidRPr="00415B3E" w14:paraId="164AD120" w14:textId="77777777" w:rsidTr="00325E6F">
        <w:tc>
          <w:tcPr>
            <w:tcW w:w="814" w:type="dxa"/>
          </w:tcPr>
          <w:p w14:paraId="1244099B"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35.</w:t>
            </w:r>
          </w:p>
        </w:tc>
        <w:tc>
          <w:tcPr>
            <w:tcW w:w="12016" w:type="dxa"/>
          </w:tcPr>
          <w:p w14:paraId="57313854"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 xml:space="preserve">Gestión de la propiedad intelectual y transferencia de tecnología: fomentar el uso eficaz de la propiedad intelectual en los países en desarrollo, países menos adelantados y países con economías en transición </w:t>
            </w:r>
          </w:p>
        </w:tc>
      </w:tr>
      <w:tr w:rsidR="00FD5CE0" w:rsidRPr="00415B3E" w14:paraId="1B0BE51B" w14:textId="77777777" w:rsidTr="00325E6F">
        <w:tc>
          <w:tcPr>
            <w:tcW w:w="814" w:type="dxa"/>
          </w:tcPr>
          <w:p w14:paraId="4F456D99"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36.</w:t>
            </w:r>
          </w:p>
        </w:tc>
        <w:tc>
          <w:tcPr>
            <w:tcW w:w="12016" w:type="dxa"/>
          </w:tcPr>
          <w:p w14:paraId="358A7088"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Mejora del uso de la PI para aplicaciones móviles en el sector del software</w:t>
            </w:r>
          </w:p>
        </w:tc>
      </w:tr>
      <w:tr w:rsidR="00FD5CE0" w:rsidRPr="00415B3E" w14:paraId="77AD5B33" w14:textId="77777777" w:rsidTr="00325E6F">
        <w:tc>
          <w:tcPr>
            <w:tcW w:w="814" w:type="dxa"/>
          </w:tcPr>
          <w:p w14:paraId="3260EC2A"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37.</w:t>
            </w:r>
          </w:p>
        </w:tc>
        <w:tc>
          <w:tcPr>
            <w:tcW w:w="12016" w:type="dxa"/>
          </w:tcPr>
          <w:p w14:paraId="4B50D94E"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Herramientas para la elaboración de propuestas de proyectos de la Agenda para el Desarrollo</w:t>
            </w:r>
          </w:p>
        </w:tc>
      </w:tr>
      <w:tr w:rsidR="00FD5CE0" w:rsidRPr="00415B3E" w14:paraId="7E38849A" w14:textId="77777777" w:rsidTr="00325E6F">
        <w:tc>
          <w:tcPr>
            <w:tcW w:w="814" w:type="dxa"/>
          </w:tcPr>
          <w:p w14:paraId="5090B9E0"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38.</w:t>
            </w:r>
          </w:p>
        </w:tc>
        <w:tc>
          <w:tcPr>
            <w:tcW w:w="12016" w:type="dxa"/>
          </w:tcPr>
          <w:p w14:paraId="5B379413"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El fortalecimiento del papel de las mujeres en la innovación y el emprendimiento: alentar a las mujeres de países en desarrollo a utilizar el sistema de propiedad intelectual</w:t>
            </w:r>
          </w:p>
        </w:tc>
      </w:tr>
      <w:tr w:rsidR="00FD5CE0" w:rsidRPr="00415B3E" w14:paraId="12CED2B2" w14:textId="77777777" w:rsidTr="00325E6F">
        <w:tc>
          <w:tcPr>
            <w:tcW w:w="814" w:type="dxa"/>
          </w:tcPr>
          <w:p w14:paraId="5943F0C5"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39.</w:t>
            </w:r>
          </w:p>
        </w:tc>
        <w:tc>
          <w:tcPr>
            <w:tcW w:w="12016" w:type="dxa"/>
          </w:tcPr>
          <w:p w14:paraId="1E7893E7"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Propiedad intelectual y turismo gastronómico en el Perú y otros países en desarrollo: fomento del desarrollo del turismo gastronómico a través de la PI</w:t>
            </w:r>
          </w:p>
        </w:tc>
      </w:tr>
      <w:tr w:rsidR="00FD5CE0" w:rsidRPr="00415B3E" w14:paraId="7126B4BE" w14:textId="77777777" w:rsidTr="00325E6F">
        <w:tc>
          <w:tcPr>
            <w:tcW w:w="814" w:type="dxa"/>
          </w:tcPr>
          <w:p w14:paraId="2375BEF9"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40.</w:t>
            </w:r>
          </w:p>
        </w:tc>
        <w:tc>
          <w:tcPr>
            <w:tcW w:w="12016" w:type="dxa"/>
          </w:tcPr>
          <w:p w14:paraId="772C14CB"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Derechos de autor y distribución de contenido en el entorno digital</w:t>
            </w:r>
          </w:p>
        </w:tc>
      </w:tr>
      <w:tr w:rsidR="00FD5CE0" w:rsidRPr="00415B3E" w14:paraId="700ADA28" w14:textId="77777777" w:rsidTr="00325E6F">
        <w:tc>
          <w:tcPr>
            <w:tcW w:w="814" w:type="dxa"/>
          </w:tcPr>
          <w:p w14:paraId="74F0C6BF"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41.</w:t>
            </w:r>
          </w:p>
        </w:tc>
        <w:tc>
          <w:tcPr>
            <w:tcW w:w="12016" w:type="dxa"/>
          </w:tcPr>
          <w:p w14:paraId="5405729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 xml:space="preserve">Identificación y uso de invenciones en el dominio público </w:t>
            </w:r>
          </w:p>
        </w:tc>
      </w:tr>
      <w:tr w:rsidR="00FD5CE0" w:rsidRPr="00415B3E" w14:paraId="4C57DB28" w14:textId="77777777" w:rsidTr="00325E6F">
        <w:tc>
          <w:tcPr>
            <w:tcW w:w="814" w:type="dxa"/>
          </w:tcPr>
          <w:p w14:paraId="6B602AA9"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42.</w:t>
            </w:r>
          </w:p>
        </w:tc>
        <w:tc>
          <w:tcPr>
            <w:tcW w:w="12016" w:type="dxa"/>
          </w:tcPr>
          <w:p w14:paraId="63519898"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 xml:space="preserve">Registro de marcas colectivas de emprendimientos locales como eje transversal de desarrollo económico </w:t>
            </w:r>
          </w:p>
        </w:tc>
      </w:tr>
      <w:tr w:rsidR="00FD5CE0" w:rsidRPr="00415B3E" w14:paraId="6D2DF691" w14:textId="77777777" w:rsidTr="00325E6F">
        <w:tc>
          <w:tcPr>
            <w:tcW w:w="814" w:type="dxa"/>
          </w:tcPr>
          <w:p w14:paraId="617F6280"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43.</w:t>
            </w:r>
          </w:p>
        </w:tc>
        <w:tc>
          <w:tcPr>
            <w:tcW w:w="12016" w:type="dxa"/>
          </w:tcPr>
          <w:p w14:paraId="6EF2A196"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 xml:space="preserve">Mejora del uso de la PI para aplicaciones móviles en el sector del software - Fase II </w:t>
            </w:r>
          </w:p>
        </w:tc>
      </w:tr>
      <w:tr w:rsidR="00FD5CE0" w:rsidRPr="00415B3E" w14:paraId="50783D59" w14:textId="77777777" w:rsidTr="00325E6F">
        <w:tc>
          <w:tcPr>
            <w:tcW w:w="12830" w:type="dxa"/>
            <w:gridSpan w:val="2"/>
          </w:tcPr>
          <w:p w14:paraId="17591B47"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b/>
                <w:i/>
                <w:szCs w:val="22"/>
                <w:lang w:val="es-419"/>
              </w:rPr>
              <w:t>Proyectos de la Agenda para el Desarrollo en curso de ejecución en diciembre de 2024 (12)</w:t>
            </w:r>
          </w:p>
        </w:tc>
      </w:tr>
      <w:tr w:rsidR="00FD5CE0" w:rsidRPr="00415B3E" w14:paraId="051B6167" w14:textId="77777777" w:rsidTr="00325E6F">
        <w:tc>
          <w:tcPr>
            <w:tcW w:w="814" w:type="dxa"/>
          </w:tcPr>
          <w:p w14:paraId="2FD64EE8"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w:t>
            </w:r>
          </w:p>
        </w:tc>
        <w:tc>
          <w:tcPr>
            <w:tcW w:w="12016" w:type="dxa"/>
          </w:tcPr>
          <w:p w14:paraId="4B9DF060" w14:textId="77777777" w:rsidR="00FD5CE0" w:rsidRPr="00415B3E" w:rsidRDefault="00FD5CE0" w:rsidP="00325E6F">
            <w:pPr>
              <w:outlineLvl w:val="0"/>
              <w:rPr>
                <w:rFonts w:asciiTheme="minorBidi" w:hAnsiTheme="minorBidi" w:cstheme="minorBidi"/>
                <w:bCs/>
                <w:szCs w:val="22"/>
                <w:lang w:val="es-419"/>
              </w:rPr>
            </w:pPr>
            <w:bookmarkStart w:id="36" w:name="_Hlk190175762"/>
            <w:r w:rsidRPr="00415B3E">
              <w:rPr>
                <w:rFonts w:asciiTheme="minorBidi" w:hAnsiTheme="minorBidi" w:cstheme="minorBidi"/>
                <w:szCs w:val="22"/>
                <w:lang w:val="es-419"/>
              </w:rPr>
              <w:t>Desarrollo del sector musical y nuevos modelos económicos de la música en Burkina Faso y en determinados países de la Unión Económica y Monetaria del África Occidental (UEMOA)</w:t>
            </w:r>
            <w:bookmarkEnd w:id="36"/>
          </w:p>
        </w:tc>
      </w:tr>
      <w:tr w:rsidR="00FD5CE0" w:rsidRPr="00415B3E" w14:paraId="1977048F" w14:textId="77777777" w:rsidTr="00325E6F">
        <w:tc>
          <w:tcPr>
            <w:tcW w:w="814" w:type="dxa"/>
          </w:tcPr>
          <w:p w14:paraId="06746DAF"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w:t>
            </w:r>
          </w:p>
        </w:tc>
        <w:tc>
          <w:tcPr>
            <w:tcW w:w="12016" w:type="dxa"/>
          </w:tcPr>
          <w:p w14:paraId="3BA08E11"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Promoción del uso de la propiedad intelectual en países en desarrollo en industrias creativas en la era digital</w:t>
            </w:r>
          </w:p>
        </w:tc>
      </w:tr>
      <w:tr w:rsidR="00FD5CE0" w:rsidRPr="00415B3E" w14:paraId="29AAFECC" w14:textId="77777777" w:rsidTr="00325E6F">
        <w:tc>
          <w:tcPr>
            <w:tcW w:w="814" w:type="dxa"/>
          </w:tcPr>
          <w:p w14:paraId="05F6A863"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w:t>
            </w:r>
          </w:p>
        </w:tc>
        <w:tc>
          <w:tcPr>
            <w:tcW w:w="12016" w:type="dxa"/>
          </w:tcPr>
          <w:p w14:paraId="62A6878C"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Sistematización de datos estadísticos y el diseño y puesta en marcha de una metodología para la elaboración de estudios de incidencia sobre la utilización del sistema de propiedad intelectual</w:t>
            </w:r>
          </w:p>
        </w:tc>
      </w:tr>
      <w:tr w:rsidR="00FD5CE0" w:rsidRPr="00415B3E" w14:paraId="4286763F" w14:textId="77777777" w:rsidTr="00325E6F">
        <w:tc>
          <w:tcPr>
            <w:tcW w:w="814" w:type="dxa"/>
          </w:tcPr>
          <w:p w14:paraId="1FFD9208"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4.</w:t>
            </w:r>
          </w:p>
        </w:tc>
        <w:tc>
          <w:tcPr>
            <w:tcW w:w="12016" w:type="dxa"/>
          </w:tcPr>
          <w:p w14:paraId="5DD8000A"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Empoderamiento de las pequeñas empresas mediante la PI: desarrollo de estrategias de apoyo a las indicaciones geográficas y las marcas colectivas en el período posterior al registro</w:t>
            </w:r>
          </w:p>
        </w:tc>
      </w:tr>
      <w:tr w:rsidR="00FD5CE0" w:rsidRPr="00415B3E" w14:paraId="75E6D0D3" w14:textId="77777777" w:rsidTr="00325E6F">
        <w:tc>
          <w:tcPr>
            <w:tcW w:w="814" w:type="dxa"/>
          </w:tcPr>
          <w:p w14:paraId="3B7316F8"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5.</w:t>
            </w:r>
          </w:p>
        </w:tc>
        <w:tc>
          <w:tcPr>
            <w:tcW w:w="12016" w:type="dxa"/>
          </w:tcPr>
          <w:p w14:paraId="4944F7E4"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Reducción de los accidentes laborales y las enfermedades profesionales mediante la innovación y la propiedad intelectual</w:t>
            </w:r>
          </w:p>
        </w:tc>
      </w:tr>
      <w:tr w:rsidR="00FD5CE0" w:rsidRPr="00415B3E" w14:paraId="5AA4303E" w14:textId="77777777" w:rsidTr="00325E6F">
        <w:tc>
          <w:tcPr>
            <w:tcW w:w="814" w:type="dxa"/>
          </w:tcPr>
          <w:p w14:paraId="32E6172E"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6.</w:t>
            </w:r>
          </w:p>
        </w:tc>
        <w:tc>
          <w:tcPr>
            <w:tcW w:w="12016" w:type="dxa"/>
          </w:tcPr>
          <w:p w14:paraId="4014022C"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Propiedad intelectual y turismo gastronómico en el Perú y otros países en desarrollo: fomento del desarrollo del turismo gastronómico a través de la IP – fase II</w:t>
            </w:r>
          </w:p>
        </w:tc>
      </w:tr>
      <w:tr w:rsidR="00FD5CE0" w:rsidRPr="00415B3E" w14:paraId="231E6AB0" w14:textId="77777777" w:rsidTr="00325E6F">
        <w:tc>
          <w:tcPr>
            <w:tcW w:w="814" w:type="dxa"/>
          </w:tcPr>
          <w:p w14:paraId="67DBA7B1"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lastRenderedPageBreak/>
              <w:t>7.</w:t>
            </w:r>
          </w:p>
        </w:tc>
        <w:tc>
          <w:tcPr>
            <w:tcW w:w="12016" w:type="dxa"/>
          </w:tcPr>
          <w:p w14:paraId="70BD2417"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Colaboración en el ámbito de la PI y la innovación en sustento a la transferencia de tecnología y la introducción en el mercado de los productos de la investigación</w:t>
            </w:r>
          </w:p>
        </w:tc>
      </w:tr>
      <w:tr w:rsidR="00FD5CE0" w:rsidRPr="00415B3E" w14:paraId="1E2472DB" w14:textId="77777777" w:rsidTr="00325E6F">
        <w:tc>
          <w:tcPr>
            <w:tcW w:w="814" w:type="dxa"/>
          </w:tcPr>
          <w:p w14:paraId="60EF9DCE"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8.</w:t>
            </w:r>
          </w:p>
        </w:tc>
        <w:tc>
          <w:tcPr>
            <w:tcW w:w="12016" w:type="dxa"/>
          </w:tcPr>
          <w:p w14:paraId="6385C6B1" w14:textId="77777777" w:rsidR="00FD5CE0" w:rsidRPr="00415B3E" w:rsidRDefault="00FD5CE0" w:rsidP="00325E6F">
            <w:pPr>
              <w:outlineLvl w:val="0"/>
              <w:rPr>
                <w:rFonts w:asciiTheme="minorBidi" w:hAnsiTheme="minorBidi" w:cstheme="minorBidi"/>
                <w:bCs/>
                <w:szCs w:val="22"/>
                <w:lang w:val="es-419"/>
              </w:rPr>
            </w:pPr>
            <w:bookmarkStart w:id="37" w:name="_Hlk190177025"/>
            <w:r w:rsidRPr="00415B3E">
              <w:rPr>
                <w:rFonts w:asciiTheme="minorBidi" w:hAnsiTheme="minorBidi" w:cstheme="minorBidi"/>
                <w:szCs w:val="22"/>
                <w:lang w:val="es-419"/>
              </w:rPr>
              <w:t>Minería de textos y datos en apoyo de la investigación y la innovación en universidades y otras instituciones orientadas a la investigación en África</w:t>
            </w:r>
            <w:bookmarkEnd w:id="37"/>
          </w:p>
        </w:tc>
      </w:tr>
      <w:tr w:rsidR="00FD5CE0" w:rsidRPr="00415B3E" w14:paraId="31AC65BC" w14:textId="77777777" w:rsidTr="00325E6F">
        <w:tc>
          <w:tcPr>
            <w:tcW w:w="814" w:type="dxa"/>
          </w:tcPr>
          <w:p w14:paraId="77570D61"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9.</w:t>
            </w:r>
          </w:p>
        </w:tc>
        <w:tc>
          <w:tcPr>
            <w:tcW w:w="12016" w:type="dxa"/>
          </w:tcPr>
          <w:p w14:paraId="61A92990" w14:textId="77777777" w:rsidR="00FD5CE0" w:rsidRPr="00415B3E" w:rsidRDefault="00FD5CE0" w:rsidP="00325E6F">
            <w:pPr>
              <w:outlineLvl w:val="0"/>
              <w:rPr>
                <w:rFonts w:asciiTheme="minorBidi" w:hAnsiTheme="minorBidi" w:cstheme="minorBidi"/>
                <w:szCs w:val="22"/>
                <w:lang w:val="es-419"/>
              </w:rPr>
            </w:pPr>
            <w:r w:rsidRPr="00415B3E">
              <w:rPr>
                <w:rFonts w:asciiTheme="minorBidi" w:hAnsiTheme="minorBidi" w:cstheme="minorBidi"/>
                <w:szCs w:val="22"/>
                <w:lang w:val="es-419"/>
              </w:rPr>
              <w:t>Fortalecer la posición de la juventud (edad escolar) e innovar para un futuro mejor</w:t>
            </w:r>
          </w:p>
        </w:tc>
      </w:tr>
      <w:tr w:rsidR="00FD5CE0" w:rsidRPr="00415B3E" w14:paraId="7E9405A5" w14:textId="77777777" w:rsidTr="00325E6F">
        <w:tc>
          <w:tcPr>
            <w:tcW w:w="814" w:type="dxa"/>
          </w:tcPr>
          <w:p w14:paraId="3DC7B0C4"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10.</w:t>
            </w:r>
          </w:p>
        </w:tc>
        <w:tc>
          <w:tcPr>
            <w:tcW w:w="12016" w:type="dxa"/>
          </w:tcPr>
          <w:p w14:paraId="30D53661" w14:textId="77777777" w:rsidR="00FD5CE0" w:rsidRPr="00415B3E" w:rsidRDefault="00FD5CE0" w:rsidP="00325E6F">
            <w:pPr>
              <w:outlineLvl w:val="0"/>
              <w:rPr>
                <w:rFonts w:asciiTheme="minorBidi" w:hAnsiTheme="minorBidi" w:cstheme="minorBidi"/>
                <w:szCs w:val="22"/>
                <w:lang w:val="es-419"/>
              </w:rPr>
            </w:pPr>
            <w:bookmarkStart w:id="38" w:name="_Hlk190184250"/>
            <w:r w:rsidRPr="00415B3E">
              <w:rPr>
                <w:rFonts w:asciiTheme="minorBidi" w:hAnsiTheme="minorBidi" w:cstheme="minorBidi"/>
                <w:szCs w:val="22"/>
                <w:lang w:val="es-419"/>
              </w:rPr>
              <w:t>Elaboración de estrategias y herramientas para hacer frente a la piratería del derecho de autor en Internet en el mercado digital africano</w:t>
            </w:r>
            <w:bookmarkEnd w:id="38"/>
          </w:p>
        </w:tc>
      </w:tr>
      <w:tr w:rsidR="00FD5CE0" w:rsidRPr="00415B3E" w14:paraId="0C96DD3C" w14:textId="77777777" w:rsidTr="00325E6F">
        <w:tc>
          <w:tcPr>
            <w:tcW w:w="814" w:type="dxa"/>
          </w:tcPr>
          <w:p w14:paraId="0FA9860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11.</w:t>
            </w:r>
          </w:p>
        </w:tc>
        <w:tc>
          <w:tcPr>
            <w:tcW w:w="12016" w:type="dxa"/>
          </w:tcPr>
          <w:p w14:paraId="758864FB" w14:textId="77777777" w:rsidR="00FD5CE0" w:rsidRPr="00415B3E" w:rsidRDefault="00FD5CE0" w:rsidP="00325E6F">
            <w:pPr>
              <w:outlineLvl w:val="0"/>
              <w:rPr>
                <w:rFonts w:asciiTheme="minorBidi" w:hAnsiTheme="minorBidi" w:cstheme="minorBidi"/>
                <w:szCs w:val="22"/>
                <w:lang w:val="es-419"/>
              </w:rPr>
            </w:pPr>
            <w:r w:rsidRPr="00415B3E">
              <w:rPr>
                <w:rFonts w:asciiTheme="minorBidi" w:hAnsiTheme="minorBidi" w:cstheme="minorBidi"/>
                <w:szCs w:val="22"/>
                <w:lang w:val="es-419"/>
              </w:rPr>
              <w:t>Derecho de autor y distribución de contenidos en el entorno digital – Fase II</w:t>
            </w:r>
          </w:p>
        </w:tc>
      </w:tr>
      <w:tr w:rsidR="00FD5CE0" w:rsidRPr="00415B3E" w14:paraId="7FAAD7C4" w14:textId="77777777" w:rsidTr="00325E6F">
        <w:tc>
          <w:tcPr>
            <w:tcW w:w="814" w:type="dxa"/>
          </w:tcPr>
          <w:p w14:paraId="12B1F794"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12.</w:t>
            </w:r>
          </w:p>
        </w:tc>
        <w:tc>
          <w:tcPr>
            <w:tcW w:w="12016" w:type="dxa"/>
          </w:tcPr>
          <w:p w14:paraId="5073A5C2" w14:textId="77777777" w:rsidR="00FD5CE0" w:rsidRPr="00415B3E" w:rsidRDefault="00FD5CE0" w:rsidP="00325E6F">
            <w:pPr>
              <w:outlineLvl w:val="0"/>
              <w:rPr>
                <w:rFonts w:asciiTheme="minorBidi" w:hAnsiTheme="minorBidi" w:cstheme="minorBidi"/>
                <w:szCs w:val="22"/>
                <w:lang w:val="es-419"/>
              </w:rPr>
            </w:pPr>
            <w:r w:rsidRPr="00415B3E">
              <w:rPr>
                <w:rFonts w:asciiTheme="minorBidi" w:hAnsiTheme="minorBidi" w:cstheme="minorBidi"/>
                <w:szCs w:val="22"/>
                <w:lang w:val="es-419"/>
              </w:rPr>
              <w:t>PI y aprovechamiento del potencial de las indicaciones geográficas no agrícolas para el empoderamiento de las comunidades locales y la preservación o la recuperación de las artes y tradiciones locales</w:t>
            </w:r>
          </w:p>
        </w:tc>
      </w:tr>
      <w:tr w:rsidR="00FD5CE0" w:rsidRPr="00415B3E" w14:paraId="0C758291" w14:textId="77777777" w:rsidTr="00325E6F">
        <w:tc>
          <w:tcPr>
            <w:tcW w:w="12830" w:type="dxa"/>
            <w:gridSpan w:val="2"/>
          </w:tcPr>
          <w:p w14:paraId="582487AB"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b/>
                <w:i/>
                <w:szCs w:val="22"/>
                <w:lang w:val="es-419"/>
              </w:rPr>
              <w:t>Proyectos de la Agenda para el Desarrollo aprobados en 2024 (7)</w:t>
            </w:r>
          </w:p>
        </w:tc>
      </w:tr>
      <w:tr w:rsidR="00FD5CE0" w:rsidRPr="00415B3E" w14:paraId="1990FDEB" w14:textId="77777777" w:rsidTr="00325E6F">
        <w:tc>
          <w:tcPr>
            <w:tcW w:w="814" w:type="dxa"/>
          </w:tcPr>
          <w:p w14:paraId="131EA72E"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1.</w:t>
            </w:r>
          </w:p>
        </w:tc>
        <w:tc>
          <w:tcPr>
            <w:tcW w:w="12016" w:type="dxa"/>
          </w:tcPr>
          <w:p w14:paraId="1A005386"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 xml:space="preserve">Mejora de las capacidades de las Oficinas de PI nacionales en tiempos de crisis </w:t>
            </w:r>
          </w:p>
        </w:tc>
      </w:tr>
      <w:tr w:rsidR="00FD5CE0" w:rsidRPr="00415B3E" w14:paraId="188ADF54" w14:textId="77777777" w:rsidTr="00325E6F">
        <w:tc>
          <w:tcPr>
            <w:tcW w:w="814" w:type="dxa"/>
          </w:tcPr>
          <w:p w14:paraId="6A69E9B9"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2.</w:t>
            </w:r>
          </w:p>
        </w:tc>
        <w:tc>
          <w:tcPr>
            <w:tcW w:w="12016" w:type="dxa"/>
          </w:tcPr>
          <w:p w14:paraId="7C3857B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 xml:space="preserve">Mejora de las capacidades de enseñanza de la PI de las instituciones académicas artísticas y creativas para fomentar la creatividad </w:t>
            </w:r>
          </w:p>
        </w:tc>
      </w:tr>
      <w:tr w:rsidR="00FD5CE0" w:rsidRPr="00415B3E" w14:paraId="32512B79" w14:textId="77777777" w:rsidTr="00325E6F">
        <w:tc>
          <w:tcPr>
            <w:tcW w:w="814" w:type="dxa"/>
          </w:tcPr>
          <w:p w14:paraId="22A66220"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3.</w:t>
            </w:r>
          </w:p>
        </w:tc>
        <w:tc>
          <w:tcPr>
            <w:tcW w:w="12016" w:type="dxa"/>
          </w:tcPr>
          <w:p w14:paraId="640F1979"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 xml:space="preserve">Apoyo y consolidación del papel de las marcas colectivas como herramienta de impulso económico, cultural y social a través de un enfoque integrado del desarrollo </w:t>
            </w:r>
          </w:p>
        </w:tc>
      </w:tr>
      <w:tr w:rsidR="00FD5CE0" w:rsidRPr="00415B3E" w14:paraId="252577D9" w14:textId="77777777" w:rsidTr="00325E6F">
        <w:tc>
          <w:tcPr>
            <w:tcW w:w="814" w:type="dxa"/>
          </w:tcPr>
          <w:p w14:paraId="6EFD85BD"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4.</w:t>
            </w:r>
          </w:p>
        </w:tc>
        <w:tc>
          <w:tcPr>
            <w:tcW w:w="12016" w:type="dxa"/>
          </w:tcPr>
          <w:p w14:paraId="0F009A20"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 xml:space="preserve">Implantación de servicios de solución alternativa de controversias en las oficinas de derecho de autor </w:t>
            </w:r>
          </w:p>
        </w:tc>
      </w:tr>
      <w:tr w:rsidR="00FD5CE0" w:rsidRPr="00415B3E" w14:paraId="6986F35B" w14:textId="77777777" w:rsidTr="00325E6F">
        <w:tc>
          <w:tcPr>
            <w:tcW w:w="814" w:type="dxa"/>
          </w:tcPr>
          <w:p w14:paraId="2973787B"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5.</w:t>
            </w:r>
          </w:p>
        </w:tc>
        <w:tc>
          <w:tcPr>
            <w:tcW w:w="12016" w:type="dxa"/>
          </w:tcPr>
          <w:p w14:paraId="4DE1C672"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 xml:space="preserve">Creación de un centro de recursos y perspectivas sobre estrategias nacionales de PI en la OMPI </w:t>
            </w:r>
          </w:p>
        </w:tc>
      </w:tr>
      <w:tr w:rsidR="00FD5CE0" w:rsidRPr="00415B3E" w14:paraId="782DC1AF" w14:textId="77777777" w:rsidTr="00325E6F">
        <w:tc>
          <w:tcPr>
            <w:tcW w:w="814" w:type="dxa"/>
          </w:tcPr>
          <w:p w14:paraId="7932D221"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6.</w:t>
            </w:r>
          </w:p>
        </w:tc>
        <w:tc>
          <w:tcPr>
            <w:tcW w:w="12016" w:type="dxa"/>
          </w:tcPr>
          <w:p w14:paraId="2DB447A8"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Empoderamiento de los jóvenes músicos lusófonos en la era del streaming</w:t>
            </w:r>
          </w:p>
        </w:tc>
      </w:tr>
      <w:tr w:rsidR="00FD5CE0" w:rsidRPr="00415B3E" w14:paraId="2177A0E7" w14:textId="77777777" w:rsidTr="00325E6F">
        <w:tc>
          <w:tcPr>
            <w:tcW w:w="814" w:type="dxa"/>
          </w:tcPr>
          <w:p w14:paraId="0E6C459F"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7.</w:t>
            </w:r>
          </w:p>
        </w:tc>
        <w:tc>
          <w:tcPr>
            <w:tcW w:w="12016" w:type="dxa"/>
          </w:tcPr>
          <w:p w14:paraId="6AB79FBA" w14:textId="77777777" w:rsidR="00FD5CE0" w:rsidRPr="00415B3E" w:rsidRDefault="00FD5CE0" w:rsidP="00325E6F">
            <w:pPr>
              <w:outlineLvl w:val="0"/>
              <w:rPr>
                <w:rFonts w:asciiTheme="minorBidi" w:hAnsiTheme="minorBidi" w:cstheme="minorBidi"/>
                <w:bCs/>
                <w:szCs w:val="22"/>
                <w:lang w:val="es-419"/>
              </w:rPr>
            </w:pPr>
            <w:r w:rsidRPr="00415B3E">
              <w:rPr>
                <w:rFonts w:asciiTheme="minorBidi" w:hAnsiTheme="minorBidi" w:cstheme="minorBidi"/>
                <w:szCs w:val="22"/>
                <w:lang w:val="es-419"/>
              </w:rPr>
              <w:t xml:space="preserve">Empoderamiento y reconocimiento de los examinadores de PI </w:t>
            </w:r>
          </w:p>
        </w:tc>
      </w:tr>
    </w:tbl>
    <w:p w14:paraId="3B5CCC66" w14:textId="3DB6F515" w:rsidR="00152CEA" w:rsidRPr="00415B3E" w:rsidRDefault="00FD5CE0" w:rsidP="009D4B97">
      <w:pPr>
        <w:tabs>
          <w:tab w:val="left" w:pos="8370"/>
          <w:tab w:val="left" w:pos="11912"/>
        </w:tabs>
        <w:spacing w:before="600"/>
        <w:ind w:left="7921"/>
        <w:rPr>
          <w:rFonts w:asciiTheme="minorBidi" w:hAnsiTheme="minorBidi" w:cstheme="minorBidi"/>
          <w:szCs w:val="22"/>
          <w:lang w:val="es-419"/>
        </w:rPr>
      </w:pPr>
      <w:r w:rsidRPr="00415B3E">
        <w:rPr>
          <w:rFonts w:asciiTheme="minorBidi" w:hAnsiTheme="minorBidi" w:cstheme="minorBidi"/>
          <w:szCs w:val="22"/>
          <w:lang w:val="es-419"/>
        </w:rPr>
        <w:t>[Fin de los Anexos y del documento]</w:t>
      </w:r>
    </w:p>
    <w:sectPr w:rsidR="00152CEA" w:rsidRPr="00415B3E" w:rsidSect="00FD5CE0">
      <w:headerReference w:type="default" r:id="rId19"/>
      <w:headerReference w:type="first" r:id="rId20"/>
      <w:endnotePr>
        <w:numFmt w:val="decimal"/>
      </w:endnotePr>
      <w:pgSz w:w="16840" w:h="11907" w:orient="landscape" w:code="9"/>
      <w:pgMar w:top="1418" w:right="238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2215" w14:textId="77777777" w:rsidR="00460263" w:rsidRDefault="00460263">
      <w:r>
        <w:separator/>
      </w:r>
    </w:p>
  </w:endnote>
  <w:endnote w:type="continuationSeparator" w:id="0">
    <w:p w14:paraId="335CED47" w14:textId="77777777" w:rsidR="00460263" w:rsidRPr="009D30E6" w:rsidRDefault="00460263" w:rsidP="007E663E">
      <w:pPr>
        <w:rPr>
          <w:sz w:val="17"/>
          <w:szCs w:val="17"/>
        </w:rPr>
      </w:pPr>
      <w:r w:rsidRPr="009D30E6">
        <w:rPr>
          <w:sz w:val="17"/>
          <w:szCs w:val="17"/>
        </w:rPr>
        <w:separator/>
      </w:r>
    </w:p>
    <w:p w14:paraId="0F077B83" w14:textId="77777777" w:rsidR="00460263" w:rsidRPr="007E663E" w:rsidRDefault="00460263" w:rsidP="007E663E">
      <w:pPr>
        <w:spacing w:after="60"/>
        <w:rPr>
          <w:sz w:val="17"/>
          <w:szCs w:val="17"/>
        </w:rPr>
      </w:pPr>
      <w:r>
        <w:rPr>
          <w:sz w:val="17"/>
        </w:rPr>
        <w:t>[Continuación de la nota de la página anterior]</w:t>
      </w:r>
    </w:p>
  </w:endnote>
  <w:endnote w:type="continuationNotice" w:id="1">
    <w:p w14:paraId="5A4BAFA6" w14:textId="77777777" w:rsidR="00460263" w:rsidRPr="007E663E" w:rsidRDefault="0046026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71A2" w14:textId="77777777" w:rsidR="00460263" w:rsidRDefault="00460263">
      <w:r>
        <w:separator/>
      </w:r>
    </w:p>
  </w:footnote>
  <w:footnote w:type="continuationSeparator" w:id="0">
    <w:p w14:paraId="4A81BE5E" w14:textId="77777777" w:rsidR="00460263" w:rsidRPr="009D30E6" w:rsidRDefault="00460263" w:rsidP="007E663E">
      <w:pPr>
        <w:rPr>
          <w:sz w:val="17"/>
          <w:szCs w:val="17"/>
        </w:rPr>
      </w:pPr>
      <w:r w:rsidRPr="009D30E6">
        <w:rPr>
          <w:sz w:val="17"/>
          <w:szCs w:val="17"/>
        </w:rPr>
        <w:separator/>
      </w:r>
    </w:p>
    <w:p w14:paraId="6E70EA39" w14:textId="77777777" w:rsidR="00460263" w:rsidRPr="007E663E" w:rsidRDefault="00460263" w:rsidP="007E663E">
      <w:pPr>
        <w:spacing w:after="60"/>
        <w:rPr>
          <w:sz w:val="17"/>
          <w:szCs w:val="17"/>
        </w:rPr>
      </w:pPr>
      <w:r>
        <w:rPr>
          <w:sz w:val="17"/>
        </w:rPr>
        <w:t>[Continuación de la nota de la página anterior]</w:t>
      </w:r>
    </w:p>
  </w:footnote>
  <w:footnote w:type="continuationNotice" w:id="1">
    <w:p w14:paraId="49B588C2" w14:textId="77777777" w:rsidR="00460263" w:rsidRPr="007E663E" w:rsidRDefault="00460263" w:rsidP="007E663E">
      <w:pPr>
        <w:spacing w:before="60"/>
        <w:jc w:val="right"/>
        <w:rPr>
          <w:sz w:val="17"/>
          <w:szCs w:val="17"/>
        </w:rPr>
      </w:pPr>
      <w:r w:rsidRPr="007E663E">
        <w:rPr>
          <w:sz w:val="17"/>
          <w:szCs w:val="17"/>
        </w:rPr>
        <w:t>[Sigue la nota en la página siguiente]</w:t>
      </w:r>
    </w:p>
  </w:footnote>
  <w:footnote w:id="2">
    <w:p w14:paraId="7F1FAA60" w14:textId="4720B56C"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Plan Estratégico a Mediano Plazo (PEMP) de la Organización para 2022-2026 está disponible en: </w:t>
      </w:r>
      <w:hyperlink r:id="rId1" w:history="1">
        <w:r w:rsidRPr="00415B3E">
          <w:rPr>
            <w:rStyle w:val="Hyperlink"/>
            <w:lang w:val="es-419"/>
          </w:rPr>
          <w:t>www.wipo.int/meetings/es/doc_details.jsp?doc_id=541373</w:t>
        </w:r>
      </w:hyperlink>
      <w:r w:rsidRPr="00415B3E">
        <w:rPr>
          <w:lang w:val="es-419"/>
        </w:rPr>
        <w:t>.</w:t>
      </w:r>
    </w:p>
  </w:footnote>
  <w:footnote w:id="3">
    <w:p w14:paraId="7CD80F0C" w14:textId="77777777" w:rsidR="00FD5CE0" w:rsidRPr="00415B3E" w:rsidRDefault="00FD5CE0" w:rsidP="00FD5CE0">
      <w:pPr>
        <w:pStyle w:val="FootnoteText"/>
        <w:rPr>
          <w:iCs/>
          <w:color w:val="000000" w:themeColor="text1"/>
          <w:szCs w:val="18"/>
          <w:lang w:val="es-419"/>
        </w:rPr>
      </w:pPr>
      <w:r w:rsidRPr="00415B3E">
        <w:rPr>
          <w:rStyle w:val="FootnoteReference"/>
          <w:szCs w:val="18"/>
          <w:lang w:val="es-419"/>
        </w:rPr>
        <w:footnoteRef/>
      </w:r>
      <w:r w:rsidRPr="00415B3E">
        <w:rPr>
          <w:lang w:val="es-419"/>
        </w:rPr>
        <w:t xml:space="preserve"> </w:t>
      </w:r>
      <w:r w:rsidRPr="00415B3E">
        <w:rPr>
          <w:color w:val="000000" w:themeColor="text1"/>
          <w:lang w:val="es-419"/>
        </w:rPr>
        <w:t>La Conferencia Regional fue organizada en colaboración con el Gobierno de Côte d'Ivoire, la Comisión de la Unión Africana (CUA), el Centro de Comercio Internacional (ITC), la Organización Regional Africana de la Propiedad Intelectual (ARIPO) y la Organización Africana de la Propiedad Intelectual (OAPI), en virtud del Acuerdo de Cooperación Tripartita OMPI-ARIPO-OAPI, con el apoyo financiero de la Oficina Japonesa de Patentes (JPO). Asistieron un total de 123 participantes de 43 países africanos.</w:t>
      </w:r>
    </w:p>
  </w:footnote>
  <w:footnote w:id="4">
    <w:p w14:paraId="07C6280A"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rStyle w:val="FootnoteReference"/>
          <w:lang w:val="es-419"/>
        </w:rPr>
        <w:t xml:space="preserve"> </w:t>
      </w:r>
      <w:r w:rsidRPr="00415B3E">
        <w:rPr>
          <w:color w:val="000000" w:themeColor="text1"/>
          <w:lang w:val="es-419"/>
        </w:rPr>
        <w:t>La reunión se celebró en cooperación con la Liga de los Estados Árabes (LEA) en beneficio de los países árabes miembros de la LEA. En ella se abordó la cuestión de la IA y sus repercusiones en la PI y se debatió la mejor manera de utilizar la PI para apoyar el desarrollo de la IA.</w:t>
      </w:r>
    </w:p>
  </w:footnote>
  <w:footnote w:id="5">
    <w:p w14:paraId="57FAB1AB"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w:t>
      </w:r>
      <w:r w:rsidRPr="00415B3E">
        <w:rPr>
          <w:color w:val="000000" w:themeColor="text1"/>
          <w:lang w:val="es-419"/>
        </w:rPr>
        <w:t xml:space="preserve">Esta iniciativa benefició a mujeres </w:t>
      </w:r>
      <w:r w:rsidRPr="00415B3E">
        <w:rPr>
          <w:lang w:val="es-419"/>
        </w:rPr>
        <w:t>en el sector creativo en toda Asia del Sur, incluido Bangladesh, la India, Nepal, el Pakistán y Sri Lanka.</w:t>
      </w:r>
    </w:p>
  </w:footnote>
  <w:footnote w:id="6">
    <w:p w14:paraId="477EC323"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Al curso asistieron 24 miembros del personal de oficinas de PI de América Latina.</w:t>
      </w:r>
    </w:p>
  </w:footnote>
  <w:footnote w:id="7">
    <w:p w14:paraId="651103A2" w14:textId="6AC17772" w:rsidR="00FD5CE0" w:rsidRPr="00415B3E" w:rsidRDefault="00FD5CE0" w:rsidP="00FD5CE0">
      <w:pPr>
        <w:pStyle w:val="FootnoteText"/>
        <w:rPr>
          <w:lang w:val="es-419"/>
        </w:rPr>
      </w:pPr>
      <w:r w:rsidRPr="00415B3E">
        <w:rPr>
          <w:rStyle w:val="FootnoteReference"/>
          <w:szCs w:val="18"/>
          <w:lang w:val="es-419"/>
        </w:rPr>
        <w:footnoteRef/>
      </w:r>
      <w:r w:rsidRPr="00415B3E">
        <w:rPr>
          <w:lang w:val="es-419"/>
        </w:rPr>
        <w:t xml:space="preserve"> Se puede encontrar más información sobre el taller en: </w:t>
      </w:r>
      <w:r>
        <w:fldChar w:fldCharType="begin"/>
      </w:r>
      <w:r>
        <w:instrText>HYPERLINK "http://www.wipo.int/tad/en/activitydetails.jsp?id=28332"</w:instrText>
      </w:r>
      <w:r>
        <w:fldChar w:fldCharType="separate"/>
      </w:r>
      <w:r w:rsidRPr="00415B3E">
        <w:rPr>
          <w:rStyle w:val="Hyperlink"/>
          <w:lang w:val="es-419"/>
        </w:rPr>
        <w:t>Base de datos de asistencia técnica:</w:t>
      </w:r>
      <w:r>
        <w:fldChar w:fldCharType="end"/>
      </w:r>
      <w:hyperlink r:id="rId2" w:history="1">
        <w:r w:rsidRPr="00415B3E">
          <w:rPr>
            <w:rStyle w:val="Hyperlink"/>
            <w:lang w:val="es-419"/>
          </w:rPr>
          <w:t xml:space="preserve"> Detalles de la actividad</w:t>
        </w:r>
      </w:hyperlink>
      <w:r w:rsidRPr="00415B3E">
        <w:rPr>
          <w:lang w:val="es-419"/>
        </w:rPr>
        <w:t>.</w:t>
      </w:r>
    </w:p>
  </w:footnote>
  <w:footnote w:id="8">
    <w:p w14:paraId="58C54999"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Este nuevo Programa de Acción para 2022-2031 reconoce la importancia fundamental de la ciencia, tecnología e innovación, incluidos los ecosistemas de creatividad inclusivos y propicios, para alcanzar los Objetivos de Desarrollo Sostenible. Contiene objetivos y acciones más específicos relacionados con la PI, la innovación y la creatividad.</w:t>
      </w:r>
    </w:p>
  </w:footnote>
  <w:footnote w:id="9">
    <w:p w14:paraId="23A55411" w14:textId="578AC1C4"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información está disponible en: </w:t>
      </w:r>
      <w:r>
        <w:fldChar w:fldCharType="begin"/>
      </w:r>
      <w:r>
        <w:instrText>HYPERLINK "https://www.un.org/ldcportal/content/wipos-graduation-support-package-ldcs" \l ":~:text=Launched%20in%20July%202022%2C%20the,to%20graduating%20and%20graduated%20LDCs"</w:instrText>
      </w:r>
      <w:r>
        <w:fldChar w:fldCharType="separate"/>
      </w:r>
      <w:r w:rsidRPr="00415B3E">
        <w:rPr>
          <w:rStyle w:val="Hyperlink"/>
          <w:lang w:val="es-419"/>
        </w:rPr>
        <w:t>Paquete de la OMPI de apoyo a la graduación de los PMA</w:t>
      </w:r>
      <w:r>
        <w:fldChar w:fldCharType="end"/>
      </w:r>
      <w:r w:rsidRPr="00415B3E">
        <w:rPr>
          <w:lang w:val="es-419"/>
        </w:rPr>
        <w:t>.</w:t>
      </w:r>
    </w:p>
  </w:footnote>
  <w:footnote w:id="10">
    <w:p w14:paraId="1896CFB8"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Incluyendo los seis idiomas oficiales de las Naciones Unidas (árabe, chino, español, francés, inglés y ruso).</w:t>
      </w:r>
    </w:p>
  </w:footnote>
  <w:footnote w:id="11">
    <w:p w14:paraId="6CAB7A84"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Albania, Arabia Saudita, Bulgaria, Cabo Verde, Croacia, Cuba, Filipinas, Georgia, Kirguistán, República Democrática Popular Lao, República de Moldova, Mongolia, Omán, Pakistán, Tayikistán y Ucrania.</w:t>
      </w:r>
    </w:p>
  </w:footnote>
  <w:footnote w:id="12">
    <w:p w14:paraId="09880E65"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Los nuevos programas conjuntos de maestría se imparten en colaboración con la Universidad Tsinghua de China, la Universidad Maqsut Narikbayev de Kazajstán y la National Law University-Delhi, en la India.</w:t>
      </w:r>
    </w:p>
  </w:footnote>
  <w:footnote w:id="13">
    <w:p w14:paraId="439CF6A8"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Coloquio se celebró conjuntamente con la segunda Conferencia africana de especialistas en PI, organizada por la Academia de la OMPI en colaboración con la Organización Mundial del Comercio y la </w:t>
      </w:r>
      <w:bookmarkStart w:id="22" w:name="_Hlk188886020"/>
      <w:r w:rsidRPr="00415B3E">
        <w:rPr>
          <w:lang w:val="es-419"/>
        </w:rPr>
        <w:t>Universidad de Ciudad del Cabo.</w:t>
      </w:r>
      <w:bookmarkEnd w:id="22"/>
    </w:p>
  </w:footnote>
  <w:footnote w:id="14">
    <w:p w14:paraId="77AF6D2F" w14:textId="69D96F3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A este respecto, para facilitar los debates, se ha establecido una Lista de temas con propuestas de los Estados miembros que se actualiza de manera periódica. Se invita a los Estados miembros a presentar sus propuestas de temas relacionados con la PI y el desarrollo en cualquier momento. La Lista está disponible en </w:t>
      </w:r>
      <w:r>
        <w:fldChar w:fldCharType="begin"/>
      </w:r>
      <w:r>
        <w:instrText>HYPERLINK "https://www.wipo.int/export/sites/www/ip-development/es/agenda/docs/roster-of-topics-on-ip-and-development.pdf"</w:instrText>
      </w:r>
      <w:r>
        <w:fldChar w:fldCharType="separate"/>
      </w:r>
      <w:r w:rsidRPr="00415B3E">
        <w:rPr>
          <w:rStyle w:val="Hyperlink"/>
          <w:lang w:val="es-419"/>
        </w:rPr>
        <w:t>www.wipo.int/export/sites/www/ip-development/en/agenda/docs/roster-of-topics-on-ip-and-development.pdf</w:t>
      </w:r>
      <w:r>
        <w:fldChar w:fldCharType="end"/>
      </w:r>
      <w:r w:rsidRPr="00415B3E">
        <w:rPr>
          <w:lang w:val="es-419"/>
        </w:rPr>
        <w:t>)</w:t>
      </w:r>
    </w:p>
  </w:footnote>
  <w:footnote w:id="15">
    <w:p w14:paraId="1FFCA255" w14:textId="303C0BEF"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presentación de la Secretaría está disponible en: </w:t>
      </w:r>
      <w:r>
        <w:fldChar w:fldCharType="begin"/>
      </w:r>
      <w:r>
        <w:instrText>HYPERLINK "https://www.wipo.int/meetings/en/doc_details.jsp?doc_id=630523"</w:instrText>
      </w:r>
      <w:r>
        <w:fldChar w:fldCharType="separate"/>
      </w:r>
      <w:r w:rsidRPr="00415B3E">
        <w:rPr>
          <w:rStyle w:val="Hyperlink"/>
          <w:lang w:val="es-419"/>
        </w:rPr>
        <w:t>Fortalecer las capacidades de las universidades para gestionar y comercializar la PI:</w:t>
      </w:r>
      <w:r>
        <w:fldChar w:fldCharType="end"/>
      </w:r>
      <w:hyperlink r:id="rId3" w:history="1">
        <w:r w:rsidRPr="00415B3E">
          <w:rPr>
            <w:rStyle w:val="Hyperlink"/>
            <w:lang w:val="es-419"/>
          </w:rPr>
          <w:t xml:space="preserve"> Transferencia de PI y Tecnología - Presentación de la Secretaría</w:t>
        </w:r>
      </w:hyperlink>
      <w:r w:rsidRPr="00415B3E">
        <w:rPr>
          <w:lang w:val="es-419"/>
        </w:rPr>
        <w:t>.</w:t>
      </w:r>
    </w:p>
  </w:footnote>
  <w:footnote w:id="16">
    <w:p w14:paraId="39EC4CE7"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A petición del Comité en su trigésima sesión.</w:t>
      </w:r>
    </w:p>
  </w:footnote>
  <w:footnote w:id="17">
    <w:p w14:paraId="394F1256" w14:textId="1A59F2B4"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CDIP/32/9, disponible en: </w:t>
      </w:r>
      <w:r>
        <w:fldChar w:fldCharType="begin"/>
      </w:r>
      <w:r>
        <w:instrText>HYPERLINK "https://www.wipo.int/meetings/es/doc_details.jsp?doc_id=628277"</w:instrText>
      </w:r>
      <w:r>
        <w:fldChar w:fldCharType="separate"/>
      </w:r>
      <w:r w:rsidRPr="00415B3E">
        <w:rPr>
          <w:rStyle w:val="Hyperlink"/>
          <w:lang w:val="es-419"/>
        </w:rPr>
        <w:t>www.wipo.int/meetings/es/doc_details.jsp?doc_id=628277</w:t>
      </w:r>
      <w:r>
        <w:fldChar w:fldCharType="end"/>
      </w:r>
      <w:r w:rsidRPr="00415B3E">
        <w:rPr>
          <w:lang w:val="es-419"/>
        </w:rPr>
        <w:t>.</w:t>
      </w:r>
    </w:p>
  </w:footnote>
  <w:footnote w:id="18">
    <w:p w14:paraId="297F2D9B" w14:textId="0506563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presentación de la Secretaría está disponible en: </w:t>
      </w:r>
      <w:r>
        <w:fldChar w:fldCharType="begin"/>
      </w:r>
      <w:r>
        <w:instrText>HYPERLINK "https://www.wipo.int/meetings/en/doc_details.jsp?doc_id=639845"</w:instrText>
      </w:r>
      <w:r>
        <w:fldChar w:fldCharType="separate"/>
      </w:r>
      <w:r w:rsidRPr="00415B3E">
        <w:rPr>
          <w:rStyle w:val="Hyperlink"/>
          <w:lang w:val="es-419"/>
        </w:rPr>
        <w:t>www.wipo.int/meetings/en/doc_details.jsp?doc_id=639845</w:t>
      </w:r>
      <w:r>
        <w:fldChar w:fldCharType="end"/>
      </w:r>
      <w:r w:rsidRPr="00415B3E">
        <w:rPr>
          <w:lang w:val="es-419"/>
        </w:rPr>
        <w:t>.</w:t>
      </w:r>
    </w:p>
  </w:footnote>
  <w:footnote w:id="19">
    <w:p w14:paraId="0F056E46" w14:textId="343C9D2F"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compilación de subtemas propuestos por los Estados miembros para la Conferencia Internacional sobre PI y Desarrollo, que figura en el documento CDIP/31/12 REV, está disponible en: </w:t>
      </w:r>
      <w:r>
        <w:fldChar w:fldCharType="begin"/>
      </w:r>
      <w:r>
        <w:instrText>HYPERLINK "http://www.wipo.int/meetings/es/doc_details.jsp?doc_id=621473"</w:instrText>
      </w:r>
      <w:r>
        <w:fldChar w:fldCharType="separate"/>
      </w:r>
      <w:r w:rsidRPr="00415B3E">
        <w:rPr>
          <w:rStyle w:val="Hyperlink"/>
          <w:lang w:val="es-419"/>
        </w:rPr>
        <w:t>www.wipo.int/meetings/es/doc_details.jsp?doc_id=621473</w:t>
      </w:r>
      <w:r>
        <w:fldChar w:fldCharType="end"/>
      </w:r>
      <w:r w:rsidRPr="00415B3E">
        <w:rPr>
          <w:lang w:val="es-419"/>
        </w:rPr>
        <w:t>.</w:t>
      </w:r>
    </w:p>
  </w:footnote>
  <w:footnote w:id="20">
    <w:p w14:paraId="5E643A89" w14:textId="47698DBB" w:rsidR="00FD5CE0" w:rsidRPr="00415B3E" w:rsidRDefault="00FD5CE0" w:rsidP="00FD5CE0">
      <w:pPr>
        <w:pStyle w:val="FootnoteText"/>
        <w:rPr>
          <w:lang w:val="es-419"/>
        </w:rPr>
      </w:pPr>
      <w:r w:rsidRPr="00415B3E">
        <w:rPr>
          <w:rStyle w:val="FootnoteReference"/>
          <w:szCs w:val="18"/>
          <w:lang w:val="es-419"/>
        </w:rPr>
        <w:footnoteRef/>
      </w:r>
      <w:r w:rsidRPr="00415B3E">
        <w:rPr>
          <w:lang w:val="es-419"/>
        </w:rPr>
        <w:t xml:space="preserve"> La base de datos se creó en junio de 2013, según lo acordado por el Comité en su sexta sesión, y está disponible en: </w:t>
      </w:r>
      <w:r>
        <w:fldChar w:fldCharType="begin"/>
      </w:r>
      <w:r>
        <w:instrText>HYPERLINK "https://www.wipo.int/ip-development/es/agenda/flexibilities/database.html"</w:instrText>
      </w:r>
      <w:r>
        <w:fldChar w:fldCharType="separate"/>
      </w:r>
      <w:r w:rsidRPr="00415B3E">
        <w:rPr>
          <w:rStyle w:val="Hyperlink"/>
          <w:lang w:val="es-419"/>
        </w:rPr>
        <w:t>Flexibilidades en el sistema de Propiedad Intelectual</w:t>
      </w:r>
      <w:r>
        <w:fldChar w:fldCharType="end"/>
      </w:r>
      <w:r w:rsidRPr="00415B3E">
        <w:rPr>
          <w:lang w:val="es-419"/>
        </w:rPr>
        <w:t>.</w:t>
      </w:r>
    </w:p>
  </w:footnote>
  <w:footnote w:id="21">
    <w:p w14:paraId="46268212" w14:textId="398F72B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CDIP/20/5, disponible en: </w:t>
      </w:r>
      <w:r>
        <w:fldChar w:fldCharType="begin"/>
      </w:r>
      <w:r>
        <w:instrText>HYPERLINK "https://www.wipo.int/meetings/es/doc_details.jsp?doc_id=387181"</w:instrText>
      </w:r>
      <w:r>
        <w:fldChar w:fldCharType="separate"/>
      </w:r>
      <w:r w:rsidRPr="00415B3E">
        <w:rPr>
          <w:rStyle w:val="Hyperlink"/>
          <w:lang w:val="es-419"/>
        </w:rPr>
        <w:t>www.wipo.int/meetings/es/doc_details.jsp?doc_id=387181</w:t>
      </w:r>
      <w:r>
        <w:fldChar w:fldCharType="end"/>
      </w:r>
      <w:r w:rsidRPr="00415B3E">
        <w:rPr>
          <w:lang w:val="es-419"/>
        </w:rPr>
        <w:t>.</w:t>
      </w:r>
    </w:p>
  </w:footnote>
  <w:footnote w:id="22">
    <w:p w14:paraId="4E58C062"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La información actualizada notificada por los Estados miembros puede hacer referencia a: i) la modificación de uno o varios artículos incluidos en la base de datos; o ii) un artículo que no exista con anterioridad y haya sido aprobado en la legislación nacional y que atañe a las flexibilidades recogidas en la base de datos.</w:t>
      </w:r>
    </w:p>
  </w:footnote>
  <w:footnote w:id="23">
    <w:p w14:paraId="3DD95342" w14:textId="401A7E5C"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Se puede encontrar más información en: </w:t>
      </w:r>
      <w:r>
        <w:fldChar w:fldCharType="begin"/>
      </w:r>
      <w:r>
        <w:instrText>HYPERLINK "https://www.wipo.int/web/gender/w/news/2024/closing-the-gender-gap-in-ip-women-and-the-sustainable-development-goals"</w:instrText>
      </w:r>
      <w:r>
        <w:fldChar w:fldCharType="separate"/>
      </w:r>
      <w:r w:rsidRPr="00415B3E">
        <w:rPr>
          <w:rStyle w:val="Hyperlink"/>
          <w:lang w:val="es-419"/>
        </w:rPr>
        <w:t>Cerrar la brecha de género en la PI:</w:t>
      </w:r>
      <w:r>
        <w:fldChar w:fldCharType="end"/>
      </w:r>
      <w:hyperlink r:id="rId4" w:history="1">
        <w:r w:rsidRPr="00415B3E">
          <w:rPr>
            <w:rStyle w:val="Hyperlink"/>
            <w:lang w:val="es-419"/>
          </w:rPr>
          <w:t xml:space="preserve"> las mujeres y los Objetivos de Desarrollo Sostenible</w:t>
        </w:r>
      </w:hyperlink>
      <w:r w:rsidRPr="00415B3E">
        <w:rPr>
          <w:lang w:val="es-419"/>
        </w:rPr>
        <w:t>.</w:t>
      </w:r>
    </w:p>
  </w:footnote>
  <w:footnote w:id="24">
    <w:p w14:paraId="555BD4C8"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Este número indica la cantidad de participantes que se unieron a la sesión mediante la plataforma. Además, una gran cantidad de participantes siguieron las sesiones por medio de la difusión por Internet en vivo.</w:t>
      </w:r>
    </w:p>
  </w:footnote>
  <w:footnote w:id="25">
    <w:p w14:paraId="3EFED346" w14:textId="4EEB53F3" w:rsidR="00FD5CE0" w:rsidRPr="00415B3E" w:rsidRDefault="00FD5CE0" w:rsidP="00FD5CE0">
      <w:pPr>
        <w:pStyle w:val="FootnoteText"/>
        <w:rPr>
          <w:color w:val="000000" w:themeColor="text1"/>
          <w:szCs w:val="18"/>
          <w:lang w:val="es-419"/>
        </w:rPr>
      </w:pPr>
      <w:r w:rsidRPr="00415B3E">
        <w:rPr>
          <w:rStyle w:val="FootnoteReference"/>
          <w:szCs w:val="18"/>
          <w:lang w:val="es-419"/>
        </w:rPr>
        <w:footnoteRef/>
      </w:r>
      <w:r w:rsidRPr="00415B3E">
        <w:rPr>
          <w:lang w:val="es-419"/>
        </w:rPr>
        <w:t xml:space="preserve"> </w:t>
      </w:r>
      <w:r w:rsidRPr="00415B3E">
        <w:rPr>
          <w:color w:val="000000" w:themeColor="text1"/>
          <w:lang w:val="es-419"/>
        </w:rPr>
        <w:t xml:space="preserve">Los detalles de la Conferencia están disponibles en: </w:t>
      </w:r>
      <w:r>
        <w:fldChar w:fldCharType="begin"/>
      </w:r>
      <w:r>
        <w:instrText>HYPERLINK "https://www.wipo.int/meetings/es/details.jsp?meeting_id=76488"</w:instrText>
      </w:r>
      <w:r>
        <w:fldChar w:fldCharType="separate"/>
      </w:r>
      <w:r w:rsidRPr="00415B3E">
        <w:rPr>
          <w:rStyle w:val="Hyperlink"/>
          <w:lang w:val="es-419"/>
        </w:rPr>
        <w:t>www.wipo.int/meetings/es/details.jsp?meeting_id=76488</w:t>
      </w:r>
      <w:r>
        <w:fldChar w:fldCharType="end"/>
      </w:r>
      <w:r w:rsidRPr="00415B3E">
        <w:rPr>
          <w:lang w:val="es-419"/>
        </w:rPr>
        <w:t>.</w:t>
      </w:r>
    </w:p>
  </w:footnote>
  <w:footnote w:id="26">
    <w:p w14:paraId="50FBFD5E" w14:textId="6CE6466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Al debatir sobre la conclusión de este proyecto durante la trigésima segunda sesión del Comité de Desarrollo y Propiedad Intelectual (CDIP), este examinó una propuesta de proyecto sobre el “apoyo y la consolidación del papel de las marcas colectivas como herramienta de impulso económico, cultural y social a través de un enfoque integrado del desarrollo”, presentada por Filipinas, el Brasil y el Estado Plurinacional de Bolivia, que figura en el documento CDIP/32/8 REV., disponible en: </w:t>
      </w:r>
      <w:r>
        <w:fldChar w:fldCharType="begin"/>
      </w:r>
      <w:r>
        <w:instrText>HYPERLINK "http://www.wipo.int/meetings/es/doc_details.jsp?doc_id=630655"</w:instrText>
      </w:r>
      <w:r>
        <w:fldChar w:fldCharType="separate"/>
      </w:r>
      <w:r w:rsidRPr="00415B3E">
        <w:rPr>
          <w:rStyle w:val="Hyperlink"/>
          <w:lang w:val="es-419"/>
        </w:rPr>
        <w:t>www.wipo.int/meetings/es/doc_details.jsp?doc_id=630655</w:t>
      </w:r>
      <w:r>
        <w:fldChar w:fldCharType="end"/>
      </w:r>
      <w:r w:rsidRPr="00415B3E">
        <w:rPr>
          <w:lang w:val="es-419"/>
        </w:rPr>
        <w:t>.</w:t>
      </w:r>
    </w:p>
  </w:footnote>
  <w:footnote w:id="27">
    <w:p w14:paraId="6E33F04A" w14:textId="4EC30195"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CDIP/33/8, disponible en: </w:t>
      </w:r>
      <w:r>
        <w:fldChar w:fldCharType="begin"/>
      </w:r>
      <w:r>
        <w:instrText>HYPERLINK "http://www.wipo.int/meetings/es/doc_details.jsp?doc_id=637020"</w:instrText>
      </w:r>
      <w:r>
        <w:fldChar w:fldCharType="separate"/>
      </w:r>
      <w:r w:rsidRPr="00415B3E">
        <w:rPr>
          <w:rStyle w:val="Hyperlink"/>
          <w:lang w:val="es-419"/>
        </w:rPr>
        <w:t>www.wipo.int/meetings/es/doc_details.jsp?doc_id=637020</w:t>
      </w:r>
      <w:r>
        <w:fldChar w:fldCharType="end"/>
      </w:r>
      <w:r w:rsidRPr="00415B3E">
        <w:rPr>
          <w:lang w:val="es-419"/>
        </w:rPr>
        <w:t>.</w:t>
      </w:r>
    </w:p>
  </w:footnote>
  <w:footnote w:id="28">
    <w:p w14:paraId="59962B5C" w14:textId="3E29B62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CDIP/33/3, disponible en: </w:t>
      </w:r>
      <w:r>
        <w:fldChar w:fldCharType="begin"/>
      </w:r>
      <w:r>
        <w:instrText>HYPERLINK "http://www.wipo.int/meetings/es/doc_details.jsp?doc_id=637071"</w:instrText>
      </w:r>
      <w:r>
        <w:fldChar w:fldCharType="separate"/>
      </w:r>
      <w:r w:rsidRPr="00415B3E">
        <w:rPr>
          <w:rStyle w:val="Hyperlink"/>
          <w:lang w:val="es-419"/>
        </w:rPr>
        <w:t>www.wipo.int/meetings/es/doc_details.jsp?doc_id=637071</w:t>
      </w:r>
      <w:r>
        <w:fldChar w:fldCharType="end"/>
      </w:r>
      <w:r w:rsidRPr="00415B3E">
        <w:rPr>
          <w:lang w:val="es-419"/>
        </w:rPr>
        <w:t>.</w:t>
      </w:r>
    </w:p>
  </w:footnote>
  <w:footnote w:id="29">
    <w:p w14:paraId="710A5896" w14:textId="02602E69"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CDIP/33/2, disponible en: </w:t>
      </w:r>
      <w:r>
        <w:fldChar w:fldCharType="begin"/>
      </w:r>
      <w:r>
        <w:instrText>HYPERLINK "http://www.wipo.int/meetings/es/doc_details.jsp?doc_id=637348"</w:instrText>
      </w:r>
      <w:r>
        <w:fldChar w:fldCharType="separate"/>
      </w:r>
      <w:r w:rsidRPr="00415B3E">
        <w:rPr>
          <w:rStyle w:val="Hyperlink"/>
          <w:lang w:val="es-419"/>
        </w:rPr>
        <w:t>www.wipo.int/meetings/es/doc_details.jsp?doc_id=637348</w:t>
      </w:r>
      <w:r>
        <w:fldChar w:fldCharType="end"/>
      </w:r>
      <w:r w:rsidRPr="00415B3E">
        <w:rPr>
          <w:lang w:val="es-419"/>
        </w:rPr>
        <w:t>.</w:t>
      </w:r>
    </w:p>
  </w:footnote>
  <w:footnote w:id="30">
    <w:p w14:paraId="34F56F79" w14:textId="5FAC2814"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CDIP/33/4 CORR., disponible en: </w:t>
      </w:r>
      <w:r>
        <w:fldChar w:fldCharType="begin"/>
      </w:r>
      <w:r>
        <w:instrText>HYPERLINK "http://www.wipo.int/meetings/en/doc_details.jsp?doc_id=639846"</w:instrText>
      </w:r>
      <w:r>
        <w:fldChar w:fldCharType="separate"/>
      </w:r>
      <w:r w:rsidRPr="00415B3E">
        <w:rPr>
          <w:rStyle w:val="Hyperlink"/>
          <w:lang w:val="es-419"/>
        </w:rPr>
        <w:t>www.wipo.int/meetings/en/doc_details.jsp?doc_id=639846</w:t>
      </w:r>
      <w:r>
        <w:fldChar w:fldCharType="end"/>
      </w:r>
      <w:r w:rsidRPr="00415B3E">
        <w:rPr>
          <w:lang w:val="es-419"/>
        </w:rPr>
        <w:t>.</w:t>
      </w:r>
    </w:p>
  </w:footnote>
  <w:footnote w:id="31">
    <w:p w14:paraId="46C24DE6" w14:textId="5D8D6E82"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CDIP/32/3, disponible en: </w:t>
      </w:r>
      <w:r>
        <w:fldChar w:fldCharType="begin"/>
      </w:r>
      <w:r>
        <w:instrText>HYPERLINK "http://www.wipo.int/meetings/es/doc_details.jsp?doc_id=628927"</w:instrText>
      </w:r>
      <w:r>
        <w:fldChar w:fldCharType="separate"/>
      </w:r>
      <w:r w:rsidRPr="00415B3E">
        <w:rPr>
          <w:rStyle w:val="Hyperlink"/>
          <w:lang w:val="es-419"/>
        </w:rPr>
        <w:t>www.wipo.int/meetings/es/doc_details.jsp?doc_id=628927</w:t>
      </w:r>
      <w:r>
        <w:fldChar w:fldCharType="end"/>
      </w:r>
      <w:r w:rsidRPr="00415B3E">
        <w:rPr>
          <w:lang w:val="es-419"/>
        </w:rPr>
        <w:t>.</w:t>
      </w:r>
    </w:p>
  </w:footnote>
  <w:footnote w:id="32">
    <w:p w14:paraId="27333B56"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Curso está disponible en inglés, español y árabe.</w:t>
      </w:r>
    </w:p>
  </w:footnote>
  <w:footnote w:id="33">
    <w:p w14:paraId="7378105B"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IP-TAD proporciona información sobre las actividades de asistencia técnica llevadas cabo por la OMPI, en las cuales los países beneficiarios eran países en desarrollo, PMA o países con economías en transición.</w:t>
      </w:r>
    </w:p>
  </w:footnote>
  <w:footnote w:id="34">
    <w:p w14:paraId="60186326"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Estos no trabajan en la sede ni en las oficinas de la OMPI en el exterior.</w:t>
      </w:r>
    </w:p>
  </w:footnote>
  <w:footnote w:id="35">
    <w:p w14:paraId="22A09ED2" w14:textId="21F28B3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w:t>
      </w:r>
      <w:r>
        <w:fldChar w:fldCharType="begin"/>
      </w:r>
      <w:r>
        <w:instrText>HYPERLINK "https://www.wipo.int/meetings/es/doc_details.jsp?doc_id=570471"</w:instrText>
      </w:r>
      <w:r>
        <w:fldChar w:fldCharType="separate"/>
      </w:r>
      <w:r w:rsidRPr="00415B3E">
        <w:rPr>
          <w:lang w:val="es-419"/>
        </w:rPr>
        <w:t>CDIP/28/5</w:t>
      </w:r>
      <w:r>
        <w:fldChar w:fldCharType="end"/>
      </w:r>
      <w:r w:rsidRPr="00415B3E">
        <w:rPr>
          <w:lang w:val="es-419"/>
        </w:rPr>
        <w:t xml:space="preserve">, disponible en: </w:t>
      </w:r>
      <w:hyperlink r:id="rId5" w:history="1">
        <w:r w:rsidRPr="00415B3E">
          <w:rPr>
            <w:rStyle w:val="Hyperlink"/>
            <w:lang w:val="es-419"/>
          </w:rPr>
          <w:t>www.wipo.int/meetings/es/doc_details.jsp?doc_id=570471</w:t>
        </w:r>
      </w:hyperlink>
      <w:r w:rsidRPr="00415B3E">
        <w:rPr>
          <w:lang w:val="es-419"/>
        </w:rPr>
        <w:t>.</w:t>
      </w:r>
    </w:p>
  </w:footnote>
  <w:footnote w:id="36">
    <w:p w14:paraId="06F994FE" w14:textId="5C932379"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CDIP/33/10, disponible en: </w:t>
      </w:r>
      <w:r>
        <w:fldChar w:fldCharType="begin"/>
      </w:r>
      <w:r>
        <w:instrText>HYPERLINK "http://www.wipo.int/meetings/es/doc_details.jsp?doc_id=636891"</w:instrText>
      </w:r>
      <w:r>
        <w:fldChar w:fldCharType="separate"/>
      </w:r>
      <w:r w:rsidRPr="00415B3E">
        <w:rPr>
          <w:rStyle w:val="Hyperlink"/>
          <w:lang w:val="es-419"/>
        </w:rPr>
        <w:t>www.wipo.int/meetings/es/doc_details.jsp?doc_id=636891</w:t>
      </w:r>
      <w:r>
        <w:fldChar w:fldCharType="end"/>
      </w:r>
      <w:r w:rsidRPr="00415B3E">
        <w:rPr>
          <w:lang w:val="es-419"/>
        </w:rPr>
        <w:t>.</w:t>
      </w:r>
    </w:p>
  </w:footnote>
  <w:footnote w:id="37">
    <w:p w14:paraId="2FD57851" w14:textId="00AC588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Centro de Cooperación de la OMPI está disponible en: </w:t>
      </w:r>
      <w:r>
        <w:fldChar w:fldCharType="begin"/>
      </w:r>
      <w:r>
        <w:instrText>HYPERLINK "https://www.wipo.int/cooperation/es/south_south/index.html"</w:instrText>
      </w:r>
      <w:r>
        <w:fldChar w:fldCharType="separate"/>
      </w:r>
      <w:r w:rsidRPr="00415B3E">
        <w:rPr>
          <w:rStyle w:val="Hyperlink"/>
          <w:lang w:val="es-419"/>
        </w:rPr>
        <w:t>Centro de Cooperación de la OMPI</w:t>
      </w:r>
      <w:r>
        <w:fldChar w:fldCharType="end"/>
      </w:r>
      <w:r w:rsidRPr="00415B3E">
        <w:rPr>
          <w:lang w:val="es-419"/>
        </w:rPr>
        <w:t>.</w:t>
      </w:r>
    </w:p>
  </w:footnote>
  <w:footnote w:id="38">
    <w:p w14:paraId="2B757D11" w14:textId="21A92D2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catálogo de proyectos y productos de la AD está disponible en: </w:t>
      </w:r>
      <w:r>
        <w:fldChar w:fldCharType="begin"/>
      </w:r>
      <w:r>
        <w:instrText>HYPERLINK "https://dacatalogue.wipo.int/projects"</w:instrText>
      </w:r>
      <w:r>
        <w:fldChar w:fldCharType="separate"/>
      </w:r>
      <w:r w:rsidRPr="00415B3E">
        <w:rPr>
          <w:rStyle w:val="Hyperlink"/>
          <w:lang w:val="es-419"/>
        </w:rPr>
        <w:t>Catálogo de proyectos de la AD</w:t>
      </w:r>
      <w:r>
        <w:fldChar w:fldCharType="end"/>
      </w:r>
    </w:p>
  </w:footnote>
  <w:footnote w:id="39">
    <w:p w14:paraId="554BAD25" w14:textId="76B9A566"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guía está disponible en: </w:t>
      </w:r>
      <w:r>
        <w:fldChar w:fldCharType="begin"/>
      </w:r>
      <w:r>
        <w:instrText>HYPERLINK "https://dacatalogue.wipo.int/projectfiles/DA_01_05_01/Guidebook/ES/Development%20Agenda%20Guidebook_S.pdf"</w:instrText>
      </w:r>
      <w:r>
        <w:fldChar w:fldCharType="separate"/>
      </w:r>
      <w:r w:rsidRPr="00415B3E">
        <w:rPr>
          <w:rStyle w:val="Hyperlink"/>
          <w:lang w:val="es-419"/>
        </w:rPr>
        <w:t>Guía de la Agenda para el Desarrollo</w:t>
      </w:r>
      <w:r>
        <w:fldChar w:fldCharType="end"/>
      </w:r>
      <w:r w:rsidRPr="00415B3E">
        <w:rPr>
          <w:lang w:val="es-419"/>
        </w:rPr>
        <w:t>.</w:t>
      </w:r>
    </w:p>
  </w:footnote>
  <w:footnote w:id="40">
    <w:p w14:paraId="533E5894"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socio clave del proyecto es la Asociación Coreana de Promoción de las Invenciones. El proyecto está financiado por el fondo fiduciario de la República de Corea.</w:t>
      </w:r>
    </w:p>
  </w:footnote>
  <w:footnote w:id="41">
    <w:p w14:paraId="19D91470"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El Camerún, Gambia, la República Islámica del Irán y Túnez.</w:t>
      </w:r>
    </w:p>
  </w:footnote>
  <w:footnote w:id="42">
    <w:p w14:paraId="37F1CB07" w14:textId="076257C3" w:rsidR="00FD5CE0" w:rsidRPr="00415B3E" w:rsidRDefault="00FD5CE0" w:rsidP="00FD5CE0">
      <w:pPr>
        <w:pStyle w:val="FootnoteText"/>
        <w:rPr>
          <w:szCs w:val="18"/>
          <w:lang w:val="es-419"/>
        </w:rPr>
      </w:pPr>
      <w:r w:rsidRPr="00415B3E">
        <w:rPr>
          <w:lang w:val="es-419"/>
        </w:rPr>
        <w:t xml:space="preserve"> </w:t>
      </w:r>
      <w:r w:rsidRPr="00415B3E">
        <w:rPr>
          <w:rStyle w:val="FootnoteReference"/>
          <w:szCs w:val="18"/>
          <w:lang w:val="es-419"/>
        </w:rPr>
        <w:footnoteRef/>
      </w:r>
      <w:r w:rsidRPr="00415B3E">
        <w:rPr>
          <w:lang w:val="es-419"/>
        </w:rPr>
        <w:t xml:space="preserve"> Puede consultarse más información sobre este programa en: </w:t>
      </w:r>
      <w:r>
        <w:fldChar w:fldCharType="begin"/>
      </w:r>
      <w:r>
        <w:instrText>HYPERLINK "https://welc.wipo.int/ipedu/"</w:instrText>
      </w:r>
      <w:r>
        <w:fldChar w:fldCharType="separate"/>
      </w:r>
      <w:r w:rsidRPr="00415B3E">
        <w:rPr>
          <w:rStyle w:val="Hyperlink"/>
          <w:lang w:val="es-419"/>
        </w:rPr>
        <w:t>Programa IP4Youth&amp;Teachers</w:t>
      </w:r>
      <w:r>
        <w:fldChar w:fldCharType="end"/>
      </w:r>
      <w:r w:rsidRPr="00415B3E">
        <w:rPr>
          <w:lang w:val="es-419"/>
        </w:rPr>
        <w:t>.</w:t>
      </w:r>
    </w:p>
  </w:footnote>
  <w:footnote w:id="43">
    <w:p w14:paraId="5206AA2D"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Chile, Jordania, Malasia y Uganda.</w:t>
      </w:r>
    </w:p>
  </w:footnote>
  <w:footnote w:id="44">
    <w:p w14:paraId="64BB69FF"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Tres en África, uno en Asia y el Pacífico, ocho en América Latina y el Caribe, y cuatro en Europa/la región eurasiática.</w:t>
      </w:r>
    </w:p>
  </w:footnote>
  <w:footnote w:id="45">
    <w:p w14:paraId="04DE39D3" w14:textId="049E7FA4"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base de datos PATENTSCOPE está disponible en: </w:t>
      </w:r>
      <w:r>
        <w:fldChar w:fldCharType="begin"/>
      </w:r>
      <w:r>
        <w:instrText>HYPERLINK "https://patentscope.wipo.int/search/es/search.jsf"</w:instrText>
      </w:r>
      <w:r>
        <w:fldChar w:fldCharType="separate"/>
      </w:r>
      <w:r w:rsidRPr="00415B3E">
        <w:rPr>
          <w:rStyle w:val="Hyperlink"/>
          <w:lang w:val="es-419"/>
        </w:rPr>
        <w:t>Base de datos PATENTSCOPE</w:t>
      </w:r>
      <w:r>
        <w:fldChar w:fldCharType="end"/>
      </w:r>
      <w:r w:rsidRPr="00415B3E">
        <w:rPr>
          <w:lang w:val="es-419"/>
        </w:rPr>
        <w:t>.</w:t>
      </w:r>
    </w:p>
  </w:footnote>
  <w:footnote w:id="46">
    <w:p w14:paraId="5C5D137D"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número máximo de solicitudes fue de 9 921, mientras que el mínimo fue de 2 567.</w:t>
      </w:r>
    </w:p>
  </w:footnote>
  <w:footnote w:id="47">
    <w:p w14:paraId="79C19951"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Siete en África, siete en la región árabe, diez en Asia y el Pacífico, 11 en América Latina y el Caribe, y 27 en los países en transición.</w:t>
      </w:r>
    </w:p>
  </w:footnote>
  <w:footnote w:id="48">
    <w:p w14:paraId="1323C2BF" w14:textId="657DCB1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Continuación de las actividades de asistencia técnica, entre las que cabe destacar: i) proyectos específicos dirigidos a las necesidades de grupos de usuarios escasamente representados (como jóvenes y mujeres); ii) talleres presenciales sobre el PCT o ePCT; iii) webinarios y cursos de formación sobre el PCT y ePCT. Véase el documento PCT/WG/18/9, disponible en: </w:t>
      </w:r>
      <w:r>
        <w:fldChar w:fldCharType="begin"/>
      </w:r>
      <w:r>
        <w:instrText>HYPERLINK "https://www.wipo.int/meetings/es/doc_details.jsp?doc_id=640446"</w:instrText>
      </w:r>
      <w:r>
        <w:fldChar w:fldCharType="separate"/>
      </w:r>
      <w:r w:rsidRPr="00415B3E">
        <w:rPr>
          <w:rStyle w:val="Hyperlink"/>
          <w:lang w:val="es-419"/>
        </w:rPr>
        <w:t>www.wipo.int/meetings/es/doc_details.jsp?doc_id=640446</w:t>
      </w:r>
      <w:r>
        <w:fldChar w:fldCharType="end"/>
      </w:r>
      <w:r w:rsidRPr="00415B3E">
        <w:rPr>
          <w:lang w:val="es-419"/>
        </w:rPr>
        <w:t>.</w:t>
      </w:r>
    </w:p>
  </w:footnote>
  <w:footnote w:id="49">
    <w:p w14:paraId="5DF2D8D9" w14:textId="4B535082"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IPGAP puede consultarse en: </w:t>
      </w:r>
      <w:r>
        <w:fldChar w:fldCharType="begin"/>
      </w:r>
      <w:r>
        <w:instrText>HYPERLINK "https://www.wipo.int/export/sites/www/women-and-ip/en/docs/rn2023-1_ipgap.pdf"</w:instrText>
      </w:r>
      <w:r>
        <w:fldChar w:fldCharType="separate"/>
      </w:r>
      <w:r w:rsidRPr="00415B3E">
        <w:rPr>
          <w:rStyle w:val="Hyperlink"/>
          <w:lang w:val="es-419"/>
        </w:rPr>
        <w:t>IPGAP</w:t>
      </w:r>
      <w:r>
        <w:fldChar w:fldCharType="end"/>
      </w:r>
      <w:r w:rsidRPr="00415B3E">
        <w:rPr>
          <w:lang w:val="es-419"/>
        </w:rPr>
        <w:t>.</w:t>
      </w:r>
    </w:p>
  </w:footnote>
  <w:footnote w:id="50">
    <w:p w14:paraId="4875F744" w14:textId="1B6CD1C0"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base de datos IPGAP está disponible en: </w:t>
      </w:r>
      <w:r>
        <w:fldChar w:fldCharType="begin"/>
      </w:r>
      <w:r>
        <w:instrText>HYPERLINK "http://www.wipo.int/web/gender/" \l "ipgap-database"</w:instrText>
      </w:r>
      <w:r>
        <w:fldChar w:fldCharType="separate"/>
      </w:r>
      <w:r w:rsidRPr="00415B3E">
        <w:rPr>
          <w:rStyle w:val="Hyperlink"/>
          <w:lang w:val="es-419"/>
        </w:rPr>
        <w:t>Base de datos IPGAP</w:t>
      </w:r>
      <w:r>
        <w:fldChar w:fldCharType="end"/>
      </w:r>
      <w:r w:rsidRPr="00415B3E">
        <w:rPr>
          <w:lang w:val="es-419"/>
        </w:rPr>
        <w:t>.</w:t>
      </w:r>
    </w:p>
  </w:footnote>
  <w:footnote w:id="51">
    <w:p w14:paraId="709BBDE6" w14:textId="738DFA8D"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reunión mundial de especialistas en: </w:t>
      </w:r>
      <w:r>
        <w:fldChar w:fldCharType="begin"/>
      </w:r>
      <w:r>
        <w:instrText>HYPERLINK "https://www.wipo.int/meetings/es/details.jsp?meeting_id=84409"</w:instrText>
      </w:r>
      <w:r>
        <w:fldChar w:fldCharType="separate"/>
      </w:r>
      <w:r w:rsidRPr="00415B3E">
        <w:rPr>
          <w:rStyle w:val="Hyperlink"/>
          <w:lang w:val="es-419"/>
        </w:rPr>
        <w:t>La OMPI acogerá la primera reunión mundial de especialistas en investigación del IPGAP sobre la mejora de la igualdad de género y la diversidad en la PI y la innovación</w:t>
      </w:r>
      <w:r>
        <w:fldChar w:fldCharType="end"/>
      </w:r>
      <w:r w:rsidRPr="00415B3E">
        <w:rPr>
          <w:lang w:val="es-419"/>
        </w:rPr>
        <w:t>.</w:t>
      </w:r>
    </w:p>
  </w:footnote>
  <w:footnote w:id="52">
    <w:p w14:paraId="21D1045D" w14:textId="5B2F7CF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mensaje conjunto del Día Internacional de la Mujer de 2023 puede consultarse en: </w:t>
      </w:r>
      <w:r>
        <w:fldChar w:fldCharType="begin"/>
      </w:r>
      <w:r>
        <w:instrText>HYPERLINK "https://www.wipo.int/documents/d/gender/docs-en-iwd-joint-message-2024.pdf"</w:instrText>
      </w:r>
      <w:r>
        <w:fldChar w:fldCharType="separate"/>
      </w:r>
      <w:r w:rsidRPr="00415B3E">
        <w:rPr>
          <w:rStyle w:val="Hyperlink"/>
          <w:lang w:val="es-419"/>
        </w:rPr>
        <w:t>Día Internacional de la Mujer 2024.</w:t>
      </w:r>
      <w:r>
        <w:fldChar w:fldCharType="end"/>
      </w:r>
      <w:hyperlink r:id="rId6" w:history="1">
        <w:r w:rsidRPr="00415B3E">
          <w:rPr>
            <w:rStyle w:val="Hyperlink"/>
            <w:lang w:val="es-419"/>
          </w:rPr>
          <w:t xml:space="preserve"> Invertir en las mujeres:</w:t>
        </w:r>
      </w:hyperlink>
      <w:hyperlink r:id="rId7" w:history="1">
        <w:r w:rsidRPr="00415B3E">
          <w:rPr>
            <w:rStyle w:val="Hyperlink"/>
            <w:lang w:val="es-419"/>
          </w:rPr>
          <w:t xml:space="preserve"> acelerar el progreso</w:t>
        </w:r>
      </w:hyperlink>
      <w:r w:rsidRPr="00415B3E">
        <w:rPr>
          <w:lang w:val="es-419"/>
        </w:rPr>
        <w:t>.</w:t>
      </w:r>
    </w:p>
  </w:footnote>
  <w:footnote w:id="53">
    <w:p w14:paraId="6AA11529" w14:textId="6F1E3A10"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SCP/36/12, disponible en: </w:t>
      </w:r>
      <w:r>
        <w:fldChar w:fldCharType="begin"/>
      </w:r>
      <w:r>
        <w:instrText>HYPERLINK "https://www.wipo.int/meetings/es/doc_details.jsp?doc_id=637591"</w:instrText>
      </w:r>
      <w:r>
        <w:fldChar w:fldCharType="separate"/>
      </w:r>
      <w:r w:rsidRPr="00415B3E">
        <w:rPr>
          <w:rStyle w:val="Hyperlink"/>
          <w:lang w:val="es-419"/>
        </w:rPr>
        <w:t>www.wipo.int/meetings/es/doc_details.jsp?doc_id=637591</w:t>
      </w:r>
      <w:r>
        <w:fldChar w:fldCharType="end"/>
      </w:r>
      <w:r w:rsidRPr="00415B3E">
        <w:rPr>
          <w:lang w:val="es-419"/>
        </w:rPr>
        <w:t>.</w:t>
      </w:r>
    </w:p>
  </w:footnote>
  <w:footnote w:id="54">
    <w:p w14:paraId="40B5BAA2" w14:textId="0A746FF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w:t>
      </w:r>
      <w:r w:rsidRPr="00415B3E">
        <w:rPr>
          <w:color w:val="000000" w:themeColor="text1"/>
          <w:lang w:val="es-419"/>
        </w:rPr>
        <w:t xml:space="preserve">PCT/A/56/2, disponible en: </w:t>
      </w:r>
      <w:r>
        <w:fldChar w:fldCharType="begin"/>
      </w:r>
      <w:r>
        <w:instrText>HYPERLINK "https://www.wipo.int/meetings/es/doc_details.jsp?doc_id=629283"</w:instrText>
      </w:r>
      <w:r>
        <w:fldChar w:fldCharType="separate"/>
      </w:r>
      <w:r w:rsidRPr="00415B3E">
        <w:rPr>
          <w:rStyle w:val="Hyperlink"/>
          <w:lang w:val="es-419"/>
        </w:rPr>
        <w:t>www.wipo.int/meetings/es/doc_details.jsp?doc_id=629283</w:t>
      </w:r>
      <w:r>
        <w:fldChar w:fldCharType="end"/>
      </w:r>
    </w:p>
  </w:footnote>
  <w:footnote w:id="55">
    <w:p w14:paraId="16C5B28B"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Uno de África; cuatro de Asia y el Pacífico; uno de América Latina; y uno de los países en transición.</w:t>
      </w:r>
    </w:p>
  </w:footnote>
  <w:footnote w:id="56">
    <w:p w14:paraId="395F423B"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Algunas actividades estuvieron relacionadas con dos o tres tipos de PI.</w:t>
      </w:r>
    </w:p>
  </w:footnote>
  <w:footnote w:id="57">
    <w:p w14:paraId="167CB311" w14:textId="44A19748"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proyecto está financiado por el Fondo Fiduciario Mundial del Japón para la Propiedad Industrial. Comenzó con Côte d’Ivoire y Ghana; y se prevé su ampliación a otros países del África Occidental. Puede obtenerse más información sobre la aplicación móvil en: </w:t>
      </w:r>
      <w:r>
        <w:fldChar w:fldCharType="begin"/>
      </w:r>
      <w:r>
        <w:instrText>HYPERLINK "https://www.wipo.int/about-wipo/en/offices/nigeria/news/2024/news_0001.html"</w:instrText>
      </w:r>
      <w:r>
        <w:fldChar w:fldCharType="separate"/>
      </w:r>
      <w:r w:rsidRPr="00415B3E">
        <w:rPr>
          <w:rStyle w:val="Hyperlink"/>
          <w:lang w:val="es-419"/>
        </w:rPr>
        <w:t>La OMPI y la CEDEAO presentan la aplicación móvil AfricDeezayn</w:t>
      </w:r>
      <w:r>
        <w:fldChar w:fldCharType="end"/>
      </w:r>
      <w:r w:rsidRPr="00415B3E">
        <w:rPr>
          <w:lang w:val="es-419"/>
        </w:rPr>
        <w:t>.</w:t>
      </w:r>
    </w:p>
  </w:footnote>
  <w:footnote w:id="58">
    <w:p w14:paraId="48EE60A7"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Este proyecto de fortalecimiento de capacidades para los apicultores fue posible gracias a la financiación del Fondo de Reconstrucción de la OMPI.</w:t>
      </w:r>
    </w:p>
  </w:footnote>
  <w:footnote w:id="59">
    <w:p w14:paraId="7BFEB976"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ejecución de los proyectos sobre el terreno a menudo se lleva a cabo con el apoyo de los Estados miembros de la OMPI, en particular con el apoyo financiero del fondo fiduciario de China que administra la OMPI y en colaboración con asociados externos, como la Organización de las Naciones Unidas para la Alimentación y la Agricultura (FAO).</w:t>
      </w:r>
    </w:p>
  </w:footnote>
  <w:footnote w:id="60">
    <w:p w14:paraId="761DD90D" w14:textId="4F0ABAA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resumen de la Presidencia se encuentra disponible en: </w:t>
      </w:r>
      <w:r>
        <w:fldChar w:fldCharType="begin"/>
      </w:r>
      <w:r>
        <w:instrText>HYPERLINK "https://www.wipo.int/meetings/es/doc_details.jsp?doc_id=628928"</w:instrText>
      </w:r>
      <w:r>
        <w:fldChar w:fldCharType="separate"/>
      </w:r>
      <w:r w:rsidRPr="00415B3E">
        <w:rPr>
          <w:rStyle w:val="Hyperlink"/>
          <w:lang w:val="es-419"/>
        </w:rPr>
        <w:t>www.wipo.int/meetings/es/doc_details.jsp?doc_id=628928</w:t>
      </w:r>
      <w:r>
        <w:fldChar w:fldCharType="end"/>
      </w:r>
      <w:r w:rsidRPr="00415B3E">
        <w:rPr>
          <w:lang w:val="es-419"/>
        </w:rPr>
        <w:t>.</w:t>
      </w:r>
    </w:p>
  </w:footnote>
  <w:footnote w:id="61">
    <w:p w14:paraId="721CCB38" w14:textId="55EC8D66"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SCT/46/5, disponible en: </w:t>
      </w:r>
      <w:r>
        <w:fldChar w:fldCharType="begin"/>
      </w:r>
      <w:r>
        <w:instrText>HYPERLINK "http://www.wipo.int/meetings/es/doc_details.jsp?doc_id=590831"</w:instrText>
      </w:r>
      <w:r>
        <w:fldChar w:fldCharType="separate"/>
      </w:r>
      <w:r w:rsidRPr="00415B3E">
        <w:rPr>
          <w:rStyle w:val="Hyperlink"/>
          <w:lang w:val="es-419"/>
        </w:rPr>
        <w:t>www.wipo.int/meetings/es/doc_details.jsp?doc_id=590831</w:t>
      </w:r>
      <w:r>
        <w:fldChar w:fldCharType="end"/>
      </w:r>
      <w:r w:rsidRPr="00415B3E">
        <w:rPr>
          <w:lang w:val="es-419"/>
        </w:rPr>
        <w:t>.</w:t>
      </w:r>
    </w:p>
  </w:footnote>
  <w:footnote w:id="62">
    <w:p w14:paraId="55AD1B27" w14:textId="732F84DB"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conferencia diplomática en: </w:t>
      </w:r>
      <w:r>
        <w:fldChar w:fldCharType="begin"/>
      </w:r>
      <w:r>
        <w:instrText>HYPERLINK "https://www.wipo.int/diplomatic-conferences/es/design-law/index.html"</w:instrText>
      </w:r>
      <w:r>
        <w:fldChar w:fldCharType="separate"/>
      </w:r>
      <w:r w:rsidRPr="00415B3E">
        <w:rPr>
          <w:rStyle w:val="Hyperlink"/>
          <w:lang w:val="es-419"/>
        </w:rPr>
        <w:t>Conferencia Diplomática para la Celebración y Adopción de un Tratado sobre el Derecho de los Diseños</w:t>
      </w:r>
      <w:r>
        <w:fldChar w:fldCharType="end"/>
      </w:r>
      <w:r w:rsidRPr="00415B3E">
        <w:rPr>
          <w:lang w:val="es-419"/>
        </w:rPr>
        <w:t>.</w:t>
      </w:r>
    </w:p>
  </w:footnote>
  <w:footnote w:id="63">
    <w:p w14:paraId="6CF79217"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Las estrategias, herramientas e iniciativas incluían: i) talleres y formación para las autoridades pertinentes y los agentes locales que contribuyen a las iniciativas de desarrollo rural y local, y grupos de productores sobre la gestión colectiva de los regímenes de calidad de los productos de origen protegidos por una indicación geográfica en Argelia, el Brasil, el Pakistán y Uganda; ii) un breve vídeo documental producido en el Brasil sobre la indicación geográfica "Mel de Aroeira do Norte de Minas", para promover los beneficios del sistema de indicaciones geográficas y aumentar la sensibilización de los consumidores; iii) un folleto sobre la indicación geográfica "Sindhri Mango", impreso en urdu, inglés y sindhi; y iv) un folleto sobre la indicación geográfica "Rwenzori Mountains of the Moon Coffee", elaborado en cooperación con el grupo de productores e impreso para dar a conocer el producto con indicación geográfica entre productores y consumidores.</w:t>
      </w:r>
    </w:p>
  </w:footnote>
  <w:footnote w:id="64">
    <w:p w14:paraId="70AC5DE9"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Plataforma CLIP de la OMPI se creó en el marco de la iniciativa del Consorcio de la OMPI para los creadores, que es una alianza abierta público-privada puesta en marcha por la OMPI y la Fundación Music Rights Awareness, con el fin de sensibilizar y profundizar en el conocimiento de los derechos de PI entre los creadores.</w:t>
      </w:r>
    </w:p>
  </w:footnote>
  <w:footnote w:id="65">
    <w:p w14:paraId="1F9BA0AB"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Se proporcionó 15 veces a diez países en desarrollo y PMA, y a tres países con economías en transición.</w:t>
      </w:r>
    </w:p>
  </w:footnote>
  <w:footnote w:id="66">
    <w:p w14:paraId="306F7EB0" w14:textId="4658B574"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Se puede encontrar más información sobre la plataforma CLIP de la OMPI en: </w:t>
      </w:r>
      <w:r>
        <w:fldChar w:fldCharType="begin"/>
      </w:r>
      <w:r>
        <w:instrText>HYPERLINK "https://www.wipo.int/wipoforcreators/es/news/2023/news_0006.html"</w:instrText>
      </w:r>
      <w:r>
        <w:fldChar w:fldCharType="separate"/>
      </w:r>
      <w:r w:rsidRPr="00415B3E">
        <w:rPr>
          <w:rStyle w:val="Hyperlink"/>
          <w:lang w:val="es-419"/>
        </w:rPr>
        <w:t>Plataforma CLIP de la OMPI</w:t>
      </w:r>
      <w:r>
        <w:fldChar w:fldCharType="end"/>
      </w:r>
      <w:r w:rsidRPr="00415B3E">
        <w:rPr>
          <w:lang w:val="es-419"/>
        </w:rPr>
        <w:t>.</w:t>
      </w:r>
    </w:p>
  </w:footnote>
  <w:footnote w:id="67">
    <w:p w14:paraId="405BF31D"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Árabe, chino, español, francés, inglés, portugués y ruso.</w:t>
      </w:r>
    </w:p>
  </w:footnote>
  <w:footnote w:id="68">
    <w:p w14:paraId="228A7CD3"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Los dos primeros "Campeones CLIP" fueron creadores de Cabo Verde y el Senegal.</w:t>
      </w:r>
    </w:p>
  </w:footnote>
  <w:footnote w:id="69">
    <w:p w14:paraId="35E36399"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celebración contó con el artista y cantautor nigeriano Cobhams Asuquo.</w:t>
      </w:r>
    </w:p>
  </w:footnote>
  <w:footnote w:id="70">
    <w:p w14:paraId="6F70C037" w14:textId="343A3D36"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Más información sobre el Premio Internacional del ABC a la Excelencia en la Edición Accesible puede consultarse en: </w:t>
      </w:r>
      <w:r>
        <w:fldChar w:fldCharType="begin"/>
      </w:r>
      <w:r>
        <w:instrText>HYPERLINK "https://www.accessiblebooksconsortium.org/es/w/news/2024/abc-international-excellence-awards-recognize-gerbera-ediciones-argentina-and-round-table-on-information-access-australia-and-new-zealand"</w:instrText>
      </w:r>
      <w:r>
        <w:fldChar w:fldCharType="separate"/>
      </w:r>
      <w:r w:rsidRPr="00415B3E">
        <w:rPr>
          <w:rStyle w:val="Hyperlink"/>
          <w:lang w:val="es-419"/>
        </w:rPr>
        <w:t>Premio internacional a la en la edición accesible del Consorcio de Libros Accesibles</w:t>
      </w:r>
      <w:r>
        <w:fldChar w:fldCharType="end"/>
      </w:r>
      <w:r w:rsidRPr="00415B3E">
        <w:rPr>
          <w:lang w:val="es-419"/>
        </w:rPr>
        <w:t>.</w:t>
      </w:r>
    </w:p>
  </w:footnote>
  <w:footnote w:id="71">
    <w:p w14:paraId="538B03CD" w14:textId="101219E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conferencia en: </w:t>
      </w:r>
      <w:r>
        <w:fldChar w:fldCharType="begin"/>
      </w:r>
      <w:r>
        <w:instrText>HYPERLINK "https://www.accessiblebooksconsortium.org/en/w/news/2024/right-to-read-conference-champions-access-for-the-visually-impaired-across-pacific-islands"</w:instrText>
      </w:r>
      <w:r>
        <w:fldChar w:fldCharType="separate"/>
      </w:r>
      <w:r w:rsidRPr="00415B3E">
        <w:rPr>
          <w:rStyle w:val="Hyperlink"/>
          <w:lang w:val="es-419"/>
        </w:rPr>
        <w:t>Conferencia “derecho a la lectura”</w:t>
      </w:r>
      <w:r>
        <w:fldChar w:fldCharType="end"/>
      </w:r>
      <w:r w:rsidRPr="00415B3E">
        <w:rPr>
          <w:lang w:val="es-419"/>
        </w:rPr>
        <w:t>.</w:t>
      </w:r>
    </w:p>
  </w:footnote>
  <w:footnote w:id="72">
    <w:p w14:paraId="171DB933"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Fiji, Islas Cook, Islas Marshall, Islas Salomón, Kiribati, Niue, Papua Nueva Guinea, Samoa, Tonga y Vanuatu.</w:t>
      </w:r>
    </w:p>
  </w:footnote>
  <w:footnote w:id="73">
    <w:p w14:paraId="6A569851" w14:textId="0E25F265"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"https://www.wipo.int/global-awards/es/index.html"</w:instrText>
      </w:r>
      <w:r>
        <w:fldChar w:fldCharType="separate"/>
      </w:r>
      <w:r w:rsidRPr="00415B3E">
        <w:rPr>
          <w:rStyle w:val="Hyperlink"/>
          <w:lang w:val="es-419"/>
        </w:rPr>
        <w:t>www.wipo.int/global-awards/es/</w:t>
      </w:r>
      <w:r>
        <w:fldChar w:fldCharType="end"/>
      </w:r>
      <w:r w:rsidRPr="00415B3E">
        <w:rPr>
          <w:lang w:val="es-419"/>
        </w:rPr>
        <w:t>.</w:t>
      </w:r>
    </w:p>
  </w:footnote>
  <w:footnote w:id="74">
    <w:p w14:paraId="171E3D82" w14:textId="457FAB3D"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encontrar más información sobre los Premios Nacionales de la OMPI en: </w:t>
      </w:r>
      <w:r>
        <w:fldChar w:fldCharType="begin"/>
      </w:r>
      <w:r>
        <w:instrText>HYPERLINK "https://www.wipo.int/es/web/awards/national"</w:instrText>
      </w:r>
      <w:r>
        <w:fldChar w:fldCharType="separate"/>
      </w:r>
      <w:r w:rsidRPr="00415B3E">
        <w:rPr>
          <w:rStyle w:val="Hyperlink"/>
          <w:lang w:val="es-419"/>
        </w:rPr>
        <w:t>Premios Nacionales de la OMPI</w:t>
      </w:r>
      <w:r>
        <w:fldChar w:fldCharType="end"/>
      </w:r>
      <w:r w:rsidRPr="00415B3E">
        <w:rPr>
          <w:lang w:val="es-419"/>
        </w:rPr>
        <w:t>.</w:t>
      </w:r>
    </w:p>
  </w:footnote>
  <w:footnote w:id="75">
    <w:p w14:paraId="7E2A7525" w14:textId="1D45DA28"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resumen de la Presidencia se encuentra disponible en: </w:t>
      </w:r>
      <w:r>
        <w:fldChar w:fldCharType="begin"/>
      </w:r>
      <w:r>
        <w:instrText>HYPERLINK "https://www.wipo.int/meetings/es/doc_details.jsp?doc_id=630104"</w:instrText>
      </w:r>
      <w:r>
        <w:fldChar w:fldCharType="separate"/>
      </w:r>
      <w:r w:rsidRPr="00415B3E">
        <w:rPr>
          <w:rStyle w:val="Hyperlink"/>
          <w:lang w:val="es-419"/>
        </w:rPr>
        <w:t>www.wipo.int/meetings/es/doc_details.jsp?doc_id=630104</w:t>
      </w:r>
      <w:r>
        <w:fldChar w:fldCharType="end"/>
      </w:r>
      <w:r w:rsidRPr="00415B3E">
        <w:rPr>
          <w:lang w:val="es-419"/>
        </w:rPr>
        <w:t>.</w:t>
      </w:r>
    </w:p>
  </w:footnote>
  <w:footnote w:id="76">
    <w:p w14:paraId="3DDD133D" w14:textId="6E440D69"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SCCR/45/3, disponible en: </w:t>
      </w:r>
      <w:r>
        <w:fldChar w:fldCharType="begin"/>
      </w:r>
      <w:r>
        <w:instrText>HYPERLINK "https://www.wipo.int/meetings/es/doc_details.jsp?doc_id=627732"</w:instrText>
      </w:r>
      <w:r>
        <w:fldChar w:fldCharType="separate"/>
      </w:r>
      <w:r w:rsidRPr="00415B3E">
        <w:rPr>
          <w:rStyle w:val="Hyperlink"/>
          <w:lang w:val="es-419"/>
        </w:rPr>
        <w:t>www.wipo.int/meetings/es/doc_details.jsp?doc_id=627732</w:t>
      </w:r>
      <w:r>
        <w:fldChar w:fldCharType="end"/>
      </w:r>
      <w:r w:rsidRPr="00415B3E">
        <w:rPr>
          <w:lang w:val="es-419"/>
        </w:rPr>
        <w:t>.</w:t>
      </w:r>
    </w:p>
  </w:footnote>
  <w:footnote w:id="77">
    <w:p w14:paraId="6537DC4E" w14:textId="3840D9B5"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SCCR/44/7, disponible en: </w:t>
      </w:r>
      <w:r>
        <w:fldChar w:fldCharType="begin"/>
      </w:r>
      <w:r>
        <w:instrText>HYPERLINK "https://www.wipo.int/meetings/es/doc_details.jsp?doc_id=622591"</w:instrText>
      </w:r>
      <w:r>
        <w:fldChar w:fldCharType="separate"/>
      </w:r>
      <w:r w:rsidRPr="00415B3E">
        <w:rPr>
          <w:rStyle w:val="Hyperlink"/>
          <w:lang w:val="es-419"/>
        </w:rPr>
        <w:t>www.wipo.int/meetings/es/doc_details.jsp?doc_id=622591</w:t>
      </w:r>
      <w:r>
        <w:fldChar w:fldCharType="end"/>
      </w:r>
      <w:r w:rsidRPr="00415B3E">
        <w:rPr>
          <w:lang w:val="es-419"/>
        </w:rPr>
        <w:t>.</w:t>
      </w:r>
    </w:p>
  </w:footnote>
  <w:footnote w:id="78">
    <w:p w14:paraId="2B0B91AD" w14:textId="5737ABFD"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Más información sobre el Plan de Trabajo está disponible en: </w:t>
      </w:r>
      <w:r>
        <w:fldChar w:fldCharType="begin"/>
      </w:r>
      <w:r>
        <w:instrText>HYPERLINK "http://www.wipo.int/meetings/es/doc_details.jsp?doc_id=629272"</w:instrText>
      </w:r>
      <w:r>
        <w:fldChar w:fldCharType="separate"/>
      </w:r>
      <w:r w:rsidRPr="00415B3E">
        <w:rPr>
          <w:rStyle w:val="Hyperlink"/>
          <w:lang w:val="es-419"/>
        </w:rPr>
        <w:t>Borrador del plan de trabajo sobre derecho de autor en el entorno digital</w:t>
      </w:r>
      <w:r>
        <w:fldChar w:fldCharType="end"/>
      </w:r>
      <w:r w:rsidRPr="00415B3E">
        <w:rPr>
          <w:lang w:val="es-419"/>
        </w:rPr>
        <w:t>.</w:t>
      </w:r>
    </w:p>
  </w:footnote>
  <w:footnote w:id="79">
    <w:p w14:paraId="75E05E8E" w14:textId="2F6986F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SCCR/45/6, disponible en: </w:t>
      </w:r>
      <w:r>
        <w:fldChar w:fldCharType="begin"/>
      </w:r>
      <w:r>
        <w:instrText>HYPERLINK "http://www.wipo.int/meetings/es/doc_details.jsp?doc_id=629766"</w:instrText>
      </w:r>
      <w:r>
        <w:fldChar w:fldCharType="separate"/>
      </w:r>
      <w:r w:rsidRPr="00415B3E">
        <w:rPr>
          <w:rStyle w:val="Hyperlink"/>
          <w:lang w:val="es-419"/>
        </w:rPr>
        <w:t>www.wipo.int/meetings/es/doc_details.jsp?doc_id=629766</w:t>
      </w:r>
      <w:r>
        <w:fldChar w:fldCharType="end"/>
      </w:r>
      <w:r w:rsidRPr="00415B3E">
        <w:rPr>
          <w:lang w:val="es-419"/>
        </w:rPr>
        <w:t>.</w:t>
      </w:r>
    </w:p>
  </w:footnote>
  <w:footnote w:id="80">
    <w:p w14:paraId="3B985D14" w14:textId="63BE09C6"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SCCR/44/5, disponible en: </w:t>
      </w:r>
      <w:r>
        <w:fldChar w:fldCharType="begin"/>
      </w:r>
      <w:r>
        <w:instrText>HYPERLINK "https://www.wipo.int/meetings/es/doc_details.jsp?doc_id=622473"</w:instrText>
      </w:r>
      <w:r>
        <w:fldChar w:fldCharType="separate"/>
      </w:r>
      <w:r w:rsidRPr="00415B3E">
        <w:rPr>
          <w:rStyle w:val="Hyperlink"/>
          <w:lang w:val="es-419"/>
        </w:rPr>
        <w:t>www.wipo.int/meetings/es/doc_details.jsp?doc_id=622473</w:t>
      </w:r>
      <w:r>
        <w:fldChar w:fldCharType="end"/>
      </w:r>
      <w:r w:rsidRPr="00415B3E">
        <w:rPr>
          <w:lang w:val="es-419"/>
        </w:rPr>
        <w:t>.</w:t>
      </w:r>
    </w:p>
  </w:footnote>
  <w:footnote w:id="81">
    <w:p w14:paraId="5F37ACE5" w14:textId="1E59EC0D"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"https://www.wipo.int/meetings/es/doc_details.jsp?doc_id=629427"</w:instrText>
      </w:r>
      <w:r>
        <w:fldChar w:fldCharType="separate"/>
      </w:r>
      <w:r w:rsidRPr="00415B3E">
        <w:rPr>
          <w:rStyle w:val="Hyperlink"/>
          <w:lang w:val="es-419"/>
        </w:rPr>
        <w:t>Guía práctica de la OMPI sobre el derecho de participación de los artistas en las reventas (Parte II)</w:t>
      </w:r>
      <w:r>
        <w:fldChar w:fldCharType="end"/>
      </w:r>
      <w:r w:rsidRPr="00415B3E">
        <w:rPr>
          <w:lang w:val="es-419"/>
        </w:rPr>
        <w:t>.</w:t>
      </w:r>
    </w:p>
  </w:footnote>
  <w:footnote w:id="82">
    <w:p w14:paraId="75F0A4DB" w14:textId="680F0E2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SCCR/45/7, disponible en: </w:t>
      </w:r>
      <w:r>
        <w:fldChar w:fldCharType="begin"/>
      </w:r>
      <w:r>
        <w:instrText>HYPERLINK "http://www.wipo.int/meetings/es/doc_details.jsp?doc_id=629405"</w:instrText>
      </w:r>
      <w:r>
        <w:fldChar w:fldCharType="separate"/>
      </w:r>
      <w:r w:rsidRPr="00415B3E">
        <w:rPr>
          <w:rStyle w:val="Hyperlink"/>
          <w:lang w:val="es-419"/>
        </w:rPr>
        <w:t>www.wipo.int/meetings/es/doc_details.jsp?doc_id=629405</w:t>
      </w:r>
      <w:r>
        <w:fldChar w:fldCharType="end"/>
      </w:r>
      <w:r w:rsidRPr="00415B3E">
        <w:rPr>
          <w:lang w:val="es-419"/>
        </w:rPr>
        <w:t>.</w:t>
      </w:r>
    </w:p>
  </w:footnote>
  <w:footnote w:id="83">
    <w:p w14:paraId="2BF15355" w14:textId="597FC195"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 13/11, disponible en: </w:t>
      </w:r>
      <w:r>
        <w:fldChar w:fldCharType="begin"/>
      </w:r>
      <w:r>
        <w:instrText>HYPERLINK "https://www.wipo.int/meetings/es/doc_details.jsp?doc_id=272841"</w:instrText>
      </w:r>
      <w:r>
        <w:fldChar w:fldCharType="separate"/>
      </w:r>
      <w:r w:rsidRPr="00415B3E">
        <w:rPr>
          <w:rStyle w:val="Hyperlink"/>
          <w:lang w:val="es-419"/>
        </w:rPr>
        <w:t>www.wipo.int/meetings/es/doc_details.jsp?doc_id=272841</w:t>
      </w:r>
      <w:r>
        <w:fldChar w:fldCharType="end"/>
      </w:r>
      <w:r w:rsidRPr="00415B3E">
        <w:rPr>
          <w:lang w:val="es-419"/>
        </w:rPr>
        <w:t>.</w:t>
      </w:r>
    </w:p>
  </w:footnote>
  <w:footnote w:id="84">
    <w:p w14:paraId="64169B66" w14:textId="4528212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Todas las herramientas de fortalecimiento de capacidades desarrolladas están disponibles en la página web del proyecto en: </w:t>
      </w:r>
      <w:r>
        <w:fldChar w:fldCharType="begin"/>
      </w:r>
      <w:r>
        <w:instrText>HYPERLINK "https://www.wipo.int/es/web/mobile-apps/index"</w:instrText>
      </w:r>
      <w:r>
        <w:fldChar w:fldCharType="separate"/>
      </w:r>
      <w:r w:rsidRPr="00415B3E">
        <w:rPr>
          <w:rStyle w:val="Hyperlink"/>
          <w:lang w:val="es-419"/>
        </w:rPr>
        <w:t>Derechos de propiedad intelectual para aplicaciones móviles</w:t>
      </w:r>
      <w:r>
        <w:fldChar w:fldCharType="end"/>
      </w:r>
      <w:r w:rsidRPr="00415B3E">
        <w:rPr>
          <w:lang w:val="es-419"/>
        </w:rPr>
        <w:t>.</w:t>
      </w:r>
    </w:p>
  </w:footnote>
  <w:footnote w:id="85">
    <w:p w14:paraId="525488BF"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proyecto está centrado en el mercado audiovisual en América Latina. Los países beneficiarios son la Argentina, el Brasil, Costa Rica, el Ecuador, el Perú y el Uruguay.</w:t>
      </w:r>
    </w:p>
  </w:footnote>
  <w:footnote w:id="86">
    <w:p w14:paraId="100EE86C"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Los países beneficiarios son Chile, Indonesia, los Emiratos Árabes Unidos y el Uruguay.</w:t>
      </w:r>
    </w:p>
  </w:footnote>
  <w:footnote w:id="87">
    <w:p w14:paraId="26F73354" w14:textId="1F624D2D"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Todas las herramientas de fortalecimiento de capacidades desarrolladas están disponibles en la página web del proyecto en: </w:t>
      </w:r>
      <w:r>
        <w:fldChar w:fldCharType="begin"/>
      </w:r>
      <w:r>
        <w:instrText>HYPERLINK "https://www.wipo.int/cooperation/es/technical_assistance/developing-countries.html"</w:instrText>
      </w:r>
      <w:r>
        <w:fldChar w:fldCharType="separate"/>
      </w:r>
      <w:r w:rsidRPr="00415B3E">
        <w:rPr>
          <w:rStyle w:val="Hyperlink"/>
          <w:lang w:val="es-419"/>
        </w:rPr>
        <w:t>La PI para las industrias creativas en los países en desarrollo</w:t>
      </w:r>
      <w:r>
        <w:fldChar w:fldCharType="end"/>
      </w:r>
      <w:r w:rsidRPr="00415B3E">
        <w:rPr>
          <w:lang w:val="es-419"/>
        </w:rPr>
        <w:t>.</w:t>
      </w:r>
    </w:p>
  </w:footnote>
  <w:footnote w:id="88">
    <w:p w14:paraId="7478EAEA"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primer taller se está organizando en colaboración con la Universidad Félix Houphouët-Boigny de Côte d'Ivoire y está previsto que se celebre en febrero de 2025.</w:t>
      </w:r>
    </w:p>
  </w:footnote>
  <w:footnote w:id="89">
    <w:p w14:paraId="5DD90532" w14:textId="7E26B10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"https://www.wipo.int/export/sites/www/standards/es/pdf/03-26-01_v1_6.pdf"</w:instrText>
      </w:r>
      <w:r>
        <w:fldChar w:fldCharType="separate"/>
      </w:r>
      <w:r w:rsidRPr="00415B3E">
        <w:rPr>
          <w:rStyle w:val="Hyperlink"/>
          <w:lang w:val="es-419"/>
        </w:rPr>
        <w:t>NORMA ST.26</w:t>
      </w:r>
      <w:r>
        <w:fldChar w:fldCharType="end"/>
      </w:r>
      <w:r w:rsidRPr="00415B3E">
        <w:rPr>
          <w:lang w:val="es-419"/>
        </w:rPr>
        <w:t>.</w:t>
      </w:r>
    </w:p>
  </w:footnote>
  <w:footnote w:id="90">
    <w:p w14:paraId="69A94879" w14:textId="309B4BD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Diálogo de la OMPI en: </w:t>
      </w:r>
      <w:r>
        <w:fldChar w:fldCharType="begin"/>
      </w:r>
      <w:r>
        <w:instrText>HYPERLINK "https://www.wipo.int/about-ip/es/frontier_technologies/index.html"</w:instrText>
      </w:r>
      <w:r>
        <w:fldChar w:fldCharType="separate"/>
      </w:r>
      <w:r w:rsidRPr="00415B3E">
        <w:rPr>
          <w:rStyle w:val="Hyperlink"/>
          <w:lang w:val="es-419"/>
        </w:rPr>
        <w:t>Propiedad intelectual y tecnologías de vanguardia</w:t>
      </w:r>
      <w:r>
        <w:fldChar w:fldCharType="end"/>
      </w:r>
      <w:r w:rsidRPr="00415B3E">
        <w:rPr>
          <w:lang w:val="es-419"/>
        </w:rPr>
        <w:t>.</w:t>
      </w:r>
    </w:p>
  </w:footnote>
  <w:footnote w:id="91">
    <w:p w14:paraId="1E4E26B8" w14:textId="58CBD54C"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"https://www.wipo.int/publications/es/details.jsp?id=4711"</w:instrText>
      </w:r>
      <w:r>
        <w:fldChar w:fldCharType="separate"/>
      </w:r>
      <w:r w:rsidRPr="00415B3E">
        <w:rPr>
          <w:rStyle w:val="Hyperlink"/>
          <w:lang w:val="es-419"/>
        </w:rPr>
        <w:t>Preparar el sistema de innovación para la IA</w:t>
      </w:r>
      <w:r>
        <w:fldChar w:fldCharType="end"/>
      </w:r>
      <w:r w:rsidRPr="00415B3E">
        <w:rPr>
          <w:lang w:val="es-419"/>
        </w:rPr>
        <w:t>.</w:t>
      </w:r>
    </w:p>
  </w:footnote>
  <w:footnote w:id="92">
    <w:p w14:paraId="373035BD" w14:textId="7796829C"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guía en: </w:t>
      </w:r>
      <w:r>
        <w:fldChar w:fldCharType="begin"/>
      </w:r>
      <w:r>
        <w:instrText>HYPERLINK "https://www.wipo.int/about-ip/es/frontier_technologies/news/2024/news_0002.html"</w:instrText>
      </w:r>
      <w:r>
        <w:fldChar w:fldCharType="separate"/>
      </w:r>
      <w:r w:rsidRPr="00415B3E">
        <w:rPr>
          <w:rStyle w:val="Hyperlink"/>
          <w:lang w:val="es-419"/>
        </w:rPr>
        <w:t>IA generativa:</w:t>
      </w:r>
      <w:r>
        <w:fldChar w:fldCharType="end"/>
      </w:r>
      <w:hyperlink r:id="rId8" w:history="1">
        <w:r w:rsidRPr="00415B3E">
          <w:rPr>
            <w:rStyle w:val="Hyperlink"/>
            <w:lang w:val="es-419"/>
          </w:rPr>
          <w:t xml:space="preserve"> cuestiones de propiedad intelectual</w:t>
        </w:r>
      </w:hyperlink>
      <w:r w:rsidRPr="00415B3E">
        <w:rPr>
          <w:lang w:val="es-419"/>
        </w:rPr>
        <w:t>.</w:t>
      </w:r>
    </w:p>
  </w:footnote>
  <w:footnote w:id="93">
    <w:p w14:paraId="4F8A65C8" w14:textId="5C7B2FC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"https://www.wipo.int/global_ip/es/activities/ip_office_business_solutions/index.html"</w:instrText>
      </w:r>
      <w:r>
        <w:fldChar w:fldCharType="separate"/>
      </w:r>
      <w:r w:rsidRPr="00415B3E">
        <w:rPr>
          <w:rStyle w:val="Hyperlink"/>
          <w:lang w:val="es-419"/>
        </w:rPr>
        <w:t>Soluciones operativas para las Oficinas de PI</w:t>
      </w:r>
      <w:r>
        <w:fldChar w:fldCharType="end"/>
      </w:r>
      <w:r w:rsidRPr="00415B3E">
        <w:rPr>
          <w:lang w:val="es-419"/>
        </w:rPr>
        <w:t>.</w:t>
      </w:r>
    </w:p>
  </w:footnote>
  <w:footnote w:id="94">
    <w:p w14:paraId="0B6F867F" w14:textId="593E2218"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webinario en: </w:t>
      </w:r>
      <w:r>
        <w:fldChar w:fldCharType="begin"/>
      </w:r>
      <w:r>
        <w:instrText>HYPERLINK "http://www.wipo.int/meetings/en/details.jsp?meeting_id=83813"</w:instrText>
      </w:r>
      <w:r>
        <w:fldChar w:fldCharType="separate"/>
      </w:r>
      <w:r w:rsidRPr="00415B3E">
        <w:rPr>
          <w:rStyle w:val="Hyperlink"/>
          <w:lang w:val="es-419"/>
        </w:rPr>
        <w:t>www.wipo.int/meetings/en/details.jsp?meeting_id=83813</w:t>
      </w:r>
      <w:r>
        <w:fldChar w:fldCharType="end"/>
      </w:r>
      <w:r w:rsidRPr="00415B3E">
        <w:rPr>
          <w:lang w:val="es-419"/>
        </w:rPr>
        <w:t>.</w:t>
      </w:r>
    </w:p>
  </w:footnote>
  <w:footnote w:id="95">
    <w:p w14:paraId="50876BA3" w14:textId="331AB6E5"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simposio en: </w:t>
      </w:r>
      <w:r>
        <w:fldChar w:fldCharType="begin"/>
      </w:r>
      <w:r>
        <w:instrText>HYPERLINK "https://www.wipo.int/es/web/global-health/w/news/2024/who-wipo-wto-to-host-symposium-on-boosting-manufacturing-for-non-communicable-diseases"</w:instrText>
      </w:r>
      <w:r>
        <w:fldChar w:fldCharType="separate"/>
      </w:r>
      <w:r w:rsidRPr="00415B3E">
        <w:rPr>
          <w:rStyle w:val="Hyperlink"/>
          <w:lang w:val="es-419"/>
        </w:rPr>
        <w:t>Simposio técnico conjunto</w:t>
      </w:r>
      <w:r>
        <w:fldChar w:fldCharType="end"/>
      </w:r>
      <w:r w:rsidRPr="00415B3E">
        <w:rPr>
          <w:lang w:val="es-419"/>
        </w:rPr>
        <w:t>.</w:t>
      </w:r>
    </w:p>
  </w:footnote>
  <w:footnote w:id="96">
    <w:p w14:paraId="76391A36" w14:textId="1AECEBFB"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iniciativa en: </w:t>
      </w:r>
      <w:r>
        <w:fldChar w:fldCharType="begin"/>
      </w:r>
      <w:r>
        <w:instrText>HYPERLINK "https://www.who.int/initiatives/global-initiative-on-ai-for-health"</w:instrText>
      </w:r>
      <w:r>
        <w:fldChar w:fldCharType="separate"/>
      </w:r>
      <w:r w:rsidRPr="00415B3E">
        <w:rPr>
          <w:rStyle w:val="Hyperlink"/>
          <w:lang w:val="es-419"/>
        </w:rPr>
        <w:t>Iniciativa Mundial sobre IA para la Salud</w:t>
      </w:r>
      <w:r>
        <w:fldChar w:fldCharType="end"/>
      </w:r>
      <w:r w:rsidRPr="00415B3E">
        <w:rPr>
          <w:lang w:val="es-419"/>
        </w:rPr>
        <w:t>.</w:t>
      </w:r>
    </w:p>
  </w:footnote>
  <w:footnote w:id="97">
    <w:p w14:paraId="07AF8D32" w14:textId="5A0C92D2"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reunión en: </w:t>
      </w:r>
      <w:r>
        <w:fldChar w:fldCharType="begin"/>
      </w:r>
      <w:r>
        <w:instrText>HYPERLINK "https://www.itu.int/net4/wsis/forum/2024/es"</w:instrText>
      </w:r>
      <w:r>
        <w:fldChar w:fldCharType="separate"/>
      </w:r>
      <w:r w:rsidRPr="00415B3E">
        <w:rPr>
          <w:rStyle w:val="Hyperlink"/>
          <w:lang w:val="es-419"/>
        </w:rPr>
        <w:t>Cumbre Mundial sobre la Sociedad de la Información (CMSI) + Evento de Alto Nivel del Foro 20, de 2024</w:t>
      </w:r>
      <w:r>
        <w:fldChar w:fldCharType="end"/>
      </w:r>
      <w:r w:rsidRPr="00415B3E">
        <w:rPr>
          <w:lang w:val="es-419"/>
        </w:rPr>
        <w:t>.</w:t>
      </w:r>
    </w:p>
  </w:footnote>
  <w:footnote w:id="98">
    <w:p w14:paraId="74C86923" w14:textId="784AEC4B"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reunión en: </w:t>
      </w:r>
      <w:r>
        <w:fldChar w:fldCharType="begin"/>
      </w:r>
      <w:r>
        <w:instrText>HYPERLINK "https://aiforgood.itu.int/summit24/%23/es"</w:instrText>
      </w:r>
      <w:r>
        <w:fldChar w:fldCharType="separate"/>
      </w:r>
      <w:r w:rsidRPr="00415B3E">
        <w:rPr>
          <w:rStyle w:val="Hyperlink"/>
          <w:lang w:val="es-419"/>
        </w:rPr>
        <w:t>Cumbre Mundial “AI for Good”</w:t>
      </w:r>
      <w:r>
        <w:fldChar w:fldCharType="end"/>
      </w:r>
      <w:r w:rsidRPr="00415B3E">
        <w:rPr>
          <w:lang w:val="es-419"/>
        </w:rPr>
        <w:t>.</w:t>
      </w:r>
    </w:p>
  </w:footnote>
  <w:footnote w:id="99">
    <w:p w14:paraId="477669D6"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A través de la Asociación Internacional para la Protección de la Propiedad Intelectual y otras redes internacionales y nacionales.</w:t>
      </w:r>
    </w:p>
  </w:footnote>
  <w:footnote w:id="100">
    <w:p w14:paraId="24C715FA" w14:textId="6428F59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estrategia en: </w:t>
      </w:r>
      <w:r>
        <w:fldChar w:fldCharType="begin"/>
      </w:r>
      <w:r>
        <w:instrText>HYPERLINK "https://www.wipo.int/publications/es/details.jsp?id=4741"</w:instrText>
      </w:r>
      <w:r>
        <w:fldChar w:fldCharType="separate"/>
      </w:r>
      <w:r w:rsidRPr="00415B3E">
        <w:rPr>
          <w:rStyle w:val="Hyperlink"/>
          <w:lang w:val="es-419"/>
        </w:rPr>
        <w:t>Estrategia sobre PI y Empoderamiento de los Jóvenes (IP-YES!)</w:t>
      </w:r>
      <w:r>
        <w:fldChar w:fldCharType="end"/>
      </w:r>
      <w:r w:rsidRPr="00415B3E">
        <w:rPr>
          <w:lang w:val="es-419"/>
        </w:rPr>
        <w:t>.</w:t>
      </w:r>
    </w:p>
  </w:footnote>
  <w:footnote w:id="101">
    <w:p w14:paraId="04A2EC7E" w14:textId="69A890E2"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w:t>
      </w:r>
      <w:r w:rsidRPr="00415B3E">
        <w:rPr>
          <w:i/>
          <w:iCs/>
          <w:lang w:val="es-419"/>
        </w:rPr>
        <w:t>Hub</w:t>
      </w:r>
      <w:r w:rsidRPr="00415B3E">
        <w:rPr>
          <w:lang w:val="es-419"/>
        </w:rPr>
        <w:t xml:space="preserve"> en: </w:t>
      </w:r>
      <w:r>
        <w:fldChar w:fldCharType="begin"/>
      </w:r>
      <w:r>
        <w:instrText>HYPERLINK "https://www.wipo.int/en/web/wipo-academy/w/news/2024/empowering-tunisian-youth-through-ip"</w:instrText>
      </w:r>
      <w:r>
        <w:fldChar w:fldCharType="separate"/>
      </w:r>
      <w:r w:rsidRPr="00415B3E">
        <w:rPr>
          <w:rStyle w:val="Hyperlink"/>
          <w:lang w:val="es-419"/>
        </w:rPr>
        <w:t xml:space="preserve">TANIT </w:t>
      </w:r>
      <w:r w:rsidRPr="00415B3E">
        <w:rPr>
          <w:rStyle w:val="Hyperlink"/>
          <w:i/>
          <w:iCs/>
          <w:lang w:val="es-419"/>
        </w:rPr>
        <w:t>Youth Innovation Hub</w:t>
      </w:r>
      <w:r>
        <w:fldChar w:fldCharType="end"/>
      </w:r>
      <w:r w:rsidRPr="00415B3E">
        <w:rPr>
          <w:lang w:val="es-419"/>
        </w:rPr>
        <w:t>.</w:t>
      </w:r>
    </w:p>
  </w:footnote>
  <w:footnote w:id="102">
    <w:p w14:paraId="79575AFD" w14:textId="4407A2AF"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foro en: </w:t>
      </w:r>
      <w:r>
        <w:fldChar w:fldCharType="begin"/>
      </w:r>
      <w:r>
        <w:instrText>HYPERLINK "https://www.wipo.int/es/web/director-general/w/daren-tang/news/2024/news_0020"</w:instrText>
      </w:r>
      <w:r>
        <w:fldChar w:fldCharType="separate"/>
      </w:r>
      <w:r w:rsidRPr="00415B3E">
        <w:rPr>
          <w:rStyle w:val="Hyperlink"/>
          <w:lang w:val="es-419"/>
        </w:rPr>
        <w:t>Foro de la Juventud del ECOSOC</w:t>
      </w:r>
      <w:r>
        <w:fldChar w:fldCharType="end"/>
      </w:r>
      <w:r w:rsidRPr="00415B3E">
        <w:rPr>
          <w:lang w:val="es-419"/>
        </w:rPr>
        <w:t>.</w:t>
      </w:r>
    </w:p>
  </w:footnote>
  <w:footnote w:id="103">
    <w:p w14:paraId="274A851C" w14:textId="323CC73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Curso intensivo en: </w:t>
      </w:r>
      <w:r>
        <w:fldChar w:fldCharType="begin"/>
      </w:r>
      <w:r>
        <w:instrText>HYPERLINK "https://www.wipo.int/meetings/es/2024/online-branding-bootcamp.html"</w:instrText>
      </w:r>
      <w:r>
        <w:fldChar w:fldCharType="separate"/>
      </w:r>
      <w:r w:rsidRPr="00415B3E">
        <w:rPr>
          <w:rStyle w:val="Hyperlink"/>
          <w:lang w:val="es-419"/>
        </w:rPr>
        <w:t>Curso intensivo en línea sobre desarrollo de marcas para jóvenes creadores de contenidos</w:t>
      </w:r>
      <w:r>
        <w:fldChar w:fldCharType="end"/>
      </w:r>
      <w:r w:rsidRPr="00415B3E">
        <w:rPr>
          <w:lang w:val="es-419"/>
        </w:rPr>
        <w:t>.</w:t>
      </w:r>
    </w:p>
  </w:footnote>
  <w:footnote w:id="104">
    <w:p w14:paraId="70E15DE8" w14:textId="5B1CB865"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diálogo en: </w:t>
      </w:r>
      <w:r>
        <w:fldChar w:fldCharType="begin"/>
      </w:r>
      <w:r>
        <w:instrText>HYPERLINK "https://www.wipo.int/en/web/youth-engagement/w/news/2024/inter-generational-dialogue-in-the-life-sciences-sector-1"</w:instrText>
      </w:r>
      <w:r>
        <w:fldChar w:fldCharType="separate"/>
      </w:r>
      <w:r w:rsidRPr="00415B3E">
        <w:rPr>
          <w:rStyle w:val="Hyperlink"/>
          <w:lang w:val="es-419"/>
        </w:rPr>
        <w:t>Diálogo intergeneracional durante las Asambleas de la OMPI</w:t>
      </w:r>
      <w:r>
        <w:fldChar w:fldCharType="end"/>
      </w:r>
      <w:r w:rsidRPr="00415B3E">
        <w:rPr>
          <w:lang w:val="es-419"/>
        </w:rPr>
        <w:t>.</w:t>
      </w:r>
    </w:p>
  </w:footnote>
  <w:footnote w:id="105">
    <w:p w14:paraId="10DC8C37"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Oficina de Propiedad Intelectual del Reino Unido; Asahi Group Holdings, Ltd.; Chengdu Intellectual Property Exchange Center Co., Ltd.; Contemporary Amperex Technology Co., Limited; GCL (group) Holdings Co., Ltd.; Huawei; and Xiaomi Corporation.</w:t>
      </w:r>
    </w:p>
  </w:footnote>
  <w:footnote w:id="106">
    <w:p w14:paraId="77FBC210" w14:textId="20DEB9AB"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Se puede consultar más información sobre los socios de WIPO GREEN en: </w:t>
      </w:r>
      <w:r>
        <w:fldChar w:fldCharType="begin"/>
      </w:r>
      <w:r>
        <w:instrText>HYPERLINK "https://www3.wipo.int/wipogreen/en/partners/"</w:instrText>
      </w:r>
      <w:r>
        <w:fldChar w:fldCharType="separate"/>
      </w:r>
      <w:r w:rsidRPr="00415B3E">
        <w:rPr>
          <w:rStyle w:val="Hyperlink"/>
          <w:lang w:val="es-419"/>
        </w:rPr>
        <w:t>Socios de WIPO GREEN</w:t>
      </w:r>
      <w:r>
        <w:fldChar w:fldCharType="end"/>
      </w:r>
      <w:r w:rsidRPr="00415B3E">
        <w:rPr>
          <w:lang w:val="es-419"/>
        </w:rPr>
        <w:t>.</w:t>
      </w:r>
    </w:p>
  </w:footnote>
  <w:footnote w:id="107">
    <w:p w14:paraId="1050E6D6" w14:textId="6DA51DF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libro en: </w:t>
      </w:r>
      <w:r>
        <w:fldChar w:fldCharType="begin"/>
      </w:r>
      <w:r>
        <w:instrText>HYPERLINK "https://www.wipo.int/web/green-technology-book"</w:instrText>
      </w:r>
      <w:r>
        <w:fldChar w:fldCharType="separate"/>
      </w:r>
      <w:r w:rsidRPr="00415B3E">
        <w:rPr>
          <w:rStyle w:val="Hyperlink"/>
          <w:lang w:val="es-419"/>
        </w:rPr>
        <w:t>Libro sobre tecnología ecológica</w:t>
      </w:r>
      <w:r>
        <w:fldChar w:fldCharType="end"/>
      </w:r>
      <w:r w:rsidRPr="00415B3E">
        <w:rPr>
          <w:lang w:val="es-419"/>
        </w:rPr>
        <w:t>.</w:t>
      </w:r>
    </w:p>
  </w:footnote>
  <w:footnote w:id="108">
    <w:p w14:paraId="0AB45F82" w14:textId="6211FD4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colección en: </w:t>
      </w:r>
      <w:r>
        <w:fldChar w:fldCharType="begin"/>
      </w:r>
      <w:r>
        <w:instrText>HYPERLINK "https://wipogreen.wipo.int/wipogreen-database/collection-collections/146441"</w:instrText>
      </w:r>
      <w:r>
        <w:fldChar w:fldCharType="separate"/>
      </w:r>
      <w:r w:rsidRPr="00415B3E">
        <w:rPr>
          <w:rStyle w:val="Hyperlink"/>
          <w:lang w:val="es-419"/>
        </w:rPr>
        <w:t>Colección completa del Libro sobre tecnología ecológica</w:t>
      </w:r>
      <w:r>
        <w:fldChar w:fldCharType="end"/>
      </w:r>
      <w:r w:rsidRPr="00415B3E">
        <w:rPr>
          <w:lang w:val="es-419"/>
        </w:rPr>
        <w:t>.</w:t>
      </w:r>
    </w:p>
  </w:footnote>
  <w:footnote w:id="109">
    <w:p w14:paraId="44C0C7CE" w14:textId="6455E1AC"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Más información sobre los Proyectos de Aceleración está disponible en: </w:t>
      </w:r>
      <w:r>
        <w:fldChar w:fldCharType="begin"/>
      </w:r>
      <w:r>
        <w:instrText>HYPERLINK "https://www3.wipo.int/wipogreen/en/projects/"</w:instrText>
      </w:r>
      <w:r>
        <w:fldChar w:fldCharType="separate"/>
      </w:r>
      <w:r w:rsidRPr="00415B3E">
        <w:rPr>
          <w:rStyle w:val="Hyperlink"/>
          <w:lang w:val="es-419"/>
        </w:rPr>
        <w:t>Proyectos de aceleración WIPO GREEN</w:t>
      </w:r>
      <w:r>
        <w:fldChar w:fldCharType="end"/>
      </w:r>
      <w:r w:rsidRPr="00415B3E">
        <w:rPr>
          <w:lang w:val="es-419"/>
        </w:rPr>
        <w:t>.</w:t>
      </w:r>
    </w:p>
  </w:footnote>
  <w:footnote w:id="110">
    <w:p w14:paraId="32BE11EA" w14:textId="44E162FE"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proyecto en: </w:t>
      </w:r>
      <w:r>
        <w:fldChar w:fldCharType="begin"/>
      </w:r>
      <w:r>
        <w:instrText>HYPERLINK "https://www3.wipo.int/wipogreen/en/projects/"</w:instrText>
      </w:r>
      <w:r>
        <w:fldChar w:fldCharType="separate"/>
      </w:r>
      <w:r w:rsidRPr="00415B3E">
        <w:rPr>
          <w:rStyle w:val="Hyperlink"/>
          <w:lang w:val="es-419"/>
        </w:rPr>
        <w:t>Agricultura climáticamente inteligente en América Latina</w:t>
      </w:r>
      <w:r>
        <w:fldChar w:fldCharType="end"/>
      </w:r>
      <w:r w:rsidRPr="00415B3E">
        <w:rPr>
          <w:lang w:val="es-419"/>
        </w:rPr>
        <w:t>.</w:t>
      </w:r>
    </w:p>
  </w:footnote>
  <w:footnote w:id="111">
    <w:p w14:paraId="40C1FCF3" w14:textId="230C64AD"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Estas necesidades de cambio climático incluyen retos relacionados con la energía, el agua, la contaminación y los residuos y se pueden encontrar en la colección de ciudades de China en la plataforma WIPO Green, disponible en: </w:t>
      </w:r>
      <w:r>
        <w:fldChar w:fldCharType="begin"/>
      </w:r>
      <w:r>
        <w:instrText>HYPERLINK "https://wipogreen.wipo.int/wipogreen-database/search?pagination.page=0&amp;pagination.size=10&amp;sort.0.field=CREATED_AT&amp;sort.0.direction=DESC&amp;queryFilters.0.field=COLLECTION&amp;queryFilters.0.value=138827"</w:instrText>
      </w:r>
      <w:r>
        <w:fldChar w:fldCharType="separate"/>
      </w:r>
      <w:r w:rsidRPr="00415B3E">
        <w:rPr>
          <w:rStyle w:val="Hyperlink"/>
          <w:lang w:val="es-419"/>
        </w:rPr>
        <w:t>Colección Ciudades de China</w:t>
      </w:r>
      <w:r>
        <w:fldChar w:fldCharType="end"/>
      </w:r>
      <w:r w:rsidRPr="00415B3E">
        <w:rPr>
          <w:lang w:val="es-419"/>
        </w:rPr>
        <w:t>.</w:t>
      </w:r>
    </w:p>
  </w:footnote>
  <w:footnote w:id="112">
    <w:p w14:paraId="6D11BFEE" w14:textId="7C80CE06"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proyecto en: </w:t>
      </w:r>
      <w:r>
        <w:fldChar w:fldCharType="begin"/>
      </w:r>
      <w:r>
        <w:instrText>HYPERLINK "https://www3.wipo.int/wipogreen/en/news/2024/news_0015.html"</w:instrText>
      </w:r>
      <w:r>
        <w:fldChar w:fldCharType="separate"/>
      </w:r>
      <w:r w:rsidRPr="00415B3E">
        <w:rPr>
          <w:rStyle w:val="Hyperlink"/>
          <w:lang w:val="es-419"/>
        </w:rPr>
        <w:t>Proyecto WIPO GREEN en Tayikistán</w:t>
      </w:r>
      <w:r>
        <w:fldChar w:fldCharType="end"/>
      </w:r>
      <w:r w:rsidRPr="00415B3E">
        <w:rPr>
          <w:lang w:val="es-419"/>
        </w:rPr>
        <w:t>.</w:t>
      </w:r>
    </w:p>
  </w:footnote>
  <w:footnote w:id="113">
    <w:p w14:paraId="5CFCFC81" w14:textId="0BCB7E9C"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esta iniciativa en: </w:t>
      </w:r>
      <w:r>
        <w:fldChar w:fldCharType="begin"/>
      </w:r>
      <w:r>
        <w:instrText>HYPERLINK "https://www3.wipo.int/wipogreen/en/ipo-green/"</w:instrText>
      </w:r>
      <w:r>
        <w:fldChar w:fldCharType="separate"/>
      </w:r>
      <w:r w:rsidRPr="00415B3E">
        <w:rPr>
          <w:rStyle w:val="Hyperlink"/>
          <w:lang w:val="es-419"/>
        </w:rPr>
        <w:t>IPO GREEN</w:t>
      </w:r>
      <w:r>
        <w:fldChar w:fldCharType="end"/>
      </w:r>
      <w:r w:rsidRPr="00415B3E">
        <w:rPr>
          <w:lang w:val="es-419"/>
        </w:rPr>
        <w:t>.</w:t>
      </w:r>
    </w:p>
  </w:footnote>
  <w:footnote w:id="114">
    <w:p w14:paraId="706FC231" w14:textId="52847A64"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serie de webinarios en: </w:t>
      </w:r>
      <w:r>
        <w:fldChar w:fldCharType="begin"/>
      </w:r>
      <w:r>
        <w:instrText>HYPERLINK "https://c.connectedviews.com/01/Search/WIPOwebinars?search=ipogreen"</w:instrText>
      </w:r>
      <w:r>
        <w:fldChar w:fldCharType="separate"/>
      </w:r>
      <w:r w:rsidRPr="00415B3E">
        <w:rPr>
          <w:rStyle w:val="Hyperlink"/>
          <w:lang w:val="es-419"/>
        </w:rPr>
        <w:t>Serie de webinarios IPO Green</w:t>
      </w:r>
      <w:r>
        <w:fldChar w:fldCharType="end"/>
      </w:r>
      <w:r w:rsidRPr="00415B3E">
        <w:rPr>
          <w:lang w:val="es-419"/>
        </w:rPr>
        <w:t>.</w:t>
      </w:r>
    </w:p>
  </w:footnote>
  <w:footnote w:id="115">
    <w:p w14:paraId="0A79D022"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Cinco Estados miembros de la región de Asia y el Pacífico, tres de la región de América Latina y el Caribe y uno de la región de África.</w:t>
      </w:r>
    </w:p>
  </w:footnote>
  <w:footnote w:id="116">
    <w:p w14:paraId="7E32656A"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Uno de la región de África, tres de la región árabe, uno de Asia y el Pacífico, y cuatro de América Latina y el Caribe.</w:t>
      </w:r>
    </w:p>
  </w:footnote>
  <w:footnote w:id="117">
    <w:p w14:paraId="6E699522" w14:textId="347146A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estas actividades en: </w:t>
      </w:r>
      <w:r>
        <w:fldChar w:fldCharType="begin"/>
      </w:r>
      <w:r>
        <w:instrText>HYPERLINK "https://www.wipo.int/respect-for-ip/es/activities/current.html"</w:instrText>
      </w:r>
      <w:r>
        <w:fldChar w:fldCharType="separate"/>
      </w:r>
      <w:r w:rsidRPr="00415B3E">
        <w:rPr>
          <w:rStyle w:val="Hyperlink"/>
          <w:lang w:val="es-419"/>
        </w:rPr>
        <w:t>Actividades de formación y sensibilización</w:t>
      </w:r>
      <w:r>
        <w:fldChar w:fldCharType="end"/>
      </w:r>
      <w:r w:rsidRPr="00415B3E">
        <w:rPr>
          <w:lang w:val="es-419"/>
        </w:rPr>
        <w:t>.</w:t>
      </w:r>
    </w:p>
  </w:footnote>
  <w:footnote w:id="118">
    <w:p w14:paraId="638B1C7B" w14:textId="0873E3BE"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Más información sobre la reunión anual está disponible en: </w:t>
      </w:r>
      <w:r>
        <w:fldChar w:fldCharType="begin"/>
      </w:r>
      <w:r>
        <w:instrText>HYPERLINK "https://www.wipo.int/meetings/es/details.jsp?meeting_id=85468"</w:instrText>
      </w:r>
      <w:r>
        <w:fldChar w:fldCharType="separate"/>
      </w:r>
      <w:r w:rsidRPr="00415B3E">
        <w:rPr>
          <w:rStyle w:val="Hyperlink"/>
          <w:lang w:val="es-419"/>
        </w:rPr>
        <w:t>Reunión de Asociaciones del Sector Privado sobre la Observancia de la Propiedad Intelectual</w:t>
      </w:r>
      <w:r>
        <w:fldChar w:fldCharType="end"/>
      </w:r>
      <w:r w:rsidRPr="00415B3E">
        <w:rPr>
          <w:lang w:val="es-419"/>
        </w:rPr>
        <w:t>.</w:t>
      </w:r>
    </w:p>
  </w:footnote>
  <w:footnote w:id="119">
    <w:p w14:paraId="6AD08082" w14:textId="26142172"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"https://respectforip.org/"</w:instrText>
      </w:r>
      <w:r>
        <w:fldChar w:fldCharType="separate"/>
      </w:r>
      <w:r w:rsidRPr="00415B3E">
        <w:rPr>
          <w:rStyle w:val="Hyperlink"/>
          <w:lang w:val="es-419"/>
        </w:rPr>
        <w:t>Respeto de la propiedad intelectual</w:t>
      </w:r>
      <w:r>
        <w:fldChar w:fldCharType="end"/>
      </w:r>
      <w:r w:rsidRPr="00415B3E">
        <w:rPr>
          <w:lang w:val="es-419"/>
        </w:rPr>
        <w:t>.</w:t>
      </w:r>
    </w:p>
  </w:footnote>
  <w:footnote w:id="120">
    <w:p w14:paraId="5BDEF5A8" w14:textId="47450F2A"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esta iniciativa en: </w:t>
      </w:r>
      <w:r>
        <w:fldChar w:fldCharType="begin"/>
      </w:r>
      <w:r>
        <w:instrText>HYPERLINK "https://www.wipo.int/tk/en/news/tk/2024/news_0008.html"</w:instrText>
      </w:r>
      <w:r>
        <w:fldChar w:fldCharType="separate"/>
      </w:r>
      <w:r w:rsidRPr="00415B3E">
        <w:rPr>
          <w:rStyle w:val="Hyperlink"/>
          <w:lang w:val="es-419"/>
        </w:rPr>
        <w:t>Premio de Fotografía de la OMPI para Jóvenes Indígenas 2024</w:t>
      </w:r>
      <w:r>
        <w:fldChar w:fldCharType="end"/>
      </w:r>
      <w:r w:rsidRPr="00415B3E">
        <w:rPr>
          <w:lang w:val="es-419"/>
        </w:rPr>
        <w:t>.</w:t>
      </w:r>
    </w:p>
  </w:footnote>
  <w:footnote w:id="121">
    <w:p w14:paraId="138326BE" w14:textId="6C053AC9"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programa en: </w:t>
      </w:r>
      <w:r>
        <w:fldChar w:fldCharType="begin"/>
      </w:r>
      <w:r>
        <w:instrText>HYPERLINK "https://www.wipo.int/tk/es/women_entrepreneurs/index.html"</w:instrText>
      </w:r>
      <w:r>
        <w:fldChar w:fldCharType="separate"/>
      </w:r>
      <w:r w:rsidRPr="00415B3E">
        <w:rPr>
          <w:rStyle w:val="Hyperlink"/>
          <w:lang w:val="es-419"/>
        </w:rPr>
        <w:t>Comunidades indígenas y locales WEP</w:t>
      </w:r>
      <w:r>
        <w:fldChar w:fldCharType="end"/>
      </w:r>
      <w:r w:rsidRPr="00415B3E">
        <w:rPr>
          <w:lang w:val="es-419"/>
        </w:rPr>
        <w:t>.</w:t>
      </w:r>
    </w:p>
  </w:footnote>
  <w:footnote w:id="122">
    <w:p w14:paraId="29721267" w14:textId="4EBF9210"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programa en: </w:t>
      </w:r>
      <w:r>
        <w:fldChar w:fldCharType="begin"/>
      </w:r>
      <w:r>
        <w:instrText>HYPERLINK "https://www.wipo.int/meetings/es/details.jsp?meeting_id=76108"</w:instrText>
      </w:r>
      <w:r>
        <w:fldChar w:fldCharType="separate"/>
      </w:r>
      <w:r w:rsidRPr="00415B3E">
        <w:rPr>
          <w:rStyle w:val="Hyperlink"/>
          <w:lang w:val="es-419"/>
        </w:rPr>
        <w:t>Programa de formación, mentoría y establecimiento de contactos en materia de propiedad intelectual para emprendedoras de comunidades locales del Grupo de Estados de Europa Central y el Báltico</w:t>
      </w:r>
      <w:r>
        <w:fldChar w:fldCharType="end"/>
      </w:r>
      <w:r w:rsidRPr="00415B3E">
        <w:rPr>
          <w:lang w:val="es-419"/>
        </w:rPr>
        <w:t>.</w:t>
      </w:r>
    </w:p>
  </w:footnote>
  <w:footnote w:id="123">
    <w:p w14:paraId="1838C8EB" w14:textId="63AAC3EF"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exposición virtual en: </w:t>
      </w:r>
      <w:r>
        <w:fldChar w:fldCharType="begin"/>
      </w:r>
      <w:r>
        <w:instrText>HYPERLINK "https://www.wipo.int/tk/es/news/tk/2024/news_0001.html"</w:instrText>
      </w:r>
      <w:r>
        <w:fldChar w:fldCharType="separate"/>
      </w:r>
      <w:r w:rsidRPr="00415B3E">
        <w:rPr>
          <w:rStyle w:val="Hyperlink"/>
          <w:lang w:val="es-419"/>
        </w:rPr>
        <w:t>Exposición virtual de la OMPI sobre conocimientos tradicionales</w:t>
      </w:r>
      <w:r>
        <w:fldChar w:fldCharType="end"/>
      </w:r>
      <w:r w:rsidRPr="00415B3E">
        <w:rPr>
          <w:lang w:val="es-419"/>
        </w:rPr>
        <w:t>.</w:t>
      </w:r>
    </w:p>
  </w:footnote>
  <w:footnote w:id="124">
    <w:p w14:paraId="5580AE7F" w14:textId="07C92986"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Tratado en: </w:t>
      </w:r>
      <w:r>
        <w:fldChar w:fldCharType="begin"/>
      </w:r>
      <w:r>
        <w:instrText>HYPERLINK "https://www.wipo.int/es/web/traditional-knowledge/wipo-treaty-on-ip-gr-and-associated-tk"</w:instrText>
      </w:r>
      <w:r>
        <w:fldChar w:fldCharType="separate"/>
      </w:r>
      <w:r w:rsidRPr="00415B3E">
        <w:rPr>
          <w:rStyle w:val="Hyperlink"/>
          <w:lang w:val="es-419"/>
        </w:rPr>
        <w:t>Tratado de la OMPI sobre la Propiedad Intelectual, los Recursos Genéticos y los Conocimientos Tradicionales Asociados</w:t>
      </w:r>
      <w:r>
        <w:fldChar w:fldCharType="end"/>
      </w:r>
      <w:r w:rsidRPr="00415B3E">
        <w:rPr>
          <w:lang w:val="es-419"/>
        </w:rPr>
        <w:t>.</w:t>
      </w:r>
    </w:p>
  </w:footnote>
  <w:footnote w:id="125">
    <w:p w14:paraId="44B310C8" w14:textId="0CB0746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Todos los documentos de las sesiones pueden consultarse en: </w:t>
      </w:r>
      <w:r>
        <w:fldChar w:fldCharType="begin"/>
      </w:r>
      <w:r>
        <w:instrText>HYPERLINK "http://www.wipo.int/meetings/es/details.jsp?meeting_id=80916"</w:instrText>
      </w:r>
      <w:r>
        <w:fldChar w:fldCharType="separate"/>
      </w:r>
      <w:r w:rsidRPr="00415B3E">
        <w:rPr>
          <w:rStyle w:val="Hyperlink"/>
          <w:lang w:val="es-419"/>
        </w:rPr>
        <w:t>www.wipo.int/meetings/es/details.jsp?meeting_id=80916</w:t>
      </w:r>
      <w:r>
        <w:fldChar w:fldCharType="end"/>
      </w:r>
      <w:r w:rsidRPr="00415B3E">
        <w:rPr>
          <w:lang w:val="es-419"/>
        </w:rPr>
        <w:t>.</w:t>
      </w:r>
    </w:p>
  </w:footnote>
  <w:footnote w:id="126">
    <w:p w14:paraId="2497AFE9" w14:textId="50E04E0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Todos los documentos de las sesiones pueden consultarse en: </w:t>
      </w:r>
      <w:r>
        <w:fldChar w:fldCharType="begin"/>
      </w:r>
      <w:r>
        <w:instrText>HYPERLINK "http://www.wipo.int/meetings/es/details.jsp?meeting_id=80927"</w:instrText>
      </w:r>
      <w:r>
        <w:fldChar w:fldCharType="separate"/>
      </w:r>
      <w:r w:rsidRPr="00415B3E">
        <w:rPr>
          <w:rStyle w:val="Hyperlink"/>
          <w:lang w:val="es-419"/>
        </w:rPr>
        <w:t>www.wipo.int/meetings/es/details.jsp?meeting_id=80927</w:t>
      </w:r>
      <w:r>
        <w:fldChar w:fldCharType="end"/>
      </w:r>
      <w:r w:rsidRPr="00415B3E">
        <w:rPr>
          <w:lang w:val="es-419"/>
        </w:rPr>
        <w:t>.</w:t>
      </w:r>
    </w:p>
  </w:footnote>
  <w:footnote w:id="127">
    <w:p w14:paraId="6A443CA8" w14:textId="4A27B6F9"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resumen de la Presidencia se encuentra disponible en: </w:t>
      </w:r>
      <w:r>
        <w:fldChar w:fldCharType="begin"/>
      </w:r>
      <w:r>
        <w:instrText>HYPERLINK "https://www.wipo.int/meetings/es/doc_details.jsp?doc_id=628371"</w:instrText>
      </w:r>
      <w:r>
        <w:fldChar w:fldCharType="separate"/>
      </w:r>
      <w:r w:rsidRPr="00415B3E">
        <w:rPr>
          <w:rStyle w:val="Hyperlink"/>
          <w:lang w:val="es-419"/>
        </w:rPr>
        <w:t>www.wipo.int/meetings/es/doc_details.jsp?doc_id=628371</w:t>
      </w:r>
      <w:r>
        <w:fldChar w:fldCharType="end"/>
      </w:r>
      <w:r w:rsidRPr="00415B3E">
        <w:rPr>
          <w:lang w:val="es-419"/>
        </w:rPr>
        <w:t>.</w:t>
      </w:r>
    </w:p>
  </w:footnote>
  <w:footnote w:id="128">
    <w:p w14:paraId="56D7F004" w14:textId="435B7A4F"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Todos los documentos de las sesiones pueden consultarse en: </w:t>
      </w:r>
      <w:r>
        <w:fldChar w:fldCharType="begin"/>
      </w:r>
      <w:r>
        <w:instrText>HYPERLINK "https://www.wipo.int/meetings/es/details.jsp?meeting_id=76048"</w:instrText>
      </w:r>
      <w:r>
        <w:fldChar w:fldCharType="separate"/>
      </w:r>
      <w:r w:rsidRPr="00415B3E">
        <w:rPr>
          <w:rStyle w:val="Hyperlink"/>
          <w:lang w:val="es-419"/>
        </w:rPr>
        <w:t>https://www.wipo.int/meetings/es/details.jsp?meeting_id=76048</w:t>
      </w:r>
      <w:r>
        <w:fldChar w:fldCharType="end"/>
      </w:r>
      <w:r w:rsidRPr="00415B3E">
        <w:rPr>
          <w:lang w:val="es-419"/>
        </w:rPr>
        <w:t>.</w:t>
      </w:r>
    </w:p>
  </w:footnote>
  <w:footnote w:id="129">
    <w:p w14:paraId="351FB460" w14:textId="0C5B199F"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página web de la OMPI sobre PI y políticas en materia de competencia está disponible en: </w:t>
      </w:r>
      <w:r>
        <w:fldChar w:fldCharType="begin"/>
      </w:r>
      <w:r>
        <w:instrText>HYPERLINK "https://www.wipo.int/es/web/competition-policy/index"</w:instrText>
      </w:r>
      <w:r>
        <w:fldChar w:fldCharType="separate"/>
      </w:r>
      <w:r w:rsidRPr="00415B3E">
        <w:rPr>
          <w:rStyle w:val="Hyperlink"/>
          <w:lang w:val="es-419"/>
        </w:rPr>
        <w:t>La PI y políticas en materia de competencia</w:t>
      </w:r>
      <w:r>
        <w:fldChar w:fldCharType="end"/>
      </w:r>
      <w:r w:rsidRPr="00415B3E">
        <w:rPr>
          <w:lang w:val="es-419"/>
        </w:rPr>
        <w:t>.</w:t>
      </w:r>
    </w:p>
  </w:footnote>
  <w:footnote w:id="130">
    <w:p w14:paraId="1C57A86F"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Botswana, Camboya, República Islámica del Irán, Sudáfrica, Trinidad y Tabago y Zimbabwe.</w:t>
      </w:r>
    </w:p>
  </w:footnote>
  <w:footnote w:id="131">
    <w:p w14:paraId="69E570D4" w14:textId="01C2066B"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plataforma en: </w:t>
      </w:r>
      <w:r>
        <w:fldChar w:fldCharType="begin"/>
      </w:r>
      <w:r>
        <w:instrText>HYPERLINK "https://www.wipo.int/es/web/business/sme-support-institutions-platform-search"</w:instrText>
      </w:r>
      <w:r>
        <w:fldChar w:fldCharType="separate"/>
      </w:r>
      <w:r w:rsidRPr="00415B3E">
        <w:rPr>
          <w:rStyle w:val="Hyperlink"/>
          <w:lang w:val="es-419"/>
        </w:rPr>
        <w:t>Plataforma de Instituciones de Apoyo a las pymes (SSIP)</w:t>
      </w:r>
      <w:r>
        <w:fldChar w:fldCharType="end"/>
      </w:r>
      <w:r w:rsidRPr="00415B3E">
        <w:rPr>
          <w:lang w:val="es-419"/>
        </w:rPr>
        <w:t>.</w:t>
      </w:r>
    </w:p>
  </w:footnote>
  <w:footnote w:id="132">
    <w:p w14:paraId="2226724C" w14:textId="53735BC8"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Se puede encontrar más información sobre la herramienta de la OMPI de diagnóstico de PI en: </w:t>
      </w:r>
      <w:r>
        <w:fldChar w:fldCharType="begin"/>
      </w:r>
      <w:r>
        <w:instrText>HYPERLINK "https://www.wipo.int/es/web/wipo-ip-diagnostics"</w:instrText>
      </w:r>
      <w:r>
        <w:fldChar w:fldCharType="separate"/>
      </w:r>
      <w:r w:rsidRPr="00415B3E">
        <w:rPr>
          <w:rStyle w:val="Hyperlink"/>
          <w:lang w:val="es-419"/>
        </w:rPr>
        <w:t>Herramienta de la OMPI de diagnóstico de PI</w:t>
      </w:r>
      <w:r>
        <w:fldChar w:fldCharType="end"/>
      </w:r>
      <w:r w:rsidRPr="00415B3E">
        <w:rPr>
          <w:lang w:val="es-419"/>
        </w:rPr>
        <w:t>.</w:t>
      </w:r>
    </w:p>
  </w:footnote>
  <w:footnote w:id="133">
    <w:p w14:paraId="37FB9C0F"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Costa Rica, El Salvador, Guatemala, Honduras, Panamá y República Dominicana.</w:t>
      </w:r>
    </w:p>
  </w:footnote>
  <w:footnote w:id="134">
    <w:p w14:paraId="4A9ECC1B"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Chile, Colombia, Ecuador, Filipinas, Kenya, Marruecos, Perú, Singapur y Sudáfrica.</w:t>
      </w:r>
    </w:p>
  </w:footnote>
  <w:footnote w:id="135">
    <w:p w14:paraId="49090DC9"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Talleres nacionales en Chile, Honduras y Kenya.</w:t>
      </w:r>
    </w:p>
  </w:footnote>
  <w:footnote w:id="136">
    <w:p w14:paraId="7B62BA06" w14:textId="684AE9ED"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"http://www.wipo.int/publications/es/series/index.jsp?id=243"</w:instrText>
      </w:r>
      <w:r>
        <w:fldChar w:fldCharType="separate"/>
      </w:r>
      <w:r w:rsidRPr="00415B3E">
        <w:rPr>
          <w:rStyle w:val="Hyperlink"/>
          <w:lang w:val="es-419"/>
        </w:rPr>
        <w:t>Serie La financiación de PI en la práctica</w:t>
      </w:r>
      <w:r>
        <w:fldChar w:fldCharType="end"/>
      </w:r>
      <w:r w:rsidRPr="00415B3E">
        <w:rPr>
          <w:lang w:val="es-419"/>
        </w:rPr>
        <w:t>.</w:t>
      </w:r>
    </w:p>
  </w:footnote>
  <w:footnote w:id="137">
    <w:p w14:paraId="15876880" w14:textId="344941A0"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"https://www.aseanip.org/home/2024/09/20/the-wipo-asean-ip-valuation-project"</w:instrText>
      </w:r>
      <w:r>
        <w:fldChar w:fldCharType="separate"/>
      </w:r>
      <w:r w:rsidRPr="00415B3E">
        <w:rPr>
          <w:rStyle w:val="Hyperlink"/>
          <w:lang w:val="es-419"/>
        </w:rPr>
        <w:t>El proyecto OMPI - ASEAN de valoración de la PI</w:t>
      </w:r>
      <w:r>
        <w:fldChar w:fldCharType="end"/>
      </w:r>
      <w:r w:rsidRPr="00415B3E">
        <w:rPr>
          <w:lang w:val="es-419"/>
        </w:rPr>
        <w:t>.</w:t>
      </w:r>
    </w:p>
  </w:footnote>
  <w:footnote w:id="138">
    <w:p w14:paraId="06C0B4C5" w14:textId="0CD64E6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directorio CATI en: </w:t>
      </w:r>
      <w:r>
        <w:fldChar w:fldCharType="begin"/>
      </w:r>
      <w:r>
        <w:instrText>HYPERLINK "https://www.wipo.int/tisc/es/search/index.jsp"</w:instrText>
      </w:r>
      <w:r>
        <w:fldChar w:fldCharType="separate"/>
      </w:r>
      <w:r w:rsidRPr="00415B3E">
        <w:rPr>
          <w:rStyle w:val="Hyperlink"/>
          <w:lang w:val="es-419"/>
        </w:rPr>
        <w:t>Directorio de Centros de apoyo a la tecnología y la innovación</w:t>
      </w:r>
      <w:r>
        <w:fldChar w:fldCharType="end"/>
      </w:r>
      <w:r w:rsidRPr="00415B3E">
        <w:rPr>
          <w:lang w:val="es-419"/>
        </w:rPr>
        <w:t>.</w:t>
      </w:r>
    </w:p>
  </w:footnote>
  <w:footnote w:id="139">
    <w:p w14:paraId="29E39ADF" w14:textId="1F8BF805"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la guía en: </w:t>
      </w:r>
      <w:r>
        <w:fldChar w:fldCharType="begin"/>
      </w:r>
      <w:r>
        <w:instrText>HYPERLINK "https://www.wipo.int/publications/es/details.jsp?id=4714"</w:instrText>
      </w:r>
      <w:r>
        <w:fldChar w:fldCharType="separate"/>
      </w:r>
      <w:r w:rsidRPr="00415B3E">
        <w:rPr>
          <w:rStyle w:val="Hyperlink"/>
          <w:lang w:val="es-419"/>
        </w:rPr>
        <w:t>Incentivos en la transferencia de tecnología</w:t>
      </w:r>
      <w:r>
        <w:fldChar w:fldCharType="end"/>
      </w:r>
      <w:r w:rsidRPr="00415B3E">
        <w:rPr>
          <w:lang w:val="es-419"/>
        </w:rPr>
        <w:t>.</w:t>
      </w:r>
    </w:p>
  </w:footnote>
  <w:footnote w:id="140">
    <w:p w14:paraId="1BB9246C" w14:textId="14A26489"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diccionario en: </w:t>
      </w:r>
      <w:r>
        <w:fldChar w:fldCharType="begin"/>
      </w:r>
      <w:r>
        <w:instrText>HYPERLINK "https://www.wipo.int/about-ip/es/ip_innovation_economics/gender_innovation_gap/gender_dictionary.html"</w:instrText>
      </w:r>
      <w:r>
        <w:fldChar w:fldCharType="separate"/>
      </w:r>
      <w:r w:rsidRPr="00415B3E">
        <w:rPr>
          <w:rStyle w:val="Hyperlink"/>
          <w:lang w:val="es-419"/>
        </w:rPr>
        <w:t>Diccionario mundial de nombres de hombres y mujeres</w:t>
      </w:r>
      <w:r>
        <w:fldChar w:fldCharType="end"/>
      </w:r>
      <w:r w:rsidRPr="00415B3E">
        <w:rPr>
          <w:lang w:val="es-419"/>
        </w:rPr>
        <w:t>.</w:t>
      </w:r>
    </w:p>
  </w:footnote>
  <w:footnote w:id="141">
    <w:p w14:paraId="28B6FAAF"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Una de las reuniones se organizó conjuntamente con la Oficina de PI de España. La otra se organizó conjuntamente con el Sector de Patentes y Tecnología de la OMPI.</w:t>
      </w:r>
    </w:p>
  </w:footnote>
  <w:footnote w:id="142">
    <w:p w14:paraId="0EBBCEF0" w14:textId="1BC5CCF4"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publicación puede consultarse en: </w:t>
      </w:r>
      <w:r>
        <w:fldChar w:fldCharType="begin"/>
      </w:r>
      <w:r>
        <w:instrText>HYPERLINK "https://www.cambridge.org/core/books/intellectual-property-innovation-and-economic-inequality/unequal-geographical-distribution-of-innovative-activity/B74A11D5A24E92A882237B67920396EE"</w:instrText>
      </w:r>
      <w:r>
        <w:fldChar w:fldCharType="separate"/>
      </w:r>
      <w:r w:rsidRPr="00415B3E">
        <w:rPr>
          <w:rStyle w:val="Hyperlink"/>
          <w:lang w:val="es-419"/>
        </w:rPr>
        <w:t>The Unequal Geographical Distribution of Innovative Activity (Chapter 2) - Intellectual Property, Innovation and Economic Inequality (La distribución geográfica desigual de la actividad innovadora (Capítulo 2) - Propiedad intelectual, innovación y desigualdad económica)</w:t>
      </w:r>
      <w:r>
        <w:fldChar w:fldCharType="end"/>
      </w:r>
      <w:r w:rsidRPr="00415B3E">
        <w:rPr>
          <w:lang w:val="es-419"/>
        </w:rPr>
        <w:t>.</w:t>
      </w:r>
    </w:p>
  </w:footnote>
  <w:footnote w:id="143">
    <w:p w14:paraId="55FE8BFA" w14:textId="57739F80"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sobre el Foro en: </w:t>
      </w:r>
      <w:r>
        <w:fldChar w:fldCharType="begin"/>
      </w:r>
      <w:r>
        <w:instrText>HYPERLINK "https://www.wipo.int/meetings/es/2024/judgesforum2024.html"</w:instrText>
      </w:r>
      <w:r>
        <w:fldChar w:fldCharType="separate"/>
      </w:r>
      <w:r w:rsidRPr="00415B3E">
        <w:rPr>
          <w:rStyle w:val="Hyperlink"/>
          <w:lang w:val="es-419"/>
        </w:rPr>
        <w:t>Foro de Jueces de PI de la OMPI 2024</w:t>
      </w:r>
      <w:r>
        <w:fldChar w:fldCharType="end"/>
      </w:r>
      <w:r w:rsidRPr="00415B3E">
        <w:rPr>
          <w:lang w:val="es-419"/>
        </w:rPr>
        <w:t>.</w:t>
      </w:r>
    </w:p>
  </w:footnote>
  <w:footnote w:id="144">
    <w:p w14:paraId="214CD7E7"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Simposio se organizó conjuntamente con la Corte Popular Suprema de China.</w:t>
      </w:r>
    </w:p>
  </w:footnote>
  <w:footnote w:id="145">
    <w:p w14:paraId="1C0389D8"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Cuba, Egipto, Filipinas, Polonia, República Unida de Tanzanía y Ucrania.</w:t>
      </w:r>
    </w:p>
  </w:footnote>
  <w:footnote w:id="146">
    <w:p w14:paraId="4ECBDD8A" w14:textId="5CFDE6F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sitio web de WIPO Lex está disponible en: </w:t>
      </w:r>
      <w:r>
        <w:fldChar w:fldCharType="begin"/>
      </w:r>
      <w:r>
        <w:instrText>HYPERLINK "https://www.wipo.int/wipolex/es/index.html"</w:instrText>
      </w:r>
      <w:r>
        <w:fldChar w:fldCharType="separate"/>
      </w:r>
      <w:r w:rsidRPr="00415B3E">
        <w:rPr>
          <w:rStyle w:val="Hyperlink"/>
          <w:lang w:val="es-419"/>
        </w:rPr>
        <w:t>WIPO Lex</w:t>
      </w:r>
      <w:r>
        <w:fldChar w:fldCharType="end"/>
      </w:r>
      <w:r w:rsidRPr="00415B3E">
        <w:rPr>
          <w:lang w:val="es-419"/>
        </w:rPr>
        <w:t>.</w:t>
      </w:r>
    </w:p>
  </w:footnote>
  <w:footnote w:id="147">
    <w:p w14:paraId="7DFEC834"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rStyle w:val="null"/>
          <w:lang w:val="es-419"/>
        </w:rPr>
        <w:t xml:space="preserve"> Ahora incluye decisiones históricas en materia de PI </w:t>
      </w:r>
      <w:r w:rsidRPr="00415B3E">
        <w:rPr>
          <w:lang w:val="es-419"/>
        </w:rPr>
        <w:t xml:space="preserve">de </w:t>
      </w:r>
      <w:r w:rsidRPr="00415B3E">
        <w:rPr>
          <w:rStyle w:val="null"/>
          <w:lang w:val="es-419"/>
        </w:rPr>
        <w:t>Alemania, la Argentina, Belice, Letonia, la Oficina Europea de Patentes, Panamá, Paraguay, Polonia, Portugal, la República Checa y Trinidad y Tabago.</w:t>
      </w:r>
    </w:p>
  </w:footnote>
  <w:footnote w:id="148">
    <w:p w14:paraId="32536143" w14:textId="5F2D786D"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"http://www.wipo.int/wipolex/es/collections/profile/sep_caselaw"</w:instrText>
      </w:r>
      <w:r>
        <w:fldChar w:fldCharType="separate"/>
      </w:r>
      <w:r w:rsidRPr="00415B3E">
        <w:rPr>
          <w:rStyle w:val="Hyperlink"/>
          <w:lang w:val="es-419"/>
        </w:rPr>
        <w:t>Colección de jurisprudencia sobre PEN</w:t>
      </w:r>
      <w:r>
        <w:fldChar w:fldCharType="end"/>
      </w:r>
      <w:r w:rsidRPr="00415B3E">
        <w:rPr>
          <w:lang w:val="es-419"/>
        </w:rPr>
        <w:t>.</w:t>
      </w:r>
    </w:p>
  </w:footnote>
  <w:footnote w:id="149">
    <w:p w14:paraId="43C7103F" w14:textId="219A7BB8"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"https://wipo.int/amc/es/center/wipoadryoung/index.html"</w:instrText>
      </w:r>
      <w:r>
        <w:fldChar w:fldCharType="separate"/>
      </w:r>
      <w:r w:rsidRPr="00415B3E">
        <w:rPr>
          <w:rStyle w:val="Hyperlink"/>
          <w:lang w:val="es-419"/>
        </w:rPr>
        <w:t>WIPO ADR Young</w:t>
      </w:r>
      <w:r>
        <w:fldChar w:fldCharType="end"/>
      </w:r>
      <w:r w:rsidRPr="00415B3E">
        <w:rPr>
          <w:lang w:val="es-419"/>
        </w:rPr>
        <w:t>.</w:t>
      </w:r>
    </w:p>
  </w:footnote>
  <w:footnote w:id="150">
    <w:p w14:paraId="46C7109C"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Comprenden redes de Estados miembros de la ARIPO, la ASEAN, la CATI-CARD (América Central y la República Dominicana), así como algunos países de la región árabe y algunos países de Asia (todos ellos con redes nacionales de CATI).</w:t>
      </w:r>
    </w:p>
  </w:footnote>
  <w:footnote w:id="151">
    <w:p w14:paraId="04E090C1" w14:textId="29828215" w:rsidR="00B026F2" w:rsidRPr="00415B3E" w:rsidRDefault="00B026F2" w:rsidP="00B026F2">
      <w:pPr>
        <w:pStyle w:val="FootnoteText"/>
        <w:rPr>
          <w:szCs w:val="18"/>
          <w:lang w:val="es-419"/>
        </w:rPr>
      </w:pPr>
      <w:r w:rsidRPr="00415B3E">
        <w:rPr>
          <w:rStyle w:val="FootnoteReference"/>
          <w:szCs w:val="18"/>
          <w:lang w:val="es-419"/>
        </w:rPr>
        <w:footnoteRef/>
      </w:r>
      <w:r w:rsidRPr="00415B3E">
        <w:rPr>
          <w:szCs w:val="18"/>
          <w:lang w:val="es-419"/>
        </w:rPr>
        <w:t xml:space="preserve"> </w:t>
      </w:r>
      <w:r w:rsidR="00AB5117" w:rsidRPr="00415B3E">
        <w:rPr>
          <w:szCs w:val="18"/>
          <w:lang w:val="es-419"/>
        </w:rPr>
        <w:t>La</w:t>
      </w:r>
      <w:r w:rsidRPr="00415B3E">
        <w:rPr>
          <w:szCs w:val="18"/>
          <w:lang w:val="es-419"/>
        </w:rPr>
        <w:t xml:space="preserve"> </w:t>
      </w:r>
      <w:r w:rsidR="00AB5117" w:rsidRPr="00415B3E">
        <w:rPr>
          <w:szCs w:val="18"/>
          <w:lang w:val="es-419"/>
        </w:rPr>
        <w:t xml:space="preserve">plataforma </w:t>
      </w:r>
      <w:r w:rsidRPr="00415B3E">
        <w:rPr>
          <w:szCs w:val="18"/>
          <w:lang w:val="es-419"/>
        </w:rPr>
        <w:t xml:space="preserve">eTISC </w:t>
      </w:r>
      <w:r w:rsidR="00AB5117" w:rsidRPr="00415B3E">
        <w:rPr>
          <w:szCs w:val="18"/>
          <w:lang w:val="es-419"/>
        </w:rPr>
        <w:t>está disponible en</w:t>
      </w:r>
      <w:r w:rsidRPr="00415B3E">
        <w:rPr>
          <w:szCs w:val="18"/>
          <w:lang w:val="es-419"/>
        </w:rPr>
        <w:t xml:space="preserve">: </w:t>
      </w:r>
      <w:r w:rsidR="00AB5117">
        <w:fldChar w:fldCharType="begin"/>
      </w:r>
      <w:r w:rsidR="00AB5117">
        <w:instrText>HYPERLINK "https://etisc.wipo.int/"</w:instrText>
      </w:r>
      <w:r w:rsidR="00AB5117">
        <w:fldChar w:fldCharType="separate"/>
      </w:r>
      <w:r w:rsidR="00AB5117" w:rsidRPr="00415B3E">
        <w:rPr>
          <w:rStyle w:val="Hyperlink"/>
          <w:szCs w:val="18"/>
          <w:lang w:val="es-419"/>
        </w:rPr>
        <w:t>plataforma eTISC</w:t>
      </w:r>
      <w:r w:rsidR="00AB5117">
        <w:fldChar w:fldCharType="end"/>
      </w:r>
    </w:p>
  </w:footnote>
  <w:footnote w:id="152">
    <w:p w14:paraId="5DD514B3" w14:textId="39E7FF9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portal de informes de la base de datos está disponible en: </w:t>
      </w:r>
      <w:r>
        <w:fldChar w:fldCharType="begin"/>
      </w:r>
      <w:r>
        <w:instrText>HYPERLINK "file:///\\\\adi.wipo.int\\wipodata\\MARKS\\OrgDacd\\Shared\\CDIP%20Meetings\\CDIP_34th_Session_May 5-9, 2025\\Documents\\CDIP_34_2_DG%20Report\\inspire.wipo.int\\wipo-inspire"</w:instrText>
      </w:r>
      <w:r>
        <w:fldChar w:fldCharType="separate"/>
      </w:r>
      <w:r w:rsidRPr="00415B3E">
        <w:rPr>
          <w:rStyle w:val="Hyperlink"/>
          <w:lang w:val="es-419"/>
        </w:rPr>
        <w:t>Informes sobre bases de datos</w:t>
      </w:r>
      <w:r>
        <w:fldChar w:fldCharType="end"/>
      </w:r>
      <w:r w:rsidRPr="00415B3E">
        <w:rPr>
          <w:lang w:val="es-419"/>
        </w:rPr>
        <w:t>.</w:t>
      </w:r>
    </w:p>
  </w:footnote>
  <w:footnote w:id="153">
    <w:p w14:paraId="528803AC" w14:textId="17889AD6"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WIPO INSPIRE está disponible en: </w:t>
      </w:r>
      <w:r>
        <w:fldChar w:fldCharType="begin"/>
      </w:r>
      <w:r>
        <w:instrText>HYPERLINK "https://inspire.wipo.int/"</w:instrText>
      </w:r>
      <w:r>
        <w:fldChar w:fldCharType="separate"/>
      </w:r>
      <w:r w:rsidRPr="00415B3E">
        <w:rPr>
          <w:rStyle w:val="Hyperlink"/>
          <w:lang w:val="es-419"/>
        </w:rPr>
        <w:t>WIPO INSPIRE</w:t>
      </w:r>
      <w:r>
        <w:fldChar w:fldCharType="end"/>
      </w:r>
      <w:r w:rsidRPr="00415B3E">
        <w:rPr>
          <w:lang w:val="es-419"/>
        </w:rPr>
        <w:t>.</w:t>
      </w:r>
    </w:p>
  </w:footnote>
  <w:footnote w:id="154">
    <w:p w14:paraId="4701C5DC" w14:textId="5A5E6772"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página web de CATI está disponible en: </w:t>
      </w:r>
      <w:r>
        <w:fldChar w:fldCharType="begin"/>
      </w:r>
      <w:r>
        <w:instrText>HYPERLINK "https://www.wipo.int/tisc/es/index.html"</w:instrText>
      </w:r>
      <w:r>
        <w:fldChar w:fldCharType="separate"/>
      </w:r>
      <w:r w:rsidRPr="00415B3E">
        <w:rPr>
          <w:rStyle w:val="Hyperlink"/>
          <w:lang w:val="es-419"/>
        </w:rPr>
        <w:t>Centros de Apoyo a la Tecnología y la Innovación</w:t>
      </w:r>
      <w:r>
        <w:fldChar w:fldCharType="end"/>
      </w:r>
      <w:r w:rsidRPr="00415B3E">
        <w:rPr>
          <w:lang w:val="es-419"/>
        </w:rPr>
        <w:t>.</w:t>
      </w:r>
    </w:p>
  </w:footnote>
  <w:footnote w:id="155">
    <w:p w14:paraId="2A1063BD" w14:textId="65D3BEB2"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Puesta en marcha en 2022 para facilitar el monitoreo de los datos y el rendimiento de los CATI. Puede consultarse más información en: </w:t>
      </w:r>
      <w:r>
        <w:fldChar w:fldCharType="begin"/>
      </w:r>
      <w:r>
        <w:instrText>HYPERLINK "https://tppm.wipo.int/"</w:instrText>
      </w:r>
      <w:r>
        <w:fldChar w:fldCharType="separate"/>
      </w:r>
      <w:r w:rsidRPr="00415B3E">
        <w:rPr>
          <w:rStyle w:val="Hyperlink"/>
          <w:lang w:val="es-419"/>
        </w:rPr>
        <w:t>tppm.wipo.int</w:t>
      </w:r>
      <w:r>
        <w:fldChar w:fldCharType="end"/>
      </w:r>
      <w:r w:rsidRPr="00415B3E">
        <w:rPr>
          <w:lang w:val="es-419"/>
        </w:rPr>
        <w:t>.</w:t>
      </w:r>
    </w:p>
  </w:footnote>
  <w:footnote w:id="156">
    <w:p w14:paraId="51CF02D4" w14:textId="63BFCAAA"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Los informes de la OMPI sobre la actividad de patentamiento pueden consultarse en: </w:t>
      </w:r>
      <w:r>
        <w:fldChar w:fldCharType="begin"/>
      </w:r>
      <w:r>
        <w:instrText>HYPERLINK "https://www.wipo.int/patentscope/es/programs/patent_landscapes/index.html" \t "_blank" \o "https://www.wipo.int/patentscope/es/programs/patent_landscapes/index.html"</w:instrText>
      </w:r>
      <w:r>
        <w:fldChar w:fldCharType="separate"/>
      </w:r>
      <w:r w:rsidRPr="00415B3E">
        <w:rPr>
          <w:rStyle w:val="Hyperlink"/>
          <w:lang w:val="es-419"/>
        </w:rPr>
        <w:t>Análisis de patentes</w:t>
      </w:r>
      <w:r>
        <w:fldChar w:fldCharType="end"/>
      </w:r>
      <w:r w:rsidRPr="00415B3E">
        <w:rPr>
          <w:lang w:val="es-419"/>
        </w:rPr>
        <w:t>.</w:t>
      </w:r>
    </w:p>
  </w:footnote>
  <w:footnote w:id="157">
    <w:p w14:paraId="0DAC6F90"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informe sobre la actividad de patentamiento en materia de IA generativa recibió más de 75 000 visitantes únicos en total en 2024 (un récord para un informe de la OMPI sobre la actividad de patentamiento), y el informe sobre los ODS, más de 7 000.</w:t>
      </w:r>
    </w:p>
  </w:footnote>
  <w:footnote w:id="158">
    <w:p w14:paraId="2B40940C"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Los alumnos pueden rastrear su progreso y certificar su finalización del tutorial electrónico.</w:t>
      </w:r>
    </w:p>
  </w:footnote>
  <w:footnote w:id="159">
    <w:p w14:paraId="6B7CD284" w14:textId="4B7219B7" w:rsidR="00B026F2" w:rsidRPr="00415B3E" w:rsidRDefault="00B026F2" w:rsidP="00B026F2">
      <w:pPr>
        <w:pStyle w:val="FootnoteText"/>
        <w:rPr>
          <w:szCs w:val="18"/>
          <w:lang w:val="es-419"/>
        </w:rPr>
      </w:pPr>
      <w:r w:rsidRPr="00415B3E">
        <w:rPr>
          <w:rStyle w:val="FootnoteReference"/>
          <w:szCs w:val="18"/>
          <w:lang w:val="es-419"/>
        </w:rPr>
        <w:footnoteRef/>
      </w:r>
      <w:r w:rsidRPr="00415B3E">
        <w:rPr>
          <w:szCs w:val="18"/>
          <w:lang w:val="es-419"/>
        </w:rPr>
        <w:t xml:space="preserve"> </w:t>
      </w:r>
      <w:r w:rsidR="00AB5117" w:rsidRPr="00415B3E">
        <w:rPr>
          <w:szCs w:val="18"/>
          <w:lang w:val="es-419"/>
        </w:rPr>
        <w:t>El</w:t>
      </w:r>
      <w:r w:rsidRPr="00415B3E">
        <w:rPr>
          <w:szCs w:val="18"/>
          <w:lang w:val="es-419"/>
        </w:rPr>
        <w:t xml:space="preserve"> portal </w:t>
      </w:r>
      <w:r w:rsidR="00AB5117" w:rsidRPr="00415B3E">
        <w:rPr>
          <w:szCs w:val="18"/>
          <w:lang w:val="es-419"/>
        </w:rPr>
        <w:t>está</w:t>
      </w:r>
      <w:r w:rsidRPr="00415B3E">
        <w:rPr>
          <w:szCs w:val="18"/>
          <w:lang w:val="es-419"/>
        </w:rPr>
        <w:t xml:space="preserve"> </w:t>
      </w:r>
      <w:r w:rsidR="00AB5117" w:rsidRPr="00415B3E">
        <w:rPr>
          <w:szCs w:val="18"/>
          <w:lang w:val="es-419"/>
        </w:rPr>
        <w:t>disponible en</w:t>
      </w:r>
      <w:r w:rsidRPr="00415B3E">
        <w:rPr>
          <w:szCs w:val="18"/>
          <w:lang w:val="es-419"/>
        </w:rPr>
        <w:t xml:space="preserve">: </w:t>
      </w:r>
      <w:r>
        <w:fldChar w:fldCharType="begin"/>
      </w:r>
      <w:r>
        <w:instrText>HYPERLINK "https://inspire.wipo.int/patent-register-portal" \t "_blank" \o "https://inspire.wipo.int/patent-register-portal"</w:instrText>
      </w:r>
      <w:r>
        <w:fldChar w:fldCharType="separate"/>
      </w:r>
      <w:r w:rsidRPr="00415B3E">
        <w:rPr>
          <w:rStyle w:val="Hyperlink"/>
          <w:szCs w:val="18"/>
          <w:lang w:val="es-419"/>
        </w:rPr>
        <w:t>inspire.wipo.int/patent-register-portal</w:t>
      </w:r>
      <w:r>
        <w:fldChar w:fldCharType="end"/>
      </w:r>
    </w:p>
  </w:footnote>
  <w:footnote w:id="160">
    <w:p w14:paraId="677C54B1" w14:textId="1306AC04"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guía está disponible en: </w:t>
      </w:r>
      <w:r>
        <w:fldChar w:fldCharType="begin"/>
      </w:r>
      <w:r>
        <w:instrText>HYPERLINK "https://www.wipo.int/publications/es/details.jsp?id=4501"</w:instrText>
      </w:r>
      <w:r>
        <w:fldChar w:fldCharType="separate"/>
      </w:r>
      <w:r w:rsidRPr="00415B3E">
        <w:rPr>
          <w:rStyle w:val="Hyperlink"/>
          <w:lang w:val="es-419"/>
        </w:rPr>
        <w:t>Identificación de invenciones que están en el dominio público</w:t>
      </w:r>
      <w:r>
        <w:fldChar w:fldCharType="end"/>
      </w:r>
      <w:r w:rsidRPr="00415B3E">
        <w:rPr>
          <w:lang w:val="es-419"/>
        </w:rPr>
        <w:t>.</w:t>
      </w:r>
    </w:p>
  </w:footnote>
  <w:footnote w:id="161">
    <w:p w14:paraId="27C9FD51" w14:textId="1B24118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guía está disponible en: </w:t>
      </w:r>
      <w:r>
        <w:fldChar w:fldCharType="begin"/>
      </w:r>
      <w:r>
        <w:instrText>HYPERLINK "https://www.wipo.int/publications/es/details.jsp?id=4502"</w:instrText>
      </w:r>
      <w:r>
        <w:fldChar w:fldCharType="separate"/>
      </w:r>
      <w:r w:rsidRPr="00415B3E">
        <w:rPr>
          <w:rStyle w:val="Hyperlink"/>
          <w:rFonts w:ascii="Tahoma" w:hAnsi="Tahoma" w:cs="Tahoma"/>
          <w:lang w:val="es-419"/>
        </w:rPr>
        <w:t>﻿</w:t>
      </w:r>
      <w:r w:rsidRPr="00415B3E">
        <w:rPr>
          <w:rStyle w:val="Hyperlink"/>
          <w:lang w:val="es-419"/>
        </w:rPr>
        <w:t>Uso de invenciones que están en el dominio público</w:t>
      </w:r>
      <w:r>
        <w:fldChar w:fldCharType="end"/>
      </w:r>
      <w:r w:rsidRPr="00415B3E">
        <w:rPr>
          <w:lang w:val="es-419"/>
        </w:rPr>
        <w:t>.</w:t>
      </w:r>
    </w:p>
  </w:footnote>
  <w:footnote w:id="162">
    <w:p w14:paraId="0B07DF4D" w14:textId="64474C73"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manual y la guía de herramientas se desarrollaron en 2022 y se pueden consultar en: </w:t>
      </w:r>
      <w:r>
        <w:fldChar w:fldCharType="begin"/>
      </w:r>
      <w:r>
        <w:instrText>HYPERLINK "https://www.wipo.int/publications/es/details.jsp?id=4586"</w:instrText>
      </w:r>
      <w:r>
        <w:fldChar w:fldCharType="separate"/>
      </w:r>
      <w:r w:rsidRPr="00415B3E">
        <w:rPr>
          <w:rStyle w:val="Hyperlink"/>
          <w:lang w:val="es-419"/>
        </w:rPr>
        <w:t>Evaluación de las necesidades de formación en materia de transferencia de tecnología</w:t>
      </w:r>
      <w:r>
        <w:fldChar w:fldCharType="end"/>
      </w:r>
      <w:r w:rsidRPr="00415B3E">
        <w:rPr>
          <w:lang w:val="es-419"/>
        </w:rPr>
        <w:t>.</w:t>
      </w:r>
    </w:p>
  </w:footnote>
  <w:footnote w:id="163">
    <w:p w14:paraId="480E3C67" w14:textId="004C604E"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La guía está disponible en: </w:t>
      </w:r>
      <w:r>
        <w:fldChar w:fldCharType="begin"/>
      </w:r>
      <w:r>
        <w:instrText>HYPERLINK "http://www.wipo.int/publications/es/details.jsp?id=4714"</w:instrText>
      </w:r>
      <w:r>
        <w:fldChar w:fldCharType="separate"/>
      </w:r>
      <w:r w:rsidRPr="00415B3E">
        <w:rPr>
          <w:rStyle w:val="Hyperlink"/>
          <w:lang w:val="es-419"/>
        </w:rPr>
        <w:t>Incentivos en la transferencia de tecnología</w:t>
      </w:r>
      <w:r>
        <w:fldChar w:fldCharType="end"/>
      </w:r>
      <w:r w:rsidRPr="00415B3E">
        <w:rPr>
          <w:lang w:val="es-419"/>
        </w:rPr>
        <w:t>.</w:t>
      </w:r>
    </w:p>
  </w:footnote>
  <w:footnote w:id="164">
    <w:p w14:paraId="6530146E" w14:textId="52B1BFEC"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La guía está disponible en: </w:t>
      </w:r>
      <w:r>
        <w:fldChar w:fldCharType="begin"/>
      </w:r>
      <w:r>
        <w:instrText>HYPERLINK "http://www.cambridge.org/core/books/informal-economy-in-developing-nations/C7494C6FD7EE4DC86BBADB4A7B87BCE3"</w:instrText>
      </w:r>
      <w:r>
        <w:fldChar w:fldCharType="separate"/>
      </w:r>
      <w:r w:rsidRPr="00415B3E">
        <w:rPr>
          <w:rStyle w:val="Hyperlink"/>
          <w:lang w:val="es-419"/>
        </w:rPr>
        <w:t>La economía informal en las naciones en desarrollo:</w:t>
      </w:r>
      <w:r>
        <w:fldChar w:fldCharType="end"/>
      </w:r>
      <w:hyperlink r:id="rId9" w:history="1">
        <w:r w:rsidRPr="00415B3E">
          <w:rPr>
            <w:rStyle w:val="Hyperlink"/>
            <w:lang w:val="es-419"/>
          </w:rPr>
          <w:t xml:space="preserve"> ¿un motor oculto de la innovación?</w:t>
        </w:r>
      </w:hyperlink>
    </w:p>
  </w:footnote>
  <w:footnote w:id="165">
    <w:p w14:paraId="008CB813"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La Academia de la OMPI ejecutó el proyecto en cuatro países piloto desde 2016 hasta 2018. Se integró en un programa de formación judicial continua, coordinado por el Instituto Judicial de la OMPI, después de la finalización del proyecto en diciembre de 2018.</w:t>
      </w:r>
    </w:p>
  </w:footnote>
  <w:footnote w:id="166">
    <w:p w14:paraId="317E6AE6" w14:textId="4C152E9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Puede consultarse más información en: </w:t>
      </w:r>
      <w:r>
        <w:fldChar w:fldCharType="begin"/>
      </w:r>
      <w:r>
        <w:instrText>HYPERLINK "https://welc.wipo.int/jtip/?lang=es"</w:instrText>
      </w:r>
      <w:r>
        <w:fldChar w:fldCharType="separate"/>
      </w:r>
      <w:r w:rsidRPr="00415B3E">
        <w:rPr>
          <w:rStyle w:val="Hyperlink"/>
          <w:lang w:val="es-419"/>
        </w:rPr>
        <w:t>Formación judicial en PI</w:t>
      </w:r>
      <w:r>
        <w:fldChar w:fldCharType="end"/>
      </w:r>
      <w:r w:rsidRPr="00415B3E">
        <w:rPr>
          <w:lang w:val="es-419"/>
        </w:rPr>
        <w:t>.</w:t>
      </w:r>
    </w:p>
  </w:footnote>
  <w:footnote w:id="167">
    <w:p w14:paraId="59D7C3A9" w14:textId="499BA2FF"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El sitio web del proyecto está disponible en: </w:t>
      </w:r>
      <w:r>
        <w:fldChar w:fldCharType="begin"/>
      </w:r>
      <w:r>
        <w:instrText>HYPERLINK "https://www.wipo.int/es/web/women-inventors/index"</w:instrText>
      </w:r>
      <w:r>
        <w:fldChar w:fldCharType="separate"/>
      </w:r>
      <w:r w:rsidRPr="00415B3E">
        <w:rPr>
          <w:rStyle w:val="Hyperlink"/>
          <w:lang w:val="es-419"/>
        </w:rPr>
        <w:t>Las mujeres en la innovación y el emprendimiento</w:t>
      </w:r>
      <w:r>
        <w:fldChar w:fldCharType="end"/>
      </w:r>
      <w:r w:rsidRPr="00415B3E">
        <w:rPr>
          <w:lang w:val="es-419"/>
        </w:rPr>
        <w:t>.</w:t>
      </w:r>
    </w:p>
  </w:footnote>
  <w:footnote w:id="168">
    <w:p w14:paraId="457A0206" w14:textId="217BF49F"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CDIP/30/6, disponible en: </w:t>
      </w:r>
      <w:r>
        <w:fldChar w:fldCharType="begin"/>
      </w:r>
      <w:r>
        <w:instrText>HYPERLINK "https://www.wipo.int/meetings/es/doc_details.jsp?doc_id=600731"</w:instrText>
      </w:r>
      <w:r>
        <w:fldChar w:fldCharType="separate"/>
      </w:r>
      <w:r w:rsidRPr="00415B3E">
        <w:rPr>
          <w:rStyle w:val="Hyperlink"/>
          <w:lang w:val="es-419"/>
        </w:rPr>
        <w:t>www.wipo.int/meetings/es/doc_details.jsp?doc_id=600731</w:t>
      </w:r>
      <w:r>
        <w:fldChar w:fldCharType="end"/>
      </w:r>
      <w:r w:rsidRPr="00415B3E">
        <w:rPr>
          <w:lang w:val="es-419"/>
        </w:rPr>
        <w:t>.</w:t>
      </w:r>
    </w:p>
  </w:footnote>
  <w:footnote w:id="169">
    <w:p w14:paraId="74AC773E" w14:textId="41D7DB69"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CDIP/30/11, disponible en: </w:t>
      </w:r>
      <w:r>
        <w:fldChar w:fldCharType="begin"/>
      </w:r>
      <w:r>
        <w:instrText>HYPERLINK "https://www.wipo.int/meetings/es/doc_details.jsp?doc_id=601651"</w:instrText>
      </w:r>
      <w:r>
        <w:fldChar w:fldCharType="separate"/>
      </w:r>
      <w:r w:rsidRPr="00415B3E">
        <w:rPr>
          <w:rStyle w:val="Hyperlink"/>
          <w:lang w:val="es-419"/>
        </w:rPr>
        <w:t>www.wipo.int/meetings/es/doc_details.jsp?doc_id=601651</w:t>
      </w:r>
      <w:r>
        <w:fldChar w:fldCharType="end"/>
      </w:r>
      <w:r w:rsidRPr="00415B3E">
        <w:rPr>
          <w:lang w:val="es-419"/>
        </w:rPr>
        <w:t>.</w:t>
      </w:r>
    </w:p>
  </w:footnote>
  <w:footnote w:id="170">
    <w:p w14:paraId="17678847" w14:textId="288BD5D2"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CDIP/32/5, disponible en: </w:t>
      </w:r>
      <w:r>
        <w:fldChar w:fldCharType="begin"/>
      </w:r>
      <w:r>
        <w:instrText>HYPERLINK "http://www.wipo.int/meetings/es/doc_details.jsp?doc_id=627738"</w:instrText>
      </w:r>
      <w:r>
        <w:fldChar w:fldCharType="separate"/>
      </w:r>
      <w:r w:rsidRPr="00415B3E">
        <w:rPr>
          <w:rStyle w:val="Hyperlink"/>
          <w:lang w:val="es-419"/>
        </w:rPr>
        <w:t>www.wipo.int/meetings/es/doc_details.jsp?doc_id=627738</w:t>
      </w:r>
      <w:r>
        <w:fldChar w:fldCharType="end"/>
      </w:r>
      <w:r w:rsidRPr="00415B3E">
        <w:rPr>
          <w:lang w:val="es-419"/>
        </w:rPr>
        <w:t>.</w:t>
      </w:r>
    </w:p>
  </w:footnote>
  <w:footnote w:id="171">
    <w:p w14:paraId="79E3BDEB" w14:textId="0AAAD2F1"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guía está disponible en: </w:t>
      </w:r>
      <w:r>
        <w:fldChar w:fldCharType="begin"/>
      </w:r>
      <w:r>
        <w:instrText>HYPERLINK "https://www.wipo.int/publications/es/details.jsp?id=4501"</w:instrText>
      </w:r>
      <w:r>
        <w:fldChar w:fldCharType="separate"/>
      </w:r>
      <w:r w:rsidRPr="00415B3E">
        <w:rPr>
          <w:rStyle w:val="Hyperlink"/>
          <w:lang w:val="es-419"/>
        </w:rPr>
        <w:t>Identificación de invenciones que están en el dominio público</w:t>
      </w:r>
      <w:r>
        <w:fldChar w:fldCharType="end"/>
      </w:r>
      <w:r w:rsidRPr="00415B3E">
        <w:rPr>
          <w:lang w:val="es-419"/>
        </w:rPr>
        <w:t>.</w:t>
      </w:r>
    </w:p>
  </w:footnote>
  <w:footnote w:id="172">
    <w:p w14:paraId="30F9CE11" w14:textId="652F7644"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La guía está disponible en: </w:t>
      </w:r>
      <w:r>
        <w:fldChar w:fldCharType="begin"/>
      </w:r>
      <w:r>
        <w:instrText>HYPERLINK "https://www.wipo.int/publications/es/details.jsp?id=4502"</w:instrText>
      </w:r>
      <w:r>
        <w:fldChar w:fldCharType="separate"/>
      </w:r>
      <w:r w:rsidRPr="00415B3E">
        <w:rPr>
          <w:rStyle w:val="Hyperlink"/>
          <w:rFonts w:ascii="Tahoma" w:hAnsi="Tahoma" w:cs="Tahoma"/>
          <w:lang w:val="es-419"/>
        </w:rPr>
        <w:t>﻿</w:t>
      </w:r>
      <w:r w:rsidRPr="00415B3E">
        <w:rPr>
          <w:rStyle w:val="Hyperlink"/>
          <w:lang w:val="es-419"/>
        </w:rPr>
        <w:t>Uso de invenciones que están en el dominio público</w:t>
      </w:r>
      <w:r>
        <w:fldChar w:fldCharType="end"/>
      </w:r>
      <w:r w:rsidRPr="00415B3E">
        <w:rPr>
          <w:lang w:val="es-419"/>
        </w:rPr>
        <w:t>.</w:t>
      </w:r>
    </w:p>
  </w:footnote>
  <w:footnote w:id="173">
    <w:p w14:paraId="7A633904" w14:textId="67494C8B"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CDIP/31/5 REV., disponible en: </w:t>
      </w:r>
      <w:r>
        <w:fldChar w:fldCharType="begin"/>
      </w:r>
      <w:r>
        <w:instrText>HYPERLINK "http://www.wipo.int/meetings/es/doc_details.jsp?doc_id=625184"</w:instrText>
      </w:r>
      <w:r>
        <w:fldChar w:fldCharType="separate"/>
      </w:r>
      <w:r w:rsidRPr="00415B3E">
        <w:rPr>
          <w:rStyle w:val="Hyperlink"/>
          <w:lang w:val="es-419"/>
        </w:rPr>
        <w:t>www.wipo.int/meetings/es/doc_details.jsp?doc_id=625184</w:t>
      </w:r>
      <w:r>
        <w:fldChar w:fldCharType="end"/>
      </w:r>
      <w:r w:rsidRPr="00415B3E">
        <w:rPr>
          <w:lang w:val="es-419"/>
        </w:rPr>
        <w:t>.</w:t>
      </w:r>
    </w:p>
  </w:footnote>
  <w:footnote w:id="174">
    <w:p w14:paraId="4B8F3C4C"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Más del 25 % de los miembros de la OMPI.</w:t>
      </w:r>
    </w:p>
  </w:footnote>
  <w:footnote w:id="175">
    <w:p w14:paraId="51091489" w14:textId="6028D308"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CDIP/30/8 REV., disponible en: </w:t>
      </w:r>
      <w:r>
        <w:fldChar w:fldCharType="begin"/>
      </w:r>
      <w:r>
        <w:instrText>HYPERLINK "https://www.wipo.int/meetings/es/doc_details.jsp?doc_id=607672"</w:instrText>
      </w:r>
      <w:r>
        <w:fldChar w:fldCharType="separate"/>
      </w:r>
      <w:r w:rsidRPr="00415B3E">
        <w:rPr>
          <w:rStyle w:val="Hyperlink"/>
          <w:lang w:val="es-419"/>
        </w:rPr>
        <w:t>www.wipo.int/meetings/es/doc_details.jsp?doc_id=607672</w:t>
      </w:r>
      <w:r>
        <w:fldChar w:fldCharType="end"/>
      </w:r>
      <w:r w:rsidRPr="00415B3E">
        <w:rPr>
          <w:lang w:val="es-419"/>
        </w:rPr>
        <w:t>.</w:t>
      </w:r>
    </w:p>
  </w:footnote>
  <w:footnote w:id="176">
    <w:p w14:paraId="6465BF4F" w14:textId="1A475C5E"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CDIP/31/INF/5, disponible en: </w:t>
      </w:r>
      <w:r>
        <w:fldChar w:fldCharType="begin"/>
      </w:r>
      <w:r>
        <w:instrText>HYPERLINK "https://www.wipo.int/meetings/es/doc_details.jsp?doc_id=621667"</w:instrText>
      </w:r>
      <w:r>
        <w:fldChar w:fldCharType="separate"/>
      </w:r>
      <w:r w:rsidRPr="00415B3E">
        <w:rPr>
          <w:rStyle w:val="Hyperlink"/>
          <w:lang w:val="es-419"/>
        </w:rPr>
        <w:t>www.wipo.int/meetings/es/doc_details.jsp?doc_id=621667</w:t>
      </w:r>
      <w:r>
        <w:fldChar w:fldCharType="end"/>
      </w:r>
      <w:r w:rsidRPr="00415B3E">
        <w:rPr>
          <w:lang w:val="es-419"/>
        </w:rPr>
        <w:t>.</w:t>
      </w:r>
    </w:p>
  </w:footnote>
  <w:footnote w:id="177">
    <w:p w14:paraId="2E6916FD" w14:textId="665AC23F"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CDIP/29/9, disponible en: </w:t>
      </w:r>
      <w:r>
        <w:fldChar w:fldCharType="begin"/>
      </w:r>
      <w:r>
        <w:instrText>HYPERLINK "https://www.wipo.int/meetings/es/doc_details.jsp?doc_id=582427"</w:instrText>
      </w:r>
      <w:r>
        <w:fldChar w:fldCharType="separate"/>
      </w:r>
      <w:r w:rsidRPr="00415B3E">
        <w:rPr>
          <w:rStyle w:val="Hyperlink"/>
          <w:lang w:val="es-419"/>
        </w:rPr>
        <w:t>www.wipo.int/meetings/es/doc_details.jsp?doc_id=582427</w:t>
      </w:r>
      <w:r>
        <w:fldChar w:fldCharType="end"/>
      </w:r>
      <w:r w:rsidRPr="00415B3E">
        <w:rPr>
          <w:lang w:val="es-419"/>
        </w:rPr>
        <w:t xml:space="preserve">. </w:t>
      </w:r>
    </w:p>
  </w:footnote>
  <w:footnote w:id="178">
    <w:p w14:paraId="10A3A0DC" w14:textId="61715A6F"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Véase el documento CDIP/33/4 CORR., disponible en: </w:t>
      </w:r>
      <w:r>
        <w:fldChar w:fldCharType="begin"/>
      </w:r>
      <w:r>
        <w:instrText>HYPERLINK "https://www.wipo.int/meetings/es/doc_details.jsp?doc_id=639846"</w:instrText>
      </w:r>
      <w:r>
        <w:fldChar w:fldCharType="separate"/>
      </w:r>
      <w:r w:rsidRPr="00415B3E">
        <w:rPr>
          <w:rStyle w:val="Hyperlink"/>
          <w:lang w:val="es-419"/>
        </w:rPr>
        <w:t>www.wipo.int/meetings/es/doc_details.jsp?doc_id=639846</w:t>
      </w:r>
      <w:r>
        <w:fldChar w:fldCharType="end"/>
      </w:r>
      <w:r w:rsidRPr="00415B3E">
        <w:rPr>
          <w:lang w:val="es-419"/>
        </w:rPr>
        <w:t>.</w:t>
      </w:r>
    </w:p>
  </w:footnote>
  <w:footnote w:id="179">
    <w:p w14:paraId="705ECD31"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Más de 130 000 desde su lanzamiento.</w:t>
      </w:r>
    </w:p>
  </w:footnote>
  <w:footnote w:id="180">
    <w:p w14:paraId="7FF2D69F"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Más de 40 películas, más de 140 cortos y 70 vídeos para TikTok.</w:t>
      </w:r>
    </w:p>
  </w:footnote>
  <w:footnote w:id="181">
    <w:p w14:paraId="22207B7D"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En 2024, la Oficina de Ética Profesional respondió a 182 solicitudes de asesoramiento en materia de ética, a través de reuniones presenciales y virtuales o por escrito. De estas 182 solicitudes, diez se referían a cuestiones de conflictos de intereses potenciales, reales o percibidos.</w:t>
      </w:r>
    </w:p>
  </w:footnote>
  <w:footnote w:id="182">
    <w:p w14:paraId="532E2946" w14:textId="77777777" w:rsidR="00FD5CE0" w:rsidRPr="00415B3E" w:rsidRDefault="00FD5CE0" w:rsidP="00FD5CE0">
      <w:pPr>
        <w:pStyle w:val="FootnoteText"/>
        <w:rPr>
          <w:szCs w:val="18"/>
          <w:lang w:val="es-419"/>
        </w:rPr>
      </w:pPr>
      <w:r w:rsidRPr="00415B3E">
        <w:rPr>
          <w:rStyle w:val="FootnoteReference"/>
          <w:szCs w:val="18"/>
          <w:lang w:val="es-419"/>
        </w:rPr>
        <w:footnoteRef/>
      </w:r>
      <w:r w:rsidRPr="00415B3E">
        <w:rPr>
          <w:lang w:val="es-419"/>
        </w:rPr>
        <w:t xml:space="preserve"> Botswana, Estonia y Paraguay.</w:t>
      </w:r>
    </w:p>
  </w:footnote>
  <w:footnote w:id="183">
    <w:p w14:paraId="2CF24B7B" w14:textId="77777777" w:rsidR="00FD5CE0" w:rsidRPr="00415B3E" w:rsidRDefault="00FD5CE0" w:rsidP="00FD5CE0">
      <w:pPr>
        <w:pStyle w:val="FootnoteText"/>
        <w:rPr>
          <w:lang w:val="es-419"/>
        </w:rPr>
      </w:pPr>
      <w:r w:rsidRPr="00415B3E">
        <w:rPr>
          <w:rStyle w:val="FootnoteReference"/>
          <w:lang w:val="es-419"/>
        </w:rPr>
        <w:footnoteRef/>
      </w:r>
      <w:r w:rsidRPr="00415B3E">
        <w:rPr>
          <w:lang w:val="es-419"/>
        </w:rPr>
        <w:t xml:space="preserve"> La Asamblea General de 2007 determinó que las recomendaciones señaladas con un asterisco (*) eran de aplicación inmediata.</w:t>
      </w:r>
    </w:p>
  </w:footnote>
  <w:footnote w:id="184">
    <w:p w14:paraId="66467A7C" w14:textId="2F1E165A" w:rsidR="00FD5CE0" w:rsidRPr="00415B3E" w:rsidRDefault="00FD5CE0" w:rsidP="00FD5CE0">
      <w:pPr>
        <w:pStyle w:val="FootnoteText"/>
        <w:rPr>
          <w:lang w:val="es-419"/>
        </w:rPr>
      </w:pPr>
      <w:r w:rsidRPr="00415B3E">
        <w:rPr>
          <w:rStyle w:val="FootnoteReference"/>
          <w:lang w:val="es-419"/>
        </w:rPr>
        <w:footnoteRef/>
      </w:r>
      <w:r w:rsidRPr="00415B3E">
        <w:rPr>
          <w:lang w:val="es-419"/>
        </w:rPr>
        <w:t xml:space="preserve"> Los resultados previstos se exponen en el Plan Estratégico a Mediano Plazo (PEMP) 2022-2026 de la OMPI, disponible en: </w:t>
      </w:r>
      <w:r>
        <w:fldChar w:fldCharType="begin"/>
      </w:r>
      <w:r>
        <w:instrText>HYPERLINK "https://www.wipo.int/meetings/es/doc_details.jsp?doc_id=541373"</w:instrText>
      </w:r>
      <w:r>
        <w:fldChar w:fldCharType="separate"/>
      </w:r>
      <w:r w:rsidRPr="00415B3E">
        <w:rPr>
          <w:rStyle w:val="Hyperlink"/>
          <w:lang w:val="es-419"/>
        </w:rPr>
        <w:t>www.wipo.int/meetings/es/doc_details.jsp?doc_id=541373</w:t>
      </w:r>
      <w:r>
        <w:fldChar w:fldCharType="end"/>
      </w:r>
      <w:r w:rsidRPr="00415B3E">
        <w:rPr>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9976" w14:textId="131C43B1" w:rsidR="00460263" w:rsidRPr="002326AB" w:rsidRDefault="00FD5CE0" w:rsidP="00477D6B">
    <w:pPr>
      <w:jc w:val="right"/>
      <w:rPr>
        <w:caps/>
      </w:rPr>
    </w:pPr>
    <w:r>
      <w:rPr>
        <w:caps/>
      </w:rPr>
      <w:t>WO/GA/58/7</w:t>
    </w:r>
  </w:p>
  <w:p w14:paraId="45BDE403" w14:textId="77777777" w:rsidR="00460263" w:rsidRDefault="00460263" w:rsidP="00477D6B">
    <w:pPr>
      <w:jc w:val="right"/>
    </w:pPr>
    <w:r>
      <w:t xml:space="preserve">página </w:t>
    </w:r>
    <w:r>
      <w:fldChar w:fldCharType="begin"/>
    </w:r>
    <w:r>
      <w:instrText xml:space="preserve"> PAGE  \* MERGEFORMAT </w:instrText>
    </w:r>
    <w:r>
      <w:fldChar w:fldCharType="separate"/>
    </w:r>
    <w:r>
      <w:t>12</w:t>
    </w:r>
    <w:r>
      <w:fldChar w:fldCharType="end"/>
    </w:r>
  </w:p>
  <w:p w14:paraId="20E11E02" w14:textId="77777777" w:rsidR="00460263" w:rsidRDefault="00460263" w:rsidP="00477D6B">
    <w:pPr>
      <w:jc w:val="right"/>
    </w:pPr>
  </w:p>
  <w:p w14:paraId="7749012C" w14:textId="77777777" w:rsidR="00460263" w:rsidRDefault="0046026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5D3C" w14:textId="77777777" w:rsidR="00FD5CE0" w:rsidRPr="00784F5B" w:rsidRDefault="00FD5CE0" w:rsidP="00784F5B">
    <w:pPr>
      <w:pStyle w:val="Header"/>
      <w:ind w:right="282"/>
      <w:jc w:val="right"/>
      <w:rPr>
        <w:szCs w:val="22"/>
      </w:rPr>
    </w:pPr>
    <w:r w:rsidRPr="00784F5B">
      <w:rPr>
        <w:szCs w:val="22"/>
      </w:rPr>
      <w:t xml:space="preserve">página </w:t>
    </w:r>
    <w:sdt>
      <w:sdtPr>
        <w:rPr>
          <w:szCs w:val="22"/>
        </w:rPr>
        <w:id w:val="-1073120742"/>
        <w:docPartObj>
          <w:docPartGallery w:val="Page Numbers (Top of Page)"/>
          <w:docPartUnique/>
        </w:docPartObj>
      </w:sdtPr>
      <w:sdtEndPr>
        <w:rPr>
          <w:noProof/>
        </w:rPr>
      </w:sdtEndPr>
      <w:sdtContent>
        <w:r w:rsidRPr="00784F5B">
          <w:rPr>
            <w:szCs w:val="22"/>
          </w:rPr>
          <w:fldChar w:fldCharType="begin"/>
        </w:r>
        <w:r w:rsidRPr="00784F5B">
          <w:rPr>
            <w:szCs w:val="22"/>
          </w:rPr>
          <w:instrText xml:space="preserve"> PAGE   \* MERGEFORMAT </w:instrText>
        </w:r>
        <w:r w:rsidRPr="00784F5B">
          <w:rPr>
            <w:szCs w:val="22"/>
          </w:rPr>
          <w:fldChar w:fldCharType="separate"/>
        </w:r>
        <w:r w:rsidRPr="00784F5B">
          <w:rPr>
            <w:noProof/>
            <w:szCs w:val="22"/>
          </w:rPr>
          <w:t>2</w:t>
        </w:r>
        <w:r w:rsidRPr="00784F5B">
          <w:rPr>
            <w:noProof/>
            <w:szCs w:val="22"/>
          </w:rPr>
          <w:fldChar w:fldCharType="end"/>
        </w:r>
      </w:sdtContent>
    </w:sdt>
  </w:p>
  <w:p w14:paraId="79A707BF" w14:textId="77777777" w:rsidR="00FD5CE0" w:rsidRPr="00784F5B" w:rsidRDefault="00FD5CE0" w:rsidP="00784F5B">
    <w:pPr>
      <w:pStyle w:val="Header"/>
      <w:ind w:right="282"/>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5C5A" w14:textId="77777777" w:rsidR="00FD5CE0" w:rsidRPr="002326AB" w:rsidRDefault="00FD5CE0" w:rsidP="00477D6B">
    <w:pPr>
      <w:jc w:val="right"/>
      <w:rPr>
        <w:caps/>
      </w:rPr>
    </w:pPr>
    <w:r>
      <w:rPr>
        <w:caps/>
      </w:rPr>
      <w:t>CDIP/34/2</w:t>
    </w:r>
  </w:p>
  <w:p w14:paraId="7D0F91AD" w14:textId="77777777" w:rsidR="00FD5CE0" w:rsidRDefault="00FD5CE0" w:rsidP="00477D6B">
    <w:pPr>
      <w:jc w:val="right"/>
    </w:pPr>
    <w:r>
      <w:t xml:space="preserve">página </w:t>
    </w:r>
    <w:r>
      <w:fldChar w:fldCharType="begin"/>
    </w:r>
    <w:r>
      <w:instrText xml:space="preserve"> PAGE  \* MERGEFORMAT </w:instrText>
    </w:r>
    <w:r>
      <w:fldChar w:fldCharType="separate"/>
    </w:r>
    <w:r>
      <w:t>2</w:t>
    </w:r>
    <w:r>
      <w:fldChar w:fldCharType="end"/>
    </w:r>
  </w:p>
  <w:p w14:paraId="5954A7C3" w14:textId="77777777" w:rsidR="00FD5CE0" w:rsidRDefault="00FD5CE0" w:rsidP="00477D6B">
    <w:pPr>
      <w:jc w:val="right"/>
    </w:pPr>
  </w:p>
  <w:p w14:paraId="3C7CBD2F" w14:textId="77777777" w:rsidR="00FD5CE0" w:rsidRDefault="00FD5CE0" w:rsidP="00FE564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ABE8" w14:textId="6EE489C8" w:rsidR="009D4B97" w:rsidRPr="002326AB" w:rsidRDefault="009D4B97" w:rsidP="00477D6B">
    <w:pPr>
      <w:jc w:val="right"/>
      <w:rPr>
        <w:caps/>
      </w:rPr>
    </w:pPr>
    <w:r>
      <w:rPr>
        <w:caps/>
      </w:rPr>
      <w:t>CDIP/34/2</w:t>
    </w:r>
  </w:p>
  <w:p w14:paraId="5C13E351" w14:textId="77777777" w:rsidR="009D4B97" w:rsidRDefault="009D4B97" w:rsidP="00477D6B">
    <w:pPr>
      <w:jc w:val="right"/>
    </w:pPr>
    <w:r>
      <w:t xml:space="preserve">Anexo I, página </w:t>
    </w:r>
    <w:r>
      <w:fldChar w:fldCharType="begin"/>
    </w:r>
    <w:r>
      <w:instrText xml:space="preserve"> PAGE  \* MERGEFORMAT </w:instrText>
    </w:r>
    <w:r>
      <w:fldChar w:fldCharType="separate"/>
    </w:r>
    <w:r>
      <w:t>2</w:t>
    </w:r>
    <w:r>
      <w:fldChar w:fldCharType="end"/>
    </w:r>
  </w:p>
  <w:p w14:paraId="0204819B" w14:textId="77777777" w:rsidR="009D4B97" w:rsidRDefault="009D4B97" w:rsidP="00477D6B">
    <w:pPr>
      <w:jc w:val="right"/>
    </w:pPr>
  </w:p>
  <w:p w14:paraId="752AB1F4" w14:textId="77777777" w:rsidR="009D4B97" w:rsidRDefault="009D4B97" w:rsidP="00FE564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3079" w14:textId="77777777" w:rsidR="00FD5CE0" w:rsidRDefault="00FD5CE0" w:rsidP="00F0409C">
    <w:pPr>
      <w:pStyle w:val="Header"/>
      <w:jc w:val="right"/>
    </w:pPr>
    <w:r>
      <w:t>CDIP/34/2</w:t>
    </w:r>
  </w:p>
  <w:p w14:paraId="5EE06ECB" w14:textId="77777777" w:rsidR="00FD5CE0" w:rsidRDefault="00FD5CE0" w:rsidP="00613DE2">
    <w:pPr>
      <w:jc w:val="right"/>
    </w:pPr>
    <w:r>
      <w:t xml:space="preserve">Anexo I, página </w:t>
    </w:r>
    <w:r>
      <w:fldChar w:fldCharType="begin"/>
    </w:r>
    <w:r>
      <w:instrText xml:space="preserve"> PAGE  \* MERGEFORMAT </w:instrText>
    </w:r>
    <w:r>
      <w:fldChar w:fldCharType="separate"/>
    </w:r>
    <w:r>
      <w:t>13</w:t>
    </w:r>
    <w:r>
      <w:fldChar w:fldCharType="end"/>
    </w:r>
  </w:p>
  <w:p w14:paraId="44305792" w14:textId="77777777" w:rsidR="00FD5CE0" w:rsidRDefault="00FD5C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0B01" w14:textId="77777777" w:rsidR="00FF375D" w:rsidRPr="002326AB" w:rsidRDefault="00FF375D" w:rsidP="00477D6B">
    <w:pPr>
      <w:jc w:val="right"/>
      <w:rPr>
        <w:caps/>
      </w:rPr>
    </w:pPr>
    <w:r>
      <w:rPr>
        <w:caps/>
      </w:rPr>
      <w:t>CDIP/34/2</w:t>
    </w:r>
  </w:p>
  <w:p w14:paraId="62EC0532" w14:textId="77777777" w:rsidR="00FF375D" w:rsidRDefault="00FF375D" w:rsidP="00477D6B">
    <w:pPr>
      <w:jc w:val="right"/>
    </w:pPr>
    <w:r>
      <w:t xml:space="preserve">Anexo II, página </w:t>
    </w:r>
    <w:r>
      <w:fldChar w:fldCharType="begin"/>
    </w:r>
    <w:r>
      <w:instrText xml:space="preserve"> PAGE  \* MERGEFORMAT </w:instrText>
    </w:r>
    <w:r>
      <w:fldChar w:fldCharType="separate"/>
    </w:r>
    <w:r>
      <w:t>2</w:t>
    </w:r>
    <w:r>
      <w:fldChar w:fldCharType="end"/>
    </w:r>
  </w:p>
  <w:p w14:paraId="13903538" w14:textId="77777777" w:rsidR="00FF375D" w:rsidRDefault="00FF375D" w:rsidP="00477D6B">
    <w:pPr>
      <w:jc w:val="right"/>
    </w:pPr>
  </w:p>
  <w:p w14:paraId="1E5667F5" w14:textId="77777777" w:rsidR="00FF375D" w:rsidRDefault="00FF375D"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E1AC" w14:textId="77777777" w:rsidR="00FF375D" w:rsidRDefault="00FF375D" w:rsidP="00F0409C">
    <w:pPr>
      <w:pStyle w:val="Header"/>
      <w:jc w:val="right"/>
    </w:pPr>
    <w:r>
      <w:t>CDIP/34/2</w:t>
    </w:r>
  </w:p>
  <w:p w14:paraId="0A8E50BD" w14:textId="77777777" w:rsidR="00FF375D" w:rsidRPr="00B45952" w:rsidRDefault="00FF375D" w:rsidP="00F0409C">
    <w:pPr>
      <w:pStyle w:val="Header"/>
      <w:jc w:val="right"/>
    </w:pPr>
    <w:r>
      <w:t>ANEXO II</w:t>
    </w:r>
  </w:p>
  <w:p w14:paraId="10BC208E" w14:textId="77777777" w:rsidR="00FF375D" w:rsidRDefault="00FF3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890E9D"/>
    <w:multiLevelType w:val="hybridMultilevel"/>
    <w:tmpl w:val="59E4065E"/>
    <w:lvl w:ilvl="0" w:tplc="C4F697CA">
      <w:start w:val="1"/>
      <w:numFmt w:val="lowerRoman"/>
      <w:lvlText w:val="%1)"/>
      <w:lvlJc w:val="left"/>
      <w:pPr>
        <w:ind w:left="990" w:hanging="72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6032FF"/>
    <w:multiLevelType w:val="multilevel"/>
    <w:tmpl w:val="6058A6E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Roman"/>
      <w:lvlText w:val="%3."/>
      <w:lvlJc w:val="right"/>
      <w:pPr>
        <w:ind w:left="1080" w:hanging="360"/>
      </w:pPr>
    </w:lvl>
    <w:lvl w:ilvl="3">
      <w:start w:val="1"/>
      <w:numFmt w:val="lowerRoman"/>
      <w:lvlText w:val="%4)"/>
      <w:lvlJc w:val="righ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448B0"/>
    <w:multiLevelType w:val="hybridMultilevel"/>
    <w:tmpl w:val="619AD6C4"/>
    <w:lvl w:ilvl="0" w:tplc="C4F697CA">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B3DF9"/>
    <w:multiLevelType w:val="multilevel"/>
    <w:tmpl w:val="8EC24AF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624F00"/>
    <w:multiLevelType w:val="hybridMultilevel"/>
    <w:tmpl w:val="B022811C"/>
    <w:lvl w:ilvl="0" w:tplc="C4F697CA">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C60BB"/>
    <w:multiLevelType w:val="hybridMultilevel"/>
    <w:tmpl w:val="A5FADEF4"/>
    <w:lvl w:ilvl="0" w:tplc="EE64F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34E778A"/>
    <w:multiLevelType w:val="hybridMultilevel"/>
    <w:tmpl w:val="A4ACD9D4"/>
    <w:lvl w:ilvl="0" w:tplc="C4F697CA">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C5F8E"/>
    <w:multiLevelType w:val="hybridMultilevel"/>
    <w:tmpl w:val="25EAD1BA"/>
    <w:lvl w:ilvl="0" w:tplc="5484B6D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734DC1"/>
    <w:multiLevelType w:val="multilevel"/>
    <w:tmpl w:val="E378220E"/>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EB4014"/>
    <w:multiLevelType w:val="hybridMultilevel"/>
    <w:tmpl w:val="1F5C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054F88"/>
    <w:multiLevelType w:val="hybridMultilevel"/>
    <w:tmpl w:val="A2B0B5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E777B"/>
    <w:multiLevelType w:val="hybridMultilevel"/>
    <w:tmpl w:val="6AF266D0"/>
    <w:lvl w:ilvl="0" w:tplc="BD1678F8">
      <w:start w:val="1"/>
      <w:numFmt w:val="lowerRoman"/>
      <w:lvlText w:val="(%1)"/>
      <w:lvlJc w:val="left"/>
      <w:pPr>
        <w:ind w:left="720" w:hanging="360"/>
      </w:pPr>
      <w:rPr>
        <w:rFonts w:ascii="Arial" w:eastAsia="SimSu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7C5B48"/>
    <w:multiLevelType w:val="multilevel"/>
    <w:tmpl w:val="86A634A6"/>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297763"/>
    <w:multiLevelType w:val="hybridMultilevel"/>
    <w:tmpl w:val="4EB25228"/>
    <w:lvl w:ilvl="0" w:tplc="C4F697CA">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8E177D"/>
    <w:multiLevelType w:val="hybridMultilevel"/>
    <w:tmpl w:val="D46A74B6"/>
    <w:lvl w:ilvl="0" w:tplc="C4F697CA">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758F8"/>
    <w:multiLevelType w:val="multilevel"/>
    <w:tmpl w:val="8EC24AF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0C52C7"/>
    <w:multiLevelType w:val="hybridMultilevel"/>
    <w:tmpl w:val="AA260F3C"/>
    <w:lvl w:ilvl="0" w:tplc="C400A762">
      <w:start w:val="1"/>
      <w:numFmt w:val="decimal"/>
      <w:lvlText w:val="%1."/>
      <w:lvlJc w:val="left"/>
      <w:pPr>
        <w:ind w:left="360" w:hanging="360"/>
      </w:pPr>
      <w:rPr>
        <w:rFonts w:ascii="Arial" w:hAnsi="Arial" w:cs="Arial" w:hint="default"/>
        <w:b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A78CF"/>
    <w:multiLevelType w:val="hybridMultilevel"/>
    <w:tmpl w:val="0C465FE2"/>
    <w:lvl w:ilvl="0" w:tplc="C4F697CA">
      <w:start w:val="1"/>
      <w:numFmt w:val="low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265E7"/>
    <w:multiLevelType w:val="multilevel"/>
    <w:tmpl w:val="4A003278"/>
    <w:styleLink w:val="CurrentList1"/>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E552B6"/>
    <w:multiLevelType w:val="hybridMultilevel"/>
    <w:tmpl w:val="50764B12"/>
    <w:lvl w:ilvl="0" w:tplc="C4F697CA">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110D2"/>
    <w:multiLevelType w:val="hybridMultilevel"/>
    <w:tmpl w:val="EAAECE80"/>
    <w:lvl w:ilvl="0" w:tplc="C4F697CA">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00844">
    <w:abstractNumId w:val="9"/>
  </w:num>
  <w:num w:numId="2" w16cid:durableId="309794587">
    <w:abstractNumId w:val="15"/>
  </w:num>
  <w:num w:numId="3" w16cid:durableId="1968076723">
    <w:abstractNumId w:val="0"/>
  </w:num>
  <w:num w:numId="4" w16cid:durableId="1656638925">
    <w:abstractNumId w:val="18"/>
  </w:num>
  <w:num w:numId="5" w16cid:durableId="244077344">
    <w:abstractNumId w:val="3"/>
  </w:num>
  <w:num w:numId="6" w16cid:durableId="720789353">
    <w:abstractNumId w:val="10"/>
  </w:num>
  <w:num w:numId="7" w16cid:durableId="1107197219">
    <w:abstractNumId w:val="4"/>
  </w:num>
  <w:num w:numId="8" w16cid:durableId="138036234">
    <w:abstractNumId w:val="2"/>
  </w:num>
  <w:num w:numId="9" w16cid:durableId="1964921700">
    <w:abstractNumId w:val="19"/>
  </w:num>
  <w:num w:numId="10" w16cid:durableId="1892811917">
    <w:abstractNumId w:val="13"/>
  </w:num>
  <w:num w:numId="11" w16cid:durableId="1677809202">
    <w:abstractNumId w:val="14"/>
  </w:num>
  <w:num w:numId="12" w16cid:durableId="845822426">
    <w:abstractNumId w:val="5"/>
  </w:num>
  <w:num w:numId="13" w16cid:durableId="1846555104">
    <w:abstractNumId w:val="23"/>
  </w:num>
  <w:num w:numId="14" w16cid:durableId="1554807787">
    <w:abstractNumId w:val="16"/>
  </w:num>
  <w:num w:numId="15" w16cid:durableId="888298894">
    <w:abstractNumId w:val="21"/>
  </w:num>
  <w:num w:numId="16" w16cid:durableId="962737910">
    <w:abstractNumId w:val="26"/>
  </w:num>
  <w:num w:numId="17" w16cid:durableId="1931229223">
    <w:abstractNumId w:val="6"/>
  </w:num>
  <w:num w:numId="18" w16cid:durableId="924386970">
    <w:abstractNumId w:val="7"/>
  </w:num>
  <w:num w:numId="19" w16cid:durableId="732505586">
    <w:abstractNumId w:val="11"/>
  </w:num>
  <w:num w:numId="20" w16cid:durableId="196048387">
    <w:abstractNumId w:val="20"/>
  </w:num>
  <w:num w:numId="21" w16cid:durableId="2133159930">
    <w:abstractNumId w:val="27"/>
  </w:num>
  <w:num w:numId="22" w16cid:durableId="1000348967">
    <w:abstractNumId w:val="1"/>
  </w:num>
  <w:num w:numId="23" w16cid:durableId="627473012">
    <w:abstractNumId w:val="24"/>
  </w:num>
  <w:num w:numId="24" w16cid:durableId="565191902">
    <w:abstractNumId w:val="25"/>
  </w:num>
  <w:num w:numId="25" w16cid:durableId="1538547302">
    <w:abstractNumId w:val="12"/>
  </w:num>
  <w:num w:numId="26" w16cid:durableId="421879970">
    <w:abstractNumId w:val="8"/>
  </w:num>
  <w:num w:numId="27" w16cid:durableId="470750013">
    <w:abstractNumId w:val="17"/>
  </w:num>
  <w:num w:numId="28" w16cid:durableId="14898583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3"/>
    <w:rsid w:val="00046C3F"/>
    <w:rsid w:val="000E3BB3"/>
    <w:rsid w:val="000F5E56"/>
    <w:rsid w:val="001362EE"/>
    <w:rsid w:val="00137CC4"/>
    <w:rsid w:val="00152CEA"/>
    <w:rsid w:val="001743F1"/>
    <w:rsid w:val="001832A6"/>
    <w:rsid w:val="001C4DD3"/>
    <w:rsid w:val="00220EFC"/>
    <w:rsid w:val="002634C4"/>
    <w:rsid w:val="002F4E68"/>
    <w:rsid w:val="00307787"/>
    <w:rsid w:val="00323EB5"/>
    <w:rsid w:val="00354647"/>
    <w:rsid w:val="00377273"/>
    <w:rsid w:val="003845C1"/>
    <w:rsid w:val="00387287"/>
    <w:rsid w:val="003D41D4"/>
    <w:rsid w:val="00415B3E"/>
    <w:rsid w:val="004206DD"/>
    <w:rsid w:val="00423E3E"/>
    <w:rsid w:val="00427AF4"/>
    <w:rsid w:val="0045231F"/>
    <w:rsid w:val="00460263"/>
    <w:rsid w:val="004647DA"/>
    <w:rsid w:val="00477D6B"/>
    <w:rsid w:val="004A1B4D"/>
    <w:rsid w:val="004A6C37"/>
    <w:rsid w:val="004E27FD"/>
    <w:rsid w:val="004F7418"/>
    <w:rsid w:val="00522018"/>
    <w:rsid w:val="0055013B"/>
    <w:rsid w:val="0056224D"/>
    <w:rsid w:val="00571B99"/>
    <w:rsid w:val="005D64EC"/>
    <w:rsid w:val="00605827"/>
    <w:rsid w:val="006637C1"/>
    <w:rsid w:val="00675021"/>
    <w:rsid w:val="00683D4A"/>
    <w:rsid w:val="006937A6"/>
    <w:rsid w:val="006A06C6"/>
    <w:rsid w:val="006C0B5B"/>
    <w:rsid w:val="00712320"/>
    <w:rsid w:val="007945BD"/>
    <w:rsid w:val="007B5A23"/>
    <w:rsid w:val="007C517C"/>
    <w:rsid w:val="007E63AC"/>
    <w:rsid w:val="007E663E"/>
    <w:rsid w:val="007E758E"/>
    <w:rsid w:val="00815082"/>
    <w:rsid w:val="00843582"/>
    <w:rsid w:val="008B14EA"/>
    <w:rsid w:val="008B2CC1"/>
    <w:rsid w:val="008E019A"/>
    <w:rsid w:val="0090731E"/>
    <w:rsid w:val="00966A22"/>
    <w:rsid w:val="00972F03"/>
    <w:rsid w:val="009A0C8B"/>
    <w:rsid w:val="009B6241"/>
    <w:rsid w:val="009D4B97"/>
    <w:rsid w:val="009F27F0"/>
    <w:rsid w:val="00A16FC0"/>
    <w:rsid w:val="00A216EC"/>
    <w:rsid w:val="00A32C9E"/>
    <w:rsid w:val="00A7453D"/>
    <w:rsid w:val="00AB5117"/>
    <w:rsid w:val="00AB613D"/>
    <w:rsid w:val="00AD6B7B"/>
    <w:rsid w:val="00B026F2"/>
    <w:rsid w:val="00B65A0A"/>
    <w:rsid w:val="00B72D36"/>
    <w:rsid w:val="00BC4164"/>
    <w:rsid w:val="00BD2DCC"/>
    <w:rsid w:val="00BD676C"/>
    <w:rsid w:val="00BE1A8C"/>
    <w:rsid w:val="00C06472"/>
    <w:rsid w:val="00C07DBB"/>
    <w:rsid w:val="00C1311D"/>
    <w:rsid w:val="00C90559"/>
    <w:rsid w:val="00CC6A25"/>
    <w:rsid w:val="00D20B6E"/>
    <w:rsid w:val="00D35021"/>
    <w:rsid w:val="00D36B79"/>
    <w:rsid w:val="00D40CF0"/>
    <w:rsid w:val="00D52052"/>
    <w:rsid w:val="00D56C7C"/>
    <w:rsid w:val="00D71B4D"/>
    <w:rsid w:val="00D90289"/>
    <w:rsid w:val="00D90B75"/>
    <w:rsid w:val="00D93D55"/>
    <w:rsid w:val="00DE636E"/>
    <w:rsid w:val="00E45C84"/>
    <w:rsid w:val="00E504E5"/>
    <w:rsid w:val="00E73ABF"/>
    <w:rsid w:val="00EA4D08"/>
    <w:rsid w:val="00EB7A3E"/>
    <w:rsid w:val="00EC401A"/>
    <w:rsid w:val="00EF530A"/>
    <w:rsid w:val="00EF6622"/>
    <w:rsid w:val="00F55408"/>
    <w:rsid w:val="00F66152"/>
    <w:rsid w:val="00F80845"/>
    <w:rsid w:val="00F84474"/>
    <w:rsid w:val="00FD5CE0"/>
    <w:rsid w:val="00FE7340"/>
    <w:rsid w:val="00FF375D"/>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E250E"/>
  <w15:docId w15:val="{C32EF2A7-D214-42BD-B82F-F2D47780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8E019A"/>
    <w:pPr>
      <w:keepNext/>
      <w:spacing w:before="240" w:after="24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460263"/>
    <w:rPr>
      <w:rFonts w:ascii="Arial" w:eastAsia="SimSun" w:hAnsi="Arial" w:cs="Arial"/>
      <w:sz w:val="22"/>
      <w:lang w:val="es-ES" w:eastAsia="zh-CN"/>
    </w:rPr>
  </w:style>
  <w:style w:type="character" w:customStyle="1" w:styleId="Heading1Char">
    <w:name w:val="Heading 1 Char"/>
    <w:basedOn w:val="DefaultParagraphFont"/>
    <w:link w:val="Heading1"/>
    <w:rsid w:val="00FD5CE0"/>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FD5CE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Strong">
    <w:name w:val="Strong"/>
    <w:basedOn w:val="DefaultParagraphFont"/>
    <w:qFormat/>
    <w:rsid w:val="00FD5CE0"/>
    <w:rPr>
      <w:b/>
      <w:bCs/>
    </w:rPr>
  </w:style>
  <w:style w:type="character" w:styleId="Hyperlink">
    <w:name w:val="Hyperlink"/>
    <w:basedOn w:val="DefaultParagraphFont"/>
    <w:uiPriority w:val="99"/>
    <w:unhideWhenUsed/>
    <w:rsid w:val="00FD5CE0"/>
    <w:rPr>
      <w:color w:val="0000FF" w:themeColor="hyperlink"/>
      <w:u w:val="single"/>
    </w:rPr>
  </w:style>
  <w:style w:type="character" w:customStyle="1" w:styleId="Endofdocument-AnnexChar">
    <w:name w:val="[End of document - Annex] Char"/>
    <w:link w:val="Endofdocument-Annex"/>
    <w:rsid w:val="00FD5CE0"/>
    <w:rPr>
      <w:rFonts w:ascii="Arial" w:eastAsia="SimSun" w:hAnsi="Arial" w:cs="Arial"/>
      <w:sz w:val="22"/>
      <w:lang w:val="en-US" w:eastAsia="zh-CN"/>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nhideWhenUsed/>
    <w:rsid w:val="00FD5CE0"/>
    <w:rPr>
      <w:vertAlign w:val="superscript"/>
    </w:rPr>
  </w:style>
  <w:style w:type="character" w:styleId="FollowedHyperlink">
    <w:name w:val="FollowedHyperlink"/>
    <w:basedOn w:val="DefaultParagraphFont"/>
    <w:semiHidden/>
    <w:unhideWhenUsed/>
    <w:rsid w:val="00FD5CE0"/>
    <w:rPr>
      <w:color w:val="800080" w:themeColor="followedHyperlink"/>
      <w:u w:val="single"/>
    </w:rPr>
  </w:style>
  <w:style w:type="character" w:customStyle="1" w:styleId="FootnoteTextChar">
    <w:name w:val="Footnote Text Char"/>
    <w:basedOn w:val="DefaultParagraphFont"/>
    <w:link w:val="FootnoteText"/>
    <w:rsid w:val="00FD5CE0"/>
    <w:rPr>
      <w:rFonts w:ascii="Arial" w:eastAsia="SimSun" w:hAnsi="Arial" w:cs="Arial"/>
      <w:sz w:val="18"/>
      <w:lang w:val="es-ES" w:eastAsia="zh-CN"/>
    </w:rPr>
  </w:style>
  <w:style w:type="character" w:customStyle="1" w:styleId="ONUMFSChar">
    <w:name w:val="ONUM FS Char"/>
    <w:basedOn w:val="DefaultParagraphFont"/>
    <w:link w:val="ONUMFS"/>
    <w:rsid w:val="00FD5CE0"/>
    <w:rPr>
      <w:rFonts w:ascii="Arial" w:eastAsia="SimSun" w:hAnsi="Arial" w:cs="Arial"/>
      <w:sz w:val="22"/>
      <w:lang w:val="es-ES" w:eastAsia="zh-CN"/>
    </w:rPr>
  </w:style>
  <w:style w:type="character" w:customStyle="1" w:styleId="null">
    <w:name w:val="null"/>
    <w:basedOn w:val="DefaultParagraphFont"/>
    <w:rsid w:val="00FD5CE0"/>
  </w:style>
  <w:style w:type="character" w:styleId="CommentReference">
    <w:name w:val="annotation reference"/>
    <w:basedOn w:val="DefaultParagraphFont"/>
    <w:semiHidden/>
    <w:unhideWhenUsed/>
    <w:rsid w:val="00FD5CE0"/>
    <w:rPr>
      <w:sz w:val="16"/>
      <w:szCs w:val="16"/>
    </w:rPr>
  </w:style>
  <w:style w:type="character" w:customStyle="1" w:styleId="CommentTextChar">
    <w:name w:val="Comment Text Char"/>
    <w:basedOn w:val="DefaultParagraphFont"/>
    <w:semiHidden/>
    <w:rsid w:val="00FD5CE0"/>
    <w:rPr>
      <w:rFonts w:ascii="Arial" w:eastAsia="SimSun" w:hAnsi="Arial" w:cs="Arial"/>
      <w:sz w:val="18"/>
      <w:lang w:val="es-ES" w:eastAsia="zh-CN"/>
    </w:rPr>
  </w:style>
  <w:style w:type="paragraph" w:styleId="BalloonText">
    <w:name w:val="Balloon Text"/>
    <w:basedOn w:val="Normal"/>
    <w:link w:val="BalloonTextChar"/>
    <w:unhideWhenUsed/>
    <w:rsid w:val="00FD5CE0"/>
    <w:rPr>
      <w:rFonts w:ascii="Segoe UI" w:hAnsi="Segoe UI" w:cs="Segoe UI"/>
      <w:sz w:val="18"/>
      <w:szCs w:val="18"/>
    </w:rPr>
  </w:style>
  <w:style w:type="character" w:customStyle="1" w:styleId="BalloonTextChar">
    <w:name w:val="Balloon Text Char"/>
    <w:basedOn w:val="DefaultParagraphFont"/>
    <w:link w:val="BalloonText"/>
    <w:rsid w:val="00FD5CE0"/>
    <w:rPr>
      <w:rFonts w:ascii="Segoe UI" w:eastAsia="SimSun" w:hAnsi="Segoe UI" w:cs="Segoe UI"/>
      <w:sz w:val="18"/>
      <w:szCs w:val="18"/>
      <w:lang w:val="es-ES" w:eastAsia="zh-CN"/>
    </w:rPr>
  </w:style>
  <w:style w:type="character" w:customStyle="1" w:styleId="A6">
    <w:name w:val="A6"/>
    <w:basedOn w:val="DefaultParagraphFont"/>
    <w:uiPriority w:val="99"/>
    <w:rsid w:val="00FD5CE0"/>
    <w:rPr>
      <w:color w:val="000000"/>
    </w:rPr>
  </w:style>
  <w:style w:type="character" w:customStyle="1" w:styleId="HeaderChar">
    <w:name w:val="Header Char"/>
    <w:basedOn w:val="DefaultParagraphFont"/>
    <w:link w:val="Header"/>
    <w:rsid w:val="00FD5CE0"/>
    <w:rPr>
      <w:rFonts w:ascii="Arial" w:eastAsia="SimSun" w:hAnsi="Arial" w:cs="Arial"/>
      <w:sz w:val="22"/>
      <w:lang w:val="es-ES" w:eastAsia="zh-CN"/>
    </w:rPr>
  </w:style>
  <w:style w:type="table" w:styleId="TableGrid">
    <w:name w:val="Table Grid"/>
    <w:basedOn w:val="TableNormal"/>
    <w:rsid w:val="00FD5CE0"/>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D5CE0"/>
  </w:style>
  <w:style w:type="character" w:styleId="Emphasis">
    <w:name w:val="Emphasis"/>
    <w:basedOn w:val="DefaultParagraphFont"/>
    <w:uiPriority w:val="20"/>
    <w:qFormat/>
    <w:rsid w:val="00FD5CE0"/>
    <w:rPr>
      <w:i/>
      <w:iCs/>
    </w:rPr>
  </w:style>
  <w:style w:type="paragraph" w:customStyle="1" w:styleId="paragraph">
    <w:name w:val="paragraph"/>
    <w:basedOn w:val="Normal"/>
    <w:rsid w:val="00FD5CE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D5CE0"/>
  </w:style>
  <w:style w:type="character" w:customStyle="1" w:styleId="eop">
    <w:name w:val="eop"/>
    <w:basedOn w:val="DefaultParagraphFont"/>
    <w:rsid w:val="00FD5CE0"/>
  </w:style>
  <w:style w:type="character" w:styleId="UnresolvedMention">
    <w:name w:val="Unresolved Mention"/>
    <w:basedOn w:val="DefaultParagraphFont"/>
    <w:uiPriority w:val="99"/>
    <w:semiHidden/>
    <w:unhideWhenUsed/>
    <w:rsid w:val="00FD5CE0"/>
    <w:rPr>
      <w:color w:val="605E5C"/>
      <w:shd w:val="clear" w:color="auto" w:fill="E1DFDD"/>
    </w:rPr>
  </w:style>
  <w:style w:type="character" w:customStyle="1" w:styleId="bumpedfont20">
    <w:name w:val="bumpedfont20"/>
    <w:basedOn w:val="DefaultParagraphFont"/>
    <w:rsid w:val="00FD5CE0"/>
  </w:style>
  <w:style w:type="paragraph" w:customStyle="1" w:styleId="xmsonormal">
    <w:name w:val="x_msonormal"/>
    <w:basedOn w:val="Normal"/>
    <w:rsid w:val="00FD5CE0"/>
    <w:rPr>
      <w:rFonts w:ascii="Calibri" w:eastAsiaTheme="minorHAnsi" w:hAnsi="Calibri" w:cs="Calibri"/>
      <w:szCs w:val="22"/>
      <w:lang w:eastAsia="en-US"/>
    </w:rPr>
  </w:style>
  <w:style w:type="paragraph" w:customStyle="1" w:styleId="Default">
    <w:name w:val="Default"/>
    <w:basedOn w:val="Normal"/>
    <w:rsid w:val="00FD5CE0"/>
    <w:pPr>
      <w:autoSpaceDE w:val="0"/>
      <w:autoSpaceDN w:val="0"/>
    </w:pPr>
    <w:rPr>
      <w:rFonts w:eastAsiaTheme="minorEastAsia"/>
      <w:color w:val="000000"/>
      <w:sz w:val="24"/>
      <w:szCs w:val="24"/>
    </w:rPr>
  </w:style>
  <w:style w:type="character" w:customStyle="1" w:styleId="Heading4Char">
    <w:name w:val="Heading 4 Char"/>
    <w:basedOn w:val="DefaultParagraphFont"/>
    <w:link w:val="Heading4"/>
    <w:rsid w:val="00FD5CE0"/>
    <w:rPr>
      <w:rFonts w:ascii="Arial" w:eastAsia="SimSun" w:hAnsi="Arial" w:cs="Arial"/>
      <w:bCs/>
      <w:i/>
      <w:sz w:val="22"/>
      <w:szCs w:val="28"/>
      <w:lang w:val="es-ES" w:eastAsia="zh-CN"/>
    </w:rPr>
  </w:style>
  <w:style w:type="paragraph" w:customStyle="1" w:styleId="TableParagraph">
    <w:name w:val="Table Paragraph"/>
    <w:basedOn w:val="Normal"/>
    <w:uiPriority w:val="1"/>
    <w:qFormat/>
    <w:rsid w:val="00FD5CE0"/>
    <w:pPr>
      <w:widowControl w:val="0"/>
      <w:autoSpaceDE w:val="0"/>
      <w:autoSpaceDN w:val="0"/>
    </w:pPr>
    <w:rPr>
      <w:rFonts w:eastAsia="Arial"/>
      <w:szCs w:val="22"/>
      <w:lang w:eastAsia="en-US"/>
    </w:rPr>
  </w:style>
  <w:style w:type="paragraph" w:styleId="Revision">
    <w:name w:val="Revision"/>
    <w:hidden/>
    <w:uiPriority w:val="99"/>
    <w:semiHidden/>
    <w:rsid w:val="00FD5CE0"/>
    <w:rPr>
      <w:rFonts w:ascii="Arial" w:eastAsia="SimSun" w:hAnsi="Arial" w:cs="Arial"/>
      <w:sz w:val="22"/>
      <w:lang w:val="es-ES" w:eastAsia="zh-CN"/>
    </w:rPr>
  </w:style>
  <w:style w:type="paragraph" w:styleId="NormalWeb">
    <w:name w:val="Normal (Web)"/>
    <w:basedOn w:val="Normal"/>
    <w:uiPriority w:val="99"/>
    <w:unhideWhenUsed/>
    <w:rsid w:val="00FD5CE0"/>
    <w:rPr>
      <w:rFonts w:ascii="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FD5CE0"/>
    <w:rPr>
      <w:b/>
      <w:bCs/>
      <w:sz w:val="20"/>
    </w:rPr>
  </w:style>
  <w:style w:type="character" w:customStyle="1" w:styleId="CommentTextChar1">
    <w:name w:val="Comment Text Char1"/>
    <w:basedOn w:val="DefaultParagraphFont"/>
    <w:link w:val="CommentText"/>
    <w:semiHidden/>
    <w:rsid w:val="00FD5CE0"/>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FD5CE0"/>
    <w:rPr>
      <w:rFonts w:ascii="Arial" w:eastAsia="SimSun" w:hAnsi="Arial" w:cs="Arial"/>
      <w:b/>
      <w:bCs/>
      <w:sz w:val="18"/>
      <w:lang w:val="es-ES" w:eastAsia="zh-CN"/>
    </w:rPr>
  </w:style>
  <w:style w:type="numbering" w:customStyle="1" w:styleId="CurrentList1">
    <w:name w:val="Current List1"/>
    <w:uiPriority w:val="99"/>
    <w:rsid w:val="00FD5CE0"/>
    <w:pPr>
      <w:numPr>
        <w:numId w:val="24"/>
      </w:numPr>
    </w:pPr>
  </w:style>
  <w:style w:type="character" w:customStyle="1" w:styleId="lead">
    <w:name w:val="lead"/>
    <w:basedOn w:val="DefaultParagraphFont"/>
    <w:rsid w:val="00FD5CE0"/>
  </w:style>
  <w:style w:type="paragraph" w:styleId="NoSpacing">
    <w:name w:val="No Spacing"/>
    <w:uiPriority w:val="1"/>
    <w:qFormat/>
    <w:rsid w:val="00FD5CE0"/>
    <w:rPr>
      <w:rFonts w:ascii="Arial" w:hAnsi="Arial" w:cs="Arial"/>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dacatalogue.wipo.int/projects/DA_10_23_31_36_01" TargetMode="Externa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about-wipo/es/assemblies/2021/a_62/index.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about-ip/es/frontier_technologies/news/2024/news_0002.html" TargetMode="External"/><Relationship Id="rId3" Type="http://schemas.openxmlformats.org/officeDocument/2006/relationships/hyperlink" Target="https://www.wipo.int/meetings/en/doc_details.jsp?doc_id=630523" TargetMode="External"/><Relationship Id="rId7" Type="http://schemas.openxmlformats.org/officeDocument/2006/relationships/hyperlink" Target="https://www.wipo.int/documents/d/gender/docs-en-iwd-joint-message-2024.pdf" TargetMode="External"/><Relationship Id="rId2" Type="http://schemas.openxmlformats.org/officeDocument/2006/relationships/hyperlink" Target="http://www.wipo.int/tad/en/activitydetails.jsp?id=28332" TargetMode="External"/><Relationship Id="rId1" Type="http://schemas.openxmlformats.org/officeDocument/2006/relationships/hyperlink" Target="https://www.wipo.int/meetings/es/doc_details.jsp?doc_id=541373" TargetMode="External"/><Relationship Id="rId6" Type="http://schemas.openxmlformats.org/officeDocument/2006/relationships/hyperlink" Target="https://www.wipo.int/documents/d/gender/docs-en-iwd-joint-message-2024.pdf" TargetMode="External"/><Relationship Id="rId5" Type="http://schemas.openxmlformats.org/officeDocument/2006/relationships/hyperlink" Target="https://www.wipo.int/meetings/es/doc_details.jsp?doc_id=570471" TargetMode="External"/><Relationship Id="rId4" Type="http://schemas.openxmlformats.org/officeDocument/2006/relationships/hyperlink" Target="https://www.wipo.int/web/gender/w/news/2024/closing-the-gender-gap-in-ip-women-and-the-sustainable-development-goals" TargetMode="External"/><Relationship Id="rId9" Type="http://schemas.openxmlformats.org/officeDocument/2006/relationships/hyperlink" Target="http://www.cambridge.org/core/books/informal-economy-in-developing-nations/C7494C6FD7EE4DC86BBADB4A7B87BCE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C76D2-131C-4353-B4FF-741C414D01D6}">
  <ds:schemaRefs>
    <ds:schemaRef ds:uri="http://www.w3.org/XML/1998/namespace"/>
    <ds:schemaRef ds:uri="http://schemas.microsoft.com/office/2006/documentManagement/types"/>
    <ds:schemaRef ds:uri="b1a73aef-ce8f-442d-a5fc-a13bc475f3fd"/>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781c9f64-295c-457e-9e5f-c4eb841d6909"/>
    <ds:schemaRef ds:uri="http://purl.org/dc/dcmitype/"/>
    <ds:schemaRef ds:uri="http://purl.org/dc/terms/"/>
  </ds:schemaRefs>
</ds:datastoreItem>
</file>

<file path=customXml/itemProps3.xml><?xml version="1.0" encoding="utf-8"?>
<ds:datastoreItem xmlns:ds="http://schemas.openxmlformats.org/officeDocument/2006/customXml" ds:itemID="{7D3E1137-DB2F-465F-BD14-3C92C8B0A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WO_GA_58 (S).dotm</Template>
  <TotalTime>4</TotalTime>
  <Pages>72</Pages>
  <Words>35713</Words>
  <Characters>187636</Characters>
  <Application>Microsoft Office Word</Application>
  <DocSecurity>0</DocSecurity>
  <Lines>1563</Lines>
  <Paragraphs>445</Paragraphs>
  <ScaleCrop>false</ScaleCrop>
  <HeadingPairs>
    <vt:vector size="2" baseType="variant">
      <vt:variant>
        <vt:lpstr>Title</vt:lpstr>
      </vt:variant>
      <vt:variant>
        <vt:i4>1</vt:i4>
      </vt:variant>
    </vt:vector>
  </HeadingPairs>
  <TitlesOfParts>
    <vt:vector size="1" baseType="lpstr">
      <vt:lpstr>WO/GA/58/7</vt:lpstr>
    </vt:vector>
  </TitlesOfParts>
  <Company>WIPO</Company>
  <LinksUpToDate>false</LinksUpToDate>
  <CharactersWithSpaces>222904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WO/GA/58/7</dc:title>
  <dc:creator>WIPO</dc:creator>
  <cp:keywords>FOR OFFICIAL USE ONLY</cp:keywords>
  <cp:lastModifiedBy>RUSSO Antonella</cp:lastModifiedBy>
  <cp:revision>4</cp:revision>
  <cp:lastPrinted>2025-06-02T13:30:00Z</cp:lastPrinted>
  <dcterms:created xsi:type="dcterms:W3CDTF">2025-06-02T13:29:00Z</dcterms:created>
  <dcterms:modified xsi:type="dcterms:W3CDTF">2025-06-02T13:32:00Z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