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4E05" w14:textId="77777777" w:rsidR="008B2CC1" w:rsidRPr="008658D5" w:rsidRDefault="008B14EA" w:rsidP="008B14EA">
      <w:pPr>
        <w:spacing w:after="120"/>
        <w:jc w:val="right"/>
        <w:rPr>
          <w:lang w:val="es-419"/>
        </w:rPr>
      </w:pPr>
      <w:r w:rsidRPr="008658D5">
        <w:rPr>
          <w:noProof/>
          <w:lang w:val="es-419" w:eastAsia="fr-CH"/>
        </w:rPr>
        <w:drawing>
          <wp:inline distT="0" distB="0" distL="0" distR="0" wp14:anchorId="405590FC" wp14:editId="2DA7FA6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658D5">
        <w:rPr>
          <w:rFonts w:ascii="Arial Black" w:hAnsi="Arial Black"/>
          <w:caps/>
          <w:noProof/>
          <w:sz w:val="15"/>
          <w:szCs w:val="15"/>
          <w:lang w:val="es-419" w:eastAsia="fr-CH"/>
        </w:rPr>
        <mc:AlternateContent>
          <mc:Choice Requires="wps">
            <w:drawing>
              <wp:inline distT="0" distB="0" distL="0" distR="0" wp14:anchorId="203EEA23" wp14:editId="28A8FF9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40A3A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AB4EBC2" w14:textId="74E5DF63" w:rsidR="008B2CC1" w:rsidRPr="008658D5" w:rsidRDefault="00522018" w:rsidP="008B14EA">
      <w:pPr>
        <w:jc w:val="right"/>
        <w:rPr>
          <w:rFonts w:ascii="Arial Black" w:hAnsi="Arial Black"/>
          <w:caps/>
          <w:sz w:val="15"/>
          <w:lang w:val="es-419"/>
        </w:rPr>
      </w:pPr>
      <w:r w:rsidRPr="008658D5">
        <w:rPr>
          <w:rFonts w:ascii="Arial Black" w:hAnsi="Arial Black"/>
          <w:caps/>
          <w:sz w:val="15"/>
          <w:szCs w:val="15"/>
          <w:lang w:val="es-419"/>
        </w:rPr>
        <w:t>WO/GA/5</w:t>
      </w:r>
      <w:r w:rsidR="00137CC4" w:rsidRPr="008658D5">
        <w:rPr>
          <w:rFonts w:ascii="Arial Black" w:hAnsi="Arial Black"/>
          <w:caps/>
          <w:sz w:val="15"/>
          <w:szCs w:val="15"/>
          <w:lang w:val="es-419"/>
        </w:rPr>
        <w:t>8</w:t>
      </w:r>
      <w:r w:rsidRPr="008658D5">
        <w:rPr>
          <w:rFonts w:ascii="Arial Black" w:hAnsi="Arial Black"/>
          <w:caps/>
          <w:sz w:val="15"/>
          <w:szCs w:val="15"/>
          <w:lang w:val="es-419"/>
        </w:rPr>
        <w:t>/</w:t>
      </w:r>
      <w:bookmarkStart w:id="0" w:name="Code"/>
      <w:r w:rsidR="00791A23" w:rsidRPr="008658D5">
        <w:rPr>
          <w:rFonts w:ascii="Arial Black" w:hAnsi="Arial Black"/>
          <w:caps/>
          <w:sz w:val="15"/>
          <w:szCs w:val="15"/>
          <w:lang w:val="es-419"/>
        </w:rPr>
        <w:t>4</w:t>
      </w:r>
    </w:p>
    <w:bookmarkEnd w:id="0"/>
    <w:p w14:paraId="19C5586E" w14:textId="31B7C3BD" w:rsidR="008B2CC1" w:rsidRPr="008658D5" w:rsidRDefault="008B14EA" w:rsidP="008B14EA">
      <w:pPr>
        <w:jc w:val="right"/>
        <w:rPr>
          <w:rFonts w:ascii="Arial Black" w:hAnsi="Arial Black"/>
          <w:caps/>
          <w:sz w:val="15"/>
          <w:lang w:val="es-419"/>
        </w:rPr>
      </w:pPr>
      <w:r w:rsidRPr="008658D5">
        <w:rPr>
          <w:rFonts w:ascii="Arial Black" w:hAnsi="Arial Black"/>
          <w:caps/>
          <w:sz w:val="15"/>
          <w:lang w:val="es-419"/>
        </w:rPr>
        <w:t xml:space="preserve">ORIGINAL: </w:t>
      </w:r>
      <w:bookmarkStart w:id="1" w:name="Original"/>
      <w:r w:rsidR="00791A23" w:rsidRPr="008658D5">
        <w:rPr>
          <w:rFonts w:ascii="Arial Black" w:hAnsi="Arial Black"/>
          <w:caps/>
          <w:sz w:val="15"/>
          <w:lang w:val="es-419"/>
        </w:rPr>
        <w:t>INGLÉS</w:t>
      </w:r>
    </w:p>
    <w:bookmarkEnd w:id="1"/>
    <w:p w14:paraId="42DE3D77" w14:textId="4F990018" w:rsidR="008B2CC1" w:rsidRPr="008658D5" w:rsidRDefault="008B14EA" w:rsidP="008B14EA">
      <w:pPr>
        <w:spacing w:after="1200"/>
        <w:jc w:val="right"/>
        <w:rPr>
          <w:rFonts w:ascii="Arial Black" w:hAnsi="Arial Black"/>
          <w:caps/>
          <w:sz w:val="15"/>
          <w:lang w:val="es-419"/>
        </w:rPr>
      </w:pPr>
      <w:r w:rsidRPr="008658D5">
        <w:rPr>
          <w:rFonts w:ascii="Arial Black" w:hAnsi="Arial Black"/>
          <w:caps/>
          <w:sz w:val="15"/>
          <w:lang w:val="es-419"/>
        </w:rPr>
        <w:t xml:space="preserve">FECHA: </w:t>
      </w:r>
      <w:bookmarkStart w:id="2" w:name="Date"/>
      <w:r w:rsidR="003A44AE" w:rsidRPr="008658D5">
        <w:rPr>
          <w:rFonts w:ascii="Arial Black" w:hAnsi="Arial Black"/>
          <w:caps/>
          <w:sz w:val="15"/>
          <w:lang w:val="es-419"/>
        </w:rPr>
        <w:t>4</w:t>
      </w:r>
      <w:r w:rsidR="00791A23" w:rsidRPr="008658D5">
        <w:rPr>
          <w:rFonts w:ascii="Arial Black" w:hAnsi="Arial Black"/>
          <w:caps/>
          <w:sz w:val="15"/>
          <w:lang w:val="es-419"/>
        </w:rPr>
        <w:t xml:space="preserve"> DE </w:t>
      </w:r>
      <w:r w:rsidR="003A44AE" w:rsidRPr="008658D5">
        <w:rPr>
          <w:rFonts w:ascii="Arial Black" w:hAnsi="Arial Black"/>
          <w:caps/>
          <w:sz w:val="15"/>
          <w:lang w:val="es-419"/>
        </w:rPr>
        <w:t>junio</w:t>
      </w:r>
      <w:r w:rsidR="00791A23" w:rsidRPr="008658D5">
        <w:rPr>
          <w:rFonts w:ascii="Arial Black" w:hAnsi="Arial Black"/>
          <w:caps/>
          <w:sz w:val="15"/>
          <w:lang w:val="es-419"/>
        </w:rPr>
        <w:t xml:space="preserve"> DE 202</w:t>
      </w:r>
      <w:r w:rsidR="003A44AE" w:rsidRPr="008658D5">
        <w:rPr>
          <w:rFonts w:ascii="Arial Black" w:hAnsi="Arial Black"/>
          <w:caps/>
          <w:sz w:val="15"/>
          <w:lang w:val="es-419"/>
        </w:rPr>
        <w:t>5</w:t>
      </w:r>
    </w:p>
    <w:bookmarkEnd w:id="2"/>
    <w:p w14:paraId="62E8DF56" w14:textId="77777777" w:rsidR="008B2CC1" w:rsidRPr="008658D5" w:rsidRDefault="00522018" w:rsidP="008B14EA">
      <w:pPr>
        <w:spacing w:after="600"/>
        <w:rPr>
          <w:b/>
          <w:sz w:val="28"/>
          <w:szCs w:val="28"/>
          <w:lang w:val="es-419"/>
        </w:rPr>
      </w:pPr>
      <w:r w:rsidRPr="008658D5">
        <w:rPr>
          <w:b/>
          <w:sz w:val="28"/>
          <w:szCs w:val="28"/>
          <w:lang w:val="es-419"/>
        </w:rPr>
        <w:t>Asamblea General de la OMPI</w:t>
      </w:r>
    </w:p>
    <w:p w14:paraId="1ACCCFAB" w14:textId="77777777" w:rsidR="00323EB5" w:rsidRPr="008658D5" w:rsidRDefault="00D52052" w:rsidP="00323EB5">
      <w:pPr>
        <w:rPr>
          <w:b/>
          <w:sz w:val="24"/>
          <w:szCs w:val="24"/>
          <w:lang w:val="es-419"/>
        </w:rPr>
      </w:pPr>
      <w:r w:rsidRPr="008658D5">
        <w:rPr>
          <w:b/>
          <w:sz w:val="24"/>
          <w:szCs w:val="24"/>
          <w:lang w:val="es-419"/>
        </w:rPr>
        <w:t xml:space="preserve">Quincuagésimo </w:t>
      </w:r>
      <w:r w:rsidR="00137CC4" w:rsidRPr="008658D5">
        <w:rPr>
          <w:b/>
          <w:sz w:val="24"/>
          <w:szCs w:val="24"/>
          <w:lang w:val="es-419"/>
        </w:rPr>
        <w:t>octavo</w:t>
      </w:r>
      <w:r w:rsidRPr="008658D5">
        <w:rPr>
          <w:b/>
          <w:sz w:val="24"/>
          <w:szCs w:val="24"/>
          <w:lang w:val="es-419"/>
        </w:rPr>
        <w:t xml:space="preserve"> período de sesiones (</w:t>
      </w:r>
      <w:r w:rsidR="00137CC4" w:rsidRPr="008658D5">
        <w:rPr>
          <w:b/>
          <w:sz w:val="24"/>
          <w:szCs w:val="24"/>
          <w:lang w:val="es-419"/>
        </w:rPr>
        <w:t>27</w:t>
      </w:r>
      <w:r w:rsidRPr="008658D5">
        <w:rPr>
          <w:b/>
          <w:sz w:val="24"/>
          <w:szCs w:val="24"/>
          <w:lang w:val="es-419"/>
        </w:rPr>
        <w:t>.º ordinario</w:t>
      </w:r>
      <w:r w:rsidR="00522018" w:rsidRPr="008658D5">
        <w:rPr>
          <w:b/>
          <w:sz w:val="24"/>
          <w:szCs w:val="24"/>
          <w:lang w:val="es-419"/>
        </w:rPr>
        <w:t>)</w:t>
      </w:r>
    </w:p>
    <w:p w14:paraId="3E479C67" w14:textId="77777777" w:rsidR="008B2CC1" w:rsidRPr="008658D5" w:rsidRDefault="00522018" w:rsidP="008B14EA">
      <w:pPr>
        <w:spacing w:after="720"/>
        <w:rPr>
          <w:b/>
          <w:sz w:val="24"/>
          <w:szCs w:val="24"/>
          <w:lang w:val="es-419"/>
        </w:rPr>
      </w:pPr>
      <w:r w:rsidRPr="008658D5">
        <w:rPr>
          <w:b/>
          <w:sz w:val="24"/>
          <w:szCs w:val="24"/>
          <w:lang w:val="es-419"/>
        </w:rPr>
        <w:t xml:space="preserve">Ginebra, </w:t>
      </w:r>
      <w:r w:rsidR="00137CC4" w:rsidRPr="008658D5">
        <w:rPr>
          <w:b/>
          <w:sz w:val="24"/>
          <w:szCs w:val="24"/>
          <w:lang w:val="es-419"/>
        </w:rPr>
        <w:t xml:space="preserve">8 </w:t>
      </w:r>
      <w:r w:rsidR="00D52052" w:rsidRPr="008658D5">
        <w:rPr>
          <w:b/>
          <w:sz w:val="24"/>
          <w:szCs w:val="24"/>
          <w:lang w:val="es-419"/>
        </w:rPr>
        <w:t>a 17 de julio de 202</w:t>
      </w:r>
      <w:r w:rsidR="00137CC4" w:rsidRPr="008658D5">
        <w:rPr>
          <w:b/>
          <w:sz w:val="24"/>
          <w:szCs w:val="24"/>
          <w:lang w:val="es-419"/>
        </w:rPr>
        <w:t>5</w:t>
      </w:r>
    </w:p>
    <w:p w14:paraId="5C47E79E" w14:textId="70567C4F" w:rsidR="008B2CC1" w:rsidRPr="008658D5" w:rsidRDefault="00791A23" w:rsidP="008B14EA">
      <w:pPr>
        <w:spacing w:after="360"/>
        <w:rPr>
          <w:caps/>
          <w:sz w:val="24"/>
          <w:lang w:val="es-419"/>
        </w:rPr>
      </w:pPr>
      <w:bookmarkStart w:id="3" w:name="TitleOfDoc"/>
      <w:r w:rsidRPr="008658D5">
        <w:rPr>
          <w:caps/>
          <w:sz w:val="24"/>
          <w:lang w:val="es-419"/>
        </w:rPr>
        <w:t>INFORME DEL COMITÉ PERMANENTE DE DERECHO DE AUTOR Y DERECHOS CONEXOS (SCCR)</w:t>
      </w:r>
    </w:p>
    <w:p w14:paraId="4A948F98" w14:textId="4B59E46F" w:rsidR="00791A23" w:rsidRPr="008658D5" w:rsidRDefault="00791A23" w:rsidP="00791A23">
      <w:pPr>
        <w:spacing w:after="960"/>
        <w:rPr>
          <w:i/>
          <w:lang w:val="es-419"/>
        </w:rPr>
      </w:pPr>
      <w:bookmarkStart w:id="4" w:name="Prepared"/>
      <w:bookmarkEnd w:id="3"/>
      <w:r w:rsidRPr="008658D5">
        <w:rPr>
          <w:i/>
          <w:lang w:val="es-419"/>
        </w:rPr>
        <w:t>preparado por la Secretaría</w:t>
      </w:r>
      <w:bookmarkEnd w:id="4"/>
    </w:p>
    <w:p w14:paraId="66F058F7" w14:textId="521F7549" w:rsidR="00791A23" w:rsidRPr="008658D5" w:rsidRDefault="00791A23" w:rsidP="00791A23">
      <w:pPr>
        <w:pStyle w:val="ONUMFS"/>
        <w:spacing w:after="240"/>
        <w:rPr>
          <w:lang w:val="es-419"/>
        </w:rPr>
      </w:pPr>
      <w:bookmarkStart w:id="5" w:name="_Hlk167874648"/>
      <w:r w:rsidRPr="008658D5">
        <w:rPr>
          <w:lang w:val="es-419"/>
        </w:rPr>
        <w:t xml:space="preserve">El Comité Permanente de Derecho de Autor y Derechos Conexos (SCCR o Comité) se reunió una vez desde el quincuagésimo séptimo período de sesiones de la Asamblea General de la OMPI. La </w:t>
      </w:r>
      <w:hyperlink r:id="rId11" w:history="1">
        <w:r w:rsidRPr="008658D5">
          <w:rPr>
            <w:rStyle w:val="Hyperlink"/>
            <w:szCs w:val="22"/>
            <w:lang w:val="es-419"/>
          </w:rPr>
          <w:t>46.ª sesión del SCCR</w:t>
        </w:r>
      </w:hyperlink>
      <w:r w:rsidRPr="008658D5">
        <w:rPr>
          <w:lang w:val="es-419"/>
        </w:rPr>
        <w:t xml:space="preserve"> se celebró del 7 al 11 de abril de 2025 en formato híbrido</w:t>
      </w:r>
      <w:bookmarkEnd w:id="5"/>
      <w:r w:rsidRPr="008658D5">
        <w:rPr>
          <w:lang w:val="es-419"/>
        </w:rPr>
        <w:t>.</w:t>
      </w:r>
    </w:p>
    <w:p w14:paraId="66403289" w14:textId="3E498F00" w:rsidR="008E2418" w:rsidRPr="008658D5" w:rsidRDefault="008E2418" w:rsidP="008E2418">
      <w:pPr>
        <w:pStyle w:val="ONUMFS"/>
        <w:rPr>
          <w:rFonts w:eastAsia="Calibri"/>
          <w:szCs w:val="22"/>
          <w:lang w:val="es-419"/>
        </w:rPr>
      </w:pPr>
      <w:r w:rsidRPr="008658D5">
        <w:rPr>
          <w:lang w:val="es-419"/>
        </w:rPr>
        <w:t>En su quincuagésimo séptimo período de sesiones, celebrado del 9 al 17 de julio de 2024, la Asamblea General de la OMPI examinó el informe sobre la marcha de la labor del SCCR (documento </w:t>
      </w:r>
      <w:hyperlink r:id="rId12" w:history="1">
        <w:r w:rsidRPr="008658D5">
          <w:rPr>
            <w:rStyle w:val="Hyperlink"/>
            <w:lang w:val="es-419"/>
          </w:rPr>
          <w:t>WO/GA/57/3</w:t>
        </w:r>
      </w:hyperlink>
      <w:r w:rsidRPr="008658D5">
        <w:rPr>
          <w:lang w:val="es-419"/>
        </w:rPr>
        <w:t>; véase asimismo el</w:t>
      </w:r>
      <w:r w:rsidRPr="008658D5">
        <w:rPr>
          <w:rStyle w:val="CommentReference"/>
          <w:lang w:val="es-419"/>
        </w:rPr>
        <w:t xml:space="preserve"> </w:t>
      </w:r>
      <w:r w:rsidRPr="008658D5">
        <w:rPr>
          <w:lang w:val="es-419"/>
        </w:rPr>
        <w:t>documento</w:t>
      </w:r>
      <w:r w:rsidRPr="008658D5">
        <w:rPr>
          <w:rStyle w:val="CommentReference"/>
          <w:lang w:val="es-419"/>
        </w:rPr>
        <w:t xml:space="preserve"> </w:t>
      </w:r>
      <w:hyperlink r:id="rId13" w:history="1">
        <w:r w:rsidRPr="008658D5">
          <w:rPr>
            <w:rStyle w:val="Hyperlink"/>
            <w:lang w:val="es-419"/>
          </w:rPr>
          <w:t>WO/GA/57/12</w:t>
        </w:r>
      </w:hyperlink>
      <w:r w:rsidRPr="008658D5">
        <w:rPr>
          <w:lang w:val="es-419"/>
        </w:rPr>
        <w:t>). Además, tomó nota del informe y ordenó al Comité que continúe su labor relativa a todas las cuestiones examinadas en el informe. También tomó nota de la solicitud formulada por la delegación de Chile en nombre del Grupo de Países de América Latina y el Caribe (GRULAC) de que se celebr</w:t>
      </w:r>
      <w:r w:rsidR="00C5088E" w:rsidRPr="008658D5">
        <w:rPr>
          <w:lang w:val="es-419"/>
        </w:rPr>
        <w:t>e</w:t>
      </w:r>
      <w:r w:rsidRPr="008658D5">
        <w:rPr>
          <w:lang w:val="es-419"/>
        </w:rPr>
        <w:t xml:space="preserve">n dos sesiones del SCCR en 2025. Esta propuesta fue respaldada por todos los grupos, sin perjuicio de la prerrogativa del </w:t>
      </w:r>
      <w:r w:rsidR="00F300E3" w:rsidRPr="008658D5">
        <w:rPr>
          <w:lang w:val="es-419"/>
        </w:rPr>
        <w:t>d</w:t>
      </w:r>
      <w:r w:rsidRPr="008658D5">
        <w:rPr>
          <w:lang w:val="es-419"/>
        </w:rPr>
        <w:t xml:space="preserve">irector </w:t>
      </w:r>
      <w:r w:rsidR="00F300E3" w:rsidRPr="008658D5">
        <w:rPr>
          <w:lang w:val="es-419"/>
        </w:rPr>
        <w:t>g</w:t>
      </w:r>
      <w:r w:rsidRPr="008658D5">
        <w:rPr>
          <w:lang w:val="es-419"/>
        </w:rPr>
        <w:t>eneral de establecer el calendario de la OMPI. El director general programó dos sesiones en 2025.</w:t>
      </w:r>
    </w:p>
    <w:p w14:paraId="47DF9C78" w14:textId="77777777" w:rsidR="008E2418" w:rsidRPr="008658D5" w:rsidRDefault="008E2418" w:rsidP="008E2418">
      <w:pPr>
        <w:pStyle w:val="ONUMFS"/>
        <w:rPr>
          <w:rFonts w:eastAsia="Calibri"/>
          <w:szCs w:val="22"/>
          <w:lang w:val="es-419"/>
        </w:rPr>
      </w:pPr>
      <w:r w:rsidRPr="008658D5">
        <w:rPr>
          <w:lang w:val="es-419"/>
        </w:rPr>
        <w:t>El presente documento da cuenta del estado de la labor del SCCR. Se adjunta el resumen de la Presidencia de la 46.ª sesión del SCCR.</w:t>
      </w:r>
    </w:p>
    <w:p w14:paraId="4E83F2B6" w14:textId="77777777" w:rsidR="00791A23" w:rsidRPr="008658D5" w:rsidRDefault="00791A23" w:rsidP="00791A23">
      <w:pPr>
        <w:pStyle w:val="Heading1"/>
        <w:keepNext w:val="0"/>
        <w:spacing w:before="0" w:after="120"/>
        <w:rPr>
          <w:szCs w:val="22"/>
          <w:lang w:val="es-419"/>
        </w:rPr>
      </w:pPr>
      <w:r w:rsidRPr="008658D5">
        <w:rPr>
          <w:szCs w:val="22"/>
          <w:lang w:val="es-419"/>
        </w:rPr>
        <w:t>PROTECCIÓN DE LOS ORGANISMOS DE RADIODIFUSIÓN</w:t>
      </w:r>
    </w:p>
    <w:p w14:paraId="37031233" w14:textId="77777777" w:rsidR="00791A23" w:rsidRPr="008658D5" w:rsidRDefault="00791A23" w:rsidP="00791A23">
      <w:pPr>
        <w:pStyle w:val="ONUMFS"/>
        <w:rPr>
          <w:lang w:val="es-419"/>
        </w:rPr>
      </w:pPr>
      <w:r w:rsidRPr="008658D5">
        <w:rPr>
          <w:lang w:val="es-419"/>
        </w:rPr>
        <w:t>La actualización de la protección de los organismos de radiodifusión en respuesta a los avances de la tecnología ha sido objeto de debate en todas las sesiones del SCCR desde 1998, entre otras cosas, en dos sesiones dedicadas exclusivamente a ese tema en 2007.</w:t>
      </w:r>
    </w:p>
    <w:p w14:paraId="0BDDFF74" w14:textId="3D5F716B" w:rsidR="00791A23" w:rsidRPr="008658D5" w:rsidRDefault="00791A23" w:rsidP="00791A23">
      <w:pPr>
        <w:pStyle w:val="ONUMFS"/>
        <w:rPr>
          <w:lang w:val="es-419"/>
        </w:rPr>
      </w:pPr>
      <w:r w:rsidRPr="008658D5">
        <w:rPr>
          <w:lang w:val="es-419"/>
        </w:rPr>
        <w:lastRenderedPageBreak/>
        <w:t xml:space="preserve">En la 46.ª sesión se presentó el “Proyecto de Tratado de la OMPI sobre los Organismos de Radiodifusión” (documento </w:t>
      </w:r>
      <w:hyperlink r:id="rId14" w:history="1">
        <w:r w:rsidRPr="008658D5">
          <w:rPr>
            <w:rStyle w:val="Hyperlink"/>
            <w:szCs w:val="22"/>
            <w:lang w:val="es-419"/>
          </w:rPr>
          <w:t>SCCR/46/3</w:t>
        </w:r>
      </w:hyperlink>
      <w:r w:rsidRPr="008658D5">
        <w:rPr>
          <w:lang w:val="es-419"/>
        </w:rPr>
        <w:t xml:space="preserve">). Dicho proyecto fue preparado bajo la autoridad de la presidenta, en colaboración con el vicepresidente y los facilitadores, sobre la base del debate celebrado en la 45.ª sesión y las observaciones formuladas por los miembros. El Comité llevó a cabo debates acerca de este texto en sesión plenaria y en reuniones informales. Sobre la base del debate, la Presidencia redactará una nueva versión del texto para que el Comité lo examine y considere, durante la 47.ª sesión, si recomendar o no que la Asamblea General convoque una conferencia diplomática. </w:t>
      </w:r>
    </w:p>
    <w:p w14:paraId="5E9DBF35" w14:textId="579C636D" w:rsidR="00791A23" w:rsidRPr="008658D5" w:rsidRDefault="00791A23" w:rsidP="00791A23">
      <w:pPr>
        <w:pStyle w:val="ONUMFS"/>
        <w:spacing w:after="480"/>
        <w:rPr>
          <w:rFonts w:eastAsia="Times New Roman"/>
          <w:lang w:val="es-419"/>
        </w:rPr>
      </w:pPr>
      <w:r w:rsidRPr="008658D5">
        <w:rPr>
          <w:lang w:val="es-419"/>
        </w:rPr>
        <w:t>El tema de la protección de los organismos de radiodifusión se mantendrá en el orden del día de la 47.ª sesión</w:t>
      </w:r>
      <w:r w:rsidR="00EA4DA2" w:rsidRPr="008658D5">
        <w:rPr>
          <w:lang w:val="es-419"/>
        </w:rPr>
        <w:t xml:space="preserve"> del SCCR</w:t>
      </w:r>
      <w:r w:rsidRPr="008658D5">
        <w:rPr>
          <w:lang w:val="es-419"/>
        </w:rPr>
        <w:t>.</w:t>
      </w:r>
    </w:p>
    <w:p w14:paraId="64BD4BB0" w14:textId="77777777" w:rsidR="00791A23" w:rsidRPr="008658D5" w:rsidRDefault="00791A23" w:rsidP="00791A23">
      <w:pPr>
        <w:pStyle w:val="Heading1"/>
        <w:keepNext w:val="0"/>
        <w:spacing w:before="0" w:after="120"/>
        <w:rPr>
          <w:szCs w:val="22"/>
          <w:lang w:val="es-419"/>
        </w:rPr>
      </w:pPr>
      <w:r w:rsidRPr="008658D5">
        <w:rPr>
          <w:szCs w:val="22"/>
          <w:lang w:val="es-419"/>
        </w:rPr>
        <w:t>LIMITACIONES Y EXCEPCIONES</w:t>
      </w:r>
    </w:p>
    <w:p w14:paraId="4D0D8D4E" w14:textId="2825AB4A" w:rsidR="00791A23" w:rsidRPr="008658D5" w:rsidRDefault="00791A23" w:rsidP="00791A23">
      <w:pPr>
        <w:pStyle w:val="ONUMFS"/>
        <w:spacing w:after="480"/>
        <w:rPr>
          <w:rFonts w:eastAsia="Calibri"/>
          <w:lang w:val="es-419"/>
        </w:rPr>
      </w:pPr>
      <w:r w:rsidRPr="008658D5">
        <w:rPr>
          <w:lang w:val="es-419"/>
        </w:rPr>
        <w:t xml:space="preserve">Desde 2004, el SCCR viene tratando la cuestión de las limitaciones y excepciones al derecho de autor y, desde 2012, </w:t>
      </w:r>
      <w:r w:rsidR="002F3D41" w:rsidRPr="008658D5">
        <w:rPr>
          <w:lang w:val="es-419"/>
        </w:rPr>
        <w:t>el tema de las limitaciones y excepciones al derecho de autor para bibliotecas y archivos, instituciones docentes y de investigación y personas con otras discapacidades ha figurado en el orden del día de cada sesión</w:t>
      </w:r>
      <w:r w:rsidRPr="008658D5">
        <w:rPr>
          <w:lang w:val="es-419"/>
        </w:rPr>
        <w:t>.</w:t>
      </w:r>
    </w:p>
    <w:p w14:paraId="1BF2D888" w14:textId="77777777" w:rsidR="00791A23" w:rsidRPr="008658D5" w:rsidRDefault="00791A23" w:rsidP="00791A23">
      <w:pPr>
        <w:pStyle w:val="Heading1"/>
        <w:keepNext w:val="0"/>
        <w:spacing w:before="0" w:after="240"/>
        <w:rPr>
          <w:b w:val="0"/>
          <w:bCs w:val="0"/>
          <w:szCs w:val="22"/>
          <w:lang w:val="es-419"/>
        </w:rPr>
      </w:pPr>
      <w:r w:rsidRPr="008658D5">
        <w:rPr>
          <w:b w:val="0"/>
          <w:bCs w:val="0"/>
          <w:szCs w:val="22"/>
          <w:lang w:val="es-419"/>
        </w:rPr>
        <w:t>LIMITACIONES Y EXCEPCIONES PARA BIBLIOTECAS Y ARCHIVOS</w:t>
      </w:r>
    </w:p>
    <w:p w14:paraId="4E69A229" w14:textId="77777777" w:rsidR="00791A23" w:rsidRPr="008658D5" w:rsidRDefault="00791A23" w:rsidP="00791A23">
      <w:pPr>
        <w:pStyle w:val="Heading2"/>
        <w:keepNext w:val="0"/>
        <w:spacing w:before="0" w:after="120"/>
        <w:rPr>
          <w:szCs w:val="22"/>
          <w:lang w:val="es-419"/>
        </w:rPr>
      </w:pPr>
      <w:r w:rsidRPr="008658D5">
        <w:rPr>
          <w:szCs w:val="22"/>
          <w:lang w:val="es-419"/>
        </w:rPr>
        <w:t>LIMITACIONES Y EXCEPCIONES PARA INSTITUCIONES DOCENTES Y DE INVESTIGACIÓN Y PARA PERSONAS CON OTRAS DISCAPACIDADES</w:t>
      </w:r>
    </w:p>
    <w:p w14:paraId="4C195FB7" w14:textId="77777777" w:rsidR="00082B9F" w:rsidRPr="008658D5" w:rsidRDefault="00082B9F" w:rsidP="00082B9F">
      <w:pPr>
        <w:pStyle w:val="ONUMFS"/>
        <w:rPr>
          <w:szCs w:val="22"/>
          <w:lang w:val="es-419"/>
        </w:rPr>
      </w:pPr>
      <w:r w:rsidRPr="008658D5">
        <w:rPr>
          <w:lang w:val="es-419"/>
        </w:rPr>
        <w:t>En la 46.ª sesión, el debate en sesión plenaria e informales se centró en los intentos por hacer balance de la labor realizada hasta la fecha y tratar de hallar un enfoque que contribuya a alcanzar un resultado consensuado. Para facilitar la labor futura, los miembros acordaron que la presidencia y la vicepresidencia preparen un documento para someterlo a consideración de la 47.ª sesión del SCCR, teniendo en cuenta los documentos existentes y pertinentes sobre el tema.</w:t>
      </w:r>
    </w:p>
    <w:p w14:paraId="333C859A" w14:textId="77777777" w:rsidR="00791A23" w:rsidRPr="008658D5" w:rsidRDefault="00791A23" w:rsidP="00791A23">
      <w:pPr>
        <w:pStyle w:val="ONUMFS"/>
        <w:spacing w:after="480"/>
        <w:rPr>
          <w:lang w:val="es-419"/>
        </w:rPr>
      </w:pPr>
      <w:r w:rsidRPr="008658D5">
        <w:rPr>
          <w:lang w:val="es-419"/>
        </w:rPr>
        <w:t>Los temas de las limitaciones y excepciones para las bibliotecas y los archivos y las limitaciones y excepciones para las instituciones docentes y de investigación y para las personas con otras discapacidades se mantendrán en el orden del día de la 47.ª sesión del SCCR.</w:t>
      </w:r>
    </w:p>
    <w:p w14:paraId="33DE2E00" w14:textId="77777777" w:rsidR="00791A23" w:rsidRPr="008658D5" w:rsidRDefault="00791A23" w:rsidP="00791A23">
      <w:pPr>
        <w:pStyle w:val="Heading1"/>
        <w:keepNext w:val="0"/>
        <w:spacing w:before="0" w:after="240"/>
        <w:rPr>
          <w:szCs w:val="22"/>
          <w:lang w:val="es-419"/>
        </w:rPr>
      </w:pPr>
      <w:r w:rsidRPr="008658D5">
        <w:rPr>
          <w:szCs w:val="22"/>
          <w:lang w:val="es-419"/>
        </w:rPr>
        <w:t>OTROS ASUNTOS</w:t>
      </w:r>
    </w:p>
    <w:p w14:paraId="6D9793A8" w14:textId="77777777" w:rsidR="00791A23" w:rsidRPr="008658D5" w:rsidRDefault="00791A23" w:rsidP="00791A23">
      <w:pPr>
        <w:pStyle w:val="Heading2"/>
        <w:keepNext w:val="0"/>
        <w:spacing w:before="0" w:after="120"/>
        <w:rPr>
          <w:szCs w:val="22"/>
          <w:lang w:val="es-419"/>
        </w:rPr>
      </w:pPr>
      <w:r w:rsidRPr="008658D5">
        <w:rPr>
          <w:szCs w:val="22"/>
          <w:lang w:val="es-419"/>
        </w:rPr>
        <w:t>ANÁLISIS DEL DERECHO DE AUTOR EN EL ENTORNO DIGITAL</w:t>
      </w:r>
    </w:p>
    <w:p w14:paraId="4376502E" w14:textId="77777777" w:rsidR="00791A23" w:rsidRPr="008658D5" w:rsidRDefault="00791A23" w:rsidP="00791A23">
      <w:pPr>
        <w:pStyle w:val="ONUMFS"/>
        <w:rPr>
          <w:lang w:val="es-419"/>
        </w:rPr>
      </w:pPr>
      <w:r w:rsidRPr="008658D5">
        <w:rPr>
          <w:lang w:val="es-419"/>
        </w:rPr>
        <w:t xml:space="preserve">El análisis del derecho de autor en el entorno digital lleva examinándose en el punto del orden del día “Otros asuntos” desde la 31.ª sesión del SCCR, celebrada en diciembre de 2015. </w:t>
      </w:r>
    </w:p>
    <w:p w14:paraId="726B10B2" w14:textId="3195018D" w:rsidR="00082B9F" w:rsidRPr="008658D5" w:rsidRDefault="00082B9F" w:rsidP="00082B9F">
      <w:pPr>
        <w:pStyle w:val="ONUMFS"/>
        <w:rPr>
          <w:lang w:val="es-419"/>
        </w:rPr>
      </w:pPr>
      <w:r w:rsidRPr="008658D5">
        <w:rPr>
          <w:lang w:val="es-419"/>
        </w:rPr>
        <w:t xml:space="preserve">En la 46.ª sesión, el GRULAC aclaró su propuesta de </w:t>
      </w:r>
      <w:r w:rsidR="00422F67" w:rsidRPr="008658D5">
        <w:rPr>
          <w:lang w:val="es-419"/>
        </w:rPr>
        <w:t>P</w:t>
      </w:r>
      <w:r w:rsidRPr="008658D5">
        <w:rPr>
          <w:lang w:val="es-419"/>
        </w:rPr>
        <w:t xml:space="preserve">lan de trabajo sobre derecho de autor en el entorno digital (documento </w:t>
      </w:r>
      <w:hyperlink r:id="rId15" w:history="1">
        <w:r w:rsidRPr="008658D5">
          <w:rPr>
            <w:rStyle w:val="Hyperlink"/>
            <w:lang w:val="es-419"/>
          </w:rPr>
          <w:t>SCCR/45/4</w:t>
        </w:r>
      </w:hyperlink>
      <w:r w:rsidRPr="008658D5">
        <w:rPr>
          <w:lang w:val="es-419"/>
        </w:rPr>
        <w:t xml:space="preserve">), subrayando su petición expresa de que este tema pase a ser un punto permanente del orden del día. El GRULAC considerará </w:t>
      </w:r>
      <w:r w:rsidR="003534D3" w:rsidRPr="008658D5">
        <w:rPr>
          <w:lang w:val="es-419"/>
        </w:rPr>
        <w:t>lo</w:t>
      </w:r>
      <w:r w:rsidRPr="008658D5">
        <w:rPr>
          <w:lang w:val="es-419"/>
        </w:rPr>
        <w:t xml:space="preserve">s diferentes </w:t>
      </w:r>
      <w:r w:rsidR="003534D3" w:rsidRPr="008658D5">
        <w:rPr>
          <w:lang w:val="es-419"/>
        </w:rPr>
        <w:t>pareceres</w:t>
      </w:r>
      <w:r w:rsidRPr="008658D5">
        <w:rPr>
          <w:lang w:val="es-419"/>
        </w:rPr>
        <w:t xml:space="preserve"> expresad</w:t>
      </w:r>
      <w:r w:rsidR="003534D3" w:rsidRPr="008658D5">
        <w:rPr>
          <w:lang w:val="es-419"/>
        </w:rPr>
        <w:t>o</w:t>
      </w:r>
      <w:r w:rsidRPr="008658D5">
        <w:rPr>
          <w:lang w:val="es-419"/>
        </w:rPr>
        <w:t xml:space="preserve">s por los miembros y revisará el </w:t>
      </w:r>
      <w:r w:rsidR="00422F67" w:rsidRPr="008658D5">
        <w:rPr>
          <w:lang w:val="es-419"/>
        </w:rPr>
        <w:t>P</w:t>
      </w:r>
      <w:r w:rsidRPr="008658D5">
        <w:rPr>
          <w:lang w:val="es-419"/>
        </w:rPr>
        <w:t>lan de trabajo propuesto, a fin de que sea examinado en la 47.ª sesión del SCCR.</w:t>
      </w:r>
    </w:p>
    <w:p w14:paraId="106C73F4" w14:textId="741F88F6" w:rsidR="00082B9F" w:rsidRPr="008658D5" w:rsidRDefault="00082B9F" w:rsidP="00082B9F">
      <w:pPr>
        <w:pStyle w:val="ONUMFS"/>
        <w:rPr>
          <w:lang w:val="es-419"/>
        </w:rPr>
      </w:pPr>
      <w:r w:rsidRPr="008658D5">
        <w:rPr>
          <w:lang w:val="es-419"/>
        </w:rPr>
        <w:t>En la 46.ª sesión, la Secretaría organizó una “Sesión de información sobre el derecho de autor y la inteligencia artificial generativa” (IA)</w:t>
      </w:r>
      <w:r w:rsidR="003534D3" w:rsidRPr="008658D5">
        <w:rPr>
          <w:lang w:val="es-419"/>
        </w:rPr>
        <w:t xml:space="preserve"> </w:t>
      </w:r>
      <w:r w:rsidRPr="008658D5">
        <w:rPr>
          <w:lang w:val="es-419"/>
        </w:rPr>
        <w:t xml:space="preserve">(véanse los documentos </w:t>
      </w:r>
      <w:hyperlink r:id="rId16" w:history="1">
        <w:r w:rsidRPr="008658D5">
          <w:rPr>
            <w:rStyle w:val="Hyperlink"/>
            <w:lang w:val="es-419"/>
          </w:rPr>
          <w:t>SCCR/46/5</w:t>
        </w:r>
      </w:hyperlink>
      <w:r w:rsidRPr="008658D5">
        <w:rPr>
          <w:lang w:val="es-419"/>
        </w:rPr>
        <w:t xml:space="preserve"> y </w:t>
      </w:r>
      <w:hyperlink r:id="rId17" w:history="1">
        <w:r w:rsidRPr="008658D5">
          <w:rPr>
            <w:rStyle w:val="Hyperlink"/>
            <w:lang w:val="es-419"/>
          </w:rPr>
          <w:t>SCCR/46/6</w:t>
        </w:r>
      </w:hyperlink>
      <w:r w:rsidRPr="008658D5">
        <w:rPr>
          <w:lang w:val="es-419"/>
        </w:rPr>
        <w:t xml:space="preserve">). Dadas las numerosas expresiones de interés y los comentarios muy positivos de los miembros, en la 47.ª sesión, se celebrará una sesión de información de seguimiento sobre </w:t>
      </w:r>
      <w:r w:rsidRPr="008658D5">
        <w:rPr>
          <w:lang w:val="es-419"/>
        </w:rPr>
        <w:lastRenderedPageBreak/>
        <w:t>la IA generativa en relación con el derecho de autor, en el marco del punto del orden del día sobre el derecho de autor en el entorno digital.</w:t>
      </w:r>
    </w:p>
    <w:p w14:paraId="62A46FCE" w14:textId="2A86E320" w:rsidR="00791A23" w:rsidRPr="008658D5" w:rsidRDefault="00082B9F" w:rsidP="00082B9F">
      <w:pPr>
        <w:pStyle w:val="ONUMFS"/>
        <w:rPr>
          <w:lang w:val="es-419"/>
        </w:rPr>
      </w:pPr>
      <w:r w:rsidRPr="008658D5">
        <w:rPr>
          <w:lang w:val="es-419"/>
        </w:rPr>
        <w:t>El tema del análisis del derecho de autor en el entorno digital  se mantendrá en el orden del día de la 47.ª sesión del SCCR.</w:t>
      </w:r>
    </w:p>
    <w:p w14:paraId="5962115E" w14:textId="77777777" w:rsidR="00791A23" w:rsidRPr="008658D5" w:rsidRDefault="00791A23" w:rsidP="00791A23">
      <w:pPr>
        <w:pStyle w:val="Heading2"/>
        <w:keepNext w:val="0"/>
        <w:spacing w:before="0" w:after="120"/>
        <w:rPr>
          <w:szCs w:val="22"/>
          <w:lang w:val="es-419"/>
        </w:rPr>
      </w:pPr>
      <w:r w:rsidRPr="008658D5">
        <w:rPr>
          <w:szCs w:val="22"/>
          <w:lang w:val="es-419"/>
        </w:rPr>
        <w:t>DERECHO DE PARTICIPACIÓN EN LAS REVENTAS</w:t>
      </w:r>
    </w:p>
    <w:p w14:paraId="224133B1" w14:textId="77777777" w:rsidR="00791A23" w:rsidRPr="008658D5" w:rsidRDefault="00791A23" w:rsidP="00791A23">
      <w:pPr>
        <w:pStyle w:val="ONUMFS"/>
        <w:rPr>
          <w:rFonts w:eastAsia="Calibri"/>
          <w:lang w:val="es-419"/>
        </w:rPr>
      </w:pPr>
      <w:r w:rsidRPr="008658D5">
        <w:rPr>
          <w:lang w:val="es-419"/>
        </w:rPr>
        <w:t>El derecho de participación en las reventas lleva examinándose en el punto del orden del día “Otros asuntos” desde la 31.ª sesión del SCCR, en diciembre de 2015.</w:t>
      </w:r>
    </w:p>
    <w:p w14:paraId="17590514" w14:textId="4CDC1EF2" w:rsidR="00082B9F" w:rsidRPr="008658D5" w:rsidRDefault="00082B9F" w:rsidP="00082B9F">
      <w:pPr>
        <w:pStyle w:val="ONUMFS"/>
        <w:rPr>
          <w:rFonts w:eastAsia="Calibri"/>
          <w:lang w:val="es-419"/>
        </w:rPr>
      </w:pPr>
      <w:r w:rsidRPr="008658D5">
        <w:rPr>
          <w:lang w:val="es-419"/>
        </w:rPr>
        <w:t xml:space="preserve">En la 46.ª sesión, los miembros acogieron con agrado la ponencia del profesor Sam Ricketson acerca de la versión revisada de la Guía de la OMPI sobre el derecho de participación de los artistas en las reventas (Parte II) (documento </w:t>
      </w:r>
      <w:hyperlink r:id="rId18" w:history="1">
        <w:r w:rsidRPr="008658D5">
          <w:rPr>
            <w:rStyle w:val="Hyperlink"/>
            <w:lang w:val="es-419"/>
          </w:rPr>
          <w:t>SCCR/45/INF/2 Rev.</w:t>
        </w:r>
      </w:hyperlink>
      <w:r w:rsidRPr="008658D5">
        <w:rPr>
          <w:lang w:val="es-419"/>
        </w:rPr>
        <w:t xml:space="preserve">) en cuanto que recurso útil y práctico para la aplicación de ese derecho. </w:t>
      </w:r>
    </w:p>
    <w:p w14:paraId="58DAFFBF" w14:textId="5D21DC1F" w:rsidR="00082B9F" w:rsidRPr="008658D5" w:rsidRDefault="00082B9F" w:rsidP="00082B9F">
      <w:pPr>
        <w:pStyle w:val="ONUMFS"/>
        <w:rPr>
          <w:rFonts w:eastAsia="Calibri"/>
          <w:lang w:val="es-419"/>
        </w:rPr>
      </w:pPr>
      <w:r w:rsidRPr="008658D5">
        <w:rPr>
          <w:lang w:val="es-419"/>
        </w:rPr>
        <w:t xml:space="preserve">La delegación de Marruecos </w:t>
      </w:r>
      <w:r w:rsidR="00801BCC" w:rsidRPr="008658D5">
        <w:rPr>
          <w:lang w:val="es-419"/>
        </w:rPr>
        <w:t>expuso</w:t>
      </w:r>
      <w:r w:rsidRPr="008658D5">
        <w:rPr>
          <w:lang w:val="es-419"/>
        </w:rPr>
        <w:t xml:space="preserve"> la idea de utilizar la labor realizada y llegar a los beneficiarios por medio de una serie de reuniones regionales. Se ofreció a acoger la reunión de la región africana en Marruecos.</w:t>
      </w:r>
    </w:p>
    <w:p w14:paraId="64756D63" w14:textId="775D7EEB" w:rsidR="00791A23" w:rsidRPr="008658D5" w:rsidRDefault="00791A23" w:rsidP="00082B9F">
      <w:pPr>
        <w:pStyle w:val="ONUMFS"/>
        <w:rPr>
          <w:rFonts w:eastAsia="Calibri"/>
          <w:lang w:val="es-419"/>
        </w:rPr>
      </w:pPr>
      <w:r w:rsidRPr="008658D5">
        <w:rPr>
          <w:lang w:val="es-419"/>
        </w:rPr>
        <w:t>El tema del derecho de participación en las reventas se mantendrá en el orden del día de la 47.ª sesión del SCCR.</w:t>
      </w:r>
    </w:p>
    <w:p w14:paraId="07F261FC" w14:textId="77777777" w:rsidR="00791A23" w:rsidRPr="008658D5" w:rsidRDefault="00791A23" w:rsidP="00791A23">
      <w:pPr>
        <w:pStyle w:val="Heading2"/>
        <w:keepNext w:val="0"/>
        <w:spacing w:before="0" w:after="120"/>
        <w:rPr>
          <w:szCs w:val="22"/>
          <w:lang w:val="es-419"/>
        </w:rPr>
      </w:pPr>
      <w:r w:rsidRPr="008658D5">
        <w:rPr>
          <w:szCs w:val="22"/>
          <w:lang w:val="es-419"/>
        </w:rPr>
        <w:t>PROTECCIÓN DE LOS DERECHOS DE LOS DIRECTORES DE TEATRO</w:t>
      </w:r>
    </w:p>
    <w:p w14:paraId="78A5AD0D" w14:textId="77777777" w:rsidR="00791A23" w:rsidRPr="008658D5" w:rsidRDefault="00791A23" w:rsidP="00791A23">
      <w:pPr>
        <w:pStyle w:val="ONUMFS"/>
        <w:rPr>
          <w:lang w:val="es-419"/>
        </w:rPr>
      </w:pPr>
      <w:r w:rsidRPr="008658D5">
        <w:rPr>
          <w:lang w:val="es-419"/>
        </w:rPr>
        <w:t>La protección de los derechos de los directores de teatro lleva examinándose en el punto del orden del día “Otros asuntos” desde la 35.ª sesión del SCCR, celebrada en noviembre de 2017.</w:t>
      </w:r>
    </w:p>
    <w:p w14:paraId="7C62AB38" w14:textId="77777777" w:rsidR="006D4D58" w:rsidRPr="008658D5" w:rsidRDefault="006D4D58" w:rsidP="006D4D58">
      <w:pPr>
        <w:pStyle w:val="ONUMFS"/>
        <w:rPr>
          <w:lang w:val="es-419"/>
        </w:rPr>
      </w:pPr>
      <w:r w:rsidRPr="008658D5">
        <w:rPr>
          <w:lang w:val="es-419"/>
        </w:rPr>
        <w:t>En la 46.ª sesión, el Comité recibió información actualizada presentada por la Secretaría sobre la creciente sensibilización en el sector de las artes escénicas acerca de la pertinencia de este tema para su comunidad.</w:t>
      </w:r>
    </w:p>
    <w:p w14:paraId="44BCDBD4" w14:textId="704F6E57" w:rsidR="00791A23" w:rsidRPr="008658D5" w:rsidRDefault="006D4D58" w:rsidP="009976AF">
      <w:pPr>
        <w:pStyle w:val="ONUMFS"/>
        <w:rPr>
          <w:lang w:val="es-419"/>
        </w:rPr>
      </w:pPr>
      <w:r w:rsidRPr="008658D5">
        <w:rPr>
          <w:lang w:val="es-419"/>
        </w:rPr>
        <w:t>El tema de la protección de los derechos de los directores de teatro se mantendrá en el orden del día de la 47.ª sesión del SCCR</w:t>
      </w:r>
      <w:r w:rsidR="00791A23" w:rsidRPr="008658D5">
        <w:rPr>
          <w:lang w:val="es-419"/>
        </w:rPr>
        <w:t>.</w:t>
      </w:r>
    </w:p>
    <w:p w14:paraId="1C4A2CBC" w14:textId="77777777" w:rsidR="00791A23" w:rsidRPr="008658D5" w:rsidRDefault="00791A23" w:rsidP="00791A23">
      <w:pPr>
        <w:pStyle w:val="Heading2"/>
        <w:keepNext w:val="0"/>
        <w:spacing w:before="0" w:after="120"/>
        <w:rPr>
          <w:szCs w:val="22"/>
          <w:lang w:val="es-419"/>
        </w:rPr>
      </w:pPr>
      <w:r w:rsidRPr="008658D5">
        <w:rPr>
          <w:szCs w:val="22"/>
          <w:lang w:val="es-419"/>
        </w:rPr>
        <w:t>DERECHO DE PRÉSTAMO PÚBLICO</w:t>
      </w:r>
    </w:p>
    <w:p w14:paraId="64A2DE2B" w14:textId="77777777" w:rsidR="00791A23" w:rsidRPr="008658D5" w:rsidRDefault="00791A23" w:rsidP="00791A23">
      <w:pPr>
        <w:pStyle w:val="ONUMFS"/>
        <w:rPr>
          <w:rFonts w:eastAsia="Calibri"/>
          <w:lang w:val="es-419"/>
        </w:rPr>
      </w:pPr>
      <w:r w:rsidRPr="008658D5">
        <w:rPr>
          <w:lang w:val="es-419"/>
        </w:rPr>
        <w:t>El derecho de préstamo público lleva examinándose en el punto del orden del día “Otros asuntos” desde la 40.ª sesión del SCCR, celebrada en noviembre de 2020.</w:t>
      </w:r>
    </w:p>
    <w:p w14:paraId="57320876" w14:textId="420D91E4" w:rsidR="00791A23" w:rsidRPr="008658D5" w:rsidRDefault="00E110B7" w:rsidP="009976AF">
      <w:pPr>
        <w:pStyle w:val="ONUMFS"/>
        <w:rPr>
          <w:rFonts w:eastAsia="Calibri"/>
          <w:lang w:val="es-419"/>
        </w:rPr>
      </w:pPr>
      <w:r w:rsidRPr="008658D5">
        <w:rPr>
          <w:lang w:val="es-419"/>
        </w:rPr>
        <w:t xml:space="preserve">En la 46.ª sesión se presentó una versión revisada del Estudio exploratorio sobre el derecho de préstamo público (documento </w:t>
      </w:r>
      <w:hyperlink r:id="rId19" w:history="1">
        <w:r w:rsidRPr="008658D5">
          <w:rPr>
            <w:rStyle w:val="Hyperlink"/>
            <w:lang w:val="es-419"/>
          </w:rPr>
          <w:t>SCCR/45/7 Rev.</w:t>
        </w:r>
      </w:hyperlink>
      <w:r w:rsidRPr="008658D5">
        <w:rPr>
          <w:lang w:val="es-419"/>
        </w:rPr>
        <w:t xml:space="preserve">), junto con sus Anexos </w:t>
      </w:r>
      <w:hyperlink r:id="rId20" w:history="1">
        <w:r w:rsidRPr="008658D5">
          <w:rPr>
            <w:rStyle w:val="Hyperlink"/>
            <w:lang w:val="es-419"/>
          </w:rPr>
          <w:t>I</w:t>
        </w:r>
      </w:hyperlink>
      <w:r w:rsidRPr="008658D5">
        <w:rPr>
          <w:lang w:val="es-419"/>
        </w:rPr>
        <w:t xml:space="preserve"> y  </w:t>
      </w:r>
      <w:hyperlink r:id="rId21" w:history="1">
        <w:r w:rsidRPr="008658D5">
          <w:rPr>
            <w:rStyle w:val="Hyperlink"/>
            <w:lang w:val="es-419"/>
          </w:rPr>
          <w:t>II</w:t>
        </w:r>
      </w:hyperlink>
      <w:r w:rsidRPr="008658D5">
        <w:rPr>
          <w:lang w:val="es-419"/>
        </w:rPr>
        <w:t xml:space="preserve"> ). El Comité reconoció la labor realizada por la autora, Sra. Sabine Richly, e indicó que serviría de documento de referencia útil y exhaustivo para el futuro. Con la finalización del estudio, se concluyó labor sobre el tema del derecho de préstamo público</w:t>
      </w:r>
      <w:r w:rsidR="00791A23" w:rsidRPr="008658D5">
        <w:rPr>
          <w:lang w:val="es-419"/>
        </w:rPr>
        <w:t>.</w:t>
      </w:r>
    </w:p>
    <w:p w14:paraId="357B85D6" w14:textId="77777777" w:rsidR="00791A23" w:rsidRPr="008658D5" w:rsidRDefault="00791A23" w:rsidP="00791A23">
      <w:pPr>
        <w:pStyle w:val="Heading2"/>
        <w:keepNext w:val="0"/>
        <w:spacing w:before="0" w:after="120"/>
        <w:rPr>
          <w:szCs w:val="22"/>
          <w:lang w:val="es-419"/>
        </w:rPr>
      </w:pPr>
      <w:r w:rsidRPr="008658D5">
        <w:rPr>
          <w:szCs w:val="22"/>
          <w:lang w:val="es-419"/>
        </w:rPr>
        <w:t>PROPUESTA DE ESTUDIO SOBRE LOS DERECHOS DE LOS AUTORES DEL SECTOR AUDIOVISUAL</w:t>
      </w:r>
    </w:p>
    <w:p w14:paraId="5ECA3CF4" w14:textId="77777777" w:rsidR="00791A23" w:rsidRPr="008658D5" w:rsidRDefault="00791A23" w:rsidP="00791A23">
      <w:pPr>
        <w:pStyle w:val="ONUMFS"/>
        <w:rPr>
          <w:rFonts w:eastAsia="Calibri"/>
          <w:lang w:val="es-419"/>
        </w:rPr>
      </w:pPr>
      <w:r w:rsidRPr="008658D5">
        <w:rPr>
          <w:lang w:val="es-419"/>
        </w:rPr>
        <w:t>La Propuesta de estudio sobre los derechos de los autores del sector audiovisual lleva examinándose en el punto del orden del día “Otros asuntos” desde la 44.ª sesión del SCCR, en noviembre de 2023.</w:t>
      </w:r>
    </w:p>
    <w:p w14:paraId="0F915128" w14:textId="0276021A" w:rsidR="00791A23" w:rsidRPr="008658D5" w:rsidRDefault="00E110B7" w:rsidP="009976AF">
      <w:pPr>
        <w:pStyle w:val="ONUMFS"/>
        <w:rPr>
          <w:lang w:val="es-419"/>
        </w:rPr>
      </w:pPr>
      <w:r w:rsidRPr="008658D5">
        <w:rPr>
          <w:lang w:val="es-419"/>
        </w:rPr>
        <w:t xml:space="preserve">En la 46.ª sesión, el Comité examinó la versión revisada de la Propuesta de estudio sobre los derechos de los autores del sector audiovisual y su remuneración por la explotación de sus obras (documento </w:t>
      </w:r>
      <w:hyperlink r:id="rId22" w:history="1">
        <w:r w:rsidRPr="008658D5">
          <w:rPr>
            <w:rStyle w:val="Hyperlink"/>
            <w:lang w:val="es-419"/>
          </w:rPr>
          <w:t>SCCR/44/7 Rev.</w:t>
        </w:r>
      </w:hyperlink>
      <w:r w:rsidRPr="008658D5">
        <w:rPr>
          <w:lang w:val="es-419"/>
        </w:rPr>
        <w:t xml:space="preserve">), presentada por la delegación de Côte d'Ivoire. Dadas las </w:t>
      </w:r>
      <w:r w:rsidRPr="008658D5">
        <w:rPr>
          <w:lang w:val="es-419"/>
        </w:rPr>
        <w:lastRenderedPageBreak/>
        <w:t>diferentes opiniones sobre el alcance del estudio manifestadas por algunos miembros, el Comité acordó que se siga examinando esta propuesta en la 47.ª sesión del SCCR</w:t>
      </w:r>
      <w:r w:rsidR="00791A23" w:rsidRPr="008658D5">
        <w:rPr>
          <w:lang w:val="es-419"/>
        </w:rPr>
        <w:t>.</w:t>
      </w:r>
    </w:p>
    <w:p w14:paraId="54E33051" w14:textId="77777777" w:rsidR="00791A23" w:rsidRPr="008658D5" w:rsidRDefault="00791A23" w:rsidP="00791A23">
      <w:pPr>
        <w:pStyle w:val="Heading2"/>
        <w:keepLines/>
        <w:spacing w:before="0" w:after="120"/>
        <w:rPr>
          <w:szCs w:val="22"/>
          <w:lang w:val="es-419"/>
        </w:rPr>
      </w:pPr>
      <w:r w:rsidRPr="008658D5">
        <w:rPr>
          <w:szCs w:val="22"/>
          <w:lang w:val="es-419"/>
        </w:rPr>
        <w:t>PROPUESTA DE ESTUDIO SOBRE LA PROTECCIÓN POR DERECHO DE AUTOR DE LAS NORMAS TÉCNICAS</w:t>
      </w:r>
    </w:p>
    <w:p w14:paraId="2AC16387" w14:textId="74B7C496" w:rsidR="00791A23" w:rsidRPr="008658D5" w:rsidRDefault="00E110B7" w:rsidP="00791A23">
      <w:pPr>
        <w:pStyle w:val="ONUMFS"/>
        <w:rPr>
          <w:lang w:val="es-419"/>
        </w:rPr>
      </w:pPr>
      <w:bookmarkStart w:id="6" w:name="_Hlk167201881"/>
      <w:r w:rsidRPr="008658D5">
        <w:rPr>
          <w:lang w:val="es-419"/>
        </w:rPr>
        <w:t xml:space="preserve">En la 46.ª sesión, la delegación del Canadá presentó la Propuesta de estudio sobre la protección por derecho de autor de las normas técnicas (documento </w:t>
      </w:r>
      <w:hyperlink r:id="rId23" w:history="1">
        <w:r w:rsidRPr="008658D5">
          <w:rPr>
            <w:rStyle w:val="Hyperlink"/>
            <w:lang w:val="es-419"/>
          </w:rPr>
          <w:t>SCCR/46/4 Rev.</w:t>
        </w:r>
      </w:hyperlink>
      <w:r w:rsidRPr="008658D5">
        <w:rPr>
          <w:lang w:val="es-419"/>
        </w:rPr>
        <w:t>). Algunos miembros del Comité acogieron con satisfacción la propuesta, mientras que otros solicitaron más tiempo para examinarla. El Comité decidió seguir examinando la propuesta en la</w:t>
      </w:r>
      <w:r w:rsidR="008E71E0" w:rsidRPr="008658D5">
        <w:rPr>
          <w:lang w:val="es-419"/>
        </w:rPr>
        <w:t> </w:t>
      </w:r>
      <w:r w:rsidRPr="008658D5">
        <w:rPr>
          <w:lang w:val="es-419"/>
        </w:rPr>
        <w:t>47.ª sesión del SCCR</w:t>
      </w:r>
      <w:r w:rsidR="00791A23" w:rsidRPr="008658D5">
        <w:rPr>
          <w:lang w:val="es-419"/>
        </w:rPr>
        <w:t xml:space="preserve">. </w:t>
      </w:r>
    </w:p>
    <w:p w14:paraId="5813EC30" w14:textId="77777777" w:rsidR="00791A23" w:rsidRPr="008658D5" w:rsidRDefault="00791A23" w:rsidP="008E71E0">
      <w:pPr>
        <w:pStyle w:val="ONUMFS"/>
        <w:tabs>
          <w:tab w:val="clear" w:pos="567"/>
        </w:tabs>
        <w:ind w:left="5534"/>
        <w:rPr>
          <w:rFonts w:eastAsia="Calibri"/>
          <w:i/>
          <w:iCs/>
          <w:lang w:val="es-419"/>
        </w:rPr>
      </w:pPr>
      <w:r w:rsidRPr="008658D5">
        <w:rPr>
          <w:i/>
          <w:iCs/>
          <w:lang w:val="es-419"/>
        </w:rPr>
        <w:t>Se invita a la Asamblea General de la OMPI a:</w:t>
      </w:r>
    </w:p>
    <w:p w14:paraId="5B9CC391" w14:textId="77777777" w:rsidR="00791A23" w:rsidRPr="008658D5" w:rsidRDefault="00791A23" w:rsidP="00791A23">
      <w:pPr>
        <w:pStyle w:val="ONUMFS"/>
        <w:numPr>
          <w:ilvl w:val="2"/>
          <w:numId w:val="6"/>
        </w:numPr>
        <w:tabs>
          <w:tab w:val="clear" w:pos="1701"/>
          <w:tab w:val="left" w:pos="6521"/>
        </w:tabs>
        <w:ind w:left="6096"/>
        <w:rPr>
          <w:i/>
          <w:iCs/>
          <w:lang w:val="es-419"/>
        </w:rPr>
      </w:pPr>
      <w:r w:rsidRPr="008658D5">
        <w:rPr>
          <w:i/>
          <w:iCs/>
          <w:lang w:val="es-419"/>
        </w:rPr>
        <w:t>tomar nota del “Informe del Comité Permanente de Derecho de Autor y Derechos Conexos” (documento WO/GA/58/4); y</w:t>
      </w:r>
    </w:p>
    <w:p w14:paraId="42F6131F" w14:textId="70A84CA6" w:rsidR="00791A23" w:rsidRPr="008658D5" w:rsidRDefault="00791A23" w:rsidP="00791A23">
      <w:pPr>
        <w:pStyle w:val="ONUMFS"/>
        <w:numPr>
          <w:ilvl w:val="2"/>
          <w:numId w:val="6"/>
        </w:numPr>
        <w:tabs>
          <w:tab w:val="clear" w:pos="1701"/>
          <w:tab w:val="left" w:pos="6521"/>
        </w:tabs>
        <w:spacing w:after="600"/>
        <w:ind w:left="6095"/>
        <w:rPr>
          <w:i/>
          <w:szCs w:val="22"/>
          <w:lang w:val="es-419"/>
        </w:rPr>
      </w:pPr>
      <w:r w:rsidRPr="008658D5">
        <w:rPr>
          <w:i/>
          <w:szCs w:val="22"/>
          <w:lang w:val="es-419"/>
        </w:rPr>
        <w:t>ordenar al SCCR que continúe con su labor relativa a las demás cuestiones de las que se informa en el documento WO/GA/58/4.</w:t>
      </w:r>
    </w:p>
    <w:bookmarkEnd w:id="6"/>
    <w:p w14:paraId="74904FFA" w14:textId="77777777" w:rsidR="00791A23" w:rsidRPr="008658D5" w:rsidRDefault="00791A23" w:rsidP="00791A23">
      <w:pPr>
        <w:pStyle w:val="Endofdocument-Annex"/>
        <w:spacing w:after="240"/>
        <w:ind w:left="5529"/>
        <w:rPr>
          <w:szCs w:val="22"/>
          <w:lang w:val="es-419"/>
        </w:rPr>
      </w:pPr>
      <w:r w:rsidRPr="008658D5">
        <w:rPr>
          <w:szCs w:val="22"/>
          <w:lang w:val="es-419"/>
        </w:rPr>
        <w:t>[Sigue el resumen de la Presidencia de la 46.ª sesión del SCCR]</w:t>
      </w:r>
    </w:p>
    <w:p w14:paraId="5F592A9F" w14:textId="77777777" w:rsidR="00791A23" w:rsidRPr="008658D5" w:rsidRDefault="00791A23" w:rsidP="00791A23">
      <w:pPr>
        <w:spacing w:after="240"/>
        <w:rPr>
          <w:szCs w:val="22"/>
          <w:lang w:val="es-419"/>
        </w:rPr>
        <w:sectPr w:rsidR="00791A23" w:rsidRPr="008658D5" w:rsidSect="00791A23">
          <w:headerReference w:type="default" r:id="rId24"/>
          <w:endnotePr>
            <w:numFmt w:val="decimal"/>
          </w:endnotePr>
          <w:pgSz w:w="11907" w:h="16840" w:code="9"/>
          <w:pgMar w:top="567" w:right="1134" w:bottom="1418" w:left="1418" w:header="510" w:footer="1021" w:gutter="0"/>
          <w:cols w:space="720"/>
          <w:titlePg/>
          <w:docGrid w:linePitch="299"/>
        </w:sectPr>
      </w:pPr>
    </w:p>
    <w:p w14:paraId="005E9EA2" w14:textId="77777777" w:rsidR="00791A23" w:rsidRPr="008658D5" w:rsidRDefault="00791A23" w:rsidP="00791A23">
      <w:pPr>
        <w:spacing w:after="120"/>
        <w:jc w:val="right"/>
        <w:rPr>
          <w:lang w:val="es-419"/>
        </w:rPr>
      </w:pPr>
      <w:r w:rsidRPr="008658D5">
        <w:rPr>
          <w:noProof/>
          <w:lang w:val="es-419" w:eastAsia="en-US"/>
        </w:rPr>
        <w:lastRenderedPageBreak/>
        <w:drawing>
          <wp:inline distT="0" distB="0" distL="0" distR="0" wp14:anchorId="546D8D30" wp14:editId="09CE5D3B">
            <wp:extent cx="3014550" cy="1332000"/>
            <wp:effectExtent l="0" t="0" r="0" b="1905"/>
            <wp:docPr id="80186171" name="Picture 8018617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8658D5">
        <w:rPr>
          <w:rFonts w:ascii="Arial Black" w:hAnsi="Arial Black"/>
          <w:caps/>
          <w:noProof/>
          <w:sz w:val="15"/>
          <w:szCs w:val="15"/>
          <w:lang w:val="es-419" w:eastAsia="en-US"/>
        </w:rPr>
        <mc:AlternateContent>
          <mc:Choice Requires="wps">
            <w:drawing>
              <wp:inline distT="0" distB="0" distL="0" distR="0" wp14:anchorId="4CDB5E66" wp14:editId="16C15137">
                <wp:extent cx="5935980" cy="0"/>
                <wp:effectExtent l="0" t="0" r="26670" b="19050"/>
                <wp:docPr id="1603665526" name="Straight Connector 1603665526"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6D6ACB" id="Straight Connector 1603665526"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F86D5D" w14:textId="77777777" w:rsidR="00791A23" w:rsidRPr="008658D5" w:rsidRDefault="00791A23" w:rsidP="00791A23">
      <w:pPr>
        <w:jc w:val="right"/>
        <w:rPr>
          <w:rFonts w:ascii="Arial Black" w:hAnsi="Arial Black"/>
          <w:caps/>
          <w:sz w:val="15"/>
          <w:lang w:val="es-419"/>
        </w:rPr>
      </w:pPr>
      <w:r w:rsidRPr="008658D5">
        <w:rPr>
          <w:rFonts w:ascii="Arial Black" w:hAnsi="Arial Black"/>
          <w:caps/>
          <w:sz w:val="15"/>
          <w:szCs w:val="15"/>
          <w:lang w:val="es-419"/>
        </w:rPr>
        <w:t>SCCR/46/SUMMARY</w:t>
      </w:r>
    </w:p>
    <w:p w14:paraId="7D8871AF" w14:textId="77777777" w:rsidR="00791A23" w:rsidRPr="008658D5" w:rsidRDefault="00791A23" w:rsidP="00791A23">
      <w:pPr>
        <w:jc w:val="right"/>
        <w:rPr>
          <w:rFonts w:ascii="Arial Black" w:hAnsi="Arial Black"/>
          <w:caps/>
          <w:sz w:val="15"/>
          <w:lang w:val="es-419"/>
        </w:rPr>
      </w:pPr>
      <w:r w:rsidRPr="008658D5">
        <w:rPr>
          <w:rFonts w:ascii="Arial Black" w:hAnsi="Arial Black"/>
          <w:caps/>
          <w:sz w:val="15"/>
          <w:lang w:val="es-419"/>
        </w:rPr>
        <w:t>ORIGINAL: INGLÉS</w:t>
      </w:r>
    </w:p>
    <w:p w14:paraId="767E3A30" w14:textId="77777777" w:rsidR="00791A23" w:rsidRPr="008658D5" w:rsidRDefault="00791A23" w:rsidP="00791A23">
      <w:pPr>
        <w:spacing w:after="1200"/>
        <w:jc w:val="right"/>
        <w:rPr>
          <w:rFonts w:ascii="Arial Black" w:hAnsi="Arial Black"/>
          <w:caps/>
          <w:sz w:val="15"/>
          <w:lang w:val="es-419"/>
        </w:rPr>
      </w:pPr>
      <w:r w:rsidRPr="008658D5">
        <w:rPr>
          <w:rFonts w:ascii="Arial Black" w:hAnsi="Arial Black"/>
          <w:caps/>
          <w:sz w:val="15"/>
          <w:lang w:val="es-419"/>
        </w:rPr>
        <w:t>FECHA: 11 DE ABRIL DE 2025</w:t>
      </w:r>
    </w:p>
    <w:p w14:paraId="638B27C4" w14:textId="77777777" w:rsidR="00791A23" w:rsidRPr="008658D5" w:rsidRDefault="00791A23" w:rsidP="00791A23">
      <w:pPr>
        <w:spacing w:after="720"/>
        <w:rPr>
          <w:b/>
          <w:sz w:val="28"/>
          <w:szCs w:val="28"/>
          <w:lang w:val="es-419"/>
        </w:rPr>
      </w:pPr>
      <w:r w:rsidRPr="008658D5">
        <w:rPr>
          <w:b/>
          <w:sz w:val="28"/>
          <w:szCs w:val="28"/>
          <w:lang w:val="es-419"/>
        </w:rPr>
        <w:t>Comité Permanente de Derecho de Autor y Derechos Conexos</w:t>
      </w:r>
    </w:p>
    <w:p w14:paraId="6C816C6F" w14:textId="77777777" w:rsidR="00791A23" w:rsidRPr="008658D5" w:rsidRDefault="00791A23" w:rsidP="00791A23">
      <w:pPr>
        <w:rPr>
          <w:b/>
          <w:sz w:val="24"/>
          <w:szCs w:val="24"/>
          <w:lang w:val="es-419"/>
        </w:rPr>
      </w:pPr>
      <w:r w:rsidRPr="008658D5">
        <w:rPr>
          <w:b/>
          <w:sz w:val="24"/>
          <w:szCs w:val="24"/>
          <w:lang w:val="es-419"/>
        </w:rPr>
        <w:t>Cuadragésima sexta sesión</w:t>
      </w:r>
    </w:p>
    <w:p w14:paraId="3C29BD2F" w14:textId="77777777" w:rsidR="00791A23" w:rsidRPr="008658D5" w:rsidRDefault="00791A23" w:rsidP="00791A23">
      <w:pPr>
        <w:spacing w:after="720"/>
        <w:rPr>
          <w:b/>
          <w:sz w:val="24"/>
          <w:szCs w:val="24"/>
          <w:lang w:val="es-419"/>
        </w:rPr>
      </w:pPr>
      <w:r w:rsidRPr="008658D5">
        <w:rPr>
          <w:b/>
          <w:sz w:val="24"/>
          <w:szCs w:val="24"/>
          <w:lang w:val="es-419"/>
        </w:rPr>
        <w:t>Ginebra, 7 a 11 de abril de 2025</w:t>
      </w:r>
    </w:p>
    <w:p w14:paraId="284B8C6B" w14:textId="14F6DEFF" w:rsidR="00791A23" w:rsidRPr="008658D5" w:rsidRDefault="00791A23" w:rsidP="00791A23">
      <w:pPr>
        <w:spacing w:after="360"/>
        <w:rPr>
          <w:caps/>
          <w:sz w:val="24"/>
          <w:lang w:val="es-419"/>
        </w:rPr>
      </w:pPr>
      <w:r w:rsidRPr="008658D5">
        <w:rPr>
          <w:caps/>
          <w:sz w:val="24"/>
          <w:lang w:val="es-419"/>
        </w:rPr>
        <w:t>Resumen de la Presidencia</w:t>
      </w:r>
    </w:p>
    <w:p w14:paraId="75569E43" w14:textId="411E5C63" w:rsidR="00791A23" w:rsidRPr="008658D5" w:rsidRDefault="00791A23" w:rsidP="00791A23">
      <w:pPr>
        <w:spacing w:after="960"/>
        <w:rPr>
          <w:i/>
          <w:lang w:val="es-419"/>
        </w:rPr>
      </w:pPr>
      <w:r w:rsidRPr="008658D5">
        <w:rPr>
          <w:i/>
          <w:lang w:val="es-419"/>
        </w:rPr>
        <w:t>preparado por la Presidencia</w:t>
      </w:r>
    </w:p>
    <w:p w14:paraId="4753E7D3" w14:textId="77777777" w:rsidR="00791A23" w:rsidRPr="008658D5" w:rsidRDefault="00791A23" w:rsidP="00791A23">
      <w:pPr>
        <w:spacing w:after="240"/>
        <w:rPr>
          <w:szCs w:val="22"/>
          <w:lang w:val="es-419"/>
        </w:rPr>
      </w:pPr>
      <w:r w:rsidRPr="008658D5">
        <w:rPr>
          <w:szCs w:val="22"/>
          <w:lang w:val="es-419"/>
        </w:rPr>
        <w:br w:type="page"/>
      </w:r>
    </w:p>
    <w:p w14:paraId="78F15447" w14:textId="77777777" w:rsidR="00791A23" w:rsidRPr="008658D5" w:rsidRDefault="00791A23" w:rsidP="00791A23">
      <w:pPr>
        <w:spacing w:after="120"/>
        <w:rPr>
          <w:b/>
          <w:caps/>
          <w:szCs w:val="22"/>
          <w:lang w:val="es-419"/>
        </w:rPr>
      </w:pPr>
      <w:r w:rsidRPr="008658D5">
        <w:rPr>
          <w:b/>
          <w:szCs w:val="22"/>
          <w:lang w:val="es-419"/>
        </w:rPr>
        <w:lastRenderedPageBreak/>
        <w:t xml:space="preserve">PUNTO 1 DEL ORDEN DEL DÍA: </w:t>
      </w:r>
      <w:r w:rsidRPr="008658D5">
        <w:rPr>
          <w:b/>
          <w:caps/>
          <w:szCs w:val="22"/>
          <w:lang w:val="es-419"/>
        </w:rPr>
        <w:t>Apertura de la sesión</w:t>
      </w:r>
    </w:p>
    <w:p w14:paraId="40FBB913" w14:textId="77777777" w:rsidR="00791A23" w:rsidRPr="008658D5" w:rsidRDefault="00791A23" w:rsidP="00791A23">
      <w:pPr>
        <w:pStyle w:val="ListParagraph"/>
        <w:numPr>
          <w:ilvl w:val="0"/>
          <w:numId w:val="9"/>
        </w:numPr>
        <w:tabs>
          <w:tab w:val="left" w:pos="540"/>
        </w:tabs>
        <w:spacing w:after="480"/>
        <w:ind w:left="0" w:firstLine="0"/>
        <w:contextualSpacing w:val="0"/>
        <w:rPr>
          <w:rFonts w:eastAsia="Times New Roman"/>
          <w:szCs w:val="22"/>
          <w:lang w:val="es-419"/>
        </w:rPr>
      </w:pPr>
      <w:r w:rsidRPr="008658D5">
        <w:rPr>
          <w:szCs w:val="22"/>
          <w:lang w:val="es-419"/>
        </w:rPr>
        <w:t>La cuadragésima sexta sesión del Comité Permanente de Derecho de Autor y Derechos Conexos (“SCCR” o “Comité”) fue inaugurada por la directora general adjunta, Sra. Sylvie Forbin. La Sra. Vanessa Cohen Jiménez ejerció de presidenta y el Sr. Peter Lábody, de vicepresidente. La Sra. Michele Woods (OMPI) desempeñó la función de secretaria.</w:t>
      </w:r>
    </w:p>
    <w:p w14:paraId="51BEDAD9" w14:textId="77777777" w:rsidR="00791A23" w:rsidRPr="008658D5" w:rsidRDefault="00791A23" w:rsidP="00791A23">
      <w:pPr>
        <w:spacing w:after="120"/>
        <w:rPr>
          <w:b/>
          <w:caps/>
          <w:szCs w:val="22"/>
          <w:lang w:val="es-419"/>
        </w:rPr>
      </w:pPr>
      <w:r w:rsidRPr="008658D5">
        <w:rPr>
          <w:b/>
          <w:szCs w:val="22"/>
          <w:lang w:val="es-419"/>
        </w:rPr>
        <w:t xml:space="preserve">PUNTO 2 DEL ORDEN DEL DÍA: </w:t>
      </w:r>
      <w:r w:rsidRPr="008658D5">
        <w:rPr>
          <w:b/>
          <w:caps/>
          <w:szCs w:val="22"/>
          <w:lang w:val="es-419"/>
        </w:rPr>
        <w:t xml:space="preserve">Aprobación del orden del día </w:t>
      </w:r>
    </w:p>
    <w:p w14:paraId="73695C41" w14:textId="201F67C8" w:rsidR="00791A23" w:rsidRPr="008658D5" w:rsidRDefault="00791A23" w:rsidP="00791A23">
      <w:pPr>
        <w:pStyle w:val="ListParagraph"/>
        <w:numPr>
          <w:ilvl w:val="0"/>
          <w:numId w:val="9"/>
        </w:numPr>
        <w:tabs>
          <w:tab w:val="left" w:pos="540"/>
        </w:tabs>
        <w:spacing w:after="480"/>
        <w:ind w:left="0" w:firstLine="0"/>
        <w:contextualSpacing w:val="0"/>
        <w:rPr>
          <w:szCs w:val="22"/>
          <w:lang w:val="es-419"/>
        </w:rPr>
      </w:pPr>
      <w:r w:rsidRPr="008658D5">
        <w:rPr>
          <w:szCs w:val="22"/>
          <w:lang w:val="es-419"/>
        </w:rPr>
        <w:t>El Comité aprobó el proyecto de orden del día (documento SCCR/46/1 Prov.).</w:t>
      </w:r>
    </w:p>
    <w:p w14:paraId="408DE4F0" w14:textId="77777777" w:rsidR="00791A23" w:rsidRPr="008658D5" w:rsidRDefault="00791A23" w:rsidP="00791A23">
      <w:pPr>
        <w:spacing w:after="120"/>
        <w:rPr>
          <w:b/>
          <w:caps/>
          <w:szCs w:val="22"/>
          <w:lang w:val="es-419"/>
        </w:rPr>
      </w:pPr>
      <w:r w:rsidRPr="008658D5">
        <w:rPr>
          <w:b/>
          <w:szCs w:val="22"/>
          <w:lang w:val="es-419"/>
        </w:rPr>
        <w:t xml:space="preserve">PUNTO 3 DEL ORDEN DEL DÍA: </w:t>
      </w:r>
      <w:r w:rsidRPr="008658D5">
        <w:rPr>
          <w:b/>
          <w:caps/>
          <w:szCs w:val="22"/>
          <w:lang w:val="es-419"/>
        </w:rPr>
        <w:t>Acreditación de nuevas organizaciones no gubernamentales</w:t>
      </w:r>
    </w:p>
    <w:p w14:paraId="48384775" w14:textId="49ADC9C5" w:rsidR="00791A23" w:rsidRPr="008658D5" w:rsidRDefault="00791A23" w:rsidP="00791A23">
      <w:pPr>
        <w:pStyle w:val="ListParagraph"/>
        <w:numPr>
          <w:ilvl w:val="0"/>
          <w:numId w:val="9"/>
        </w:numPr>
        <w:tabs>
          <w:tab w:val="left" w:pos="540"/>
        </w:tabs>
        <w:spacing w:after="120"/>
        <w:ind w:left="0" w:firstLine="0"/>
        <w:contextualSpacing w:val="0"/>
        <w:rPr>
          <w:rFonts w:eastAsia="Times New Roman"/>
          <w:szCs w:val="22"/>
          <w:lang w:val="es-419"/>
        </w:rPr>
      </w:pPr>
      <w:r w:rsidRPr="008658D5">
        <w:rPr>
          <w:szCs w:val="22"/>
          <w:lang w:val="es-419"/>
        </w:rPr>
        <w:t xml:space="preserve">El Comité aprobó la acreditación en calidad de observadores </w:t>
      </w:r>
      <w:r w:rsidRPr="008658D5">
        <w:rPr>
          <w:i/>
          <w:iCs/>
          <w:szCs w:val="22"/>
          <w:lang w:val="es-419"/>
        </w:rPr>
        <w:t>ad hoc</w:t>
      </w:r>
      <w:r w:rsidRPr="008658D5">
        <w:rPr>
          <w:szCs w:val="22"/>
          <w:lang w:val="es-419"/>
        </w:rPr>
        <w:t xml:space="preserve"> del SCCR de las siguientes organizaciones no gubernamentales mencionadas en el Anexo del documento SCCR/46/2:</w:t>
      </w:r>
    </w:p>
    <w:p w14:paraId="2EA9B8E7" w14:textId="77777777" w:rsidR="00791A23" w:rsidRPr="004C24E2" w:rsidRDefault="00791A23" w:rsidP="00791A23">
      <w:pPr>
        <w:ind w:left="567"/>
        <w:rPr>
          <w:rFonts w:eastAsia="Times New Roman"/>
          <w:szCs w:val="22"/>
          <w:lang w:val="en-US"/>
        </w:rPr>
      </w:pPr>
      <w:r w:rsidRPr="004C24E2">
        <w:rPr>
          <w:szCs w:val="22"/>
          <w:lang w:val="en-US"/>
        </w:rPr>
        <w:t>- African Publishers Network (APNET)</w:t>
      </w:r>
    </w:p>
    <w:p w14:paraId="4027548D" w14:textId="77777777" w:rsidR="00791A23" w:rsidRPr="004C24E2" w:rsidRDefault="00791A23" w:rsidP="00791A23">
      <w:pPr>
        <w:ind w:left="567"/>
        <w:rPr>
          <w:rFonts w:eastAsia="Times New Roman"/>
          <w:szCs w:val="22"/>
          <w:lang w:val="en-US"/>
        </w:rPr>
      </w:pPr>
      <w:r w:rsidRPr="004C24E2">
        <w:rPr>
          <w:szCs w:val="22"/>
          <w:lang w:val="en-US"/>
        </w:rPr>
        <w:t>- Canadian Association of Research Libraries (CARL)</w:t>
      </w:r>
    </w:p>
    <w:p w14:paraId="3FE38EDF" w14:textId="77777777" w:rsidR="00791A23" w:rsidRPr="008658D5" w:rsidRDefault="00791A23" w:rsidP="00791A23">
      <w:pPr>
        <w:ind w:left="567"/>
        <w:rPr>
          <w:rFonts w:eastAsia="Times New Roman"/>
          <w:szCs w:val="22"/>
          <w:lang w:val="es-419"/>
        </w:rPr>
      </w:pPr>
      <w:r w:rsidRPr="008658D5">
        <w:rPr>
          <w:szCs w:val="22"/>
          <w:lang w:val="es-419"/>
        </w:rPr>
        <w:t>- Federation of Screenwriters in Europe (FSE) (asociación internacional sin fines lucrativos)</w:t>
      </w:r>
    </w:p>
    <w:p w14:paraId="17ECDF33" w14:textId="77777777" w:rsidR="00791A23" w:rsidRPr="008658D5" w:rsidRDefault="00791A23" w:rsidP="00791A23">
      <w:pPr>
        <w:spacing w:after="240"/>
        <w:ind w:left="567"/>
        <w:rPr>
          <w:rFonts w:eastAsia="Times New Roman"/>
          <w:szCs w:val="22"/>
          <w:lang w:val="es-419"/>
        </w:rPr>
      </w:pPr>
      <w:r w:rsidRPr="008658D5">
        <w:rPr>
          <w:szCs w:val="22"/>
          <w:lang w:val="es-419"/>
        </w:rPr>
        <w:t>- Federazione Italiana Editori Giornali (FIEG)</w:t>
      </w:r>
    </w:p>
    <w:p w14:paraId="02F951B3" w14:textId="02DCC108" w:rsidR="00791A23" w:rsidRPr="008658D5" w:rsidRDefault="00791A23" w:rsidP="00791A23">
      <w:pPr>
        <w:pStyle w:val="ListParagraph"/>
        <w:tabs>
          <w:tab w:val="left" w:pos="540"/>
        </w:tabs>
        <w:spacing w:after="480"/>
        <w:ind w:left="0"/>
        <w:contextualSpacing w:val="0"/>
        <w:rPr>
          <w:szCs w:val="22"/>
          <w:lang w:val="es-419"/>
        </w:rPr>
      </w:pPr>
      <w:r w:rsidRPr="008658D5">
        <w:rPr>
          <w:szCs w:val="22"/>
          <w:lang w:val="es-419"/>
        </w:rPr>
        <w:t>No hubo consenso sobre la acreditación de otras dos organizaciones no gubernamentales.</w:t>
      </w:r>
    </w:p>
    <w:p w14:paraId="63F8524A" w14:textId="77777777" w:rsidR="00791A23" w:rsidRPr="008658D5" w:rsidRDefault="00791A23" w:rsidP="00791A23">
      <w:pPr>
        <w:spacing w:after="120"/>
        <w:rPr>
          <w:b/>
          <w:caps/>
          <w:szCs w:val="22"/>
          <w:lang w:val="es-419"/>
        </w:rPr>
      </w:pPr>
      <w:r w:rsidRPr="008658D5">
        <w:rPr>
          <w:b/>
          <w:caps/>
          <w:szCs w:val="22"/>
          <w:lang w:val="es-419"/>
        </w:rPr>
        <w:t>PUNTO 4 DEL ORDEN DEL DÍA: Protección de los organismos de radiodifusión</w:t>
      </w:r>
    </w:p>
    <w:p w14:paraId="058668A3" w14:textId="77895196" w:rsidR="00791A23" w:rsidRPr="008658D5" w:rsidRDefault="00791A23" w:rsidP="00791A23">
      <w:pPr>
        <w:pStyle w:val="ListParagraph"/>
        <w:numPr>
          <w:ilvl w:val="0"/>
          <w:numId w:val="9"/>
        </w:numPr>
        <w:tabs>
          <w:tab w:val="left" w:pos="540"/>
        </w:tabs>
        <w:spacing w:after="240"/>
        <w:ind w:left="0" w:firstLine="0"/>
        <w:contextualSpacing w:val="0"/>
        <w:rPr>
          <w:szCs w:val="22"/>
          <w:lang w:val="es-419"/>
        </w:rPr>
      </w:pPr>
      <w:r w:rsidRPr="008658D5">
        <w:rPr>
          <w:szCs w:val="22"/>
          <w:lang w:val="es-419"/>
        </w:rPr>
        <w:t xml:space="preserve">Los documentos de las sesiones anteriores relacionados con este punto del orden del día están disponibles en la página web dedicada a la 46.ª sesión del SCCR en </w:t>
      </w:r>
      <w:hyperlink r:id="rId25" w:history="1">
        <w:r w:rsidRPr="008658D5">
          <w:rPr>
            <w:rStyle w:val="Hyperlink"/>
            <w:szCs w:val="22"/>
            <w:lang w:val="es-419"/>
          </w:rPr>
          <w:t>https://www.wipo.int/meetings/en/details.jsp?meeting_id=86568</w:t>
        </w:r>
      </w:hyperlink>
      <w:r w:rsidRPr="008658D5">
        <w:rPr>
          <w:szCs w:val="22"/>
          <w:lang w:val="es-419"/>
        </w:rPr>
        <w:t>.</w:t>
      </w:r>
    </w:p>
    <w:p w14:paraId="2157FB22" w14:textId="61A578CC" w:rsidR="00791A23" w:rsidRPr="008658D5" w:rsidRDefault="00791A23" w:rsidP="00791A23">
      <w:pPr>
        <w:pStyle w:val="ListParagraph"/>
        <w:numPr>
          <w:ilvl w:val="0"/>
          <w:numId w:val="9"/>
        </w:numPr>
        <w:tabs>
          <w:tab w:val="left" w:pos="540"/>
        </w:tabs>
        <w:spacing w:after="240"/>
        <w:ind w:left="0" w:firstLine="0"/>
        <w:contextualSpacing w:val="0"/>
        <w:rPr>
          <w:rFonts w:eastAsia="Times New Roman"/>
          <w:i/>
          <w:szCs w:val="22"/>
          <w:lang w:val="es-419"/>
        </w:rPr>
      </w:pPr>
      <w:r w:rsidRPr="008658D5">
        <w:rPr>
          <w:szCs w:val="22"/>
          <w:lang w:val="es-419"/>
        </w:rPr>
        <w:t xml:space="preserve">El vicepresidente, Sr. Peter Lábody, y los facilitadores, Sres. Hezekiel Oira y Jukka Liedes presentaron el </w:t>
      </w:r>
      <w:hyperlink r:id="rId26" w:history="1">
        <w:r w:rsidRPr="008658D5">
          <w:rPr>
            <w:rStyle w:val="Hyperlink"/>
            <w:i/>
            <w:szCs w:val="22"/>
            <w:lang w:val="es-419"/>
          </w:rPr>
          <w:t xml:space="preserve">Proyecto de tratado de la OMPI sobre los organismos de radiodifusión </w:t>
        </w:r>
      </w:hyperlink>
      <w:r w:rsidRPr="008658D5">
        <w:rPr>
          <w:iCs/>
          <w:szCs w:val="22"/>
          <w:lang w:val="es-419"/>
        </w:rPr>
        <w:t>(documento SCCR/46/3),</w:t>
      </w:r>
      <w:r w:rsidRPr="008658D5">
        <w:rPr>
          <w:szCs w:val="22"/>
          <w:lang w:val="es-419"/>
        </w:rPr>
        <w:t xml:space="preserve"> preparado bajo la autoridad de la presidencia. </w:t>
      </w:r>
    </w:p>
    <w:p w14:paraId="7F4D4479" w14:textId="77777777" w:rsidR="00791A23" w:rsidRPr="008658D5" w:rsidRDefault="00791A23" w:rsidP="00791A23">
      <w:pPr>
        <w:pStyle w:val="ListParagraph"/>
        <w:numPr>
          <w:ilvl w:val="0"/>
          <w:numId w:val="9"/>
        </w:numPr>
        <w:tabs>
          <w:tab w:val="left" w:pos="540"/>
        </w:tabs>
        <w:spacing w:after="240"/>
        <w:ind w:left="0" w:firstLine="0"/>
        <w:contextualSpacing w:val="0"/>
        <w:rPr>
          <w:szCs w:val="22"/>
          <w:lang w:val="es-419"/>
        </w:rPr>
      </w:pPr>
      <w:r w:rsidRPr="008658D5">
        <w:rPr>
          <w:szCs w:val="22"/>
          <w:lang w:val="es-419"/>
        </w:rPr>
        <w:t xml:space="preserve">El Comité utilizó el proyecto de texto de la presidencia como base para el debate. Los Estados miembros y los observadores formularon observaciones en la sesión plenaria, y los Estados Miembros mantuvieron debates oficiosos constructivos. </w:t>
      </w:r>
    </w:p>
    <w:p w14:paraId="4EC87A97" w14:textId="77777777" w:rsidR="00791A23" w:rsidRPr="008658D5" w:rsidRDefault="00791A23" w:rsidP="00791A23">
      <w:pPr>
        <w:pStyle w:val="ListParagraph"/>
        <w:numPr>
          <w:ilvl w:val="0"/>
          <w:numId w:val="9"/>
        </w:numPr>
        <w:tabs>
          <w:tab w:val="left" w:pos="540"/>
        </w:tabs>
        <w:spacing w:after="240"/>
        <w:ind w:left="0" w:firstLine="0"/>
        <w:contextualSpacing w:val="0"/>
        <w:rPr>
          <w:rFonts w:eastAsia="Times New Roman"/>
          <w:iCs/>
          <w:szCs w:val="22"/>
          <w:lang w:val="es-419"/>
        </w:rPr>
      </w:pPr>
      <w:r w:rsidRPr="008658D5">
        <w:rPr>
          <w:szCs w:val="22"/>
          <w:lang w:val="es-419"/>
        </w:rPr>
        <w:t>Durante la sesión plenaria, varios Estados miembros señalaron que el Comité está casi listo para entablar las negociaciones finales en una conferencia diplomática, mientras que otros Estados miembros dijeron que hay que seguir debatiendo el asunto. Además, algunos Estados miembros plantearon la necesidad de explorar enfoques convergentes al margen del orden del día del SCCR en relación con el tema de la radiodifusión, mientras que otros Estados miembros se mostraron en desacuerdo con ello.</w:t>
      </w:r>
    </w:p>
    <w:p w14:paraId="1F4472F7" w14:textId="6620B1DC" w:rsidR="00791A23" w:rsidRPr="008658D5" w:rsidRDefault="00791A23" w:rsidP="00791A23">
      <w:pPr>
        <w:pStyle w:val="ListParagraph"/>
        <w:numPr>
          <w:ilvl w:val="0"/>
          <w:numId w:val="9"/>
        </w:numPr>
        <w:tabs>
          <w:tab w:val="left" w:pos="540"/>
        </w:tabs>
        <w:spacing w:after="240"/>
        <w:ind w:left="0" w:firstLine="0"/>
        <w:contextualSpacing w:val="0"/>
        <w:rPr>
          <w:szCs w:val="22"/>
          <w:lang w:val="es-419"/>
        </w:rPr>
      </w:pPr>
      <w:r w:rsidRPr="008658D5">
        <w:rPr>
          <w:szCs w:val="22"/>
          <w:lang w:val="es-419"/>
        </w:rPr>
        <w:t>A nivel informal, los debates abarcaron una serie de temas, entre ellos las cuestiones del trato nacional y la reciprocidad, las excepciones y limitaciones, las señales utilizadas en la puesta a disposición del público de programas almacenados , que se contempla en el artículo</w:t>
      </w:r>
      <w:r w:rsidR="00F42E6A" w:rsidRPr="008658D5">
        <w:rPr>
          <w:szCs w:val="22"/>
          <w:lang w:val="es-419"/>
        </w:rPr>
        <w:t> </w:t>
      </w:r>
      <w:r w:rsidRPr="008658D5">
        <w:rPr>
          <w:szCs w:val="22"/>
          <w:lang w:val="es-419"/>
        </w:rPr>
        <w:t xml:space="preserve">8, y el funcionamiento del mecanismo establecido en el artículo 10, incluidas las transmisiones inalámbricas. En su próxima sesión, el Comité seguirá celebrando debates, en particular sobre esas cuestiones, con el fin de seguir examinando si se recomienda o no a la Asamblea General que convoque una conferencia diplomática. </w:t>
      </w:r>
    </w:p>
    <w:p w14:paraId="05320682" w14:textId="77777777" w:rsidR="00791A23" w:rsidRPr="008658D5" w:rsidRDefault="00791A23" w:rsidP="00791A23">
      <w:pPr>
        <w:pStyle w:val="ListParagraph"/>
        <w:numPr>
          <w:ilvl w:val="0"/>
          <w:numId w:val="9"/>
        </w:numPr>
        <w:tabs>
          <w:tab w:val="left" w:pos="540"/>
        </w:tabs>
        <w:spacing w:after="240"/>
        <w:ind w:left="0" w:firstLine="0"/>
        <w:contextualSpacing w:val="0"/>
        <w:rPr>
          <w:szCs w:val="22"/>
          <w:lang w:val="es-419"/>
        </w:rPr>
      </w:pPr>
      <w:r w:rsidRPr="008658D5">
        <w:rPr>
          <w:szCs w:val="22"/>
          <w:lang w:val="es-419"/>
        </w:rPr>
        <w:lastRenderedPageBreak/>
        <w:t xml:space="preserve"> Sobre la base de lo anterior, la presidencia preparará un proyecto de texto revisado que se examinará en la 47.ª sesión del Comité.</w:t>
      </w:r>
    </w:p>
    <w:p w14:paraId="3B1063AA" w14:textId="77777777" w:rsidR="00791A23" w:rsidRPr="008658D5" w:rsidRDefault="00791A23" w:rsidP="00791A23">
      <w:pPr>
        <w:pStyle w:val="ListParagraph"/>
        <w:numPr>
          <w:ilvl w:val="0"/>
          <w:numId w:val="9"/>
        </w:numPr>
        <w:tabs>
          <w:tab w:val="left" w:pos="540"/>
        </w:tabs>
        <w:spacing w:after="480"/>
        <w:ind w:left="0" w:firstLine="0"/>
        <w:contextualSpacing w:val="0"/>
        <w:rPr>
          <w:szCs w:val="22"/>
          <w:lang w:val="es-419"/>
        </w:rPr>
      </w:pPr>
      <w:r w:rsidRPr="008658D5">
        <w:rPr>
          <w:szCs w:val="22"/>
          <w:lang w:val="es-419"/>
        </w:rPr>
        <w:t>El tema de la protección de los organismos de radiodifusión se mantendrá en el orden del día de la 47.ª sesión del SCCR.</w:t>
      </w:r>
    </w:p>
    <w:p w14:paraId="4ADA9B26" w14:textId="77777777" w:rsidR="00791A23" w:rsidRPr="008658D5" w:rsidRDefault="00791A23" w:rsidP="00502766">
      <w:pPr>
        <w:rPr>
          <w:b/>
          <w:caps/>
          <w:szCs w:val="22"/>
          <w:lang w:val="es-419"/>
        </w:rPr>
      </w:pPr>
      <w:bookmarkStart w:id="7" w:name="_Hlk195202190"/>
      <w:r w:rsidRPr="008658D5">
        <w:rPr>
          <w:b/>
          <w:caps/>
          <w:szCs w:val="22"/>
          <w:lang w:val="es-419"/>
        </w:rPr>
        <w:t>PUNTO 5 DEL ORDEN DEL DÍA: Limitaciones y excepciones para bibliotecas y archivos</w:t>
      </w:r>
    </w:p>
    <w:p w14:paraId="3F7EEB6E" w14:textId="77777777" w:rsidR="00791A23" w:rsidRPr="008658D5" w:rsidRDefault="00791A23" w:rsidP="00791A23">
      <w:pPr>
        <w:spacing w:after="120"/>
        <w:rPr>
          <w:b/>
          <w:caps/>
          <w:szCs w:val="22"/>
          <w:lang w:val="es-419"/>
        </w:rPr>
      </w:pPr>
      <w:r w:rsidRPr="008658D5">
        <w:rPr>
          <w:b/>
          <w:caps/>
          <w:szCs w:val="22"/>
          <w:lang w:val="es-419"/>
        </w:rPr>
        <w:t>PUNTO 6 DEL ORDEN DEL DÍA: Limitaciones y excepciones para instituciones docentes y de investigación y para personas con otras discapacidades</w:t>
      </w:r>
    </w:p>
    <w:p w14:paraId="2F91B0EF" w14:textId="4ABAD7A9" w:rsidR="00791A23" w:rsidRPr="008658D5" w:rsidRDefault="00791A23" w:rsidP="00791A23">
      <w:pPr>
        <w:pStyle w:val="ListParagraph"/>
        <w:numPr>
          <w:ilvl w:val="0"/>
          <w:numId w:val="9"/>
        </w:numPr>
        <w:tabs>
          <w:tab w:val="left" w:pos="540"/>
        </w:tabs>
        <w:spacing w:after="240"/>
        <w:ind w:left="0" w:firstLine="0"/>
        <w:contextualSpacing w:val="0"/>
        <w:rPr>
          <w:szCs w:val="22"/>
          <w:lang w:val="es-419"/>
        </w:rPr>
      </w:pPr>
      <w:r w:rsidRPr="008658D5">
        <w:rPr>
          <w:szCs w:val="22"/>
          <w:lang w:val="es-419"/>
        </w:rPr>
        <w:t xml:space="preserve"> Estos dos puntos del orden del día se trataron de forma conjunta. Los documentos de las sesiones anteriores relacionados con este punto del orden del día están disponibles en la página web dedicada a la 46.ª sesión del SCCR en </w:t>
      </w:r>
      <w:hyperlink r:id="rId27" w:history="1">
        <w:r w:rsidRPr="008658D5">
          <w:rPr>
            <w:rStyle w:val="Hyperlink"/>
            <w:szCs w:val="22"/>
            <w:lang w:val="es-419"/>
          </w:rPr>
          <w:t>https://www.wipo.int/meetings/es/details.jsp?meeting_id=86568</w:t>
        </w:r>
      </w:hyperlink>
      <w:r w:rsidRPr="008658D5">
        <w:rPr>
          <w:szCs w:val="22"/>
          <w:lang w:val="es-419"/>
        </w:rPr>
        <w:t>.</w:t>
      </w:r>
    </w:p>
    <w:p w14:paraId="6CB9BC0F" w14:textId="5B154BCE" w:rsidR="00791A23" w:rsidRPr="008658D5" w:rsidRDefault="00791A23" w:rsidP="00791A23">
      <w:pPr>
        <w:pStyle w:val="ListParagraph"/>
        <w:numPr>
          <w:ilvl w:val="0"/>
          <w:numId w:val="9"/>
        </w:numPr>
        <w:tabs>
          <w:tab w:val="left" w:pos="540"/>
        </w:tabs>
        <w:spacing w:after="240"/>
        <w:ind w:left="0" w:firstLine="0"/>
        <w:contextualSpacing w:val="0"/>
        <w:rPr>
          <w:rFonts w:eastAsia="Times New Roman"/>
          <w:color w:val="000000"/>
          <w:szCs w:val="22"/>
          <w:lang w:val="es-419"/>
        </w:rPr>
      </w:pPr>
      <w:r w:rsidRPr="008658D5">
        <w:rPr>
          <w:szCs w:val="22"/>
          <w:lang w:val="es-419"/>
        </w:rPr>
        <w:t xml:space="preserve">La presidenta abrió la sesión plenaria y presentó un resumen de un debate informal celebrado la semana anterior con un grupo de voluntarios en representación de todos los grupos de países, con el fin de buscar un terreno común sobre el camino a seguir en materia de limitaciones y excepciones. La presidenta y el vicepresidente buscaban ideas, planteamientos innovadores y deliberaciones sobre cómo avanzar, habida cuenta de las posiciones divergentes que se reflejan en un documento en el que se recogen todas las posiciones sobre un proyecto de plan de ejecución del </w:t>
      </w:r>
      <w:r w:rsidRPr="008658D5">
        <w:rPr>
          <w:i/>
          <w:iCs/>
          <w:szCs w:val="22"/>
          <w:lang w:val="es-419"/>
        </w:rPr>
        <w:t>programa de trabajo sobre limitaciones y excepciones</w:t>
      </w:r>
      <w:r w:rsidRPr="008658D5">
        <w:rPr>
          <w:szCs w:val="22"/>
          <w:lang w:val="es-419"/>
        </w:rPr>
        <w:t>, ya aprobado por el Comité en 2023 (documento SCCR/43/8 Rev.) (programa de trabajo).</w:t>
      </w:r>
    </w:p>
    <w:p w14:paraId="752EA864" w14:textId="77777777" w:rsidR="00791A23" w:rsidRPr="008658D5" w:rsidRDefault="00791A23" w:rsidP="00791A23">
      <w:pPr>
        <w:pStyle w:val="ListParagraph"/>
        <w:numPr>
          <w:ilvl w:val="0"/>
          <w:numId w:val="9"/>
        </w:numPr>
        <w:tabs>
          <w:tab w:val="left" w:pos="540"/>
        </w:tabs>
        <w:spacing w:after="240"/>
        <w:ind w:left="0" w:firstLine="0"/>
        <w:contextualSpacing w:val="0"/>
        <w:rPr>
          <w:rFonts w:eastAsia="Times New Roman"/>
          <w:color w:val="000000"/>
          <w:szCs w:val="22"/>
          <w:lang w:val="es-419"/>
        </w:rPr>
      </w:pPr>
      <w:r w:rsidRPr="008658D5">
        <w:rPr>
          <w:color w:val="000000"/>
          <w:szCs w:val="22"/>
          <w:lang w:val="es-419"/>
        </w:rPr>
        <w:t xml:space="preserve">El Comité mantuvo debates formales e informales para seguir examinando el camino a seguir en materia de limitaciones y excepciones. </w:t>
      </w:r>
      <w:r w:rsidRPr="008658D5">
        <w:rPr>
          <w:szCs w:val="22"/>
          <w:lang w:val="es-419"/>
        </w:rPr>
        <w:t>La presidenta pidió a los Estados miembros que expongan sus principales prioridades sustantivas de entre los numerosos temas relacionados con las limitaciones y excepciones y sugirió que se examine el programa de trabajo, que ya se ha acordado como documento del comité y podría constituir un punto de partida consensuado.</w:t>
      </w:r>
      <w:r w:rsidRPr="008658D5">
        <w:rPr>
          <w:color w:val="000000"/>
          <w:szCs w:val="22"/>
          <w:lang w:val="es-419"/>
        </w:rPr>
        <w:t xml:space="preserve"> En la reunión oficiosa se llevó a cabo un debate exhaustivo.</w:t>
      </w:r>
      <w:r w:rsidRPr="008658D5">
        <w:rPr>
          <w:b/>
          <w:color w:val="000000"/>
          <w:szCs w:val="22"/>
          <w:lang w:val="es-419"/>
        </w:rPr>
        <w:t xml:space="preserve"> </w:t>
      </w:r>
      <w:r w:rsidRPr="008658D5">
        <w:rPr>
          <w:szCs w:val="22"/>
          <w:lang w:val="es-419"/>
        </w:rPr>
        <w:t>Algunos miembros indicaron sus prioridades, entre ellas la preservación y la enseñanza, otros se refirieron a la labor relacionada con el mandato de 2012 de la Asamblea General sobre limitaciones y excepciones (mandato de 2012), y otros mencionaron otros documentos que podrían examinarse con miras a determinar los próximos pasos en esa esfera, como el que trata de objetivos y principios relativos a las excepciones y limitaciones (documento SCCR/44/5) que examina en la actualidad el SCCR.</w:t>
      </w:r>
      <w:r w:rsidRPr="008658D5">
        <w:rPr>
          <w:color w:val="000000"/>
          <w:szCs w:val="22"/>
          <w:lang w:val="es-419"/>
        </w:rPr>
        <w:t xml:space="preserve"> </w:t>
      </w:r>
      <w:r w:rsidRPr="008658D5">
        <w:rPr>
          <w:szCs w:val="22"/>
          <w:lang w:val="es-419"/>
        </w:rPr>
        <w:t>Algunos Estados Miembros recordaron que en el mandato de 2012 se hace referencia a la continuación del debate con miras a la elaboración de uno o varios instrumentos jurídicos internacionales adecuados sobre limitaciones o excepciones, y dijeron que están interesados en iniciar un debate basado en un texto. Por otra parte, hay Estados miembros que no comparten ese interés, pero convienen en seguir trabajando sobre la base del programa de trabajo, en particular en la elaboración de guías, mientras que otras delegaciones no consideran prioritario ese trabajo. La Secretaría presentó información actualizada sobre la situación de esa labor en curso.</w:t>
      </w:r>
      <w:r w:rsidRPr="008658D5">
        <w:rPr>
          <w:color w:val="000000"/>
          <w:szCs w:val="22"/>
          <w:lang w:val="es-419"/>
        </w:rPr>
        <w:t xml:space="preserve"> </w:t>
      </w:r>
    </w:p>
    <w:p w14:paraId="6646D3C5" w14:textId="77777777" w:rsidR="00791A23" w:rsidRPr="008658D5" w:rsidRDefault="00791A23" w:rsidP="00791A23">
      <w:pPr>
        <w:pStyle w:val="ListParagraph"/>
        <w:numPr>
          <w:ilvl w:val="0"/>
          <w:numId w:val="9"/>
        </w:numPr>
        <w:tabs>
          <w:tab w:val="left" w:pos="540"/>
        </w:tabs>
        <w:spacing w:after="240"/>
        <w:ind w:left="0" w:firstLine="0"/>
        <w:contextualSpacing w:val="0"/>
        <w:rPr>
          <w:rFonts w:eastAsia="Times New Roman"/>
          <w:color w:val="000000"/>
          <w:szCs w:val="22"/>
          <w:lang w:val="es-419"/>
        </w:rPr>
      </w:pPr>
      <w:r w:rsidRPr="008658D5">
        <w:rPr>
          <w:color w:val="000000"/>
          <w:szCs w:val="22"/>
          <w:lang w:val="es-419"/>
        </w:rPr>
        <w:t xml:space="preserve">La presidenta presentó el siguiente plan para facilitar, fomentar y alentar avances en materia de limitaciones y excepciones, como forma de superar la polarización de opiniones con el fin de acercar posiciones y lograr progresos. </w:t>
      </w:r>
    </w:p>
    <w:p w14:paraId="4C6D025E" w14:textId="77777777" w:rsidR="00791A23" w:rsidRPr="008658D5" w:rsidRDefault="00791A23" w:rsidP="00502766">
      <w:pPr>
        <w:pStyle w:val="ListParagraph"/>
        <w:numPr>
          <w:ilvl w:val="0"/>
          <w:numId w:val="7"/>
        </w:numPr>
        <w:ind w:left="714" w:hanging="357"/>
        <w:contextualSpacing w:val="0"/>
        <w:rPr>
          <w:rFonts w:eastAsia="Times New Roman"/>
          <w:color w:val="000000"/>
          <w:szCs w:val="22"/>
          <w:lang w:val="es-419"/>
        </w:rPr>
      </w:pPr>
      <w:r w:rsidRPr="008658D5">
        <w:rPr>
          <w:color w:val="000000"/>
          <w:szCs w:val="22"/>
          <w:lang w:val="es-419"/>
        </w:rPr>
        <w:t>El SCCR seguirá avanzando en los debates sobre la base del mandato de 2012 y del programa de trabajo.</w:t>
      </w:r>
    </w:p>
    <w:p w14:paraId="0D00BF58" w14:textId="32950AE6" w:rsidR="00791A23" w:rsidRPr="008658D5" w:rsidRDefault="00791A23" w:rsidP="00502766">
      <w:pPr>
        <w:pStyle w:val="ListParagraph"/>
        <w:numPr>
          <w:ilvl w:val="0"/>
          <w:numId w:val="7"/>
        </w:numPr>
        <w:ind w:left="714" w:hanging="357"/>
        <w:contextualSpacing w:val="0"/>
        <w:rPr>
          <w:rFonts w:eastAsia="Times New Roman"/>
          <w:color w:val="000000"/>
          <w:szCs w:val="22"/>
          <w:lang w:val="es-419"/>
        </w:rPr>
      </w:pPr>
      <w:r w:rsidRPr="008658D5">
        <w:rPr>
          <w:color w:val="000000"/>
          <w:szCs w:val="22"/>
          <w:lang w:val="es-419"/>
        </w:rPr>
        <w:lastRenderedPageBreak/>
        <w:t>El SCCR utilizará, de manera complementaria, todos los documentos pertinentes de que dispone, junto con las aportaciones formuladas por las delegaciones durante su</w:t>
      </w:r>
      <w:r w:rsidR="008E71E0" w:rsidRPr="008658D5">
        <w:rPr>
          <w:color w:val="000000"/>
          <w:szCs w:val="22"/>
          <w:lang w:val="es-419"/>
        </w:rPr>
        <w:t> </w:t>
      </w:r>
      <w:r w:rsidRPr="008658D5">
        <w:rPr>
          <w:color w:val="000000"/>
          <w:szCs w:val="22"/>
          <w:lang w:val="es-419"/>
        </w:rPr>
        <w:t>46.ª sesión.</w:t>
      </w:r>
    </w:p>
    <w:p w14:paraId="70B95BB9" w14:textId="77777777" w:rsidR="00791A23" w:rsidRPr="008658D5" w:rsidRDefault="00791A23" w:rsidP="00502766">
      <w:pPr>
        <w:pStyle w:val="ListParagraph"/>
        <w:numPr>
          <w:ilvl w:val="0"/>
          <w:numId w:val="7"/>
        </w:numPr>
        <w:ind w:left="714" w:hanging="357"/>
        <w:contextualSpacing w:val="0"/>
        <w:rPr>
          <w:rFonts w:eastAsia="Times New Roman"/>
          <w:color w:val="000000"/>
          <w:szCs w:val="22"/>
          <w:lang w:val="es-419"/>
        </w:rPr>
      </w:pPr>
      <w:r w:rsidRPr="008658D5">
        <w:rPr>
          <w:color w:val="000000"/>
          <w:szCs w:val="22"/>
          <w:lang w:val="es-419"/>
        </w:rPr>
        <w:t xml:space="preserve">La presidenta y el vicepresidente prepararán un documento con sugerencias concretas destinadas a encontrar un terreno común sobre el tema de las limitaciones y excepciones, para la aplicación del programa de trabajo, que se presentará a los Estados miembros para su examen durante la próxima sesión del SCCR, teniendo en cuenta los documentos mencionados y las contribuciones formuladas durante los debates plenarios y oficiosos celebrados durante la 46.ª sesión del SCCR. La presidenta consultó a todos los grupos regionales y todos ellos respaldaron específicamente esa propuesta. </w:t>
      </w:r>
    </w:p>
    <w:p w14:paraId="1200B05C" w14:textId="77777777" w:rsidR="00791A23" w:rsidRPr="008658D5" w:rsidRDefault="00791A23" w:rsidP="00791A23">
      <w:pPr>
        <w:pStyle w:val="ListParagraph"/>
        <w:numPr>
          <w:ilvl w:val="0"/>
          <w:numId w:val="7"/>
        </w:numPr>
        <w:spacing w:after="240"/>
        <w:contextualSpacing w:val="0"/>
        <w:rPr>
          <w:rFonts w:eastAsia="Times New Roman"/>
          <w:color w:val="000000"/>
          <w:szCs w:val="22"/>
          <w:lang w:val="es-419"/>
        </w:rPr>
      </w:pPr>
      <w:r w:rsidRPr="008658D5">
        <w:rPr>
          <w:color w:val="000000"/>
          <w:szCs w:val="22"/>
          <w:lang w:val="es-419"/>
        </w:rPr>
        <w:t>La presidenta y el vicepresidente mantendrán una actitud de apertura y estarán disponibles para recibir aportaciones de los miembros, aunque no se realizarán trabajos entre sesiones.</w:t>
      </w:r>
    </w:p>
    <w:p w14:paraId="59796527" w14:textId="77777777" w:rsidR="00791A23" w:rsidRPr="008658D5" w:rsidRDefault="00791A23" w:rsidP="00791A23">
      <w:pPr>
        <w:pStyle w:val="ListParagraph"/>
        <w:numPr>
          <w:ilvl w:val="0"/>
          <w:numId w:val="9"/>
        </w:numPr>
        <w:tabs>
          <w:tab w:val="left" w:pos="540"/>
        </w:tabs>
        <w:spacing w:after="480"/>
        <w:ind w:left="0" w:firstLine="0"/>
        <w:contextualSpacing w:val="0"/>
        <w:rPr>
          <w:szCs w:val="22"/>
          <w:lang w:val="es-419"/>
        </w:rPr>
      </w:pPr>
      <w:r w:rsidRPr="008658D5">
        <w:rPr>
          <w:szCs w:val="22"/>
          <w:lang w:val="es-419"/>
        </w:rPr>
        <w:t>Los puntos del orden del día sobre limitaciones y excepciones para instituciones docentes y de investigación y para personas con otras discapacidades se mantendrán en el orden del día de la cuadragésima séptima sesión del SCCR.</w:t>
      </w:r>
    </w:p>
    <w:bookmarkEnd w:id="7"/>
    <w:p w14:paraId="40A863FC" w14:textId="77777777" w:rsidR="00791A23" w:rsidRPr="008658D5" w:rsidRDefault="00791A23" w:rsidP="00791A23">
      <w:pPr>
        <w:spacing w:after="120"/>
        <w:rPr>
          <w:b/>
          <w:caps/>
          <w:szCs w:val="22"/>
          <w:lang w:val="es-419"/>
        </w:rPr>
      </w:pPr>
      <w:r w:rsidRPr="008658D5">
        <w:rPr>
          <w:b/>
          <w:caps/>
          <w:szCs w:val="22"/>
          <w:lang w:val="es-419"/>
        </w:rPr>
        <w:t>PUNTO 7 DEL ORDEN DEL DÍA: Otros asuntos</w:t>
      </w:r>
    </w:p>
    <w:p w14:paraId="6EDD90E1" w14:textId="7EDE1421" w:rsidR="00791A23" w:rsidRPr="008658D5" w:rsidRDefault="00791A23" w:rsidP="00791A23">
      <w:pPr>
        <w:numPr>
          <w:ilvl w:val="0"/>
          <w:numId w:val="9"/>
        </w:numPr>
        <w:tabs>
          <w:tab w:val="left" w:pos="90"/>
          <w:tab w:val="left" w:pos="540"/>
        </w:tabs>
        <w:spacing w:after="480"/>
        <w:ind w:left="0" w:firstLine="0"/>
        <w:rPr>
          <w:szCs w:val="22"/>
          <w:lang w:val="es-419"/>
        </w:rPr>
      </w:pPr>
      <w:r w:rsidRPr="008658D5">
        <w:rPr>
          <w:szCs w:val="22"/>
          <w:lang w:val="es-419"/>
        </w:rPr>
        <w:t xml:space="preserve">Los documentos de las sesiones anteriores relacionados con este punto del orden del día están disponibles en la página web dedicada a la 46.ª sesión del SCCR en </w:t>
      </w:r>
      <w:hyperlink r:id="rId28" w:history="1">
        <w:r w:rsidRPr="008658D5">
          <w:rPr>
            <w:rStyle w:val="Hyperlink"/>
            <w:szCs w:val="22"/>
            <w:lang w:val="es-419"/>
          </w:rPr>
          <w:t>https://www.wipo.int/meetings/en/details.jsp?meeting_id=86568</w:t>
        </w:r>
      </w:hyperlink>
      <w:r w:rsidRPr="008658D5">
        <w:rPr>
          <w:szCs w:val="22"/>
          <w:lang w:val="es-419"/>
        </w:rPr>
        <w:t>.</w:t>
      </w:r>
    </w:p>
    <w:p w14:paraId="3181DE20" w14:textId="77777777" w:rsidR="00791A23" w:rsidRPr="008658D5" w:rsidRDefault="00791A23" w:rsidP="00791A23">
      <w:pPr>
        <w:tabs>
          <w:tab w:val="left" w:pos="90"/>
          <w:tab w:val="left" w:pos="540"/>
        </w:tabs>
        <w:spacing w:after="120"/>
        <w:rPr>
          <w:b/>
          <w:i/>
          <w:szCs w:val="22"/>
          <w:lang w:val="es-419"/>
        </w:rPr>
      </w:pPr>
      <w:r w:rsidRPr="008658D5">
        <w:rPr>
          <w:b/>
          <w:i/>
          <w:szCs w:val="22"/>
          <w:lang w:val="es-419"/>
        </w:rPr>
        <w:t>Derecho de autor en el entorno digital</w:t>
      </w:r>
    </w:p>
    <w:p w14:paraId="6C6519A1" w14:textId="18505FFF" w:rsidR="00791A23" w:rsidRPr="008658D5" w:rsidRDefault="00791A23" w:rsidP="00791A23">
      <w:pPr>
        <w:numPr>
          <w:ilvl w:val="0"/>
          <w:numId w:val="9"/>
        </w:numPr>
        <w:tabs>
          <w:tab w:val="left" w:pos="90"/>
          <w:tab w:val="left" w:pos="540"/>
        </w:tabs>
        <w:spacing w:after="240"/>
        <w:ind w:left="0" w:firstLine="0"/>
        <w:rPr>
          <w:szCs w:val="22"/>
          <w:lang w:val="es-419"/>
        </w:rPr>
      </w:pPr>
      <w:r w:rsidRPr="008658D5">
        <w:rPr>
          <w:szCs w:val="22"/>
          <w:lang w:val="es-419"/>
        </w:rPr>
        <w:t xml:space="preserve">Con respecto al tema del derecho de autor en el entorno digital, el GRULAC reiteró su propuesta de </w:t>
      </w:r>
      <w:hyperlink r:id="rId29" w:history="1">
        <w:r w:rsidRPr="008658D5">
          <w:rPr>
            <w:rStyle w:val="Hyperlink"/>
            <w:i/>
            <w:szCs w:val="22"/>
            <w:lang w:val="es-419"/>
          </w:rPr>
          <w:t>Plan de trabajo sobre derecho de autor en el entorno digital</w:t>
        </w:r>
      </w:hyperlink>
      <w:r w:rsidRPr="008658D5">
        <w:rPr>
          <w:i/>
          <w:szCs w:val="22"/>
          <w:lang w:val="es-419"/>
        </w:rPr>
        <w:t xml:space="preserve"> </w:t>
      </w:r>
      <w:r w:rsidRPr="008658D5">
        <w:rPr>
          <w:szCs w:val="22"/>
          <w:lang w:val="es-419"/>
        </w:rPr>
        <w:t xml:space="preserve">(documento SCCR/45/4) y volvió a solicitar que ese tema sea un punto permanente del orden del día del Comité. Algunos miembros dijeron que están a favor de que se incluya este tema como punto permanente del orden del día del Comité, mientras que otros expresaron su desacuerdo. Hubo miembros que sugirieron que se realicen estudios y se organicen sesiones informativas sobre ese tema. Algunos miembros también cuestionaron que los temas sustantivos se incluyan en el punto </w:t>
      </w:r>
      <w:r w:rsidR="00502766" w:rsidRPr="008658D5">
        <w:rPr>
          <w:szCs w:val="22"/>
          <w:lang w:val="es-419"/>
        </w:rPr>
        <w:t>“</w:t>
      </w:r>
      <w:r w:rsidRPr="008658D5">
        <w:rPr>
          <w:szCs w:val="22"/>
          <w:lang w:val="es-419"/>
        </w:rPr>
        <w:t>Otros asuntos</w:t>
      </w:r>
      <w:r w:rsidR="00502766" w:rsidRPr="008658D5">
        <w:rPr>
          <w:szCs w:val="22"/>
          <w:lang w:val="es-419"/>
        </w:rPr>
        <w:t>”</w:t>
      </w:r>
      <w:r w:rsidRPr="008658D5">
        <w:rPr>
          <w:szCs w:val="22"/>
          <w:lang w:val="es-419"/>
        </w:rPr>
        <w:t xml:space="preserve"> y propusieron que se reformule el orden del día para abordar esta cuestión, mientras que otros se mostraron en desacuerdo con ese enfoque.</w:t>
      </w:r>
    </w:p>
    <w:p w14:paraId="5FFA5BE4" w14:textId="77777777" w:rsidR="00791A23" w:rsidRPr="008658D5" w:rsidRDefault="00791A23" w:rsidP="00791A23">
      <w:pPr>
        <w:numPr>
          <w:ilvl w:val="0"/>
          <w:numId w:val="9"/>
        </w:numPr>
        <w:tabs>
          <w:tab w:val="left" w:pos="90"/>
          <w:tab w:val="left" w:pos="540"/>
        </w:tabs>
        <w:spacing w:after="240"/>
        <w:ind w:left="0" w:firstLine="0"/>
        <w:rPr>
          <w:szCs w:val="22"/>
          <w:lang w:val="es-419"/>
        </w:rPr>
      </w:pPr>
      <w:r w:rsidRPr="008658D5">
        <w:rPr>
          <w:szCs w:val="22"/>
          <w:lang w:val="es-419"/>
        </w:rPr>
        <w:t xml:space="preserve">Sobre la base de los debates, en la 47.ª sesión del SCCR, el GRULAC presentará una versión revisada de su propuesta, en la que se tendrán en cuenta las observaciones recibidas durante la 46.ª sesión del SCCR. </w:t>
      </w:r>
    </w:p>
    <w:p w14:paraId="0EA6F55C" w14:textId="1FE7B967" w:rsidR="00791A23" w:rsidRPr="008658D5" w:rsidRDefault="00791A23" w:rsidP="00791A23">
      <w:pPr>
        <w:numPr>
          <w:ilvl w:val="0"/>
          <w:numId w:val="9"/>
        </w:numPr>
        <w:tabs>
          <w:tab w:val="left" w:pos="90"/>
        </w:tabs>
        <w:spacing w:after="240"/>
        <w:ind w:left="0" w:firstLine="0"/>
        <w:rPr>
          <w:szCs w:val="22"/>
          <w:lang w:val="es-419"/>
        </w:rPr>
      </w:pPr>
      <w:r w:rsidRPr="008658D5">
        <w:rPr>
          <w:szCs w:val="22"/>
          <w:lang w:val="es-419"/>
        </w:rPr>
        <w:t xml:space="preserve">Tal como solicitaron los Estados miembros en la 45.ª sesión del SCCR, la Secretaría organizó una </w:t>
      </w:r>
      <w:r w:rsidRPr="008658D5">
        <w:rPr>
          <w:i/>
          <w:iCs/>
          <w:szCs w:val="22"/>
          <w:lang w:val="es-419"/>
        </w:rPr>
        <w:t xml:space="preserve">Sesión de información sobre el derecho de autor y la inteligencia artificial generativa </w:t>
      </w:r>
      <w:r w:rsidRPr="008658D5">
        <w:rPr>
          <w:szCs w:val="22"/>
          <w:lang w:val="es-419"/>
        </w:rPr>
        <w:t xml:space="preserve">(véanse los documentos SCCR746/5/Prov. 4 y SCCR/46/6/Prov. 3). El Comité valoró positivamente la sesión de información y la Secretaría fue felicitada por su organización. Las delegaciones participaron en una sesión de preguntas y respuestas con representantes gubernamentales, así como con expertos de los sectores creativo, jurídico y tecnológico durante la sesión de información y la cuestión siguió examinándose en plenaria. Algunos miembros sugirieron que la Secretaría organice otra sesión de información sobre la IA en la 47.ª sesión del SCCR para continuar analizando los rápidos cambios que se están produciendo. A raíz del debate mantenido en sesión plenaria sobre el derecho de autor en el entorno digital y la creciente incidencia de la IA en las industrias creativas, el Comité invita a la Secretaría a que organice una sesión de información complementaria en la 47.ª sesión del SCCR sobre la IA generativa y su relación con el derecho de autor, y la incluya en el punto del </w:t>
      </w:r>
      <w:r w:rsidRPr="008658D5">
        <w:rPr>
          <w:szCs w:val="22"/>
          <w:lang w:val="es-419"/>
        </w:rPr>
        <w:lastRenderedPageBreak/>
        <w:t>orden del día sobre el derecho de autor en el entorno digital. El programa de la sesión de información que se celebrará en la 47.ª sesión del SCCR se establecerá tras consultar a los Estados miembros. Los coordinadores de los grupos compartirán con los Estados miembros la propuesta del programa a más tardar dos meses antes de la 47.ª sesión del SCCR.</w:t>
      </w:r>
    </w:p>
    <w:p w14:paraId="745E0D7F" w14:textId="77777777" w:rsidR="00791A23" w:rsidRPr="008658D5" w:rsidRDefault="00791A23" w:rsidP="00791A23">
      <w:pPr>
        <w:numPr>
          <w:ilvl w:val="0"/>
          <w:numId w:val="9"/>
        </w:numPr>
        <w:tabs>
          <w:tab w:val="left" w:pos="90"/>
        </w:tabs>
        <w:spacing w:after="480"/>
        <w:ind w:left="0" w:firstLine="0"/>
        <w:rPr>
          <w:szCs w:val="22"/>
          <w:lang w:val="es-419"/>
        </w:rPr>
      </w:pPr>
      <w:r w:rsidRPr="008658D5">
        <w:rPr>
          <w:szCs w:val="22"/>
          <w:lang w:val="es-419"/>
        </w:rPr>
        <w:t>En la próxima sesión se seguirá examinando la cuestión del derecho de autor en el entorno digital.</w:t>
      </w:r>
    </w:p>
    <w:p w14:paraId="4A00AFC6" w14:textId="77777777" w:rsidR="00791A23" w:rsidRPr="008658D5" w:rsidRDefault="00791A23" w:rsidP="00791A23">
      <w:pPr>
        <w:tabs>
          <w:tab w:val="left" w:pos="90"/>
          <w:tab w:val="left" w:pos="540"/>
        </w:tabs>
        <w:spacing w:after="120"/>
        <w:rPr>
          <w:b/>
          <w:i/>
          <w:szCs w:val="22"/>
          <w:lang w:val="es-419"/>
        </w:rPr>
      </w:pPr>
      <w:r w:rsidRPr="008658D5">
        <w:rPr>
          <w:b/>
          <w:i/>
          <w:szCs w:val="22"/>
          <w:lang w:val="es-419"/>
        </w:rPr>
        <w:t>Derecho de préstamo público</w:t>
      </w:r>
    </w:p>
    <w:p w14:paraId="787E338F" w14:textId="599DE24D" w:rsidR="00791A23" w:rsidRPr="008658D5" w:rsidRDefault="00791A23" w:rsidP="00791A23">
      <w:pPr>
        <w:numPr>
          <w:ilvl w:val="0"/>
          <w:numId w:val="9"/>
        </w:numPr>
        <w:tabs>
          <w:tab w:val="left" w:pos="90"/>
          <w:tab w:val="left" w:pos="540"/>
        </w:tabs>
        <w:spacing w:after="480"/>
        <w:ind w:left="0" w:firstLine="0"/>
        <w:rPr>
          <w:szCs w:val="22"/>
          <w:lang w:val="es-419"/>
        </w:rPr>
      </w:pPr>
      <w:r w:rsidRPr="008658D5">
        <w:rPr>
          <w:szCs w:val="22"/>
          <w:lang w:val="es-419"/>
        </w:rPr>
        <w:t>En lo que respecta al derecho de préstamo público, la autora, Sra. Sabine Richly, presentó la versión revisada del</w:t>
      </w:r>
      <w:r w:rsidR="00BB5DFF" w:rsidRPr="008658D5">
        <w:rPr>
          <w:szCs w:val="22"/>
          <w:lang w:val="es-419"/>
        </w:rPr>
        <w:t xml:space="preserve"> </w:t>
      </w:r>
      <w:hyperlink r:id="rId30" w:history="1">
        <w:r w:rsidRPr="008658D5">
          <w:rPr>
            <w:rStyle w:val="Hyperlink"/>
            <w:i/>
            <w:szCs w:val="22"/>
            <w:lang w:val="es-419"/>
          </w:rPr>
          <w:t>Estudio exploratorio sobre el derecho de préstamo público</w:t>
        </w:r>
      </w:hyperlink>
      <w:r w:rsidRPr="008658D5">
        <w:rPr>
          <w:szCs w:val="22"/>
          <w:lang w:val="es-419"/>
        </w:rPr>
        <w:t xml:space="preserve"> (documento SCCR/45/7 Rev.), y tras la presentación hubo una ronda de preguntas y respuestas. El Comité celebró la labor realizada por la Sra. Richly en el estudio exploratorio e indicó que será un documento de referencia útil y exhaustivo sobre ese tema para los Estados miembros que traten esa cuestión en el futuro. Con esa labor, se da por concluido el punto relativo al derecho de préstamo público.</w:t>
      </w:r>
    </w:p>
    <w:p w14:paraId="66A5AAEA" w14:textId="77777777" w:rsidR="00791A23" w:rsidRPr="008658D5" w:rsidRDefault="00791A23" w:rsidP="00791A23">
      <w:pPr>
        <w:tabs>
          <w:tab w:val="left" w:pos="90"/>
          <w:tab w:val="left" w:pos="540"/>
        </w:tabs>
        <w:spacing w:after="120"/>
        <w:rPr>
          <w:b/>
          <w:i/>
          <w:szCs w:val="22"/>
          <w:lang w:val="es-419"/>
        </w:rPr>
      </w:pPr>
      <w:r w:rsidRPr="008658D5">
        <w:rPr>
          <w:b/>
          <w:i/>
          <w:szCs w:val="22"/>
          <w:lang w:val="es-419"/>
        </w:rPr>
        <w:t>Propuesta de estudio sobre los derechos de los autores del sector audiovisual</w:t>
      </w:r>
    </w:p>
    <w:p w14:paraId="55DFE740" w14:textId="1DE63697" w:rsidR="00791A23" w:rsidRPr="008658D5" w:rsidRDefault="00791A23" w:rsidP="00791A23">
      <w:pPr>
        <w:numPr>
          <w:ilvl w:val="0"/>
          <w:numId w:val="9"/>
        </w:numPr>
        <w:tabs>
          <w:tab w:val="left" w:pos="0"/>
          <w:tab w:val="left" w:pos="90"/>
        </w:tabs>
        <w:spacing w:after="480"/>
        <w:ind w:left="0" w:firstLine="0"/>
        <w:rPr>
          <w:szCs w:val="22"/>
          <w:lang w:val="es-419"/>
        </w:rPr>
      </w:pPr>
      <w:r w:rsidRPr="008658D5">
        <w:rPr>
          <w:szCs w:val="22"/>
          <w:lang w:val="es-419"/>
        </w:rPr>
        <w:t xml:space="preserve">El Comité examinó la versión revisada de la </w:t>
      </w:r>
      <w:hyperlink r:id="rId31" w:history="1">
        <w:r w:rsidRPr="008658D5">
          <w:rPr>
            <w:rStyle w:val="Hyperlink"/>
            <w:i/>
            <w:szCs w:val="22"/>
            <w:lang w:val="es-419"/>
          </w:rPr>
          <w:t>Propuesta de estudio sobre los derechos de los autores del sector audiovisual y su remuneración por la explotación de sus obras</w:t>
        </w:r>
      </w:hyperlink>
      <w:r w:rsidRPr="008658D5">
        <w:rPr>
          <w:szCs w:val="22"/>
          <w:lang w:val="es-419"/>
        </w:rPr>
        <w:t xml:space="preserve"> (documento SCCR/44/7 Rev.), cuya versión anterior se presentó en la 44.ª sesión del SCCR. La propuesta fue examinada por el Comité. Algunos miembros del Comité acogieron con satisfacción la propuesta tras darse cabida a los artistas intérpretes o ejecutantes de obras audiovisuales, mientras que otros no se mostraron partidarios de esta incorporación y sugirieron que se realice un estudio separado sobre los artistas intérpretes o ejecutantes una vez concluido el estudio sobre los autores. La propuesta de estudio sobre los derechos de los autores del sector audiovisual se seguirá debatiendo en la próxima sesión del Comité. </w:t>
      </w:r>
    </w:p>
    <w:p w14:paraId="5E094559" w14:textId="77777777" w:rsidR="00791A23" w:rsidRPr="008658D5" w:rsidRDefault="00791A23" w:rsidP="00791A23">
      <w:pPr>
        <w:tabs>
          <w:tab w:val="left" w:pos="0"/>
          <w:tab w:val="left" w:pos="90"/>
        </w:tabs>
        <w:spacing w:after="120"/>
        <w:rPr>
          <w:b/>
          <w:i/>
          <w:szCs w:val="22"/>
          <w:lang w:val="es-419"/>
        </w:rPr>
      </w:pPr>
      <w:r w:rsidRPr="008658D5">
        <w:rPr>
          <w:b/>
          <w:i/>
          <w:szCs w:val="22"/>
          <w:lang w:val="es-419"/>
        </w:rPr>
        <w:t>Fortalecimiento de la protección de los derechos de los directores de teatro</w:t>
      </w:r>
    </w:p>
    <w:p w14:paraId="020862F7" w14:textId="77777777" w:rsidR="00791A23" w:rsidRPr="008658D5" w:rsidRDefault="00791A23" w:rsidP="00791A23">
      <w:pPr>
        <w:numPr>
          <w:ilvl w:val="0"/>
          <w:numId w:val="9"/>
        </w:numPr>
        <w:tabs>
          <w:tab w:val="left" w:pos="0"/>
          <w:tab w:val="left" w:pos="90"/>
        </w:tabs>
        <w:spacing w:after="480"/>
        <w:ind w:left="0" w:firstLine="0"/>
        <w:rPr>
          <w:szCs w:val="22"/>
          <w:lang w:val="es-419"/>
        </w:rPr>
      </w:pPr>
      <w:r w:rsidRPr="008658D5">
        <w:rPr>
          <w:szCs w:val="22"/>
          <w:lang w:val="es-419"/>
        </w:rPr>
        <w:t>En cuanto al tema del fortalecimiento de la protección de los derechos de los directores de teatro, la Secretaría presentó un breve informe sobre la marcha de la labor en curso. El fortalecimiento de la protección de los derechos de los directores de teatro se seguirá debatiendo en la próxima sesión.</w:t>
      </w:r>
    </w:p>
    <w:p w14:paraId="4631596D" w14:textId="77777777" w:rsidR="00791A23" w:rsidRPr="008658D5" w:rsidRDefault="00791A23" w:rsidP="00791A23">
      <w:pPr>
        <w:tabs>
          <w:tab w:val="left" w:pos="0"/>
          <w:tab w:val="left" w:pos="90"/>
        </w:tabs>
        <w:spacing w:after="120"/>
        <w:rPr>
          <w:b/>
          <w:bCs/>
          <w:i/>
          <w:szCs w:val="22"/>
          <w:lang w:val="es-419"/>
        </w:rPr>
      </w:pPr>
      <w:r w:rsidRPr="008658D5">
        <w:rPr>
          <w:b/>
          <w:i/>
          <w:szCs w:val="22"/>
          <w:lang w:val="es-419"/>
        </w:rPr>
        <w:t>Derecho de participación en las reventas</w:t>
      </w:r>
    </w:p>
    <w:p w14:paraId="3B8D3537" w14:textId="6EF71932" w:rsidR="00791A23" w:rsidRPr="008658D5" w:rsidRDefault="00791A23" w:rsidP="00791A23">
      <w:pPr>
        <w:numPr>
          <w:ilvl w:val="0"/>
          <w:numId w:val="9"/>
        </w:numPr>
        <w:tabs>
          <w:tab w:val="left" w:pos="0"/>
          <w:tab w:val="left" w:pos="90"/>
        </w:tabs>
        <w:spacing w:after="240"/>
        <w:ind w:left="0" w:firstLine="0"/>
        <w:rPr>
          <w:szCs w:val="22"/>
          <w:lang w:val="es-419"/>
        </w:rPr>
      </w:pPr>
      <w:r w:rsidRPr="008658D5">
        <w:rPr>
          <w:szCs w:val="22"/>
          <w:lang w:val="es-419"/>
        </w:rPr>
        <w:t>En relación con el tema del derecho de participación en las reventas, el profesor Sam Ricketson presentó la versión revisada de la</w:t>
      </w:r>
      <w:r w:rsidR="00BB5DFF" w:rsidRPr="008658D5">
        <w:rPr>
          <w:szCs w:val="22"/>
          <w:lang w:val="es-419"/>
        </w:rPr>
        <w:t xml:space="preserve"> </w:t>
      </w:r>
      <w:hyperlink r:id="rId32" w:history="1">
        <w:r w:rsidRPr="008658D5">
          <w:rPr>
            <w:rStyle w:val="Hyperlink"/>
            <w:i/>
            <w:szCs w:val="22"/>
            <w:lang w:val="es-419"/>
          </w:rPr>
          <w:t>Guía de la OMPI sobre el derecho de participación de los artistas en las reventas (Parte II)</w:t>
        </w:r>
      </w:hyperlink>
      <w:r w:rsidRPr="008658D5">
        <w:rPr>
          <w:i/>
          <w:szCs w:val="22"/>
          <w:lang w:val="es-419"/>
        </w:rPr>
        <w:t xml:space="preserve"> </w:t>
      </w:r>
      <w:r w:rsidRPr="008658D5">
        <w:rPr>
          <w:szCs w:val="22"/>
          <w:lang w:val="es-419"/>
        </w:rPr>
        <w:t>(documento SCCR/45/INF/2 Rev.). Los Estados miembros agradecieron al profesor Ricketson su excelente labor y formularon declaraciones sobre ese tema.</w:t>
      </w:r>
    </w:p>
    <w:p w14:paraId="1E6D96EA" w14:textId="77777777" w:rsidR="00791A23" w:rsidRPr="008658D5" w:rsidRDefault="00791A23" w:rsidP="00791A23">
      <w:pPr>
        <w:numPr>
          <w:ilvl w:val="0"/>
          <w:numId w:val="9"/>
        </w:numPr>
        <w:tabs>
          <w:tab w:val="left" w:pos="0"/>
          <w:tab w:val="left" w:pos="90"/>
        </w:tabs>
        <w:spacing w:after="240"/>
        <w:ind w:left="0" w:firstLine="0"/>
        <w:rPr>
          <w:szCs w:val="22"/>
          <w:lang w:val="es-419"/>
        </w:rPr>
      </w:pPr>
      <w:r w:rsidRPr="008658D5">
        <w:rPr>
          <w:szCs w:val="22"/>
          <w:lang w:val="es-419"/>
        </w:rPr>
        <w:t>Se planteó organizar una serie de reuniones regionales sobre el tema, y hubo una oferta para acoger la reunión de la región africana.</w:t>
      </w:r>
    </w:p>
    <w:p w14:paraId="4A9946DA" w14:textId="149F5C33" w:rsidR="00791A23" w:rsidRPr="008658D5" w:rsidRDefault="00791A23" w:rsidP="00791A23">
      <w:pPr>
        <w:numPr>
          <w:ilvl w:val="0"/>
          <w:numId w:val="9"/>
        </w:numPr>
        <w:tabs>
          <w:tab w:val="left" w:pos="0"/>
          <w:tab w:val="left" w:pos="90"/>
        </w:tabs>
        <w:spacing w:after="240"/>
        <w:ind w:left="0" w:firstLine="0"/>
        <w:rPr>
          <w:szCs w:val="22"/>
          <w:lang w:val="es-419"/>
        </w:rPr>
      </w:pPr>
      <w:r w:rsidRPr="008658D5">
        <w:rPr>
          <w:szCs w:val="22"/>
          <w:lang w:val="es-419"/>
        </w:rPr>
        <w:t>Algunos miembros dijeron que apoyan que ese tema pase a ser un punto permanente del orden del día del Comité, mientras que otros no han llegado aún a la conclusión de que deba serlo.</w:t>
      </w:r>
    </w:p>
    <w:p w14:paraId="3446D051" w14:textId="77777777" w:rsidR="00791A23" w:rsidRPr="008658D5" w:rsidRDefault="00791A23" w:rsidP="00791A23">
      <w:pPr>
        <w:numPr>
          <w:ilvl w:val="0"/>
          <w:numId w:val="9"/>
        </w:numPr>
        <w:tabs>
          <w:tab w:val="left" w:pos="0"/>
          <w:tab w:val="left" w:pos="90"/>
        </w:tabs>
        <w:spacing w:after="480"/>
        <w:ind w:left="0" w:firstLine="0"/>
        <w:rPr>
          <w:b/>
          <w:bCs/>
          <w:szCs w:val="22"/>
          <w:lang w:val="es-419"/>
        </w:rPr>
      </w:pPr>
      <w:r w:rsidRPr="008658D5">
        <w:rPr>
          <w:szCs w:val="22"/>
          <w:lang w:val="es-419"/>
        </w:rPr>
        <w:lastRenderedPageBreak/>
        <w:t>El derecho de participación en las reventas se seguirá examinando en la 47.ª sesión del SCCR.</w:t>
      </w:r>
    </w:p>
    <w:p w14:paraId="2C3E373D" w14:textId="77777777" w:rsidR="00791A23" w:rsidRPr="008658D5" w:rsidRDefault="00791A23" w:rsidP="00791A23">
      <w:pPr>
        <w:tabs>
          <w:tab w:val="left" w:pos="90"/>
          <w:tab w:val="left" w:pos="540"/>
        </w:tabs>
        <w:spacing w:after="120"/>
        <w:rPr>
          <w:b/>
          <w:i/>
          <w:szCs w:val="22"/>
          <w:lang w:val="es-419"/>
        </w:rPr>
      </w:pPr>
      <w:r w:rsidRPr="008658D5">
        <w:rPr>
          <w:b/>
          <w:i/>
          <w:szCs w:val="22"/>
          <w:lang w:val="es-419"/>
        </w:rPr>
        <w:t>Propuesta de estudio sobre la protección por derecho de autor de las normas técnicas</w:t>
      </w:r>
    </w:p>
    <w:p w14:paraId="679D246A" w14:textId="138FF464" w:rsidR="00791A23" w:rsidRPr="008658D5" w:rsidRDefault="00791A23" w:rsidP="00791A23">
      <w:pPr>
        <w:numPr>
          <w:ilvl w:val="0"/>
          <w:numId w:val="9"/>
        </w:numPr>
        <w:tabs>
          <w:tab w:val="left" w:pos="0"/>
          <w:tab w:val="left" w:pos="90"/>
        </w:tabs>
        <w:spacing w:after="240"/>
        <w:ind w:left="0" w:firstLine="0"/>
        <w:rPr>
          <w:szCs w:val="22"/>
          <w:lang w:val="es-419"/>
        </w:rPr>
      </w:pPr>
      <w:r w:rsidRPr="008658D5">
        <w:rPr>
          <w:szCs w:val="22"/>
          <w:lang w:val="es-419"/>
        </w:rPr>
        <w:t xml:space="preserve">La delegación del Canadá presentó la </w:t>
      </w:r>
      <w:r w:rsidRPr="008658D5">
        <w:rPr>
          <w:i/>
          <w:szCs w:val="22"/>
          <w:lang w:val="es-419"/>
        </w:rPr>
        <w:t xml:space="preserve">Propuesta de estudio sobre la protección por derecho de autor de las normas técnicas </w:t>
      </w:r>
      <w:r w:rsidRPr="008658D5">
        <w:rPr>
          <w:szCs w:val="22"/>
          <w:lang w:val="es-419"/>
        </w:rPr>
        <w:t>(documento SCCR/46/4 Rev.)</w:t>
      </w:r>
      <w:r w:rsidRPr="008658D5">
        <w:rPr>
          <w:i/>
          <w:szCs w:val="22"/>
          <w:lang w:val="es-419"/>
        </w:rPr>
        <w:t>.</w:t>
      </w:r>
      <w:r w:rsidRPr="008658D5">
        <w:rPr>
          <w:szCs w:val="22"/>
          <w:lang w:val="es-419"/>
        </w:rPr>
        <w:t xml:space="preserve"> La propuesta fue examinada por el Comité. Algunos miembros del Comité acogieron con satisfacción la propuesta, mientras que otros solicitaron más tiempo para examinarla. La propuesta de estudio sobre la protección por derecho de autor de las normas técnicas se seguirá examinando en la próxima sesión.</w:t>
      </w:r>
    </w:p>
    <w:p w14:paraId="766709F6" w14:textId="747A515B" w:rsidR="00791A23" w:rsidRPr="008658D5" w:rsidRDefault="00791A23" w:rsidP="00791A23">
      <w:pPr>
        <w:numPr>
          <w:ilvl w:val="0"/>
          <w:numId w:val="9"/>
        </w:numPr>
        <w:tabs>
          <w:tab w:val="left" w:pos="90"/>
          <w:tab w:val="left" w:pos="540"/>
        </w:tabs>
        <w:spacing w:after="480"/>
        <w:ind w:left="0" w:firstLine="0"/>
        <w:rPr>
          <w:rFonts w:eastAsiaTheme="minorHAnsi"/>
          <w:szCs w:val="22"/>
          <w:lang w:val="es-419"/>
        </w:rPr>
      </w:pPr>
      <w:r w:rsidRPr="008658D5">
        <w:rPr>
          <w:szCs w:val="22"/>
          <w:lang w:val="es-419"/>
        </w:rPr>
        <w:t>Los temas incluidos en Otros asuntos se mantendrán en el orden del día de la cuadragésima séptima sesión del SCCR.</w:t>
      </w:r>
    </w:p>
    <w:p w14:paraId="4AD9A7FB" w14:textId="77777777" w:rsidR="00791A23" w:rsidRPr="008658D5" w:rsidRDefault="00791A23" w:rsidP="00791A23">
      <w:pPr>
        <w:spacing w:after="120"/>
        <w:rPr>
          <w:b/>
          <w:caps/>
          <w:szCs w:val="22"/>
          <w:lang w:val="es-419"/>
        </w:rPr>
      </w:pPr>
      <w:r w:rsidRPr="008658D5">
        <w:rPr>
          <w:b/>
          <w:caps/>
          <w:szCs w:val="22"/>
          <w:lang w:val="es-419"/>
        </w:rPr>
        <w:t>RESUMEN DE LA PRESIDENCIA</w:t>
      </w:r>
    </w:p>
    <w:p w14:paraId="0B8C0BB4" w14:textId="77777777" w:rsidR="00791A23" w:rsidRPr="008658D5" w:rsidRDefault="00791A23" w:rsidP="00791A23">
      <w:pPr>
        <w:numPr>
          <w:ilvl w:val="0"/>
          <w:numId w:val="9"/>
        </w:numPr>
        <w:tabs>
          <w:tab w:val="left" w:pos="90"/>
          <w:tab w:val="left" w:pos="540"/>
        </w:tabs>
        <w:spacing w:after="480"/>
        <w:ind w:left="0" w:firstLine="0"/>
        <w:rPr>
          <w:szCs w:val="22"/>
          <w:lang w:val="es-419"/>
        </w:rPr>
      </w:pPr>
      <w:r w:rsidRPr="008658D5">
        <w:rPr>
          <w:szCs w:val="22"/>
          <w:lang w:val="es-419"/>
        </w:rPr>
        <w:t>El Comité tomó nota del contenido del presente resumen de la Presidencia, en el entendimiento de que no se somete a su aprobación, ya que refleja las opiniones de la presidenta sobre las principales cuestiones que se plantearon y debatieron durante la sesión, así como su perspectiva de los resultados de la 46.ª sesión.</w:t>
      </w:r>
    </w:p>
    <w:p w14:paraId="5DA6AD73" w14:textId="77777777" w:rsidR="00791A23" w:rsidRPr="008658D5" w:rsidRDefault="00791A23" w:rsidP="00791A23">
      <w:pPr>
        <w:spacing w:after="120"/>
        <w:rPr>
          <w:b/>
          <w:caps/>
          <w:szCs w:val="22"/>
          <w:lang w:val="es-419"/>
        </w:rPr>
      </w:pPr>
      <w:r w:rsidRPr="008658D5">
        <w:rPr>
          <w:b/>
          <w:caps/>
          <w:szCs w:val="22"/>
          <w:lang w:val="es-419"/>
        </w:rPr>
        <w:t>PUNTO 8 DEL ORDEN DEL DÍA: CLAUSURA DE LA SESIÓN</w:t>
      </w:r>
    </w:p>
    <w:p w14:paraId="15E0A866" w14:textId="77777777" w:rsidR="00791A23" w:rsidRPr="008658D5" w:rsidRDefault="00791A23" w:rsidP="00791A23">
      <w:pPr>
        <w:numPr>
          <w:ilvl w:val="0"/>
          <w:numId w:val="9"/>
        </w:numPr>
        <w:tabs>
          <w:tab w:val="left" w:pos="90"/>
          <w:tab w:val="left" w:pos="540"/>
        </w:tabs>
        <w:spacing w:after="240"/>
        <w:ind w:left="0" w:firstLine="0"/>
        <w:rPr>
          <w:szCs w:val="22"/>
          <w:lang w:val="es-419"/>
        </w:rPr>
      </w:pPr>
      <w:r w:rsidRPr="008658D5">
        <w:rPr>
          <w:szCs w:val="22"/>
          <w:lang w:val="es-419"/>
        </w:rPr>
        <w:t>En relación con las reuniones futuras, algunos grupos manifestaron que prefieren que el Comité vuelva a celebrar dos sesiones por año civil, mientras que otros consideraron innecesaria esa indicación.</w:t>
      </w:r>
    </w:p>
    <w:p w14:paraId="7FC6088E" w14:textId="77777777" w:rsidR="00791A23" w:rsidRPr="008658D5" w:rsidRDefault="00791A23" w:rsidP="00791A23">
      <w:pPr>
        <w:numPr>
          <w:ilvl w:val="0"/>
          <w:numId w:val="9"/>
        </w:numPr>
        <w:tabs>
          <w:tab w:val="left" w:pos="90"/>
          <w:tab w:val="left" w:pos="540"/>
        </w:tabs>
        <w:spacing w:after="600"/>
        <w:ind w:left="0" w:firstLine="0"/>
        <w:rPr>
          <w:szCs w:val="22"/>
          <w:lang w:val="es-419"/>
        </w:rPr>
      </w:pPr>
      <w:r w:rsidRPr="008658D5">
        <w:rPr>
          <w:szCs w:val="22"/>
          <w:lang w:val="es-419"/>
        </w:rPr>
        <w:t>La cuadragésima séptima sesión del SCCR se celebrará del 1 al 5 de diciembre de 2025.</w:t>
      </w:r>
    </w:p>
    <w:p w14:paraId="3109CAD8" w14:textId="65789351" w:rsidR="00152CEA" w:rsidRPr="008658D5" w:rsidRDefault="00791A23" w:rsidP="00791A23">
      <w:pPr>
        <w:spacing w:after="240"/>
        <w:ind w:left="6030"/>
        <w:rPr>
          <w:szCs w:val="22"/>
          <w:lang w:val="es-419"/>
        </w:rPr>
      </w:pPr>
      <w:r w:rsidRPr="008658D5">
        <w:rPr>
          <w:szCs w:val="22"/>
          <w:lang w:val="es-419"/>
        </w:rPr>
        <w:t>[Fin del documento]</w:t>
      </w:r>
    </w:p>
    <w:sectPr w:rsidR="00152CEA" w:rsidRPr="008658D5" w:rsidSect="00375F80">
      <w:headerReference w:type="default" r:id="rId3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E0F7" w14:textId="77777777" w:rsidR="00791A23" w:rsidRDefault="00791A23">
      <w:r>
        <w:separator/>
      </w:r>
    </w:p>
  </w:endnote>
  <w:endnote w:type="continuationSeparator" w:id="0">
    <w:p w14:paraId="35BEC2C5" w14:textId="77777777" w:rsidR="00791A23" w:rsidRPr="009D30E6" w:rsidRDefault="00791A23" w:rsidP="007E663E">
      <w:pPr>
        <w:rPr>
          <w:sz w:val="17"/>
          <w:szCs w:val="17"/>
        </w:rPr>
      </w:pPr>
      <w:r w:rsidRPr="009D30E6">
        <w:rPr>
          <w:sz w:val="17"/>
          <w:szCs w:val="17"/>
        </w:rPr>
        <w:separator/>
      </w:r>
    </w:p>
    <w:p w14:paraId="7242C386" w14:textId="77777777" w:rsidR="00791A23" w:rsidRPr="007E663E" w:rsidRDefault="00791A23" w:rsidP="007E663E">
      <w:pPr>
        <w:spacing w:after="60"/>
        <w:rPr>
          <w:sz w:val="17"/>
          <w:szCs w:val="17"/>
        </w:rPr>
      </w:pPr>
      <w:r>
        <w:rPr>
          <w:sz w:val="17"/>
        </w:rPr>
        <w:t>[Continuación de la nota de la página anterior]</w:t>
      </w:r>
    </w:p>
  </w:endnote>
  <w:endnote w:type="continuationNotice" w:id="1">
    <w:p w14:paraId="5B1A3F9B" w14:textId="77777777" w:rsidR="00791A23" w:rsidRPr="007E663E" w:rsidRDefault="00791A2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53BB" w14:textId="77777777" w:rsidR="00791A23" w:rsidRDefault="00791A23">
      <w:r>
        <w:separator/>
      </w:r>
    </w:p>
  </w:footnote>
  <w:footnote w:type="continuationSeparator" w:id="0">
    <w:p w14:paraId="72A621A8" w14:textId="77777777" w:rsidR="00791A23" w:rsidRPr="009D30E6" w:rsidRDefault="00791A23" w:rsidP="007E663E">
      <w:pPr>
        <w:rPr>
          <w:sz w:val="17"/>
          <w:szCs w:val="17"/>
        </w:rPr>
      </w:pPr>
      <w:r w:rsidRPr="009D30E6">
        <w:rPr>
          <w:sz w:val="17"/>
          <w:szCs w:val="17"/>
        </w:rPr>
        <w:separator/>
      </w:r>
    </w:p>
    <w:p w14:paraId="6A662609" w14:textId="77777777" w:rsidR="00791A23" w:rsidRPr="007E663E" w:rsidRDefault="00791A23" w:rsidP="007E663E">
      <w:pPr>
        <w:spacing w:after="60"/>
        <w:rPr>
          <w:sz w:val="17"/>
          <w:szCs w:val="17"/>
        </w:rPr>
      </w:pPr>
      <w:r>
        <w:rPr>
          <w:sz w:val="17"/>
        </w:rPr>
        <w:t>[Continuación de la nota de la página anterior]</w:t>
      </w:r>
    </w:p>
  </w:footnote>
  <w:footnote w:type="continuationNotice" w:id="1">
    <w:p w14:paraId="5C99B7FA" w14:textId="77777777" w:rsidR="00791A23" w:rsidRPr="007E663E" w:rsidRDefault="00791A2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B925" w14:textId="77777777" w:rsidR="00791A23" w:rsidRDefault="00791A23" w:rsidP="00477D6B">
    <w:pPr>
      <w:jc w:val="right"/>
    </w:pPr>
    <w:r>
      <w:t>WO/GA/58/4</w:t>
    </w:r>
  </w:p>
  <w:p w14:paraId="27349C9B" w14:textId="77777777" w:rsidR="00791A23" w:rsidRDefault="00791A23" w:rsidP="00477D6B">
    <w:pPr>
      <w:jc w:val="right"/>
    </w:pPr>
    <w:r>
      <w:t xml:space="preserve">página </w:t>
    </w:r>
    <w:r>
      <w:fldChar w:fldCharType="begin"/>
    </w:r>
    <w:r>
      <w:instrText xml:space="preserve"> PAGE  \* MERGEFORMAT </w:instrText>
    </w:r>
    <w:r>
      <w:fldChar w:fldCharType="separate"/>
    </w:r>
    <w:r>
      <w:t>2</w:t>
    </w:r>
    <w:r>
      <w:fldChar w:fldCharType="end"/>
    </w:r>
  </w:p>
  <w:p w14:paraId="2868A9D2" w14:textId="77777777" w:rsidR="00791A23" w:rsidRDefault="00791A23" w:rsidP="00477D6B">
    <w:pPr>
      <w:jc w:val="right"/>
    </w:pPr>
  </w:p>
  <w:p w14:paraId="5247AA04" w14:textId="77777777" w:rsidR="00791A23" w:rsidRDefault="00791A2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450A" w14:textId="7E006E73" w:rsidR="00F84474" w:rsidRPr="00695D4C" w:rsidRDefault="00375F80" w:rsidP="00477D6B">
    <w:pPr>
      <w:jc w:val="right"/>
      <w:rPr>
        <w:lang w:val="es-419"/>
      </w:rPr>
    </w:pPr>
    <w:r w:rsidRPr="00695D4C">
      <w:rPr>
        <w:lang w:val="es-419"/>
      </w:rPr>
      <w:t>SCCR/46/Summary</w:t>
    </w:r>
  </w:p>
  <w:p w14:paraId="296E6335" w14:textId="77777777" w:rsidR="00F84474" w:rsidRPr="00695D4C" w:rsidRDefault="00F84474" w:rsidP="00477D6B">
    <w:pPr>
      <w:jc w:val="right"/>
      <w:rPr>
        <w:lang w:val="es-419"/>
      </w:rPr>
    </w:pPr>
    <w:r w:rsidRPr="00695D4C">
      <w:rPr>
        <w:lang w:val="es-419"/>
      </w:rPr>
      <w:t xml:space="preserve">página </w:t>
    </w:r>
    <w:r w:rsidRPr="00695D4C">
      <w:rPr>
        <w:lang w:val="es-419"/>
      </w:rPr>
      <w:fldChar w:fldCharType="begin"/>
    </w:r>
    <w:r w:rsidRPr="00695D4C">
      <w:rPr>
        <w:lang w:val="es-419"/>
      </w:rPr>
      <w:instrText xml:space="preserve"> PAGE  \* MERGEFORMAT </w:instrText>
    </w:r>
    <w:r w:rsidRPr="00695D4C">
      <w:rPr>
        <w:lang w:val="es-419"/>
      </w:rPr>
      <w:fldChar w:fldCharType="separate"/>
    </w:r>
    <w:r w:rsidR="008B14EA" w:rsidRPr="00695D4C">
      <w:rPr>
        <w:noProof/>
        <w:lang w:val="es-419"/>
      </w:rPr>
      <w:t>2</w:t>
    </w:r>
    <w:r w:rsidRPr="00695D4C">
      <w:rPr>
        <w:lang w:val="es-419"/>
      </w:rPr>
      <w:fldChar w:fldCharType="end"/>
    </w:r>
  </w:p>
  <w:p w14:paraId="0AE0A22D" w14:textId="77777777" w:rsidR="00F84474" w:rsidRPr="00695D4C" w:rsidRDefault="00F84474" w:rsidP="00477D6B">
    <w:pPr>
      <w:jc w:val="right"/>
      <w:rPr>
        <w:lang w:val="es-419"/>
      </w:rPr>
    </w:pPr>
  </w:p>
  <w:p w14:paraId="66BA5B7B" w14:textId="77777777" w:rsidR="004F7418" w:rsidRPr="00695D4C" w:rsidRDefault="004F7418" w:rsidP="00477D6B">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F3913"/>
    <w:multiLevelType w:val="hybridMultilevel"/>
    <w:tmpl w:val="1E12EEA2"/>
    <w:lvl w:ilvl="0" w:tplc="6D9C8834">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0591"/>
    <w:multiLevelType w:val="hybridMultilevel"/>
    <w:tmpl w:val="EC4C9ED6"/>
    <w:lvl w:ilvl="0" w:tplc="140694CE">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16cid:durableId="126900844">
    <w:abstractNumId w:val="2"/>
  </w:num>
  <w:num w:numId="2" w16cid:durableId="309794587">
    <w:abstractNumId w:val="5"/>
  </w:num>
  <w:num w:numId="3" w16cid:durableId="1968076723">
    <w:abstractNumId w:val="0"/>
  </w:num>
  <w:num w:numId="4" w16cid:durableId="1656638925">
    <w:abstractNumId w:val="6"/>
  </w:num>
  <w:num w:numId="5" w16cid:durableId="244077344">
    <w:abstractNumId w:val="1"/>
  </w:num>
  <w:num w:numId="6" w16cid:durableId="720789353">
    <w:abstractNumId w:val="3"/>
  </w:num>
  <w:num w:numId="7" w16cid:durableId="1183980109">
    <w:abstractNumId w:val="7"/>
  </w:num>
  <w:num w:numId="8" w16cid:durableId="1418750250">
    <w:abstractNumId w:val="8"/>
  </w:num>
  <w:num w:numId="9" w16cid:durableId="1616280423">
    <w:abstractNumId w:val="4"/>
  </w:num>
  <w:num w:numId="10" w16cid:durableId="1609963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23"/>
    <w:rsid w:val="00046C3F"/>
    <w:rsid w:val="00082B9F"/>
    <w:rsid w:val="00091F20"/>
    <w:rsid w:val="000E3BB3"/>
    <w:rsid w:val="000F5E56"/>
    <w:rsid w:val="00107D22"/>
    <w:rsid w:val="001362EE"/>
    <w:rsid w:val="00137CC4"/>
    <w:rsid w:val="00152CEA"/>
    <w:rsid w:val="001832A6"/>
    <w:rsid w:val="001C4DD3"/>
    <w:rsid w:val="002634C4"/>
    <w:rsid w:val="002F3D41"/>
    <w:rsid w:val="002F4E68"/>
    <w:rsid w:val="00307787"/>
    <w:rsid w:val="00323EB5"/>
    <w:rsid w:val="003534D3"/>
    <w:rsid w:val="00354647"/>
    <w:rsid w:val="00375F80"/>
    <w:rsid w:val="00377273"/>
    <w:rsid w:val="003845C1"/>
    <w:rsid w:val="00387287"/>
    <w:rsid w:val="003A44AE"/>
    <w:rsid w:val="003D41D4"/>
    <w:rsid w:val="003F63ED"/>
    <w:rsid w:val="00422F67"/>
    <w:rsid w:val="00423E3E"/>
    <w:rsid w:val="00427AF4"/>
    <w:rsid w:val="004456CE"/>
    <w:rsid w:val="0045231F"/>
    <w:rsid w:val="004647DA"/>
    <w:rsid w:val="00477D6B"/>
    <w:rsid w:val="004A6C37"/>
    <w:rsid w:val="004C24E2"/>
    <w:rsid w:val="004F7418"/>
    <w:rsid w:val="005024A2"/>
    <w:rsid w:val="00502766"/>
    <w:rsid w:val="00515C77"/>
    <w:rsid w:val="00522018"/>
    <w:rsid w:val="0055013B"/>
    <w:rsid w:val="0056224D"/>
    <w:rsid w:val="00571B99"/>
    <w:rsid w:val="005D44BB"/>
    <w:rsid w:val="005D64EC"/>
    <w:rsid w:val="00605827"/>
    <w:rsid w:val="00636910"/>
    <w:rsid w:val="00675021"/>
    <w:rsid w:val="00695D4C"/>
    <w:rsid w:val="006A06C6"/>
    <w:rsid w:val="006C0B5B"/>
    <w:rsid w:val="006D4D58"/>
    <w:rsid w:val="00791A23"/>
    <w:rsid w:val="007C517C"/>
    <w:rsid w:val="007E63AC"/>
    <w:rsid w:val="007E663E"/>
    <w:rsid w:val="007E758E"/>
    <w:rsid w:val="00801BCC"/>
    <w:rsid w:val="00815082"/>
    <w:rsid w:val="00843582"/>
    <w:rsid w:val="008658D5"/>
    <w:rsid w:val="008B14EA"/>
    <w:rsid w:val="008B2CC1"/>
    <w:rsid w:val="008E2418"/>
    <w:rsid w:val="008E71E0"/>
    <w:rsid w:val="0090731E"/>
    <w:rsid w:val="00917A68"/>
    <w:rsid w:val="00966A22"/>
    <w:rsid w:val="00972F03"/>
    <w:rsid w:val="009976AF"/>
    <w:rsid w:val="009A0C8B"/>
    <w:rsid w:val="009B6241"/>
    <w:rsid w:val="00A16FC0"/>
    <w:rsid w:val="00A216EC"/>
    <w:rsid w:val="00A32C9E"/>
    <w:rsid w:val="00A46272"/>
    <w:rsid w:val="00A7453D"/>
    <w:rsid w:val="00AB613D"/>
    <w:rsid w:val="00AD6B7B"/>
    <w:rsid w:val="00B65A0A"/>
    <w:rsid w:val="00B72D36"/>
    <w:rsid w:val="00B85768"/>
    <w:rsid w:val="00BB5DFF"/>
    <w:rsid w:val="00BC4164"/>
    <w:rsid w:val="00BD2DCC"/>
    <w:rsid w:val="00BE1A8C"/>
    <w:rsid w:val="00C06472"/>
    <w:rsid w:val="00C07DBB"/>
    <w:rsid w:val="00C5088E"/>
    <w:rsid w:val="00C90559"/>
    <w:rsid w:val="00CC6A25"/>
    <w:rsid w:val="00D051B1"/>
    <w:rsid w:val="00D20B6E"/>
    <w:rsid w:val="00D36B79"/>
    <w:rsid w:val="00D40CF0"/>
    <w:rsid w:val="00D52052"/>
    <w:rsid w:val="00D56C7C"/>
    <w:rsid w:val="00D71B4D"/>
    <w:rsid w:val="00D90289"/>
    <w:rsid w:val="00D93D55"/>
    <w:rsid w:val="00DE636E"/>
    <w:rsid w:val="00E110B7"/>
    <w:rsid w:val="00E45C84"/>
    <w:rsid w:val="00E504E5"/>
    <w:rsid w:val="00E73ABF"/>
    <w:rsid w:val="00EA4D08"/>
    <w:rsid w:val="00EA4DA2"/>
    <w:rsid w:val="00EB7A3E"/>
    <w:rsid w:val="00EC401A"/>
    <w:rsid w:val="00EF4EDB"/>
    <w:rsid w:val="00EF530A"/>
    <w:rsid w:val="00EF6622"/>
    <w:rsid w:val="00F300E3"/>
    <w:rsid w:val="00F42E6A"/>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48B5C"/>
  <w15:docId w15:val="{4BA2D1B9-EED6-4315-BB73-674DA5EC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791A23"/>
    <w:pPr>
      <w:ind w:left="720"/>
      <w:contextualSpacing/>
    </w:pPr>
  </w:style>
  <w:style w:type="character" w:styleId="Hyperlink">
    <w:name w:val="Hyperlink"/>
    <w:basedOn w:val="DefaultParagraphFont"/>
    <w:uiPriority w:val="99"/>
    <w:rsid w:val="00791A23"/>
    <w:rPr>
      <w:color w:val="0000FF" w:themeColor="hyperlink"/>
      <w:u w:val="single"/>
    </w:rPr>
  </w:style>
  <w:style w:type="character" w:customStyle="1" w:styleId="Heading1Char">
    <w:name w:val="Heading 1 Char"/>
    <w:basedOn w:val="DefaultParagraphFont"/>
    <w:link w:val="Heading1"/>
    <w:rsid w:val="00791A2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91A23"/>
    <w:rPr>
      <w:rFonts w:ascii="Arial" w:eastAsia="SimSun" w:hAnsi="Arial" w:cs="Arial"/>
      <w:bCs/>
      <w:iCs/>
      <w:caps/>
      <w:sz w:val="22"/>
      <w:szCs w:val="28"/>
      <w:lang w:val="es-ES" w:eastAsia="zh-CN"/>
    </w:rPr>
  </w:style>
  <w:style w:type="character" w:styleId="CommentReference">
    <w:name w:val="annotation reference"/>
    <w:basedOn w:val="DefaultParagraphFont"/>
    <w:semiHidden/>
    <w:unhideWhenUsed/>
    <w:rsid w:val="00791A23"/>
    <w:rPr>
      <w:sz w:val="16"/>
      <w:szCs w:val="16"/>
    </w:rPr>
  </w:style>
  <w:style w:type="paragraph" w:customStyle="1" w:styleId="Default">
    <w:name w:val="Default"/>
    <w:uiPriority w:val="99"/>
    <w:rsid w:val="00791A23"/>
    <w:pPr>
      <w:autoSpaceDE w:val="0"/>
      <w:autoSpaceDN w:val="0"/>
      <w:adjustRightInd w:val="0"/>
    </w:pPr>
    <w:rPr>
      <w:rFonts w:ascii="Arial" w:eastAsiaTheme="minorHAnsi" w:hAnsi="Arial" w:cs="Arial"/>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govbody/es/wo_ga_57/wo_ga_57_12.pdf" TargetMode="External"/><Relationship Id="rId18" Type="http://schemas.openxmlformats.org/officeDocument/2006/relationships/hyperlink" Target="https://www.wipo.int/meetings/es/doc_details.jsp?doc_id=629427" TargetMode="External"/><Relationship Id="rId26" Type="http://schemas.openxmlformats.org/officeDocument/2006/relationships/hyperlink" Target="https://www.wipo.int/meetings/en/doc_details.jsp?doc_id=641471" TargetMode="External"/><Relationship Id="rId3" Type="http://schemas.openxmlformats.org/officeDocument/2006/relationships/customXml" Target="../customXml/item3.xml"/><Relationship Id="rId21" Type="http://schemas.openxmlformats.org/officeDocument/2006/relationships/hyperlink" Target="https://www.wipo.int/meetings/es/doc_details.jsp?doc_id=642372"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wipo.int/about-wipo/es/assemblies/2024/a-65/doc_details.jsp?doc_id=631586" TargetMode="External"/><Relationship Id="rId17" Type="http://schemas.openxmlformats.org/officeDocument/2006/relationships/hyperlink" Target="https://www.wipo.int/meetings/es/doc_details.jsp?doc_id=643611" TargetMode="External"/><Relationship Id="rId25" Type="http://schemas.openxmlformats.org/officeDocument/2006/relationships/hyperlink" Target="https://www.wipo.int/meetings/es/details.jsp?meeting_id=86568"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ipo.int/meetings/es/doc_details.jsp?doc_id=643180" TargetMode="External"/><Relationship Id="rId20" Type="http://schemas.openxmlformats.org/officeDocument/2006/relationships/hyperlink" Target="https://www.wipo.int/meetings/es/doc_details.jsp?doc_id=642391" TargetMode="External"/><Relationship Id="rId29" Type="http://schemas.openxmlformats.org/officeDocument/2006/relationships/hyperlink" Target="https://www.wipo.int/meetings/es/doc_details.jsp?doc_id=62927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meetings/es/details.jsp?meeting_id=86568" TargetMode="External"/><Relationship Id="rId24" Type="http://schemas.openxmlformats.org/officeDocument/2006/relationships/header" Target="header1.xml"/><Relationship Id="rId32" Type="http://schemas.openxmlformats.org/officeDocument/2006/relationships/hyperlink" Target="https://www.wipo.int/meetings/es/doc_details.jsp?doc_id=629427" TargetMode="External"/><Relationship Id="rId5" Type="http://schemas.openxmlformats.org/officeDocument/2006/relationships/styles" Target="styles.xml"/><Relationship Id="rId15" Type="http://schemas.openxmlformats.org/officeDocument/2006/relationships/hyperlink" Target="https://www.wipo.int/meetings/es/doc_details.jsp?doc_id=629272" TargetMode="External"/><Relationship Id="rId23" Type="http://schemas.openxmlformats.org/officeDocument/2006/relationships/hyperlink" Target="https://www.wipo.int/meetings/es/doc_details.jsp?doc_id=642834" TargetMode="External"/><Relationship Id="rId28" Type="http://schemas.openxmlformats.org/officeDocument/2006/relationships/hyperlink" Target="https://www.wipo.int/meetings/es/details.jsp?meeting_id=86568" TargetMode="External"/><Relationship Id="rId10" Type="http://schemas.openxmlformats.org/officeDocument/2006/relationships/image" Target="media/image1.png"/><Relationship Id="rId19" Type="http://schemas.openxmlformats.org/officeDocument/2006/relationships/hyperlink" Target="https://www.wipo.int/meetings/es/doc_details.jsp?doc_id=642371" TargetMode="External"/><Relationship Id="rId31" Type="http://schemas.openxmlformats.org/officeDocument/2006/relationships/hyperlink" Target="https://www.wipo.int/meetings/es/doc_details.jsp?doc_id=6437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meetings/en/doc_details.jsp?doc_id=641471" TargetMode="External"/><Relationship Id="rId22" Type="http://schemas.openxmlformats.org/officeDocument/2006/relationships/hyperlink" Target="https://www.wipo.int/meetings/es/doc_details.jsp?doc_id=643754" TargetMode="External"/><Relationship Id="rId27" Type="http://schemas.openxmlformats.org/officeDocument/2006/relationships/hyperlink" Target="https://www.wipo.int/meetings/es/details.jsp?meeting_id=86568" TargetMode="External"/><Relationship Id="rId30" Type="http://schemas.openxmlformats.org/officeDocument/2006/relationships/hyperlink" Target="https://www.wipo.int/meetings/es/doc_details.jsp?doc_id=642371"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C76D2-131C-4353-B4FF-741C414D01D6}">
  <ds:schemaRefs>
    <ds:schemaRef ds:uri="http://schemas.openxmlformats.org/package/2006/metadata/core-properties"/>
    <ds:schemaRef ds:uri="http://purl.org/dc/dcmitype/"/>
    <ds:schemaRef ds:uri="781c9f64-295c-457e-9e5f-c4eb841d6909"/>
    <ds:schemaRef ds:uri="http://schemas.microsoft.com/office/2006/metadata/properties"/>
    <ds:schemaRef ds:uri="http://purl.org/dc/elements/1.1/"/>
    <ds:schemaRef ds:uri="http://schemas.microsoft.com/office/2006/documentManagement/types"/>
    <ds:schemaRef ds:uri="http://www.w3.org/XML/1998/namespace"/>
    <ds:schemaRef ds:uri="b1a73aef-ce8f-442d-a5fc-a13bc475f3fd"/>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7D3E1137-DB2F-465F-BD14-3C92C8B0A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WO_GA_58 (S).dotm</Template>
  <TotalTime>1</TotalTime>
  <Pages>10</Pages>
  <Words>3845</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WO/GA/58/4</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WO/GA/58/4</dc:title>
  <dc:creator>CEVALLOS DUQUE Nilo</dc:creator>
  <cp:keywords/>
  <cp:lastModifiedBy>RUSSO Antonella</cp:lastModifiedBy>
  <cp:revision>2</cp:revision>
  <dcterms:created xsi:type="dcterms:W3CDTF">2025-06-05T17:36:00Z</dcterms:created>
  <dcterms:modified xsi:type="dcterms:W3CDTF">2025-06-05T17:36:00Z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