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69DF" w14:textId="77777777" w:rsidR="001B0F06" w:rsidRPr="00E45F61" w:rsidRDefault="001B0F06" w:rsidP="001B0F06">
      <w:pPr>
        <w:spacing w:after="120"/>
        <w:jc w:val="right"/>
        <w:rPr>
          <w:lang w:val="es-419"/>
        </w:rPr>
      </w:pPr>
      <w:bookmarkStart w:id="0" w:name="TitleOfDoc"/>
      <w:r w:rsidRPr="00E45F61">
        <w:rPr>
          <w:noProof/>
          <w:lang w:val="es-419" w:eastAsia="fr-CH"/>
        </w:rPr>
        <w:drawing>
          <wp:inline distT="0" distB="0" distL="0" distR="0" wp14:anchorId="2BEABD27" wp14:editId="67674B0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E45F61">
        <w:rPr>
          <w:rFonts w:ascii="Arial Black" w:hAnsi="Arial Black"/>
          <w:caps/>
          <w:noProof/>
          <w:sz w:val="15"/>
          <w:szCs w:val="15"/>
          <w:lang w:val="es-419" w:eastAsia="fr-CH"/>
        </w:rPr>
        <mc:AlternateContent>
          <mc:Choice Requires="wps">
            <w:drawing>
              <wp:inline distT="0" distB="0" distL="0" distR="0" wp14:anchorId="00B6E8F3" wp14:editId="041360B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392DC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D755F83" w14:textId="77777777" w:rsidR="001B0F06" w:rsidRPr="00E45F61" w:rsidRDefault="001B0F06" w:rsidP="001B0F06">
      <w:pPr>
        <w:jc w:val="right"/>
        <w:rPr>
          <w:rFonts w:ascii="Arial Black" w:hAnsi="Arial Black"/>
          <w:caps/>
          <w:sz w:val="15"/>
          <w:lang w:val="es-419"/>
        </w:rPr>
      </w:pPr>
      <w:r w:rsidRPr="00E45F61">
        <w:rPr>
          <w:rFonts w:ascii="Arial Black" w:hAnsi="Arial Black"/>
          <w:caps/>
          <w:sz w:val="15"/>
          <w:szCs w:val="15"/>
          <w:lang w:val="es-419"/>
        </w:rPr>
        <w:t>WO/GA/58/</w:t>
      </w:r>
      <w:bookmarkStart w:id="1" w:name="Code"/>
      <w:r w:rsidRPr="00E45F61">
        <w:rPr>
          <w:rFonts w:ascii="Arial Black" w:hAnsi="Arial Black"/>
          <w:caps/>
          <w:sz w:val="15"/>
          <w:szCs w:val="15"/>
          <w:lang w:val="es-419"/>
        </w:rPr>
        <w:t>3</w:t>
      </w:r>
    </w:p>
    <w:bookmarkEnd w:id="1"/>
    <w:p w14:paraId="3ADDF3B7" w14:textId="77777777" w:rsidR="001B0F06" w:rsidRPr="00E45F61" w:rsidRDefault="001B0F06" w:rsidP="001B0F06">
      <w:pPr>
        <w:jc w:val="right"/>
        <w:rPr>
          <w:rFonts w:ascii="Arial Black" w:hAnsi="Arial Black"/>
          <w:caps/>
          <w:sz w:val="15"/>
          <w:lang w:val="es-419"/>
        </w:rPr>
      </w:pPr>
      <w:r w:rsidRPr="00E45F61">
        <w:rPr>
          <w:rFonts w:ascii="Arial Black" w:hAnsi="Arial Black"/>
          <w:caps/>
          <w:sz w:val="15"/>
          <w:lang w:val="es-419"/>
        </w:rPr>
        <w:t xml:space="preserve">ORIGINAL: </w:t>
      </w:r>
      <w:bookmarkStart w:id="2" w:name="Original"/>
      <w:r w:rsidRPr="00E45F61">
        <w:rPr>
          <w:rFonts w:ascii="Arial Black" w:hAnsi="Arial Black"/>
          <w:caps/>
          <w:sz w:val="15"/>
          <w:lang w:val="es-419"/>
        </w:rPr>
        <w:t>inglés</w:t>
      </w:r>
    </w:p>
    <w:bookmarkEnd w:id="2"/>
    <w:p w14:paraId="6FDB8620" w14:textId="78CFA2B1" w:rsidR="001B0F06" w:rsidRPr="00E45F61" w:rsidRDefault="001B0F06" w:rsidP="001B0F06">
      <w:pPr>
        <w:spacing w:after="1200"/>
        <w:jc w:val="right"/>
        <w:rPr>
          <w:rFonts w:ascii="Arial Black" w:hAnsi="Arial Black"/>
          <w:caps/>
          <w:sz w:val="15"/>
          <w:lang w:val="es-419"/>
        </w:rPr>
      </w:pPr>
      <w:r w:rsidRPr="00E45F61">
        <w:rPr>
          <w:rFonts w:ascii="Arial Black" w:hAnsi="Arial Black"/>
          <w:caps/>
          <w:sz w:val="15"/>
          <w:lang w:val="es-419"/>
        </w:rPr>
        <w:t xml:space="preserve">FECHA: </w:t>
      </w:r>
      <w:bookmarkStart w:id="3" w:name="Date"/>
      <w:r w:rsidR="00B11978" w:rsidRPr="00E45F61">
        <w:rPr>
          <w:rFonts w:ascii="Arial Black" w:hAnsi="Arial Black"/>
          <w:caps/>
          <w:sz w:val="15"/>
          <w:lang w:val="es-419"/>
        </w:rPr>
        <w:t>24 DE ABRIL</w:t>
      </w:r>
      <w:r w:rsidRPr="00E45F61">
        <w:rPr>
          <w:rFonts w:ascii="Arial Black" w:hAnsi="Arial Black"/>
          <w:caps/>
          <w:sz w:val="15"/>
          <w:lang w:val="es-419"/>
        </w:rPr>
        <w:t xml:space="preserve"> de 2025</w:t>
      </w:r>
    </w:p>
    <w:bookmarkEnd w:id="3"/>
    <w:p w14:paraId="53B560E0" w14:textId="77777777" w:rsidR="001B0F06" w:rsidRPr="00E45F61" w:rsidRDefault="001B0F06" w:rsidP="001B0F06">
      <w:pPr>
        <w:spacing w:after="600"/>
        <w:rPr>
          <w:b/>
          <w:sz w:val="28"/>
          <w:szCs w:val="28"/>
          <w:lang w:val="es-419"/>
        </w:rPr>
      </w:pPr>
      <w:r w:rsidRPr="00E45F61">
        <w:rPr>
          <w:b/>
          <w:sz w:val="28"/>
          <w:szCs w:val="28"/>
          <w:lang w:val="es-419"/>
        </w:rPr>
        <w:t>Asamblea General de la OMPI</w:t>
      </w:r>
    </w:p>
    <w:p w14:paraId="705256E6" w14:textId="77777777" w:rsidR="001B0F06" w:rsidRPr="00E45F61" w:rsidRDefault="001B0F06" w:rsidP="001B0F06">
      <w:pPr>
        <w:rPr>
          <w:b/>
          <w:sz w:val="24"/>
          <w:szCs w:val="24"/>
          <w:lang w:val="es-419"/>
        </w:rPr>
      </w:pPr>
      <w:r w:rsidRPr="00E45F61">
        <w:rPr>
          <w:b/>
          <w:sz w:val="24"/>
          <w:szCs w:val="24"/>
          <w:lang w:val="es-419"/>
        </w:rPr>
        <w:t>Quincuagésimo octavo período de sesiones (27.º ordinario)</w:t>
      </w:r>
    </w:p>
    <w:p w14:paraId="21DCBA7B" w14:textId="77777777" w:rsidR="001B0F06" w:rsidRPr="00E45F61" w:rsidRDefault="001B0F06" w:rsidP="001B0F06">
      <w:pPr>
        <w:spacing w:after="720"/>
        <w:rPr>
          <w:b/>
          <w:sz w:val="24"/>
          <w:szCs w:val="24"/>
          <w:lang w:val="es-419"/>
        </w:rPr>
      </w:pPr>
      <w:r w:rsidRPr="00E45F61">
        <w:rPr>
          <w:b/>
          <w:sz w:val="24"/>
          <w:szCs w:val="24"/>
          <w:lang w:val="es-419"/>
        </w:rPr>
        <w:t>Ginebra, 8 a 17 de julio de 2025</w:t>
      </w:r>
    </w:p>
    <w:p w14:paraId="22C4A3A4" w14:textId="69F0C760" w:rsidR="008B2CC1" w:rsidRPr="00E45F61" w:rsidRDefault="00B7499E" w:rsidP="008B14EA">
      <w:pPr>
        <w:spacing w:after="360"/>
        <w:rPr>
          <w:caps/>
          <w:sz w:val="24"/>
          <w:lang w:val="es-419"/>
        </w:rPr>
      </w:pPr>
      <w:r w:rsidRPr="00E45F61">
        <w:rPr>
          <w:rFonts w:eastAsia="Arial"/>
          <w:caps/>
          <w:sz w:val="24"/>
          <w:szCs w:val="24"/>
          <w:lang w:val="es-419"/>
        </w:rPr>
        <w:t>INFORME ANUAL DE LA DIRECTORA DE LA DIVISIÓN DE SUPERVISIÓN INTERNA</w:t>
      </w:r>
      <w:r w:rsidR="00B11978" w:rsidRPr="00E45F61">
        <w:rPr>
          <w:rFonts w:eastAsia="Arial"/>
          <w:caps/>
          <w:sz w:val="24"/>
          <w:szCs w:val="24"/>
          <w:lang w:val="es-419"/>
        </w:rPr>
        <w:t> </w:t>
      </w:r>
      <w:r w:rsidRPr="00E45F61">
        <w:rPr>
          <w:rFonts w:eastAsia="Arial"/>
          <w:caps/>
          <w:sz w:val="24"/>
          <w:szCs w:val="24"/>
          <w:lang w:val="es-419"/>
        </w:rPr>
        <w:t>(DSI)</w:t>
      </w:r>
    </w:p>
    <w:p w14:paraId="6CC699C6" w14:textId="77777777" w:rsidR="008B2CC1" w:rsidRPr="00E45F61" w:rsidRDefault="00B7499E" w:rsidP="008B14EA">
      <w:pPr>
        <w:spacing w:after="960"/>
        <w:rPr>
          <w:i/>
          <w:lang w:val="es-419"/>
        </w:rPr>
      </w:pPr>
      <w:bookmarkStart w:id="4" w:name="Prepared"/>
      <w:bookmarkEnd w:id="0"/>
      <w:r w:rsidRPr="00E45F61">
        <w:rPr>
          <w:rFonts w:eastAsia="Arial"/>
          <w:i/>
          <w:iCs/>
          <w:szCs w:val="22"/>
          <w:lang w:val="es-419"/>
        </w:rPr>
        <w:t>preparado por la Secretaría</w:t>
      </w:r>
    </w:p>
    <w:bookmarkEnd w:id="4"/>
    <w:p w14:paraId="1A0640E9" w14:textId="77777777" w:rsidR="0045169F" w:rsidRPr="00E45F61" w:rsidRDefault="00B7499E" w:rsidP="0045169F">
      <w:pPr>
        <w:pStyle w:val="ONUMFS"/>
        <w:rPr>
          <w:lang w:val="es-419"/>
        </w:rPr>
      </w:pPr>
      <w:r w:rsidRPr="00E45F61">
        <w:rPr>
          <w:rFonts w:eastAsia="Arial"/>
          <w:szCs w:val="22"/>
          <w:lang w:val="es-419"/>
        </w:rPr>
        <w:t xml:space="preserve">El presente documento contiene el </w:t>
      </w:r>
      <w:r w:rsidR="008D09ED" w:rsidRPr="00E45F61">
        <w:rPr>
          <w:rFonts w:eastAsia="Arial"/>
          <w:szCs w:val="22"/>
          <w:lang w:val="es-419"/>
        </w:rPr>
        <w:t>“</w:t>
      </w:r>
      <w:r w:rsidRPr="00E45F61">
        <w:rPr>
          <w:rFonts w:eastAsia="Arial"/>
          <w:szCs w:val="22"/>
          <w:lang w:val="es-419"/>
        </w:rPr>
        <w:t>Informe anual de la directora de la División de Supervisión Interna (DSI)</w:t>
      </w:r>
      <w:r w:rsidR="008D09ED" w:rsidRPr="00E45F61">
        <w:rPr>
          <w:rFonts w:eastAsia="Arial"/>
          <w:szCs w:val="22"/>
          <w:lang w:val="es-419"/>
        </w:rPr>
        <w:t>”</w:t>
      </w:r>
      <w:r w:rsidRPr="00E45F61">
        <w:rPr>
          <w:rFonts w:eastAsia="Arial"/>
          <w:szCs w:val="22"/>
          <w:lang w:val="es-419"/>
        </w:rPr>
        <w:t xml:space="preserve"> (documento WO/PBC/39/5), presentado ante el Comité del Programa y Presupuesto de la OMPI (PBC) en su trigésima novena sesión (del 16 al 20 de junio de 2025).</w:t>
      </w:r>
    </w:p>
    <w:p w14:paraId="7CF4E768" w14:textId="77777777" w:rsidR="0045169F" w:rsidRPr="00E45F61" w:rsidRDefault="00B7499E" w:rsidP="0045169F">
      <w:pPr>
        <w:pStyle w:val="ONUMFS"/>
        <w:spacing w:after="600"/>
        <w:rPr>
          <w:lang w:val="es-419"/>
        </w:rPr>
      </w:pPr>
      <w:r w:rsidRPr="00E45F61">
        <w:rPr>
          <w:rFonts w:eastAsia="Arial"/>
          <w:szCs w:val="22"/>
          <w:lang w:val="es-419"/>
        </w:rPr>
        <w:t xml:space="preserve">Las decisiones del PBC con respecto a ese documento aparecerán en la </w:t>
      </w:r>
      <w:r w:rsidR="008D09ED" w:rsidRPr="00E45F61">
        <w:rPr>
          <w:rFonts w:eastAsia="Arial"/>
          <w:szCs w:val="22"/>
          <w:lang w:val="es-419"/>
        </w:rPr>
        <w:t>“</w:t>
      </w:r>
      <w:r w:rsidRPr="00E45F61">
        <w:rPr>
          <w:rFonts w:eastAsia="Arial"/>
          <w:szCs w:val="22"/>
          <w:lang w:val="es-419"/>
        </w:rPr>
        <w:t>Lista de decisiones adoptadas por el Comité del Programa y Presupuesto</w:t>
      </w:r>
      <w:r w:rsidR="008D09ED" w:rsidRPr="00E45F61">
        <w:rPr>
          <w:rFonts w:eastAsia="Arial"/>
          <w:szCs w:val="22"/>
          <w:lang w:val="es-419"/>
        </w:rPr>
        <w:t>”</w:t>
      </w:r>
      <w:r w:rsidRPr="00E45F61">
        <w:rPr>
          <w:rFonts w:eastAsia="Arial"/>
          <w:szCs w:val="22"/>
          <w:lang w:val="es-419"/>
        </w:rPr>
        <w:t xml:space="preserve"> (documento WO/GA/58/3).</w:t>
      </w:r>
    </w:p>
    <w:p w14:paraId="68469383" w14:textId="77777777" w:rsidR="0076292E" w:rsidRPr="00E45F61" w:rsidRDefault="00B7499E" w:rsidP="00B11978">
      <w:pPr>
        <w:pStyle w:val="Endofdocument-Annex"/>
        <w:rPr>
          <w:lang w:val="es-419"/>
        </w:rPr>
      </w:pPr>
      <w:r w:rsidRPr="00E45F61">
        <w:rPr>
          <w:lang w:val="es-419"/>
        </w:rPr>
        <w:t>[Sigue el documento WO/PBC/39/5]</w:t>
      </w:r>
    </w:p>
    <w:p w14:paraId="40F7C7DB" w14:textId="4B5CD580" w:rsidR="00E45F61" w:rsidRPr="00E45F61" w:rsidRDefault="00E45F61">
      <w:pPr>
        <w:rPr>
          <w:lang w:val="es-419"/>
        </w:rPr>
      </w:pPr>
      <w:r w:rsidRPr="00E45F61">
        <w:rPr>
          <w:lang w:val="es-419"/>
        </w:rPr>
        <w:br w:type="page"/>
      </w:r>
    </w:p>
    <w:p w14:paraId="43777A20" w14:textId="77777777" w:rsidR="00E45F61" w:rsidRPr="00E45F61" w:rsidRDefault="00E45F61" w:rsidP="00E45F61">
      <w:pPr>
        <w:pStyle w:val="ONUMFS"/>
        <w:numPr>
          <w:ilvl w:val="0"/>
          <w:numId w:val="0"/>
        </w:numPr>
        <w:rPr>
          <w:lang w:val="es-419"/>
        </w:rPr>
      </w:pPr>
    </w:p>
    <w:p w14:paraId="74B3E73A" w14:textId="77777777" w:rsidR="00B11978" w:rsidRPr="00E45F61" w:rsidRDefault="00B11978" w:rsidP="00B11978">
      <w:pPr>
        <w:pStyle w:val="Endofdocument-Annex"/>
        <w:rPr>
          <w:lang w:val="es-419"/>
        </w:rPr>
      </w:pPr>
    </w:p>
    <w:p w14:paraId="777144B1" w14:textId="77777777" w:rsidR="0076292E" w:rsidRPr="00E45F61" w:rsidRDefault="0076292E" w:rsidP="0076292E">
      <w:pPr>
        <w:pStyle w:val="Endofdocument-Annex"/>
        <w:ind w:left="0"/>
        <w:jc w:val="both"/>
        <w:rPr>
          <w:lang w:val="es-419"/>
        </w:rPr>
        <w:sectPr w:rsidR="0076292E" w:rsidRPr="00E45F61" w:rsidSect="00C86458">
          <w:pgSz w:w="11907" w:h="16840" w:code="9"/>
          <w:pgMar w:top="567" w:right="1134" w:bottom="1418" w:left="1418" w:header="510" w:footer="1021" w:gutter="0"/>
          <w:cols w:space="720"/>
          <w:titlePg/>
          <w:docGrid w:linePitch="299"/>
        </w:sectPr>
      </w:pPr>
    </w:p>
    <w:p w14:paraId="08EA8C31" w14:textId="77777777" w:rsidR="009E7613" w:rsidRPr="00E45F61" w:rsidRDefault="009E7613" w:rsidP="009E7613">
      <w:pPr>
        <w:spacing w:after="120"/>
        <w:jc w:val="right"/>
        <w:rPr>
          <w:lang w:val="es-419"/>
        </w:rPr>
      </w:pPr>
      <w:r w:rsidRPr="00E45F61">
        <w:rPr>
          <w:noProof/>
          <w:lang w:val="es-419" w:eastAsia="en-US"/>
        </w:rPr>
        <w:lastRenderedPageBreak/>
        <w:drawing>
          <wp:inline distT="0" distB="0" distL="0" distR="0" wp14:anchorId="65937413" wp14:editId="64D8E739">
            <wp:extent cx="3014550" cy="1332000"/>
            <wp:effectExtent l="0" t="0" r="0" b="1905"/>
            <wp:docPr id="713733758" name="Picture 7137337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E45F61">
        <w:rPr>
          <w:rFonts w:ascii="Arial Black" w:hAnsi="Arial Black"/>
          <w:caps/>
          <w:noProof/>
          <w:sz w:val="15"/>
          <w:szCs w:val="15"/>
          <w:lang w:val="es-419" w:eastAsia="en-US"/>
        </w:rPr>
        <mc:AlternateContent>
          <mc:Choice Requires="wps">
            <w:drawing>
              <wp:inline distT="0" distB="0" distL="0" distR="0" wp14:anchorId="702B6C3E" wp14:editId="4CE46E00">
                <wp:extent cx="5935980" cy="0"/>
                <wp:effectExtent l="0" t="0" r="26670" b="19050"/>
                <wp:docPr id="142190746" name="Straight Connector 142190746"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56E22A" id="Straight Connector 142190746"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10DA9E" w14:textId="77777777" w:rsidR="009E7613" w:rsidRPr="00E45F61" w:rsidRDefault="009E7613" w:rsidP="009E7613">
      <w:pPr>
        <w:jc w:val="right"/>
        <w:rPr>
          <w:rFonts w:ascii="Arial Black" w:hAnsi="Arial Black"/>
          <w:caps/>
          <w:sz w:val="15"/>
          <w:szCs w:val="15"/>
          <w:lang w:val="es-419"/>
        </w:rPr>
      </w:pPr>
      <w:r w:rsidRPr="00E45F61">
        <w:rPr>
          <w:rFonts w:ascii="Arial Black" w:hAnsi="Arial Black"/>
          <w:caps/>
          <w:sz w:val="15"/>
          <w:szCs w:val="15"/>
          <w:lang w:val="es-419"/>
        </w:rPr>
        <w:t>WO/PBC/39/5</w:t>
      </w:r>
    </w:p>
    <w:p w14:paraId="069F9653" w14:textId="77777777" w:rsidR="009E7613" w:rsidRPr="00E45F61" w:rsidRDefault="009E7613" w:rsidP="009E7613">
      <w:pPr>
        <w:jc w:val="right"/>
        <w:rPr>
          <w:rFonts w:ascii="Arial Black" w:hAnsi="Arial Black"/>
          <w:caps/>
          <w:sz w:val="15"/>
          <w:szCs w:val="15"/>
          <w:lang w:val="es-419"/>
        </w:rPr>
      </w:pPr>
      <w:r w:rsidRPr="00E45F61">
        <w:rPr>
          <w:rFonts w:ascii="Arial Black" w:hAnsi="Arial Black"/>
          <w:caps/>
          <w:sz w:val="15"/>
          <w:szCs w:val="15"/>
          <w:lang w:val="es-419"/>
        </w:rPr>
        <w:t>ORIGINAL: inglés</w:t>
      </w:r>
    </w:p>
    <w:p w14:paraId="3356A719" w14:textId="4B75258C" w:rsidR="009E7613" w:rsidRPr="00E45F61" w:rsidRDefault="009E7613" w:rsidP="009E7613">
      <w:pPr>
        <w:spacing w:after="1200"/>
        <w:jc w:val="right"/>
        <w:rPr>
          <w:rFonts w:ascii="Arial Black" w:hAnsi="Arial Black"/>
          <w:caps/>
          <w:sz w:val="15"/>
          <w:szCs w:val="15"/>
          <w:lang w:val="es-419"/>
        </w:rPr>
      </w:pPr>
      <w:r w:rsidRPr="00E45F61">
        <w:rPr>
          <w:rFonts w:ascii="Arial Black" w:hAnsi="Arial Black"/>
          <w:caps/>
          <w:sz w:val="15"/>
          <w:szCs w:val="15"/>
          <w:lang w:val="es-419"/>
        </w:rPr>
        <w:t xml:space="preserve">DATE: </w:t>
      </w:r>
      <w:r w:rsidR="00B11978" w:rsidRPr="00E45F61">
        <w:rPr>
          <w:rFonts w:ascii="Arial Black" w:hAnsi="Arial Black"/>
          <w:caps/>
          <w:sz w:val="15"/>
          <w:szCs w:val="15"/>
          <w:lang w:val="es-419"/>
        </w:rPr>
        <w:t>24 DE ABRIL</w:t>
      </w:r>
      <w:r w:rsidRPr="00E45F61">
        <w:rPr>
          <w:rFonts w:ascii="Arial Black" w:hAnsi="Arial Black"/>
          <w:caps/>
          <w:sz w:val="15"/>
          <w:szCs w:val="15"/>
          <w:lang w:val="es-419"/>
        </w:rPr>
        <w:t xml:space="preserve"> de 2025</w:t>
      </w:r>
    </w:p>
    <w:p w14:paraId="1E5545B9" w14:textId="77777777" w:rsidR="009E7613" w:rsidRPr="00E45F61" w:rsidRDefault="009E7613" w:rsidP="009E7613">
      <w:pPr>
        <w:spacing w:after="600"/>
        <w:rPr>
          <w:b/>
          <w:sz w:val="28"/>
          <w:szCs w:val="28"/>
          <w:lang w:val="es-419"/>
        </w:rPr>
      </w:pPr>
      <w:r w:rsidRPr="00E45F61">
        <w:rPr>
          <w:b/>
          <w:sz w:val="28"/>
          <w:szCs w:val="28"/>
          <w:lang w:val="es-419"/>
        </w:rPr>
        <w:t>Comité del Programa y Presupuesto</w:t>
      </w:r>
    </w:p>
    <w:p w14:paraId="4860834D" w14:textId="77777777" w:rsidR="009E7613" w:rsidRPr="00E45F61" w:rsidRDefault="009E7613" w:rsidP="009E7613">
      <w:pPr>
        <w:rPr>
          <w:b/>
          <w:sz w:val="24"/>
          <w:szCs w:val="24"/>
          <w:lang w:val="es-419"/>
        </w:rPr>
      </w:pPr>
      <w:r w:rsidRPr="00E45F61">
        <w:rPr>
          <w:b/>
          <w:sz w:val="24"/>
          <w:szCs w:val="24"/>
          <w:lang w:val="es-419"/>
        </w:rPr>
        <w:t>Trigésima novena sesión</w:t>
      </w:r>
    </w:p>
    <w:p w14:paraId="399A0A8C" w14:textId="77777777" w:rsidR="009E7613" w:rsidRPr="00E45F61" w:rsidRDefault="009E7613" w:rsidP="009E7613">
      <w:pPr>
        <w:spacing w:after="720"/>
        <w:rPr>
          <w:lang w:val="es-419"/>
        </w:rPr>
      </w:pPr>
      <w:r w:rsidRPr="00E45F61">
        <w:rPr>
          <w:b/>
          <w:sz w:val="24"/>
          <w:szCs w:val="24"/>
          <w:lang w:val="es-419"/>
        </w:rPr>
        <w:t>Ginebra, 16 a 20 de junio de 2025</w:t>
      </w:r>
    </w:p>
    <w:p w14:paraId="720759DF" w14:textId="5584AF8C" w:rsidR="0045169F" w:rsidRPr="00E45F61" w:rsidRDefault="00B7499E" w:rsidP="0045169F">
      <w:pPr>
        <w:spacing w:after="360"/>
        <w:rPr>
          <w:sz w:val="24"/>
          <w:lang w:val="es-419"/>
        </w:rPr>
      </w:pPr>
      <w:r w:rsidRPr="00E45F61">
        <w:rPr>
          <w:sz w:val="24"/>
          <w:lang w:val="es-419"/>
        </w:rPr>
        <w:t>INFORME ANUAL DE LA DIRECTORA DE LA DIVISIÓN DE SUPERVISIÓN INTERNA</w:t>
      </w:r>
      <w:r w:rsidR="00B11978" w:rsidRPr="00E45F61">
        <w:rPr>
          <w:sz w:val="24"/>
          <w:lang w:val="es-419"/>
        </w:rPr>
        <w:t> </w:t>
      </w:r>
      <w:r w:rsidRPr="00E45F61">
        <w:rPr>
          <w:sz w:val="24"/>
          <w:lang w:val="es-419"/>
        </w:rPr>
        <w:t>(DSI)</w:t>
      </w:r>
    </w:p>
    <w:p w14:paraId="1F0FAD42" w14:textId="77777777" w:rsidR="0076292E" w:rsidRPr="00E45F61" w:rsidRDefault="00B7499E" w:rsidP="0076292E">
      <w:pPr>
        <w:spacing w:after="960"/>
        <w:rPr>
          <w:i/>
          <w:lang w:val="es-419"/>
        </w:rPr>
      </w:pPr>
      <w:r w:rsidRPr="00E45F61">
        <w:rPr>
          <w:i/>
          <w:lang w:val="es-419"/>
        </w:rPr>
        <w:t>preparado por la Secretaría</w:t>
      </w:r>
    </w:p>
    <w:p w14:paraId="37769086" w14:textId="77777777" w:rsidR="0045169F" w:rsidRPr="00E45F61" w:rsidRDefault="00B7499E" w:rsidP="0045169F">
      <w:pPr>
        <w:pStyle w:val="ONUMFS"/>
        <w:numPr>
          <w:ilvl w:val="0"/>
          <w:numId w:val="16"/>
        </w:numPr>
        <w:rPr>
          <w:lang w:val="es-419"/>
        </w:rPr>
      </w:pPr>
      <w:r w:rsidRPr="00E45F61">
        <w:rPr>
          <w:lang w:val="es-419"/>
        </w:rPr>
        <w:t>De conformidad con el párrafo</w:t>
      </w:r>
      <w:r w:rsidR="008D09ED" w:rsidRPr="00E45F61">
        <w:rPr>
          <w:lang w:val="es-419"/>
        </w:rPr>
        <w:t> 5</w:t>
      </w:r>
      <w:r w:rsidRPr="00E45F61">
        <w:rPr>
          <w:lang w:val="es-419"/>
        </w:rPr>
        <w:t>1 de la Carta de Supervisión Interna, el director de la División de Supervisión Interna (DSI) presentará, una vez por año, una reseña (informe anual) a la Asamblea General de la Organización Mundial de la Propiedad Intelectual (OMPI) por conducto del Comité del Programa y Presupuesto (PBC). En el informe se examinan de manera general las actividades de supervisión interna llevadas a cabo durante el ejercicio en examen, a saber, entre el</w:t>
      </w:r>
      <w:r w:rsidR="008D09ED" w:rsidRPr="00E45F61">
        <w:rPr>
          <w:lang w:val="es-419"/>
        </w:rPr>
        <w:t> 1</w:t>
      </w:r>
      <w:r w:rsidRPr="00E45F61">
        <w:rPr>
          <w:lang w:val="es-419"/>
        </w:rPr>
        <w:t xml:space="preserve"> de enero y el</w:t>
      </w:r>
      <w:r w:rsidR="008D09ED" w:rsidRPr="00E45F61">
        <w:rPr>
          <w:lang w:val="es-419"/>
        </w:rPr>
        <w:t> 3</w:t>
      </w:r>
      <w:r w:rsidRPr="00E45F61">
        <w:rPr>
          <w:lang w:val="es-419"/>
        </w:rPr>
        <w:t>1 de diciembre de</w:t>
      </w:r>
      <w:r w:rsidR="008D09ED" w:rsidRPr="00E45F61">
        <w:rPr>
          <w:lang w:val="es-419"/>
        </w:rPr>
        <w:t> 2</w:t>
      </w:r>
      <w:r w:rsidRPr="00E45F61">
        <w:rPr>
          <w:lang w:val="es-419"/>
        </w:rPr>
        <w:t>024.</w:t>
      </w:r>
    </w:p>
    <w:p w14:paraId="5A932C76" w14:textId="77777777" w:rsidR="0045169F" w:rsidRPr="00E45F61" w:rsidRDefault="00B7499E" w:rsidP="0045169F">
      <w:pPr>
        <w:pStyle w:val="ONUMFS"/>
        <w:rPr>
          <w:i/>
          <w:lang w:val="es-419"/>
        </w:rPr>
      </w:pPr>
      <w:r w:rsidRPr="00E45F61">
        <w:rPr>
          <w:lang w:val="es-419"/>
        </w:rPr>
        <w:t>Se propone el siguiente párrafo de decisión:</w:t>
      </w:r>
    </w:p>
    <w:p w14:paraId="5B1D8528" w14:textId="77777777" w:rsidR="0045169F" w:rsidRPr="00E45F61" w:rsidRDefault="00B7499E" w:rsidP="00BE5159">
      <w:pPr>
        <w:pStyle w:val="ONUMFS"/>
        <w:tabs>
          <w:tab w:val="clear" w:pos="567"/>
        </w:tabs>
        <w:spacing w:after="600"/>
        <w:ind w:left="5528"/>
        <w:rPr>
          <w:i/>
          <w:iCs/>
          <w:lang w:val="es-419"/>
        </w:rPr>
      </w:pPr>
      <w:r w:rsidRPr="00E45F61">
        <w:rPr>
          <w:i/>
          <w:iCs/>
          <w:lang w:val="es-419"/>
        </w:rPr>
        <w:t xml:space="preserve">El Comité del Programa y Presupuesto (PBC) recomendó a la Asamblea General de la OMPI que tome nota del </w:t>
      </w:r>
      <w:r w:rsidR="008D09ED" w:rsidRPr="00E45F61">
        <w:rPr>
          <w:i/>
          <w:iCs/>
          <w:lang w:val="es-419"/>
        </w:rPr>
        <w:t>“</w:t>
      </w:r>
      <w:r w:rsidRPr="00E45F61">
        <w:rPr>
          <w:i/>
          <w:iCs/>
          <w:lang w:val="es-419"/>
        </w:rPr>
        <w:t>Informe anual de la directora de la División de Supervisión Interna (DSI)</w:t>
      </w:r>
      <w:r w:rsidR="008D09ED" w:rsidRPr="00E45F61">
        <w:rPr>
          <w:i/>
          <w:iCs/>
          <w:lang w:val="es-419"/>
        </w:rPr>
        <w:t>”</w:t>
      </w:r>
      <w:r w:rsidRPr="00E45F61">
        <w:rPr>
          <w:i/>
          <w:iCs/>
          <w:lang w:val="es-419"/>
        </w:rPr>
        <w:t xml:space="preserve"> (documento WO/PBC/39/5).</w:t>
      </w:r>
    </w:p>
    <w:p w14:paraId="168A24A7" w14:textId="5AE55B66" w:rsidR="0076292E" w:rsidRPr="00E45F61" w:rsidRDefault="00B7499E" w:rsidP="00BE5159">
      <w:pPr>
        <w:pStyle w:val="Endofdocument-Annex"/>
        <w:rPr>
          <w:lang w:val="es-419"/>
        </w:rPr>
      </w:pPr>
      <w:r w:rsidRPr="00E45F61">
        <w:rPr>
          <w:lang w:val="es-419"/>
        </w:rPr>
        <w:t xml:space="preserve">[Sigue el </w:t>
      </w:r>
      <w:r w:rsidR="00E1781A" w:rsidRPr="00E45F61">
        <w:rPr>
          <w:lang w:val="es-419"/>
        </w:rPr>
        <w:t>I</w:t>
      </w:r>
      <w:r w:rsidRPr="00E45F61">
        <w:rPr>
          <w:lang w:val="es-419"/>
        </w:rPr>
        <w:t>nforme anual de la directora de la DSI]</w:t>
      </w:r>
    </w:p>
    <w:p w14:paraId="4CACDB55" w14:textId="77777777" w:rsidR="0045169F" w:rsidRPr="00E45F61" w:rsidRDefault="0045169F" w:rsidP="0045169F">
      <w:pPr>
        <w:pStyle w:val="ListParagraph"/>
        <w:spacing w:before="240"/>
        <w:ind w:left="5529"/>
        <w:rPr>
          <w:i/>
          <w:lang w:val="es-419"/>
        </w:rPr>
        <w:sectPr w:rsidR="0045169F" w:rsidRPr="00E45F61" w:rsidSect="0076292E">
          <w:endnotePr>
            <w:numFmt w:val="decimal"/>
          </w:endnotePr>
          <w:pgSz w:w="11907" w:h="16840" w:code="9"/>
          <w:pgMar w:top="567" w:right="1134" w:bottom="1418" w:left="1418" w:header="510" w:footer="1021" w:gutter="0"/>
          <w:pgNumType w:start="2"/>
          <w:cols w:space="720"/>
          <w:titlePg/>
          <w:docGrid w:linePitch="299"/>
        </w:sectPr>
      </w:pPr>
    </w:p>
    <w:p w14:paraId="1E671C5B" w14:textId="77777777" w:rsidR="0076292E" w:rsidRPr="00E45F61" w:rsidRDefault="00B7499E" w:rsidP="0076292E">
      <w:pPr>
        <w:rPr>
          <w:lang w:val="es-419"/>
        </w:rPr>
      </w:pPr>
      <w:r w:rsidRPr="00E45F61">
        <w:rPr>
          <w:lang w:val="es-419"/>
        </w:rPr>
        <w:lastRenderedPageBreak/>
        <w:br w:type="page"/>
      </w:r>
    </w:p>
    <w:p w14:paraId="74B785AE" w14:textId="77777777" w:rsidR="0076292E" w:rsidRPr="00E45F61" w:rsidRDefault="00B7499E" w:rsidP="0076292E">
      <w:pPr>
        <w:jc w:val="center"/>
        <w:rPr>
          <w:b/>
          <w:lang w:val="es-419"/>
        </w:rPr>
      </w:pPr>
      <w:r w:rsidRPr="00E45F61">
        <w:rPr>
          <w:rFonts w:eastAsia="Arial"/>
          <w:b/>
          <w:bCs/>
          <w:szCs w:val="22"/>
          <w:lang w:val="es-419"/>
        </w:rPr>
        <w:lastRenderedPageBreak/>
        <w:t xml:space="preserve">INFORME ANUAL DE LA DIRECTORA DE LA </w:t>
      </w:r>
      <w:r w:rsidRPr="00E45F61">
        <w:rPr>
          <w:rFonts w:eastAsia="Arial"/>
          <w:b/>
          <w:bCs/>
          <w:caps/>
          <w:szCs w:val="22"/>
          <w:lang w:val="es-419"/>
        </w:rPr>
        <w:t>DIVISIÓN DE SUPERVISIÓN INTERNA</w:t>
      </w:r>
    </w:p>
    <w:p w14:paraId="3F904E03" w14:textId="77777777" w:rsidR="0076292E" w:rsidRPr="00E45F61" w:rsidRDefault="0076292E" w:rsidP="0076292E">
      <w:pPr>
        <w:keepLines/>
        <w:rPr>
          <w:lang w:val="es-419"/>
        </w:rPr>
      </w:pPr>
    </w:p>
    <w:p w14:paraId="1E0D8EDA" w14:textId="77777777" w:rsidR="0076292E" w:rsidRPr="00E45F61" w:rsidRDefault="00B7499E" w:rsidP="0076292E">
      <w:pPr>
        <w:spacing w:after="720"/>
        <w:jc w:val="center"/>
        <w:rPr>
          <w:lang w:val="es-419"/>
        </w:rPr>
      </w:pPr>
      <w:r w:rsidRPr="00E45F61">
        <w:rPr>
          <w:rFonts w:eastAsia="Arial"/>
          <w:szCs w:val="22"/>
          <w:lang w:val="es-419"/>
        </w:rPr>
        <w:t>1 de enero de</w:t>
      </w:r>
      <w:r w:rsidR="008D09ED" w:rsidRPr="00E45F61">
        <w:rPr>
          <w:rFonts w:eastAsia="Arial"/>
          <w:szCs w:val="22"/>
          <w:lang w:val="es-419"/>
        </w:rPr>
        <w:t> 2</w:t>
      </w:r>
      <w:r w:rsidRPr="00E45F61">
        <w:rPr>
          <w:rFonts w:eastAsia="Arial"/>
          <w:szCs w:val="22"/>
          <w:lang w:val="es-419"/>
        </w:rPr>
        <w:t>024 a</w:t>
      </w:r>
      <w:r w:rsidR="008D09ED" w:rsidRPr="00E45F61">
        <w:rPr>
          <w:rFonts w:eastAsia="Arial"/>
          <w:szCs w:val="22"/>
          <w:lang w:val="es-419"/>
        </w:rPr>
        <w:t> 3</w:t>
      </w:r>
      <w:r w:rsidRPr="00E45F61">
        <w:rPr>
          <w:rFonts w:eastAsia="Arial"/>
          <w:szCs w:val="22"/>
          <w:lang w:val="es-419"/>
        </w:rPr>
        <w:t>1 de diciembre de 2024</w:t>
      </w:r>
    </w:p>
    <w:p w14:paraId="092DF8CC" w14:textId="77777777" w:rsidR="0076292E" w:rsidRPr="00E45F61" w:rsidRDefault="00B7499E" w:rsidP="0076292E">
      <w:pPr>
        <w:jc w:val="center"/>
        <w:rPr>
          <w:b/>
          <w:bCs/>
          <w:lang w:val="es-419"/>
        </w:rPr>
      </w:pPr>
      <w:r w:rsidRPr="00E45F61">
        <w:rPr>
          <w:rFonts w:eastAsia="Arial"/>
          <w:b/>
          <w:bCs/>
          <w:szCs w:val="22"/>
          <w:lang w:val="es-419"/>
        </w:rPr>
        <w:t>ÍNDICE</w:t>
      </w:r>
    </w:p>
    <w:p w14:paraId="36E39FBC" w14:textId="77BF9C1D" w:rsidR="00E806DB" w:rsidRDefault="00B7499E">
      <w:pPr>
        <w:pStyle w:val="TOC1"/>
        <w:rPr>
          <w:rFonts w:asciiTheme="minorHAnsi" w:eastAsiaTheme="minorEastAsia" w:hAnsiTheme="minorHAnsi" w:cstheme="minorBidi"/>
          <w:noProof/>
          <w:kern w:val="2"/>
          <w:sz w:val="24"/>
          <w:szCs w:val="24"/>
          <w:lang w:eastAsia="en-US"/>
          <w14:ligatures w14:val="standardContextual"/>
        </w:rPr>
      </w:pPr>
      <w:r w:rsidRPr="00E45F61">
        <w:rPr>
          <w:lang w:val="es-419"/>
        </w:rPr>
        <w:fldChar w:fldCharType="begin"/>
      </w:r>
      <w:r w:rsidRPr="00E45F61">
        <w:rPr>
          <w:lang w:val="es-419"/>
        </w:rPr>
        <w:instrText xml:space="preserve"> TOC \o "1-1" \h \z \u </w:instrText>
      </w:r>
      <w:r w:rsidRPr="00E45F61">
        <w:rPr>
          <w:lang w:val="es-419"/>
        </w:rPr>
        <w:fldChar w:fldCharType="separate"/>
      </w:r>
      <w:hyperlink w:anchor="_Toc197337699" w:history="1">
        <w:r w:rsidR="00E806DB" w:rsidRPr="003A0221">
          <w:rPr>
            <w:rStyle w:val="Hyperlink"/>
            <w:rFonts w:eastAsia="Arial"/>
            <w:noProof/>
            <w:lang w:val="es-419"/>
          </w:rPr>
          <w:t>LISTA DE SIGLAS</w:t>
        </w:r>
        <w:r w:rsidR="00E806DB">
          <w:rPr>
            <w:noProof/>
            <w:webHidden/>
          </w:rPr>
          <w:tab/>
        </w:r>
        <w:r w:rsidR="00E806DB">
          <w:rPr>
            <w:noProof/>
            <w:webHidden/>
          </w:rPr>
          <w:fldChar w:fldCharType="begin"/>
        </w:r>
        <w:r w:rsidR="00E806DB">
          <w:rPr>
            <w:noProof/>
            <w:webHidden/>
          </w:rPr>
          <w:instrText xml:space="preserve"> PAGEREF _Toc197337699 \h </w:instrText>
        </w:r>
        <w:r w:rsidR="00E806DB">
          <w:rPr>
            <w:noProof/>
            <w:webHidden/>
          </w:rPr>
        </w:r>
        <w:r w:rsidR="00E806DB">
          <w:rPr>
            <w:noProof/>
            <w:webHidden/>
          </w:rPr>
          <w:fldChar w:fldCharType="separate"/>
        </w:r>
        <w:r w:rsidR="00E806DB">
          <w:rPr>
            <w:noProof/>
            <w:webHidden/>
          </w:rPr>
          <w:t>3</w:t>
        </w:r>
        <w:r w:rsidR="00E806DB">
          <w:rPr>
            <w:noProof/>
            <w:webHidden/>
          </w:rPr>
          <w:fldChar w:fldCharType="end"/>
        </w:r>
      </w:hyperlink>
    </w:p>
    <w:p w14:paraId="5573AE50" w14:textId="61A7C7BB"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0" w:history="1">
        <w:r w:rsidRPr="003A0221">
          <w:rPr>
            <w:rStyle w:val="Hyperlink"/>
            <w:rFonts w:eastAsia="Arial"/>
            <w:noProof/>
            <w:lang w:val="es-419"/>
          </w:rPr>
          <w:t>RESUMEN</w:t>
        </w:r>
        <w:r>
          <w:rPr>
            <w:noProof/>
            <w:webHidden/>
          </w:rPr>
          <w:tab/>
        </w:r>
        <w:r>
          <w:rPr>
            <w:noProof/>
            <w:webHidden/>
          </w:rPr>
          <w:fldChar w:fldCharType="begin"/>
        </w:r>
        <w:r>
          <w:rPr>
            <w:noProof/>
            <w:webHidden/>
          </w:rPr>
          <w:instrText xml:space="preserve"> PAGEREF _Toc197337700 \h </w:instrText>
        </w:r>
        <w:r>
          <w:rPr>
            <w:noProof/>
            <w:webHidden/>
          </w:rPr>
        </w:r>
        <w:r>
          <w:rPr>
            <w:noProof/>
            <w:webHidden/>
          </w:rPr>
          <w:fldChar w:fldCharType="separate"/>
        </w:r>
        <w:r>
          <w:rPr>
            <w:noProof/>
            <w:webHidden/>
          </w:rPr>
          <w:t>4</w:t>
        </w:r>
        <w:r>
          <w:rPr>
            <w:noProof/>
            <w:webHidden/>
          </w:rPr>
          <w:fldChar w:fldCharType="end"/>
        </w:r>
      </w:hyperlink>
    </w:p>
    <w:p w14:paraId="51F303AF" w14:textId="22ECBB71"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1" w:history="1">
        <w:r w:rsidRPr="003A0221">
          <w:rPr>
            <w:rStyle w:val="Hyperlink"/>
            <w:rFonts w:eastAsia="Arial"/>
            <w:noProof/>
            <w:lang w:val="es-419"/>
          </w:rPr>
          <w:t>ANTECEDENTES</w:t>
        </w:r>
        <w:r>
          <w:rPr>
            <w:noProof/>
            <w:webHidden/>
          </w:rPr>
          <w:tab/>
        </w:r>
        <w:r>
          <w:rPr>
            <w:noProof/>
            <w:webHidden/>
          </w:rPr>
          <w:fldChar w:fldCharType="begin"/>
        </w:r>
        <w:r>
          <w:rPr>
            <w:noProof/>
            <w:webHidden/>
          </w:rPr>
          <w:instrText xml:space="preserve"> PAGEREF _Toc197337701 \h </w:instrText>
        </w:r>
        <w:r>
          <w:rPr>
            <w:noProof/>
            <w:webHidden/>
          </w:rPr>
        </w:r>
        <w:r>
          <w:rPr>
            <w:noProof/>
            <w:webHidden/>
          </w:rPr>
          <w:fldChar w:fldCharType="separate"/>
        </w:r>
        <w:r>
          <w:rPr>
            <w:noProof/>
            <w:webHidden/>
          </w:rPr>
          <w:t>5</w:t>
        </w:r>
        <w:r>
          <w:rPr>
            <w:noProof/>
            <w:webHidden/>
          </w:rPr>
          <w:fldChar w:fldCharType="end"/>
        </w:r>
      </w:hyperlink>
    </w:p>
    <w:p w14:paraId="72E13B7E" w14:textId="2E5B443F"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2" w:history="1">
        <w:r w:rsidRPr="003A0221">
          <w:rPr>
            <w:rStyle w:val="Hyperlink"/>
            <w:rFonts w:eastAsia="Arial"/>
            <w:noProof/>
            <w:lang w:val="es-419"/>
          </w:rPr>
          <w:t>ALGUNOS HECHOS DESTACADOS DE 2024</w:t>
        </w:r>
        <w:r>
          <w:rPr>
            <w:noProof/>
            <w:webHidden/>
          </w:rPr>
          <w:tab/>
        </w:r>
        <w:r>
          <w:rPr>
            <w:noProof/>
            <w:webHidden/>
          </w:rPr>
          <w:fldChar w:fldCharType="begin"/>
        </w:r>
        <w:r>
          <w:rPr>
            <w:noProof/>
            <w:webHidden/>
          </w:rPr>
          <w:instrText xml:space="preserve"> PAGEREF _Toc197337702 \h </w:instrText>
        </w:r>
        <w:r>
          <w:rPr>
            <w:noProof/>
            <w:webHidden/>
          </w:rPr>
        </w:r>
        <w:r>
          <w:rPr>
            <w:noProof/>
            <w:webHidden/>
          </w:rPr>
          <w:fldChar w:fldCharType="separate"/>
        </w:r>
        <w:r>
          <w:rPr>
            <w:noProof/>
            <w:webHidden/>
          </w:rPr>
          <w:t>5</w:t>
        </w:r>
        <w:r>
          <w:rPr>
            <w:noProof/>
            <w:webHidden/>
          </w:rPr>
          <w:fldChar w:fldCharType="end"/>
        </w:r>
      </w:hyperlink>
    </w:p>
    <w:p w14:paraId="45B458B1" w14:textId="0E70603E"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3" w:history="1">
        <w:r w:rsidRPr="003A0221">
          <w:rPr>
            <w:rStyle w:val="Hyperlink"/>
            <w:rFonts w:eastAsia="Arial"/>
            <w:noProof/>
            <w:lang w:val="es-419"/>
          </w:rPr>
          <w:t>PRINCIPIOS DE PLANIFICACIÓN</w:t>
        </w:r>
        <w:r>
          <w:rPr>
            <w:noProof/>
            <w:webHidden/>
          </w:rPr>
          <w:tab/>
        </w:r>
        <w:r>
          <w:rPr>
            <w:noProof/>
            <w:webHidden/>
          </w:rPr>
          <w:fldChar w:fldCharType="begin"/>
        </w:r>
        <w:r>
          <w:rPr>
            <w:noProof/>
            <w:webHidden/>
          </w:rPr>
          <w:instrText xml:space="preserve"> PAGEREF _Toc197337703 \h </w:instrText>
        </w:r>
        <w:r>
          <w:rPr>
            <w:noProof/>
            <w:webHidden/>
          </w:rPr>
        </w:r>
        <w:r>
          <w:rPr>
            <w:noProof/>
            <w:webHidden/>
          </w:rPr>
          <w:fldChar w:fldCharType="separate"/>
        </w:r>
        <w:r>
          <w:rPr>
            <w:noProof/>
            <w:webHidden/>
          </w:rPr>
          <w:t>6</w:t>
        </w:r>
        <w:r>
          <w:rPr>
            <w:noProof/>
            <w:webHidden/>
          </w:rPr>
          <w:fldChar w:fldCharType="end"/>
        </w:r>
      </w:hyperlink>
    </w:p>
    <w:p w14:paraId="32BB6B53" w14:textId="5259DBFD"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4" w:history="1">
        <w:r w:rsidRPr="003A0221">
          <w:rPr>
            <w:rStyle w:val="Hyperlink"/>
            <w:rFonts w:eastAsia="Arial"/>
            <w:noProof/>
            <w:lang w:val="es-419"/>
          </w:rPr>
          <w:t>NORMAS PROFESIONALES</w:t>
        </w:r>
        <w:r>
          <w:rPr>
            <w:noProof/>
            <w:webHidden/>
          </w:rPr>
          <w:tab/>
        </w:r>
        <w:r>
          <w:rPr>
            <w:noProof/>
            <w:webHidden/>
          </w:rPr>
          <w:fldChar w:fldCharType="begin"/>
        </w:r>
        <w:r>
          <w:rPr>
            <w:noProof/>
            <w:webHidden/>
          </w:rPr>
          <w:instrText xml:space="preserve"> PAGEREF _Toc197337704 \h </w:instrText>
        </w:r>
        <w:r>
          <w:rPr>
            <w:noProof/>
            <w:webHidden/>
          </w:rPr>
        </w:r>
        <w:r>
          <w:rPr>
            <w:noProof/>
            <w:webHidden/>
          </w:rPr>
          <w:fldChar w:fldCharType="separate"/>
        </w:r>
        <w:r>
          <w:rPr>
            <w:noProof/>
            <w:webHidden/>
          </w:rPr>
          <w:t>6</w:t>
        </w:r>
        <w:r>
          <w:rPr>
            <w:noProof/>
            <w:webHidden/>
          </w:rPr>
          <w:fldChar w:fldCharType="end"/>
        </w:r>
      </w:hyperlink>
    </w:p>
    <w:p w14:paraId="5B110DA4" w14:textId="56856622"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5" w:history="1">
        <w:r w:rsidRPr="003A0221">
          <w:rPr>
            <w:rStyle w:val="Hyperlink"/>
            <w:rFonts w:eastAsia="Arial"/>
            <w:noProof/>
            <w:lang w:val="es-419"/>
          </w:rPr>
          <w:t>ACTIVIDADES CON RECOMENDACIONES DE ALTA PRIORIDAD DERIVADAS DE LA SUPERVISIÓN</w:t>
        </w:r>
        <w:r>
          <w:rPr>
            <w:noProof/>
            <w:webHidden/>
          </w:rPr>
          <w:tab/>
        </w:r>
        <w:r>
          <w:rPr>
            <w:noProof/>
            <w:webHidden/>
          </w:rPr>
          <w:fldChar w:fldCharType="begin"/>
        </w:r>
        <w:r>
          <w:rPr>
            <w:noProof/>
            <w:webHidden/>
          </w:rPr>
          <w:instrText xml:space="preserve"> PAGEREF _Toc197337705 \h </w:instrText>
        </w:r>
        <w:r>
          <w:rPr>
            <w:noProof/>
            <w:webHidden/>
          </w:rPr>
        </w:r>
        <w:r>
          <w:rPr>
            <w:noProof/>
            <w:webHidden/>
          </w:rPr>
          <w:fldChar w:fldCharType="separate"/>
        </w:r>
        <w:r>
          <w:rPr>
            <w:noProof/>
            <w:webHidden/>
          </w:rPr>
          <w:t>7</w:t>
        </w:r>
        <w:r>
          <w:rPr>
            <w:noProof/>
            <w:webHidden/>
          </w:rPr>
          <w:fldChar w:fldCharType="end"/>
        </w:r>
      </w:hyperlink>
    </w:p>
    <w:p w14:paraId="38453926" w14:textId="54A43FB3"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6" w:history="1">
        <w:r w:rsidRPr="003A0221">
          <w:rPr>
            <w:rStyle w:val="Hyperlink"/>
            <w:rFonts w:eastAsia="Arial"/>
            <w:noProof/>
            <w:lang w:val="es-419"/>
          </w:rPr>
          <w:t>ACTIVIDADES INICIADAS EN 2023 Y COMUNICADAS EN 2024</w:t>
        </w:r>
        <w:r>
          <w:rPr>
            <w:noProof/>
            <w:webHidden/>
          </w:rPr>
          <w:tab/>
        </w:r>
        <w:r>
          <w:rPr>
            <w:noProof/>
            <w:webHidden/>
          </w:rPr>
          <w:fldChar w:fldCharType="begin"/>
        </w:r>
        <w:r>
          <w:rPr>
            <w:noProof/>
            <w:webHidden/>
          </w:rPr>
          <w:instrText xml:space="preserve"> PAGEREF _Toc197337706 \h </w:instrText>
        </w:r>
        <w:r>
          <w:rPr>
            <w:noProof/>
            <w:webHidden/>
          </w:rPr>
        </w:r>
        <w:r>
          <w:rPr>
            <w:noProof/>
            <w:webHidden/>
          </w:rPr>
          <w:fldChar w:fldCharType="separate"/>
        </w:r>
        <w:r>
          <w:rPr>
            <w:noProof/>
            <w:webHidden/>
          </w:rPr>
          <w:t>7</w:t>
        </w:r>
        <w:r>
          <w:rPr>
            <w:noProof/>
            <w:webHidden/>
          </w:rPr>
          <w:fldChar w:fldCharType="end"/>
        </w:r>
      </w:hyperlink>
    </w:p>
    <w:p w14:paraId="52AE4836" w14:textId="15B297DC"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7" w:history="1">
        <w:r w:rsidRPr="003A0221">
          <w:rPr>
            <w:rStyle w:val="Hyperlink"/>
            <w:rFonts w:eastAsia="Arial"/>
            <w:noProof/>
            <w:lang w:val="es-419"/>
          </w:rPr>
          <w:t>ACTIVIDADES SOBRE LAS QUE SE PRESENTÓ INFORMACIÓN EN 2024</w:t>
        </w:r>
        <w:r>
          <w:rPr>
            <w:noProof/>
            <w:webHidden/>
          </w:rPr>
          <w:tab/>
        </w:r>
        <w:r>
          <w:rPr>
            <w:noProof/>
            <w:webHidden/>
          </w:rPr>
          <w:fldChar w:fldCharType="begin"/>
        </w:r>
        <w:r>
          <w:rPr>
            <w:noProof/>
            <w:webHidden/>
          </w:rPr>
          <w:instrText xml:space="preserve"> PAGEREF _Toc197337707 \h </w:instrText>
        </w:r>
        <w:r>
          <w:rPr>
            <w:noProof/>
            <w:webHidden/>
          </w:rPr>
        </w:r>
        <w:r>
          <w:rPr>
            <w:noProof/>
            <w:webHidden/>
          </w:rPr>
          <w:fldChar w:fldCharType="separate"/>
        </w:r>
        <w:r>
          <w:rPr>
            <w:noProof/>
            <w:webHidden/>
          </w:rPr>
          <w:t>9</w:t>
        </w:r>
        <w:r>
          <w:rPr>
            <w:noProof/>
            <w:webHidden/>
          </w:rPr>
          <w:fldChar w:fldCharType="end"/>
        </w:r>
      </w:hyperlink>
    </w:p>
    <w:p w14:paraId="03151E8E" w14:textId="7F7C6A6B"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8" w:history="1">
        <w:r w:rsidRPr="003A0221">
          <w:rPr>
            <w:rStyle w:val="Hyperlink"/>
            <w:rFonts w:eastAsia="Arial"/>
            <w:noProof/>
            <w:lang w:val="es-419"/>
          </w:rPr>
          <w:t>ACTIVIDADES DE INVESTIGACIÓN</w:t>
        </w:r>
        <w:r>
          <w:rPr>
            <w:noProof/>
            <w:webHidden/>
          </w:rPr>
          <w:tab/>
        </w:r>
        <w:r>
          <w:rPr>
            <w:noProof/>
            <w:webHidden/>
          </w:rPr>
          <w:fldChar w:fldCharType="begin"/>
        </w:r>
        <w:r>
          <w:rPr>
            <w:noProof/>
            <w:webHidden/>
          </w:rPr>
          <w:instrText xml:space="preserve"> PAGEREF _Toc197337708 \h </w:instrText>
        </w:r>
        <w:r>
          <w:rPr>
            <w:noProof/>
            <w:webHidden/>
          </w:rPr>
        </w:r>
        <w:r>
          <w:rPr>
            <w:noProof/>
            <w:webHidden/>
          </w:rPr>
          <w:fldChar w:fldCharType="separate"/>
        </w:r>
        <w:r>
          <w:rPr>
            <w:noProof/>
            <w:webHidden/>
          </w:rPr>
          <w:t>12</w:t>
        </w:r>
        <w:r>
          <w:rPr>
            <w:noProof/>
            <w:webHidden/>
          </w:rPr>
          <w:fldChar w:fldCharType="end"/>
        </w:r>
      </w:hyperlink>
    </w:p>
    <w:p w14:paraId="5C41E661" w14:textId="43CA86B4"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09" w:history="1">
        <w:r w:rsidRPr="003A0221">
          <w:rPr>
            <w:rStyle w:val="Hyperlink"/>
            <w:rFonts w:eastAsia="Arial"/>
            <w:noProof/>
            <w:lang w:val="es-419"/>
          </w:rPr>
          <w:t>LABOR DE ASESORAMIENTO EN MATERIA DE SUPERVISIÓN</w:t>
        </w:r>
        <w:r>
          <w:rPr>
            <w:noProof/>
            <w:webHidden/>
          </w:rPr>
          <w:tab/>
        </w:r>
        <w:r>
          <w:rPr>
            <w:noProof/>
            <w:webHidden/>
          </w:rPr>
          <w:fldChar w:fldCharType="begin"/>
        </w:r>
        <w:r>
          <w:rPr>
            <w:noProof/>
            <w:webHidden/>
          </w:rPr>
          <w:instrText xml:space="preserve"> PAGEREF _Toc197337709 \h </w:instrText>
        </w:r>
        <w:r>
          <w:rPr>
            <w:noProof/>
            <w:webHidden/>
          </w:rPr>
        </w:r>
        <w:r>
          <w:rPr>
            <w:noProof/>
            <w:webHidden/>
          </w:rPr>
          <w:fldChar w:fldCharType="separate"/>
        </w:r>
        <w:r>
          <w:rPr>
            <w:noProof/>
            <w:webHidden/>
          </w:rPr>
          <w:t>16</w:t>
        </w:r>
        <w:r>
          <w:rPr>
            <w:noProof/>
            <w:webHidden/>
          </w:rPr>
          <w:fldChar w:fldCharType="end"/>
        </w:r>
      </w:hyperlink>
    </w:p>
    <w:p w14:paraId="67300B4D" w14:textId="3CC3C40C"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0" w:history="1">
        <w:r w:rsidRPr="003A0221">
          <w:rPr>
            <w:rStyle w:val="Hyperlink"/>
            <w:rFonts w:eastAsia="Arial"/>
            <w:noProof/>
            <w:lang w:val="es-419"/>
          </w:rPr>
          <w:t>CASOS EN LOS QUE SE DENEGÓ INFORMACIÓN O ASISTENCIA</w:t>
        </w:r>
        <w:r>
          <w:rPr>
            <w:noProof/>
            <w:webHidden/>
          </w:rPr>
          <w:tab/>
        </w:r>
        <w:r>
          <w:rPr>
            <w:noProof/>
            <w:webHidden/>
          </w:rPr>
          <w:fldChar w:fldCharType="begin"/>
        </w:r>
        <w:r>
          <w:rPr>
            <w:noProof/>
            <w:webHidden/>
          </w:rPr>
          <w:instrText xml:space="preserve"> PAGEREF _Toc197337710 \h </w:instrText>
        </w:r>
        <w:r>
          <w:rPr>
            <w:noProof/>
            <w:webHidden/>
          </w:rPr>
        </w:r>
        <w:r>
          <w:rPr>
            <w:noProof/>
            <w:webHidden/>
          </w:rPr>
          <w:fldChar w:fldCharType="separate"/>
        </w:r>
        <w:r>
          <w:rPr>
            <w:noProof/>
            <w:webHidden/>
          </w:rPr>
          <w:t>16</w:t>
        </w:r>
        <w:r>
          <w:rPr>
            <w:noProof/>
            <w:webHidden/>
          </w:rPr>
          <w:fldChar w:fldCharType="end"/>
        </w:r>
      </w:hyperlink>
    </w:p>
    <w:p w14:paraId="392E87AD" w14:textId="6FD99515"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1" w:history="1">
        <w:r w:rsidRPr="003A0221">
          <w:rPr>
            <w:rStyle w:val="Hyperlink"/>
            <w:rFonts w:eastAsia="Arial"/>
            <w:noProof/>
            <w:lang w:val="es-419"/>
          </w:rPr>
          <w:t>ESTADO DE APLICACIÓN DE LAS RECOMENDACIONES DERIVADAS DE LA SUPERVISIÓN</w:t>
        </w:r>
        <w:r>
          <w:rPr>
            <w:noProof/>
            <w:webHidden/>
          </w:rPr>
          <w:tab/>
        </w:r>
        <w:r>
          <w:rPr>
            <w:noProof/>
            <w:webHidden/>
          </w:rPr>
          <w:fldChar w:fldCharType="begin"/>
        </w:r>
        <w:r>
          <w:rPr>
            <w:noProof/>
            <w:webHidden/>
          </w:rPr>
          <w:instrText xml:space="preserve"> PAGEREF _Toc197337711 \h </w:instrText>
        </w:r>
        <w:r>
          <w:rPr>
            <w:noProof/>
            <w:webHidden/>
          </w:rPr>
        </w:r>
        <w:r>
          <w:rPr>
            <w:noProof/>
            <w:webHidden/>
          </w:rPr>
          <w:fldChar w:fldCharType="separate"/>
        </w:r>
        <w:r>
          <w:rPr>
            <w:noProof/>
            <w:webHidden/>
          </w:rPr>
          <w:t>16</w:t>
        </w:r>
        <w:r>
          <w:rPr>
            <w:noProof/>
            <w:webHidden/>
          </w:rPr>
          <w:fldChar w:fldCharType="end"/>
        </w:r>
      </w:hyperlink>
    </w:p>
    <w:p w14:paraId="4917D79B" w14:textId="014D41C8"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2" w:history="1">
        <w:r w:rsidRPr="003A0221">
          <w:rPr>
            <w:rStyle w:val="Hyperlink"/>
            <w:rFonts w:eastAsia="Arial"/>
            <w:noProof/>
            <w:lang w:val="es-419"/>
          </w:rPr>
          <w:t>COOPERACIÓN CON ORGANISMOS DE SUPERVISIÓN EXTERNOS</w:t>
        </w:r>
        <w:r>
          <w:rPr>
            <w:noProof/>
            <w:webHidden/>
          </w:rPr>
          <w:tab/>
        </w:r>
        <w:r>
          <w:rPr>
            <w:noProof/>
            <w:webHidden/>
          </w:rPr>
          <w:fldChar w:fldCharType="begin"/>
        </w:r>
        <w:r>
          <w:rPr>
            <w:noProof/>
            <w:webHidden/>
          </w:rPr>
          <w:instrText xml:space="preserve"> PAGEREF _Toc197337712 \h </w:instrText>
        </w:r>
        <w:r>
          <w:rPr>
            <w:noProof/>
            <w:webHidden/>
          </w:rPr>
        </w:r>
        <w:r>
          <w:rPr>
            <w:noProof/>
            <w:webHidden/>
          </w:rPr>
          <w:fldChar w:fldCharType="separate"/>
        </w:r>
        <w:r>
          <w:rPr>
            <w:noProof/>
            <w:webHidden/>
          </w:rPr>
          <w:t>19</w:t>
        </w:r>
        <w:r>
          <w:rPr>
            <w:noProof/>
            <w:webHidden/>
          </w:rPr>
          <w:fldChar w:fldCharType="end"/>
        </w:r>
      </w:hyperlink>
    </w:p>
    <w:p w14:paraId="32B73465" w14:textId="0962CEE5"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3" w:history="1">
        <w:r w:rsidRPr="003A0221">
          <w:rPr>
            <w:rStyle w:val="Hyperlink"/>
            <w:rFonts w:eastAsia="Arial"/>
            <w:noProof/>
            <w:lang w:val="es-419"/>
          </w:rPr>
          <w:t>OTRAS FUNCIONES DE SUPERVISIÓN</w:t>
        </w:r>
        <w:r>
          <w:rPr>
            <w:noProof/>
            <w:webHidden/>
          </w:rPr>
          <w:tab/>
        </w:r>
        <w:r>
          <w:rPr>
            <w:noProof/>
            <w:webHidden/>
          </w:rPr>
          <w:fldChar w:fldCharType="begin"/>
        </w:r>
        <w:r>
          <w:rPr>
            <w:noProof/>
            <w:webHidden/>
          </w:rPr>
          <w:instrText xml:space="preserve"> PAGEREF _Toc197337713 \h </w:instrText>
        </w:r>
        <w:r>
          <w:rPr>
            <w:noProof/>
            <w:webHidden/>
          </w:rPr>
        </w:r>
        <w:r>
          <w:rPr>
            <w:noProof/>
            <w:webHidden/>
          </w:rPr>
          <w:fldChar w:fldCharType="separate"/>
        </w:r>
        <w:r>
          <w:rPr>
            <w:noProof/>
            <w:webHidden/>
          </w:rPr>
          <w:t>20</w:t>
        </w:r>
        <w:r>
          <w:rPr>
            <w:noProof/>
            <w:webHidden/>
          </w:rPr>
          <w:fldChar w:fldCharType="end"/>
        </w:r>
      </w:hyperlink>
    </w:p>
    <w:p w14:paraId="3961CD6D" w14:textId="0BD255B8"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4" w:history="1">
        <w:r w:rsidRPr="003A0221">
          <w:rPr>
            <w:rStyle w:val="Hyperlink"/>
            <w:rFonts w:eastAsia="Arial"/>
            <w:noProof/>
            <w:lang w:val="es-419"/>
          </w:rPr>
          <w:t>PROGRAMA DE ASEGURAMIENTO Y MEJORAMIENTO DE LA CALIDAD DE LA DSI</w:t>
        </w:r>
        <w:r>
          <w:rPr>
            <w:noProof/>
            <w:webHidden/>
          </w:rPr>
          <w:tab/>
        </w:r>
        <w:r>
          <w:rPr>
            <w:noProof/>
            <w:webHidden/>
          </w:rPr>
          <w:fldChar w:fldCharType="begin"/>
        </w:r>
        <w:r>
          <w:rPr>
            <w:noProof/>
            <w:webHidden/>
          </w:rPr>
          <w:instrText xml:space="preserve"> PAGEREF _Toc197337714 \h </w:instrText>
        </w:r>
        <w:r>
          <w:rPr>
            <w:noProof/>
            <w:webHidden/>
          </w:rPr>
        </w:r>
        <w:r>
          <w:rPr>
            <w:noProof/>
            <w:webHidden/>
          </w:rPr>
          <w:fldChar w:fldCharType="separate"/>
        </w:r>
        <w:r>
          <w:rPr>
            <w:noProof/>
            <w:webHidden/>
          </w:rPr>
          <w:t>22</w:t>
        </w:r>
        <w:r>
          <w:rPr>
            <w:noProof/>
            <w:webHidden/>
          </w:rPr>
          <w:fldChar w:fldCharType="end"/>
        </w:r>
      </w:hyperlink>
    </w:p>
    <w:p w14:paraId="7812940E" w14:textId="01DFECE5"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5" w:history="1">
        <w:r w:rsidRPr="003A0221">
          <w:rPr>
            <w:rStyle w:val="Hyperlink"/>
            <w:rFonts w:eastAsia="Arial"/>
            <w:noProof/>
            <w:lang w:val="es-419"/>
          </w:rPr>
          <w:t>RECURSOS PARA LA SUPERVISIÓN INTERNA</w:t>
        </w:r>
        <w:r>
          <w:rPr>
            <w:noProof/>
            <w:webHidden/>
          </w:rPr>
          <w:tab/>
        </w:r>
        <w:r>
          <w:rPr>
            <w:noProof/>
            <w:webHidden/>
          </w:rPr>
          <w:fldChar w:fldCharType="begin"/>
        </w:r>
        <w:r>
          <w:rPr>
            <w:noProof/>
            <w:webHidden/>
          </w:rPr>
          <w:instrText xml:space="preserve"> PAGEREF _Toc197337715 \h </w:instrText>
        </w:r>
        <w:r>
          <w:rPr>
            <w:noProof/>
            <w:webHidden/>
          </w:rPr>
        </w:r>
        <w:r>
          <w:rPr>
            <w:noProof/>
            <w:webHidden/>
          </w:rPr>
          <w:fldChar w:fldCharType="separate"/>
        </w:r>
        <w:r>
          <w:rPr>
            <w:noProof/>
            <w:webHidden/>
          </w:rPr>
          <w:t>25</w:t>
        </w:r>
        <w:r>
          <w:rPr>
            <w:noProof/>
            <w:webHidden/>
          </w:rPr>
          <w:fldChar w:fldCharType="end"/>
        </w:r>
      </w:hyperlink>
    </w:p>
    <w:p w14:paraId="7BC6C588" w14:textId="7392B718"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6" w:history="1">
        <w:r w:rsidRPr="003A0221">
          <w:rPr>
            <w:rStyle w:val="Hyperlink"/>
            <w:rFonts w:eastAsia="Arial"/>
            <w:noProof/>
            <w:lang w:val="es-419"/>
          </w:rPr>
          <w:t>2025 y más allá</w:t>
        </w:r>
        <w:r>
          <w:rPr>
            <w:noProof/>
            <w:webHidden/>
          </w:rPr>
          <w:tab/>
        </w:r>
        <w:r>
          <w:rPr>
            <w:noProof/>
            <w:webHidden/>
          </w:rPr>
          <w:fldChar w:fldCharType="begin"/>
        </w:r>
        <w:r>
          <w:rPr>
            <w:noProof/>
            <w:webHidden/>
          </w:rPr>
          <w:instrText xml:space="preserve"> PAGEREF _Toc197337716 \h </w:instrText>
        </w:r>
        <w:r>
          <w:rPr>
            <w:noProof/>
            <w:webHidden/>
          </w:rPr>
        </w:r>
        <w:r>
          <w:rPr>
            <w:noProof/>
            <w:webHidden/>
          </w:rPr>
          <w:fldChar w:fldCharType="separate"/>
        </w:r>
        <w:r>
          <w:rPr>
            <w:noProof/>
            <w:webHidden/>
          </w:rPr>
          <w:t>26</w:t>
        </w:r>
        <w:r>
          <w:rPr>
            <w:noProof/>
            <w:webHidden/>
          </w:rPr>
          <w:fldChar w:fldCharType="end"/>
        </w:r>
      </w:hyperlink>
    </w:p>
    <w:p w14:paraId="1394FAB4" w14:textId="44BB4F62" w:rsidR="00E806DB" w:rsidRDefault="00E806DB">
      <w:pPr>
        <w:pStyle w:val="TOC1"/>
        <w:rPr>
          <w:rFonts w:asciiTheme="minorHAnsi" w:eastAsiaTheme="minorEastAsia" w:hAnsiTheme="minorHAnsi" w:cstheme="minorBidi"/>
          <w:noProof/>
          <w:kern w:val="2"/>
          <w:sz w:val="24"/>
          <w:szCs w:val="24"/>
          <w:lang w:eastAsia="en-US"/>
          <w14:ligatures w14:val="standardContextual"/>
        </w:rPr>
      </w:pPr>
      <w:hyperlink w:anchor="_Toc197337717" w:history="1">
        <w:r w:rsidRPr="003A0221">
          <w:rPr>
            <w:rStyle w:val="Hyperlink"/>
            <w:rFonts w:eastAsia="Arial"/>
            <w:noProof/>
            <w:lang w:val="es-419"/>
          </w:rPr>
          <w:t>CONCLUSIÓN</w:t>
        </w:r>
        <w:r>
          <w:rPr>
            <w:noProof/>
            <w:webHidden/>
          </w:rPr>
          <w:tab/>
        </w:r>
        <w:r>
          <w:rPr>
            <w:noProof/>
            <w:webHidden/>
          </w:rPr>
          <w:fldChar w:fldCharType="begin"/>
        </w:r>
        <w:r>
          <w:rPr>
            <w:noProof/>
            <w:webHidden/>
          </w:rPr>
          <w:instrText xml:space="preserve"> PAGEREF _Toc197337717 \h </w:instrText>
        </w:r>
        <w:r>
          <w:rPr>
            <w:noProof/>
            <w:webHidden/>
          </w:rPr>
        </w:r>
        <w:r>
          <w:rPr>
            <w:noProof/>
            <w:webHidden/>
          </w:rPr>
          <w:fldChar w:fldCharType="separate"/>
        </w:r>
        <w:r>
          <w:rPr>
            <w:noProof/>
            <w:webHidden/>
          </w:rPr>
          <w:t>27</w:t>
        </w:r>
        <w:r>
          <w:rPr>
            <w:noProof/>
            <w:webHidden/>
          </w:rPr>
          <w:fldChar w:fldCharType="end"/>
        </w:r>
      </w:hyperlink>
    </w:p>
    <w:p w14:paraId="7F626E18" w14:textId="55628E73" w:rsidR="0076292E" w:rsidRPr="00E45F61" w:rsidRDefault="00B7499E" w:rsidP="0076292E">
      <w:pPr>
        <w:keepLines/>
        <w:tabs>
          <w:tab w:val="left" w:leader="dot" w:pos="8910"/>
        </w:tabs>
        <w:spacing w:before="240" w:after="120" w:line="360" w:lineRule="auto"/>
        <w:rPr>
          <w:b/>
          <w:lang w:val="es-419"/>
        </w:rPr>
      </w:pPr>
      <w:r w:rsidRPr="00E45F61">
        <w:rPr>
          <w:lang w:val="es-419"/>
        </w:rPr>
        <w:fldChar w:fldCharType="end"/>
      </w:r>
    </w:p>
    <w:p w14:paraId="7E268819" w14:textId="77777777" w:rsidR="0076292E" w:rsidRPr="00E45F61" w:rsidRDefault="00B7499E" w:rsidP="0076292E">
      <w:pPr>
        <w:keepLines/>
        <w:tabs>
          <w:tab w:val="left" w:pos="1134"/>
          <w:tab w:val="left" w:pos="1560"/>
        </w:tabs>
        <w:rPr>
          <w:lang w:val="es-419"/>
        </w:rPr>
      </w:pPr>
      <w:r w:rsidRPr="00E45F61">
        <w:rPr>
          <w:lang w:val="es-419"/>
        </w:rPr>
        <w:t>ANEX</w:t>
      </w:r>
      <w:r w:rsidR="008E5E87" w:rsidRPr="00E45F61">
        <w:rPr>
          <w:lang w:val="es-419"/>
        </w:rPr>
        <w:t>O</w:t>
      </w:r>
      <w:r w:rsidRPr="00E45F61">
        <w:rPr>
          <w:lang w:val="es-419"/>
        </w:rPr>
        <w:t xml:space="preserve"> </w:t>
      </w:r>
      <w:r w:rsidRPr="00E45F61">
        <w:rPr>
          <w:lang w:val="es-419"/>
        </w:rPr>
        <w:tab/>
        <w:t xml:space="preserve">– </w:t>
      </w:r>
      <w:r w:rsidRPr="00E45F61">
        <w:rPr>
          <w:lang w:val="es-419"/>
        </w:rPr>
        <w:tab/>
      </w:r>
      <w:r w:rsidR="008E5E87" w:rsidRPr="00E45F61">
        <w:rPr>
          <w:lang w:val="es-419"/>
        </w:rPr>
        <w:t>Lista de documentos e informes de la DSI</w:t>
      </w:r>
    </w:p>
    <w:p w14:paraId="2740312D" w14:textId="77777777" w:rsidR="0076292E" w:rsidRPr="00E45F61" w:rsidRDefault="00B7499E" w:rsidP="0076292E">
      <w:pPr>
        <w:rPr>
          <w:b/>
          <w:bCs/>
          <w:caps/>
          <w:kern w:val="32"/>
          <w:szCs w:val="32"/>
          <w:lang w:val="es-419"/>
        </w:rPr>
      </w:pPr>
      <w:r w:rsidRPr="00E45F61">
        <w:rPr>
          <w:lang w:val="es-419"/>
        </w:rPr>
        <w:br w:type="page"/>
      </w:r>
    </w:p>
    <w:p w14:paraId="64AB5C32" w14:textId="77777777" w:rsidR="0076292E" w:rsidRPr="00E45F61" w:rsidRDefault="00B7499E" w:rsidP="0076292E">
      <w:pPr>
        <w:pStyle w:val="Heading1"/>
        <w:rPr>
          <w:lang w:val="es-419"/>
        </w:rPr>
      </w:pPr>
      <w:bookmarkStart w:id="5" w:name="_Toc39071243"/>
      <w:bookmarkStart w:id="6" w:name="_Toc197337699"/>
      <w:r w:rsidRPr="00E45F61">
        <w:rPr>
          <w:rFonts w:eastAsia="Arial"/>
          <w:szCs w:val="22"/>
          <w:lang w:val="es-419"/>
        </w:rPr>
        <w:lastRenderedPageBreak/>
        <w:t>LISTA DE SIGLAS</w:t>
      </w:r>
      <w:bookmarkEnd w:id="5"/>
      <w:bookmarkEnd w:id="6"/>
    </w:p>
    <w:p w14:paraId="1CFCC3A2" w14:textId="77777777" w:rsidR="0076292E" w:rsidRPr="00E45F61" w:rsidRDefault="0076292E" w:rsidP="0076292E">
      <w:pPr>
        <w:rPr>
          <w:lang w:val="es-419"/>
        </w:rPr>
      </w:pPr>
    </w:p>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353054" w:rsidRPr="00E45F61" w14:paraId="6893469B" w14:textId="77777777" w:rsidTr="00353054">
        <w:trPr>
          <w:trHeight w:val="284"/>
          <w:tblHeader/>
        </w:trPr>
        <w:tc>
          <w:tcPr>
            <w:tcW w:w="1701" w:type="dxa"/>
            <w:shd w:val="clear" w:color="auto" w:fill="auto"/>
          </w:tcPr>
          <w:p w14:paraId="27E9CCAF" w14:textId="77777777" w:rsidR="00353054" w:rsidRPr="00E45F61" w:rsidRDefault="00353054" w:rsidP="000B4F77">
            <w:pPr>
              <w:rPr>
                <w:b/>
                <w:sz w:val="20"/>
                <w:lang w:val="es-419"/>
              </w:rPr>
            </w:pPr>
            <w:r w:rsidRPr="00E45F61">
              <w:rPr>
                <w:rFonts w:eastAsia="Arial"/>
                <w:b/>
                <w:bCs/>
                <w:sz w:val="20"/>
                <w:lang w:val="es-419"/>
              </w:rPr>
              <w:t>ACNUR</w:t>
            </w:r>
          </w:p>
        </w:tc>
        <w:tc>
          <w:tcPr>
            <w:tcW w:w="7230" w:type="dxa"/>
            <w:shd w:val="clear" w:color="auto" w:fill="auto"/>
          </w:tcPr>
          <w:p w14:paraId="4F5E1D34" w14:textId="77777777" w:rsidR="00353054" w:rsidRPr="00E45F61" w:rsidRDefault="00353054" w:rsidP="000B4F77">
            <w:pPr>
              <w:ind w:left="43"/>
              <w:rPr>
                <w:sz w:val="20"/>
                <w:lang w:val="es-419"/>
              </w:rPr>
            </w:pPr>
            <w:r w:rsidRPr="00E45F61">
              <w:rPr>
                <w:rFonts w:eastAsia="Arial"/>
                <w:sz w:val="20"/>
                <w:lang w:val="es-419"/>
              </w:rPr>
              <w:t>Alto Comisionado de las Naciones Unidas para los Refugiados</w:t>
            </w:r>
          </w:p>
        </w:tc>
      </w:tr>
      <w:tr w:rsidR="00353054" w:rsidRPr="00E45F61" w14:paraId="18E03BA6" w14:textId="77777777" w:rsidTr="00353054">
        <w:trPr>
          <w:trHeight w:val="284"/>
          <w:tblHeader/>
        </w:trPr>
        <w:tc>
          <w:tcPr>
            <w:tcW w:w="1701" w:type="dxa"/>
            <w:shd w:val="clear" w:color="auto" w:fill="auto"/>
          </w:tcPr>
          <w:p w14:paraId="750885AB" w14:textId="77777777" w:rsidR="00353054" w:rsidRPr="00E45F61" w:rsidRDefault="00353054" w:rsidP="000B4F77">
            <w:pPr>
              <w:tabs>
                <w:tab w:val="right" w:pos="6880"/>
              </w:tabs>
              <w:rPr>
                <w:b/>
                <w:sz w:val="20"/>
                <w:lang w:val="es-419"/>
              </w:rPr>
            </w:pPr>
            <w:r w:rsidRPr="00E45F61">
              <w:rPr>
                <w:rFonts w:eastAsia="Arial"/>
                <w:b/>
                <w:bCs/>
                <w:sz w:val="20"/>
                <w:lang w:val="es-419"/>
              </w:rPr>
              <w:t>ASHI</w:t>
            </w:r>
          </w:p>
        </w:tc>
        <w:tc>
          <w:tcPr>
            <w:tcW w:w="7230" w:type="dxa"/>
            <w:shd w:val="clear" w:color="auto" w:fill="auto"/>
          </w:tcPr>
          <w:p w14:paraId="62FCD765" w14:textId="77777777" w:rsidR="00353054" w:rsidRPr="00E45F61" w:rsidRDefault="00353054" w:rsidP="000B4F77">
            <w:pPr>
              <w:tabs>
                <w:tab w:val="right" w:pos="6880"/>
              </w:tabs>
              <w:ind w:left="43"/>
              <w:rPr>
                <w:sz w:val="20"/>
                <w:lang w:val="es-419"/>
              </w:rPr>
            </w:pPr>
            <w:r w:rsidRPr="00E45F61">
              <w:rPr>
                <w:rFonts w:eastAsia="Arial"/>
                <w:sz w:val="20"/>
                <w:lang w:val="es-419"/>
              </w:rPr>
              <w:t>Seguro médico pagadero tras la separación del servicio</w:t>
            </w:r>
          </w:p>
        </w:tc>
      </w:tr>
      <w:tr w:rsidR="00353054" w:rsidRPr="00E45F61" w14:paraId="5FB6F310" w14:textId="77777777" w:rsidTr="00353054">
        <w:trPr>
          <w:trHeight w:val="284"/>
          <w:tblHeader/>
        </w:trPr>
        <w:tc>
          <w:tcPr>
            <w:tcW w:w="1701" w:type="dxa"/>
            <w:shd w:val="clear" w:color="auto" w:fill="auto"/>
          </w:tcPr>
          <w:p w14:paraId="6D5D0FBE" w14:textId="77777777" w:rsidR="00353054" w:rsidRPr="00E45F61" w:rsidRDefault="00353054" w:rsidP="000B4F77">
            <w:pPr>
              <w:rPr>
                <w:b/>
                <w:sz w:val="20"/>
                <w:lang w:val="es-419"/>
              </w:rPr>
            </w:pPr>
            <w:r w:rsidRPr="00E45F61">
              <w:rPr>
                <w:rFonts w:eastAsia="Arial"/>
                <w:b/>
                <w:bCs/>
                <w:sz w:val="20"/>
                <w:lang w:val="es-419"/>
              </w:rPr>
              <w:t>CCIS</w:t>
            </w:r>
          </w:p>
        </w:tc>
        <w:tc>
          <w:tcPr>
            <w:tcW w:w="7230" w:type="dxa"/>
            <w:shd w:val="clear" w:color="auto" w:fill="auto"/>
          </w:tcPr>
          <w:p w14:paraId="2631CDF5" w14:textId="77777777" w:rsidR="00353054" w:rsidRPr="00E45F61" w:rsidRDefault="00353054" w:rsidP="000B4F77">
            <w:pPr>
              <w:ind w:left="43"/>
              <w:rPr>
                <w:sz w:val="20"/>
                <w:lang w:val="es-419"/>
              </w:rPr>
            </w:pPr>
            <w:r w:rsidRPr="00E45F61">
              <w:rPr>
                <w:rFonts w:eastAsia="Arial"/>
                <w:sz w:val="20"/>
                <w:lang w:val="es-419"/>
              </w:rPr>
              <w:t>Comisión Consultiva Independiente de Supervisión</w:t>
            </w:r>
          </w:p>
        </w:tc>
      </w:tr>
      <w:tr w:rsidR="00353054" w:rsidRPr="00E45F61" w14:paraId="06D9EF2F" w14:textId="77777777" w:rsidTr="00353054">
        <w:trPr>
          <w:trHeight w:val="284"/>
          <w:tblHeader/>
        </w:trPr>
        <w:tc>
          <w:tcPr>
            <w:tcW w:w="1701" w:type="dxa"/>
            <w:shd w:val="clear" w:color="auto" w:fill="auto"/>
          </w:tcPr>
          <w:p w14:paraId="08979C76" w14:textId="77777777" w:rsidR="00353054" w:rsidRPr="00E45F61" w:rsidRDefault="00353054" w:rsidP="000B4F77">
            <w:pPr>
              <w:rPr>
                <w:b/>
                <w:sz w:val="20"/>
                <w:lang w:val="es-419"/>
              </w:rPr>
            </w:pPr>
            <w:r w:rsidRPr="00E45F61">
              <w:rPr>
                <w:rFonts w:eastAsia="Arial"/>
                <w:b/>
                <w:bCs/>
                <w:sz w:val="20"/>
                <w:lang w:val="es-419"/>
              </w:rPr>
              <w:t>DGRRHH</w:t>
            </w:r>
          </w:p>
        </w:tc>
        <w:tc>
          <w:tcPr>
            <w:tcW w:w="7230" w:type="dxa"/>
            <w:shd w:val="clear" w:color="auto" w:fill="auto"/>
          </w:tcPr>
          <w:p w14:paraId="3B5A00B5" w14:textId="77777777" w:rsidR="00353054" w:rsidRPr="00E45F61" w:rsidRDefault="00353054" w:rsidP="000B4F77">
            <w:pPr>
              <w:ind w:left="43"/>
              <w:rPr>
                <w:sz w:val="20"/>
                <w:lang w:val="es-419"/>
              </w:rPr>
            </w:pPr>
            <w:r w:rsidRPr="00E45F61">
              <w:rPr>
                <w:rFonts w:eastAsia="Arial"/>
                <w:sz w:val="20"/>
                <w:lang w:val="es-419"/>
              </w:rPr>
              <w:t>Departamento de Gestión de los Recursos Humanos</w:t>
            </w:r>
          </w:p>
        </w:tc>
      </w:tr>
      <w:tr w:rsidR="00353054" w:rsidRPr="00E45F61" w14:paraId="51464F89" w14:textId="77777777" w:rsidTr="00353054">
        <w:trPr>
          <w:trHeight w:val="284"/>
          <w:tblHeader/>
        </w:trPr>
        <w:tc>
          <w:tcPr>
            <w:tcW w:w="1701" w:type="dxa"/>
            <w:shd w:val="clear" w:color="auto" w:fill="auto"/>
          </w:tcPr>
          <w:p w14:paraId="71B97FDD" w14:textId="77777777" w:rsidR="00353054" w:rsidRPr="00E45F61" w:rsidRDefault="00353054" w:rsidP="000B4F77">
            <w:pPr>
              <w:rPr>
                <w:b/>
                <w:sz w:val="20"/>
                <w:lang w:val="es-419"/>
              </w:rPr>
            </w:pPr>
            <w:r w:rsidRPr="00E45F61">
              <w:rPr>
                <w:rFonts w:eastAsia="Arial"/>
                <w:b/>
                <w:bCs/>
                <w:sz w:val="20"/>
                <w:lang w:val="es-419"/>
              </w:rPr>
              <w:t>DSI</w:t>
            </w:r>
          </w:p>
        </w:tc>
        <w:tc>
          <w:tcPr>
            <w:tcW w:w="7230" w:type="dxa"/>
            <w:shd w:val="clear" w:color="auto" w:fill="auto"/>
          </w:tcPr>
          <w:p w14:paraId="746B3E6A" w14:textId="77777777" w:rsidR="00353054" w:rsidRPr="00E45F61" w:rsidRDefault="00353054" w:rsidP="000B4F77">
            <w:pPr>
              <w:ind w:left="43"/>
              <w:rPr>
                <w:sz w:val="20"/>
                <w:lang w:val="es-419"/>
              </w:rPr>
            </w:pPr>
            <w:r w:rsidRPr="00E45F61">
              <w:rPr>
                <w:rFonts w:eastAsia="Arial"/>
                <w:sz w:val="20"/>
                <w:lang w:val="es-419"/>
              </w:rPr>
              <w:t>División de Supervisión Interna</w:t>
            </w:r>
          </w:p>
        </w:tc>
      </w:tr>
      <w:tr w:rsidR="00353054" w:rsidRPr="00E45F61" w14:paraId="5E7A9CEA" w14:textId="77777777" w:rsidTr="00353054">
        <w:trPr>
          <w:trHeight w:val="284"/>
          <w:tblHeader/>
        </w:trPr>
        <w:tc>
          <w:tcPr>
            <w:tcW w:w="1701" w:type="dxa"/>
            <w:shd w:val="clear" w:color="auto" w:fill="auto"/>
          </w:tcPr>
          <w:p w14:paraId="11660B52" w14:textId="77777777" w:rsidR="00353054" w:rsidRPr="00E45F61" w:rsidRDefault="00353054" w:rsidP="000B4F77">
            <w:pPr>
              <w:rPr>
                <w:b/>
                <w:sz w:val="20"/>
                <w:lang w:val="es-419"/>
              </w:rPr>
            </w:pPr>
            <w:r w:rsidRPr="00E45F61">
              <w:rPr>
                <w:rFonts w:eastAsia="Arial"/>
                <w:b/>
                <w:bCs/>
                <w:sz w:val="20"/>
                <w:lang w:val="es-419"/>
              </w:rPr>
              <w:t>ISMS</w:t>
            </w:r>
          </w:p>
        </w:tc>
        <w:tc>
          <w:tcPr>
            <w:tcW w:w="7230" w:type="dxa"/>
            <w:shd w:val="clear" w:color="auto" w:fill="auto"/>
          </w:tcPr>
          <w:p w14:paraId="12CD0662" w14:textId="77777777" w:rsidR="00353054" w:rsidRPr="00E45F61" w:rsidRDefault="00353054" w:rsidP="000B4F77">
            <w:pPr>
              <w:ind w:left="43"/>
              <w:rPr>
                <w:sz w:val="20"/>
                <w:lang w:val="es-419"/>
              </w:rPr>
            </w:pPr>
            <w:r w:rsidRPr="00E45F61">
              <w:rPr>
                <w:rFonts w:eastAsia="Arial"/>
                <w:sz w:val="20"/>
                <w:lang w:val="es-419"/>
              </w:rPr>
              <w:t>Sistemas de gestión de la seguridad de la información</w:t>
            </w:r>
          </w:p>
        </w:tc>
      </w:tr>
      <w:tr w:rsidR="00353054" w:rsidRPr="00E45F61" w14:paraId="7C7F3106" w14:textId="77777777" w:rsidTr="00353054">
        <w:trPr>
          <w:trHeight w:val="284"/>
          <w:tblHeader/>
        </w:trPr>
        <w:tc>
          <w:tcPr>
            <w:tcW w:w="1701" w:type="dxa"/>
            <w:shd w:val="clear" w:color="auto" w:fill="auto"/>
          </w:tcPr>
          <w:p w14:paraId="20E2A982" w14:textId="77777777" w:rsidR="00353054" w:rsidRPr="00E45F61" w:rsidRDefault="00353054" w:rsidP="000B4F77">
            <w:pPr>
              <w:rPr>
                <w:b/>
                <w:sz w:val="20"/>
                <w:lang w:val="es-419"/>
              </w:rPr>
            </w:pPr>
            <w:r w:rsidRPr="00E45F61">
              <w:rPr>
                <w:rFonts w:eastAsia="Arial"/>
                <w:b/>
                <w:bCs/>
                <w:sz w:val="20"/>
                <w:lang w:val="es-419"/>
              </w:rPr>
              <w:t>OMPI</w:t>
            </w:r>
          </w:p>
        </w:tc>
        <w:tc>
          <w:tcPr>
            <w:tcW w:w="7230" w:type="dxa"/>
            <w:shd w:val="clear" w:color="auto" w:fill="auto"/>
          </w:tcPr>
          <w:p w14:paraId="328D944E" w14:textId="77777777" w:rsidR="00353054" w:rsidRPr="00E45F61" w:rsidRDefault="00353054" w:rsidP="000B4F77">
            <w:pPr>
              <w:ind w:left="43"/>
              <w:rPr>
                <w:sz w:val="20"/>
                <w:lang w:val="es-419"/>
              </w:rPr>
            </w:pPr>
            <w:r w:rsidRPr="00E45F61">
              <w:rPr>
                <w:rFonts w:eastAsia="Arial"/>
                <w:sz w:val="20"/>
                <w:lang w:val="es-419"/>
              </w:rPr>
              <w:t>Organización Mundial de la Propiedad Intelectual</w:t>
            </w:r>
          </w:p>
        </w:tc>
      </w:tr>
      <w:tr w:rsidR="00353054" w:rsidRPr="00E45F61" w14:paraId="41E0EB79" w14:textId="77777777" w:rsidTr="00353054">
        <w:trPr>
          <w:trHeight w:val="284"/>
          <w:tblHeader/>
        </w:trPr>
        <w:tc>
          <w:tcPr>
            <w:tcW w:w="1701" w:type="dxa"/>
            <w:shd w:val="clear" w:color="auto" w:fill="auto"/>
          </w:tcPr>
          <w:p w14:paraId="3688B854" w14:textId="77777777" w:rsidR="00353054" w:rsidRPr="00E45F61" w:rsidRDefault="00353054" w:rsidP="000B4F77">
            <w:pPr>
              <w:rPr>
                <w:b/>
                <w:sz w:val="20"/>
                <w:lang w:val="es-419"/>
              </w:rPr>
            </w:pPr>
            <w:r w:rsidRPr="00E45F61">
              <w:rPr>
                <w:rFonts w:eastAsia="Arial"/>
                <w:b/>
                <w:bCs/>
                <w:sz w:val="20"/>
                <w:lang w:val="es-419"/>
              </w:rPr>
              <w:t>PCT</w:t>
            </w:r>
          </w:p>
        </w:tc>
        <w:tc>
          <w:tcPr>
            <w:tcW w:w="7230" w:type="dxa"/>
            <w:shd w:val="clear" w:color="auto" w:fill="auto"/>
          </w:tcPr>
          <w:p w14:paraId="36143FD0" w14:textId="77777777" w:rsidR="00353054" w:rsidRPr="00E45F61" w:rsidRDefault="00353054" w:rsidP="000B4F77">
            <w:pPr>
              <w:ind w:left="43"/>
              <w:rPr>
                <w:sz w:val="20"/>
                <w:lang w:val="es-419"/>
              </w:rPr>
            </w:pPr>
            <w:r w:rsidRPr="00E45F61">
              <w:rPr>
                <w:rFonts w:eastAsia="Arial"/>
                <w:sz w:val="20"/>
                <w:lang w:val="es-419"/>
              </w:rPr>
              <w:t>Tratado de Cooperación en materia de Patentes</w:t>
            </w:r>
          </w:p>
        </w:tc>
      </w:tr>
      <w:tr w:rsidR="00353054" w:rsidRPr="00E45F61" w14:paraId="3D401613" w14:textId="77777777" w:rsidTr="00353054">
        <w:trPr>
          <w:trHeight w:val="284"/>
          <w:tblHeader/>
        </w:trPr>
        <w:tc>
          <w:tcPr>
            <w:tcW w:w="1701" w:type="dxa"/>
            <w:shd w:val="clear" w:color="auto" w:fill="auto"/>
          </w:tcPr>
          <w:p w14:paraId="6CB663C9" w14:textId="77777777" w:rsidR="00353054" w:rsidRPr="00E45F61" w:rsidRDefault="00353054" w:rsidP="000B4F77">
            <w:pPr>
              <w:rPr>
                <w:b/>
                <w:sz w:val="20"/>
                <w:lang w:val="es-419"/>
              </w:rPr>
            </w:pPr>
            <w:r w:rsidRPr="00E45F61">
              <w:rPr>
                <w:rFonts w:eastAsia="Arial"/>
                <w:b/>
                <w:bCs/>
                <w:sz w:val="20"/>
                <w:lang w:val="es-419"/>
              </w:rPr>
              <w:t>PEMP</w:t>
            </w:r>
          </w:p>
        </w:tc>
        <w:tc>
          <w:tcPr>
            <w:tcW w:w="7230" w:type="dxa"/>
            <w:shd w:val="clear" w:color="auto" w:fill="auto"/>
          </w:tcPr>
          <w:p w14:paraId="2C1F0643" w14:textId="77777777" w:rsidR="00353054" w:rsidRPr="00E45F61" w:rsidRDefault="00353054" w:rsidP="000B4F77">
            <w:pPr>
              <w:ind w:left="43"/>
              <w:rPr>
                <w:sz w:val="20"/>
                <w:lang w:val="es-419"/>
              </w:rPr>
            </w:pPr>
            <w:r w:rsidRPr="00E45F61">
              <w:rPr>
                <w:rFonts w:eastAsia="Arial"/>
                <w:color w:val="323232"/>
                <w:kern w:val="2"/>
                <w:sz w:val="20"/>
                <w:lang w:val="es-419"/>
              </w:rPr>
              <w:t>Plan Estratégico a Mediano Plazo</w:t>
            </w:r>
          </w:p>
        </w:tc>
      </w:tr>
      <w:tr w:rsidR="00353054" w:rsidRPr="00E45F61" w14:paraId="660BD10A" w14:textId="77777777" w:rsidTr="00353054">
        <w:trPr>
          <w:trHeight w:val="284"/>
          <w:tblHeader/>
        </w:trPr>
        <w:tc>
          <w:tcPr>
            <w:tcW w:w="1701" w:type="dxa"/>
            <w:shd w:val="clear" w:color="auto" w:fill="auto"/>
          </w:tcPr>
          <w:p w14:paraId="5E9BB9A8" w14:textId="77777777" w:rsidR="00353054" w:rsidRPr="00E45F61" w:rsidRDefault="00353054" w:rsidP="000B4F77">
            <w:pPr>
              <w:rPr>
                <w:b/>
                <w:sz w:val="20"/>
                <w:lang w:val="es-419"/>
              </w:rPr>
            </w:pPr>
            <w:r w:rsidRPr="00E45F61">
              <w:rPr>
                <w:rFonts w:eastAsia="Arial"/>
                <w:b/>
                <w:bCs/>
                <w:sz w:val="20"/>
                <w:lang w:val="es-419"/>
              </w:rPr>
              <w:t>PI</w:t>
            </w:r>
          </w:p>
        </w:tc>
        <w:tc>
          <w:tcPr>
            <w:tcW w:w="7230" w:type="dxa"/>
            <w:shd w:val="clear" w:color="auto" w:fill="auto"/>
          </w:tcPr>
          <w:p w14:paraId="172E4B4F" w14:textId="77777777" w:rsidR="00353054" w:rsidRPr="00E45F61" w:rsidRDefault="00353054" w:rsidP="000B4F77">
            <w:pPr>
              <w:ind w:left="43"/>
              <w:rPr>
                <w:sz w:val="20"/>
                <w:lang w:val="es-419"/>
              </w:rPr>
            </w:pPr>
            <w:r w:rsidRPr="00E45F61">
              <w:rPr>
                <w:rFonts w:eastAsia="Arial"/>
                <w:sz w:val="20"/>
                <w:lang w:val="es-419"/>
              </w:rPr>
              <w:t>Propiedad intelectual</w:t>
            </w:r>
          </w:p>
        </w:tc>
      </w:tr>
      <w:tr w:rsidR="00353054" w:rsidRPr="00E45F61" w14:paraId="4FF736EB" w14:textId="77777777" w:rsidTr="00353054">
        <w:trPr>
          <w:trHeight w:val="284"/>
          <w:tblHeader/>
        </w:trPr>
        <w:tc>
          <w:tcPr>
            <w:tcW w:w="1701" w:type="dxa"/>
            <w:shd w:val="clear" w:color="auto" w:fill="auto"/>
          </w:tcPr>
          <w:p w14:paraId="6E5F6770" w14:textId="77777777" w:rsidR="00353054" w:rsidRPr="00E45F61" w:rsidRDefault="00353054" w:rsidP="000B4F77">
            <w:pPr>
              <w:rPr>
                <w:b/>
                <w:sz w:val="20"/>
                <w:lang w:val="es-419"/>
              </w:rPr>
            </w:pPr>
            <w:r w:rsidRPr="00E45F61">
              <w:rPr>
                <w:rFonts w:eastAsia="Arial"/>
                <w:b/>
                <w:bCs/>
                <w:sz w:val="20"/>
                <w:lang w:val="es-419"/>
              </w:rPr>
              <w:t>RAMP</w:t>
            </w:r>
          </w:p>
        </w:tc>
        <w:tc>
          <w:tcPr>
            <w:tcW w:w="7230" w:type="dxa"/>
            <w:shd w:val="clear" w:color="auto" w:fill="auto"/>
          </w:tcPr>
          <w:p w14:paraId="5D1028B9" w14:textId="77777777" w:rsidR="00353054" w:rsidRPr="00E45F61" w:rsidRDefault="00353054" w:rsidP="000B4F77">
            <w:pPr>
              <w:ind w:left="43"/>
              <w:rPr>
                <w:sz w:val="20"/>
                <w:lang w:val="es-419"/>
              </w:rPr>
            </w:pPr>
            <w:r w:rsidRPr="00E45F61">
              <w:rPr>
                <w:rFonts w:eastAsia="Arial"/>
                <w:sz w:val="20"/>
                <w:lang w:val="es-419"/>
              </w:rPr>
              <w:t>Alianza de Asesoría y Gestión de Reservas</w:t>
            </w:r>
          </w:p>
        </w:tc>
      </w:tr>
      <w:tr w:rsidR="00353054" w:rsidRPr="00E45F61" w14:paraId="18EAAE44" w14:textId="77777777" w:rsidTr="00353054">
        <w:trPr>
          <w:trHeight w:val="284"/>
          <w:tblHeader/>
        </w:trPr>
        <w:tc>
          <w:tcPr>
            <w:tcW w:w="1701" w:type="dxa"/>
            <w:shd w:val="clear" w:color="auto" w:fill="auto"/>
          </w:tcPr>
          <w:p w14:paraId="5A02BCEC" w14:textId="77777777" w:rsidR="00353054" w:rsidRPr="00E45F61" w:rsidRDefault="00353054" w:rsidP="000B4F77">
            <w:pPr>
              <w:rPr>
                <w:b/>
                <w:sz w:val="20"/>
                <w:lang w:val="es-419"/>
              </w:rPr>
            </w:pPr>
            <w:r w:rsidRPr="00E45F61">
              <w:rPr>
                <w:rFonts w:eastAsia="Arial"/>
                <w:b/>
                <w:bCs/>
                <w:sz w:val="20"/>
                <w:lang w:val="es-419"/>
              </w:rPr>
              <w:t>SMART</w:t>
            </w:r>
          </w:p>
        </w:tc>
        <w:tc>
          <w:tcPr>
            <w:tcW w:w="7230" w:type="dxa"/>
            <w:shd w:val="clear" w:color="auto" w:fill="auto"/>
          </w:tcPr>
          <w:p w14:paraId="361684A0" w14:textId="77777777" w:rsidR="00353054" w:rsidRPr="00E45F61" w:rsidRDefault="00353054" w:rsidP="000B4F77">
            <w:pPr>
              <w:ind w:left="43"/>
              <w:rPr>
                <w:sz w:val="20"/>
                <w:lang w:val="es-419"/>
              </w:rPr>
            </w:pPr>
            <w:r w:rsidRPr="00E45F61">
              <w:rPr>
                <w:rFonts w:eastAsia="Arial"/>
                <w:sz w:val="20"/>
                <w:lang w:val="es-419"/>
              </w:rPr>
              <w:t>Específico, mensurable, realizable, pertinente y sujeto a plazos</w:t>
            </w:r>
          </w:p>
        </w:tc>
      </w:tr>
      <w:tr w:rsidR="00353054" w:rsidRPr="00E45F61" w14:paraId="3851A607" w14:textId="77777777" w:rsidTr="00353054">
        <w:trPr>
          <w:trHeight w:val="284"/>
          <w:tblHeader/>
        </w:trPr>
        <w:tc>
          <w:tcPr>
            <w:tcW w:w="1701" w:type="dxa"/>
            <w:shd w:val="clear" w:color="auto" w:fill="auto"/>
          </w:tcPr>
          <w:p w14:paraId="7E2C2CC2" w14:textId="77777777" w:rsidR="00353054" w:rsidRPr="00E45F61" w:rsidRDefault="00353054" w:rsidP="000B4F77">
            <w:pPr>
              <w:rPr>
                <w:b/>
                <w:sz w:val="20"/>
                <w:lang w:val="es-419"/>
              </w:rPr>
            </w:pPr>
            <w:r w:rsidRPr="00E45F61">
              <w:rPr>
                <w:rFonts w:eastAsia="Arial"/>
                <w:b/>
                <w:bCs/>
                <w:sz w:val="20"/>
                <w:lang w:val="es-419"/>
              </w:rPr>
              <w:t>TI</w:t>
            </w:r>
          </w:p>
        </w:tc>
        <w:tc>
          <w:tcPr>
            <w:tcW w:w="7230" w:type="dxa"/>
            <w:shd w:val="clear" w:color="auto" w:fill="auto"/>
          </w:tcPr>
          <w:p w14:paraId="7FBE084E" w14:textId="77777777" w:rsidR="00353054" w:rsidRPr="00E45F61" w:rsidRDefault="00353054" w:rsidP="000B4F77">
            <w:pPr>
              <w:ind w:left="43"/>
              <w:rPr>
                <w:sz w:val="20"/>
                <w:lang w:val="es-419"/>
              </w:rPr>
            </w:pPr>
            <w:r w:rsidRPr="00E45F61">
              <w:rPr>
                <w:rFonts w:eastAsia="Arial"/>
                <w:sz w:val="20"/>
                <w:lang w:val="es-419"/>
              </w:rPr>
              <w:t>Tecnologías de la información</w:t>
            </w:r>
          </w:p>
        </w:tc>
      </w:tr>
      <w:tr w:rsidR="00353054" w:rsidRPr="00E45F61" w14:paraId="209DD4B0" w14:textId="77777777" w:rsidTr="00353054">
        <w:trPr>
          <w:trHeight w:val="284"/>
          <w:tblHeader/>
        </w:trPr>
        <w:tc>
          <w:tcPr>
            <w:tcW w:w="1701" w:type="dxa"/>
            <w:shd w:val="clear" w:color="auto" w:fill="auto"/>
          </w:tcPr>
          <w:p w14:paraId="2F5B209A" w14:textId="77777777" w:rsidR="00353054" w:rsidRPr="00E45F61" w:rsidRDefault="00353054" w:rsidP="000B4F77">
            <w:pPr>
              <w:rPr>
                <w:b/>
                <w:sz w:val="20"/>
                <w:lang w:val="es-419"/>
              </w:rPr>
            </w:pPr>
            <w:r w:rsidRPr="00E45F61">
              <w:rPr>
                <w:rFonts w:eastAsia="Arial"/>
                <w:b/>
                <w:bCs/>
                <w:sz w:val="20"/>
                <w:lang w:val="es-419"/>
              </w:rPr>
              <w:t>UN-RIAS</w:t>
            </w:r>
          </w:p>
        </w:tc>
        <w:tc>
          <w:tcPr>
            <w:tcW w:w="7230" w:type="dxa"/>
            <w:shd w:val="clear" w:color="auto" w:fill="auto"/>
          </w:tcPr>
          <w:p w14:paraId="55FE876A" w14:textId="77777777" w:rsidR="00353054" w:rsidRPr="00E45F61" w:rsidRDefault="008D09ED" w:rsidP="000B4F77">
            <w:pPr>
              <w:ind w:left="43"/>
              <w:rPr>
                <w:sz w:val="20"/>
                <w:lang w:val="es-419"/>
              </w:rPr>
            </w:pPr>
            <w:r w:rsidRPr="00E45F61">
              <w:rPr>
                <w:rFonts w:eastAsia="Arial"/>
                <w:sz w:val="20"/>
                <w:lang w:val="es-419"/>
              </w:rPr>
              <w:t>representante</w:t>
            </w:r>
            <w:r w:rsidR="00353054" w:rsidRPr="00E45F61">
              <w:rPr>
                <w:rFonts w:eastAsia="Arial"/>
                <w:sz w:val="20"/>
                <w:lang w:val="es-419"/>
              </w:rPr>
              <w:t>s de Servicios de Auditoría Interna de las Organizaciones de las Naciones Unidas</w:t>
            </w:r>
          </w:p>
        </w:tc>
      </w:tr>
      <w:tr w:rsidR="00353054" w:rsidRPr="00E45F61" w14:paraId="026A6C6F" w14:textId="77777777" w:rsidTr="00353054">
        <w:trPr>
          <w:trHeight w:val="284"/>
          <w:tblHeader/>
        </w:trPr>
        <w:tc>
          <w:tcPr>
            <w:tcW w:w="1701" w:type="dxa"/>
            <w:shd w:val="clear" w:color="auto" w:fill="auto"/>
          </w:tcPr>
          <w:p w14:paraId="61F51BFB" w14:textId="77777777" w:rsidR="00353054" w:rsidRPr="00E45F61" w:rsidRDefault="00353054" w:rsidP="000B4F77">
            <w:pPr>
              <w:rPr>
                <w:b/>
                <w:sz w:val="20"/>
                <w:lang w:val="es-419"/>
              </w:rPr>
            </w:pPr>
            <w:r w:rsidRPr="00E45F61">
              <w:rPr>
                <w:rFonts w:eastAsia="Arial"/>
                <w:b/>
                <w:bCs/>
                <w:sz w:val="20"/>
                <w:lang w:val="es-419"/>
              </w:rPr>
              <w:t>UNEG</w:t>
            </w:r>
          </w:p>
        </w:tc>
        <w:tc>
          <w:tcPr>
            <w:tcW w:w="7230" w:type="dxa"/>
            <w:shd w:val="clear" w:color="auto" w:fill="auto"/>
          </w:tcPr>
          <w:p w14:paraId="133F674B" w14:textId="77777777" w:rsidR="00353054" w:rsidRPr="00E45F61" w:rsidRDefault="00353054" w:rsidP="000B4F77">
            <w:pPr>
              <w:ind w:left="43"/>
              <w:rPr>
                <w:sz w:val="20"/>
                <w:lang w:val="es-419"/>
              </w:rPr>
            </w:pPr>
            <w:r w:rsidRPr="00E45F61">
              <w:rPr>
                <w:rFonts w:eastAsia="Arial"/>
                <w:sz w:val="20"/>
                <w:lang w:val="es-419"/>
              </w:rPr>
              <w:t>Grupo de Evaluación de las Naciones Unidas</w:t>
            </w:r>
          </w:p>
        </w:tc>
      </w:tr>
      <w:tr w:rsidR="00353054" w:rsidRPr="00E45F61" w14:paraId="1EDE8270" w14:textId="77777777" w:rsidTr="00353054">
        <w:trPr>
          <w:trHeight w:val="284"/>
          <w:tblHeader/>
        </w:trPr>
        <w:tc>
          <w:tcPr>
            <w:tcW w:w="1701" w:type="dxa"/>
            <w:shd w:val="clear" w:color="auto" w:fill="auto"/>
          </w:tcPr>
          <w:p w14:paraId="47CE9D0A" w14:textId="77777777" w:rsidR="00353054" w:rsidRPr="00E45F61" w:rsidRDefault="00353054" w:rsidP="000B4F77">
            <w:pPr>
              <w:rPr>
                <w:b/>
                <w:sz w:val="20"/>
                <w:lang w:val="es-419"/>
              </w:rPr>
            </w:pPr>
            <w:r w:rsidRPr="00E45F61">
              <w:rPr>
                <w:rFonts w:eastAsia="Arial"/>
                <w:b/>
                <w:bCs/>
                <w:sz w:val="20"/>
                <w:lang w:val="es-419"/>
              </w:rPr>
              <w:t>WEP</w:t>
            </w:r>
          </w:p>
        </w:tc>
        <w:tc>
          <w:tcPr>
            <w:tcW w:w="7230" w:type="dxa"/>
            <w:shd w:val="clear" w:color="auto" w:fill="auto"/>
          </w:tcPr>
          <w:p w14:paraId="5C6B63BF" w14:textId="1D97BB9A" w:rsidR="00353054" w:rsidRPr="00E45F61" w:rsidRDefault="00353054" w:rsidP="000B4F77">
            <w:pPr>
              <w:ind w:left="43"/>
              <w:rPr>
                <w:sz w:val="20"/>
                <w:lang w:val="es-419"/>
              </w:rPr>
            </w:pPr>
            <w:r w:rsidRPr="00E45F61">
              <w:rPr>
                <w:rFonts w:eastAsia="Arial"/>
                <w:sz w:val="20"/>
                <w:lang w:val="es-419"/>
              </w:rPr>
              <w:t>Programa para emprendedora</w:t>
            </w:r>
            <w:r w:rsidR="00AE4879" w:rsidRPr="00E45F61">
              <w:rPr>
                <w:rFonts w:eastAsia="Arial"/>
                <w:sz w:val="20"/>
                <w:lang w:val="es-419"/>
              </w:rPr>
              <w:t>s</w:t>
            </w:r>
            <w:r w:rsidRPr="00E45F61">
              <w:rPr>
                <w:rFonts w:eastAsia="Arial"/>
                <w:sz w:val="20"/>
                <w:lang w:val="es-419"/>
              </w:rPr>
              <w:t xml:space="preserve"> </w:t>
            </w:r>
            <w:r w:rsidR="00AE4879" w:rsidRPr="00E45F61">
              <w:rPr>
                <w:rFonts w:eastAsia="Arial"/>
                <w:sz w:val="20"/>
                <w:lang w:val="es-419"/>
              </w:rPr>
              <w:t>d</w:t>
            </w:r>
            <w:r w:rsidRPr="00E45F61">
              <w:rPr>
                <w:rFonts w:eastAsia="Arial"/>
                <w:sz w:val="20"/>
                <w:lang w:val="es-419"/>
              </w:rPr>
              <w:t xml:space="preserve">e </w:t>
            </w:r>
            <w:r w:rsidR="0011504F" w:rsidRPr="00E45F61">
              <w:rPr>
                <w:rFonts w:eastAsia="Arial"/>
                <w:sz w:val="20"/>
                <w:lang w:val="es-419"/>
              </w:rPr>
              <w:t>P</w:t>
            </w:r>
            <w:r w:rsidRPr="00E45F61">
              <w:rPr>
                <w:rFonts w:eastAsia="Arial"/>
                <w:sz w:val="20"/>
                <w:lang w:val="es-419"/>
              </w:rPr>
              <w:t xml:space="preserve">ueblos </w:t>
            </w:r>
            <w:r w:rsidR="0011504F" w:rsidRPr="00E45F61">
              <w:rPr>
                <w:rFonts w:eastAsia="Arial"/>
                <w:sz w:val="20"/>
                <w:lang w:val="es-419"/>
              </w:rPr>
              <w:t>I</w:t>
            </w:r>
            <w:r w:rsidRPr="00E45F61">
              <w:rPr>
                <w:rFonts w:eastAsia="Arial"/>
                <w:sz w:val="20"/>
                <w:lang w:val="es-419"/>
              </w:rPr>
              <w:t>ndígenas y comunidades locales</w:t>
            </w:r>
          </w:p>
        </w:tc>
      </w:tr>
    </w:tbl>
    <w:p w14:paraId="593EB351" w14:textId="77777777" w:rsidR="0076292E" w:rsidRPr="00E45F61" w:rsidRDefault="0076292E" w:rsidP="0076292E">
      <w:pPr>
        <w:rPr>
          <w:lang w:val="es-419"/>
        </w:rPr>
      </w:pPr>
    </w:p>
    <w:p w14:paraId="5571FFD8" w14:textId="77777777" w:rsidR="0076292E" w:rsidRPr="00E45F61" w:rsidRDefault="00B7499E" w:rsidP="0076292E">
      <w:pPr>
        <w:rPr>
          <w:lang w:val="es-419"/>
        </w:rPr>
      </w:pPr>
      <w:r w:rsidRPr="00E45F61">
        <w:rPr>
          <w:lang w:val="es-419"/>
        </w:rPr>
        <w:br w:type="page"/>
      </w:r>
    </w:p>
    <w:p w14:paraId="1170DE02" w14:textId="77777777" w:rsidR="0076292E" w:rsidRPr="00E45F61" w:rsidRDefault="00B7499E" w:rsidP="00351FC3">
      <w:pPr>
        <w:pStyle w:val="Heading1"/>
        <w:spacing w:after="120"/>
        <w:ind w:firstLine="91"/>
        <w:rPr>
          <w:caps w:val="0"/>
          <w:lang w:val="es-419"/>
        </w:rPr>
      </w:pPr>
      <w:bookmarkStart w:id="7" w:name="_Toc420663565"/>
      <w:bookmarkStart w:id="8" w:name="_Toc39071244"/>
      <w:bookmarkStart w:id="9" w:name="_Toc197337700"/>
      <w:r w:rsidRPr="00E45F61">
        <w:rPr>
          <w:rFonts w:eastAsia="Arial"/>
          <w:caps w:val="0"/>
          <w:szCs w:val="22"/>
          <w:lang w:val="es-419"/>
        </w:rPr>
        <w:lastRenderedPageBreak/>
        <w:t>RESUMEN</w:t>
      </w:r>
      <w:bookmarkEnd w:id="9"/>
    </w:p>
    <w:p w14:paraId="0631F4F8" w14:textId="4C4B79C3"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año</w:t>
      </w:r>
      <w:r w:rsidR="008D09ED" w:rsidRPr="00E45F61">
        <w:rPr>
          <w:rFonts w:eastAsia="Arial"/>
          <w:szCs w:val="22"/>
          <w:lang w:val="es-419"/>
        </w:rPr>
        <w:t> 2</w:t>
      </w:r>
      <w:r w:rsidRPr="00E45F61">
        <w:rPr>
          <w:rFonts w:eastAsia="Arial"/>
          <w:szCs w:val="22"/>
          <w:lang w:val="es-419"/>
        </w:rPr>
        <w:t>024 marcó el tercer año del Plan Estratégico a Mediano Plazo (PEMP) para</w:t>
      </w:r>
      <w:r w:rsidR="008D09ED" w:rsidRPr="00E45F61">
        <w:rPr>
          <w:rFonts w:eastAsia="Arial"/>
          <w:szCs w:val="22"/>
          <w:lang w:val="es-419"/>
        </w:rPr>
        <w:t> 2</w:t>
      </w:r>
      <w:r w:rsidRPr="00E45F61">
        <w:rPr>
          <w:rFonts w:eastAsia="Arial"/>
          <w:szCs w:val="22"/>
          <w:lang w:val="es-419"/>
        </w:rPr>
        <w:t xml:space="preserve">022-2026. Como parte de su contribución </w:t>
      </w:r>
      <w:r w:rsidR="00CF5318" w:rsidRPr="00E45F61">
        <w:rPr>
          <w:rFonts w:eastAsia="Arial"/>
          <w:szCs w:val="22"/>
          <w:lang w:val="es-419"/>
        </w:rPr>
        <w:t>a los cimientos del Edificio de la Estrategia de la Organización</w:t>
      </w:r>
      <w:r w:rsidRPr="00E45F61">
        <w:rPr>
          <w:rFonts w:eastAsia="Arial"/>
          <w:szCs w:val="22"/>
          <w:lang w:val="es-419"/>
        </w:rPr>
        <w:t xml:space="preserve">, la División de Supervisión Interna (DSI) realizó actividades y formuló recomendaciones encaminadas, entre otras cosas, a apoyar la consecución de los objetivos estratégicos de la Organización y a evaluar los diferentes elementos de su entorno de control. </w:t>
      </w:r>
    </w:p>
    <w:p w14:paraId="458F8371" w14:textId="1F7BAA42" w:rsidR="0076292E" w:rsidRPr="00E45F61" w:rsidRDefault="00B7499E" w:rsidP="0076292E">
      <w:pPr>
        <w:pStyle w:val="ONUME"/>
        <w:tabs>
          <w:tab w:val="clear" w:pos="567"/>
          <w:tab w:val="num" w:pos="657"/>
        </w:tabs>
        <w:ind w:left="90"/>
        <w:rPr>
          <w:lang w:val="es-419"/>
        </w:rPr>
      </w:pPr>
      <w:r w:rsidRPr="00E45F61">
        <w:rPr>
          <w:rFonts w:eastAsia="Arial"/>
          <w:szCs w:val="22"/>
          <w:lang w:val="es-419"/>
        </w:rPr>
        <w:t>Durante el período objeto de examen, la DSI emitió cinco informes de auditoría interna, dos informes de validación, cuatro informes de evaluación, cinco informes de exámenes de evaluación previa, un informe de asesoramiento,</w:t>
      </w:r>
      <w:r w:rsidR="008D09ED" w:rsidRPr="00E45F61">
        <w:rPr>
          <w:rFonts w:eastAsia="Arial"/>
          <w:szCs w:val="22"/>
          <w:lang w:val="es-419"/>
        </w:rPr>
        <w:t> 1</w:t>
      </w:r>
      <w:r w:rsidRPr="00E45F61">
        <w:rPr>
          <w:rFonts w:eastAsia="Arial"/>
          <w:szCs w:val="22"/>
          <w:lang w:val="es-419"/>
        </w:rPr>
        <w:t xml:space="preserve">8 informes de investigación y dos informes sobre las consecuencias para la dirección. </w:t>
      </w:r>
    </w:p>
    <w:p w14:paraId="3A937DE8" w14:textId="48A8F082" w:rsidR="00CF5318" w:rsidRPr="00E45F61" w:rsidRDefault="00CF5318" w:rsidP="0076292E">
      <w:pPr>
        <w:pStyle w:val="ONUME"/>
        <w:tabs>
          <w:tab w:val="clear" w:pos="567"/>
          <w:tab w:val="num" w:pos="657"/>
        </w:tabs>
        <w:ind w:left="90"/>
        <w:rPr>
          <w:lang w:val="es-419"/>
        </w:rPr>
      </w:pPr>
      <w:r w:rsidRPr="00E45F61">
        <w:rPr>
          <w:lang w:val="es-419"/>
        </w:rPr>
        <w:t xml:space="preserve">En ningún caso se restringió el acceso de la DSI a los registros, el personal y los locales, ni se dieron circunstancias que pudieran considerarse una amenaza para la independencia operativa de la DSI. </w:t>
      </w:r>
    </w:p>
    <w:p w14:paraId="30F869C6" w14:textId="21C5C140"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La labor de la DSI se centró en respaldar el PEMP a través de actividades pertinentes como la auditoría de la gestión de la ciberseguridad, la auditoría de la División de Traducción del Tratado de Cooperación en materia de Patentes (PCT) y la auditoría de la Oficina de la OMPI en Nigeria. Validó los datos de la muestra de las solicitudes de reembolso relativas al seguro médico tras la separación del servicio y llevó a cabo un examen piloto del diseño y la eficacia operativa de los controles clave de la Organización. </w:t>
      </w:r>
    </w:p>
    <w:p w14:paraId="44FEA885" w14:textId="2EDC8D85" w:rsidR="0076292E" w:rsidRPr="00E45F61" w:rsidRDefault="00B7499E" w:rsidP="0076292E">
      <w:pPr>
        <w:pStyle w:val="ONUME"/>
        <w:tabs>
          <w:tab w:val="clear" w:pos="567"/>
          <w:tab w:val="num" w:pos="657"/>
        </w:tabs>
        <w:ind w:left="90"/>
        <w:rPr>
          <w:lang w:val="es-419"/>
        </w:rPr>
      </w:pPr>
      <w:r w:rsidRPr="00E45F61">
        <w:rPr>
          <w:rFonts w:eastAsia="Arial"/>
          <w:color w:val="000000"/>
          <w:szCs w:val="22"/>
          <w:lang w:val="es-419"/>
        </w:rPr>
        <w:t xml:space="preserve">La DSI realizó exámenes de evaluación previa de cinco programas </w:t>
      </w:r>
      <w:r w:rsidRPr="00E45F61">
        <w:rPr>
          <w:rFonts w:eastAsia="Arial"/>
          <w:szCs w:val="22"/>
          <w:lang w:val="es-419"/>
        </w:rPr>
        <w:t>para conocer el alcance, la estructura, los resultados y la incidencia actual de cada uno de ellos. Los exámenes analizaron la conservación de datos de las evaluaciones y permitieron valorar la necesidad inmediata de realizar evaluaciones a gran escala.</w:t>
      </w:r>
    </w:p>
    <w:p w14:paraId="7893DD1D" w14:textId="5E2DE8A7"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Como parte de sus servicios de asesoramiento, tras un primer examen de los controles clave, la DSI inició un proceso de consulta con la Oficina </w:t>
      </w:r>
      <w:r w:rsidR="00AC6237" w:rsidRPr="00E45F61">
        <w:rPr>
          <w:rFonts w:eastAsia="Arial"/>
          <w:szCs w:val="22"/>
          <w:lang w:val="es-419"/>
        </w:rPr>
        <w:t>de la Contralora</w:t>
      </w:r>
      <w:r w:rsidRPr="00E45F61">
        <w:rPr>
          <w:rFonts w:eastAsia="Arial"/>
          <w:szCs w:val="22"/>
          <w:lang w:val="es-419"/>
        </w:rPr>
        <w:t xml:space="preserve"> para mejorar las descripciones de los controles y conciliar los solapamientos.</w:t>
      </w:r>
    </w:p>
    <w:p w14:paraId="5B96A9D4" w14:textId="77777777" w:rsidR="0076292E" w:rsidRPr="00E45F61" w:rsidRDefault="00B7499E" w:rsidP="0076292E">
      <w:pPr>
        <w:pStyle w:val="ONUME"/>
        <w:tabs>
          <w:tab w:val="clear" w:pos="567"/>
          <w:tab w:val="num" w:pos="657"/>
        </w:tabs>
        <w:ind w:left="90"/>
        <w:rPr>
          <w:lang w:val="es-419"/>
        </w:rPr>
      </w:pPr>
      <w:r w:rsidRPr="00E45F61">
        <w:rPr>
          <w:rFonts w:eastAsia="Arial"/>
          <w:color w:val="000000"/>
          <w:szCs w:val="22"/>
          <w:lang w:val="es-419"/>
        </w:rPr>
        <w:t xml:space="preserve"> La DSI formuló</w:t>
      </w:r>
      <w:r w:rsidR="008D09ED" w:rsidRPr="00E45F61">
        <w:rPr>
          <w:rFonts w:eastAsia="Arial"/>
          <w:color w:val="000000"/>
          <w:szCs w:val="22"/>
          <w:lang w:val="es-419"/>
        </w:rPr>
        <w:t> 3</w:t>
      </w:r>
      <w:r w:rsidRPr="00E45F61">
        <w:rPr>
          <w:rFonts w:eastAsia="Arial"/>
          <w:color w:val="000000"/>
          <w:szCs w:val="22"/>
          <w:lang w:val="es-419"/>
        </w:rPr>
        <w:t>6 recomendaciones y cerró</w:t>
      </w:r>
      <w:r w:rsidR="008D09ED" w:rsidRPr="00E45F61">
        <w:rPr>
          <w:rFonts w:eastAsia="Arial"/>
          <w:color w:val="000000"/>
          <w:szCs w:val="22"/>
          <w:lang w:val="es-419"/>
        </w:rPr>
        <w:t> 6</w:t>
      </w:r>
      <w:r w:rsidRPr="00E45F61">
        <w:rPr>
          <w:rFonts w:eastAsia="Arial"/>
          <w:color w:val="000000"/>
          <w:szCs w:val="22"/>
          <w:lang w:val="es-419"/>
        </w:rPr>
        <w:t xml:space="preserve">6 </w:t>
      </w:r>
      <w:r w:rsidRPr="00E45F61">
        <w:rPr>
          <w:rFonts w:eastAsia="Arial"/>
          <w:szCs w:val="22"/>
          <w:lang w:val="es-419"/>
        </w:rPr>
        <w:t>durante el período examinado. A finales de 2024, había 30 recomendaciones abiertas. De ellas,</w:t>
      </w:r>
      <w:r w:rsidR="008D09ED" w:rsidRPr="00E45F61">
        <w:rPr>
          <w:rFonts w:eastAsia="Arial"/>
          <w:szCs w:val="22"/>
          <w:lang w:val="es-419"/>
        </w:rPr>
        <w:t> 2</w:t>
      </w:r>
      <w:r w:rsidRPr="00E45F61">
        <w:rPr>
          <w:rFonts w:eastAsia="Arial"/>
          <w:szCs w:val="22"/>
          <w:lang w:val="es-419"/>
        </w:rPr>
        <w:t>3 estaban relacionadas con las actividades de la DSI, seis hacían referencia a informes del auditor externo y una correspondía a un examen de una parte externa.</w:t>
      </w:r>
    </w:p>
    <w:p w14:paraId="3DFE1371" w14:textId="77777777" w:rsidR="0076292E" w:rsidRPr="00E45F61" w:rsidRDefault="00B7499E" w:rsidP="0076292E">
      <w:pPr>
        <w:pStyle w:val="ONUME"/>
        <w:tabs>
          <w:tab w:val="clear" w:pos="567"/>
          <w:tab w:val="num" w:pos="657"/>
        </w:tabs>
        <w:ind w:left="90"/>
        <w:rPr>
          <w:rFonts w:eastAsia="Arial"/>
          <w:color w:val="000000" w:themeColor="text1"/>
          <w:lang w:val="es-419"/>
        </w:rPr>
      </w:pPr>
      <w:bookmarkStart w:id="10" w:name="OLE_LINK1"/>
      <w:r w:rsidRPr="00E45F61">
        <w:rPr>
          <w:rFonts w:eastAsia="Arial"/>
          <w:szCs w:val="22"/>
          <w:lang w:val="es-419"/>
        </w:rPr>
        <w:t>En</w:t>
      </w:r>
      <w:bookmarkEnd w:id="10"/>
      <w:r w:rsidR="008D09ED" w:rsidRPr="00E45F61">
        <w:rPr>
          <w:rFonts w:eastAsia="Arial"/>
          <w:szCs w:val="22"/>
          <w:lang w:val="es-419"/>
        </w:rPr>
        <w:t> 2</w:t>
      </w:r>
      <w:r w:rsidRPr="00E45F61">
        <w:rPr>
          <w:rFonts w:eastAsia="Arial"/>
          <w:szCs w:val="22"/>
          <w:lang w:val="es-419"/>
        </w:rPr>
        <w:t>024, se prorrogaron</w:t>
      </w:r>
      <w:r w:rsidR="008D09ED" w:rsidRPr="00E45F61">
        <w:rPr>
          <w:rFonts w:eastAsia="Arial"/>
          <w:szCs w:val="22"/>
          <w:lang w:val="es-419"/>
        </w:rPr>
        <w:t> 1</w:t>
      </w:r>
      <w:r w:rsidRPr="00E45F61">
        <w:rPr>
          <w:rFonts w:eastAsia="Arial"/>
          <w:szCs w:val="22"/>
          <w:lang w:val="es-419"/>
        </w:rPr>
        <w:t>6 asuntos de investigación de</w:t>
      </w:r>
      <w:r w:rsidR="008D09ED" w:rsidRPr="00E45F61">
        <w:rPr>
          <w:rFonts w:eastAsia="Arial"/>
          <w:szCs w:val="22"/>
          <w:lang w:val="es-419"/>
        </w:rPr>
        <w:t> 2</w:t>
      </w:r>
      <w:r w:rsidRPr="00E45F61">
        <w:rPr>
          <w:rFonts w:eastAsia="Arial"/>
          <w:szCs w:val="22"/>
          <w:lang w:val="es-419"/>
        </w:rPr>
        <w:t>022 y</w:t>
      </w:r>
      <w:r w:rsidR="008D09ED" w:rsidRPr="00E45F61">
        <w:rPr>
          <w:rFonts w:eastAsia="Arial"/>
          <w:szCs w:val="22"/>
          <w:lang w:val="es-419"/>
        </w:rPr>
        <w:t> 2</w:t>
      </w:r>
      <w:r w:rsidRPr="00E45F61">
        <w:rPr>
          <w:rFonts w:eastAsia="Arial"/>
          <w:szCs w:val="22"/>
          <w:lang w:val="es-419"/>
        </w:rPr>
        <w:t xml:space="preserve">023, y en </w:t>
      </w:r>
      <w:r w:rsidR="008E5E87" w:rsidRPr="00E45F61">
        <w:rPr>
          <w:rFonts w:eastAsia="Arial"/>
          <w:szCs w:val="22"/>
          <w:lang w:val="es-419"/>
        </w:rPr>
        <w:t>ese</w:t>
      </w:r>
      <w:r w:rsidRPr="00E45F61">
        <w:rPr>
          <w:rFonts w:eastAsia="Arial"/>
          <w:szCs w:val="22"/>
          <w:lang w:val="es-419"/>
        </w:rPr>
        <w:t xml:space="preserve"> mismo año</w:t>
      </w:r>
      <w:r w:rsidR="008D09ED" w:rsidRPr="00E45F61">
        <w:rPr>
          <w:rFonts w:eastAsia="Arial"/>
          <w:szCs w:val="22"/>
          <w:lang w:val="es-419"/>
        </w:rPr>
        <w:t> 2</w:t>
      </w:r>
      <w:r w:rsidRPr="00E45F61">
        <w:rPr>
          <w:rFonts w:eastAsia="Arial"/>
          <w:szCs w:val="22"/>
          <w:lang w:val="es-419"/>
        </w:rPr>
        <w:t>024 uno se dividió en seis asuntos relacionados con seis temas. Se registraron</w:t>
      </w:r>
      <w:r w:rsidR="008D09ED" w:rsidRPr="00E45F61">
        <w:rPr>
          <w:rFonts w:eastAsia="Arial"/>
          <w:szCs w:val="22"/>
          <w:lang w:val="es-419"/>
        </w:rPr>
        <w:t> 4</w:t>
      </w:r>
      <w:r w:rsidRPr="00E45F61">
        <w:rPr>
          <w:rFonts w:eastAsia="Arial"/>
          <w:szCs w:val="22"/>
          <w:lang w:val="es-419"/>
        </w:rPr>
        <w:t>5 nuevas denuncias. Se abordaron</w:t>
      </w:r>
      <w:r w:rsidR="008D09ED" w:rsidRPr="00E45F61">
        <w:rPr>
          <w:rFonts w:eastAsia="Arial"/>
          <w:szCs w:val="22"/>
          <w:lang w:val="es-419"/>
        </w:rPr>
        <w:t> 6</w:t>
      </w:r>
      <w:r w:rsidRPr="00E45F61">
        <w:rPr>
          <w:rFonts w:eastAsia="Arial"/>
          <w:szCs w:val="22"/>
          <w:lang w:val="es-419"/>
        </w:rPr>
        <w:t>6 casos, se archivaron</w:t>
      </w:r>
      <w:r w:rsidR="008D09ED" w:rsidRPr="00E45F61">
        <w:rPr>
          <w:rFonts w:eastAsia="Arial"/>
          <w:szCs w:val="22"/>
          <w:lang w:val="es-419"/>
        </w:rPr>
        <w:t> 3</w:t>
      </w:r>
      <w:r w:rsidRPr="00E45F61">
        <w:rPr>
          <w:rFonts w:eastAsia="Arial"/>
          <w:szCs w:val="22"/>
          <w:lang w:val="es-419"/>
        </w:rPr>
        <w:t>8 denuncias tras una evaluación preliminar y se completaron</w:t>
      </w:r>
      <w:r w:rsidR="008D09ED" w:rsidRPr="00E45F61">
        <w:rPr>
          <w:rFonts w:eastAsia="Arial"/>
          <w:szCs w:val="22"/>
          <w:lang w:val="es-419"/>
        </w:rPr>
        <w:t> 1</w:t>
      </w:r>
      <w:r w:rsidRPr="00E45F61">
        <w:rPr>
          <w:rFonts w:eastAsia="Arial"/>
          <w:szCs w:val="22"/>
          <w:lang w:val="es-419"/>
        </w:rPr>
        <w:t>8 investigaciones. A</w:t>
      </w:r>
      <w:r w:rsidR="008D09ED" w:rsidRPr="00E45F61">
        <w:rPr>
          <w:rFonts w:eastAsia="Arial"/>
          <w:szCs w:val="22"/>
          <w:lang w:val="es-419"/>
        </w:rPr>
        <w:t> 3</w:t>
      </w:r>
      <w:r w:rsidRPr="00E45F61">
        <w:rPr>
          <w:rFonts w:eastAsia="Arial"/>
          <w:szCs w:val="22"/>
          <w:lang w:val="es-419"/>
        </w:rPr>
        <w:t>1 de diciembre de</w:t>
      </w:r>
      <w:r w:rsidR="008D09ED" w:rsidRPr="00E45F61">
        <w:rPr>
          <w:rFonts w:eastAsia="Arial"/>
          <w:szCs w:val="22"/>
          <w:lang w:val="es-419"/>
        </w:rPr>
        <w:t> 2</w:t>
      </w:r>
      <w:r w:rsidRPr="00E45F61">
        <w:rPr>
          <w:rFonts w:eastAsia="Arial"/>
          <w:szCs w:val="22"/>
          <w:lang w:val="es-419"/>
        </w:rPr>
        <w:t>024</w:t>
      </w:r>
      <w:r w:rsidR="008E5E87" w:rsidRPr="00E45F61">
        <w:rPr>
          <w:rFonts w:eastAsia="Arial"/>
          <w:szCs w:val="22"/>
          <w:lang w:val="es-419"/>
        </w:rPr>
        <w:t xml:space="preserve"> </w:t>
      </w:r>
      <w:r w:rsidRPr="00E45F61">
        <w:rPr>
          <w:rFonts w:eastAsia="Arial"/>
          <w:szCs w:val="22"/>
          <w:lang w:val="es-419"/>
        </w:rPr>
        <w:t>había</w:t>
      </w:r>
      <w:r w:rsidR="008D09ED" w:rsidRPr="00E45F61">
        <w:rPr>
          <w:rFonts w:eastAsia="Arial"/>
          <w:szCs w:val="22"/>
          <w:lang w:val="es-419"/>
        </w:rPr>
        <w:t> 1</w:t>
      </w:r>
      <w:r w:rsidRPr="00E45F61">
        <w:rPr>
          <w:rFonts w:eastAsia="Arial"/>
          <w:szCs w:val="22"/>
          <w:lang w:val="es-419"/>
        </w:rPr>
        <w:t xml:space="preserve">0 asuntos pendientes: seis de ellos se encontraban en fase de evaluación preliminar, tres en fase de investigación y uno en suspenso. </w:t>
      </w:r>
      <w:r w:rsidRPr="00E45F61">
        <w:rPr>
          <w:rFonts w:eastAsia="Arial"/>
          <w:color w:val="000000"/>
          <w:szCs w:val="22"/>
          <w:lang w:val="es-419"/>
        </w:rPr>
        <w:t>No se consideró que ninguno de estos asuntos tuviera repercusiones económicas importantes para la Organización.</w:t>
      </w:r>
    </w:p>
    <w:p w14:paraId="573C9F54" w14:textId="2243377F" w:rsidR="0076292E" w:rsidRPr="00E45F61" w:rsidRDefault="00B7499E" w:rsidP="0076292E">
      <w:pPr>
        <w:pStyle w:val="ONUME"/>
        <w:tabs>
          <w:tab w:val="clear" w:pos="567"/>
          <w:tab w:val="num" w:pos="657"/>
        </w:tabs>
        <w:ind w:left="90"/>
        <w:rPr>
          <w:rFonts w:eastAsia="Arial"/>
          <w:color w:val="000000" w:themeColor="text1"/>
          <w:lang w:val="es-419"/>
        </w:rPr>
      </w:pPr>
      <w:r w:rsidRPr="00E45F61">
        <w:rPr>
          <w:rFonts w:eastAsia="Arial"/>
          <w:color w:val="000000"/>
          <w:szCs w:val="22"/>
          <w:lang w:val="es-419"/>
        </w:rPr>
        <w:t xml:space="preserve">Después de cada actividad, la DSI solicitó comentarios a los colegas de las dependencias que se habían auditado o evaluado y cuyo rendimiento se había evaluado mediante encuestas de satisfacción a los clientes. A finales de 2024, el análisis consolidado de los resultados de las encuestas posteriores a la actividad indicó un grado de satisfacción del 87 %, y del 85 % en el caso de las encuestas enviadas al menos un año después de finalizar las actividades. Los comentarios adicionales ayudaron a alimentar el Programa de Aseguramiento y Mejoramiento de la Calidad de la DSI. </w:t>
      </w:r>
    </w:p>
    <w:p w14:paraId="4BB94C15" w14:textId="77777777" w:rsidR="0076292E" w:rsidRPr="00E45F61" w:rsidRDefault="00B7499E" w:rsidP="00E45F61">
      <w:pPr>
        <w:pStyle w:val="ONUME"/>
        <w:keepNext/>
        <w:keepLines/>
        <w:tabs>
          <w:tab w:val="clear" w:pos="567"/>
          <w:tab w:val="num" w:pos="657"/>
        </w:tabs>
        <w:ind w:left="90"/>
        <w:rPr>
          <w:rFonts w:eastAsia="Arial"/>
          <w:color w:val="000000" w:themeColor="text1"/>
          <w:lang w:val="es-419"/>
        </w:rPr>
      </w:pPr>
      <w:r w:rsidRPr="00E45F61">
        <w:rPr>
          <w:rFonts w:eastAsia="Arial"/>
          <w:color w:val="000000"/>
          <w:szCs w:val="22"/>
          <w:lang w:val="es-419"/>
        </w:rPr>
        <w:lastRenderedPageBreak/>
        <w:t>En 2025, la DSI seguirá contribuyendo al fortalecimiento de los cimientos del Edificio de la Estrategia de la Organización y a la consecución del PEMP mediante su labor de garantía, asesoramiento y aprendizaje, y mediante el apoyo a la rendición de cuentas, la justicia interna y la integridad.</w:t>
      </w:r>
    </w:p>
    <w:p w14:paraId="43D18E3E" w14:textId="77777777" w:rsidR="0076292E" w:rsidRPr="00E45F61" w:rsidRDefault="00B7499E" w:rsidP="0076292E">
      <w:pPr>
        <w:pStyle w:val="Heading1"/>
        <w:ind w:firstLine="90"/>
        <w:rPr>
          <w:caps w:val="0"/>
          <w:lang w:val="es-419"/>
        </w:rPr>
      </w:pPr>
      <w:bookmarkStart w:id="11" w:name="_Toc197337701"/>
      <w:r w:rsidRPr="00E45F61">
        <w:rPr>
          <w:rFonts w:eastAsia="Arial"/>
          <w:caps w:val="0"/>
          <w:szCs w:val="22"/>
          <w:lang w:val="es-419"/>
        </w:rPr>
        <w:t>ANTECEDENTES</w:t>
      </w:r>
      <w:bookmarkEnd w:id="7"/>
      <w:bookmarkEnd w:id="8"/>
      <w:bookmarkEnd w:id="11"/>
    </w:p>
    <w:p w14:paraId="594AB74A" w14:textId="07B4BB09"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de la OMPI tiene por cometido llevar a cabo una supervisión interna independiente y eficaz en la Organización, en sintonía con las disposiciones de la Carta de Supervisión Interna.</w:t>
      </w:r>
    </w:p>
    <w:p w14:paraId="226678C3"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Carta de Supervisión Interna establece</w:t>
      </w:r>
      <w:r w:rsidRPr="00E45F61">
        <w:rPr>
          <w:rStyle w:val="FootnoteReference"/>
          <w:lang w:val="es-419"/>
        </w:rPr>
        <w:footnoteReference w:id="2"/>
      </w:r>
      <w:r w:rsidRPr="00E45F61">
        <w:rPr>
          <w:rFonts w:eastAsia="Arial"/>
          <w:szCs w:val="22"/>
          <w:lang w:val="es-419"/>
        </w:rPr>
        <w:t xml:space="preserve"> que el director de la DSI presentará, una vez por año, una reseña a la Asamblea General de la OMPI, por conducto del Comité del Programa y Presupuesto (informe anual del director de la DSI). En el informe anual se examinarán de manera general las actividades de supervisión llevadas a cabo durante el ejercicio en examen, además del alcance y los objetivos de tales actividades, el trabajo ejecutado y los avances en la aplicación de las recomendaciones en materia de supervisión interna. </w:t>
      </w:r>
      <w:bookmarkStart w:id="12" w:name="_Toc420663566"/>
      <w:bookmarkStart w:id="13" w:name="_Toc328920434"/>
    </w:p>
    <w:p w14:paraId="50339360" w14:textId="77777777" w:rsidR="0076292E" w:rsidRPr="00E45F61" w:rsidRDefault="00B7499E" w:rsidP="00351FC3">
      <w:pPr>
        <w:pStyle w:val="ONUME"/>
        <w:tabs>
          <w:tab w:val="clear" w:pos="567"/>
          <w:tab w:val="num" w:pos="657"/>
        </w:tabs>
        <w:spacing w:after="480"/>
        <w:ind w:left="91"/>
        <w:rPr>
          <w:caps/>
          <w:kern w:val="32"/>
          <w:szCs w:val="32"/>
          <w:lang w:val="es-419"/>
        </w:rPr>
      </w:pPr>
      <w:r w:rsidRPr="00E45F61">
        <w:rPr>
          <w:rFonts w:eastAsia="Arial"/>
          <w:szCs w:val="22"/>
          <w:lang w:val="es-419"/>
        </w:rPr>
        <w:t>De conformidad con la Carta de Supervisión Interna, se facilitó al director general y a la Comisión Consultiva Independiente de Supervisión (CCIS) un borrador del informe anual para que formulasen comentarios. Se tuvieron en cuenta dichos comentarios a la hora de completar el informe.</w:t>
      </w:r>
    </w:p>
    <w:p w14:paraId="65A9AF1A" w14:textId="77777777" w:rsidR="0076292E" w:rsidRPr="00E45F61" w:rsidRDefault="00B7499E" w:rsidP="00351FC3">
      <w:pPr>
        <w:pStyle w:val="Heading1"/>
        <w:spacing w:before="0" w:after="120"/>
        <w:ind w:firstLine="91"/>
        <w:rPr>
          <w:lang w:val="es-419"/>
        </w:rPr>
      </w:pPr>
      <w:bookmarkStart w:id="14" w:name="_Toc39071245"/>
      <w:bookmarkStart w:id="15" w:name="_Toc197337702"/>
      <w:r w:rsidRPr="00E45F61">
        <w:rPr>
          <w:rFonts w:eastAsia="Arial"/>
          <w:szCs w:val="22"/>
          <w:lang w:val="es-419"/>
        </w:rPr>
        <w:t>ALGUNOS HECHOS DESTACADOS DE 2024</w:t>
      </w:r>
      <w:bookmarkEnd w:id="14"/>
      <w:bookmarkEnd w:id="15"/>
    </w:p>
    <w:p w14:paraId="39AF617F" w14:textId="0DAF291E"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OMPI tiene un modelo de negocio único, en el que la mayor parte de su financiación procede de las tasas. Por ello es necesario hacer especial hincapié en la eficiencia y la eficacia, a fin de ofrecer a los Estados miembros los resultados previstos sin buscar financiación adicional. A lo largo de</w:t>
      </w:r>
      <w:r w:rsidR="008D09ED" w:rsidRPr="00E45F61">
        <w:rPr>
          <w:rFonts w:eastAsia="Arial"/>
          <w:szCs w:val="22"/>
          <w:lang w:val="es-419"/>
        </w:rPr>
        <w:t> 2</w:t>
      </w:r>
      <w:r w:rsidRPr="00E45F61">
        <w:rPr>
          <w:rFonts w:eastAsia="Arial"/>
          <w:szCs w:val="22"/>
          <w:lang w:val="es-419"/>
        </w:rPr>
        <w:t>024, la DSI siguió contribuyendo y apoyando a la OMPI en el fortalecimiento de los controles, la rendición de cuentas, la transparencia y el aprendizaje a través de auditorías, evaluaciones, investigaciones y actividades de asesoramiento</w:t>
      </w:r>
      <w:r w:rsidR="00D524DA" w:rsidRPr="00E45F61">
        <w:rPr>
          <w:rFonts w:eastAsia="Arial"/>
          <w:szCs w:val="22"/>
          <w:lang w:val="es-419"/>
        </w:rPr>
        <w:t>.</w:t>
      </w:r>
      <w:r w:rsidR="008E5E87" w:rsidRPr="00E45F61">
        <w:rPr>
          <w:rStyle w:val="FootnoteReference"/>
          <w:lang w:val="es-419"/>
        </w:rPr>
        <w:footnoteReference w:id="3"/>
      </w:r>
    </w:p>
    <w:p w14:paraId="183C11F1" w14:textId="13C917AD" w:rsidR="0076292E" w:rsidRPr="00E45F61" w:rsidRDefault="00B7499E" w:rsidP="0076292E">
      <w:pPr>
        <w:pStyle w:val="ONUME"/>
        <w:tabs>
          <w:tab w:val="clear" w:pos="567"/>
          <w:tab w:val="num" w:pos="657"/>
        </w:tabs>
        <w:ind w:left="90"/>
        <w:rPr>
          <w:lang w:val="es-419"/>
        </w:rPr>
      </w:pPr>
      <w:r w:rsidRPr="00E45F61">
        <w:rPr>
          <w:rFonts w:eastAsia="Arial"/>
          <w:szCs w:val="22"/>
          <w:lang w:val="es-419"/>
        </w:rPr>
        <w:t>En julio de</w:t>
      </w:r>
      <w:r w:rsidR="008D09ED" w:rsidRPr="00E45F61">
        <w:rPr>
          <w:rFonts w:eastAsia="Arial"/>
          <w:szCs w:val="22"/>
          <w:lang w:val="es-419"/>
        </w:rPr>
        <w:t> 2</w:t>
      </w:r>
      <w:r w:rsidRPr="00E45F61">
        <w:rPr>
          <w:rFonts w:eastAsia="Arial"/>
          <w:szCs w:val="22"/>
          <w:lang w:val="es-419"/>
        </w:rPr>
        <w:t xml:space="preserve">024, la Asamblea General de la OMPI aprobó la Carta de Supervisión Interna actualizada siguiendo la recomendación del Comité del Programa y Presupuesto. Posteriormente, y de acuerdo con dicha Carta de Supervisión Interna se procedió a examinar y actualizar las Políticas y los Manuales de </w:t>
      </w:r>
      <w:r w:rsidR="008F60F1" w:rsidRPr="00E45F61">
        <w:rPr>
          <w:rFonts w:eastAsia="Arial"/>
          <w:szCs w:val="22"/>
          <w:lang w:val="es-419"/>
        </w:rPr>
        <w:t>A</w:t>
      </w:r>
      <w:r w:rsidRPr="00E45F61">
        <w:rPr>
          <w:rFonts w:eastAsia="Arial"/>
          <w:szCs w:val="22"/>
          <w:lang w:val="es-419"/>
        </w:rPr>
        <w:t xml:space="preserve">uditoría e </w:t>
      </w:r>
      <w:r w:rsidR="008F60F1" w:rsidRPr="00E45F61">
        <w:rPr>
          <w:rFonts w:eastAsia="Arial"/>
          <w:szCs w:val="22"/>
          <w:lang w:val="es-419"/>
        </w:rPr>
        <w:t>I</w:t>
      </w:r>
      <w:r w:rsidRPr="00E45F61">
        <w:rPr>
          <w:rFonts w:eastAsia="Arial"/>
          <w:szCs w:val="22"/>
          <w:lang w:val="es-419"/>
        </w:rPr>
        <w:t xml:space="preserve">nvestigación. Está previsto finalizar la actualización de la Política y el Manual de </w:t>
      </w:r>
      <w:r w:rsidR="008F60F1" w:rsidRPr="00E45F61">
        <w:rPr>
          <w:rFonts w:eastAsia="Arial"/>
          <w:szCs w:val="22"/>
          <w:lang w:val="es-419"/>
        </w:rPr>
        <w:t>E</w:t>
      </w:r>
      <w:r w:rsidRPr="00E45F61">
        <w:rPr>
          <w:rFonts w:eastAsia="Arial"/>
          <w:szCs w:val="22"/>
          <w:lang w:val="es-419"/>
        </w:rPr>
        <w:t>valuación en</w:t>
      </w:r>
      <w:r w:rsidR="008D09ED" w:rsidRPr="00E45F61">
        <w:rPr>
          <w:rFonts w:eastAsia="Arial"/>
          <w:szCs w:val="22"/>
          <w:lang w:val="es-419"/>
        </w:rPr>
        <w:t> 2</w:t>
      </w:r>
      <w:r w:rsidRPr="00E45F61">
        <w:rPr>
          <w:rFonts w:eastAsia="Arial"/>
          <w:szCs w:val="22"/>
          <w:lang w:val="es-419"/>
        </w:rPr>
        <w:t>025.</w:t>
      </w:r>
    </w:p>
    <w:p w14:paraId="538904FE" w14:textId="249E0F08"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completó satisfactoriamente su plan de trabajo de supervisión para</w:t>
      </w:r>
      <w:r w:rsidR="008D09ED" w:rsidRPr="00E45F61">
        <w:rPr>
          <w:rFonts w:eastAsia="Arial"/>
          <w:szCs w:val="22"/>
          <w:lang w:val="es-419"/>
        </w:rPr>
        <w:t> 2</w:t>
      </w:r>
      <w:r w:rsidRPr="00E45F61">
        <w:rPr>
          <w:rFonts w:eastAsia="Arial"/>
          <w:szCs w:val="22"/>
          <w:lang w:val="es-419"/>
        </w:rPr>
        <w:t>024, demostrando su firme compromiso con la excelencia y la rendición de cuentas. Todas las auditorías internas y las actividades de validación se llevaron a cabo en conformidad con el plan anual. Asimismo, todas las actividades de evaluación previa se realizaron satisfactoriamente. Solo se reprogramó para</w:t>
      </w:r>
      <w:r w:rsidR="008D09ED" w:rsidRPr="00E45F61">
        <w:rPr>
          <w:rFonts w:eastAsia="Arial"/>
          <w:szCs w:val="22"/>
          <w:lang w:val="es-419"/>
        </w:rPr>
        <w:t> 2</w:t>
      </w:r>
      <w:r w:rsidRPr="00E45F61">
        <w:rPr>
          <w:rFonts w:eastAsia="Arial"/>
          <w:szCs w:val="22"/>
          <w:lang w:val="es-419"/>
        </w:rPr>
        <w:t>025 la realización de una evaluación</w:t>
      </w:r>
      <w:r w:rsidR="00CC315A" w:rsidRPr="00E45F61">
        <w:rPr>
          <w:rFonts w:eastAsia="Arial"/>
          <w:szCs w:val="22"/>
          <w:lang w:val="es-419"/>
        </w:rPr>
        <w:t>,</w:t>
      </w:r>
      <w:r w:rsidR="00D40A12" w:rsidRPr="00E45F61">
        <w:rPr>
          <w:rStyle w:val="FootnoteReference"/>
          <w:lang w:val="es-419"/>
        </w:rPr>
        <w:footnoteReference w:id="4"/>
      </w:r>
      <w:r w:rsidRPr="00E45F61">
        <w:rPr>
          <w:rFonts w:eastAsia="Arial"/>
          <w:szCs w:val="22"/>
          <w:lang w:val="es-419"/>
        </w:rPr>
        <w:t xml:space="preserve"> cuya investigación documental se inició en</w:t>
      </w:r>
      <w:r w:rsidR="008D09ED" w:rsidRPr="00E45F61">
        <w:rPr>
          <w:rFonts w:eastAsia="Arial"/>
          <w:szCs w:val="22"/>
          <w:lang w:val="es-419"/>
        </w:rPr>
        <w:t> 2</w:t>
      </w:r>
      <w:r w:rsidRPr="00E45F61">
        <w:rPr>
          <w:rFonts w:eastAsia="Arial"/>
          <w:szCs w:val="22"/>
          <w:lang w:val="es-419"/>
        </w:rPr>
        <w:t>024.</w:t>
      </w:r>
    </w:p>
    <w:p w14:paraId="6E9CCD92" w14:textId="72ACA739" w:rsidR="00EF6D55" w:rsidRPr="00E45F61" w:rsidRDefault="00EF6D55" w:rsidP="00EF6D55">
      <w:pPr>
        <w:pStyle w:val="ONUME"/>
        <w:rPr>
          <w:lang w:val="es-419" w:eastAsia="en-US"/>
        </w:rPr>
      </w:pPr>
      <w:r w:rsidRPr="00E45F61">
        <w:rPr>
          <w:lang w:val="es-419" w:eastAsia="en-US"/>
        </w:rPr>
        <w:t xml:space="preserve">Las pruebas piloto de los controles esenciales realizadas por la DSI en 2024, seguidas de recomendaciones y de un posterior proceso consultivo con la Oficina de la Contralora, contribuyeron a reformular los controles. Esos esfuerzos permitieron reducir el número de </w:t>
      </w:r>
      <w:r w:rsidRPr="00E45F61">
        <w:rPr>
          <w:lang w:val="es-419" w:eastAsia="en-US"/>
        </w:rPr>
        <w:lastRenderedPageBreak/>
        <w:t>controles de 76 a 40, haciendo hincapié en los procesos y controles esenciales de la Organización y reforzando así el marco de controles internos de la OMPI.</w:t>
      </w:r>
    </w:p>
    <w:p w14:paraId="49BCA334" w14:textId="649835E8"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Gracias a la labor combinada de la DSI, la Oficina </w:t>
      </w:r>
      <w:r w:rsidR="009462A0" w:rsidRPr="00E45F61">
        <w:rPr>
          <w:rFonts w:eastAsia="Arial"/>
          <w:szCs w:val="22"/>
          <w:lang w:val="es-419"/>
        </w:rPr>
        <w:t xml:space="preserve">de la </w:t>
      </w:r>
      <w:r w:rsidR="00D524DA" w:rsidRPr="00E45F61">
        <w:rPr>
          <w:rFonts w:eastAsia="Arial"/>
          <w:szCs w:val="22"/>
          <w:lang w:val="es-419"/>
        </w:rPr>
        <w:t>Contralora</w:t>
      </w:r>
      <w:r w:rsidRPr="00E45F61">
        <w:rPr>
          <w:rFonts w:eastAsia="Arial"/>
          <w:szCs w:val="22"/>
          <w:lang w:val="es-419"/>
        </w:rPr>
        <w:t xml:space="preserve"> y los respectivos sectores de la OMPI</w:t>
      </w:r>
      <w:r w:rsidR="00EF6D55" w:rsidRPr="00E45F61">
        <w:rPr>
          <w:rFonts w:eastAsia="Arial"/>
          <w:szCs w:val="22"/>
          <w:lang w:val="es-419"/>
        </w:rPr>
        <w:t>,</w:t>
      </w:r>
      <w:r w:rsidRPr="00E45F61">
        <w:rPr>
          <w:rFonts w:eastAsia="Arial"/>
          <w:szCs w:val="22"/>
          <w:lang w:val="es-419"/>
        </w:rPr>
        <w:t xml:space="preserve"> el número de recomendaciones abiertas a 31 de diciembre de 2024 se redujo de manera significativa. En</w:t>
      </w:r>
      <w:r w:rsidR="008D09ED" w:rsidRPr="00E45F61">
        <w:rPr>
          <w:rFonts w:eastAsia="Arial"/>
          <w:szCs w:val="22"/>
          <w:lang w:val="es-419"/>
        </w:rPr>
        <w:t> 2</w:t>
      </w:r>
      <w:r w:rsidRPr="00E45F61">
        <w:rPr>
          <w:rFonts w:eastAsia="Arial"/>
          <w:szCs w:val="22"/>
          <w:lang w:val="es-419"/>
        </w:rPr>
        <w:t>024, se cerraron</w:t>
      </w:r>
      <w:r w:rsidR="008D09ED" w:rsidRPr="00E45F61">
        <w:rPr>
          <w:rFonts w:eastAsia="Arial"/>
          <w:szCs w:val="22"/>
          <w:lang w:val="es-419"/>
        </w:rPr>
        <w:t> 6</w:t>
      </w:r>
      <w:r w:rsidRPr="00E45F61">
        <w:rPr>
          <w:rFonts w:eastAsia="Arial"/>
          <w:szCs w:val="22"/>
          <w:lang w:val="es-419"/>
        </w:rPr>
        <w:t>6 recomendaciones derivadas de la supervisión. A finales de año había</w:t>
      </w:r>
      <w:r w:rsidR="008D09ED" w:rsidRPr="00E45F61">
        <w:rPr>
          <w:rFonts w:eastAsia="Arial"/>
          <w:szCs w:val="22"/>
          <w:lang w:val="es-419"/>
        </w:rPr>
        <w:t> 3</w:t>
      </w:r>
      <w:r w:rsidRPr="00E45F61">
        <w:rPr>
          <w:rFonts w:eastAsia="Arial"/>
          <w:szCs w:val="22"/>
          <w:lang w:val="es-419"/>
        </w:rPr>
        <w:t>0 recomendaciones abiertas, seis de ellas del auditor externo.</w:t>
      </w:r>
    </w:p>
    <w:p w14:paraId="64CDCC98" w14:textId="47AB8541" w:rsidR="0076292E" w:rsidRPr="00E45F61" w:rsidRDefault="00B7499E" w:rsidP="0076292E">
      <w:pPr>
        <w:pStyle w:val="ONUME"/>
        <w:tabs>
          <w:tab w:val="clear" w:pos="567"/>
          <w:tab w:val="num" w:pos="657"/>
        </w:tabs>
        <w:ind w:left="90"/>
        <w:rPr>
          <w:lang w:val="es-419"/>
        </w:rPr>
      </w:pPr>
      <w:r w:rsidRPr="00E45F61">
        <w:rPr>
          <w:rFonts w:eastAsia="Arial"/>
          <w:szCs w:val="22"/>
          <w:lang w:val="es-419"/>
        </w:rPr>
        <w:t>Aunque en</w:t>
      </w:r>
      <w:r w:rsidR="008D09ED" w:rsidRPr="00E45F61">
        <w:rPr>
          <w:rFonts w:eastAsia="Arial"/>
          <w:szCs w:val="22"/>
          <w:lang w:val="es-419"/>
        </w:rPr>
        <w:t> 2</w:t>
      </w:r>
      <w:r w:rsidRPr="00E45F61">
        <w:rPr>
          <w:rFonts w:eastAsia="Arial"/>
          <w:szCs w:val="22"/>
          <w:lang w:val="es-419"/>
        </w:rPr>
        <w:t xml:space="preserve">024 no se realizaron evaluaciones, los exámenes de evaluación previa de cinco programas permitieron </w:t>
      </w:r>
      <w:r w:rsidR="00EF6D55" w:rsidRPr="00E45F61">
        <w:rPr>
          <w:rFonts w:eastAsia="Arial"/>
          <w:szCs w:val="22"/>
          <w:lang w:val="es-419"/>
        </w:rPr>
        <w:t xml:space="preserve">que la DSI </w:t>
      </w:r>
      <w:r w:rsidRPr="00E45F61">
        <w:rPr>
          <w:rFonts w:eastAsia="Arial"/>
          <w:szCs w:val="22"/>
          <w:lang w:val="es-419"/>
        </w:rPr>
        <w:t>conoc</w:t>
      </w:r>
      <w:r w:rsidR="00EF6D55" w:rsidRPr="00E45F61">
        <w:rPr>
          <w:rFonts w:eastAsia="Arial"/>
          <w:szCs w:val="22"/>
          <w:lang w:val="es-419"/>
        </w:rPr>
        <w:t>iera</w:t>
      </w:r>
      <w:r w:rsidRPr="00E45F61">
        <w:rPr>
          <w:rFonts w:eastAsia="Arial"/>
          <w:szCs w:val="22"/>
          <w:lang w:val="es-419"/>
        </w:rPr>
        <w:t xml:space="preserve"> mejor las actividades </w:t>
      </w:r>
      <w:r w:rsidR="00EF6D55" w:rsidRPr="00E45F61">
        <w:rPr>
          <w:rFonts w:eastAsia="Arial"/>
          <w:szCs w:val="22"/>
          <w:lang w:val="es-419"/>
        </w:rPr>
        <w:t>correspondientes</w:t>
      </w:r>
      <w:r w:rsidRPr="00E45F61">
        <w:rPr>
          <w:rFonts w:eastAsia="Arial"/>
          <w:szCs w:val="22"/>
          <w:lang w:val="es-419"/>
        </w:rPr>
        <w:t>. Los exámenes sentaron las bases para futuras evaluaciones temáticas e identificaron inmediatamente medidas prácticas para mejorar los efectos de los programas y su futura evaluabilidad.</w:t>
      </w:r>
    </w:p>
    <w:p w14:paraId="462EC0BB" w14:textId="408A2481"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reforzó su proceso de admisión en colaboración con el sistema de justicia interna, incluidos los supervisores directos, protegiendo al mismo tiempo los derechos de los denunciantes, tal como se prevé en el marco de investigación. En consecuencia, varios asuntos se remitieron a la Organización y se abordaron satisfactoriamente sin dar lugar a una investigación formal. En</w:t>
      </w:r>
      <w:r w:rsidR="008D09ED" w:rsidRPr="00E45F61">
        <w:rPr>
          <w:rFonts w:eastAsia="Arial"/>
          <w:szCs w:val="22"/>
          <w:lang w:val="es-419"/>
        </w:rPr>
        <w:t> 2</w:t>
      </w:r>
      <w:r w:rsidRPr="00E45F61">
        <w:rPr>
          <w:rFonts w:eastAsia="Arial"/>
          <w:szCs w:val="22"/>
          <w:lang w:val="es-419"/>
        </w:rPr>
        <w:t>024 se redujo considerablemente el plazo de tratamiento de los casos abiertos, a una media inferior a dos meses.</w:t>
      </w:r>
    </w:p>
    <w:p w14:paraId="0AA493CA" w14:textId="0EA7513E"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En el futuro, la DSI seguirá desempeñando su labor de apoyo a la aplicación continua del PEMP a través de las actividades pertinentes en 2025.</w:t>
      </w:r>
    </w:p>
    <w:p w14:paraId="66C6554B" w14:textId="77777777" w:rsidR="0076292E" w:rsidRPr="00E45F61" w:rsidRDefault="00B7499E" w:rsidP="00351FC3">
      <w:pPr>
        <w:pStyle w:val="Heading1"/>
        <w:spacing w:before="0" w:after="120"/>
        <w:ind w:firstLine="91"/>
        <w:rPr>
          <w:lang w:val="es-419"/>
        </w:rPr>
      </w:pPr>
      <w:bookmarkStart w:id="16" w:name="_Toc39071246"/>
      <w:bookmarkStart w:id="17" w:name="_Toc197337703"/>
      <w:r w:rsidRPr="00E45F61">
        <w:rPr>
          <w:rFonts w:eastAsia="Arial"/>
          <w:szCs w:val="22"/>
          <w:lang w:val="es-419"/>
        </w:rPr>
        <w:t>PRINCIPIOS DE PLANIFICACIÓN</w:t>
      </w:r>
      <w:bookmarkEnd w:id="12"/>
      <w:bookmarkEnd w:id="13"/>
      <w:bookmarkEnd w:id="16"/>
      <w:bookmarkEnd w:id="17"/>
    </w:p>
    <w:p w14:paraId="61C2FED4"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Al elaborar su plan de trabajo de supervisión interna para 2024, la DSI tuvo en cuenta varios factores, entre ellos, las calificaciones de riesgo, la pertinencia, el análisis de las perspectivas, el ciclo de supervisión y los comentarios formulados por la dirección y por los Estados miembros. De acuerdo con el apartado</w:t>
      </w:r>
      <w:r w:rsidR="008D09ED" w:rsidRPr="00E45F61">
        <w:rPr>
          <w:rFonts w:eastAsia="Arial"/>
          <w:szCs w:val="22"/>
          <w:lang w:val="es-419"/>
        </w:rPr>
        <w:t> 3</w:t>
      </w:r>
      <w:r w:rsidRPr="00E45F61">
        <w:rPr>
          <w:rFonts w:eastAsia="Arial"/>
          <w:szCs w:val="22"/>
          <w:lang w:val="es-419"/>
        </w:rPr>
        <w:t>0.a) de la Carta de Supervisión Interna, antes de su finalización, la CCIS revisó el borrador y dio su asesoramiento sobre el mismo.</w:t>
      </w:r>
    </w:p>
    <w:p w14:paraId="10B6EA07" w14:textId="77777777"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Con el fin de que la supervisión tenga un alcance que asegure su eficacia, y, al mismo tiempo, asegurando utilizar con eficiencia los limitados recursos y evitar posibles duplicaciones del trabajo, la DSI tuvo en cuenta la labor llevada a cabo por el auditor externo y otros órganos de supervisión, como la Dependencia Común de Inspección, y las evaluaciones encomendadas por el Comité de Desarrollo y Propiedad Intelectual.</w:t>
      </w:r>
    </w:p>
    <w:p w14:paraId="543CCE4E" w14:textId="77777777" w:rsidR="0076292E" w:rsidRPr="00E45F61" w:rsidRDefault="00B7499E" w:rsidP="00351FC3">
      <w:pPr>
        <w:pStyle w:val="Heading1"/>
        <w:spacing w:before="0" w:after="120"/>
        <w:ind w:firstLine="91"/>
        <w:rPr>
          <w:lang w:val="es-419"/>
        </w:rPr>
      </w:pPr>
      <w:bookmarkStart w:id="18" w:name="_Toc420663567"/>
      <w:bookmarkStart w:id="19" w:name="_Toc39071247"/>
      <w:bookmarkStart w:id="20" w:name="_Toc197337704"/>
      <w:r w:rsidRPr="00E45F61">
        <w:rPr>
          <w:rFonts w:eastAsia="Arial"/>
          <w:szCs w:val="22"/>
          <w:lang w:val="es-419"/>
        </w:rPr>
        <w:t>NORMAS PROFESIONALES</w:t>
      </w:r>
      <w:bookmarkEnd w:id="18"/>
      <w:bookmarkEnd w:id="19"/>
      <w:bookmarkEnd w:id="20"/>
    </w:p>
    <w:p w14:paraId="3BC37648" w14:textId="7140F47F"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La DSI llevó a cabo sus actividades de auditoría de conformidad con las Normas </w:t>
      </w:r>
      <w:r w:rsidR="00CD55ED" w:rsidRPr="00E45F61">
        <w:rPr>
          <w:rFonts w:eastAsia="Arial"/>
          <w:szCs w:val="22"/>
          <w:lang w:val="es-419"/>
        </w:rPr>
        <w:t>Globales</w:t>
      </w:r>
      <w:r w:rsidRPr="00E45F61">
        <w:rPr>
          <w:rFonts w:eastAsia="Arial"/>
          <w:szCs w:val="22"/>
          <w:lang w:val="es-419"/>
        </w:rPr>
        <w:t xml:space="preserve"> de </w:t>
      </w:r>
      <w:r w:rsidR="00CD55ED" w:rsidRPr="00E45F61">
        <w:rPr>
          <w:rFonts w:eastAsia="Arial"/>
          <w:szCs w:val="22"/>
          <w:lang w:val="es-419"/>
        </w:rPr>
        <w:t>A</w:t>
      </w:r>
      <w:r w:rsidRPr="00E45F61">
        <w:rPr>
          <w:rFonts w:eastAsia="Arial"/>
          <w:szCs w:val="22"/>
          <w:lang w:val="es-419"/>
        </w:rPr>
        <w:t xml:space="preserve">uditoría </w:t>
      </w:r>
      <w:r w:rsidR="00CD55ED" w:rsidRPr="00E45F61">
        <w:rPr>
          <w:rFonts w:eastAsia="Arial"/>
          <w:szCs w:val="22"/>
          <w:lang w:val="es-419"/>
        </w:rPr>
        <w:t>I</w:t>
      </w:r>
      <w:r w:rsidRPr="00E45F61">
        <w:rPr>
          <w:rFonts w:eastAsia="Arial"/>
          <w:szCs w:val="22"/>
          <w:lang w:val="es-419"/>
        </w:rPr>
        <w:t>nterna publicadas por el Instituto de Auditores Internos (IIA) el</w:t>
      </w:r>
      <w:r w:rsidR="008D09ED" w:rsidRPr="00E45F61">
        <w:rPr>
          <w:rFonts w:eastAsia="Arial"/>
          <w:szCs w:val="22"/>
          <w:lang w:val="es-419"/>
        </w:rPr>
        <w:t> 9</w:t>
      </w:r>
      <w:r w:rsidRPr="00E45F61">
        <w:rPr>
          <w:rFonts w:eastAsia="Arial"/>
          <w:szCs w:val="22"/>
          <w:lang w:val="es-419"/>
        </w:rPr>
        <w:t xml:space="preserve"> de enero de</w:t>
      </w:r>
      <w:r w:rsidR="008D09ED" w:rsidRPr="00E45F61">
        <w:rPr>
          <w:rFonts w:eastAsia="Arial"/>
          <w:szCs w:val="22"/>
          <w:lang w:val="es-419"/>
        </w:rPr>
        <w:t> 2</w:t>
      </w:r>
      <w:r w:rsidRPr="00E45F61">
        <w:rPr>
          <w:rFonts w:eastAsia="Arial"/>
          <w:szCs w:val="22"/>
          <w:lang w:val="es-419"/>
        </w:rPr>
        <w:t>024, que adoptó antes de la fecha de entrada en vigor obligatoria, que era el</w:t>
      </w:r>
      <w:r w:rsidR="008D09ED" w:rsidRPr="00E45F61">
        <w:rPr>
          <w:rFonts w:eastAsia="Arial"/>
          <w:szCs w:val="22"/>
          <w:lang w:val="es-419"/>
        </w:rPr>
        <w:t> 9</w:t>
      </w:r>
      <w:r w:rsidRPr="00E45F61">
        <w:rPr>
          <w:rFonts w:eastAsia="Arial"/>
          <w:szCs w:val="22"/>
          <w:lang w:val="es-419"/>
        </w:rPr>
        <w:t xml:space="preserve"> de enero de</w:t>
      </w:r>
      <w:r w:rsidR="008D09ED" w:rsidRPr="00E45F61">
        <w:rPr>
          <w:rFonts w:eastAsia="Arial"/>
          <w:szCs w:val="22"/>
          <w:lang w:val="es-419"/>
        </w:rPr>
        <w:t> 2</w:t>
      </w:r>
      <w:r w:rsidRPr="00E45F61">
        <w:rPr>
          <w:rFonts w:eastAsia="Arial"/>
          <w:szCs w:val="22"/>
          <w:lang w:val="es-419"/>
        </w:rPr>
        <w:t>025.</w:t>
      </w:r>
    </w:p>
    <w:p w14:paraId="549D69DE"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Las actividades de evaluación y otras actividades relacionadas se llevaron a cabo en conformidad con las normas internacionales para la realización de evaluaciones que ha establecido el Grupo de Evaluación de las Naciones Unidas (UNEG).</w:t>
      </w:r>
    </w:p>
    <w:p w14:paraId="35F34EF4" w14:textId="77777777"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La labor de investigación se llevó a cabo de conformidad con los Principios y Directrices Uniformes para las Investigaciones adoptados por la Conferencia de Investigadores Internacionales (CII).</w:t>
      </w:r>
    </w:p>
    <w:p w14:paraId="5228B04B" w14:textId="77777777" w:rsidR="0076292E" w:rsidRPr="00E45F61" w:rsidRDefault="00B7499E" w:rsidP="00351FC3">
      <w:pPr>
        <w:pStyle w:val="Heading1"/>
        <w:spacing w:before="0" w:after="120"/>
        <w:ind w:left="91"/>
        <w:rPr>
          <w:lang w:val="es-419"/>
        </w:rPr>
      </w:pPr>
      <w:bookmarkStart w:id="21" w:name="_Toc420663568"/>
      <w:bookmarkStart w:id="22" w:name="_Toc39071248"/>
      <w:bookmarkStart w:id="23" w:name="_Toc197337705"/>
      <w:r w:rsidRPr="00E45F61">
        <w:rPr>
          <w:rFonts w:eastAsia="Arial"/>
          <w:szCs w:val="22"/>
          <w:lang w:val="es-419"/>
        </w:rPr>
        <w:lastRenderedPageBreak/>
        <w:t>ACTIVIDADES CON RECOMENDACIONES DE ALTA PRIORIDAD DERIVADAS DE LA SUPERVISIÓN</w:t>
      </w:r>
      <w:bookmarkEnd w:id="21"/>
      <w:bookmarkEnd w:id="22"/>
      <w:bookmarkEnd w:id="23"/>
    </w:p>
    <w:p w14:paraId="7E001C49" w14:textId="2A074395"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Durante el ejercicio en examen, cinco actividades dieron lugar a cinco recomendaciones de alta prioridad acordadas con la dirección y que son objeto de un seguimiento periódico por parte de la DSI. En las siguientes secciones de este informe se destacan estas recomendaciones bajo cada actividad pertinente.</w:t>
      </w:r>
    </w:p>
    <w:p w14:paraId="654A2410" w14:textId="77777777" w:rsidR="0076292E" w:rsidRPr="00E45F61" w:rsidRDefault="00B7499E" w:rsidP="00351FC3">
      <w:pPr>
        <w:pStyle w:val="Heading1"/>
        <w:spacing w:before="0" w:after="240"/>
        <w:ind w:firstLine="91"/>
        <w:rPr>
          <w:lang w:val="es-419"/>
        </w:rPr>
      </w:pPr>
      <w:bookmarkStart w:id="24" w:name="_Toc197337706"/>
      <w:r w:rsidRPr="00E45F61">
        <w:rPr>
          <w:rFonts w:eastAsia="Arial"/>
          <w:szCs w:val="22"/>
          <w:lang w:val="es-419"/>
        </w:rPr>
        <w:t>ACTIVIDADES INICIADAS EN 2023 Y COMUNICADAS EN 2024</w:t>
      </w:r>
      <w:bookmarkEnd w:id="24"/>
    </w:p>
    <w:p w14:paraId="68566A47" w14:textId="77777777" w:rsidR="0076292E" w:rsidRPr="00E45F61" w:rsidRDefault="00B7499E" w:rsidP="00351FC3">
      <w:pPr>
        <w:pStyle w:val="Heading2"/>
        <w:spacing w:before="0" w:after="120"/>
        <w:ind w:firstLine="91"/>
        <w:rPr>
          <w:lang w:val="es-419"/>
        </w:rPr>
      </w:pPr>
      <w:r w:rsidRPr="00E45F61">
        <w:rPr>
          <w:rFonts w:eastAsia="Arial"/>
          <w:szCs w:val="22"/>
          <w:lang w:val="es-419"/>
        </w:rPr>
        <w:t>Auditoría de la GESTIÓN DE LA NUBE (IA</w:t>
      </w:r>
      <w:r w:rsidR="008D09ED" w:rsidRPr="00E45F61">
        <w:rPr>
          <w:rFonts w:eastAsia="Arial"/>
          <w:szCs w:val="22"/>
          <w:lang w:val="es-419"/>
        </w:rPr>
        <w:t> 2</w:t>
      </w:r>
      <w:r w:rsidRPr="00E45F61">
        <w:rPr>
          <w:rFonts w:eastAsia="Arial"/>
          <w:szCs w:val="22"/>
          <w:lang w:val="es-419"/>
        </w:rPr>
        <w:t>023-02)</w:t>
      </w:r>
    </w:p>
    <w:p w14:paraId="56381848" w14:textId="5D068B1E"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La auditoría se realizó entre agosto y diciembre de</w:t>
      </w:r>
      <w:r w:rsidR="008D09ED" w:rsidRPr="00E45F61">
        <w:rPr>
          <w:rFonts w:eastAsia="Arial"/>
          <w:szCs w:val="22"/>
          <w:lang w:val="es-419"/>
        </w:rPr>
        <w:t> 2</w:t>
      </w:r>
      <w:r w:rsidRPr="00E45F61">
        <w:rPr>
          <w:rFonts w:eastAsia="Arial"/>
          <w:szCs w:val="22"/>
          <w:lang w:val="es-419"/>
        </w:rPr>
        <w:t>023, y el informe de la misma se publicó el</w:t>
      </w:r>
      <w:r w:rsidR="008D09ED" w:rsidRPr="00E45F61">
        <w:rPr>
          <w:rFonts w:eastAsia="Arial"/>
          <w:szCs w:val="22"/>
          <w:lang w:val="es-419"/>
        </w:rPr>
        <w:t> 3</w:t>
      </w:r>
      <w:r w:rsidRPr="00E45F61">
        <w:rPr>
          <w:rFonts w:eastAsia="Arial"/>
          <w:szCs w:val="22"/>
          <w:lang w:val="es-419"/>
        </w:rPr>
        <w:t>1 de enero de</w:t>
      </w:r>
      <w:r w:rsidR="008D09ED" w:rsidRPr="00E45F61">
        <w:rPr>
          <w:rFonts w:eastAsia="Arial"/>
          <w:szCs w:val="22"/>
          <w:lang w:val="es-419"/>
        </w:rPr>
        <w:t> 2</w:t>
      </w:r>
      <w:r w:rsidRPr="00E45F61">
        <w:rPr>
          <w:rFonts w:eastAsia="Arial"/>
          <w:szCs w:val="22"/>
          <w:lang w:val="es-419"/>
        </w:rPr>
        <w:t xml:space="preserve">024. Se concluyó que </w:t>
      </w:r>
      <w:r w:rsidR="00313E01" w:rsidRPr="00E45F61">
        <w:rPr>
          <w:rFonts w:eastAsia="Arial"/>
          <w:szCs w:val="22"/>
          <w:lang w:val="es-419"/>
        </w:rPr>
        <w:t>el desempeño</w:t>
      </w:r>
      <w:r w:rsidRPr="00E45F61">
        <w:rPr>
          <w:rFonts w:eastAsia="Arial"/>
          <w:szCs w:val="22"/>
          <w:lang w:val="es-419"/>
        </w:rPr>
        <w:t xml:space="preserve"> era, en general, </w:t>
      </w:r>
      <w:r w:rsidR="008D09ED" w:rsidRPr="00E45F61">
        <w:rPr>
          <w:rFonts w:eastAsia="Arial"/>
          <w:szCs w:val="22"/>
          <w:lang w:val="es-419"/>
        </w:rPr>
        <w:t>“</w:t>
      </w:r>
      <w:r w:rsidRPr="00E45F61">
        <w:rPr>
          <w:rFonts w:eastAsia="Arial"/>
          <w:szCs w:val="22"/>
          <w:lang w:val="es-419"/>
        </w:rPr>
        <w:t>satisfactori</w:t>
      </w:r>
      <w:r w:rsidR="00313E01" w:rsidRPr="00E45F61">
        <w:rPr>
          <w:rFonts w:eastAsia="Arial"/>
          <w:szCs w:val="22"/>
          <w:lang w:val="es-419"/>
        </w:rPr>
        <w:t>o</w:t>
      </w:r>
      <w:r w:rsidR="008D09ED" w:rsidRPr="00E45F61">
        <w:rPr>
          <w:rFonts w:eastAsia="Arial"/>
          <w:szCs w:val="22"/>
          <w:lang w:val="es-419"/>
        </w:rPr>
        <w:t>”</w:t>
      </w:r>
      <w:r w:rsidRPr="00E45F61">
        <w:rPr>
          <w:rFonts w:eastAsia="Arial"/>
          <w:szCs w:val="22"/>
          <w:lang w:val="es-419"/>
        </w:rPr>
        <w:t>. En el Informe Anual de</w:t>
      </w:r>
      <w:r w:rsidR="008D09ED" w:rsidRPr="00E45F61">
        <w:rPr>
          <w:rFonts w:eastAsia="Arial"/>
          <w:szCs w:val="22"/>
          <w:lang w:val="es-419"/>
        </w:rPr>
        <w:t> 2</w:t>
      </w:r>
      <w:r w:rsidRPr="00E45F61">
        <w:rPr>
          <w:rFonts w:eastAsia="Arial"/>
          <w:szCs w:val="22"/>
          <w:lang w:val="es-419"/>
        </w:rPr>
        <w:t xml:space="preserve">023, el </w:t>
      </w:r>
      <w:r w:rsidR="006342D4" w:rsidRPr="00E45F61">
        <w:rPr>
          <w:rFonts w:eastAsia="Arial"/>
          <w:szCs w:val="22"/>
          <w:lang w:val="es-419"/>
        </w:rPr>
        <w:t>d</w:t>
      </w:r>
      <w:r w:rsidRPr="00E45F61">
        <w:rPr>
          <w:rFonts w:eastAsia="Arial"/>
          <w:szCs w:val="22"/>
          <w:lang w:val="es-419"/>
        </w:rPr>
        <w:t>irector de la DSI informó de los pormenores de la actividad.</w:t>
      </w:r>
    </w:p>
    <w:p w14:paraId="410870FA" w14:textId="77777777" w:rsidR="0076292E" w:rsidRPr="00E45F61" w:rsidRDefault="00B7499E" w:rsidP="00351FC3">
      <w:pPr>
        <w:pStyle w:val="Heading2"/>
        <w:spacing w:before="0" w:after="120"/>
        <w:ind w:left="91"/>
        <w:rPr>
          <w:lang w:val="es-419"/>
        </w:rPr>
      </w:pPr>
      <w:r w:rsidRPr="00E45F61">
        <w:rPr>
          <w:rFonts w:eastAsia="Arial"/>
          <w:szCs w:val="22"/>
          <w:lang w:val="es-419"/>
        </w:rPr>
        <w:t>AUDITORÍA Y EVALUACIÓN DE LAS OPERACIONES DEL PCT Y SUS RELACIONES CON LOS CLIENTES, PARTE II: VERIFICACIÓN DE LA CULTURA DE ATENCIÓN AL CLIENTE DEL PCT (EVAL</w:t>
      </w:r>
      <w:r w:rsidR="008D09ED" w:rsidRPr="00E45F61">
        <w:rPr>
          <w:rFonts w:eastAsia="Arial"/>
          <w:szCs w:val="22"/>
          <w:lang w:val="es-419"/>
        </w:rPr>
        <w:t> 2</w:t>
      </w:r>
      <w:r w:rsidRPr="00E45F61">
        <w:rPr>
          <w:rFonts w:eastAsia="Arial"/>
          <w:szCs w:val="22"/>
          <w:lang w:val="es-419"/>
        </w:rPr>
        <w:t>022-05)</w:t>
      </w:r>
    </w:p>
    <w:p w14:paraId="7BE2F318" w14:textId="40447B04" w:rsidR="0076292E" w:rsidRPr="00E45F61" w:rsidRDefault="00B7499E" w:rsidP="0076292E">
      <w:pPr>
        <w:pStyle w:val="ONUME"/>
        <w:tabs>
          <w:tab w:val="clear" w:pos="567"/>
          <w:tab w:val="num" w:pos="657"/>
        </w:tabs>
        <w:ind w:left="90"/>
        <w:rPr>
          <w:lang w:val="es-419"/>
        </w:rPr>
      </w:pPr>
      <w:r w:rsidRPr="00E45F61">
        <w:rPr>
          <w:rFonts w:eastAsia="Arial"/>
          <w:szCs w:val="22"/>
          <w:lang w:val="es-419"/>
        </w:rPr>
        <w:t>Esta actividad se trasladó del plan de trabajo de supervisión de</w:t>
      </w:r>
      <w:r w:rsidR="008D09ED" w:rsidRPr="00E45F61">
        <w:rPr>
          <w:rFonts w:eastAsia="Arial"/>
          <w:szCs w:val="22"/>
          <w:lang w:val="es-419"/>
        </w:rPr>
        <w:t> 2</w:t>
      </w:r>
      <w:r w:rsidRPr="00E45F61">
        <w:rPr>
          <w:rFonts w:eastAsia="Arial"/>
          <w:szCs w:val="22"/>
          <w:lang w:val="es-419"/>
        </w:rPr>
        <w:t xml:space="preserve">022. Se trataba de la segunda parte de la actividad combinada </w:t>
      </w:r>
      <w:r w:rsidR="008D09ED" w:rsidRPr="00E45F61">
        <w:rPr>
          <w:rFonts w:eastAsia="Arial"/>
          <w:szCs w:val="22"/>
          <w:lang w:val="es-419"/>
        </w:rPr>
        <w:t>“</w:t>
      </w:r>
      <w:r w:rsidRPr="00E45F61">
        <w:rPr>
          <w:rFonts w:eastAsia="Arial"/>
          <w:szCs w:val="22"/>
          <w:lang w:val="es-419"/>
        </w:rPr>
        <w:t>Auditoría y evaluación de las operaciones del PCT y sus relaciones con los clientes</w:t>
      </w:r>
      <w:r w:rsidR="008D09ED" w:rsidRPr="00E45F61">
        <w:rPr>
          <w:rFonts w:eastAsia="Arial"/>
          <w:szCs w:val="22"/>
          <w:lang w:val="es-419"/>
        </w:rPr>
        <w:t>”</w:t>
      </w:r>
      <w:r w:rsidRPr="00E45F61">
        <w:rPr>
          <w:rFonts w:eastAsia="Arial"/>
          <w:szCs w:val="22"/>
          <w:lang w:val="es-419"/>
        </w:rPr>
        <w:t>. El primer informe, centrado en los resultados de las auditorías, se publicó en abril de</w:t>
      </w:r>
      <w:r w:rsidR="008D09ED" w:rsidRPr="00E45F61">
        <w:rPr>
          <w:rFonts w:eastAsia="Arial"/>
          <w:szCs w:val="22"/>
          <w:lang w:val="es-419"/>
        </w:rPr>
        <w:t> 2</w:t>
      </w:r>
      <w:r w:rsidRPr="00E45F61">
        <w:rPr>
          <w:rFonts w:eastAsia="Arial"/>
          <w:szCs w:val="22"/>
          <w:lang w:val="es-419"/>
        </w:rPr>
        <w:t>023</w:t>
      </w:r>
      <w:r w:rsidRPr="00E45F61">
        <w:rPr>
          <w:rStyle w:val="FootnoteReference"/>
          <w:lang w:val="es-419"/>
        </w:rPr>
        <w:footnoteReference w:id="5"/>
      </w:r>
      <w:r w:rsidRPr="00E45F61">
        <w:rPr>
          <w:rFonts w:eastAsia="Arial"/>
          <w:szCs w:val="22"/>
          <w:lang w:val="es-419"/>
        </w:rPr>
        <w:t>. Debido a algunas restricciones, la evaluación comenzó en enero de</w:t>
      </w:r>
      <w:r w:rsidR="008D09ED" w:rsidRPr="00E45F61">
        <w:rPr>
          <w:rFonts w:eastAsia="Arial"/>
          <w:szCs w:val="22"/>
          <w:lang w:val="es-419"/>
        </w:rPr>
        <w:t> 2</w:t>
      </w:r>
      <w:r w:rsidRPr="00E45F61">
        <w:rPr>
          <w:rFonts w:eastAsia="Arial"/>
          <w:szCs w:val="22"/>
          <w:lang w:val="es-419"/>
        </w:rPr>
        <w:t>023 y los resultados se comunicaron en mayo de</w:t>
      </w:r>
      <w:r w:rsidR="008D09ED" w:rsidRPr="00E45F61">
        <w:rPr>
          <w:rFonts w:eastAsia="Arial"/>
          <w:szCs w:val="22"/>
          <w:lang w:val="es-419"/>
        </w:rPr>
        <w:t> 2</w:t>
      </w:r>
      <w:r w:rsidRPr="00E45F61">
        <w:rPr>
          <w:rFonts w:eastAsia="Arial"/>
          <w:szCs w:val="22"/>
          <w:lang w:val="es-419"/>
        </w:rPr>
        <w:t xml:space="preserve">024. </w:t>
      </w:r>
    </w:p>
    <w:p w14:paraId="4C94DC79" w14:textId="77777777" w:rsidR="0076292E" w:rsidRPr="00E45F61" w:rsidRDefault="00B7499E" w:rsidP="00351FC3">
      <w:pPr>
        <w:pStyle w:val="ONUME"/>
        <w:tabs>
          <w:tab w:val="clear" w:pos="567"/>
          <w:tab w:val="num" w:pos="657"/>
        </w:tabs>
        <w:spacing w:after="120"/>
        <w:ind w:left="90"/>
        <w:rPr>
          <w:lang w:val="es-419"/>
        </w:rPr>
      </w:pPr>
      <w:r w:rsidRPr="00E45F61">
        <w:rPr>
          <w:rFonts w:eastAsia="Arial"/>
          <w:szCs w:val="22"/>
          <w:lang w:val="es-419"/>
        </w:rPr>
        <w:t>La verificación tenía por objeto:</w:t>
      </w:r>
    </w:p>
    <w:p w14:paraId="05DAF86F" w14:textId="357F3F08" w:rsidR="0076292E" w:rsidRPr="00E45F61" w:rsidRDefault="00952C0B" w:rsidP="00351FC3">
      <w:pPr>
        <w:pStyle w:val="ONUME"/>
        <w:numPr>
          <w:ilvl w:val="1"/>
          <w:numId w:val="5"/>
        </w:numPr>
        <w:spacing w:after="120"/>
        <w:rPr>
          <w:lang w:val="es-419" w:bidi="th-TH"/>
        </w:rPr>
      </w:pPr>
      <w:r w:rsidRPr="00E45F61">
        <w:rPr>
          <w:rFonts w:eastAsia="Arial"/>
          <w:szCs w:val="22"/>
          <w:lang w:val="es-419" w:bidi="th-TH"/>
        </w:rPr>
        <w:t>determinar</w:t>
      </w:r>
      <w:r w:rsidR="00B7499E" w:rsidRPr="00E45F61">
        <w:rPr>
          <w:rFonts w:eastAsia="Arial"/>
          <w:szCs w:val="22"/>
          <w:lang w:val="es-419" w:bidi="th-TH"/>
        </w:rPr>
        <w:t xml:space="preserve"> si la cultura de atención al cliente se aplica con eficacia y está en consonancia con los objetivos de rendimiento relativos al PCT, los resultados previstos y los pilares estratégicos pertinentes del PEMP de la Organización; e</w:t>
      </w:r>
    </w:p>
    <w:p w14:paraId="3C797212" w14:textId="77777777" w:rsidR="0076292E" w:rsidRPr="00E45F61" w:rsidRDefault="00B7499E" w:rsidP="0076292E">
      <w:pPr>
        <w:pStyle w:val="ONUME"/>
        <w:numPr>
          <w:ilvl w:val="1"/>
          <w:numId w:val="5"/>
        </w:numPr>
        <w:rPr>
          <w:lang w:val="es-419" w:bidi="th-TH"/>
        </w:rPr>
      </w:pPr>
      <w:r w:rsidRPr="00E45F61">
        <w:rPr>
          <w:rFonts w:eastAsia="Arial"/>
          <w:szCs w:val="22"/>
          <w:lang w:val="es-419" w:bidi="th-TH"/>
        </w:rPr>
        <w:t>identificar las oportunidades de mejorar los servicios y las relaciones con los clientes mediante el aprendizaje adaptativo y las ciencias del comportamiento.</w:t>
      </w:r>
    </w:p>
    <w:p w14:paraId="1A19FBC7"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La verificación se centró en el Departamento de Asuntos Jurídicos e Internacionales del PCT, que se encarga de reforzar </w:t>
      </w:r>
      <w:r w:rsidR="00D40A12" w:rsidRPr="00E45F61">
        <w:rPr>
          <w:rFonts w:eastAsia="Arial"/>
          <w:szCs w:val="22"/>
          <w:lang w:val="es-419"/>
        </w:rPr>
        <w:t>la función</w:t>
      </w:r>
      <w:r w:rsidRPr="00E45F61">
        <w:rPr>
          <w:rFonts w:eastAsia="Arial"/>
          <w:szCs w:val="22"/>
          <w:lang w:val="es-419"/>
        </w:rPr>
        <w:t xml:space="preserve"> del PCT en el sistema internacional de patentes y de apoyar a las partes interesadas. </w:t>
      </w:r>
    </w:p>
    <w:p w14:paraId="71DCAF99" w14:textId="6DA1DFA2"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constató que las actividades de atención al cliente del Departamento están en consonancia con las metas estratégicas de la OMPI y contribuyen a los pilares estratégicos</w:t>
      </w:r>
      <w:r w:rsidR="008D09ED" w:rsidRPr="00E45F61">
        <w:rPr>
          <w:rFonts w:eastAsia="Arial"/>
          <w:szCs w:val="22"/>
          <w:lang w:val="es-419"/>
        </w:rPr>
        <w:t> 3</w:t>
      </w:r>
      <w:r w:rsidRPr="00E45F61">
        <w:rPr>
          <w:rFonts w:eastAsia="Arial"/>
          <w:szCs w:val="22"/>
          <w:lang w:val="es-419"/>
        </w:rPr>
        <w:t xml:space="preserve"> y</w:t>
      </w:r>
      <w:r w:rsidR="008D09ED" w:rsidRPr="00E45F61">
        <w:rPr>
          <w:rFonts w:eastAsia="Arial"/>
          <w:szCs w:val="22"/>
          <w:lang w:val="es-419"/>
        </w:rPr>
        <w:t> 4</w:t>
      </w:r>
      <w:r w:rsidRPr="00E45F61">
        <w:rPr>
          <w:rFonts w:eastAsia="Arial"/>
          <w:szCs w:val="22"/>
          <w:lang w:val="es-419"/>
        </w:rPr>
        <w:t xml:space="preserve"> del PEMP. Aunque no se había desarrollado una estrategia documentada de atención al cliente, el Departamento realizaba encuestas bienales de satisfacción de los clientes para fomentar una cultura de servicio. </w:t>
      </w:r>
    </w:p>
    <w:p w14:paraId="3A49642A" w14:textId="77777777"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La DSI formuló seis recomendaciones para, entre otras cosas, aumentar la participación en las encuestas, mejorar los métodos de respuesta de los clientes en tiempo real y compartir las mejores prácticas de atención al cliente en toda la OMPI.</w:t>
      </w:r>
    </w:p>
    <w:p w14:paraId="2C94622C" w14:textId="6161A189" w:rsidR="0076292E" w:rsidRPr="00E45F61" w:rsidRDefault="00B7499E" w:rsidP="00351FC3">
      <w:pPr>
        <w:pStyle w:val="Heading2"/>
        <w:spacing w:after="120"/>
        <w:ind w:left="91"/>
        <w:rPr>
          <w:lang w:val="es-419"/>
        </w:rPr>
      </w:pPr>
      <w:r w:rsidRPr="00E45F61">
        <w:rPr>
          <w:rFonts w:eastAsia="Arial"/>
          <w:szCs w:val="22"/>
          <w:lang w:val="es-419"/>
        </w:rPr>
        <w:lastRenderedPageBreak/>
        <w:t>Evaluación de la incidencia de las iniciativas de la OMPI para empre</w:t>
      </w:r>
      <w:r w:rsidR="00A203CC" w:rsidRPr="00E45F61">
        <w:rPr>
          <w:rFonts w:eastAsia="Arial"/>
          <w:szCs w:val="22"/>
          <w:lang w:val="es-419"/>
        </w:rPr>
        <w:t>NDEDORA</w:t>
      </w:r>
      <w:r w:rsidRPr="00E45F61">
        <w:rPr>
          <w:rFonts w:eastAsia="Arial"/>
          <w:szCs w:val="22"/>
          <w:lang w:val="es-419"/>
        </w:rPr>
        <w:t>s - Fase II (EVAL</w:t>
      </w:r>
      <w:r w:rsidR="008D09ED" w:rsidRPr="00E45F61">
        <w:rPr>
          <w:rFonts w:eastAsia="Arial"/>
          <w:szCs w:val="22"/>
          <w:lang w:val="es-419"/>
        </w:rPr>
        <w:t> 2</w:t>
      </w:r>
      <w:r w:rsidRPr="00E45F61">
        <w:rPr>
          <w:rFonts w:eastAsia="Arial"/>
          <w:szCs w:val="22"/>
          <w:lang w:val="es-419"/>
        </w:rPr>
        <w:t>023-02)</w:t>
      </w:r>
    </w:p>
    <w:p w14:paraId="5386ED54" w14:textId="0F552566" w:rsidR="0076292E" w:rsidRPr="00E45F61" w:rsidRDefault="00B7499E" w:rsidP="0076292E">
      <w:pPr>
        <w:pStyle w:val="ONUME"/>
        <w:tabs>
          <w:tab w:val="clear" w:pos="567"/>
          <w:tab w:val="num" w:pos="657"/>
        </w:tabs>
        <w:ind w:left="90"/>
        <w:rPr>
          <w:lang w:val="es-419"/>
        </w:rPr>
      </w:pPr>
      <w:r w:rsidRPr="00E45F61">
        <w:rPr>
          <w:rFonts w:eastAsia="Arial"/>
          <w:szCs w:val="22"/>
          <w:lang w:val="es-419"/>
        </w:rPr>
        <w:t>Para facilitar el proceso de aprendizaje de la OMPI, la Sección de Evaluación de la DSI llevó a cabo un exhaustivo análisis para inventariarlas entre agosto de</w:t>
      </w:r>
      <w:r w:rsidR="008D09ED" w:rsidRPr="00E45F61">
        <w:rPr>
          <w:rFonts w:eastAsia="Arial"/>
          <w:szCs w:val="22"/>
          <w:lang w:val="es-419"/>
        </w:rPr>
        <w:t> 2</w:t>
      </w:r>
      <w:r w:rsidRPr="00E45F61">
        <w:rPr>
          <w:rFonts w:eastAsia="Arial"/>
          <w:szCs w:val="22"/>
          <w:lang w:val="es-419"/>
        </w:rPr>
        <w:t>022 y marzo de</w:t>
      </w:r>
      <w:r w:rsidR="008D09ED" w:rsidRPr="00E45F61">
        <w:rPr>
          <w:rFonts w:eastAsia="Arial"/>
          <w:szCs w:val="22"/>
          <w:lang w:val="es-419"/>
        </w:rPr>
        <w:t> 2</w:t>
      </w:r>
      <w:r w:rsidRPr="00E45F61">
        <w:rPr>
          <w:rFonts w:eastAsia="Arial"/>
          <w:szCs w:val="22"/>
          <w:lang w:val="es-419"/>
        </w:rPr>
        <w:t>023 (fase I). Dicho análisis se centró en</w:t>
      </w:r>
      <w:r w:rsidR="008D09ED" w:rsidRPr="00E45F61">
        <w:rPr>
          <w:rFonts w:eastAsia="Arial"/>
          <w:szCs w:val="22"/>
          <w:lang w:val="es-419"/>
        </w:rPr>
        <w:t> 1</w:t>
      </w:r>
      <w:r w:rsidRPr="00E45F61">
        <w:rPr>
          <w:rFonts w:eastAsia="Arial"/>
          <w:szCs w:val="22"/>
          <w:lang w:val="es-419"/>
        </w:rPr>
        <w:t>20 iniciativas planificadas o aplicadas por la OMPI en relación con mujeres inventoras e innovadoras entre</w:t>
      </w:r>
      <w:r w:rsidR="008D09ED" w:rsidRPr="00E45F61">
        <w:rPr>
          <w:rFonts w:eastAsia="Arial"/>
          <w:szCs w:val="22"/>
          <w:lang w:val="es-419"/>
        </w:rPr>
        <w:t> 2</w:t>
      </w:r>
      <w:r w:rsidRPr="00E45F61">
        <w:rPr>
          <w:rFonts w:eastAsia="Arial"/>
          <w:szCs w:val="22"/>
          <w:lang w:val="es-419"/>
        </w:rPr>
        <w:t>018 y</w:t>
      </w:r>
      <w:r w:rsidR="008D09ED" w:rsidRPr="00E45F61">
        <w:rPr>
          <w:rFonts w:eastAsia="Arial"/>
          <w:szCs w:val="22"/>
          <w:lang w:val="es-419"/>
        </w:rPr>
        <w:t> 2</w:t>
      </w:r>
      <w:r w:rsidRPr="00E45F61">
        <w:rPr>
          <w:rFonts w:eastAsia="Arial"/>
          <w:szCs w:val="22"/>
          <w:lang w:val="es-419"/>
        </w:rPr>
        <w:t>022</w:t>
      </w:r>
      <w:r w:rsidR="009E42FD" w:rsidRPr="00E45F61">
        <w:rPr>
          <w:rFonts w:eastAsia="Arial"/>
          <w:szCs w:val="22"/>
          <w:lang w:val="es-419"/>
        </w:rPr>
        <w:t>.</w:t>
      </w:r>
      <w:r w:rsidRPr="00E45F61">
        <w:rPr>
          <w:rStyle w:val="FootnoteReference"/>
          <w:lang w:val="es-419"/>
        </w:rPr>
        <w:footnoteReference w:id="6"/>
      </w:r>
    </w:p>
    <w:p w14:paraId="7A4B83F5" w14:textId="3CE01499" w:rsidR="0076292E" w:rsidRPr="00E45F61" w:rsidRDefault="00B7499E" w:rsidP="0076292E">
      <w:pPr>
        <w:pStyle w:val="ONUME"/>
        <w:tabs>
          <w:tab w:val="clear" w:pos="567"/>
          <w:tab w:val="num" w:pos="657"/>
        </w:tabs>
        <w:ind w:left="90"/>
        <w:rPr>
          <w:lang w:val="es-419"/>
        </w:rPr>
      </w:pPr>
      <w:r w:rsidRPr="00E45F61">
        <w:rPr>
          <w:rFonts w:eastAsia="Arial"/>
          <w:szCs w:val="22"/>
          <w:lang w:val="es-419"/>
        </w:rPr>
        <w:t>A partir del análisis del inventario, se seleccionaron tres iniciativas para su evaluación. El objetivo era identificar las mejores prácticas que podrían aplicarse a futuros proyectos de la OMPI que respalden a las empre</w:t>
      </w:r>
      <w:r w:rsidR="00A203CC" w:rsidRPr="00E45F61">
        <w:rPr>
          <w:rFonts w:eastAsia="Arial"/>
          <w:szCs w:val="22"/>
          <w:lang w:val="es-419"/>
        </w:rPr>
        <w:t>ndedoras</w:t>
      </w:r>
      <w:r w:rsidRPr="00E45F61">
        <w:rPr>
          <w:rFonts w:eastAsia="Arial"/>
          <w:szCs w:val="22"/>
          <w:lang w:val="es-419"/>
        </w:rPr>
        <w:t xml:space="preserve"> en el uso más eficaz de la propiedad intelectual (PI).</w:t>
      </w:r>
    </w:p>
    <w:p w14:paraId="3E12430B" w14:textId="7BD868A7" w:rsidR="0076292E" w:rsidRPr="00E45F61" w:rsidRDefault="00B7499E" w:rsidP="0076292E">
      <w:pPr>
        <w:pStyle w:val="ONUME"/>
        <w:tabs>
          <w:tab w:val="clear" w:pos="567"/>
          <w:tab w:val="num" w:pos="657"/>
        </w:tabs>
        <w:ind w:left="90"/>
        <w:rPr>
          <w:lang w:val="es-419"/>
        </w:rPr>
      </w:pPr>
      <w:r w:rsidRPr="00E45F61">
        <w:rPr>
          <w:rFonts w:eastAsia="Arial"/>
          <w:b/>
          <w:bCs/>
          <w:szCs w:val="22"/>
          <w:lang w:val="es-419"/>
        </w:rPr>
        <w:t xml:space="preserve">Proyecto </w:t>
      </w:r>
      <w:r w:rsidR="008D09ED" w:rsidRPr="00E45F61">
        <w:rPr>
          <w:rFonts w:eastAsia="Arial"/>
          <w:b/>
          <w:bCs/>
          <w:szCs w:val="22"/>
          <w:lang w:val="es-419"/>
        </w:rPr>
        <w:t>“</w:t>
      </w:r>
      <w:r w:rsidRPr="00E45F61">
        <w:rPr>
          <w:rFonts w:eastAsia="Arial"/>
          <w:b/>
          <w:bCs/>
          <w:szCs w:val="22"/>
          <w:lang w:val="es-419"/>
        </w:rPr>
        <w:t>Cestas de Chobe</w:t>
      </w:r>
      <w:r w:rsidR="008D09ED" w:rsidRPr="00E45F61">
        <w:rPr>
          <w:rFonts w:eastAsia="Arial"/>
          <w:b/>
          <w:bCs/>
          <w:szCs w:val="22"/>
          <w:lang w:val="es-419"/>
        </w:rPr>
        <w:t>”</w:t>
      </w:r>
      <w:r w:rsidRPr="00E45F61">
        <w:rPr>
          <w:rFonts w:eastAsia="Arial"/>
          <w:b/>
          <w:bCs/>
          <w:szCs w:val="22"/>
          <w:lang w:val="es-419"/>
        </w:rPr>
        <w:t xml:space="preserve"> (Botswana): </w:t>
      </w:r>
      <w:r w:rsidRPr="00E45F61">
        <w:rPr>
          <w:rFonts w:eastAsia="Arial"/>
          <w:szCs w:val="22"/>
          <w:lang w:val="es-419"/>
        </w:rPr>
        <w:t>El proyecto se puso en marcha en</w:t>
      </w:r>
      <w:r w:rsidR="008D09ED" w:rsidRPr="00E45F61">
        <w:rPr>
          <w:rFonts w:eastAsia="Arial"/>
          <w:szCs w:val="22"/>
          <w:lang w:val="es-419"/>
        </w:rPr>
        <w:t> 2</w:t>
      </w:r>
      <w:r w:rsidRPr="00E45F61">
        <w:rPr>
          <w:rFonts w:eastAsia="Arial"/>
          <w:szCs w:val="22"/>
          <w:lang w:val="es-419"/>
        </w:rPr>
        <w:t>019 para apoyar a l</w:t>
      </w:r>
      <w:r w:rsidR="00EF43F1" w:rsidRPr="00E45F61">
        <w:rPr>
          <w:rFonts w:eastAsia="Arial"/>
          <w:szCs w:val="22"/>
          <w:lang w:val="es-419"/>
        </w:rPr>
        <w:t>a</w:t>
      </w:r>
      <w:r w:rsidRPr="00E45F61">
        <w:rPr>
          <w:rFonts w:eastAsia="Arial"/>
          <w:szCs w:val="22"/>
          <w:lang w:val="es-419"/>
        </w:rPr>
        <w:t>s productor</w:t>
      </w:r>
      <w:r w:rsidR="00EF43F1" w:rsidRPr="00E45F61">
        <w:rPr>
          <w:rFonts w:eastAsia="Arial"/>
          <w:szCs w:val="22"/>
          <w:lang w:val="es-419"/>
        </w:rPr>
        <w:t>a</w:t>
      </w:r>
      <w:r w:rsidRPr="00E45F61">
        <w:rPr>
          <w:rFonts w:eastAsia="Arial"/>
          <w:szCs w:val="22"/>
          <w:lang w:val="es-419"/>
        </w:rPr>
        <w:t xml:space="preserve">s de cestas de Kasane (Botswana) mediante el desarrollo de marcas para sus productos y la utilización de herramientas de PI. </w:t>
      </w:r>
    </w:p>
    <w:p w14:paraId="5DA2CC58"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evaluación, que se llevó a cabo entre septiembre y diciembre de</w:t>
      </w:r>
      <w:r w:rsidR="008D09ED" w:rsidRPr="00E45F61">
        <w:rPr>
          <w:rFonts w:eastAsia="Arial"/>
          <w:szCs w:val="22"/>
          <w:lang w:val="es-419"/>
        </w:rPr>
        <w:t> 2</w:t>
      </w:r>
      <w:r w:rsidRPr="00E45F61">
        <w:rPr>
          <w:rFonts w:eastAsia="Arial"/>
          <w:szCs w:val="22"/>
          <w:lang w:val="es-419"/>
        </w:rPr>
        <w:t>023, y cuyo informe final se publicó en abril de</w:t>
      </w:r>
      <w:r w:rsidR="008D09ED" w:rsidRPr="00E45F61">
        <w:rPr>
          <w:rFonts w:eastAsia="Arial"/>
          <w:szCs w:val="22"/>
          <w:lang w:val="es-419"/>
        </w:rPr>
        <w:t> 2</w:t>
      </w:r>
      <w:r w:rsidRPr="00E45F61">
        <w:rPr>
          <w:rFonts w:eastAsia="Arial"/>
          <w:szCs w:val="22"/>
          <w:lang w:val="es-419"/>
        </w:rPr>
        <w:t>024, identificó un mayor empoderamiento entre las mujeres participantes en el proyecto y también la oportunidad de incrementar la participación entre las jóvenes y de mejorar las estrategias de mercadotecnia y comercialización por parte de la unión cooperativa para las cestas de Chobe, aprovechando, cuando fuera oportuno, el apoyo del gobierno nacional o de otros socios cooperantes internacionales.</w:t>
      </w:r>
    </w:p>
    <w:p w14:paraId="49863385" w14:textId="26DA0CD4" w:rsidR="0076292E" w:rsidRPr="00E45F61" w:rsidRDefault="0011504F" w:rsidP="0076292E">
      <w:pPr>
        <w:pStyle w:val="ONUME"/>
        <w:tabs>
          <w:tab w:val="clear" w:pos="567"/>
          <w:tab w:val="num" w:pos="657"/>
        </w:tabs>
        <w:ind w:left="90"/>
        <w:rPr>
          <w:b/>
          <w:lang w:val="es-419"/>
        </w:rPr>
      </w:pPr>
      <w:r w:rsidRPr="00E45F61">
        <w:rPr>
          <w:rFonts w:eastAsia="Arial"/>
          <w:b/>
          <w:bCs/>
          <w:szCs w:val="22"/>
          <w:lang w:val="es-419"/>
        </w:rPr>
        <w:t>Programa para emprendedoras de Pueblos Indígenas y comunidades locales</w:t>
      </w:r>
      <w:r w:rsidR="00B7499E" w:rsidRPr="00E45F61">
        <w:rPr>
          <w:rFonts w:eastAsia="Arial"/>
          <w:b/>
          <w:bCs/>
          <w:szCs w:val="22"/>
          <w:lang w:val="es-419"/>
        </w:rPr>
        <w:t xml:space="preserve"> (WEP):</w:t>
      </w:r>
      <w:r w:rsidR="00353054" w:rsidRPr="00E45F61">
        <w:rPr>
          <w:rFonts w:eastAsia="Arial"/>
          <w:b/>
          <w:bCs/>
          <w:szCs w:val="22"/>
          <w:lang w:val="es-419"/>
        </w:rPr>
        <w:t xml:space="preserve"> </w:t>
      </w:r>
      <w:r w:rsidR="00B7499E" w:rsidRPr="00E45F61">
        <w:rPr>
          <w:rFonts w:eastAsia="Arial"/>
          <w:szCs w:val="22"/>
          <w:lang w:val="es-419"/>
        </w:rPr>
        <w:t>La actividad se llevó a cabo entre agosto y diciembre de</w:t>
      </w:r>
      <w:r w:rsidR="008D09ED" w:rsidRPr="00E45F61">
        <w:rPr>
          <w:rFonts w:eastAsia="Arial"/>
          <w:szCs w:val="22"/>
          <w:lang w:val="es-419"/>
        </w:rPr>
        <w:t> 2</w:t>
      </w:r>
      <w:r w:rsidR="00B7499E" w:rsidRPr="00E45F61">
        <w:rPr>
          <w:rFonts w:eastAsia="Arial"/>
          <w:szCs w:val="22"/>
          <w:lang w:val="es-419"/>
        </w:rPr>
        <w:t>023, y el informe final se publicó en noviembre de</w:t>
      </w:r>
      <w:r w:rsidR="008D09ED" w:rsidRPr="00E45F61">
        <w:rPr>
          <w:rFonts w:eastAsia="Arial"/>
          <w:szCs w:val="22"/>
          <w:lang w:val="es-419"/>
        </w:rPr>
        <w:t> 2</w:t>
      </w:r>
      <w:r w:rsidR="00B7499E" w:rsidRPr="00E45F61">
        <w:rPr>
          <w:rFonts w:eastAsia="Arial"/>
          <w:szCs w:val="22"/>
          <w:lang w:val="es-419"/>
        </w:rPr>
        <w:t>024.</w:t>
      </w:r>
    </w:p>
    <w:p w14:paraId="3C735034" w14:textId="7C237441"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WEP forma parte del Programa de Formación Empresarial para Comunidades Indígenas de la División de Conocimientos Tradicionales, cuyo objetivo es reforzar la capacidad de las empre</w:t>
      </w:r>
      <w:r w:rsidR="00FA7FED" w:rsidRPr="00E45F61">
        <w:rPr>
          <w:rFonts w:eastAsia="Arial"/>
          <w:szCs w:val="22"/>
          <w:lang w:val="es-419"/>
        </w:rPr>
        <w:t>ndedoras</w:t>
      </w:r>
      <w:r w:rsidRPr="00E45F61">
        <w:rPr>
          <w:rFonts w:eastAsia="Arial"/>
          <w:szCs w:val="22"/>
          <w:lang w:val="es-419"/>
        </w:rPr>
        <w:t xml:space="preserve"> de los </w:t>
      </w:r>
      <w:r w:rsidR="00F443A0" w:rsidRPr="00E45F61">
        <w:rPr>
          <w:rFonts w:eastAsia="Arial"/>
          <w:szCs w:val="22"/>
          <w:lang w:val="es-419"/>
        </w:rPr>
        <w:t>P</w:t>
      </w:r>
      <w:r w:rsidRPr="00E45F61">
        <w:rPr>
          <w:rFonts w:eastAsia="Arial"/>
          <w:szCs w:val="22"/>
          <w:lang w:val="es-419"/>
        </w:rPr>
        <w:t xml:space="preserve">ueblos </w:t>
      </w:r>
      <w:r w:rsidR="00F443A0" w:rsidRPr="00E45F61">
        <w:rPr>
          <w:rFonts w:eastAsia="Arial"/>
          <w:szCs w:val="22"/>
          <w:lang w:val="es-419"/>
        </w:rPr>
        <w:t>I</w:t>
      </w:r>
      <w:r w:rsidRPr="00E45F61">
        <w:rPr>
          <w:rFonts w:eastAsia="Arial"/>
          <w:szCs w:val="22"/>
          <w:lang w:val="es-419"/>
        </w:rPr>
        <w:t>ndígenas y las comunidades locales para que hagan un uso de instrumentos de PI que sea estratégico y eficaz. El programa consta de dos fases:</w:t>
      </w:r>
      <w:r w:rsidR="00D40A12" w:rsidRPr="00E45F61">
        <w:rPr>
          <w:rFonts w:eastAsia="Arial"/>
          <w:szCs w:val="22"/>
          <w:lang w:val="es-419"/>
        </w:rPr>
        <w:t> </w:t>
      </w:r>
      <w:r w:rsidRPr="00E45F61">
        <w:rPr>
          <w:rFonts w:eastAsia="Arial"/>
          <w:szCs w:val="22"/>
          <w:lang w:val="es-419"/>
        </w:rPr>
        <w:t>i) la fase de formación (un taller práctico);</w:t>
      </w:r>
      <w:r w:rsidR="008D09ED" w:rsidRPr="00E45F61">
        <w:rPr>
          <w:rFonts w:eastAsia="Arial"/>
          <w:szCs w:val="22"/>
          <w:lang w:val="es-419"/>
        </w:rPr>
        <w:t xml:space="preserve"> y ii)</w:t>
      </w:r>
      <w:r w:rsidRPr="00E45F61">
        <w:rPr>
          <w:rFonts w:eastAsia="Arial"/>
          <w:szCs w:val="22"/>
          <w:lang w:val="es-419"/>
        </w:rPr>
        <w:t xml:space="preserve"> la fase de tutoría y establecimiento de contactos. </w:t>
      </w:r>
    </w:p>
    <w:p w14:paraId="2ED8C165"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evaluación destacó el éxito del componente de tutoría, la importancia del establecimiento de redes de contacto entre las participantes en el programa y los significativos beneficios de los talleres presenciales.</w:t>
      </w:r>
    </w:p>
    <w:p w14:paraId="4C8005C0" w14:textId="77777777" w:rsidR="0076292E" w:rsidRPr="00E45F61" w:rsidRDefault="00B7499E" w:rsidP="0076292E">
      <w:pPr>
        <w:pStyle w:val="ONUME"/>
        <w:tabs>
          <w:tab w:val="clear" w:pos="567"/>
          <w:tab w:val="num" w:pos="657"/>
        </w:tabs>
        <w:ind w:left="90"/>
        <w:rPr>
          <w:b/>
          <w:lang w:val="es-419"/>
        </w:rPr>
      </w:pPr>
      <w:r w:rsidRPr="00E45F61">
        <w:rPr>
          <w:rFonts w:eastAsia="Arial"/>
          <w:b/>
          <w:bCs/>
          <w:szCs w:val="22"/>
          <w:lang w:val="es-419"/>
        </w:rPr>
        <w:t>Proyecto sobre el fortalecimiento del papel de las mujeres en la innovación y el emprendimiento:</w:t>
      </w:r>
      <w:r w:rsidR="00353054" w:rsidRPr="00E45F61">
        <w:rPr>
          <w:rFonts w:eastAsia="Arial"/>
          <w:b/>
          <w:bCs/>
          <w:szCs w:val="22"/>
          <w:lang w:val="es-419"/>
        </w:rPr>
        <w:t xml:space="preserve"> </w:t>
      </w:r>
      <w:r w:rsidRPr="00E45F61">
        <w:rPr>
          <w:rFonts w:eastAsia="Arial"/>
          <w:szCs w:val="22"/>
          <w:lang w:val="es-419"/>
        </w:rPr>
        <w:t>La actividad se llevó a cabo entre noviembre de</w:t>
      </w:r>
      <w:r w:rsidR="008D09ED" w:rsidRPr="00E45F61">
        <w:rPr>
          <w:rFonts w:eastAsia="Arial"/>
          <w:szCs w:val="22"/>
          <w:lang w:val="es-419"/>
        </w:rPr>
        <w:t> 2</w:t>
      </w:r>
      <w:r w:rsidRPr="00E45F61">
        <w:rPr>
          <w:rFonts w:eastAsia="Arial"/>
          <w:szCs w:val="22"/>
          <w:lang w:val="es-419"/>
        </w:rPr>
        <w:t>023 y febrero de</w:t>
      </w:r>
      <w:r w:rsidR="008D09ED" w:rsidRPr="00E45F61">
        <w:rPr>
          <w:rFonts w:eastAsia="Arial"/>
          <w:szCs w:val="22"/>
          <w:lang w:val="es-419"/>
        </w:rPr>
        <w:t> 2</w:t>
      </w:r>
      <w:r w:rsidRPr="00E45F61">
        <w:rPr>
          <w:rFonts w:eastAsia="Arial"/>
          <w:szCs w:val="22"/>
          <w:lang w:val="es-419"/>
        </w:rPr>
        <w:t xml:space="preserve">024. </w:t>
      </w:r>
    </w:p>
    <w:p w14:paraId="66696A38" w14:textId="7B82FBD5" w:rsidR="0076292E" w:rsidRPr="00E45F61" w:rsidRDefault="00B7499E" w:rsidP="0076292E">
      <w:pPr>
        <w:pStyle w:val="ONUME"/>
        <w:tabs>
          <w:tab w:val="clear" w:pos="567"/>
          <w:tab w:val="num" w:pos="657"/>
        </w:tabs>
        <w:ind w:left="90"/>
        <w:rPr>
          <w:lang w:val="es-419"/>
        </w:rPr>
      </w:pPr>
      <w:r w:rsidRPr="00E45F61">
        <w:rPr>
          <w:rFonts w:eastAsia="Arial"/>
          <w:szCs w:val="22"/>
          <w:lang w:val="es-419"/>
        </w:rPr>
        <w:t>Este proyecto, que la División de PI para empresas puso en marcha entre</w:t>
      </w:r>
      <w:r w:rsidR="008D09ED" w:rsidRPr="00E45F61">
        <w:rPr>
          <w:rFonts w:eastAsia="Arial"/>
          <w:szCs w:val="22"/>
          <w:lang w:val="es-419"/>
        </w:rPr>
        <w:t> 2</w:t>
      </w:r>
      <w:r w:rsidRPr="00E45F61">
        <w:rPr>
          <w:rFonts w:eastAsia="Arial"/>
          <w:szCs w:val="22"/>
          <w:lang w:val="es-419"/>
        </w:rPr>
        <w:t>019 y</w:t>
      </w:r>
      <w:r w:rsidR="008D09ED" w:rsidRPr="00E45F61">
        <w:rPr>
          <w:rFonts w:eastAsia="Arial"/>
          <w:szCs w:val="22"/>
          <w:lang w:val="es-419"/>
        </w:rPr>
        <w:t> 2</w:t>
      </w:r>
      <w:r w:rsidRPr="00E45F61">
        <w:rPr>
          <w:rFonts w:eastAsia="Arial"/>
          <w:szCs w:val="22"/>
          <w:lang w:val="es-419"/>
        </w:rPr>
        <w:t>022 y que fue financiado por la Agenda de la OMPI para el Desarrollo, tenía por objeto aumentar la participación de las inventoras e innovadoras en el sistema nacional de innovación ayudándolas a utilizar eficazmente el sistema de PI para proteger y comercializar sus invenciones. El proyecto ofrecía programas de apoyo, acceso a mentorías y oportunidades para el establecimiento de redes de contacto.</w:t>
      </w:r>
    </w:p>
    <w:p w14:paraId="751CCD84"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evaluación hizo hincapié en la importancia de implicar a los coordinadores nacionales y en el planteamiento de las mentorías. Además, se identificó la existencia de una importante demanda de mayor sensibilización y educación en cuestiones relacionadas con la PI.</w:t>
      </w:r>
    </w:p>
    <w:p w14:paraId="6D0545B9" w14:textId="6B041ACE"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lastRenderedPageBreak/>
        <w:t>Tras la evaluación de las tres iniciativas, la Sección de Evaluación de la DSI formuló recomendaciones centradas en garantizar la sostenibilidad de los proyectos actuales y futuros, ampliar el apoyo a mentoras y alumnas, y mejorar la gestión de las expectativas de los participantes en los proyectos en relación con el apoyo de la OMPI al desarrollo de marcas y la comercialización.</w:t>
      </w:r>
    </w:p>
    <w:p w14:paraId="7E50C550" w14:textId="77777777" w:rsidR="0076292E" w:rsidRPr="00E45F61" w:rsidRDefault="00B7499E" w:rsidP="0076292E">
      <w:pPr>
        <w:pStyle w:val="Heading1"/>
        <w:ind w:left="90"/>
        <w:rPr>
          <w:lang w:val="es-419"/>
        </w:rPr>
      </w:pPr>
      <w:bookmarkStart w:id="25" w:name="_Toc197337707"/>
      <w:r w:rsidRPr="00E45F61">
        <w:rPr>
          <w:rFonts w:eastAsia="Arial"/>
          <w:caps w:val="0"/>
          <w:szCs w:val="22"/>
          <w:lang w:val="es-419"/>
        </w:rPr>
        <w:t>ACTIVIDADES</w:t>
      </w:r>
      <w:r w:rsidRPr="00E45F61">
        <w:rPr>
          <w:rFonts w:eastAsia="Arial"/>
          <w:szCs w:val="22"/>
          <w:lang w:val="es-419"/>
        </w:rPr>
        <w:t xml:space="preserve"> SOBRE LAS QUE SE PRESENTÓ INFORMACIÓN EN</w:t>
      </w:r>
      <w:r w:rsidR="008D09ED" w:rsidRPr="00E45F61">
        <w:rPr>
          <w:rFonts w:eastAsia="Arial"/>
          <w:szCs w:val="22"/>
          <w:lang w:val="es-419"/>
        </w:rPr>
        <w:t> 2</w:t>
      </w:r>
      <w:r w:rsidRPr="00E45F61">
        <w:rPr>
          <w:rFonts w:eastAsia="Arial"/>
          <w:szCs w:val="22"/>
          <w:lang w:val="es-419"/>
        </w:rPr>
        <w:t>024</w:t>
      </w:r>
      <w:bookmarkStart w:id="26" w:name="_Audit_of_the"/>
      <w:bookmarkEnd w:id="26"/>
      <w:bookmarkEnd w:id="25"/>
    </w:p>
    <w:p w14:paraId="7BAE78AF" w14:textId="77777777" w:rsidR="0076292E" w:rsidRPr="00E45F61" w:rsidRDefault="00B7499E" w:rsidP="00351FC3">
      <w:pPr>
        <w:pStyle w:val="Heading2"/>
        <w:spacing w:after="120"/>
        <w:ind w:left="91"/>
        <w:rPr>
          <w:lang w:val="es-419"/>
        </w:rPr>
      </w:pPr>
      <w:r w:rsidRPr="00E45F61">
        <w:rPr>
          <w:rFonts w:eastAsia="Arial"/>
          <w:szCs w:val="22"/>
          <w:lang w:val="es-419"/>
        </w:rPr>
        <w:t>Validación del seguro médico pagadero tras la separación del servicio (IA</w:t>
      </w:r>
      <w:r w:rsidR="008D09ED" w:rsidRPr="00E45F61">
        <w:rPr>
          <w:rFonts w:eastAsia="Arial"/>
          <w:szCs w:val="22"/>
          <w:lang w:val="es-419"/>
        </w:rPr>
        <w:t> 2</w:t>
      </w:r>
      <w:r w:rsidRPr="00E45F61">
        <w:rPr>
          <w:rFonts w:eastAsia="Arial"/>
          <w:szCs w:val="22"/>
          <w:lang w:val="es-419"/>
        </w:rPr>
        <w:t>024-01)</w:t>
      </w:r>
    </w:p>
    <w:p w14:paraId="6F58BDB1" w14:textId="6DC019D5" w:rsidR="0076292E" w:rsidRPr="00E45F61" w:rsidRDefault="00B7499E" w:rsidP="0076292E">
      <w:pPr>
        <w:pStyle w:val="ONUME"/>
        <w:tabs>
          <w:tab w:val="clear" w:pos="567"/>
          <w:tab w:val="num" w:pos="657"/>
        </w:tabs>
        <w:ind w:left="90"/>
        <w:rPr>
          <w:lang w:val="es-419" w:eastAsia="en-US"/>
        </w:rPr>
      </w:pPr>
      <w:r w:rsidRPr="00E45F61">
        <w:rPr>
          <w:rFonts w:eastAsia="Arial"/>
          <w:szCs w:val="22"/>
          <w:lang w:val="es-419" w:eastAsia="en-US"/>
        </w:rPr>
        <w:t>La DSI validó una muestra de datos de solicitudes de reembolso relativas al seguro médico pagadero tras la separación del servicio liquidadas entre noviembre de</w:t>
      </w:r>
      <w:r w:rsidR="008D09ED" w:rsidRPr="00E45F61">
        <w:rPr>
          <w:rFonts w:eastAsia="Arial"/>
          <w:szCs w:val="22"/>
          <w:lang w:val="es-419" w:eastAsia="en-US"/>
        </w:rPr>
        <w:t> 2</w:t>
      </w:r>
      <w:r w:rsidRPr="00E45F61">
        <w:rPr>
          <w:rFonts w:eastAsia="Arial"/>
          <w:szCs w:val="22"/>
          <w:lang w:val="es-419" w:eastAsia="en-US"/>
        </w:rPr>
        <w:t>022 y octubre de</w:t>
      </w:r>
      <w:r w:rsidR="008D09ED" w:rsidRPr="00E45F61">
        <w:rPr>
          <w:rFonts w:eastAsia="Arial"/>
          <w:szCs w:val="22"/>
          <w:lang w:val="es-419" w:eastAsia="en-US"/>
        </w:rPr>
        <w:t> 2</w:t>
      </w:r>
      <w:r w:rsidRPr="00E45F61">
        <w:rPr>
          <w:rFonts w:eastAsia="Arial"/>
          <w:szCs w:val="22"/>
          <w:lang w:val="es-419" w:eastAsia="en-US"/>
        </w:rPr>
        <w:t>023, que el actuario utilizó para calcular el pasivo relativo al seguro médico pagadero tras la separación del servicio para los estados financieros de la OMPI a</w:t>
      </w:r>
      <w:r w:rsidR="008D09ED" w:rsidRPr="00E45F61">
        <w:rPr>
          <w:rFonts w:eastAsia="Arial"/>
          <w:szCs w:val="22"/>
          <w:lang w:val="es-419" w:eastAsia="en-US"/>
        </w:rPr>
        <w:t> 3</w:t>
      </w:r>
      <w:r w:rsidRPr="00E45F61">
        <w:rPr>
          <w:rFonts w:eastAsia="Arial"/>
          <w:szCs w:val="22"/>
          <w:lang w:val="es-419" w:eastAsia="en-US"/>
        </w:rPr>
        <w:t>1 de diciembre de</w:t>
      </w:r>
      <w:r w:rsidR="008D09ED" w:rsidRPr="00E45F61">
        <w:rPr>
          <w:rFonts w:eastAsia="Arial"/>
          <w:szCs w:val="22"/>
          <w:lang w:val="es-419" w:eastAsia="en-US"/>
        </w:rPr>
        <w:t> 2</w:t>
      </w:r>
      <w:r w:rsidRPr="00E45F61">
        <w:rPr>
          <w:rFonts w:eastAsia="Arial"/>
          <w:szCs w:val="22"/>
          <w:lang w:val="es-419" w:eastAsia="en-US"/>
        </w:rPr>
        <w:t xml:space="preserve">023. </w:t>
      </w:r>
    </w:p>
    <w:p w14:paraId="3A7233B3" w14:textId="065F8EEB" w:rsidR="0076292E" w:rsidRPr="00E45F61" w:rsidRDefault="00B7499E" w:rsidP="0076292E">
      <w:pPr>
        <w:pStyle w:val="ONUME"/>
        <w:tabs>
          <w:tab w:val="clear" w:pos="567"/>
          <w:tab w:val="num" w:pos="657"/>
        </w:tabs>
        <w:ind w:left="90"/>
        <w:rPr>
          <w:lang w:val="es-419" w:eastAsia="en-US"/>
        </w:rPr>
      </w:pPr>
      <w:r w:rsidRPr="00E45F61">
        <w:rPr>
          <w:rFonts w:eastAsia="Arial"/>
          <w:szCs w:val="22"/>
          <w:lang w:val="es-419" w:eastAsia="en-US"/>
        </w:rPr>
        <w:t>La DSI revisó los controles internos del prestatario del seguro médico tras la separación del servicio y no encontró cambios significativos que afectaran a la tramitación de las solicitudes de reembolso relativas al seguro médico pagadero tras la separación del servicio. Sin embargo, las entidades europeas del proveedor del seguro médico tras la separación del servicio no fueron sometidas a auditorías SOC 2</w:t>
      </w:r>
      <w:r w:rsidR="00CB5587" w:rsidRPr="00E45F61">
        <w:rPr>
          <w:rFonts w:eastAsia="Arial"/>
          <w:szCs w:val="22"/>
          <w:lang w:val="es-419" w:eastAsia="en-US"/>
        </w:rPr>
        <w:t>,</w:t>
      </w:r>
      <w:r w:rsidRPr="00E45F61">
        <w:rPr>
          <w:rStyle w:val="FootnoteReference"/>
          <w:lang w:val="es-419" w:eastAsia="en-US"/>
        </w:rPr>
        <w:footnoteReference w:id="7"/>
      </w:r>
      <w:r w:rsidRPr="00E45F61">
        <w:rPr>
          <w:rFonts w:eastAsia="Arial"/>
          <w:szCs w:val="22"/>
          <w:lang w:val="es-419" w:eastAsia="en-US"/>
        </w:rPr>
        <w:t xml:space="preserve"> y no se transmitió a la OMPI los informes de certificación ISO</w:t>
      </w:r>
      <w:r w:rsidR="008D09ED" w:rsidRPr="00E45F61">
        <w:rPr>
          <w:rFonts w:eastAsia="Arial"/>
          <w:szCs w:val="22"/>
          <w:lang w:val="es-419" w:eastAsia="en-US"/>
        </w:rPr>
        <w:t> 9</w:t>
      </w:r>
      <w:r w:rsidRPr="00E45F61">
        <w:rPr>
          <w:rFonts w:eastAsia="Arial"/>
          <w:szCs w:val="22"/>
          <w:lang w:val="es-419" w:eastAsia="en-US"/>
        </w:rPr>
        <w:t>001:15</w:t>
      </w:r>
      <w:r w:rsidR="00CB5587" w:rsidRPr="00E45F61">
        <w:rPr>
          <w:rFonts w:eastAsia="Arial"/>
          <w:szCs w:val="22"/>
          <w:lang w:val="es-419" w:eastAsia="en-US"/>
        </w:rPr>
        <w:t>.</w:t>
      </w:r>
      <w:r w:rsidRPr="00E45F61">
        <w:rPr>
          <w:rStyle w:val="FootnoteReference"/>
          <w:lang w:val="es-419" w:eastAsia="en-US"/>
        </w:rPr>
        <w:footnoteReference w:id="8"/>
      </w:r>
      <w:r w:rsidRPr="00E45F61">
        <w:rPr>
          <w:rFonts w:eastAsia="Arial"/>
          <w:szCs w:val="22"/>
          <w:lang w:val="es-419" w:eastAsia="en-US"/>
        </w:rPr>
        <w:t xml:space="preserve"> No se detectaron problemas significativos en los controles de gestión del seguro médico</w:t>
      </w:r>
      <w:r w:rsidR="00477073" w:rsidRPr="00E45F61">
        <w:rPr>
          <w:rFonts w:eastAsia="Arial"/>
          <w:szCs w:val="22"/>
          <w:lang w:val="es-419" w:eastAsia="en-US"/>
        </w:rPr>
        <w:t xml:space="preserve"> pagadero</w:t>
      </w:r>
      <w:r w:rsidRPr="00E45F61">
        <w:rPr>
          <w:rFonts w:eastAsia="Arial"/>
          <w:szCs w:val="22"/>
          <w:lang w:val="es-419" w:eastAsia="en-US"/>
        </w:rPr>
        <w:t xml:space="preserve"> tras la separación del servicio de la OMPI. </w:t>
      </w:r>
    </w:p>
    <w:p w14:paraId="4A36325E" w14:textId="7DABFB08" w:rsidR="0076292E" w:rsidRPr="00E45F61" w:rsidRDefault="00B7499E" w:rsidP="00351FC3">
      <w:pPr>
        <w:pStyle w:val="ONUME"/>
        <w:tabs>
          <w:tab w:val="clear" w:pos="567"/>
          <w:tab w:val="num" w:pos="657"/>
        </w:tabs>
        <w:spacing w:after="480"/>
        <w:ind w:left="91"/>
        <w:rPr>
          <w:lang w:val="es-419" w:eastAsia="en-US"/>
        </w:rPr>
      </w:pPr>
      <w:r w:rsidRPr="00E45F61">
        <w:rPr>
          <w:rFonts w:eastAsia="Arial"/>
          <w:szCs w:val="22"/>
          <w:lang w:val="es-419" w:eastAsia="en-US"/>
        </w:rPr>
        <w:t>Una de las recomendaciones, aplicada en</w:t>
      </w:r>
      <w:r w:rsidR="008D09ED" w:rsidRPr="00E45F61">
        <w:rPr>
          <w:rFonts w:eastAsia="Arial"/>
          <w:szCs w:val="22"/>
          <w:lang w:val="es-419" w:eastAsia="en-US"/>
        </w:rPr>
        <w:t> 2</w:t>
      </w:r>
      <w:r w:rsidRPr="00E45F61">
        <w:rPr>
          <w:rFonts w:eastAsia="Arial"/>
          <w:szCs w:val="22"/>
          <w:lang w:val="es-419" w:eastAsia="en-US"/>
        </w:rPr>
        <w:t>024, consistía en excluir los gastos médicos cubiertos por otras aseguradoras de los informes de datos del seguro médico</w:t>
      </w:r>
      <w:r w:rsidR="00477073" w:rsidRPr="00E45F61">
        <w:rPr>
          <w:rFonts w:eastAsia="Arial"/>
          <w:szCs w:val="22"/>
          <w:lang w:val="es-419" w:eastAsia="en-US"/>
        </w:rPr>
        <w:t xml:space="preserve"> pagadero</w:t>
      </w:r>
      <w:r w:rsidRPr="00E45F61">
        <w:rPr>
          <w:rFonts w:eastAsia="Arial"/>
          <w:szCs w:val="22"/>
          <w:lang w:val="es-419" w:eastAsia="en-US"/>
        </w:rPr>
        <w:t xml:space="preserve"> tras la separación del servicio. Esta actividad recibió la calificación de </w:t>
      </w:r>
      <w:r w:rsidR="008D09ED" w:rsidRPr="00E45F61">
        <w:rPr>
          <w:rFonts w:eastAsia="Arial"/>
          <w:szCs w:val="22"/>
          <w:lang w:val="es-419" w:eastAsia="en-US"/>
        </w:rPr>
        <w:t>“</w:t>
      </w:r>
      <w:r w:rsidRPr="00E45F61">
        <w:rPr>
          <w:rFonts w:eastAsia="Arial"/>
          <w:szCs w:val="22"/>
          <w:lang w:val="es-419" w:eastAsia="en-US"/>
        </w:rPr>
        <w:t>Satisfactoria, se necesitan algunas mejoras</w:t>
      </w:r>
      <w:r w:rsidR="008D09ED" w:rsidRPr="00E45F61">
        <w:rPr>
          <w:rFonts w:eastAsia="Arial"/>
          <w:szCs w:val="22"/>
          <w:lang w:val="es-419" w:eastAsia="en-US"/>
        </w:rPr>
        <w:t>”</w:t>
      </w:r>
      <w:r w:rsidRPr="00E45F61">
        <w:rPr>
          <w:rFonts w:eastAsia="Arial"/>
          <w:szCs w:val="22"/>
          <w:lang w:val="es-419" w:eastAsia="en-US"/>
        </w:rPr>
        <w:t>, principalmente debido a la falta de preparación y presentación a la OMPI de las auditorías SOC</w:t>
      </w:r>
      <w:r w:rsidR="008D09ED" w:rsidRPr="00E45F61">
        <w:rPr>
          <w:rFonts w:eastAsia="Arial"/>
          <w:szCs w:val="22"/>
          <w:lang w:val="es-419" w:eastAsia="en-US"/>
        </w:rPr>
        <w:t> 2</w:t>
      </w:r>
      <w:r w:rsidRPr="00E45F61">
        <w:rPr>
          <w:rFonts w:eastAsia="Arial"/>
          <w:szCs w:val="22"/>
          <w:lang w:val="es-419" w:eastAsia="en-US"/>
        </w:rPr>
        <w:t xml:space="preserve"> por parte del proveedor del seguro. La DSI recomendó incluir esta disposición en las condiciones contractuales actualizadas.</w:t>
      </w:r>
    </w:p>
    <w:p w14:paraId="1C371FE9" w14:textId="77777777" w:rsidR="0076292E" w:rsidRPr="00E45F61" w:rsidRDefault="00B7499E" w:rsidP="0076292E">
      <w:pPr>
        <w:pStyle w:val="Heading2"/>
        <w:ind w:left="90"/>
        <w:rPr>
          <w:lang w:val="es-419"/>
        </w:rPr>
      </w:pPr>
      <w:r w:rsidRPr="00E45F61">
        <w:rPr>
          <w:rFonts w:eastAsia="Arial"/>
          <w:szCs w:val="22"/>
          <w:lang w:val="es-419"/>
        </w:rPr>
        <w:t>Auditoría de LA GESTIÓN DE LA CIBERSEGURIDAD (IA</w:t>
      </w:r>
      <w:r w:rsidR="008D09ED" w:rsidRPr="00E45F61">
        <w:rPr>
          <w:rFonts w:eastAsia="Arial"/>
          <w:szCs w:val="22"/>
          <w:lang w:val="es-419"/>
        </w:rPr>
        <w:t> 2</w:t>
      </w:r>
      <w:r w:rsidRPr="00E45F61">
        <w:rPr>
          <w:rFonts w:eastAsia="Arial"/>
          <w:szCs w:val="22"/>
          <w:lang w:val="es-419"/>
        </w:rPr>
        <w:t>024-02)</w:t>
      </w:r>
    </w:p>
    <w:p w14:paraId="09CFE65E" w14:textId="77777777" w:rsidR="0076292E" w:rsidRPr="00E45F61" w:rsidRDefault="00B7499E" w:rsidP="0076292E">
      <w:pPr>
        <w:pStyle w:val="ONUME"/>
        <w:tabs>
          <w:tab w:val="clear" w:pos="567"/>
          <w:tab w:val="num" w:pos="657"/>
        </w:tabs>
        <w:ind w:left="90"/>
        <w:rPr>
          <w:lang w:val="es-419" w:eastAsia="en-US"/>
        </w:rPr>
      </w:pPr>
      <w:bookmarkStart w:id="27" w:name="_Hlk105684356"/>
      <w:r w:rsidRPr="00E45F61">
        <w:rPr>
          <w:rFonts w:eastAsia="Arial"/>
          <w:szCs w:val="22"/>
          <w:lang w:val="es-419" w:eastAsia="en-US"/>
        </w:rPr>
        <w:t xml:space="preserve">La DSI contrató a una empresa consultora de servicios profesionales para auditar la gestión de la ciberseguridad en la OMPI, evaluar la adecuación y eficacia de la gobernanza, la gestión de riesgos y los controles, e identificar oportunidades de mejora. </w:t>
      </w:r>
    </w:p>
    <w:p w14:paraId="07C56AE2" w14:textId="0ED36FC6" w:rsidR="0076292E" w:rsidRPr="00E45F61" w:rsidRDefault="00B7499E" w:rsidP="0076292E">
      <w:pPr>
        <w:pStyle w:val="ONUME"/>
        <w:tabs>
          <w:tab w:val="clear" w:pos="567"/>
          <w:tab w:val="num" w:pos="657"/>
        </w:tabs>
        <w:ind w:left="90"/>
        <w:rPr>
          <w:lang w:val="es-419" w:eastAsia="en-US"/>
        </w:rPr>
      </w:pPr>
      <w:r w:rsidRPr="00E45F61">
        <w:rPr>
          <w:rFonts w:eastAsia="Arial"/>
          <w:szCs w:val="22"/>
          <w:lang w:val="es-419" w:eastAsia="en-US"/>
        </w:rPr>
        <w:t>La auditoría constató que la OMPI ha adoptado medidas de seguridad que están en conformidad con las normas ISO</w:t>
      </w:r>
      <w:r w:rsidR="008D09ED" w:rsidRPr="00E45F61">
        <w:rPr>
          <w:rFonts w:eastAsia="Arial"/>
          <w:szCs w:val="22"/>
          <w:lang w:val="es-419" w:eastAsia="en-US"/>
        </w:rPr>
        <w:t> 2</w:t>
      </w:r>
      <w:r w:rsidRPr="00E45F61">
        <w:rPr>
          <w:rFonts w:eastAsia="Arial"/>
          <w:szCs w:val="22"/>
          <w:lang w:val="es-419" w:eastAsia="en-US"/>
        </w:rPr>
        <w:t>7001</w:t>
      </w:r>
      <w:r w:rsidR="00404AC3" w:rsidRPr="00E45F61">
        <w:rPr>
          <w:rFonts w:eastAsia="Arial"/>
          <w:szCs w:val="22"/>
          <w:lang w:val="es-419" w:eastAsia="en-US"/>
        </w:rPr>
        <w:t>,</w:t>
      </w:r>
      <w:r w:rsidRPr="00E45F61">
        <w:rPr>
          <w:rStyle w:val="FootnoteReference"/>
          <w:lang w:val="es-419" w:eastAsia="en-US"/>
        </w:rPr>
        <w:footnoteReference w:id="9"/>
      </w:r>
      <w:r w:rsidRPr="00E45F61">
        <w:rPr>
          <w:rFonts w:eastAsia="Arial"/>
          <w:szCs w:val="22"/>
          <w:lang w:val="es-419" w:eastAsia="en-US"/>
        </w:rPr>
        <w:t xml:space="preserve"> y que se aplican medidas de seguridad específicas para el entorno en la nube de la Organización.</w:t>
      </w:r>
      <w:bookmarkEnd w:id="27"/>
      <w:r w:rsidRPr="00E45F61">
        <w:rPr>
          <w:rFonts w:eastAsia="Arial"/>
          <w:szCs w:val="22"/>
          <w:lang w:val="es-419" w:eastAsia="en-US"/>
        </w:rPr>
        <w:t xml:space="preserve"> </w:t>
      </w:r>
      <w:r w:rsidR="00952C0B" w:rsidRPr="00E45F61">
        <w:rPr>
          <w:rFonts w:eastAsia="Arial"/>
          <w:szCs w:val="22"/>
          <w:lang w:val="es-419" w:eastAsia="en-US"/>
        </w:rPr>
        <w:t>Se</w:t>
      </w:r>
      <w:r w:rsidRPr="00E45F61">
        <w:rPr>
          <w:rFonts w:eastAsia="Arial"/>
          <w:szCs w:val="22"/>
          <w:lang w:val="es-419" w:eastAsia="en-US"/>
        </w:rPr>
        <w:t xml:space="preserve"> formuló una recomendación de alta prioridad relacionada con la actualización periódica de los parches de seguridad. La conclusión general de la actividad, basada en las observaciones de la auditoría, fue </w:t>
      </w:r>
      <w:r w:rsidR="008D09ED" w:rsidRPr="00E45F61">
        <w:rPr>
          <w:rFonts w:eastAsia="Arial"/>
          <w:szCs w:val="22"/>
          <w:lang w:val="es-419" w:eastAsia="en-US"/>
        </w:rPr>
        <w:t>“</w:t>
      </w:r>
      <w:r w:rsidRPr="00E45F61">
        <w:rPr>
          <w:rFonts w:eastAsia="Arial"/>
          <w:szCs w:val="22"/>
          <w:lang w:val="es-419" w:eastAsia="en-US"/>
        </w:rPr>
        <w:t>Satisfactoria, se necesitan algunas mejoras</w:t>
      </w:r>
      <w:r w:rsidR="008D09ED" w:rsidRPr="00E45F61">
        <w:rPr>
          <w:rFonts w:eastAsia="Arial"/>
          <w:szCs w:val="22"/>
          <w:lang w:val="es-419" w:eastAsia="en-US"/>
        </w:rPr>
        <w:t>”</w:t>
      </w:r>
      <w:r w:rsidRPr="00E45F61">
        <w:rPr>
          <w:rFonts w:eastAsia="Arial"/>
          <w:szCs w:val="22"/>
          <w:lang w:val="es-419" w:eastAsia="en-US"/>
        </w:rPr>
        <w:t>.</w:t>
      </w:r>
    </w:p>
    <w:p w14:paraId="3BA22590" w14:textId="77777777" w:rsidR="0076292E" w:rsidRPr="00E45F61" w:rsidRDefault="00B7499E" w:rsidP="00351FC3">
      <w:pPr>
        <w:pStyle w:val="Heading2"/>
        <w:spacing w:after="120"/>
        <w:ind w:left="91"/>
        <w:rPr>
          <w:lang w:val="es-419"/>
        </w:rPr>
      </w:pPr>
      <w:r w:rsidRPr="00E45F61">
        <w:rPr>
          <w:rFonts w:eastAsia="Arial"/>
          <w:szCs w:val="22"/>
          <w:lang w:val="es-419"/>
        </w:rPr>
        <w:lastRenderedPageBreak/>
        <w:t>Examen del diseño y la eficacia operativa que hace la DSI de los controles clave en la OMPI (IA</w:t>
      </w:r>
      <w:r w:rsidR="008D09ED" w:rsidRPr="00E45F61">
        <w:rPr>
          <w:rFonts w:eastAsia="Arial"/>
          <w:szCs w:val="22"/>
          <w:lang w:val="es-419"/>
        </w:rPr>
        <w:t> 2</w:t>
      </w:r>
      <w:r w:rsidRPr="00E45F61">
        <w:rPr>
          <w:rFonts w:eastAsia="Arial"/>
          <w:szCs w:val="22"/>
          <w:lang w:val="es-419"/>
        </w:rPr>
        <w:t>024-03)</w:t>
      </w:r>
    </w:p>
    <w:p w14:paraId="5687C766" w14:textId="77777777" w:rsidR="0076292E" w:rsidRPr="00E45F61" w:rsidRDefault="00B7499E" w:rsidP="0076292E">
      <w:pPr>
        <w:pStyle w:val="ONUME"/>
        <w:tabs>
          <w:tab w:val="clear" w:pos="567"/>
          <w:tab w:val="num" w:pos="657"/>
        </w:tabs>
        <w:ind w:left="90"/>
        <w:rPr>
          <w:lang w:val="es-419" w:eastAsia="en-US"/>
        </w:rPr>
      </w:pPr>
      <w:r w:rsidRPr="00E45F61">
        <w:rPr>
          <w:rFonts w:eastAsia="Arial"/>
          <w:szCs w:val="22"/>
          <w:lang w:val="es-419" w:eastAsia="en-US"/>
        </w:rPr>
        <w:t>La DSI efectuó pruebas piloto de los controles clave en la OMPI para ofrecer a los Estados miembros garantías adicionales sobre esferas clave como la gobernanza, la gestión de riesgos y los controles, y sustentar la Declaración sobre el Control Interno del Director General para el ejercicio que finaliza el</w:t>
      </w:r>
      <w:r w:rsidR="008D09ED" w:rsidRPr="00E45F61">
        <w:rPr>
          <w:rFonts w:eastAsia="Arial"/>
          <w:szCs w:val="22"/>
          <w:lang w:val="es-419" w:eastAsia="en-US"/>
        </w:rPr>
        <w:t> 3</w:t>
      </w:r>
      <w:r w:rsidRPr="00E45F61">
        <w:rPr>
          <w:rFonts w:eastAsia="Arial"/>
          <w:szCs w:val="22"/>
          <w:lang w:val="es-419" w:eastAsia="en-US"/>
        </w:rPr>
        <w:t>1 de diciembre de</w:t>
      </w:r>
      <w:r w:rsidR="008D09ED" w:rsidRPr="00E45F61">
        <w:rPr>
          <w:rFonts w:eastAsia="Arial"/>
          <w:szCs w:val="22"/>
          <w:lang w:val="es-419" w:eastAsia="en-US"/>
        </w:rPr>
        <w:t> 2</w:t>
      </w:r>
      <w:r w:rsidRPr="00E45F61">
        <w:rPr>
          <w:rFonts w:eastAsia="Arial"/>
          <w:szCs w:val="22"/>
          <w:lang w:val="es-419" w:eastAsia="en-US"/>
        </w:rPr>
        <w:t>025, siguiendo la recomendación del auditor externo</w:t>
      </w:r>
      <w:r w:rsidRPr="00E45F61">
        <w:rPr>
          <w:rStyle w:val="FootnoteReference"/>
          <w:lang w:val="es-419" w:eastAsia="en-US"/>
        </w:rPr>
        <w:footnoteReference w:id="10"/>
      </w:r>
      <w:r w:rsidRPr="00E45F61">
        <w:rPr>
          <w:rFonts w:eastAsia="Arial"/>
          <w:szCs w:val="22"/>
          <w:lang w:val="es-419" w:eastAsia="en-US"/>
        </w:rPr>
        <w:t xml:space="preserve"> y los requisitos de las nuevas normas mundiales de auditoría interna. </w:t>
      </w:r>
    </w:p>
    <w:p w14:paraId="31F975D6" w14:textId="6875AC74" w:rsidR="0076292E" w:rsidRPr="00E45F61" w:rsidRDefault="00B7499E" w:rsidP="00A62122">
      <w:pPr>
        <w:pStyle w:val="ONUME"/>
        <w:tabs>
          <w:tab w:val="clear" w:pos="567"/>
          <w:tab w:val="num" w:pos="657"/>
        </w:tabs>
        <w:spacing w:after="480"/>
        <w:ind w:left="91"/>
        <w:rPr>
          <w:lang w:val="es-419" w:eastAsia="en-US"/>
        </w:rPr>
      </w:pPr>
      <w:r w:rsidRPr="00E45F61">
        <w:rPr>
          <w:rFonts w:eastAsia="Arial"/>
          <w:szCs w:val="22"/>
          <w:lang w:val="es-419" w:eastAsia="en-US"/>
        </w:rPr>
        <w:t>Entre febrero y abril de</w:t>
      </w:r>
      <w:r w:rsidR="008D09ED" w:rsidRPr="00E45F61">
        <w:rPr>
          <w:rFonts w:eastAsia="Arial"/>
          <w:szCs w:val="22"/>
          <w:lang w:val="es-419" w:eastAsia="en-US"/>
        </w:rPr>
        <w:t> 2</w:t>
      </w:r>
      <w:r w:rsidRPr="00E45F61">
        <w:rPr>
          <w:rFonts w:eastAsia="Arial"/>
          <w:szCs w:val="22"/>
          <w:lang w:val="es-419" w:eastAsia="en-US"/>
        </w:rPr>
        <w:t>024, la DSI evaluó</w:t>
      </w:r>
      <w:r w:rsidR="008D09ED" w:rsidRPr="00E45F61">
        <w:rPr>
          <w:rFonts w:eastAsia="Arial"/>
          <w:szCs w:val="22"/>
          <w:lang w:val="es-419" w:eastAsia="en-US"/>
        </w:rPr>
        <w:t> 4</w:t>
      </w:r>
      <w:r w:rsidRPr="00E45F61">
        <w:rPr>
          <w:rFonts w:eastAsia="Arial"/>
          <w:szCs w:val="22"/>
          <w:lang w:val="es-419" w:eastAsia="en-US"/>
        </w:rPr>
        <w:t xml:space="preserve">5 controles clave de forma independiente. Aunque no se identificaron fallos significativos en los procesos, se aplazaron las conclusiones sobre el diseño, la aplicación y la eficacia de los controles clave a la espera de una nueva reformulación de los controles para centrarse en los que garantizan la eficacia operativa de los procesos asociados. Además, como propuso la DSI, se constató la necesidad de racionalizar los principales controles organizativos de la Organización para eliminar los solapamientos relativos a los mismos objetivos de control. Desde entonces, la </w:t>
      </w:r>
      <w:r w:rsidR="007C097D" w:rsidRPr="00E45F61">
        <w:rPr>
          <w:rFonts w:eastAsia="Arial"/>
          <w:szCs w:val="22"/>
          <w:lang w:val="es-419"/>
        </w:rPr>
        <w:t xml:space="preserve">Sección de Gobernanza, Riesgos y Cumplimiento (anteriormente </w:t>
      </w:r>
      <w:r w:rsidRPr="00E45F61">
        <w:rPr>
          <w:rFonts w:eastAsia="Arial"/>
          <w:szCs w:val="22"/>
          <w:lang w:val="es-419" w:eastAsia="en-US"/>
        </w:rPr>
        <w:t xml:space="preserve">Oficina </w:t>
      </w:r>
      <w:r w:rsidR="00AC6237" w:rsidRPr="00E45F61">
        <w:rPr>
          <w:rFonts w:eastAsia="Arial"/>
          <w:szCs w:val="22"/>
          <w:lang w:val="es-419" w:eastAsia="en-US"/>
        </w:rPr>
        <w:t>de la Contralora</w:t>
      </w:r>
      <w:r w:rsidR="007C097D" w:rsidRPr="00E45F61">
        <w:rPr>
          <w:rFonts w:eastAsia="Arial"/>
          <w:szCs w:val="22"/>
          <w:lang w:val="es-419" w:eastAsia="en-US"/>
        </w:rPr>
        <w:t>)</w:t>
      </w:r>
      <w:r w:rsidRPr="00E45F61">
        <w:rPr>
          <w:rFonts w:eastAsia="Arial"/>
          <w:szCs w:val="22"/>
          <w:lang w:val="es-419" w:eastAsia="en-US"/>
        </w:rPr>
        <w:t xml:space="preserve"> y otros responsables de procesos han reformulado los controles clave, reduciéndolos de</w:t>
      </w:r>
      <w:r w:rsidR="008D09ED" w:rsidRPr="00E45F61">
        <w:rPr>
          <w:rFonts w:eastAsia="Arial"/>
          <w:szCs w:val="22"/>
          <w:lang w:val="es-419" w:eastAsia="en-US"/>
        </w:rPr>
        <w:t> 7</w:t>
      </w:r>
      <w:r w:rsidRPr="00E45F61">
        <w:rPr>
          <w:rFonts w:eastAsia="Arial"/>
          <w:szCs w:val="22"/>
          <w:lang w:val="es-419" w:eastAsia="en-US"/>
        </w:rPr>
        <w:t>6 a</w:t>
      </w:r>
      <w:r w:rsidR="008D09ED" w:rsidRPr="00E45F61">
        <w:rPr>
          <w:rFonts w:eastAsia="Arial"/>
          <w:szCs w:val="22"/>
          <w:lang w:val="es-419" w:eastAsia="en-US"/>
        </w:rPr>
        <w:t> 4</w:t>
      </w:r>
      <w:r w:rsidRPr="00E45F61">
        <w:rPr>
          <w:rFonts w:eastAsia="Arial"/>
          <w:szCs w:val="22"/>
          <w:lang w:val="es-419" w:eastAsia="en-US"/>
        </w:rPr>
        <w:t>0. El plan de trabajo de la DSI para</w:t>
      </w:r>
      <w:r w:rsidR="008D09ED" w:rsidRPr="00E45F61">
        <w:rPr>
          <w:rFonts w:eastAsia="Arial"/>
          <w:szCs w:val="22"/>
          <w:lang w:val="es-419" w:eastAsia="en-US"/>
        </w:rPr>
        <w:t> 2</w:t>
      </w:r>
      <w:r w:rsidRPr="00E45F61">
        <w:rPr>
          <w:rFonts w:eastAsia="Arial"/>
          <w:szCs w:val="22"/>
          <w:lang w:val="es-419" w:eastAsia="en-US"/>
        </w:rPr>
        <w:t>025 incluye probar los controles clave a lo largo de</w:t>
      </w:r>
      <w:r w:rsidR="008D09ED" w:rsidRPr="00E45F61">
        <w:rPr>
          <w:rFonts w:eastAsia="Arial"/>
          <w:szCs w:val="22"/>
          <w:lang w:val="es-419" w:eastAsia="en-US"/>
        </w:rPr>
        <w:t> 2</w:t>
      </w:r>
      <w:r w:rsidRPr="00E45F61">
        <w:rPr>
          <w:rFonts w:eastAsia="Arial"/>
          <w:szCs w:val="22"/>
          <w:lang w:val="es-419" w:eastAsia="en-US"/>
        </w:rPr>
        <w:t>025.</w:t>
      </w:r>
    </w:p>
    <w:p w14:paraId="4A2A6E28" w14:textId="77777777" w:rsidR="0076292E" w:rsidRPr="00E45F61" w:rsidRDefault="00B7499E" w:rsidP="00351FC3">
      <w:pPr>
        <w:pStyle w:val="Heading2"/>
        <w:tabs>
          <w:tab w:val="left" w:pos="180"/>
        </w:tabs>
        <w:spacing w:after="120"/>
        <w:ind w:left="91"/>
        <w:rPr>
          <w:lang w:val="es-419"/>
        </w:rPr>
      </w:pPr>
      <w:r w:rsidRPr="00E45F61">
        <w:rPr>
          <w:rFonts w:eastAsia="Arial"/>
          <w:szCs w:val="22"/>
          <w:lang w:val="es-419"/>
        </w:rPr>
        <w:t>Auditoría de la División de Traducción del PCT (IA</w:t>
      </w:r>
      <w:r w:rsidR="008D09ED" w:rsidRPr="00E45F61">
        <w:rPr>
          <w:rFonts w:eastAsia="Arial"/>
          <w:szCs w:val="22"/>
          <w:lang w:val="es-419"/>
        </w:rPr>
        <w:t> 2</w:t>
      </w:r>
      <w:r w:rsidRPr="00E45F61">
        <w:rPr>
          <w:rFonts w:eastAsia="Arial"/>
          <w:szCs w:val="22"/>
          <w:lang w:val="es-419"/>
        </w:rPr>
        <w:t>024-04)</w:t>
      </w:r>
    </w:p>
    <w:p w14:paraId="58D0BF15" w14:textId="6D85856F"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auditó la División de Traducción del PCT para examinar la adecuación y eficacia de la gobernanza, la gestión de riesgos y los controles de los principales procesos implicados en las actividades de</w:t>
      </w:r>
      <w:r w:rsidR="008D09ED" w:rsidRPr="00E45F61">
        <w:rPr>
          <w:rFonts w:eastAsia="Arial"/>
          <w:szCs w:val="22"/>
          <w:lang w:val="es-419"/>
        </w:rPr>
        <w:t> 2</w:t>
      </w:r>
      <w:r w:rsidRPr="00E45F61">
        <w:rPr>
          <w:rFonts w:eastAsia="Arial"/>
          <w:szCs w:val="22"/>
          <w:lang w:val="es-419"/>
        </w:rPr>
        <w:t>023 y</w:t>
      </w:r>
      <w:r w:rsidR="008D09ED" w:rsidRPr="00E45F61">
        <w:rPr>
          <w:rFonts w:eastAsia="Arial"/>
          <w:szCs w:val="22"/>
          <w:lang w:val="es-419"/>
        </w:rPr>
        <w:t> 2</w:t>
      </w:r>
      <w:r w:rsidRPr="00E45F61">
        <w:rPr>
          <w:rFonts w:eastAsia="Arial"/>
          <w:szCs w:val="22"/>
          <w:lang w:val="es-419"/>
        </w:rPr>
        <w:t xml:space="preserve">024. La auditoría examinó la consonancia con los resultados previstos, la ejecución presupuestaria, la gestión de recursos, el seguimiento del rendimiento, la gestión de riesgos, los riesgos y controles clave, el control de calidad de las traducciones, la seguridad informática de las </w:t>
      </w:r>
      <w:r w:rsidR="00477073" w:rsidRPr="00E45F61">
        <w:rPr>
          <w:rFonts w:eastAsia="Arial"/>
          <w:szCs w:val="22"/>
          <w:lang w:val="es-419"/>
        </w:rPr>
        <w:t xml:space="preserve">principales </w:t>
      </w:r>
      <w:r w:rsidRPr="00E45F61">
        <w:rPr>
          <w:rFonts w:eastAsia="Arial"/>
          <w:szCs w:val="22"/>
          <w:lang w:val="es-419"/>
        </w:rPr>
        <w:t>aplicaciones</w:t>
      </w:r>
      <w:r w:rsidR="006C65AB" w:rsidRPr="00E45F61">
        <w:rPr>
          <w:rFonts w:eastAsia="Arial"/>
          <w:szCs w:val="22"/>
          <w:lang w:val="es-419"/>
        </w:rPr>
        <w:t>,</w:t>
      </w:r>
      <w:r w:rsidRPr="00E45F61">
        <w:rPr>
          <w:rStyle w:val="FootnoteReference"/>
          <w:lang w:val="es-419"/>
        </w:rPr>
        <w:footnoteReference w:id="11"/>
      </w:r>
      <w:r w:rsidRPr="00E45F61">
        <w:rPr>
          <w:rFonts w:eastAsia="Arial"/>
          <w:szCs w:val="22"/>
          <w:lang w:val="es-419"/>
        </w:rPr>
        <w:t xml:space="preserve"> la costoeficacia</w:t>
      </w:r>
      <w:r w:rsidRPr="00E45F61">
        <w:rPr>
          <w:rStyle w:val="FootnoteReference"/>
          <w:lang w:val="es-419"/>
        </w:rPr>
        <w:footnoteReference w:id="12"/>
      </w:r>
      <w:r w:rsidRPr="00E45F61">
        <w:rPr>
          <w:rFonts w:eastAsia="Arial"/>
          <w:szCs w:val="22"/>
          <w:lang w:val="es-419"/>
        </w:rPr>
        <w:t xml:space="preserve"> de las traducciones, la contratación de traductores externos, la gestión de la continuidad de las </w:t>
      </w:r>
      <w:r w:rsidR="0067766A" w:rsidRPr="00E45F61">
        <w:rPr>
          <w:rFonts w:eastAsia="Arial"/>
          <w:szCs w:val="22"/>
          <w:lang w:val="es-419"/>
        </w:rPr>
        <w:t>operaciones</w:t>
      </w:r>
      <w:r w:rsidRPr="00E45F61">
        <w:rPr>
          <w:rFonts w:eastAsia="Arial"/>
          <w:szCs w:val="22"/>
          <w:lang w:val="es-419"/>
        </w:rPr>
        <w:t xml:space="preserve"> y los sistemas y herramientas relacionados.</w:t>
      </w:r>
    </w:p>
    <w:p w14:paraId="5B3F7E91" w14:textId="56863BD9"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 xml:space="preserve">La conclusión general para la actividad, basada en las observaciones de la auditoría, fue </w:t>
      </w:r>
      <w:r w:rsidR="008D09ED" w:rsidRPr="00E45F61">
        <w:rPr>
          <w:rFonts w:eastAsia="Arial"/>
          <w:szCs w:val="22"/>
          <w:lang w:val="es-419"/>
        </w:rPr>
        <w:t>“</w:t>
      </w:r>
      <w:r w:rsidRPr="00E45F61">
        <w:rPr>
          <w:rFonts w:eastAsia="Arial"/>
          <w:szCs w:val="22"/>
          <w:lang w:val="es-419"/>
        </w:rPr>
        <w:t>Satisfactoria, se necesitan algunas mejoras</w:t>
      </w:r>
      <w:r w:rsidR="008D09ED" w:rsidRPr="00E45F61">
        <w:rPr>
          <w:rFonts w:eastAsia="Arial"/>
          <w:szCs w:val="22"/>
          <w:lang w:val="es-419"/>
        </w:rPr>
        <w:t>”</w:t>
      </w:r>
      <w:r w:rsidRPr="00E45F61">
        <w:rPr>
          <w:rFonts w:eastAsia="Arial"/>
          <w:szCs w:val="22"/>
          <w:lang w:val="es-419"/>
        </w:rPr>
        <w:t>.</w:t>
      </w:r>
    </w:p>
    <w:p w14:paraId="2DE756C5" w14:textId="77777777" w:rsidR="0076292E" w:rsidRPr="00E45F61" w:rsidRDefault="00B7499E" w:rsidP="00351FC3">
      <w:pPr>
        <w:pStyle w:val="Heading2"/>
        <w:spacing w:after="120"/>
        <w:ind w:left="91"/>
        <w:rPr>
          <w:lang w:val="es-419"/>
        </w:rPr>
      </w:pPr>
      <w:r w:rsidRPr="00E45F61">
        <w:rPr>
          <w:rFonts w:eastAsia="Arial"/>
          <w:szCs w:val="22"/>
          <w:lang w:val="es-419"/>
        </w:rPr>
        <w:t>Auditoría interna de la Oficina de la OMPI en Nigeria (IA</w:t>
      </w:r>
      <w:r w:rsidR="008D09ED" w:rsidRPr="00E45F61">
        <w:rPr>
          <w:rFonts w:eastAsia="Arial"/>
          <w:szCs w:val="22"/>
          <w:lang w:val="es-419"/>
        </w:rPr>
        <w:t> 2</w:t>
      </w:r>
      <w:r w:rsidRPr="00E45F61">
        <w:rPr>
          <w:rFonts w:eastAsia="Arial"/>
          <w:szCs w:val="22"/>
          <w:lang w:val="es-419"/>
        </w:rPr>
        <w:t>024-05)</w:t>
      </w:r>
    </w:p>
    <w:p w14:paraId="1EF89218" w14:textId="6FAD41D0"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objetivo de la auditoría de la Oficina de la OMPI en Nigeria era evaluar la adecuación y eficacia de la gobernanza, la gestión de riesgos y los controles de los principales procesos implicados en las actividades de</w:t>
      </w:r>
      <w:r w:rsidR="008D09ED" w:rsidRPr="00E45F61">
        <w:rPr>
          <w:rFonts w:eastAsia="Arial"/>
          <w:szCs w:val="22"/>
          <w:lang w:val="es-419"/>
        </w:rPr>
        <w:t> 2</w:t>
      </w:r>
      <w:r w:rsidRPr="00E45F61">
        <w:rPr>
          <w:rFonts w:eastAsia="Arial"/>
          <w:szCs w:val="22"/>
          <w:lang w:val="es-419"/>
        </w:rPr>
        <w:t xml:space="preserve">024. La auditoría examinó la consonancia con los resultados previstos, la ejecución presupuestaria, la gestión de recursos, el seguimiento del rendimiento, la gestión de riesgos, los riesgos y controles clave, la gestión de la continuidad de las </w:t>
      </w:r>
      <w:r w:rsidR="00381687" w:rsidRPr="00E45F61">
        <w:rPr>
          <w:rFonts w:eastAsia="Arial"/>
          <w:szCs w:val="22"/>
          <w:lang w:val="es-419"/>
        </w:rPr>
        <w:t>operaciones</w:t>
      </w:r>
      <w:r w:rsidRPr="00E45F61">
        <w:rPr>
          <w:rFonts w:eastAsia="Arial"/>
          <w:szCs w:val="22"/>
          <w:lang w:val="es-419"/>
        </w:rPr>
        <w:t xml:space="preserve"> y los sistemas y herramientas relacionados.</w:t>
      </w:r>
    </w:p>
    <w:p w14:paraId="410963FB"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Se concluyó, en general, que la operación era </w:t>
      </w:r>
      <w:r w:rsidR="008D09ED" w:rsidRPr="00E45F61">
        <w:rPr>
          <w:rFonts w:eastAsia="Arial"/>
          <w:szCs w:val="22"/>
          <w:lang w:val="es-419"/>
        </w:rPr>
        <w:t>“</w:t>
      </w:r>
      <w:r w:rsidRPr="00E45F61">
        <w:rPr>
          <w:rFonts w:eastAsia="Arial"/>
          <w:szCs w:val="22"/>
          <w:lang w:val="es-419"/>
        </w:rPr>
        <w:t>plenamente satisfactoria</w:t>
      </w:r>
      <w:r w:rsidR="008D09ED" w:rsidRPr="00E45F61">
        <w:rPr>
          <w:rFonts w:eastAsia="Arial"/>
          <w:szCs w:val="22"/>
          <w:lang w:val="es-419"/>
        </w:rPr>
        <w:t>”</w:t>
      </w:r>
      <w:r w:rsidRPr="00E45F61">
        <w:rPr>
          <w:rFonts w:eastAsia="Arial"/>
          <w:szCs w:val="22"/>
          <w:lang w:val="es-419"/>
        </w:rPr>
        <w:t xml:space="preserve"> y la DSI no formuló recomendación formal alguna.</w:t>
      </w:r>
    </w:p>
    <w:p w14:paraId="204D760B" w14:textId="77777777" w:rsidR="0076292E" w:rsidRPr="00E45F61" w:rsidRDefault="00B7499E" w:rsidP="00351FC3">
      <w:pPr>
        <w:pStyle w:val="Heading2"/>
        <w:spacing w:after="120"/>
        <w:ind w:left="91"/>
        <w:rPr>
          <w:lang w:val="es-419"/>
        </w:rPr>
      </w:pPr>
      <w:r w:rsidRPr="00E45F61">
        <w:rPr>
          <w:rFonts w:eastAsia="Arial"/>
          <w:szCs w:val="22"/>
          <w:lang w:val="es-419"/>
        </w:rPr>
        <w:lastRenderedPageBreak/>
        <w:t>Validación del informe sobre el rendimiento de la OMPI (VALID</w:t>
      </w:r>
      <w:r w:rsidR="008D09ED" w:rsidRPr="00E45F61">
        <w:rPr>
          <w:rFonts w:eastAsia="Arial"/>
          <w:szCs w:val="22"/>
          <w:lang w:val="es-419"/>
        </w:rPr>
        <w:t> 2</w:t>
      </w:r>
      <w:r w:rsidRPr="00E45F61">
        <w:rPr>
          <w:rFonts w:eastAsia="Arial"/>
          <w:szCs w:val="22"/>
          <w:lang w:val="es-419"/>
        </w:rPr>
        <w:t>024-01)</w:t>
      </w:r>
    </w:p>
    <w:p w14:paraId="56B64003" w14:textId="2876AE3D"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La validación del Informe sobre el rendimiento de la OMPI</w:t>
      </w:r>
      <w:r w:rsidR="008D09ED" w:rsidRPr="00E45F61">
        <w:rPr>
          <w:rFonts w:eastAsia="Arial"/>
          <w:szCs w:val="22"/>
          <w:lang w:val="es-419"/>
        </w:rPr>
        <w:t> 2</w:t>
      </w:r>
      <w:r w:rsidRPr="00E45F61">
        <w:rPr>
          <w:rFonts w:eastAsia="Arial"/>
          <w:szCs w:val="22"/>
          <w:lang w:val="es-419"/>
        </w:rPr>
        <w:t xml:space="preserve">022/23 </w:t>
      </w:r>
      <w:r w:rsidR="00002F83" w:rsidRPr="00E45F61">
        <w:rPr>
          <w:rFonts w:eastAsia="Arial"/>
          <w:szCs w:val="22"/>
          <w:lang w:val="es-419"/>
        </w:rPr>
        <w:t xml:space="preserve">de la DSI </w:t>
      </w:r>
      <w:r w:rsidRPr="00E45F61">
        <w:rPr>
          <w:rFonts w:eastAsia="Arial"/>
          <w:szCs w:val="22"/>
          <w:lang w:val="es-419"/>
        </w:rPr>
        <w:t>se presentó en la trigésima séptima sesión del Comité del Programa y Presupuesto, celebrada en Ginebra, del</w:t>
      </w:r>
      <w:r w:rsidR="008D09ED" w:rsidRPr="00E45F61">
        <w:rPr>
          <w:rFonts w:eastAsia="Arial"/>
          <w:szCs w:val="22"/>
          <w:lang w:val="es-419"/>
        </w:rPr>
        <w:t> 1</w:t>
      </w:r>
      <w:r w:rsidRPr="00E45F61">
        <w:rPr>
          <w:rFonts w:eastAsia="Arial"/>
          <w:szCs w:val="22"/>
          <w:lang w:val="es-419"/>
        </w:rPr>
        <w:t>0 al</w:t>
      </w:r>
      <w:r w:rsidR="008D09ED" w:rsidRPr="00E45F61">
        <w:rPr>
          <w:rFonts w:eastAsia="Arial"/>
          <w:szCs w:val="22"/>
          <w:lang w:val="es-419"/>
        </w:rPr>
        <w:t> 1</w:t>
      </w:r>
      <w:r w:rsidRPr="00E45F61">
        <w:rPr>
          <w:rFonts w:eastAsia="Arial"/>
          <w:szCs w:val="22"/>
          <w:lang w:val="es-419"/>
        </w:rPr>
        <w:t>4 de junio de</w:t>
      </w:r>
      <w:r w:rsidR="008D09ED" w:rsidRPr="00E45F61">
        <w:rPr>
          <w:rFonts w:eastAsia="Arial"/>
          <w:szCs w:val="22"/>
          <w:lang w:val="es-419"/>
        </w:rPr>
        <w:t> 2</w:t>
      </w:r>
      <w:r w:rsidRPr="00E45F61">
        <w:rPr>
          <w:rFonts w:eastAsia="Arial"/>
          <w:szCs w:val="22"/>
          <w:lang w:val="es-419"/>
        </w:rPr>
        <w:t>024</w:t>
      </w:r>
      <w:r w:rsidRPr="00E45F61">
        <w:rPr>
          <w:rStyle w:val="FootnoteReference"/>
          <w:lang w:val="es-419"/>
        </w:rPr>
        <w:footnoteReference w:id="13"/>
      </w:r>
      <w:r w:rsidRPr="00E45F61">
        <w:rPr>
          <w:rFonts w:eastAsia="Arial"/>
          <w:szCs w:val="22"/>
          <w:lang w:val="es-419"/>
        </w:rPr>
        <w:t xml:space="preserve"> y la sexagésima quinta serie de reuniones de las Asambleas de la OMPI, del</w:t>
      </w:r>
      <w:r w:rsidR="008D09ED" w:rsidRPr="00E45F61">
        <w:rPr>
          <w:rFonts w:eastAsia="Arial"/>
          <w:szCs w:val="22"/>
          <w:lang w:val="es-419"/>
        </w:rPr>
        <w:t> 9</w:t>
      </w:r>
      <w:r w:rsidRPr="00E45F61">
        <w:rPr>
          <w:rFonts w:eastAsia="Arial"/>
          <w:szCs w:val="22"/>
          <w:lang w:val="es-419"/>
        </w:rPr>
        <w:t xml:space="preserve"> al</w:t>
      </w:r>
      <w:r w:rsidR="008D09ED" w:rsidRPr="00E45F61">
        <w:rPr>
          <w:rFonts w:eastAsia="Arial"/>
          <w:szCs w:val="22"/>
          <w:lang w:val="es-419"/>
        </w:rPr>
        <w:t> 1</w:t>
      </w:r>
      <w:r w:rsidRPr="00E45F61">
        <w:rPr>
          <w:rFonts w:eastAsia="Arial"/>
          <w:szCs w:val="22"/>
          <w:lang w:val="es-419"/>
        </w:rPr>
        <w:t>7 de julio de</w:t>
      </w:r>
      <w:r w:rsidR="008D09ED" w:rsidRPr="00E45F61">
        <w:rPr>
          <w:rFonts w:eastAsia="Arial"/>
          <w:szCs w:val="22"/>
          <w:lang w:val="es-419"/>
        </w:rPr>
        <w:t> 2</w:t>
      </w:r>
      <w:r w:rsidRPr="00E45F61">
        <w:rPr>
          <w:rFonts w:eastAsia="Arial"/>
          <w:szCs w:val="22"/>
          <w:lang w:val="es-419"/>
        </w:rPr>
        <w:t>024.</w:t>
      </w:r>
    </w:p>
    <w:p w14:paraId="28C29FE3" w14:textId="5ED3EF5D" w:rsidR="0076292E" w:rsidRPr="00E45F61" w:rsidRDefault="00B7499E" w:rsidP="00351FC3">
      <w:pPr>
        <w:pStyle w:val="Heading2"/>
        <w:spacing w:after="120"/>
        <w:ind w:left="91"/>
        <w:rPr>
          <w:lang w:val="es-419"/>
        </w:rPr>
      </w:pPr>
      <w:bookmarkStart w:id="28" w:name="_Toc476745979"/>
      <w:r w:rsidRPr="00E45F61">
        <w:rPr>
          <w:rFonts w:eastAsia="Arial"/>
          <w:szCs w:val="22"/>
          <w:lang w:val="es-419"/>
        </w:rPr>
        <w:t>Exámenes de evaluación previa</w:t>
      </w:r>
    </w:p>
    <w:p w14:paraId="4D7C976A" w14:textId="5E756A84" w:rsidR="0076292E" w:rsidRPr="00E45F61" w:rsidRDefault="00B7499E" w:rsidP="00002F83">
      <w:pPr>
        <w:pStyle w:val="ONUME"/>
        <w:tabs>
          <w:tab w:val="clear" w:pos="567"/>
          <w:tab w:val="num" w:pos="657"/>
        </w:tabs>
        <w:spacing w:after="480"/>
        <w:ind w:left="91"/>
        <w:rPr>
          <w:lang w:val="es-419"/>
        </w:rPr>
      </w:pPr>
      <w:r w:rsidRPr="00E45F61">
        <w:rPr>
          <w:rFonts w:eastAsia="Arial"/>
          <w:szCs w:val="22"/>
          <w:lang w:val="es-419"/>
        </w:rPr>
        <w:t>De acuerdo con el plan de trabajo de supervisión de</w:t>
      </w:r>
      <w:r w:rsidR="008D09ED" w:rsidRPr="00E45F61">
        <w:rPr>
          <w:rFonts w:eastAsia="Arial"/>
          <w:szCs w:val="22"/>
          <w:lang w:val="es-419"/>
        </w:rPr>
        <w:t> 2</w:t>
      </w:r>
      <w:r w:rsidRPr="00E45F61">
        <w:rPr>
          <w:rFonts w:eastAsia="Arial"/>
          <w:szCs w:val="22"/>
          <w:lang w:val="es-419"/>
        </w:rPr>
        <w:t>024, la Sección de Evaluación debía realizar valoraciones de evaluabilidad de programas específicos para determinar la necesidad y el alcance de evaluaciones a gran escala, según procediera. Entre febrero y diciembre de</w:t>
      </w:r>
      <w:r w:rsidR="008D09ED" w:rsidRPr="00E45F61">
        <w:rPr>
          <w:rFonts w:eastAsia="Arial"/>
          <w:szCs w:val="22"/>
          <w:lang w:val="es-419"/>
        </w:rPr>
        <w:t> 2</w:t>
      </w:r>
      <w:r w:rsidRPr="00E45F61">
        <w:rPr>
          <w:rFonts w:eastAsia="Arial"/>
          <w:szCs w:val="22"/>
          <w:lang w:val="es-419"/>
        </w:rPr>
        <w:t xml:space="preserve">024. la DSI no contó con personal de evaluación debido a ausencias o bajas por enfermedad. </w:t>
      </w:r>
      <w:r w:rsidR="00002F83" w:rsidRPr="00E45F61">
        <w:rPr>
          <w:rFonts w:eastAsia="Arial"/>
          <w:szCs w:val="22"/>
          <w:lang w:val="es-419"/>
        </w:rPr>
        <w:t xml:space="preserve">A pesar de las limitaciones de personal mencionadas, </w:t>
      </w:r>
      <w:r w:rsidRPr="00E45F61">
        <w:rPr>
          <w:rFonts w:eastAsia="Arial"/>
          <w:szCs w:val="22"/>
          <w:lang w:val="es-419"/>
        </w:rPr>
        <w:t>la DSI realizó exámenes de evaluación previa de los siguientes programas:</w:t>
      </w:r>
    </w:p>
    <w:p w14:paraId="3FC99014" w14:textId="77777777" w:rsidR="0076292E" w:rsidRPr="00E45F61" w:rsidRDefault="00B7499E" w:rsidP="00351FC3">
      <w:pPr>
        <w:pStyle w:val="ONUME"/>
        <w:numPr>
          <w:ilvl w:val="1"/>
          <w:numId w:val="5"/>
        </w:numPr>
        <w:spacing w:after="120"/>
        <w:rPr>
          <w:lang w:val="es-419" w:bidi="th-TH"/>
        </w:rPr>
      </w:pPr>
      <w:r w:rsidRPr="00E45F61">
        <w:rPr>
          <w:rFonts w:eastAsia="Arial"/>
          <w:szCs w:val="22"/>
          <w:lang w:val="es-419" w:bidi="th-TH"/>
        </w:rPr>
        <w:t>WIPO Connect (EVAL</w:t>
      </w:r>
      <w:r w:rsidR="008D09ED" w:rsidRPr="00E45F61">
        <w:rPr>
          <w:rFonts w:eastAsia="Arial"/>
          <w:szCs w:val="22"/>
          <w:lang w:val="es-419" w:bidi="th-TH"/>
        </w:rPr>
        <w:t> 2</w:t>
      </w:r>
      <w:r w:rsidRPr="00E45F61">
        <w:rPr>
          <w:rFonts w:eastAsia="Arial"/>
          <w:szCs w:val="22"/>
          <w:lang w:val="es-419" w:bidi="th-TH"/>
        </w:rPr>
        <w:t>024-01);</w:t>
      </w:r>
    </w:p>
    <w:p w14:paraId="32A92F8D" w14:textId="77777777" w:rsidR="0076292E" w:rsidRPr="00E45F61" w:rsidRDefault="00B7499E" w:rsidP="00351FC3">
      <w:pPr>
        <w:pStyle w:val="ONUME"/>
        <w:numPr>
          <w:ilvl w:val="1"/>
          <w:numId w:val="5"/>
        </w:numPr>
        <w:spacing w:after="120"/>
        <w:rPr>
          <w:lang w:val="es-419" w:bidi="th-TH"/>
        </w:rPr>
      </w:pPr>
      <w:r w:rsidRPr="00E45F61">
        <w:rPr>
          <w:rFonts w:eastAsia="Arial"/>
          <w:szCs w:val="22"/>
          <w:lang w:val="es-419" w:bidi="th-TH"/>
        </w:rPr>
        <w:t>Programa de becas del Sistema de Madrid (EVAL</w:t>
      </w:r>
      <w:r w:rsidR="008D09ED" w:rsidRPr="00E45F61">
        <w:rPr>
          <w:rFonts w:eastAsia="Arial"/>
          <w:szCs w:val="22"/>
          <w:lang w:val="es-419" w:bidi="th-TH"/>
        </w:rPr>
        <w:t> 2</w:t>
      </w:r>
      <w:r w:rsidRPr="00E45F61">
        <w:rPr>
          <w:rFonts w:eastAsia="Arial"/>
          <w:szCs w:val="22"/>
          <w:lang w:val="es-419" w:bidi="th-TH"/>
        </w:rPr>
        <w:t>024-02); y</w:t>
      </w:r>
    </w:p>
    <w:p w14:paraId="1F91F75C" w14:textId="77777777" w:rsidR="0076292E" w:rsidRPr="00E45F61" w:rsidRDefault="00B7499E" w:rsidP="00E45F61">
      <w:pPr>
        <w:pStyle w:val="ONUME"/>
        <w:numPr>
          <w:ilvl w:val="1"/>
          <w:numId w:val="5"/>
        </w:numPr>
        <w:spacing w:after="240"/>
        <w:ind w:left="1134" w:hanging="567"/>
        <w:rPr>
          <w:lang w:val="es-419" w:bidi="th-TH"/>
        </w:rPr>
      </w:pPr>
      <w:r w:rsidRPr="00E45F61">
        <w:rPr>
          <w:rFonts w:eastAsia="Arial"/>
          <w:szCs w:val="22"/>
          <w:lang w:val="es-419" w:bidi="th-TH"/>
        </w:rPr>
        <w:t>Sección de enseñanza a distancia sobre PI de la Academia de la OMPI (EVAL</w:t>
      </w:r>
      <w:r w:rsidR="008D09ED" w:rsidRPr="00E45F61">
        <w:rPr>
          <w:rFonts w:eastAsia="Arial"/>
          <w:szCs w:val="22"/>
          <w:lang w:val="es-419" w:bidi="th-TH"/>
        </w:rPr>
        <w:t> 2</w:t>
      </w:r>
      <w:r w:rsidRPr="00E45F61">
        <w:rPr>
          <w:rFonts w:eastAsia="Arial"/>
          <w:szCs w:val="22"/>
          <w:lang w:val="es-419" w:bidi="th-TH"/>
        </w:rPr>
        <w:t>024-04).</w:t>
      </w:r>
    </w:p>
    <w:p w14:paraId="3DCB54AC" w14:textId="77777777" w:rsidR="0076292E" w:rsidRPr="00E45F61" w:rsidRDefault="00B7499E" w:rsidP="00351FC3">
      <w:pPr>
        <w:pStyle w:val="ONUME"/>
        <w:tabs>
          <w:tab w:val="clear" w:pos="567"/>
          <w:tab w:val="num" w:pos="657"/>
        </w:tabs>
        <w:spacing w:after="120"/>
        <w:ind w:left="90"/>
        <w:rPr>
          <w:lang w:val="es-419"/>
        </w:rPr>
      </w:pPr>
      <w:r w:rsidRPr="00E45F61">
        <w:rPr>
          <w:rFonts w:eastAsia="Arial"/>
          <w:szCs w:val="22"/>
          <w:lang w:val="es-419"/>
        </w:rPr>
        <w:t>Durante estos exámenes, y en consulta con la dirección, los exámenes de evaluación previa se ampliaron a dos programas adicionales, a saber:</w:t>
      </w:r>
    </w:p>
    <w:p w14:paraId="3C7C1291" w14:textId="77777777" w:rsidR="0076292E" w:rsidRPr="00E45F61" w:rsidRDefault="00B7499E" w:rsidP="00E45F61">
      <w:pPr>
        <w:pStyle w:val="ONUME"/>
        <w:numPr>
          <w:ilvl w:val="1"/>
          <w:numId w:val="5"/>
        </w:numPr>
        <w:spacing w:after="120"/>
        <w:ind w:left="1134" w:hanging="567"/>
        <w:rPr>
          <w:lang w:val="es-419" w:bidi="th-TH"/>
        </w:rPr>
      </w:pPr>
      <w:r w:rsidRPr="00E45F61">
        <w:rPr>
          <w:rFonts w:eastAsia="Arial"/>
          <w:szCs w:val="22"/>
          <w:lang w:val="es-419" w:bidi="th-TH"/>
        </w:rPr>
        <w:t>Programa de Instituciones Académicas y Capacitación para Directivos de la Academia de la OMPI (EVAL</w:t>
      </w:r>
      <w:r w:rsidR="008D09ED" w:rsidRPr="00E45F61">
        <w:rPr>
          <w:rFonts w:eastAsia="Arial"/>
          <w:szCs w:val="22"/>
          <w:lang w:val="es-419" w:bidi="th-TH"/>
        </w:rPr>
        <w:t> 2</w:t>
      </w:r>
      <w:r w:rsidRPr="00E45F61">
        <w:rPr>
          <w:rFonts w:eastAsia="Arial"/>
          <w:szCs w:val="22"/>
          <w:lang w:val="es-419" w:bidi="th-TH"/>
        </w:rPr>
        <w:t xml:space="preserve">024-03); y </w:t>
      </w:r>
    </w:p>
    <w:p w14:paraId="7EE11479" w14:textId="77777777" w:rsidR="0076292E" w:rsidRPr="00E45F61" w:rsidRDefault="00B7499E" w:rsidP="00351FC3">
      <w:pPr>
        <w:pStyle w:val="ONUME"/>
        <w:numPr>
          <w:ilvl w:val="1"/>
          <w:numId w:val="5"/>
        </w:numPr>
        <w:spacing w:after="240"/>
        <w:rPr>
          <w:lang w:val="es-419" w:bidi="th-TH"/>
        </w:rPr>
      </w:pPr>
      <w:r w:rsidRPr="00E45F61">
        <w:rPr>
          <w:rFonts w:eastAsia="Arial"/>
          <w:szCs w:val="22"/>
          <w:lang w:val="es-419" w:bidi="th-TH"/>
        </w:rPr>
        <w:t>Programas de becas de la OMPI (EVAL</w:t>
      </w:r>
      <w:r w:rsidR="008D09ED" w:rsidRPr="00E45F61">
        <w:rPr>
          <w:rFonts w:eastAsia="Arial"/>
          <w:szCs w:val="22"/>
          <w:lang w:val="es-419" w:bidi="th-TH"/>
        </w:rPr>
        <w:t> 2</w:t>
      </w:r>
      <w:r w:rsidRPr="00E45F61">
        <w:rPr>
          <w:rFonts w:eastAsia="Arial"/>
          <w:szCs w:val="22"/>
          <w:lang w:val="es-419" w:bidi="th-TH"/>
        </w:rPr>
        <w:t>024-05).</w:t>
      </w:r>
    </w:p>
    <w:p w14:paraId="1BDB50F5"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objetivo principal de los exámenes de evaluación previa era comprender el alcance, la estructura y las actividades de cada programa, los datos de las evaluaciones que se pueden conservar y la incidencia actual de dichos programas. El propósito de los exámenes era determinar su urgencia o sentar las bases para futuras evaluaciones examinando aspectos clave como el diseño del programa, los marcos de aplicación y los resultados.</w:t>
      </w:r>
    </w:p>
    <w:p w14:paraId="47BD892A" w14:textId="03D33F16" w:rsidR="0076292E" w:rsidRPr="00E45F61" w:rsidRDefault="00B7499E" w:rsidP="0076292E">
      <w:pPr>
        <w:pStyle w:val="ONUME"/>
        <w:tabs>
          <w:tab w:val="clear" w:pos="567"/>
          <w:tab w:val="num" w:pos="657"/>
        </w:tabs>
        <w:ind w:left="90"/>
        <w:rPr>
          <w:lang w:val="es-419"/>
        </w:rPr>
      </w:pPr>
      <w:r w:rsidRPr="00E45F61">
        <w:rPr>
          <w:rFonts w:eastAsia="Arial"/>
          <w:szCs w:val="22"/>
          <w:lang w:val="es-419"/>
        </w:rPr>
        <w:t>Basándose en las conclusiones de estos exámenes de evaluación previa, en</w:t>
      </w:r>
      <w:r w:rsidR="008D09ED" w:rsidRPr="00E45F61">
        <w:rPr>
          <w:rFonts w:eastAsia="Arial"/>
          <w:szCs w:val="22"/>
          <w:lang w:val="es-419"/>
        </w:rPr>
        <w:t> 2</w:t>
      </w:r>
      <w:r w:rsidRPr="00E45F61">
        <w:rPr>
          <w:rFonts w:eastAsia="Arial"/>
          <w:szCs w:val="22"/>
          <w:lang w:val="es-419"/>
        </w:rPr>
        <w:t>024 no se realizaron evaluaciones. No obstante, la DSI formuló recomendaciones específicas para reforzar los marcos de supervisión y mejorar la eficacia y el rendimiento de los programas.</w:t>
      </w:r>
    </w:p>
    <w:p w14:paraId="4D43F902"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examen de evaluación previa del programa de becas del Sistema de Madrid dio lugar a una recomendación de alta prioridad relativa al establecimiento de un proceso bien documentado para las diversas necesidades que sustentan los criterios para determinar los países candidatos finalmente seleccionados. La recomendación se ha aplicado. Una segunda recomendación de alta prioridad, cuya aplicación está prevista para fines de</w:t>
      </w:r>
      <w:r w:rsidR="008D09ED" w:rsidRPr="00E45F61">
        <w:rPr>
          <w:rFonts w:eastAsia="Arial"/>
          <w:szCs w:val="22"/>
          <w:lang w:val="es-419"/>
        </w:rPr>
        <w:t> 2</w:t>
      </w:r>
      <w:r w:rsidRPr="00E45F61">
        <w:rPr>
          <w:rFonts w:eastAsia="Arial"/>
          <w:szCs w:val="22"/>
          <w:lang w:val="es-419"/>
        </w:rPr>
        <w:t>025, aludía a la conveniencia de recabar la opinión de los Estados miembros participantes sobre el programa.</w:t>
      </w:r>
    </w:p>
    <w:p w14:paraId="43B49905"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examen de evaluación previa del Programa de Instituciones Académicas y Capacitación para Directivos de la Academia de la OMPI dio lugar a una recomendación de alta prioridad relativa a la realización de informes de estudios de seguimiento</w:t>
      </w:r>
      <w:r w:rsidRPr="00E45F61">
        <w:rPr>
          <w:rStyle w:val="FootnoteReference"/>
          <w:lang w:val="es-419"/>
        </w:rPr>
        <w:footnoteReference w:id="14"/>
      </w:r>
      <w:r w:rsidRPr="00E45F61">
        <w:rPr>
          <w:rFonts w:eastAsia="Arial"/>
          <w:szCs w:val="22"/>
          <w:lang w:val="es-419"/>
        </w:rPr>
        <w:t xml:space="preserve"> sobre dos programas que en</w:t>
      </w:r>
      <w:r w:rsidR="008D09ED" w:rsidRPr="00E45F61">
        <w:rPr>
          <w:rFonts w:eastAsia="Arial"/>
          <w:szCs w:val="22"/>
          <w:lang w:val="es-419"/>
        </w:rPr>
        <w:t> 2</w:t>
      </w:r>
      <w:r w:rsidRPr="00E45F61">
        <w:rPr>
          <w:rFonts w:eastAsia="Arial"/>
          <w:szCs w:val="22"/>
          <w:lang w:val="es-419"/>
        </w:rPr>
        <w:t xml:space="preserve">025 cumplen cinco años y a la documentación del número de becas que </w:t>
      </w:r>
      <w:r w:rsidRPr="00E45F61">
        <w:rPr>
          <w:rFonts w:eastAsia="Arial"/>
          <w:szCs w:val="22"/>
          <w:lang w:val="es-419"/>
        </w:rPr>
        <w:lastRenderedPageBreak/>
        <w:t>concederá la OMPI en cualquier año académico así como cualquier excepción al respecto. Esta recomendación se encuentra actualmente en fase de aplicación.</w:t>
      </w:r>
    </w:p>
    <w:p w14:paraId="025F1FC0" w14:textId="5A27EBC2" w:rsidR="0076292E" w:rsidRPr="00E45F61" w:rsidRDefault="00B7499E" w:rsidP="00351FC3">
      <w:pPr>
        <w:pStyle w:val="ONUME"/>
        <w:tabs>
          <w:tab w:val="clear" w:pos="567"/>
          <w:tab w:val="num" w:pos="657"/>
        </w:tabs>
        <w:spacing w:after="480"/>
        <w:ind w:left="91"/>
        <w:rPr>
          <w:lang w:val="es-419"/>
        </w:rPr>
      </w:pPr>
      <w:r w:rsidRPr="00E45F61">
        <w:rPr>
          <w:rFonts w:eastAsia="Arial"/>
          <w:szCs w:val="22"/>
          <w:lang w:val="es-419"/>
        </w:rPr>
        <w:t>Por último, el examen de evaluación previa de WIPO Connect dio lugar a una recomendación de alta prioridad, centrada en la contratación de jóvenes especialistas en inteligencia artificial para detectar coincidencias con WIPO Connect Local y la puesta en marcha de WIPO Connect Suite. Ambas actividades figuraban en el plan de trabajo</w:t>
      </w:r>
      <w:r w:rsidR="008D09ED" w:rsidRPr="00E45F61">
        <w:rPr>
          <w:rFonts w:eastAsia="Arial"/>
          <w:szCs w:val="22"/>
          <w:lang w:val="es-419"/>
        </w:rPr>
        <w:t> 2</w:t>
      </w:r>
      <w:r w:rsidRPr="00E45F61">
        <w:rPr>
          <w:rFonts w:eastAsia="Arial"/>
          <w:szCs w:val="22"/>
          <w:lang w:val="es-419"/>
        </w:rPr>
        <w:t>024 de la División de Gestión del Derecho de Autor.</w:t>
      </w:r>
    </w:p>
    <w:p w14:paraId="1651AE71" w14:textId="77777777" w:rsidR="0076292E" w:rsidRPr="00E45F61" w:rsidRDefault="00B7499E" w:rsidP="0076292E">
      <w:pPr>
        <w:pStyle w:val="Heading1"/>
        <w:ind w:left="90"/>
        <w:rPr>
          <w:lang w:val="es-419"/>
        </w:rPr>
      </w:pPr>
      <w:bookmarkStart w:id="29" w:name="_Toc39071249"/>
      <w:bookmarkStart w:id="30" w:name="_Hlk156899119"/>
      <w:bookmarkStart w:id="31" w:name="_Toc328920437"/>
      <w:bookmarkStart w:id="32" w:name="_Toc197337708"/>
      <w:bookmarkEnd w:id="28"/>
      <w:r w:rsidRPr="00E45F61">
        <w:rPr>
          <w:rFonts w:eastAsia="Arial"/>
          <w:szCs w:val="22"/>
          <w:lang w:val="es-419"/>
        </w:rPr>
        <w:t>ACTIVIDADES DE INVESTIGACIÓN</w:t>
      </w:r>
      <w:bookmarkEnd w:id="29"/>
      <w:bookmarkEnd w:id="32"/>
    </w:p>
    <w:p w14:paraId="569DE68A" w14:textId="77777777" w:rsidR="0076292E" w:rsidRPr="00E45F61" w:rsidRDefault="00B7499E" w:rsidP="00351FC3">
      <w:pPr>
        <w:pStyle w:val="Heading2"/>
        <w:spacing w:after="120"/>
        <w:ind w:left="91"/>
        <w:rPr>
          <w:lang w:val="es-419"/>
        </w:rPr>
      </w:pPr>
      <w:r w:rsidRPr="00E45F61">
        <w:rPr>
          <w:rFonts w:eastAsia="Arial"/>
          <w:szCs w:val="22"/>
          <w:lang w:val="es-419"/>
        </w:rPr>
        <w:t>RESUMEN DE LOS CASOS</w:t>
      </w:r>
    </w:p>
    <w:p w14:paraId="02A2238A" w14:textId="5BB72BBE" w:rsidR="0076292E" w:rsidRPr="00E45F61" w:rsidRDefault="00B7499E" w:rsidP="0076292E">
      <w:pPr>
        <w:pStyle w:val="ONUME"/>
        <w:tabs>
          <w:tab w:val="clear" w:pos="567"/>
          <w:tab w:val="num" w:pos="657"/>
        </w:tabs>
        <w:spacing w:line="259" w:lineRule="auto"/>
        <w:ind w:left="90"/>
        <w:rPr>
          <w:lang w:val="es-419"/>
        </w:rPr>
      </w:pPr>
      <w:r w:rsidRPr="00E45F61">
        <w:rPr>
          <w:rFonts w:eastAsia="Arial"/>
          <w:szCs w:val="22"/>
          <w:lang w:val="es-419"/>
        </w:rPr>
        <w:t>A</w:t>
      </w:r>
      <w:r w:rsidR="008D09ED" w:rsidRPr="00E45F61">
        <w:rPr>
          <w:rFonts w:eastAsia="Arial"/>
          <w:szCs w:val="22"/>
          <w:lang w:val="es-419"/>
        </w:rPr>
        <w:t> 1</w:t>
      </w:r>
      <w:r w:rsidRPr="00E45F61">
        <w:rPr>
          <w:rFonts w:eastAsia="Arial"/>
          <w:szCs w:val="22"/>
          <w:lang w:val="es-419"/>
        </w:rPr>
        <w:t xml:space="preserve"> de enero de</w:t>
      </w:r>
      <w:r w:rsidR="008D09ED" w:rsidRPr="00E45F61">
        <w:rPr>
          <w:rFonts w:eastAsia="Arial"/>
          <w:szCs w:val="22"/>
          <w:lang w:val="es-419"/>
        </w:rPr>
        <w:t> 2</w:t>
      </w:r>
      <w:r w:rsidRPr="00E45F61">
        <w:rPr>
          <w:rFonts w:eastAsia="Arial"/>
          <w:szCs w:val="22"/>
          <w:lang w:val="es-419"/>
        </w:rPr>
        <w:t>024, se habían trasladado</w:t>
      </w:r>
      <w:r w:rsidR="008D09ED" w:rsidRPr="00E45F61">
        <w:rPr>
          <w:rFonts w:eastAsia="Arial"/>
          <w:szCs w:val="22"/>
          <w:lang w:val="es-419"/>
        </w:rPr>
        <w:t> 1</w:t>
      </w:r>
      <w:r w:rsidRPr="00E45F61">
        <w:rPr>
          <w:rFonts w:eastAsia="Arial"/>
          <w:szCs w:val="22"/>
          <w:lang w:val="es-419"/>
        </w:rPr>
        <w:t>6 casos de</w:t>
      </w:r>
      <w:r w:rsidR="008D09ED" w:rsidRPr="00E45F61">
        <w:rPr>
          <w:rFonts w:eastAsia="Arial"/>
          <w:szCs w:val="22"/>
          <w:lang w:val="es-419"/>
        </w:rPr>
        <w:t> 2</w:t>
      </w:r>
      <w:r w:rsidRPr="00E45F61">
        <w:rPr>
          <w:rFonts w:eastAsia="Arial"/>
          <w:szCs w:val="22"/>
          <w:lang w:val="es-419"/>
        </w:rPr>
        <w:t>022 a</w:t>
      </w:r>
      <w:r w:rsidR="008D09ED" w:rsidRPr="00E45F61">
        <w:rPr>
          <w:rFonts w:eastAsia="Arial"/>
          <w:szCs w:val="22"/>
          <w:lang w:val="es-419"/>
        </w:rPr>
        <w:t> 2</w:t>
      </w:r>
      <w:r w:rsidRPr="00E45F61">
        <w:rPr>
          <w:rFonts w:eastAsia="Arial"/>
          <w:szCs w:val="22"/>
          <w:lang w:val="es-419"/>
        </w:rPr>
        <w:t>023, y en</w:t>
      </w:r>
      <w:r w:rsidR="008D09ED" w:rsidRPr="00E45F61">
        <w:rPr>
          <w:rFonts w:eastAsia="Arial"/>
          <w:szCs w:val="22"/>
          <w:lang w:val="es-419"/>
        </w:rPr>
        <w:t> 2</w:t>
      </w:r>
      <w:r w:rsidRPr="00E45F61">
        <w:rPr>
          <w:rFonts w:eastAsia="Arial"/>
          <w:szCs w:val="22"/>
          <w:lang w:val="es-419"/>
        </w:rPr>
        <w:t>024 uno se dividió en seis casos relacionados con seis temas distintos. En</w:t>
      </w:r>
      <w:r w:rsidR="008D09ED" w:rsidRPr="00E45F61">
        <w:rPr>
          <w:rFonts w:eastAsia="Arial"/>
          <w:szCs w:val="22"/>
          <w:lang w:val="es-419"/>
        </w:rPr>
        <w:t> 2</w:t>
      </w:r>
      <w:r w:rsidRPr="00E45F61">
        <w:rPr>
          <w:rFonts w:eastAsia="Arial"/>
          <w:szCs w:val="22"/>
          <w:lang w:val="es-419"/>
        </w:rPr>
        <w:t>024 se abrieron</w:t>
      </w:r>
      <w:r w:rsidR="008D09ED" w:rsidRPr="00E45F61">
        <w:rPr>
          <w:rFonts w:eastAsia="Arial"/>
          <w:szCs w:val="22"/>
          <w:lang w:val="es-419"/>
        </w:rPr>
        <w:t> 4</w:t>
      </w:r>
      <w:r w:rsidRPr="00E45F61">
        <w:rPr>
          <w:rFonts w:eastAsia="Arial"/>
          <w:szCs w:val="22"/>
          <w:lang w:val="es-419"/>
        </w:rPr>
        <w:t>5 nuevos casos, y en el período que abarca el informe se examinaron</w:t>
      </w:r>
      <w:r w:rsidR="008D09ED" w:rsidRPr="00E45F61">
        <w:rPr>
          <w:rFonts w:eastAsia="Arial"/>
          <w:szCs w:val="22"/>
          <w:lang w:val="es-419"/>
        </w:rPr>
        <w:t> 6</w:t>
      </w:r>
      <w:r w:rsidRPr="00E45F61">
        <w:rPr>
          <w:rFonts w:eastAsia="Arial"/>
          <w:szCs w:val="22"/>
          <w:lang w:val="es-419"/>
        </w:rPr>
        <w:t>6. Se cerraron 38</w:t>
      </w:r>
      <w:r w:rsidRPr="00E45F61">
        <w:rPr>
          <w:rStyle w:val="FootnoteReference"/>
          <w:lang w:val="es-419"/>
        </w:rPr>
        <w:footnoteReference w:id="15"/>
      </w:r>
      <w:r w:rsidRPr="00E45F61">
        <w:rPr>
          <w:rFonts w:eastAsia="Arial"/>
          <w:szCs w:val="22"/>
          <w:lang w:val="es-419"/>
        </w:rPr>
        <w:t xml:space="preserve"> de ellos tras una evaluación preliminar y se puso fin a 18 investigaciones completas</w:t>
      </w:r>
      <w:r w:rsidR="00B04CA9" w:rsidRPr="00E45F61">
        <w:rPr>
          <w:rFonts w:eastAsia="Arial"/>
          <w:szCs w:val="22"/>
          <w:lang w:val="es-419"/>
        </w:rPr>
        <w:t>.</w:t>
      </w:r>
      <w:r w:rsidRPr="00E45F61">
        <w:rPr>
          <w:rStyle w:val="FootnoteReference"/>
          <w:lang w:val="es-419"/>
        </w:rPr>
        <w:footnoteReference w:id="16"/>
      </w:r>
    </w:p>
    <w:p w14:paraId="213A0BB9" w14:textId="77777777" w:rsidR="0076292E" w:rsidRPr="00E45F61" w:rsidRDefault="00B7499E" w:rsidP="0076292E">
      <w:pPr>
        <w:pStyle w:val="ONUME"/>
        <w:tabs>
          <w:tab w:val="clear" w:pos="567"/>
          <w:tab w:val="num" w:pos="657"/>
        </w:tabs>
        <w:spacing w:line="259" w:lineRule="auto"/>
        <w:ind w:left="90"/>
        <w:rPr>
          <w:lang w:val="es-419"/>
        </w:rPr>
      </w:pPr>
      <w:r w:rsidRPr="00E45F61">
        <w:rPr>
          <w:rFonts w:eastAsia="Arial"/>
          <w:szCs w:val="22"/>
          <w:lang w:val="es-419"/>
        </w:rPr>
        <w:t>A 31 de diciembre de 2024, había</w:t>
      </w:r>
      <w:r w:rsidR="008D09ED" w:rsidRPr="00E45F61">
        <w:rPr>
          <w:rFonts w:eastAsia="Arial"/>
          <w:szCs w:val="22"/>
          <w:lang w:val="es-419"/>
        </w:rPr>
        <w:t> 1</w:t>
      </w:r>
      <w:r w:rsidRPr="00E45F61">
        <w:rPr>
          <w:rFonts w:eastAsia="Arial"/>
          <w:szCs w:val="22"/>
          <w:lang w:val="es-419"/>
        </w:rPr>
        <w:t>0</w:t>
      </w:r>
      <w:r w:rsidRPr="00E45F61">
        <w:rPr>
          <w:rStyle w:val="FootnoteReference"/>
          <w:lang w:val="es-419"/>
        </w:rPr>
        <w:footnoteReference w:id="17"/>
      </w:r>
      <w:r w:rsidRPr="00E45F61">
        <w:rPr>
          <w:rFonts w:eastAsia="Arial"/>
          <w:szCs w:val="22"/>
          <w:lang w:val="es-419"/>
        </w:rPr>
        <w:t xml:space="preserve"> casos pendientes: seis de ellos se encontraban en fase de evaluación preliminar, tres en proceso de investigación y uno estaba en suspenso.</w:t>
      </w:r>
    </w:p>
    <w:p w14:paraId="4AE08097" w14:textId="77777777" w:rsidR="0076292E" w:rsidRPr="00E45F61" w:rsidRDefault="00B7499E" w:rsidP="0076292E">
      <w:pPr>
        <w:pStyle w:val="ONUME"/>
        <w:keepNext/>
        <w:numPr>
          <w:ilvl w:val="0"/>
          <w:numId w:val="0"/>
        </w:numPr>
        <w:spacing w:after="120"/>
        <w:jc w:val="center"/>
        <w:rPr>
          <w:rFonts w:eastAsia="Arial"/>
          <w:b/>
          <w:bCs/>
          <w:szCs w:val="22"/>
          <w:lang w:val="es-419"/>
        </w:rPr>
      </w:pPr>
      <w:r w:rsidRPr="00E45F61">
        <w:rPr>
          <w:rFonts w:eastAsia="Arial"/>
          <w:b/>
          <w:bCs/>
          <w:szCs w:val="22"/>
          <w:lang w:val="es-419"/>
        </w:rPr>
        <w:t>Gráfico 1: Análisis comparativo del número de casos de investigación en 2022, 2023 y 2024</w:t>
      </w:r>
    </w:p>
    <w:p w14:paraId="444A2C11" w14:textId="77777777" w:rsidR="000E094E" w:rsidRPr="00E45F61" w:rsidRDefault="0019459B" w:rsidP="0076292E">
      <w:pPr>
        <w:pStyle w:val="ONUME"/>
        <w:keepNext/>
        <w:numPr>
          <w:ilvl w:val="0"/>
          <w:numId w:val="0"/>
        </w:numPr>
        <w:spacing w:after="120"/>
        <w:jc w:val="center"/>
        <w:rPr>
          <w:b/>
          <w:bCs/>
          <w:lang w:val="es-419"/>
        </w:rPr>
      </w:pPr>
      <w:r w:rsidRPr="00E45F61">
        <w:rPr>
          <w:noProof/>
          <w:lang w:val="es-419"/>
        </w:rPr>
        <w:drawing>
          <wp:inline distT="0" distB="0" distL="0" distR="0" wp14:anchorId="0835EBE8" wp14:editId="17A7DC14">
            <wp:extent cx="5940425" cy="2627630"/>
            <wp:effectExtent l="0" t="0" r="3175" b="1270"/>
            <wp:docPr id="19085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607" name=""/>
                    <pic:cNvPicPr/>
                  </pic:nvPicPr>
                  <pic:blipFill>
                    <a:blip r:embed="rId12"/>
                    <a:stretch>
                      <a:fillRect/>
                    </a:stretch>
                  </pic:blipFill>
                  <pic:spPr>
                    <a:xfrm>
                      <a:off x="0" y="0"/>
                      <a:ext cx="5940425" cy="2627630"/>
                    </a:xfrm>
                    <a:prstGeom prst="rect">
                      <a:avLst/>
                    </a:prstGeom>
                  </pic:spPr>
                </pic:pic>
              </a:graphicData>
            </a:graphic>
          </wp:inline>
        </w:drawing>
      </w:r>
    </w:p>
    <w:p w14:paraId="6C897305" w14:textId="77777777" w:rsidR="0076292E" w:rsidRPr="00E45F61" w:rsidRDefault="0076292E" w:rsidP="00C82B28">
      <w:pPr>
        <w:rPr>
          <w:lang w:val="es-419"/>
        </w:rPr>
      </w:pPr>
    </w:p>
    <w:p w14:paraId="787B5B44" w14:textId="77777777" w:rsidR="0076292E" w:rsidRPr="00E45F61" w:rsidRDefault="00B7499E" w:rsidP="00351FC3">
      <w:pPr>
        <w:pStyle w:val="ONUME"/>
        <w:keepNext/>
        <w:numPr>
          <w:ilvl w:val="0"/>
          <w:numId w:val="0"/>
        </w:numPr>
        <w:spacing w:after="120"/>
        <w:jc w:val="center"/>
        <w:rPr>
          <w:rFonts w:eastAsia="Arial"/>
          <w:b/>
          <w:bCs/>
          <w:szCs w:val="22"/>
          <w:lang w:val="es-419"/>
        </w:rPr>
      </w:pPr>
      <w:r w:rsidRPr="00E45F61">
        <w:rPr>
          <w:rFonts w:eastAsia="Arial"/>
          <w:b/>
          <w:bCs/>
          <w:szCs w:val="22"/>
          <w:lang w:val="es-419"/>
        </w:rPr>
        <w:lastRenderedPageBreak/>
        <w:t>Cuadro</w:t>
      </w:r>
      <w:r w:rsidR="008D09ED" w:rsidRPr="00E45F61">
        <w:rPr>
          <w:rFonts w:eastAsia="Arial"/>
          <w:b/>
          <w:bCs/>
          <w:szCs w:val="22"/>
          <w:lang w:val="es-419"/>
        </w:rPr>
        <w:t> 1</w:t>
      </w:r>
      <w:r w:rsidRPr="00E45F61">
        <w:rPr>
          <w:rFonts w:eastAsia="Arial"/>
          <w:b/>
          <w:bCs/>
          <w:szCs w:val="22"/>
          <w:lang w:val="es-419"/>
        </w:rPr>
        <w:t xml:space="preserve"> - Categorías de casos abiertos en</w:t>
      </w:r>
      <w:r w:rsidR="008D09ED" w:rsidRPr="00E45F61">
        <w:rPr>
          <w:rFonts w:eastAsia="Arial"/>
          <w:b/>
          <w:bCs/>
          <w:szCs w:val="22"/>
          <w:lang w:val="es-419"/>
        </w:rPr>
        <w:t> 2</w:t>
      </w:r>
      <w:r w:rsidRPr="00E45F61">
        <w:rPr>
          <w:rFonts w:eastAsia="Arial"/>
          <w:b/>
          <w:bCs/>
          <w:szCs w:val="22"/>
          <w:lang w:val="es-419"/>
        </w:rPr>
        <w:t>022,</w:t>
      </w:r>
      <w:r w:rsidR="008D09ED" w:rsidRPr="00E45F61">
        <w:rPr>
          <w:rFonts w:eastAsia="Arial"/>
          <w:b/>
          <w:bCs/>
          <w:szCs w:val="22"/>
          <w:lang w:val="es-419"/>
        </w:rPr>
        <w:t> 2</w:t>
      </w:r>
      <w:r w:rsidRPr="00E45F61">
        <w:rPr>
          <w:rFonts w:eastAsia="Arial"/>
          <w:b/>
          <w:bCs/>
          <w:szCs w:val="22"/>
          <w:lang w:val="es-419"/>
        </w:rPr>
        <w:t>023 y</w:t>
      </w:r>
      <w:r w:rsidR="008D09ED" w:rsidRPr="00E45F61">
        <w:rPr>
          <w:rFonts w:eastAsia="Arial"/>
          <w:b/>
          <w:bCs/>
          <w:szCs w:val="22"/>
          <w:lang w:val="es-419"/>
        </w:rPr>
        <w:t> 2</w:t>
      </w:r>
      <w:r w:rsidRPr="00E45F61">
        <w:rPr>
          <w:rFonts w:eastAsia="Arial"/>
          <w:b/>
          <w:bCs/>
          <w:szCs w:val="22"/>
          <w:lang w:val="es-419"/>
        </w:rPr>
        <w:t>024</w:t>
      </w:r>
    </w:p>
    <w:p w14:paraId="7455328F" w14:textId="0B9922F5" w:rsidR="00196D90" w:rsidRPr="00E45F61" w:rsidRDefault="00D53BF6" w:rsidP="0076292E">
      <w:pPr>
        <w:pStyle w:val="ONUME"/>
        <w:keepNext/>
        <w:numPr>
          <w:ilvl w:val="0"/>
          <w:numId w:val="0"/>
        </w:numPr>
        <w:spacing w:after="0"/>
        <w:jc w:val="center"/>
        <w:rPr>
          <w:rFonts w:eastAsia="Arial"/>
          <w:b/>
          <w:bCs/>
          <w:szCs w:val="22"/>
          <w:lang w:val="es-419"/>
        </w:rPr>
      </w:pPr>
      <w:r w:rsidRPr="00E45F61">
        <w:rPr>
          <w:noProof/>
          <w:lang w:val="es-419"/>
        </w:rPr>
        <w:drawing>
          <wp:inline distT="0" distB="0" distL="0" distR="0" wp14:anchorId="28DF9A41" wp14:editId="3AE8BF59">
            <wp:extent cx="5940425" cy="2855595"/>
            <wp:effectExtent l="0" t="0" r="3175" b="1905"/>
            <wp:docPr id="21138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855595"/>
                    </a:xfrm>
                    <a:prstGeom prst="rect">
                      <a:avLst/>
                    </a:prstGeom>
                    <a:noFill/>
                    <a:ln>
                      <a:noFill/>
                    </a:ln>
                  </pic:spPr>
                </pic:pic>
              </a:graphicData>
            </a:graphic>
          </wp:inline>
        </w:drawing>
      </w:r>
    </w:p>
    <w:p w14:paraId="156C66F6" w14:textId="77777777" w:rsidR="00002F83" w:rsidRPr="00E45F61" w:rsidRDefault="00B7499E" w:rsidP="00002F83">
      <w:pPr>
        <w:pStyle w:val="ONUME"/>
        <w:tabs>
          <w:tab w:val="clear" w:pos="567"/>
          <w:tab w:val="num" w:pos="657"/>
        </w:tabs>
        <w:spacing w:before="240" w:after="120"/>
        <w:ind w:left="91"/>
        <w:rPr>
          <w:rFonts w:eastAsia="Arial"/>
          <w:szCs w:val="22"/>
          <w:lang w:val="es-419"/>
        </w:rPr>
      </w:pPr>
      <w:r w:rsidRPr="00E45F61">
        <w:rPr>
          <w:rStyle w:val="cf01"/>
          <w:rFonts w:ascii="Arial" w:eastAsia="Arial" w:hAnsi="Arial" w:cs="Arial"/>
          <w:sz w:val="22"/>
          <w:szCs w:val="22"/>
          <w:lang w:val="es-419"/>
        </w:rPr>
        <w:t>Durante el período examinado, se abordaron varios casos tras una evaluación preliminar de conformidad con el párrafo</w:t>
      </w:r>
      <w:r w:rsidR="008D09ED" w:rsidRPr="00E45F61">
        <w:rPr>
          <w:rStyle w:val="cf01"/>
          <w:rFonts w:ascii="Arial" w:eastAsia="Arial" w:hAnsi="Arial" w:cs="Arial"/>
          <w:sz w:val="22"/>
          <w:szCs w:val="22"/>
          <w:lang w:val="es-419"/>
        </w:rPr>
        <w:t> 8</w:t>
      </w:r>
      <w:r w:rsidRPr="00E45F61">
        <w:rPr>
          <w:rStyle w:val="cf01"/>
          <w:rFonts w:ascii="Arial" w:eastAsia="Arial" w:hAnsi="Arial" w:cs="Arial"/>
          <w:sz w:val="22"/>
          <w:szCs w:val="22"/>
          <w:lang w:val="es-419"/>
        </w:rPr>
        <w:t xml:space="preserve">0.e) del Manual de </w:t>
      </w:r>
      <w:r w:rsidR="00F9191D" w:rsidRPr="00E45F61">
        <w:rPr>
          <w:rStyle w:val="cf01"/>
          <w:rFonts w:ascii="Arial" w:eastAsia="Arial" w:hAnsi="Arial" w:cs="Arial"/>
          <w:sz w:val="22"/>
          <w:szCs w:val="22"/>
          <w:lang w:val="es-419"/>
        </w:rPr>
        <w:t>I</w:t>
      </w:r>
      <w:r w:rsidRPr="00E45F61">
        <w:rPr>
          <w:rStyle w:val="cf01"/>
          <w:rFonts w:ascii="Arial" w:eastAsia="Arial" w:hAnsi="Arial" w:cs="Arial"/>
          <w:sz w:val="22"/>
          <w:szCs w:val="22"/>
          <w:lang w:val="es-419"/>
        </w:rPr>
        <w:t xml:space="preserve">nvestigación, que permite remitirlos a la OMPI para una resolución </w:t>
      </w:r>
      <w:r w:rsidR="00002F83" w:rsidRPr="00E45F61">
        <w:rPr>
          <w:rStyle w:val="cf01"/>
          <w:rFonts w:ascii="Arial" w:eastAsia="Arial" w:hAnsi="Arial" w:cs="Arial"/>
          <w:sz w:val="22"/>
          <w:szCs w:val="22"/>
          <w:lang w:val="es-419"/>
        </w:rPr>
        <w:t>“</w:t>
      </w:r>
      <w:r w:rsidRPr="00E45F61">
        <w:rPr>
          <w:rStyle w:val="cf01"/>
          <w:rFonts w:ascii="Arial" w:eastAsia="Arial" w:hAnsi="Arial" w:cs="Arial"/>
          <w:sz w:val="22"/>
          <w:szCs w:val="22"/>
          <w:lang w:val="es-419"/>
        </w:rPr>
        <w:t>más adecuada o menos formal</w:t>
      </w:r>
      <w:r w:rsidR="00002F83" w:rsidRPr="00E45F61">
        <w:rPr>
          <w:rStyle w:val="cf01"/>
          <w:rFonts w:ascii="Arial" w:eastAsia="Arial" w:hAnsi="Arial" w:cs="Arial"/>
          <w:sz w:val="22"/>
          <w:szCs w:val="22"/>
          <w:lang w:val="es-419"/>
        </w:rPr>
        <w:t>”</w:t>
      </w:r>
      <w:r w:rsidRPr="00E45F61">
        <w:rPr>
          <w:rStyle w:val="cf01"/>
          <w:rFonts w:ascii="Arial" w:eastAsia="Arial" w:hAnsi="Arial" w:cs="Arial"/>
          <w:sz w:val="22"/>
          <w:szCs w:val="22"/>
          <w:lang w:val="es-419"/>
        </w:rPr>
        <w:t xml:space="preserve">. Aunque esta disposición siempre ha existido y está en consonancia con el Estatuto y Reglamento del Personal, </w:t>
      </w:r>
      <w:r w:rsidR="00002F83" w:rsidRPr="00E45F61">
        <w:rPr>
          <w:rFonts w:eastAsia="Arial"/>
          <w:szCs w:val="22"/>
          <w:lang w:val="es-419"/>
        </w:rPr>
        <w:t>en años anteriores, no se aplicó de forma coherente. Las quejas que podrían haberse resuelto por medios más adecuados o menos formales fueron tratadas a menudo por la DSI mediante procesos de investigación formales.</w:t>
      </w:r>
    </w:p>
    <w:p w14:paraId="0F04677B" w14:textId="4B32853F" w:rsidR="0076292E" w:rsidRPr="00E45F61" w:rsidRDefault="00B7499E" w:rsidP="00002F83">
      <w:pPr>
        <w:pStyle w:val="ONUME"/>
        <w:tabs>
          <w:tab w:val="clear" w:pos="567"/>
          <w:tab w:val="num" w:pos="657"/>
        </w:tabs>
        <w:spacing w:after="480"/>
        <w:ind w:left="91"/>
        <w:rPr>
          <w:lang w:val="es-419"/>
        </w:rPr>
      </w:pPr>
      <w:r w:rsidRPr="00E45F61">
        <w:rPr>
          <w:rFonts w:eastAsia="Arial"/>
          <w:szCs w:val="22"/>
          <w:lang w:val="es-419"/>
        </w:rPr>
        <w:t>En</w:t>
      </w:r>
      <w:r w:rsidR="008D09ED" w:rsidRPr="00E45F61">
        <w:rPr>
          <w:rFonts w:eastAsia="Arial"/>
          <w:szCs w:val="22"/>
          <w:lang w:val="es-419"/>
        </w:rPr>
        <w:t> 2</w:t>
      </w:r>
      <w:r w:rsidRPr="00E45F61">
        <w:rPr>
          <w:rFonts w:eastAsia="Arial"/>
          <w:szCs w:val="22"/>
          <w:lang w:val="es-419"/>
        </w:rPr>
        <w:t>024,</w:t>
      </w:r>
      <w:r w:rsidR="008D09ED" w:rsidRPr="00E45F61">
        <w:rPr>
          <w:rFonts w:eastAsia="Arial"/>
          <w:szCs w:val="22"/>
          <w:lang w:val="es-419"/>
        </w:rPr>
        <w:t> 2</w:t>
      </w:r>
      <w:r w:rsidRPr="00E45F61">
        <w:rPr>
          <w:rFonts w:eastAsia="Arial"/>
          <w:szCs w:val="22"/>
          <w:lang w:val="es-419"/>
        </w:rPr>
        <w:t>5 de un total de</w:t>
      </w:r>
      <w:r w:rsidR="008D09ED" w:rsidRPr="00E45F61">
        <w:rPr>
          <w:rFonts w:eastAsia="Arial"/>
          <w:szCs w:val="22"/>
          <w:lang w:val="es-419"/>
        </w:rPr>
        <w:t> 3</w:t>
      </w:r>
      <w:r w:rsidRPr="00E45F61">
        <w:rPr>
          <w:rFonts w:eastAsia="Arial"/>
          <w:szCs w:val="22"/>
          <w:lang w:val="es-419"/>
        </w:rPr>
        <w:t xml:space="preserve">8 casos se remitieron a la OMPI para su resolución informal tras una evaluación preliminar. Doce denuncias de usuarios externos </w:t>
      </w:r>
      <w:r w:rsidR="004679A8" w:rsidRPr="00E45F61">
        <w:rPr>
          <w:rFonts w:eastAsia="Arial"/>
          <w:szCs w:val="22"/>
          <w:lang w:val="es-419"/>
        </w:rPr>
        <w:t xml:space="preserve">de los sistemas operativos de la Organización </w:t>
      </w:r>
      <w:r w:rsidRPr="00E45F61">
        <w:rPr>
          <w:rFonts w:eastAsia="Arial"/>
          <w:szCs w:val="22"/>
          <w:lang w:val="es-419"/>
        </w:rPr>
        <w:t xml:space="preserve">fueron remitidas a las unidades operativas para facilitar a los denunciantes aclaraciones adicionales sobre las disposiciones y procedimientos pertinentes; nueve casos fueron remitidos al Departamento de Gestión de los Recursos Humanos (DGRRHH), tres casos fueron remitidos y tratados de forma consultiva con </w:t>
      </w:r>
      <w:r w:rsidR="004679A8" w:rsidRPr="00E45F61">
        <w:rPr>
          <w:rFonts w:eastAsia="Arial"/>
          <w:szCs w:val="22"/>
          <w:lang w:val="es-419"/>
        </w:rPr>
        <w:t>los</w:t>
      </w:r>
      <w:r w:rsidRPr="00E45F61">
        <w:rPr>
          <w:rFonts w:eastAsia="Arial"/>
          <w:szCs w:val="22"/>
          <w:lang w:val="es-419"/>
        </w:rPr>
        <w:t xml:space="preserve"> canal</w:t>
      </w:r>
      <w:r w:rsidR="004679A8" w:rsidRPr="00E45F61">
        <w:rPr>
          <w:rFonts w:eastAsia="Arial"/>
          <w:szCs w:val="22"/>
          <w:lang w:val="es-419"/>
        </w:rPr>
        <w:t>es</w:t>
      </w:r>
      <w:r w:rsidRPr="00E45F61">
        <w:rPr>
          <w:rFonts w:eastAsia="Arial"/>
          <w:szCs w:val="22"/>
          <w:lang w:val="es-419"/>
        </w:rPr>
        <w:t xml:space="preserve"> apropiado</w:t>
      </w:r>
      <w:r w:rsidR="004679A8" w:rsidRPr="00E45F61">
        <w:rPr>
          <w:rFonts w:eastAsia="Arial"/>
          <w:szCs w:val="22"/>
          <w:lang w:val="es-419"/>
        </w:rPr>
        <w:t>s</w:t>
      </w:r>
      <w:r w:rsidRPr="00E45F61">
        <w:rPr>
          <w:rFonts w:eastAsia="Arial"/>
          <w:szCs w:val="22"/>
          <w:lang w:val="es-419"/>
        </w:rPr>
        <w:t xml:space="preserve"> de justicia interna, y uno se dirigió a la Oficina de Mediación. Estas tendencias se ilustran a continuación, en el gráfico</w:t>
      </w:r>
      <w:r w:rsidR="008D09ED" w:rsidRPr="00E45F61">
        <w:rPr>
          <w:rFonts w:eastAsia="Arial"/>
          <w:szCs w:val="22"/>
          <w:lang w:val="es-419"/>
        </w:rPr>
        <w:t> 2</w:t>
      </w:r>
      <w:r w:rsidRPr="00E45F61">
        <w:rPr>
          <w:rFonts w:eastAsia="Arial"/>
          <w:szCs w:val="22"/>
          <w:lang w:val="es-419"/>
        </w:rPr>
        <w:t>.</w:t>
      </w:r>
    </w:p>
    <w:p w14:paraId="37029088" w14:textId="77777777" w:rsidR="0076292E" w:rsidRPr="00E45F61" w:rsidRDefault="00B7499E" w:rsidP="00351FC3">
      <w:pPr>
        <w:pStyle w:val="ONUME"/>
        <w:numPr>
          <w:ilvl w:val="0"/>
          <w:numId w:val="0"/>
        </w:numPr>
        <w:spacing w:after="240"/>
        <w:jc w:val="center"/>
        <w:rPr>
          <w:rFonts w:eastAsia="Arial"/>
          <w:b/>
          <w:bCs/>
          <w:szCs w:val="22"/>
          <w:lang w:val="es-419"/>
        </w:rPr>
      </w:pPr>
      <w:r w:rsidRPr="00E45F61">
        <w:rPr>
          <w:rFonts w:eastAsia="Arial"/>
          <w:b/>
          <w:bCs/>
          <w:szCs w:val="22"/>
          <w:lang w:val="es-419"/>
        </w:rPr>
        <w:t>Gráfico</w:t>
      </w:r>
      <w:r w:rsidR="008D09ED" w:rsidRPr="00E45F61">
        <w:rPr>
          <w:rFonts w:eastAsia="Arial"/>
          <w:b/>
          <w:bCs/>
          <w:szCs w:val="22"/>
          <w:lang w:val="es-419"/>
        </w:rPr>
        <w:t> 2</w:t>
      </w:r>
      <w:r w:rsidRPr="00E45F61">
        <w:rPr>
          <w:rFonts w:eastAsia="Arial"/>
          <w:b/>
          <w:bCs/>
          <w:szCs w:val="22"/>
          <w:lang w:val="es-419"/>
        </w:rPr>
        <w:t xml:space="preserve"> - Casos cerrados tras evaluación preliminar en</w:t>
      </w:r>
      <w:r w:rsidR="008D09ED" w:rsidRPr="00E45F61">
        <w:rPr>
          <w:rFonts w:eastAsia="Arial"/>
          <w:b/>
          <w:bCs/>
          <w:szCs w:val="22"/>
          <w:lang w:val="es-419"/>
        </w:rPr>
        <w:t> 2</w:t>
      </w:r>
      <w:r w:rsidRPr="00E45F61">
        <w:rPr>
          <w:rFonts w:eastAsia="Arial"/>
          <w:b/>
          <w:bCs/>
          <w:szCs w:val="22"/>
          <w:lang w:val="es-419"/>
        </w:rPr>
        <w:t>022,</w:t>
      </w:r>
      <w:r w:rsidR="008D09ED" w:rsidRPr="00E45F61">
        <w:rPr>
          <w:rFonts w:eastAsia="Arial"/>
          <w:b/>
          <w:bCs/>
          <w:szCs w:val="22"/>
          <w:lang w:val="es-419"/>
        </w:rPr>
        <w:t> 2</w:t>
      </w:r>
      <w:r w:rsidRPr="00E45F61">
        <w:rPr>
          <w:rFonts w:eastAsia="Arial"/>
          <w:b/>
          <w:bCs/>
          <w:szCs w:val="22"/>
          <w:lang w:val="es-419"/>
        </w:rPr>
        <w:t>023 y</w:t>
      </w:r>
      <w:r w:rsidR="008D09ED" w:rsidRPr="00E45F61">
        <w:rPr>
          <w:rFonts w:eastAsia="Arial"/>
          <w:b/>
          <w:bCs/>
          <w:szCs w:val="22"/>
          <w:lang w:val="es-419"/>
        </w:rPr>
        <w:t> 2</w:t>
      </w:r>
      <w:r w:rsidRPr="00E45F61">
        <w:rPr>
          <w:rFonts w:eastAsia="Arial"/>
          <w:b/>
          <w:bCs/>
          <w:szCs w:val="22"/>
          <w:lang w:val="es-419"/>
        </w:rPr>
        <w:t>024</w:t>
      </w:r>
    </w:p>
    <w:p w14:paraId="786F89BE" w14:textId="77777777" w:rsidR="00061D09" w:rsidRPr="00E45F61" w:rsidRDefault="000E094E" w:rsidP="0076292E">
      <w:pPr>
        <w:pStyle w:val="ONUME"/>
        <w:numPr>
          <w:ilvl w:val="0"/>
          <w:numId w:val="0"/>
        </w:numPr>
        <w:spacing w:line="259" w:lineRule="auto"/>
        <w:jc w:val="center"/>
        <w:rPr>
          <w:rFonts w:eastAsia="Arial"/>
          <w:b/>
          <w:bCs/>
          <w:szCs w:val="22"/>
          <w:lang w:val="es-419"/>
        </w:rPr>
      </w:pPr>
      <w:r w:rsidRPr="00E45F61">
        <w:rPr>
          <w:noProof/>
          <w:lang w:val="es-419"/>
        </w:rPr>
        <w:drawing>
          <wp:inline distT="0" distB="0" distL="0" distR="0" wp14:anchorId="704C3BC8" wp14:editId="379E6C5B">
            <wp:extent cx="4215600" cy="2467196"/>
            <wp:effectExtent l="0" t="0" r="1270" b="0"/>
            <wp:docPr id="184670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02956" name=""/>
                    <pic:cNvPicPr/>
                  </pic:nvPicPr>
                  <pic:blipFill>
                    <a:blip r:embed="rId14"/>
                    <a:stretch>
                      <a:fillRect/>
                    </a:stretch>
                  </pic:blipFill>
                  <pic:spPr>
                    <a:xfrm>
                      <a:off x="0" y="0"/>
                      <a:ext cx="4215600" cy="2467196"/>
                    </a:xfrm>
                    <a:prstGeom prst="rect">
                      <a:avLst/>
                    </a:prstGeom>
                  </pic:spPr>
                </pic:pic>
              </a:graphicData>
            </a:graphic>
          </wp:inline>
        </w:drawing>
      </w:r>
    </w:p>
    <w:p w14:paraId="40B71EAD" w14:textId="77777777" w:rsidR="0076292E" w:rsidRPr="00E45F61" w:rsidRDefault="00B7499E" w:rsidP="00351FC3">
      <w:pPr>
        <w:pStyle w:val="ONUME"/>
        <w:tabs>
          <w:tab w:val="clear" w:pos="567"/>
          <w:tab w:val="num" w:pos="657"/>
        </w:tabs>
        <w:spacing w:before="240" w:after="240"/>
        <w:ind w:left="91"/>
        <w:rPr>
          <w:lang w:val="es-419"/>
        </w:rPr>
      </w:pPr>
      <w:r w:rsidRPr="00E45F61">
        <w:rPr>
          <w:rFonts w:eastAsia="Arial"/>
          <w:szCs w:val="22"/>
          <w:lang w:val="es-419"/>
        </w:rPr>
        <w:lastRenderedPageBreak/>
        <w:t>De los 45 casos abiertos durante el ejercicio en examen, 10 fueron remitidos a la CCIS para que esta prestara asesoramiento al respecto, en consonancia con las disposiciones de la Carta de Supervisión Interna.</w:t>
      </w:r>
    </w:p>
    <w:p w14:paraId="4C20A784" w14:textId="77777777" w:rsidR="0076292E" w:rsidRPr="00E45F61" w:rsidRDefault="00B7499E" w:rsidP="00351FC3">
      <w:pPr>
        <w:pStyle w:val="Heading2"/>
        <w:spacing w:after="120"/>
        <w:ind w:left="91"/>
        <w:rPr>
          <w:lang w:val="es-419"/>
        </w:rPr>
      </w:pPr>
      <w:r w:rsidRPr="00E45F61">
        <w:rPr>
          <w:rFonts w:eastAsia="Arial"/>
          <w:szCs w:val="22"/>
          <w:lang w:val="es-419"/>
        </w:rPr>
        <w:t>Resultado de las actividades de investigación</w:t>
      </w:r>
    </w:p>
    <w:p w14:paraId="1BC75689" w14:textId="0A5563BE" w:rsidR="0076292E" w:rsidRPr="00E45F61" w:rsidRDefault="00B7499E" w:rsidP="0076292E">
      <w:pPr>
        <w:pStyle w:val="ONUME"/>
        <w:tabs>
          <w:tab w:val="clear" w:pos="567"/>
          <w:tab w:val="num" w:pos="657"/>
        </w:tabs>
        <w:ind w:left="90"/>
        <w:rPr>
          <w:lang w:val="es-419"/>
        </w:rPr>
      </w:pPr>
      <w:r w:rsidRPr="00E45F61">
        <w:rPr>
          <w:rFonts w:eastAsia="Arial"/>
          <w:szCs w:val="22"/>
          <w:lang w:val="es-419"/>
        </w:rPr>
        <w:t>Con arreglo a la Carta de Supervisión Interna,</w:t>
      </w:r>
      <w:r w:rsidRPr="00E45F61">
        <w:rPr>
          <w:rStyle w:val="FootnoteReference"/>
          <w:lang w:val="es-419"/>
        </w:rPr>
        <w:footnoteReference w:id="18"/>
      </w:r>
      <w:r w:rsidRPr="00E45F61">
        <w:rPr>
          <w:rFonts w:eastAsia="Arial"/>
          <w:szCs w:val="22"/>
          <w:lang w:val="es-419"/>
        </w:rPr>
        <w:t xml:space="preserve"> en el informe anual se incluirá una descripción de los casos que han sido investigados y probados y la forma en que fueron saldados. En</w:t>
      </w:r>
      <w:r w:rsidR="008D09ED" w:rsidRPr="00E45F61">
        <w:rPr>
          <w:rFonts w:eastAsia="Arial"/>
          <w:szCs w:val="22"/>
          <w:lang w:val="es-419"/>
        </w:rPr>
        <w:t> 2</w:t>
      </w:r>
      <w:r w:rsidRPr="00E45F61">
        <w:rPr>
          <w:rFonts w:eastAsia="Arial"/>
          <w:szCs w:val="22"/>
          <w:lang w:val="es-419"/>
        </w:rPr>
        <w:t>024, la DSI consideró fundadas las acusaciones en ocho investigaciones. En el cuadro siguiente se resumen dichos casos.</w:t>
      </w:r>
    </w:p>
    <w:p w14:paraId="494F889B" w14:textId="77777777" w:rsidR="0076292E" w:rsidRPr="00E45F61" w:rsidRDefault="00B7499E" w:rsidP="0076292E">
      <w:pPr>
        <w:pStyle w:val="ONUME"/>
        <w:numPr>
          <w:ilvl w:val="0"/>
          <w:numId w:val="0"/>
        </w:numPr>
        <w:ind w:left="90"/>
        <w:jc w:val="center"/>
        <w:rPr>
          <w:lang w:val="es-419"/>
        </w:rPr>
      </w:pPr>
      <w:r w:rsidRPr="00E45F61">
        <w:rPr>
          <w:rFonts w:eastAsia="Arial"/>
          <w:b/>
          <w:bCs/>
          <w:szCs w:val="22"/>
          <w:lang w:val="es-419"/>
        </w:rPr>
        <w:t>Cuadro</w:t>
      </w:r>
      <w:r w:rsidR="008D09ED" w:rsidRPr="00E45F61">
        <w:rPr>
          <w:rFonts w:eastAsia="Arial"/>
          <w:b/>
          <w:bCs/>
          <w:szCs w:val="22"/>
          <w:lang w:val="es-419"/>
        </w:rPr>
        <w:t> 2</w:t>
      </w:r>
      <w:r w:rsidRPr="00E45F61">
        <w:rPr>
          <w:rFonts w:eastAsia="Arial"/>
          <w:b/>
          <w:bCs/>
          <w:szCs w:val="22"/>
          <w:lang w:val="es-419"/>
        </w:rPr>
        <w:t xml:space="preserve"> - Casos fundamentados y su resolución</w:t>
      </w:r>
    </w:p>
    <w:tbl>
      <w:tblPr>
        <w:tblStyle w:val="TableGrid"/>
        <w:tblW w:w="9247" w:type="dxa"/>
        <w:tblLook w:val="04A0" w:firstRow="1" w:lastRow="0" w:firstColumn="1" w:lastColumn="0" w:noHBand="0" w:noVBand="1"/>
        <w:tblCaption w:val="Table 2 – Substantiated Cases and their Disposition"/>
      </w:tblPr>
      <w:tblGrid>
        <w:gridCol w:w="1982"/>
        <w:gridCol w:w="1567"/>
        <w:gridCol w:w="5698"/>
      </w:tblGrid>
      <w:tr w:rsidR="001700C5" w:rsidRPr="00E45F61" w14:paraId="7AAF0C25" w14:textId="77777777" w:rsidTr="000B4F77">
        <w:trPr>
          <w:trHeight w:val="251"/>
        </w:trPr>
        <w:tc>
          <w:tcPr>
            <w:tcW w:w="2004" w:type="dxa"/>
            <w:shd w:val="clear" w:color="auto" w:fill="244061" w:themeFill="accent1" w:themeFillShade="80"/>
          </w:tcPr>
          <w:p w14:paraId="0B387D0D" w14:textId="77777777" w:rsidR="0076292E" w:rsidRPr="00E45F61" w:rsidRDefault="00B7499E" w:rsidP="000B4F77">
            <w:pPr>
              <w:pStyle w:val="ONUME"/>
              <w:numPr>
                <w:ilvl w:val="0"/>
                <w:numId w:val="0"/>
              </w:numPr>
              <w:spacing w:line="259" w:lineRule="auto"/>
              <w:rPr>
                <w:b/>
                <w:bCs/>
                <w:sz w:val="18"/>
                <w:szCs w:val="18"/>
                <w:lang w:val="es-419"/>
              </w:rPr>
            </w:pPr>
            <w:r w:rsidRPr="00E45F61">
              <w:rPr>
                <w:rFonts w:eastAsia="Arial"/>
                <w:b/>
                <w:bCs/>
                <w:sz w:val="18"/>
                <w:szCs w:val="18"/>
                <w:lang w:val="es-419"/>
              </w:rPr>
              <w:t>Tipo de alegación</w:t>
            </w:r>
          </w:p>
        </w:tc>
        <w:tc>
          <w:tcPr>
            <w:tcW w:w="1427" w:type="dxa"/>
            <w:shd w:val="clear" w:color="auto" w:fill="244061" w:themeFill="accent1" w:themeFillShade="80"/>
          </w:tcPr>
          <w:p w14:paraId="11220DEE" w14:textId="77777777" w:rsidR="0076292E" w:rsidRPr="00E45F61" w:rsidRDefault="00790D71" w:rsidP="000B4F77">
            <w:pPr>
              <w:pStyle w:val="ONUME"/>
              <w:numPr>
                <w:ilvl w:val="0"/>
                <w:numId w:val="0"/>
              </w:numPr>
              <w:spacing w:line="259" w:lineRule="auto"/>
              <w:rPr>
                <w:b/>
                <w:bCs/>
                <w:sz w:val="18"/>
                <w:szCs w:val="18"/>
                <w:lang w:val="es-419"/>
              </w:rPr>
            </w:pPr>
            <w:r w:rsidRPr="00E45F61">
              <w:rPr>
                <w:rFonts w:eastAsia="Arial"/>
                <w:b/>
                <w:bCs/>
                <w:sz w:val="18"/>
                <w:szCs w:val="18"/>
                <w:lang w:val="es-419"/>
              </w:rPr>
              <w:t>N.º de investigaciones</w:t>
            </w:r>
          </w:p>
        </w:tc>
        <w:tc>
          <w:tcPr>
            <w:tcW w:w="5816" w:type="dxa"/>
            <w:shd w:val="clear" w:color="auto" w:fill="244061" w:themeFill="accent1" w:themeFillShade="80"/>
          </w:tcPr>
          <w:p w14:paraId="627D0B65" w14:textId="77777777" w:rsidR="0076292E" w:rsidRPr="00E45F61" w:rsidRDefault="00B7499E" w:rsidP="000B4F77">
            <w:pPr>
              <w:pStyle w:val="ONUME"/>
              <w:numPr>
                <w:ilvl w:val="0"/>
                <w:numId w:val="0"/>
              </w:numPr>
              <w:spacing w:after="0" w:line="259" w:lineRule="auto"/>
              <w:rPr>
                <w:b/>
                <w:bCs/>
                <w:sz w:val="18"/>
                <w:szCs w:val="18"/>
                <w:lang w:val="es-419"/>
              </w:rPr>
            </w:pPr>
            <w:r w:rsidRPr="00E45F61">
              <w:rPr>
                <w:rFonts w:eastAsia="Arial"/>
                <w:b/>
                <w:bCs/>
                <w:sz w:val="18"/>
                <w:szCs w:val="18"/>
                <w:lang w:val="es-419"/>
              </w:rPr>
              <w:t>Tipo de investigación</w:t>
            </w:r>
          </w:p>
          <w:p w14:paraId="722B1AC6" w14:textId="77777777" w:rsidR="0076292E" w:rsidRPr="00E45F61" w:rsidRDefault="00B7499E" w:rsidP="000B4F77">
            <w:pPr>
              <w:pStyle w:val="ONUME"/>
              <w:numPr>
                <w:ilvl w:val="0"/>
                <w:numId w:val="0"/>
              </w:numPr>
              <w:spacing w:after="0" w:line="259" w:lineRule="auto"/>
              <w:rPr>
                <w:b/>
                <w:bCs/>
                <w:sz w:val="18"/>
                <w:szCs w:val="18"/>
                <w:lang w:val="es-419"/>
              </w:rPr>
            </w:pPr>
            <w:r w:rsidRPr="00E45F61">
              <w:rPr>
                <w:rFonts w:eastAsia="Arial"/>
                <w:b/>
                <w:bCs/>
                <w:sz w:val="18"/>
                <w:szCs w:val="18"/>
                <w:lang w:val="es-419"/>
              </w:rPr>
              <w:t>Resolución del caso</w:t>
            </w:r>
          </w:p>
        </w:tc>
      </w:tr>
      <w:tr w:rsidR="001700C5" w:rsidRPr="00E45F61" w14:paraId="52C64082" w14:textId="77777777" w:rsidTr="000B4F77">
        <w:tc>
          <w:tcPr>
            <w:tcW w:w="2004" w:type="dxa"/>
            <w:shd w:val="clear" w:color="auto" w:fill="F2F2F2" w:themeFill="background1" w:themeFillShade="F2"/>
          </w:tcPr>
          <w:p w14:paraId="2871EF23" w14:textId="77777777" w:rsidR="0076292E" w:rsidRPr="00E45F61" w:rsidRDefault="00B7499E" w:rsidP="000B4F77">
            <w:pPr>
              <w:pStyle w:val="ONUME"/>
              <w:numPr>
                <w:ilvl w:val="0"/>
                <w:numId w:val="0"/>
              </w:numPr>
              <w:spacing w:line="259" w:lineRule="auto"/>
              <w:rPr>
                <w:sz w:val="18"/>
                <w:szCs w:val="18"/>
                <w:lang w:val="es-419"/>
              </w:rPr>
            </w:pPr>
            <w:r w:rsidRPr="00E45F61">
              <w:rPr>
                <w:rFonts w:eastAsia="Arial"/>
                <w:sz w:val="18"/>
                <w:szCs w:val="18"/>
                <w:lang w:val="es-419"/>
              </w:rPr>
              <w:t>Hostigamiento (no sexual)</w:t>
            </w:r>
          </w:p>
        </w:tc>
        <w:tc>
          <w:tcPr>
            <w:tcW w:w="1427" w:type="dxa"/>
          </w:tcPr>
          <w:p w14:paraId="35EFE9C2" w14:textId="77777777" w:rsidR="0076292E" w:rsidRPr="00E45F61" w:rsidRDefault="00B7499E" w:rsidP="000B4F77">
            <w:pPr>
              <w:pStyle w:val="ONUME"/>
              <w:numPr>
                <w:ilvl w:val="0"/>
                <w:numId w:val="0"/>
              </w:numPr>
              <w:spacing w:line="259" w:lineRule="auto"/>
              <w:ind w:left="567"/>
              <w:rPr>
                <w:sz w:val="18"/>
                <w:szCs w:val="18"/>
                <w:lang w:val="es-419"/>
              </w:rPr>
            </w:pPr>
            <w:r w:rsidRPr="00E45F61">
              <w:rPr>
                <w:rFonts w:eastAsia="Arial"/>
                <w:sz w:val="18"/>
                <w:szCs w:val="18"/>
                <w:lang w:val="es-419"/>
              </w:rPr>
              <w:t>1</w:t>
            </w:r>
          </w:p>
        </w:tc>
        <w:tc>
          <w:tcPr>
            <w:tcW w:w="5816" w:type="dxa"/>
          </w:tcPr>
          <w:p w14:paraId="4FE77B5C" w14:textId="77777777" w:rsidR="0076292E" w:rsidRPr="00E45F61" w:rsidRDefault="00B7499E" w:rsidP="000B4F77">
            <w:pPr>
              <w:pStyle w:val="ONUME"/>
              <w:numPr>
                <w:ilvl w:val="0"/>
                <w:numId w:val="0"/>
              </w:numPr>
              <w:tabs>
                <w:tab w:val="left" w:pos="567"/>
              </w:tabs>
              <w:spacing w:line="240" w:lineRule="auto"/>
              <w:jc w:val="both"/>
              <w:rPr>
                <w:sz w:val="18"/>
                <w:szCs w:val="18"/>
                <w:lang w:val="es-419"/>
              </w:rPr>
            </w:pPr>
            <w:r w:rsidRPr="00E45F61">
              <w:rPr>
                <w:rFonts w:eastAsia="Arial"/>
                <w:sz w:val="18"/>
                <w:szCs w:val="18"/>
                <w:lang w:val="es-419"/>
              </w:rPr>
              <w:t xml:space="preserve">La investigación se centró en un presunto hostigamiento (no sexual) y otra conducta inapropiada en los que estaba implicado el supervisor de un funcionario. </w:t>
            </w:r>
          </w:p>
          <w:p w14:paraId="7E7467FD" w14:textId="77777777" w:rsidR="0076292E" w:rsidRPr="00E45F61" w:rsidRDefault="00B7499E" w:rsidP="000B4F77">
            <w:pPr>
              <w:pStyle w:val="ONUME"/>
              <w:numPr>
                <w:ilvl w:val="0"/>
                <w:numId w:val="0"/>
              </w:numPr>
              <w:tabs>
                <w:tab w:val="left" w:pos="567"/>
              </w:tabs>
              <w:spacing w:line="240" w:lineRule="auto"/>
              <w:jc w:val="both"/>
              <w:rPr>
                <w:sz w:val="18"/>
                <w:szCs w:val="18"/>
                <w:lang w:val="es-419"/>
              </w:rPr>
            </w:pPr>
            <w:r w:rsidRPr="00E45F61">
              <w:rPr>
                <w:rFonts w:eastAsia="Arial"/>
                <w:sz w:val="18"/>
                <w:szCs w:val="18"/>
                <w:lang w:val="es-419"/>
              </w:rPr>
              <w:t>Se han adoptado medidas disciplinarias según lo establecido en el Capítulo X del Estatuto y Reglamento del Personal de la OMPI. En curso.</w:t>
            </w:r>
          </w:p>
        </w:tc>
      </w:tr>
      <w:tr w:rsidR="001700C5" w:rsidRPr="00E45F61" w14:paraId="56679EA5" w14:textId="77777777" w:rsidTr="000B4F77">
        <w:tc>
          <w:tcPr>
            <w:tcW w:w="2004" w:type="dxa"/>
            <w:shd w:val="clear" w:color="auto" w:fill="F2F2F2" w:themeFill="background1" w:themeFillShade="F2"/>
          </w:tcPr>
          <w:p w14:paraId="1AA58EC6" w14:textId="77777777" w:rsidR="0076292E" w:rsidRPr="00E45F61" w:rsidRDefault="00B7499E" w:rsidP="000B4F77">
            <w:pPr>
              <w:pStyle w:val="ONUME"/>
              <w:numPr>
                <w:ilvl w:val="0"/>
                <w:numId w:val="0"/>
              </w:numPr>
              <w:spacing w:line="259" w:lineRule="auto"/>
              <w:rPr>
                <w:sz w:val="18"/>
                <w:szCs w:val="18"/>
                <w:lang w:val="es-419"/>
              </w:rPr>
            </w:pPr>
            <w:r w:rsidRPr="00E45F61">
              <w:rPr>
                <w:rFonts w:eastAsia="Arial"/>
                <w:sz w:val="18"/>
                <w:szCs w:val="18"/>
                <w:lang w:val="es-419"/>
              </w:rPr>
              <w:t xml:space="preserve">Infracciones relacionadas con el horario de trabajo </w:t>
            </w:r>
          </w:p>
        </w:tc>
        <w:tc>
          <w:tcPr>
            <w:tcW w:w="1427" w:type="dxa"/>
          </w:tcPr>
          <w:p w14:paraId="5C6309B6" w14:textId="77777777" w:rsidR="0076292E" w:rsidRPr="00E45F61" w:rsidRDefault="00B7499E" w:rsidP="000B4F77">
            <w:pPr>
              <w:pStyle w:val="ONUME"/>
              <w:numPr>
                <w:ilvl w:val="0"/>
                <w:numId w:val="0"/>
              </w:numPr>
              <w:spacing w:line="259" w:lineRule="auto"/>
              <w:ind w:left="567"/>
              <w:rPr>
                <w:sz w:val="18"/>
                <w:szCs w:val="18"/>
                <w:lang w:val="es-419"/>
              </w:rPr>
            </w:pPr>
            <w:r w:rsidRPr="00E45F61">
              <w:rPr>
                <w:rFonts w:eastAsia="Arial"/>
                <w:sz w:val="18"/>
                <w:szCs w:val="18"/>
                <w:lang w:val="es-419"/>
              </w:rPr>
              <w:t>5</w:t>
            </w:r>
          </w:p>
        </w:tc>
        <w:tc>
          <w:tcPr>
            <w:tcW w:w="5816" w:type="dxa"/>
          </w:tcPr>
          <w:p w14:paraId="5E786567" w14:textId="77777777" w:rsidR="0076292E" w:rsidRPr="00E45F61" w:rsidRDefault="00B7499E" w:rsidP="0076292E">
            <w:pPr>
              <w:pStyle w:val="ONUME"/>
              <w:numPr>
                <w:ilvl w:val="0"/>
                <w:numId w:val="15"/>
              </w:numPr>
              <w:spacing w:line="240" w:lineRule="auto"/>
              <w:rPr>
                <w:sz w:val="18"/>
                <w:szCs w:val="18"/>
                <w:lang w:val="es-419"/>
              </w:rPr>
            </w:pPr>
            <w:r w:rsidRPr="00E45F61">
              <w:rPr>
                <w:rFonts w:eastAsia="Arial"/>
                <w:sz w:val="18"/>
                <w:szCs w:val="18"/>
                <w:lang w:val="es-419"/>
              </w:rPr>
              <w:t xml:space="preserve">En un caso, un funcionario incurrió en ausencias prolongadas no autorizadas e incumplió el régimen flexible de trabajo aplicable. </w:t>
            </w:r>
          </w:p>
          <w:p w14:paraId="4BD71BE6" w14:textId="77777777" w:rsidR="0076292E" w:rsidRPr="00E45F61" w:rsidRDefault="00B7499E" w:rsidP="000B4F77">
            <w:pPr>
              <w:pStyle w:val="ONUME"/>
              <w:numPr>
                <w:ilvl w:val="0"/>
                <w:numId w:val="0"/>
              </w:numPr>
              <w:spacing w:line="240" w:lineRule="auto"/>
              <w:ind w:left="720"/>
              <w:rPr>
                <w:sz w:val="18"/>
                <w:szCs w:val="18"/>
                <w:lang w:val="es-419"/>
              </w:rPr>
            </w:pPr>
            <w:r w:rsidRPr="00E45F61">
              <w:rPr>
                <w:rFonts w:eastAsia="Arial"/>
                <w:sz w:val="18"/>
                <w:szCs w:val="18"/>
                <w:lang w:val="es-419"/>
              </w:rPr>
              <w:t>El caso se cerró en virtud del Capítulo X del Estatuto y Reglamento del Personal de la OMPI mediante la imposición de la medida disciplinaria de relegación a un escalón de sueldo más bajo en la misma categoría, de conformidad con la Regla</w:t>
            </w:r>
            <w:r w:rsidR="008D09ED" w:rsidRPr="00E45F61">
              <w:rPr>
                <w:rFonts w:eastAsia="Arial"/>
                <w:sz w:val="18"/>
                <w:szCs w:val="18"/>
                <w:lang w:val="es-419"/>
              </w:rPr>
              <w:t> 1</w:t>
            </w:r>
            <w:r w:rsidRPr="00E45F61">
              <w:rPr>
                <w:rFonts w:eastAsia="Arial"/>
                <w:sz w:val="18"/>
                <w:szCs w:val="18"/>
                <w:lang w:val="es-419"/>
              </w:rPr>
              <w:t>0.1.1.a)4) del Reglamento del Personal, con aplazamiento del anticipo del siguiente escalón de sueldo durante un período de dos años, de conformidad con la Regla</w:t>
            </w:r>
            <w:r w:rsidR="008D09ED" w:rsidRPr="00E45F61">
              <w:rPr>
                <w:rFonts w:eastAsia="Arial"/>
                <w:sz w:val="18"/>
                <w:szCs w:val="18"/>
                <w:lang w:val="es-419"/>
              </w:rPr>
              <w:t> 1</w:t>
            </w:r>
            <w:r w:rsidRPr="00E45F61">
              <w:rPr>
                <w:rFonts w:eastAsia="Arial"/>
                <w:sz w:val="18"/>
                <w:szCs w:val="18"/>
                <w:lang w:val="es-419"/>
              </w:rPr>
              <w:t xml:space="preserve">0.1.1.a)3) del Reglamento del Personal. Durante dicho período, el funcionario no podrá ser considerado para un ascenso. </w:t>
            </w:r>
          </w:p>
          <w:p w14:paraId="16562D95" w14:textId="77777777" w:rsidR="0076292E" w:rsidRPr="00E45F61" w:rsidRDefault="00B7499E" w:rsidP="0076292E">
            <w:pPr>
              <w:pStyle w:val="ONUME"/>
              <w:numPr>
                <w:ilvl w:val="0"/>
                <w:numId w:val="14"/>
              </w:numPr>
              <w:spacing w:line="240" w:lineRule="auto"/>
              <w:rPr>
                <w:sz w:val="18"/>
                <w:szCs w:val="18"/>
                <w:lang w:val="es-419"/>
              </w:rPr>
            </w:pPr>
            <w:r w:rsidRPr="00E45F61">
              <w:rPr>
                <w:rFonts w:eastAsia="Arial"/>
                <w:sz w:val="18"/>
                <w:szCs w:val="18"/>
                <w:lang w:val="es-419"/>
              </w:rPr>
              <w:t xml:space="preserve">Hubo un caso en el que el funcionario incurrió en ausencias no autorizadas e incumplió el régimen flexible de trabajo aplicable, aunque existían circunstancias atenuantes y se emprendieron acciones. </w:t>
            </w:r>
          </w:p>
          <w:p w14:paraId="031F7D9B" w14:textId="77777777" w:rsidR="0076292E" w:rsidRPr="00E45F61" w:rsidRDefault="00B7499E" w:rsidP="000B4F77">
            <w:pPr>
              <w:pStyle w:val="ONUME"/>
              <w:numPr>
                <w:ilvl w:val="0"/>
                <w:numId w:val="0"/>
              </w:numPr>
              <w:spacing w:line="240" w:lineRule="auto"/>
              <w:ind w:left="720"/>
              <w:rPr>
                <w:sz w:val="18"/>
                <w:szCs w:val="18"/>
                <w:lang w:val="es-419"/>
              </w:rPr>
            </w:pPr>
            <w:r w:rsidRPr="00E45F61">
              <w:rPr>
                <w:rFonts w:eastAsia="Arial"/>
                <w:sz w:val="18"/>
                <w:szCs w:val="18"/>
                <w:lang w:val="es-419"/>
              </w:rPr>
              <w:t>El caso se cerró sin iniciar un procedimiento en virtud de lo establecido en el Capítulo</w:t>
            </w:r>
            <w:r w:rsidR="007E3307" w:rsidRPr="00E45F61">
              <w:rPr>
                <w:rFonts w:eastAsia="Arial"/>
                <w:sz w:val="18"/>
                <w:szCs w:val="18"/>
                <w:lang w:val="es-419"/>
              </w:rPr>
              <w:t> </w:t>
            </w:r>
            <w:r w:rsidRPr="00E45F61">
              <w:rPr>
                <w:rFonts w:eastAsia="Arial"/>
                <w:sz w:val="18"/>
                <w:szCs w:val="18"/>
                <w:lang w:val="es-419"/>
              </w:rPr>
              <w:t xml:space="preserve">X del Estatuto y Reglamento del Personal de la OMPI. Se recordó por escrito al funcionario la necesidad de cumplir con el marco reglamentario. </w:t>
            </w:r>
          </w:p>
          <w:p w14:paraId="6A2259EE" w14:textId="77777777" w:rsidR="0076292E" w:rsidRPr="00E45F61" w:rsidRDefault="00B7499E" w:rsidP="0076292E">
            <w:pPr>
              <w:pStyle w:val="ONUME"/>
              <w:numPr>
                <w:ilvl w:val="0"/>
                <w:numId w:val="14"/>
              </w:numPr>
              <w:spacing w:line="240" w:lineRule="auto"/>
              <w:rPr>
                <w:sz w:val="18"/>
                <w:szCs w:val="18"/>
                <w:lang w:val="es-419"/>
              </w:rPr>
            </w:pPr>
            <w:r w:rsidRPr="00E45F61">
              <w:rPr>
                <w:rFonts w:eastAsia="Arial"/>
                <w:sz w:val="18"/>
                <w:szCs w:val="18"/>
                <w:lang w:val="es-419"/>
              </w:rPr>
              <w:t>En un caso, un funcionario incurrió en ausencias no autorizadas e incumplió el régimen flexible de trabajo aplicable.</w:t>
            </w:r>
          </w:p>
          <w:p w14:paraId="42E0E943" w14:textId="77777777" w:rsidR="0076292E" w:rsidRPr="00E45F61" w:rsidRDefault="00B7499E" w:rsidP="000B4F77">
            <w:pPr>
              <w:pStyle w:val="ONUME"/>
              <w:numPr>
                <w:ilvl w:val="0"/>
                <w:numId w:val="0"/>
              </w:numPr>
              <w:spacing w:line="240" w:lineRule="auto"/>
              <w:ind w:left="720"/>
              <w:rPr>
                <w:sz w:val="18"/>
                <w:szCs w:val="18"/>
                <w:lang w:val="es-419"/>
              </w:rPr>
            </w:pPr>
            <w:r w:rsidRPr="00E45F61">
              <w:rPr>
                <w:rFonts w:eastAsia="Arial"/>
                <w:sz w:val="18"/>
                <w:szCs w:val="18"/>
                <w:lang w:val="es-419"/>
              </w:rPr>
              <w:t>El caso se cerró sin iniciar un procedimiento en virtud de lo establecido en el Capítulo</w:t>
            </w:r>
            <w:r w:rsidR="007E3307" w:rsidRPr="00E45F61">
              <w:rPr>
                <w:rFonts w:eastAsia="Arial"/>
                <w:sz w:val="18"/>
                <w:szCs w:val="18"/>
                <w:lang w:val="es-419"/>
              </w:rPr>
              <w:t> </w:t>
            </w:r>
            <w:r w:rsidRPr="00E45F61">
              <w:rPr>
                <w:rFonts w:eastAsia="Arial"/>
                <w:sz w:val="18"/>
                <w:szCs w:val="18"/>
                <w:lang w:val="es-419"/>
              </w:rPr>
              <w:t xml:space="preserve">X del Estatuto y Reglamento del Personal de la OMPI. Se recordó por escrito al funcionario que debía cumplir con el marco reglamentario. </w:t>
            </w:r>
          </w:p>
          <w:p w14:paraId="49618C1A" w14:textId="77777777" w:rsidR="0076292E" w:rsidRPr="00E45F61" w:rsidRDefault="00B7499E" w:rsidP="0076292E">
            <w:pPr>
              <w:pStyle w:val="ONUME"/>
              <w:numPr>
                <w:ilvl w:val="0"/>
                <w:numId w:val="14"/>
              </w:numPr>
              <w:spacing w:line="240" w:lineRule="auto"/>
              <w:rPr>
                <w:sz w:val="18"/>
                <w:szCs w:val="18"/>
                <w:lang w:val="es-419"/>
              </w:rPr>
            </w:pPr>
            <w:r w:rsidRPr="00E45F61">
              <w:rPr>
                <w:rFonts w:eastAsia="Arial"/>
                <w:sz w:val="18"/>
                <w:szCs w:val="18"/>
                <w:lang w:val="es-419"/>
              </w:rPr>
              <w:lastRenderedPageBreak/>
              <w:t>En un caso, un funcionario incurrió en importantes ausencias no autorizadas e incumplió el régimen flexible de trabajo aplicable.</w:t>
            </w:r>
          </w:p>
          <w:p w14:paraId="3E489657" w14:textId="77777777" w:rsidR="0076292E" w:rsidRPr="00E45F61" w:rsidRDefault="00B7499E" w:rsidP="000B4F77">
            <w:pPr>
              <w:pStyle w:val="ONUME"/>
              <w:numPr>
                <w:ilvl w:val="0"/>
                <w:numId w:val="0"/>
              </w:numPr>
              <w:ind w:left="720"/>
              <w:rPr>
                <w:sz w:val="18"/>
                <w:szCs w:val="18"/>
                <w:lang w:val="es-419"/>
              </w:rPr>
            </w:pPr>
            <w:r w:rsidRPr="00E45F61">
              <w:rPr>
                <w:rFonts w:eastAsia="Arial"/>
                <w:sz w:val="18"/>
                <w:szCs w:val="18"/>
                <w:lang w:val="es-419"/>
              </w:rPr>
              <w:t xml:space="preserve">Este caso está siendo examinado actualmente por el director del DGRRHH. </w:t>
            </w:r>
          </w:p>
          <w:p w14:paraId="01BC59BB" w14:textId="77777777" w:rsidR="0076292E" w:rsidRPr="00E45F61" w:rsidRDefault="00B7499E" w:rsidP="0076292E">
            <w:pPr>
              <w:pStyle w:val="ONUME"/>
              <w:numPr>
                <w:ilvl w:val="0"/>
                <w:numId w:val="14"/>
              </w:numPr>
              <w:spacing w:line="240" w:lineRule="auto"/>
              <w:rPr>
                <w:sz w:val="18"/>
                <w:szCs w:val="18"/>
                <w:lang w:val="es-419"/>
              </w:rPr>
            </w:pPr>
            <w:r w:rsidRPr="00E45F61">
              <w:rPr>
                <w:rFonts w:eastAsia="Arial"/>
                <w:sz w:val="18"/>
                <w:szCs w:val="18"/>
                <w:lang w:val="es-419"/>
              </w:rPr>
              <w:t>En un caso, el funcionario incurrió en ausencias no autorizadas, aunque ya no era empleado de la OMPI en el momento de la publicación del informe.</w:t>
            </w:r>
          </w:p>
          <w:p w14:paraId="31CB1168" w14:textId="77777777" w:rsidR="0076292E" w:rsidRPr="00E45F61" w:rsidRDefault="00B7499E" w:rsidP="000B4F77">
            <w:pPr>
              <w:pStyle w:val="ONUME"/>
              <w:numPr>
                <w:ilvl w:val="0"/>
                <w:numId w:val="0"/>
              </w:numPr>
              <w:spacing w:line="240" w:lineRule="auto"/>
              <w:ind w:left="720"/>
              <w:rPr>
                <w:sz w:val="18"/>
                <w:szCs w:val="18"/>
                <w:lang w:val="es-419"/>
              </w:rPr>
            </w:pPr>
            <w:r w:rsidRPr="00E45F61">
              <w:rPr>
                <w:rFonts w:eastAsia="Arial"/>
                <w:sz w:val="18"/>
                <w:szCs w:val="18"/>
                <w:lang w:val="es-419"/>
              </w:rPr>
              <w:t xml:space="preserve">El caso se cerró sin iniciar un procedimiento en virtud de lo establecido en el Capítulo X del Estatuto y Reglamento del Personal de la OMPI. </w:t>
            </w:r>
          </w:p>
        </w:tc>
      </w:tr>
      <w:tr w:rsidR="001700C5" w:rsidRPr="00E45F61" w14:paraId="5B0A0CF5" w14:textId="77777777" w:rsidTr="000B4F77">
        <w:tc>
          <w:tcPr>
            <w:tcW w:w="2004" w:type="dxa"/>
            <w:shd w:val="clear" w:color="auto" w:fill="F2F2F2" w:themeFill="background1" w:themeFillShade="F2"/>
          </w:tcPr>
          <w:p w14:paraId="603E04F1" w14:textId="77777777" w:rsidR="0076292E" w:rsidRPr="00E45F61" w:rsidRDefault="00B7499E" w:rsidP="000B4F77">
            <w:pPr>
              <w:pStyle w:val="ONUME"/>
              <w:numPr>
                <w:ilvl w:val="0"/>
                <w:numId w:val="0"/>
              </w:numPr>
              <w:spacing w:line="259" w:lineRule="auto"/>
              <w:rPr>
                <w:sz w:val="18"/>
                <w:szCs w:val="18"/>
                <w:lang w:val="es-419"/>
              </w:rPr>
            </w:pPr>
            <w:r w:rsidRPr="00E45F61">
              <w:rPr>
                <w:rFonts w:eastAsia="Arial"/>
                <w:sz w:val="18"/>
                <w:szCs w:val="18"/>
                <w:lang w:val="es-419"/>
              </w:rPr>
              <w:lastRenderedPageBreak/>
              <w:t xml:space="preserve">Fraude relacionado con las prestaciones </w:t>
            </w:r>
          </w:p>
        </w:tc>
        <w:tc>
          <w:tcPr>
            <w:tcW w:w="1427" w:type="dxa"/>
          </w:tcPr>
          <w:p w14:paraId="46508C0F" w14:textId="77777777" w:rsidR="0076292E" w:rsidRPr="00E45F61" w:rsidRDefault="00B7499E" w:rsidP="000B4F77">
            <w:pPr>
              <w:pStyle w:val="ONUME"/>
              <w:numPr>
                <w:ilvl w:val="0"/>
                <w:numId w:val="0"/>
              </w:numPr>
              <w:spacing w:line="259" w:lineRule="auto"/>
              <w:ind w:left="567"/>
              <w:rPr>
                <w:sz w:val="18"/>
                <w:szCs w:val="18"/>
                <w:lang w:val="es-419"/>
              </w:rPr>
            </w:pPr>
            <w:r w:rsidRPr="00E45F61">
              <w:rPr>
                <w:rFonts w:eastAsia="Arial"/>
                <w:sz w:val="18"/>
                <w:szCs w:val="18"/>
                <w:lang w:val="es-419"/>
              </w:rPr>
              <w:t>1</w:t>
            </w:r>
          </w:p>
        </w:tc>
        <w:tc>
          <w:tcPr>
            <w:tcW w:w="5816" w:type="dxa"/>
          </w:tcPr>
          <w:p w14:paraId="1B19F49E" w14:textId="77777777" w:rsidR="0076292E" w:rsidRPr="00E45F61" w:rsidRDefault="00B7499E" w:rsidP="000B4F77">
            <w:pPr>
              <w:pStyle w:val="ONUME"/>
              <w:numPr>
                <w:ilvl w:val="0"/>
                <w:numId w:val="0"/>
              </w:numPr>
              <w:tabs>
                <w:tab w:val="left" w:pos="567"/>
              </w:tabs>
              <w:spacing w:line="240" w:lineRule="auto"/>
              <w:rPr>
                <w:sz w:val="18"/>
                <w:szCs w:val="18"/>
                <w:lang w:val="es-419"/>
              </w:rPr>
            </w:pPr>
            <w:r w:rsidRPr="00E45F61">
              <w:rPr>
                <w:rFonts w:eastAsia="Arial"/>
                <w:sz w:val="18"/>
                <w:szCs w:val="18"/>
                <w:lang w:val="es-419"/>
              </w:rPr>
              <w:t>La investigación se refería a la presentación, por parte de un funcionario de la OMPI, de solicitudes fraudulentas de prestaciones y a la duplicación de prestaciones recibidas por el mismo funcionario de la OMPI y de un proveedor de servicios externo.</w:t>
            </w:r>
          </w:p>
          <w:p w14:paraId="4DCA0AB8" w14:textId="58418AC0" w:rsidR="0076292E" w:rsidRPr="00E45F61" w:rsidRDefault="00B7499E" w:rsidP="000B4F77">
            <w:pPr>
              <w:pStyle w:val="ONUME"/>
              <w:numPr>
                <w:ilvl w:val="0"/>
                <w:numId w:val="0"/>
              </w:numPr>
              <w:tabs>
                <w:tab w:val="left" w:pos="567"/>
              </w:tabs>
              <w:spacing w:line="240" w:lineRule="auto"/>
              <w:rPr>
                <w:sz w:val="18"/>
                <w:szCs w:val="18"/>
                <w:lang w:val="es-419"/>
              </w:rPr>
            </w:pPr>
            <w:r w:rsidRPr="00E45F61">
              <w:rPr>
                <w:rFonts w:eastAsia="Arial"/>
                <w:sz w:val="18"/>
                <w:szCs w:val="18"/>
                <w:lang w:val="es-419"/>
              </w:rPr>
              <w:t>El caso se cerró de conformidad con el Capítulo X del Estatuto y Reglamento del Personal de la OMPI con la imposición de la medida disciplinaria de destitución, de conformidad con el artículo 10.1.1.a)</w:t>
            </w:r>
            <w:r w:rsidR="00E618BD" w:rsidRPr="00E45F61">
              <w:rPr>
                <w:rFonts w:eastAsia="Arial"/>
                <w:sz w:val="18"/>
                <w:szCs w:val="18"/>
                <w:lang w:val="es-419"/>
              </w:rPr>
              <w:t>6</w:t>
            </w:r>
            <w:r w:rsidRPr="00E45F61">
              <w:rPr>
                <w:rFonts w:eastAsia="Arial"/>
                <w:sz w:val="18"/>
                <w:szCs w:val="18"/>
                <w:lang w:val="es-419"/>
              </w:rPr>
              <w:t>) del Reglamento del Personal.</w:t>
            </w:r>
          </w:p>
        </w:tc>
      </w:tr>
      <w:tr w:rsidR="001700C5" w:rsidRPr="00E45F61" w14:paraId="71360E2A" w14:textId="77777777" w:rsidTr="000B4F77">
        <w:tc>
          <w:tcPr>
            <w:tcW w:w="2004" w:type="dxa"/>
            <w:shd w:val="clear" w:color="auto" w:fill="F2F2F2" w:themeFill="background1" w:themeFillShade="F2"/>
          </w:tcPr>
          <w:p w14:paraId="2BA00439" w14:textId="77777777" w:rsidR="0076292E" w:rsidRPr="00E45F61" w:rsidRDefault="00B7499E" w:rsidP="000B4F77">
            <w:pPr>
              <w:pStyle w:val="ONUME"/>
              <w:numPr>
                <w:ilvl w:val="0"/>
                <w:numId w:val="0"/>
              </w:numPr>
              <w:spacing w:line="259" w:lineRule="auto"/>
              <w:rPr>
                <w:sz w:val="18"/>
                <w:szCs w:val="18"/>
                <w:lang w:val="es-419"/>
              </w:rPr>
            </w:pPr>
            <w:r w:rsidRPr="00E45F61">
              <w:rPr>
                <w:rFonts w:eastAsia="Arial"/>
                <w:sz w:val="18"/>
                <w:szCs w:val="18"/>
                <w:lang w:val="es-419"/>
              </w:rPr>
              <w:t>Actuación incorrecta de una parte externa</w:t>
            </w:r>
          </w:p>
        </w:tc>
        <w:tc>
          <w:tcPr>
            <w:tcW w:w="1427" w:type="dxa"/>
          </w:tcPr>
          <w:p w14:paraId="34CEC3CB" w14:textId="77777777" w:rsidR="0076292E" w:rsidRPr="00E45F61" w:rsidRDefault="00B7499E" w:rsidP="000B4F77">
            <w:pPr>
              <w:pStyle w:val="ONUME"/>
              <w:numPr>
                <w:ilvl w:val="0"/>
                <w:numId w:val="0"/>
              </w:numPr>
              <w:spacing w:line="259" w:lineRule="auto"/>
              <w:ind w:left="567"/>
              <w:rPr>
                <w:sz w:val="18"/>
                <w:szCs w:val="18"/>
                <w:lang w:val="es-419"/>
              </w:rPr>
            </w:pPr>
            <w:r w:rsidRPr="00E45F61">
              <w:rPr>
                <w:rFonts w:eastAsia="Arial"/>
                <w:sz w:val="18"/>
                <w:szCs w:val="18"/>
                <w:lang w:val="es-419"/>
              </w:rPr>
              <w:t>1</w:t>
            </w:r>
          </w:p>
        </w:tc>
        <w:tc>
          <w:tcPr>
            <w:tcW w:w="5816" w:type="dxa"/>
          </w:tcPr>
          <w:p w14:paraId="7B3A085A" w14:textId="77777777" w:rsidR="0076292E" w:rsidRPr="00E45F61" w:rsidRDefault="00B7499E" w:rsidP="000B4F77">
            <w:pPr>
              <w:pStyle w:val="ONUME"/>
              <w:numPr>
                <w:ilvl w:val="0"/>
                <w:numId w:val="0"/>
              </w:numPr>
              <w:spacing w:line="240" w:lineRule="auto"/>
              <w:rPr>
                <w:sz w:val="18"/>
                <w:szCs w:val="18"/>
                <w:lang w:val="es-419"/>
              </w:rPr>
            </w:pPr>
            <w:r w:rsidRPr="00E45F61">
              <w:rPr>
                <w:rFonts w:eastAsia="Arial"/>
                <w:sz w:val="18"/>
                <w:szCs w:val="18"/>
                <w:lang w:val="es-419"/>
              </w:rPr>
              <w:t>El caso se refería a la recopilación y eliminación no autorizadas de algunos activos de información de la Organización por parte de una parte externa contratada. En la investigación no se detectó ningún daño significativo a los activos de información de la OMPI.</w:t>
            </w:r>
          </w:p>
          <w:p w14:paraId="7C5F5B14" w14:textId="77777777" w:rsidR="0076292E" w:rsidRPr="00E45F61" w:rsidRDefault="00B7499E" w:rsidP="000B4F77">
            <w:pPr>
              <w:pStyle w:val="ONUME"/>
              <w:numPr>
                <w:ilvl w:val="0"/>
                <w:numId w:val="0"/>
              </w:numPr>
              <w:spacing w:line="240" w:lineRule="auto"/>
              <w:rPr>
                <w:sz w:val="18"/>
                <w:szCs w:val="18"/>
                <w:lang w:val="es-419"/>
              </w:rPr>
            </w:pPr>
            <w:r w:rsidRPr="00E45F61">
              <w:rPr>
                <w:rFonts w:eastAsia="Arial"/>
                <w:sz w:val="18"/>
                <w:szCs w:val="18"/>
                <w:lang w:val="es-419"/>
              </w:rPr>
              <w:t xml:space="preserve">Actualmente el caso está siendo examinado por el Comité de Sanciones a los Proveedores. </w:t>
            </w:r>
          </w:p>
        </w:tc>
      </w:tr>
    </w:tbl>
    <w:p w14:paraId="0C65B97B" w14:textId="08E0229B" w:rsidR="0076292E" w:rsidRPr="00E45F61" w:rsidRDefault="00B7499E" w:rsidP="00351FC3">
      <w:pPr>
        <w:pStyle w:val="ONUME"/>
        <w:tabs>
          <w:tab w:val="clear" w:pos="567"/>
          <w:tab w:val="num" w:pos="657"/>
        </w:tabs>
        <w:spacing w:before="240" w:after="240"/>
        <w:ind w:left="91"/>
        <w:rPr>
          <w:lang w:val="es-419"/>
        </w:rPr>
      </w:pPr>
      <w:r w:rsidRPr="00E45F61">
        <w:rPr>
          <w:rFonts w:eastAsia="Arial"/>
          <w:szCs w:val="22"/>
          <w:lang w:val="es-419"/>
        </w:rPr>
        <w:t>Se consideró que ninguna de las alegaciones fundamentadas anteriormente mencionadas tuvo repercusiones financieras importantes para la Organización. El gráfico</w:t>
      </w:r>
      <w:r w:rsidR="008D09ED" w:rsidRPr="00E45F61">
        <w:rPr>
          <w:rFonts w:eastAsia="Arial"/>
          <w:szCs w:val="22"/>
          <w:lang w:val="es-419"/>
        </w:rPr>
        <w:t> 3</w:t>
      </w:r>
      <w:r w:rsidRPr="00E45F61">
        <w:rPr>
          <w:rFonts w:eastAsia="Arial"/>
          <w:szCs w:val="22"/>
          <w:lang w:val="es-419"/>
        </w:rPr>
        <w:t xml:space="preserve"> muestra el número de alegaciones fundamentadas y no fundamentadas correspondientes a las investigaciones concluidas en</w:t>
      </w:r>
      <w:r w:rsidR="008D09ED" w:rsidRPr="00E45F61">
        <w:rPr>
          <w:rFonts w:eastAsia="Arial"/>
          <w:szCs w:val="22"/>
          <w:lang w:val="es-419"/>
        </w:rPr>
        <w:t> 2</w:t>
      </w:r>
      <w:r w:rsidRPr="00E45F61">
        <w:rPr>
          <w:rFonts w:eastAsia="Arial"/>
          <w:szCs w:val="22"/>
          <w:lang w:val="es-419"/>
        </w:rPr>
        <w:t>022,</w:t>
      </w:r>
      <w:r w:rsidR="008D09ED" w:rsidRPr="00E45F61">
        <w:rPr>
          <w:rFonts w:eastAsia="Arial"/>
          <w:szCs w:val="22"/>
          <w:lang w:val="es-419"/>
        </w:rPr>
        <w:t> 2</w:t>
      </w:r>
      <w:r w:rsidRPr="00E45F61">
        <w:rPr>
          <w:rFonts w:eastAsia="Arial"/>
          <w:szCs w:val="22"/>
          <w:lang w:val="es-419"/>
        </w:rPr>
        <w:t>023 y</w:t>
      </w:r>
      <w:r w:rsidR="008D09ED" w:rsidRPr="00E45F61">
        <w:rPr>
          <w:rFonts w:eastAsia="Arial"/>
          <w:szCs w:val="22"/>
          <w:lang w:val="es-419"/>
        </w:rPr>
        <w:t> 2</w:t>
      </w:r>
      <w:r w:rsidRPr="00E45F61">
        <w:rPr>
          <w:rFonts w:eastAsia="Arial"/>
          <w:szCs w:val="22"/>
          <w:lang w:val="es-419"/>
        </w:rPr>
        <w:t>024.</w:t>
      </w:r>
      <w:bookmarkEnd w:id="30"/>
    </w:p>
    <w:p w14:paraId="35894CE5" w14:textId="77777777" w:rsidR="0076292E" w:rsidRPr="00E45F61" w:rsidRDefault="00B7499E" w:rsidP="00BE5159">
      <w:pPr>
        <w:pStyle w:val="ONUME"/>
        <w:keepNext/>
        <w:keepLines/>
        <w:numPr>
          <w:ilvl w:val="0"/>
          <w:numId w:val="0"/>
        </w:numPr>
        <w:spacing w:line="259" w:lineRule="auto"/>
        <w:jc w:val="center"/>
        <w:rPr>
          <w:rFonts w:eastAsia="Arial"/>
          <w:b/>
          <w:bCs/>
          <w:szCs w:val="22"/>
          <w:lang w:val="es-419"/>
        </w:rPr>
      </w:pPr>
      <w:r w:rsidRPr="00E45F61">
        <w:rPr>
          <w:rFonts w:eastAsia="Arial"/>
          <w:b/>
          <w:bCs/>
          <w:szCs w:val="22"/>
          <w:lang w:val="es-419"/>
        </w:rPr>
        <w:t>Gráfico</w:t>
      </w:r>
      <w:r w:rsidR="008D09ED" w:rsidRPr="00E45F61">
        <w:rPr>
          <w:rFonts w:eastAsia="Arial"/>
          <w:b/>
          <w:bCs/>
          <w:szCs w:val="22"/>
          <w:lang w:val="es-419"/>
        </w:rPr>
        <w:t> 3</w:t>
      </w:r>
      <w:r w:rsidRPr="00E45F61">
        <w:rPr>
          <w:rFonts w:eastAsia="Arial"/>
          <w:b/>
          <w:bCs/>
          <w:szCs w:val="22"/>
          <w:lang w:val="es-419"/>
        </w:rPr>
        <w:t xml:space="preserve"> - Alegaciones fundamentadas para casos tramitados en</w:t>
      </w:r>
      <w:r w:rsidR="008D09ED" w:rsidRPr="00E45F61">
        <w:rPr>
          <w:rFonts w:eastAsia="Arial"/>
          <w:b/>
          <w:bCs/>
          <w:szCs w:val="22"/>
          <w:lang w:val="es-419"/>
        </w:rPr>
        <w:t> 2</w:t>
      </w:r>
      <w:r w:rsidRPr="00E45F61">
        <w:rPr>
          <w:rFonts w:eastAsia="Arial"/>
          <w:b/>
          <w:bCs/>
          <w:szCs w:val="22"/>
          <w:lang w:val="es-419"/>
        </w:rPr>
        <w:t>022,</w:t>
      </w:r>
      <w:r w:rsidR="008D09ED" w:rsidRPr="00E45F61">
        <w:rPr>
          <w:rFonts w:eastAsia="Arial"/>
          <w:b/>
          <w:bCs/>
          <w:szCs w:val="22"/>
          <w:lang w:val="es-419"/>
        </w:rPr>
        <w:t> 2</w:t>
      </w:r>
      <w:r w:rsidRPr="00E45F61">
        <w:rPr>
          <w:rFonts w:eastAsia="Arial"/>
          <w:b/>
          <w:bCs/>
          <w:szCs w:val="22"/>
          <w:lang w:val="es-419"/>
        </w:rPr>
        <w:t>023 y</w:t>
      </w:r>
      <w:r w:rsidR="008D09ED" w:rsidRPr="00E45F61">
        <w:rPr>
          <w:rFonts w:eastAsia="Arial"/>
          <w:b/>
          <w:bCs/>
          <w:szCs w:val="22"/>
          <w:lang w:val="es-419"/>
        </w:rPr>
        <w:t> 2</w:t>
      </w:r>
      <w:r w:rsidRPr="00E45F61">
        <w:rPr>
          <w:rFonts w:eastAsia="Arial"/>
          <w:b/>
          <w:bCs/>
          <w:szCs w:val="22"/>
          <w:lang w:val="es-419"/>
        </w:rPr>
        <w:t xml:space="preserve">024 </w:t>
      </w:r>
    </w:p>
    <w:p w14:paraId="14EB960C" w14:textId="77777777" w:rsidR="0076292E" w:rsidRPr="00E45F61" w:rsidRDefault="000E094E" w:rsidP="00BE5159">
      <w:pPr>
        <w:pStyle w:val="ONUME"/>
        <w:numPr>
          <w:ilvl w:val="0"/>
          <w:numId w:val="0"/>
        </w:numPr>
        <w:spacing w:after="480"/>
        <w:jc w:val="center"/>
        <w:rPr>
          <w:rFonts w:eastAsia="Arial"/>
          <w:b/>
          <w:bCs/>
          <w:szCs w:val="22"/>
          <w:lang w:val="es-419"/>
        </w:rPr>
      </w:pPr>
      <w:r w:rsidRPr="00E45F61">
        <w:rPr>
          <w:noProof/>
          <w:lang w:val="es-419"/>
        </w:rPr>
        <w:drawing>
          <wp:inline distT="0" distB="0" distL="0" distR="0" wp14:anchorId="53AFACE9" wp14:editId="158935EC">
            <wp:extent cx="4557600" cy="2666507"/>
            <wp:effectExtent l="0" t="0" r="1905" b="635"/>
            <wp:docPr id="1595560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60165" name=""/>
                    <pic:cNvPicPr/>
                  </pic:nvPicPr>
                  <pic:blipFill>
                    <a:blip r:embed="rId15"/>
                    <a:stretch>
                      <a:fillRect/>
                    </a:stretch>
                  </pic:blipFill>
                  <pic:spPr>
                    <a:xfrm>
                      <a:off x="0" y="0"/>
                      <a:ext cx="4557600" cy="2666507"/>
                    </a:xfrm>
                    <a:prstGeom prst="rect">
                      <a:avLst/>
                    </a:prstGeom>
                  </pic:spPr>
                </pic:pic>
              </a:graphicData>
            </a:graphic>
          </wp:inline>
        </w:drawing>
      </w:r>
    </w:p>
    <w:p w14:paraId="2CE80BA0" w14:textId="77777777" w:rsidR="0076292E" w:rsidRPr="00E45F61" w:rsidRDefault="00B7499E" w:rsidP="001221CE">
      <w:pPr>
        <w:pStyle w:val="Heading2"/>
        <w:spacing w:after="120"/>
        <w:ind w:left="91"/>
        <w:rPr>
          <w:lang w:val="es-419"/>
        </w:rPr>
      </w:pPr>
      <w:r w:rsidRPr="00E45F61">
        <w:rPr>
          <w:rFonts w:eastAsia="Arial"/>
          <w:szCs w:val="22"/>
          <w:lang w:val="es-419"/>
        </w:rPr>
        <w:lastRenderedPageBreak/>
        <w:t>informes sobre las consecuencias para la dirección</w:t>
      </w:r>
    </w:p>
    <w:p w14:paraId="5D12B49E"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En el período examinado en el informe se emitieron dos informes sobre las consecuencias para la dirección, relativos a</w:t>
      </w:r>
      <w:r w:rsidR="008D09ED" w:rsidRPr="00E45F61">
        <w:rPr>
          <w:rFonts w:eastAsia="Arial"/>
          <w:szCs w:val="22"/>
          <w:lang w:val="es-419"/>
        </w:rPr>
        <w:t> i</w:t>
      </w:r>
      <w:r w:rsidRPr="00E45F61">
        <w:rPr>
          <w:rFonts w:eastAsia="Arial"/>
          <w:szCs w:val="22"/>
          <w:lang w:val="es-419"/>
        </w:rPr>
        <w:t>) la tramitación de casos de controversias sobre nombres de dominio de Internet por parte del Centro de Arbitraje y Mediación de la OMPI</w:t>
      </w:r>
      <w:r w:rsidR="008D09ED" w:rsidRPr="00E45F61">
        <w:rPr>
          <w:rFonts w:eastAsia="Arial"/>
          <w:szCs w:val="22"/>
          <w:lang w:val="es-419"/>
        </w:rPr>
        <w:t xml:space="preserve"> y</w:t>
      </w:r>
      <w:r w:rsidR="007E3307" w:rsidRPr="00E45F61">
        <w:rPr>
          <w:rFonts w:eastAsia="Arial"/>
          <w:szCs w:val="22"/>
          <w:lang w:val="es-419"/>
        </w:rPr>
        <w:t> </w:t>
      </w:r>
      <w:r w:rsidR="008D09ED" w:rsidRPr="00E45F61">
        <w:rPr>
          <w:rFonts w:eastAsia="Arial"/>
          <w:szCs w:val="22"/>
          <w:lang w:val="es-419"/>
        </w:rPr>
        <w:t>ii)</w:t>
      </w:r>
      <w:r w:rsidRPr="00E45F61">
        <w:rPr>
          <w:rFonts w:eastAsia="Arial"/>
          <w:szCs w:val="22"/>
          <w:lang w:val="es-419"/>
        </w:rPr>
        <w:t xml:space="preserve"> la ausencia no autorizada y el abuso de las modalidades de teletrabajo por parte del personal de la OMPI.</w:t>
      </w:r>
    </w:p>
    <w:p w14:paraId="31A7F3C8" w14:textId="6553729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Centro de Arbitraje y Mediación de la OMPI actuó en relación con el primer caso, y la DSI dio por cerrada la recomendación.</w:t>
      </w:r>
    </w:p>
    <w:p w14:paraId="13400618" w14:textId="77777777"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En cuanto al segundo caso, la DSI recomendó que la DGRRHH recordara a los empleados sus obligaciones en materia de ausencias y teletrabajo y que los supervisores garantizaran su cumplimiento, abordaran las irregularidades y elevaran los problemas a la dirección antes de comunicarlos a la DSI. Ambas recomendaciones se aplicaron en mayo de</w:t>
      </w:r>
      <w:r w:rsidR="008D09ED" w:rsidRPr="00E45F61">
        <w:rPr>
          <w:rFonts w:eastAsia="Arial"/>
          <w:szCs w:val="22"/>
          <w:lang w:val="es-419"/>
        </w:rPr>
        <w:t> 2</w:t>
      </w:r>
      <w:r w:rsidRPr="00E45F61">
        <w:rPr>
          <w:rFonts w:eastAsia="Arial"/>
          <w:szCs w:val="22"/>
          <w:lang w:val="es-419"/>
        </w:rPr>
        <w:t>024.</w:t>
      </w:r>
    </w:p>
    <w:p w14:paraId="1A36704E" w14:textId="77777777" w:rsidR="0076292E" w:rsidRPr="00931987" w:rsidRDefault="00B7499E" w:rsidP="00931987">
      <w:pPr>
        <w:pStyle w:val="Heading1"/>
        <w:spacing w:before="0" w:after="120"/>
        <w:ind w:left="91"/>
        <w:rPr>
          <w:rFonts w:eastAsia="Arial"/>
          <w:szCs w:val="22"/>
          <w:lang w:val="es-419"/>
        </w:rPr>
      </w:pPr>
      <w:bookmarkStart w:id="33" w:name="_Toc39071252"/>
      <w:bookmarkStart w:id="34" w:name="_Toc39071250"/>
      <w:bookmarkStart w:id="35" w:name="_Toc197337709"/>
      <w:r w:rsidRPr="00E45F61">
        <w:rPr>
          <w:rFonts w:eastAsia="Arial"/>
          <w:szCs w:val="22"/>
          <w:lang w:val="es-419"/>
        </w:rPr>
        <w:t>LABOR DE ASESORAMIENTO EN MATERIA DE SUPERVISIÓN</w:t>
      </w:r>
      <w:bookmarkEnd w:id="33"/>
      <w:bookmarkEnd w:id="35"/>
    </w:p>
    <w:p w14:paraId="6BD0CE90" w14:textId="6FA4FADF" w:rsidR="0076292E" w:rsidRPr="00E45F61" w:rsidRDefault="00B7499E" w:rsidP="00BE5159">
      <w:pPr>
        <w:pStyle w:val="ONUME"/>
        <w:tabs>
          <w:tab w:val="clear" w:pos="567"/>
          <w:tab w:val="num" w:pos="657"/>
        </w:tabs>
        <w:spacing w:after="240"/>
        <w:ind w:left="91"/>
        <w:rPr>
          <w:lang w:val="es-419"/>
        </w:rPr>
      </w:pPr>
      <w:r w:rsidRPr="00E45F61">
        <w:rPr>
          <w:rFonts w:eastAsia="Arial"/>
          <w:szCs w:val="22"/>
          <w:lang w:val="es-419"/>
        </w:rPr>
        <w:t xml:space="preserve">Como parte de su labor de asesoramiento, la DSI continuó prestando servicios, previa petición, en relación con documentos de política, evaluaciones, procesos operativos </w:t>
      </w:r>
      <w:r w:rsidR="00E618BD" w:rsidRPr="00E45F61">
        <w:rPr>
          <w:rFonts w:eastAsia="Arial"/>
          <w:szCs w:val="22"/>
          <w:lang w:val="es-419"/>
        </w:rPr>
        <w:t>y</w:t>
      </w:r>
      <w:r w:rsidRPr="00E45F61">
        <w:rPr>
          <w:rFonts w:eastAsia="Arial"/>
          <w:szCs w:val="22"/>
          <w:lang w:val="es-419"/>
        </w:rPr>
        <w:t xml:space="preserve"> el marco </w:t>
      </w:r>
      <w:r w:rsidR="00835643" w:rsidRPr="00E45F61">
        <w:rPr>
          <w:rFonts w:eastAsia="Arial"/>
          <w:szCs w:val="22"/>
          <w:lang w:val="es-419"/>
        </w:rPr>
        <w:t>reglamentario</w:t>
      </w:r>
      <w:r w:rsidR="00E618BD" w:rsidRPr="00E45F61">
        <w:rPr>
          <w:rFonts w:eastAsia="Arial"/>
          <w:szCs w:val="22"/>
          <w:lang w:val="es-419"/>
        </w:rPr>
        <w:t xml:space="preserve"> de la OMPI,</w:t>
      </w:r>
      <w:r w:rsidRPr="00E45F61">
        <w:rPr>
          <w:rFonts w:eastAsia="Arial"/>
          <w:szCs w:val="22"/>
          <w:lang w:val="es-419"/>
        </w:rPr>
        <w:t xml:space="preserve"> entre otros. Tras el primer examen de los controles clave en el primer trimestre de</w:t>
      </w:r>
      <w:r w:rsidR="008D09ED" w:rsidRPr="00E45F61">
        <w:rPr>
          <w:rFonts w:eastAsia="Arial"/>
          <w:szCs w:val="22"/>
          <w:lang w:val="es-419"/>
        </w:rPr>
        <w:t> 2</w:t>
      </w:r>
      <w:r w:rsidRPr="00E45F61">
        <w:rPr>
          <w:rFonts w:eastAsia="Arial"/>
          <w:szCs w:val="22"/>
          <w:lang w:val="es-419"/>
        </w:rPr>
        <w:t xml:space="preserve">024, la DSI inició un proceso de consulta con la Oficina </w:t>
      </w:r>
      <w:r w:rsidR="00AC6237" w:rsidRPr="00E45F61">
        <w:rPr>
          <w:rFonts w:eastAsia="Arial"/>
          <w:szCs w:val="22"/>
          <w:lang w:val="es-419"/>
        </w:rPr>
        <w:t>de la Contralora</w:t>
      </w:r>
      <w:r w:rsidRPr="00E45F61">
        <w:rPr>
          <w:rFonts w:eastAsia="Arial"/>
          <w:szCs w:val="22"/>
          <w:lang w:val="es-419"/>
        </w:rPr>
        <w:t>, que dio como resultado el perfeccionamiento de las descripciones de los controles y la combinación, cuando fuese pertinente, de los controles que se solapaban, para racionalizar los principales controles de la Organización, que pasaron de</w:t>
      </w:r>
      <w:r w:rsidR="008D09ED" w:rsidRPr="00E45F61">
        <w:rPr>
          <w:rFonts w:eastAsia="Arial"/>
          <w:szCs w:val="22"/>
          <w:lang w:val="es-419"/>
        </w:rPr>
        <w:t> 7</w:t>
      </w:r>
      <w:r w:rsidRPr="00E45F61">
        <w:rPr>
          <w:rFonts w:eastAsia="Arial"/>
          <w:szCs w:val="22"/>
          <w:lang w:val="es-419"/>
        </w:rPr>
        <w:t>6 a</w:t>
      </w:r>
      <w:r w:rsidR="008D09ED" w:rsidRPr="00E45F61">
        <w:rPr>
          <w:rFonts w:eastAsia="Arial"/>
          <w:szCs w:val="22"/>
          <w:lang w:val="es-419"/>
        </w:rPr>
        <w:t> 4</w:t>
      </w:r>
      <w:r w:rsidRPr="00E45F61">
        <w:rPr>
          <w:rFonts w:eastAsia="Arial"/>
          <w:szCs w:val="22"/>
          <w:lang w:val="es-419"/>
        </w:rPr>
        <w:t>0.</w:t>
      </w:r>
    </w:p>
    <w:p w14:paraId="164922D0" w14:textId="6D41901A" w:rsidR="0076292E" w:rsidRPr="00E45F61" w:rsidRDefault="00B7499E" w:rsidP="00BE5159">
      <w:pPr>
        <w:pStyle w:val="ONUME"/>
        <w:tabs>
          <w:tab w:val="clear" w:pos="567"/>
          <w:tab w:val="num" w:pos="657"/>
        </w:tabs>
        <w:spacing w:after="240"/>
        <w:ind w:left="91"/>
        <w:rPr>
          <w:lang w:val="es-419"/>
        </w:rPr>
      </w:pPr>
      <w:r w:rsidRPr="00E45F61">
        <w:rPr>
          <w:rFonts w:eastAsia="Arial"/>
          <w:szCs w:val="22"/>
          <w:lang w:val="es-419"/>
        </w:rPr>
        <w:t>Además, la DSI emitió un informe de asesoramiento con intervención de las ciencias del comportamiento, iniciado en</w:t>
      </w:r>
      <w:r w:rsidR="008D09ED" w:rsidRPr="00E45F61">
        <w:rPr>
          <w:rFonts w:eastAsia="Arial"/>
          <w:szCs w:val="22"/>
          <w:lang w:val="es-419"/>
        </w:rPr>
        <w:t> 2</w:t>
      </w:r>
      <w:r w:rsidRPr="00E45F61">
        <w:rPr>
          <w:rFonts w:eastAsia="Arial"/>
          <w:szCs w:val="22"/>
          <w:lang w:val="es-419"/>
        </w:rPr>
        <w:t>023, relativo al Proyecto de la División de Gestión de los Conocimientos y Servicios Generales centrado en el uso de Microsoft</w:t>
      </w:r>
      <w:r w:rsidR="008D09ED" w:rsidRPr="00E45F61">
        <w:rPr>
          <w:rFonts w:eastAsia="Arial"/>
          <w:szCs w:val="22"/>
          <w:lang w:val="es-419"/>
        </w:rPr>
        <w:t> 3</w:t>
      </w:r>
      <w:r w:rsidRPr="00E45F61">
        <w:rPr>
          <w:rFonts w:eastAsia="Arial"/>
          <w:szCs w:val="22"/>
          <w:lang w:val="es-419"/>
        </w:rPr>
        <w:t>65 como sistema de gestión de contenidos institucionales (EVAL</w:t>
      </w:r>
      <w:r w:rsidR="008D09ED" w:rsidRPr="00E45F61">
        <w:rPr>
          <w:rFonts w:eastAsia="Arial"/>
          <w:szCs w:val="22"/>
          <w:lang w:val="es-419"/>
        </w:rPr>
        <w:t> 2</w:t>
      </w:r>
      <w:r w:rsidRPr="00E45F61">
        <w:rPr>
          <w:rFonts w:eastAsia="Arial"/>
          <w:szCs w:val="22"/>
          <w:lang w:val="es-419"/>
        </w:rPr>
        <w:t>024-06)</w:t>
      </w:r>
      <w:r w:rsidR="00F542A9" w:rsidRPr="00E45F61">
        <w:rPr>
          <w:rFonts w:eastAsia="Arial"/>
          <w:szCs w:val="22"/>
          <w:lang w:val="es-419"/>
        </w:rPr>
        <w:t>.</w:t>
      </w:r>
      <w:r w:rsidRPr="00E45F61">
        <w:rPr>
          <w:rStyle w:val="FootnoteReference"/>
          <w:lang w:val="es-419"/>
        </w:rPr>
        <w:footnoteReference w:id="19"/>
      </w:r>
    </w:p>
    <w:p w14:paraId="5BB482BD" w14:textId="10958420"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El asesoramiento con intervención de las ciencias del comportamiento tenía por objeto identificar, diseñar, aplicar y medir los acicates para respaldar la gestión del cambio y acelerar la adopción, por parte de las unidades operativas de la OMPI,</w:t>
      </w:r>
      <w:r w:rsidR="00F542A9" w:rsidRPr="00E45F61">
        <w:rPr>
          <w:rFonts w:eastAsia="Arial"/>
          <w:szCs w:val="22"/>
          <w:lang w:val="es-419"/>
        </w:rPr>
        <w:t xml:space="preserve"> </w:t>
      </w:r>
      <w:r w:rsidRPr="00E45F61">
        <w:rPr>
          <w:rFonts w:eastAsia="Arial"/>
          <w:szCs w:val="22"/>
          <w:lang w:val="es-419"/>
        </w:rPr>
        <w:t>de la nueva plataforma</w:t>
      </w:r>
      <w:r w:rsidR="008D09ED" w:rsidRPr="00E45F61">
        <w:rPr>
          <w:rFonts w:eastAsia="Arial"/>
          <w:szCs w:val="22"/>
          <w:lang w:val="es-419"/>
        </w:rPr>
        <w:t> 3</w:t>
      </w:r>
      <w:r w:rsidRPr="00E45F61">
        <w:rPr>
          <w:rFonts w:eastAsia="Arial"/>
          <w:szCs w:val="22"/>
          <w:lang w:val="es-419"/>
        </w:rPr>
        <w:t>65 y de una nueva forma de trabajar.</w:t>
      </w:r>
    </w:p>
    <w:p w14:paraId="370877A9" w14:textId="77777777" w:rsidR="0076292E" w:rsidRPr="00E45F61" w:rsidRDefault="00B7499E" w:rsidP="00BE5159">
      <w:pPr>
        <w:pStyle w:val="Heading1"/>
        <w:spacing w:before="0" w:after="120"/>
        <w:ind w:left="91"/>
        <w:rPr>
          <w:lang w:val="es-419"/>
        </w:rPr>
      </w:pPr>
      <w:bookmarkStart w:id="36" w:name="_Toc197337710"/>
      <w:r w:rsidRPr="00E45F61">
        <w:rPr>
          <w:rFonts w:eastAsia="Arial"/>
          <w:szCs w:val="22"/>
          <w:lang w:val="es-419"/>
        </w:rPr>
        <w:t>CASOS EN LOS QUE SE DENEGÓ INFORMACIÓN O ASISTENCIA</w:t>
      </w:r>
      <w:bookmarkEnd w:id="34"/>
      <w:bookmarkEnd w:id="36"/>
    </w:p>
    <w:p w14:paraId="5AE3508E"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 En virtud del párrafo 52.h) de la Carta de Supervisión Interna, el director de la DSI habrá de notificar los casos en los que se haya denegado a la DSI el acceso a los registros, los miembros del personal o los locales de la OMPI durante el ejercicio en examen.</w:t>
      </w:r>
    </w:p>
    <w:p w14:paraId="5D964056" w14:textId="74203CD4"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La DSI informó de que durante el ejercicio en examen no se había producido ningún caso de los que describe en el párrafo</w:t>
      </w:r>
      <w:r w:rsidR="008D09ED" w:rsidRPr="00E45F61">
        <w:rPr>
          <w:rFonts w:eastAsia="Arial"/>
          <w:szCs w:val="22"/>
          <w:lang w:val="es-419"/>
        </w:rPr>
        <w:t> 5</w:t>
      </w:r>
      <w:r w:rsidRPr="00E45F61">
        <w:rPr>
          <w:rFonts w:eastAsia="Arial"/>
          <w:szCs w:val="22"/>
          <w:lang w:val="es-419"/>
        </w:rPr>
        <w:t>2.h) de la Carta de Supervisión Interna.</w:t>
      </w:r>
    </w:p>
    <w:p w14:paraId="682EFA88" w14:textId="77777777" w:rsidR="0076292E" w:rsidRPr="00E45F61" w:rsidRDefault="00B7499E" w:rsidP="00BE5159">
      <w:pPr>
        <w:pStyle w:val="Heading1"/>
        <w:spacing w:before="0" w:after="120"/>
        <w:ind w:left="91"/>
        <w:rPr>
          <w:lang w:val="es-419"/>
        </w:rPr>
      </w:pPr>
      <w:bookmarkStart w:id="37" w:name="_Toc39071251"/>
      <w:bookmarkStart w:id="38" w:name="_Toc197337711"/>
      <w:r w:rsidRPr="00E45F61">
        <w:rPr>
          <w:rFonts w:eastAsia="Arial"/>
          <w:szCs w:val="22"/>
          <w:lang w:val="es-419"/>
        </w:rPr>
        <w:t>ESTADO DE APLICACIÓN DE LAS RECOMENDACIONES DERIVADAS DE LA SUPERVISIÓN</w:t>
      </w:r>
      <w:bookmarkEnd w:id="31"/>
      <w:bookmarkEnd w:id="37"/>
      <w:bookmarkEnd w:id="38"/>
    </w:p>
    <w:p w14:paraId="6D4E24B2" w14:textId="03C7DF68"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Incumbe al director general velar por que se atienda con prontitud a todas las recomendaciones formuladas por el director de la DSI, indicando las medidas que deba </w:t>
      </w:r>
      <w:r w:rsidRPr="00E45F61">
        <w:rPr>
          <w:rFonts w:eastAsia="Arial"/>
          <w:szCs w:val="22"/>
          <w:lang w:val="es-419"/>
        </w:rPr>
        <w:lastRenderedPageBreak/>
        <w:t>adoptar la Dirección en relación con determinados resultados y recomendaciones del informe</w:t>
      </w:r>
      <w:r w:rsidR="00F542A9" w:rsidRPr="00E45F61">
        <w:rPr>
          <w:rFonts w:eastAsia="Arial"/>
          <w:szCs w:val="22"/>
          <w:lang w:val="es-419"/>
        </w:rPr>
        <w:t>.</w:t>
      </w:r>
      <w:r w:rsidRPr="00E45F61">
        <w:rPr>
          <w:rStyle w:val="FootnoteReference"/>
          <w:lang w:val="es-419"/>
        </w:rPr>
        <w:footnoteReference w:id="20"/>
      </w:r>
      <w:r w:rsidRPr="00E45F61">
        <w:rPr>
          <w:rFonts w:eastAsia="Arial"/>
          <w:szCs w:val="22"/>
          <w:lang w:val="es-419"/>
        </w:rPr>
        <w:t xml:space="preserve"> El director general puede delegar esta labor en los responsables de los sectores y otros miembros pertinentes del personal directivo superior competentes que están al frente de las distintas esferas operativas de la Organización</w:t>
      </w:r>
      <w:r w:rsidR="00F542A9" w:rsidRPr="00E45F61">
        <w:rPr>
          <w:rFonts w:eastAsia="Arial"/>
          <w:szCs w:val="22"/>
          <w:lang w:val="es-419"/>
        </w:rPr>
        <w:t>.</w:t>
      </w:r>
      <w:r w:rsidRPr="00E45F61">
        <w:rPr>
          <w:rStyle w:val="FootnoteReference"/>
          <w:lang w:val="es-419"/>
        </w:rPr>
        <w:footnoteReference w:id="21"/>
      </w:r>
      <w:r w:rsidRPr="00E45F61">
        <w:rPr>
          <w:rFonts w:eastAsia="Arial"/>
          <w:szCs w:val="22"/>
          <w:lang w:val="es-419"/>
        </w:rPr>
        <w:t xml:space="preserve"> La aplicación de todas las recomendaciones derivadas de la supervisión es objeto de un seguimiento periódico por parte de la DSI.</w:t>
      </w:r>
    </w:p>
    <w:p w14:paraId="69E2B314" w14:textId="579B336C"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gestiona y presenta los informes sobre las recomendaciones utilizando el sistema TeamMate+, que permite un diálogo interactivo con la dirección para hacer un seguimiento de la aplicación eficaz de las recomendaciones abiertas. Tal como se establece en el párrafo </w:t>
      </w:r>
      <w:r w:rsidR="00E618BD" w:rsidRPr="00E45F61">
        <w:rPr>
          <w:rFonts w:eastAsia="Arial"/>
          <w:szCs w:val="22"/>
          <w:lang w:val="es-419"/>
        </w:rPr>
        <w:t>5</w:t>
      </w:r>
      <w:r w:rsidRPr="00E45F61">
        <w:rPr>
          <w:rFonts w:eastAsia="Arial"/>
          <w:szCs w:val="22"/>
          <w:lang w:val="es-419"/>
        </w:rPr>
        <w:t>0 de la Carta de Supervisión Interna, el director de la DSI debe presentar, trimestralmente, un informe al director general, con copia a la CCIS, sobre el estado de aplicación de las recomendaciones, incluidas las formuladas por el auditor externo.</w:t>
      </w:r>
    </w:p>
    <w:p w14:paraId="38FCEE31"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A</w:t>
      </w:r>
      <w:r w:rsidR="008D09ED" w:rsidRPr="00E45F61">
        <w:rPr>
          <w:rFonts w:eastAsia="Arial"/>
          <w:szCs w:val="22"/>
          <w:lang w:val="es-419"/>
        </w:rPr>
        <w:t> 3</w:t>
      </w:r>
      <w:r w:rsidRPr="00E45F61">
        <w:rPr>
          <w:rFonts w:eastAsia="Arial"/>
          <w:szCs w:val="22"/>
          <w:lang w:val="es-419"/>
        </w:rPr>
        <w:t>1 de diciembre de</w:t>
      </w:r>
      <w:r w:rsidR="008D09ED" w:rsidRPr="00E45F61">
        <w:rPr>
          <w:rFonts w:eastAsia="Arial"/>
          <w:szCs w:val="22"/>
          <w:lang w:val="es-419"/>
        </w:rPr>
        <w:t> 2</w:t>
      </w:r>
      <w:r w:rsidRPr="00E45F61">
        <w:rPr>
          <w:rFonts w:eastAsia="Arial"/>
          <w:szCs w:val="22"/>
          <w:lang w:val="es-419"/>
        </w:rPr>
        <w:t>024, había</w:t>
      </w:r>
      <w:r w:rsidR="008D09ED" w:rsidRPr="00E45F61">
        <w:rPr>
          <w:rFonts w:eastAsia="Arial"/>
          <w:szCs w:val="22"/>
          <w:lang w:val="es-419"/>
        </w:rPr>
        <w:t> 3</w:t>
      </w:r>
      <w:r w:rsidRPr="00E45F61">
        <w:rPr>
          <w:rFonts w:eastAsia="Arial"/>
          <w:szCs w:val="22"/>
          <w:lang w:val="es-419"/>
        </w:rPr>
        <w:t>0 recomendaciones abiertas en el sistema TeamMate+: tres de alta prioridad,</w:t>
      </w:r>
      <w:r w:rsidR="008D09ED" w:rsidRPr="00E45F61">
        <w:rPr>
          <w:rFonts w:eastAsia="Arial"/>
          <w:szCs w:val="22"/>
          <w:lang w:val="es-419"/>
        </w:rPr>
        <w:t> 2</w:t>
      </w:r>
      <w:r w:rsidRPr="00E45F61">
        <w:rPr>
          <w:rFonts w:eastAsia="Arial"/>
          <w:szCs w:val="22"/>
          <w:lang w:val="es-419"/>
        </w:rPr>
        <w:t>4 de prioridad media y tres de baja prioridad. De ellas, el</w:t>
      </w:r>
      <w:r w:rsidR="008D09ED" w:rsidRPr="00E45F61">
        <w:rPr>
          <w:rFonts w:eastAsia="Arial"/>
          <w:szCs w:val="22"/>
          <w:lang w:val="es-419"/>
        </w:rPr>
        <w:t> 7</w:t>
      </w:r>
      <w:r w:rsidRPr="00E45F61">
        <w:rPr>
          <w:rFonts w:eastAsia="Arial"/>
          <w:szCs w:val="22"/>
          <w:lang w:val="es-419"/>
        </w:rPr>
        <w:t>7 % (23 recomendaciones) procedían de la DSI, el</w:t>
      </w:r>
      <w:r w:rsidR="008D09ED" w:rsidRPr="00E45F61">
        <w:rPr>
          <w:rFonts w:eastAsia="Arial"/>
          <w:szCs w:val="22"/>
          <w:lang w:val="es-419"/>
        </w:rPr>
        <w:t> 2</w:t>
      </w:r>
      <w:r w:rsidRPr="00E45F61">
        <w:rPr>
          <w:rFonts w:eastAsia="Arial"/>
          <w:szCs w:val="22"/>
          <w:lang w:val="es-419"/>
        </w:rPr>
        <w:t>0 % (seis recomendaciones) estaban relacionadas con recomendaciones del auditor externo, y el</w:t>
      </w:r>
      <w:r w:rsidR="008D09ED" w:rsidRPr="00E45F61">
        <w:rPr>
          <w:rFonts w:eastAsia="Arial"/>
          <w:szCs w:val="22"/>
          <w:lang w:val="es-419"/>
        </w:rPr>
        <w:t> 3</w:t>
      </w:r>
      <w:r w:rsidRPr="00E45F61">
        <w:rPr>
          <w:rFonts w:eastAsia="Arial"/>
          <w:szCs w:val="22"/>
          <w:lang w:val="es-419"/>
        </w:rPr>
        <w:t> % restante (una recomendación) estaban relacionadas con un examen externo de la Función de Tesorería,</w:t>
      </w:r>
      <w:r w:rsidRPr="00E45F61">
        <w:rPr>
          <w:rStyle w:val="FootnoteReference"/>
          <w:lang w:val="es-419"/>
        </w:rPr>
        <w:footnoteReference w:id="22"/>
      </w:r>
      <w:r w:rsidRPr="00E45F61">
        <w:rPr>
          <w:rFonts w:eastAsia="Arial"/>
          <w:szCs w:val="22"/>
          <w:lang w:val="es-419"/>
        </w:rPr>
        <w:t xml:space="preserve"> que la DSI incluyó en su sistema de seguimiento para supervisar la aplicación de las recomendaciones en él contenidas. El siguiente gráfico 4 muestra las recomendaciones abiertas clasificadas por origen y prioridad a 31 de diciembre de 2024.</w:t>
      </w:r>
    </w:p>
    <w:p w14:paraId="7CAF3484" w14:textId="77777777" w:rsidR="0076292E" w:rsidRPr="00E45F61" w:rsidRDefault="00B7499E" w:rsidP="00BE5159">
      <w:pPr>
        <w:spacing w:after="240"/>
        <w:jc w:val="center"/>
        <w:rPr>
          <w:rFonts w:eastAsia="Arial"/>
          <w:b/>
          <w:bCs/>
          <w:szCs w:val="22"/>
          <w:lang w:val="es-419"/>
        </w:rPr>
      </w:pPr>
      <w:r w:rsidRPr="00E45F61">
        <w:rPr>
          <w:rFonts w:eastAsia="Arial"/>
          <w:b/>
          <w:bCs/>
          <w:szCs w:val="22"/>
          <w:lang w:val="es-419"/>
        </w:rPr>
        <w:t>Gráfico</w:t>
      </w:r>
      <w:r w:rsidR="008D09ED" w:rsidRPr="00E45F61">
        <w:rPr>
          <w:rFonts w:eastAsia="Arial"/>
          <w:b/>
          <w:bCs/>
          <w:szCs w:val="22"/>
          <w:lang w:val="es-419"/>
        </w:rPr>
        <w:t> 4</w:t>
      </w:r>
      <w:r w:rsidRPr="00E45F61">
        <w:rPr>
          <w:rFonts w:eastAsia="Arial"/>
          <w:b/>
          <w:bCs/>
          <w:szCs w:val="22"/>
          <w:lang w:val="es-419"/>
        </w:rPr>
        <w:t xml:space="preserve"> – Recomendaciones abiertas por fuente y por prioridad (30)</w:t>
      </w:r>
    </w:p>
    <w:p w14:paraId="5BF04B1C" w14:textId="22C14746" w:rsidR="00530560" w:rsidRPr="00E45F61" w:rsidRDefault="00D53BF6" w:rsidP="00455963">
      <w:pPr>
        <w:rPr>
          <w:b/>
          <w:szCs w:val="22"/>
          <w:lang w:val="es-419"/>
        </w:rPr>
      </w:pPr>
      <w:r w:rsidRPr="00E45F61">
        <w:rPr>
          <w:noProof/>
          <w:lang w:val="es-419"/>
        </w:rPr>
        <w:drawing>
          <wp:inline distT="0" distB="0" distL="0" distR="0" wp14:anchorId="6BD809B1" wp14:editId="6E7C4D45">
            <wp:extent cx="5940425" cy="2870200"/>
            <wp:effectExtent l="0" t="0" r="3175" b="6350"/>
            <wp:docPr id="552673109"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73109" name="Picture 1" descr="A graph of a bar chart&#10;&#10;AI-generated content may be incorrect."/>
                    <pic:cNvPicPr/>
                  </pic:nvPicPr>
                  <pic:blipFill>
                    <a:blip r:embed="rId16"/>
                    <a:stretch>
                      <a:fillRect/>
                    </a:stretch>
                  </pic:blipFill>
                  <pic:spPr>
                    <a:xfrm>
                      <a:off x="0" y="0"/>
                      <a:ext cx="5940425" cy="2870200"/>
                    </a:xfrm>
                    <a:prstGeom prst="rect">
                      <a:avLst/>
                    </a:prstGeom>
                  </pic:spPr>
                </pic:pic>
              </a:graphicData>
            </a:graphic>
          </wp:inline>
        </w:drawing>
      </w:r>
    </w:p>
    <w:p w14:paraId="07DEF7ED" w14:textId="0466E528" w:rsidR="0076292E" w:rsidRPr="00E45F61" w:rsidRDefault="00B7499E" w:rsidP="00BE5159">
      <w:pPr>
        <w:pStyle w:val="ONUME"/>
        <w:keepLines/>
        <w:numPr>
          <w:ilvl w:val="0"/>
          <w:numId w:val="0"/>
        </w:numPr>
        <w:spacing w:before="120" w:after="360"/>
        <w:rPr>
          <w:lang w:val="es-419"/>
        </w:rPr>
      </w:pPr>
      <w:r w:rsidRPr="00E45F61">
        <w:rPr>
          <w:rFonts w:eastAsia="Arial"/>
          <w:sz w:val="18"/>
          <w:szCs w:val="18"/>
          <w:lang w:val="es-419"/>
        </w:rPr>
        <w:t xml:space="preserve">Fuente: </w:t>
      </w:r>
      <w:r w:rsidR="00955FCA" w:rsidRPr="00E45F61">
        <w:rPr>
          <w:rFonts w:eastAsia="Arial"/>
          <w:sz w:val="18"/>
          <w:szCs w:val="18"/>
          <w:lang w:val="es-419"/>
        </w:rPr>
        <w:t>S</w:t>
      </w:r>
      <w:r w:rsidRPr="00E45F61">
        <w:rPr>
          <w:rFonts w:eastAsia="Arial"/>
          <w:sz w:val="18"/>
          <w:szCs w:val="18"/>
          <w:lang w:val="es-419"/>
        </w:rPr>
        <w:t>istema TeamMate+ de gestión de auditoría de la DSI, diciembre de 2024</w:t>
      </w:r>
      <w:r w:rsidR="00955FCA" w:rsidRPr="00E45F61">
        <w:rPr>
          <w:rFonts w:eastAsia="Arial"/>
          <w:sz w:val="18"/>
          <w:szCs w:val="18"/>
          <w:lang w:val="es-419"/>
        </w:rPr>
        <w:t>.</w:t>
      </w:r>
    </w:p>
    <w:p w14:paraId="0FD9E22B" w14:textId="77777777" w:rsidR="0076292E" w:rsidRPr="00E45F61" w:rsidRDefault="00B7499E" w:rsidP="00E45F61">
      <w:pPr>
        <w:pStyle w:val="ONUME"/>
        <w:keepNext/>
        <w:keepLines/>
        <w:tabs>
          <w:tab w:val="clear" w:pos="567"/>
          <w:tab w:val="num" w:pos="657"/>
        </w:tabs>
        <w:spacing w:after="240"/>
        <w:ind w:left="91"/>
        <w:rPr>
          <w:lang w:val="es-419"/>
        </w:rPr>
      </w:pPr>
      <w:r w:rsidRPr="00E45F61">
        <w:rPr>
          <w:rFonts w:eastAsia="Arial"/>
          <w:szCs w:val="22"/>
          <w:lang w:val="es-419"/>
        </w:rPr>
        <w:lastRenderedPageBreak/>
        <w:t>De enero a diciembre de</w:t>
      </w:r>
      <w:r w:rsidR="008D09ED" w:rsidRPr="00E45F61">
        <w:rPr>
          <w:rFonts w:eastAsia="Arial"/>
          <w:szCs w:val="22"/>
          <w:lang w:val="es-419"/>
        </w:rPr>
        <w:t> 2</w:t>
      </w:r>
      <w:r w:rsidRPr="00E45F61">
        <w:rPr>
          <w:rFonts w:eastAsia="Arial"/>
          <w:szCs w:val="22"/>
          <w:lang w:val="es-419"/>
        </w:rPr>
        <w:t>024, se añadieron</w:t>
      </w:r>
      <w:r w:rsidR="008D09ED" w:rsidRPr="00E45F61">
        <w:rPr>
          <w:rFonts w:eastAsia="Arial"/>
          <w:szCs w:val="22"/>
          <w:lang w:val="es-419"/>
        </w:rPr>
        <w:t> 3</w:t>
      </w:r>
      <w:r w:rsidRPr="00E45F61">
        <w:rPr>
          <w:rFonts w:eastAsia="Arial"/>
          <w:szCs w:val="22"/>
          <w:lang w:val="es-419"/>
        </w:rPr>
        <w:t>7 nuevas recomendaciones al sistema de gestión de auditorías, incluida una procedente de un examen realizado por una parte externa que la DSI elevó para supervisar su aplicación. En</w:t>
      </w:r>
      <w:r w:rsidR="008D09ED" w:rsidRPr="00E45F61">
        <w:rPr>
          <w:rFonts w:eastAsia="Arial"/>
          <w:szCs w:val="22"/>
          <w:lang w:val="es-419"/>
        </w:rPr>
        <w:t> 2</w:t>
      </w:r>
      <w:r w:rsidRPr="00E45F61">
        <w:rPr>
          <w:rFonts w:eastAsia="Arial"/>
          <w:szCs w:val="22"/>
          <w:lang w:val="es-419"/>
        </w:rPr>
        <w:t>024 el auditor externo no emitió ninguna recomendación. Durante ese mismo período, se cerraron</w:t>
      </w:r>
      <w:r w:rsidR="008D09ED" w:rsidRPr="00E45F61">
        <w:rPr>
          <w:rFonts w:eastAsia="Arial"/>
          <w:szCs w:val="22"/>
          <w:lang w:val="es-419"/>
        </w:rPr>
        <w:t> 6</w:t>
      </w:r>
      <w:r w:rsidRPr="00E45F61">
        <w:rPr>
          <w:rFonts w:eastAsia="Arial"/>
          <w:szCs w:val="22"/>
          <w:lang w:val="es-419"/>
        </w:rPr>
        <w:t>6 recomendaciones. El cuadro 3 a continuación muestra el movimiento de las recomendaciones por origen en 2024.</w:t>
      </w:r>
    </w:p>
    <w:p w14:paraId="34C63F66" w14:textId="77777777" w:rsidR="0076292E" w:rsidRPr="00E45F61" w:rsidRDefault="00B7499E" w:rsidP="0076292E">
      <w:pPr>
        <w:pStyle w:val="ONUME"/>
        <w:keepNext/>
        <w:numPr>
          <w:ilvl w:val="0"/>
          <w:numId w:val="0"/>
        </w:numPr>
        <w:jc w:val="center"/>
        <w:rPr>
          <w:b/>
          <w:szCs w:val="22"/>
          <w:lang w:val="es-419"/>
        </w:rPr>
      </w:pPr>
      <w:r w:rsidRPr="00E45F61">
        <w:rPr>
          <w:rFonts w:eastAsia="Arial"/>
          <w:b/>
          <w:bCs/>
          <w:szCs w:val="22"/>
          <w:lang w:val="es-419"/>
        </w:rPr>
        <w:t>Cuadro 3: Movimiento de las recomendaciones del 1 de enero al 31 de diciembre de 2024</w:t>
      </w:r>
    </w:p>
    <w:tbl>
      <w:tblPr>
        <w:tblStyle w:val="GridTable4-Accent1"/>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 Movement of Recommendations from January 1, 2024, to December 31, 2024"/>
      </w:tblPr>
      <w:tblGrid>
        <w:gridCol w:w="3437"/>
        <w:gridCol w:w="1592"/>
        <w:gridCol w:w="1517"/>
        <w:gridCol w:w="1461"/>
        <w:gridCol w:w="1348"/>
      </w:tblGrid>
      <w:tr w:rsidR="001700C5" w:rsidRPr="00E45F61" w14:paraId="03B12F0B" w14:textId="77777777" w:rsidTr="001700C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hideMark/>
          </w:tcPr>
          <w:p w14:paraId="347AF33D" w14:textId="77777777" w:rsidR="0076292E" w:rsidRPr="00E45F61" w:rsidRDefault="0076292E" w:rsidP="000B4F77">
            <w:pPr>
              <w:rPr>
                <w:rFonts w:eastAsia="Times New Roman"/>
                <w:sz w:val="20"/>
                <w:lang w:val="es-419" w:eastAsia="en-US"/>
              </w:rPr>
            </w:pPr>
          </w:p>
          <w:p w14:paraId="6BD23410" w14:textId="77777777" w:rsidR="0076292E" w:rsidRPr="00E45F61" w:rsidRDefault="00B7499E" w:rsidP="000B4F77">
            <w:pPr>
              <w:rPr>
                <w:rFonts w:eastAsia="Times New Roman"/>
                <w:sz w:val="20"/>
                <w:lang w:val="es-419" w:eastAsia="en-US"/>
              </w:rPr>
            </w:pPr>
            <w:r w:rsidRPr="00E45F61">
              <w:rPr>
                <w:rFonts w:eastAsia="Arial"/>
                <w:color w:val="FFFFFF"/>
                <w:sz w:val="20"/>
                <w:lang w:val="es-419" w:eastAsia="en-US"/>
              </w:rPr>
              <w:t>Origen</w:t>
            </w:r>
          </w:p>
        </w:tc>
        <w:tc>
          <w:tcPr>
            <w:tcW w:w="1592" w:type="dxa"/>
            <w:tcBorders>
              <w:bottom w:val="nil"/>
            </w:tcBorders>
            <w:shd w:val="clear" w:color="auto" w:fill="17365D" w:themeFill="text2" w:themeFillShade="BF"/>
            <w:hideMark/>
          </w:tcPr>
          <w:p w14:paraId="7A243FE5"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Abiertas a 1 de enero de 2024</w:t>
            </w:r>
          </w:p>
        </w:tc>
        <w:tc>
          <w:tcPr>
            <w:tcW w:w="1517" w:type="dxa"/>
            <w:tcBorders>
              <w:bottom w:val="nil"/>
            </w:tcBorders>
            <w:shd w:val="clear" w:color="auto" w:fill="17365D" w:themeFill="text2" w:themeFillShade="BF"/>
            <w:hideMark/>
          </w:tcPr>
          <w:p w14:paraId="5BB43E95"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Añadidas durante el período reseñado</w:t>
            </w:r>
          </w:p>
        </w:tc>
        <w:tc>
          <w:tcPr>
            <w:tcW w:w="1461" w:type="dxa"/>
            <w:tcBorders>
              <w:bottom w:val="nil"/>
            </w:tcBorders>
            <w:shd w:val="clear" w:color="auto" w:fill="17365D" w:themeFill="text2" w:themeFillShade="BF"/>
            <w:hideMark/>
          </w:tcPr>
          <w:p w14:paraId="2CD1C6DA"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Cerradas durante el período reseñado</w:t>
            </w:r>
          </w:p>
        </w:tc>
        <w:tc>
          <w:tcPr>
            <w:tcW w:w="1348" w:type="dxa"/>
            <w:tcBorders>
              <w:bottom w:val="nil"/>
            </w:tcBorders>
            <w:shd w:val="clear" w:color="auto" w:fill="17365D" w:themeFill="text2" w:themeFillShade="BF"/>
            <w:hideMark/>
          </w:tcPr>
          <w:p w14:paraId="06C6622E"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Abiertas a 31 de diciembre de 2024</w:t>
            </w:r>
          </w:p>
        </w:tc>
      </w:tr>
      <w:tr w:rsidR="001700C5" w:rsidRPr="00E45F61" w14:paraId="22734852"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F66728B" w14:textId="77777777" w:rsidR="0076292E" w:rsidRPr="00E45F61" w:rsidRDefault="00B7499E" w:rsidP="000B4F77">
            <w:pPr>
              <w:rPr>
                <w:rFonts w:eastAsia="Times New Roman"/>
                <w:color w:val="000000"/>
                <w:sz w:val="20"/>
                <w:lang w:val="es-419" w:eastAsia="en-US"/>
              </w:rPr>
            </w:pPr>
            <w:r w:rsidRPr="00E45F61">
              <w:rPr>
                <w:rFonts w:eastAsia="Arial"/>
                <w:color w:val="000000"/>
                <w:sz w:val="20"/>
                <w:lang w:val="es-419" w:eastAsia="en-US"/>
              </w:rPr>
              <w:t>DSI</w:t>
            </w:r>
          </w:p>
        </w:tc>
        <w:tc>
          <w:tcPr>
            <w:tcW w:w="1592" w:type="dxa"/>
            <w:tcBorders>
              <w:top w:val="nil"/>
              <w:left w:val="nil"/>
              <w:bottom w:val="nil"/>
              <w:right w:val="nil"/>
            </w:tcBorders>
            <w:noWrap/>
            <w:hideMark/>
          </w:tcPr>
          <w:p w14:paraId="58450527"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48</w:t>
            </w:r>
          </w:p>
        </w:tc>
        <w:tc>
          <w:tcPr>
            <w:tcW w:w="1517" w:type="dxa"/>
            <w:tcBorders>
              <w:top w:val="nil"/>
              <w:left w:val="nil"/>
              <w:bottom w:val="nil"/>
              <w:right w:val="nil"/>
            </w:tcBorders>
            <w:noWrap/>
          </w:tcPr>
          <w:p w14:paraId="6AE38E05"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36</w:t>
            </w:r>
          </w:p>
        </w:tc>
        <w:tc>
          <w:tcPr>
            <w:tcW w:w="1461" w:type="dxa"/>
            <w:tcBorders>
              <w:top w:val="nil"/>
              <w:left w:val="nil"/>
              <w:bottom w:val="nil"/>
              <w:right w:val="nil"/>
            </w:tcBorders>
            <w:noWrap/>
          </w:tcPr>
          <w:p w14:paraId="36CC4263"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(61)</w:t>
            </w:r>
          </w:p>
        </w:tc>
        <w:tc>
          <w:tcPr>
            <w:tcW w:w="1348" w:type="dxa"/>
            <w:tcBorders>
              <w:top w:val="nil"/>
              <w:left w:val="nil"/>
              <w:bottom w:val="nil"/>
              <w:right w:val="nil"/>
            </w:tcBorders>
            <w:noWrap/>
          </w:tcPr>
          <w:p w14:paraId="551BB172"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23</w:t>
            </w:r>
          </w:p>
        </w:tc>
      </w:tr>
      <w:tr w:rsidR="001700C5" w:rsidRPr="00E45F61" w14:paraId="2BDA9376"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BAA2677" w14:textId="77777777" w:rsidR="0076292E" w:rsidRPr="00E45F61" w:rsidRDefault="00B7499E" w:rsidP="000B4F77">
            <w:pPr>
              <w:rPr>
                <w:rFonts w:eastAsia="Times New Roman"/>
                <w:color w:val="000000"/>
                <w:sz w:val="20"/>
                <w:lang w:val="es-419" w:eastAsia="en-US"/>
              </w:rPr>
            </w:pPr>
            <w:r w:rsidRPr="00E45F61">
              <w:rPr>
                <w:rFonts w:eastAsia="Arial"/>
                <w:color w:val="000000"/>
                <w:sz w:val="20"/>
                <w:lang w:val="es-419" w:eastAsia="en-US"/>
              </w:rPr>
              <w:t>Auditor externo</w:t>
            </w:r>
          </w:p>
        </w:tc>
        <w:tc>
          <w:tcPr>
            <w:tcW w:w="1592" w:type="dxa"/>
            <w:tcBorders>
              <w:top w:val="nil"/>
              <w:left w:val="nil"/>
              <w:bottom w:val="nil"/>
              <w:right w:val="nil"/>
            </w:tcBorders>
            <w:noWrap/>
            <w:hideMark/>
          </w:tcPr>
          <w:p w14:paraId="0992714F"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11</w:t>
            </w:r>
          </w:p>
        </w:tc>
        <w:tc>
          <w:tcPr>
            <w:tcW w:w="1517" w:type="dxa"/>
            <w:tcBorders>
              <w:top w:val="nil"/>
              <w:left w:val="nil"/>
              <w:bottom w:val="nil"/>
              <w:right w:val="nil"/>
            </w:tcBorders>
            <w:noWrap/>
          </w:tcPr>
          <w:p w14:paraId="5211A184"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Times New Roman"/>
                <w:color w:val="000000"/>
                <w:sz w:val="20"/>
                <w:lang w:val="es-419" w:eastAsia="en-US"/>
              </w:rPr>
              <w:t>-</w:t>
            </w:r>
          </w:p>
        </w:tc>
        <w:tc>
          <w:tcPr>
            <w:tcW w:w="1461" w:type="dxa"/>
            <w:tcBorders>
              <w:top w:val="nil"/>
              <w:left w:val="nil"/>
              <w:bottom w:val="nil"/>
              <w:right w:val="nil"/>
            </w:tcBorders>
            <w:noWrap/>
          </w:tcPr>
          <w:p w14:paraId="096E192D"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(5)</w:t>
            </w:r>
          </w:p>
        </w:tc>
        <w:tc>
          <w:tcPr>
            <w:tcW w:w="1348" w:type="dxa"/>
            <w:tcBorders>
              <w:top w:val="nil"/>
              <w:left w:val="nil"/>
              <w:bottom w:val="nil"/>
              <w:right w:val="nil"/>
            </w:tcBorders>
            <w:noWrap/>
          </w:tcPr>
          <w:p w14:paraId="5FC88D1E"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6</w:t>
            </w:r>
          </w:p>
        </w:tc>
      </w:tr>
      <w:tr w:rsidR="001700C5" w:rsidRPr="00E45F61" w14:paraId="5AE98125"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7B57EE5B" w14:textId="77777777" w:rsidR="0076292E" w:rsidRPr="00E45F61" w:rsidRDefault="00B7499E" w:rsidP="000B4F77">
            <w:pPr>
              <w:rPr>
                <w:rFonts w:eastAsia="Times New Roman"/>
                <w:b w:val="0"/>
                <w:bCs w:val="0"/>
                <w:color w:val="000000"/>
                <w:sz w:val="20"/>
                <w:lang w:val="es-419" w:eastAsia="en-US"/>
              </w:rPr>
            </w:pPr>
            <w:r w:rsidRPr="00E45F61">
              <w:rPr>
                <w:rFonts w:eastAsia="Arial"/>
                <w:color w:val="000000"/>
                <w:sz w:val="20"/>
                <w:lang w:val="es-419" w:eastAsia="en-US"/>
              </w:rPr>
              <w:t>Otros</w:t>
            </w:r>
          </w:p>
        </w:tc>
        <w:tc>
          <w:tcPr>
            <w:tcW w:w="1592" w:type="dxa"/>
            <w:tcBorders>
              <w:top w:val="nil"/>
              <w:left w:val="nil"/>
              <w:bottom w:val="nil"/>
              <w:right w:val="nil"/>
            </w:tcBorders>
            <w:noWrap/>
            <w:hideMark/>
          </w:tcPr>
          <w:p w14:paraId="776006C0"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Times New Roman"/>
                <w:color w:val="000000"/>
                <w:sz w:val="20"/>
                <w:lang w:val="es-419" w:eastAsia="en-US"/>
              </w:rPr>
              <w:t>-</w:t>
            </w:r>
          </w:p>
        </w:tc>
        <w:tc>
          <w:tcPr>
            <w:tcW w:w="1517" w:type="dxa"/>
            <w:tcBorders>
              <w:top w:val="nil"/>
              <w:left w:val="nil"/>
              <w:bottom w:val="nil"/>
              <w:right w:val="nil"/>
            </w:tcBorders>
            <w:noWrap/>
          </w:tcPr>
          <w:p w14:paraId="39EFF0F5"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w:t>
            </w:r>
          </w:p>
        </w:tc>
        <w:tc>
          <w:tcPr>
            <w:tcW w:w="1461" w:type="dxa"/>
            <w:tcBorders>
              <w:top w:val="nil"/>
              <w:left w:val="nil"/>
              <w:bottom w:val="nil"/>
              <w:right w:val="nil"/>
            </w:tcBorders>
            <w:noWrap/>
          </w:tcPr>
          <w:p w14:paraId="44FBAE8F"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Times New Roman"/>
                <w:color w:val="000000"/>
                <w:sz w:val="20"/>
                <w:lang w:val="es-419" w:eastAsia="en-US"/>
              </w:rPr>
              <w:t>-</w:t>
            </w:r>
          </w:p>
        </w:tc>
        <w:tc>
          <w:tcPr>
            <w:tcW w:w="1348" w:type="dxa"/>
            <w:tcBorders>
              <w:top w:val="nil"/>
              <w:left w:val="nil"/>
              <w:bottom w:val="nil"/>
              <w:right w:val="nil"/>
            </w:tcBorders>
            <w:noWrap/>
          </w:tcPr>
          <w:p w14:paraId="06648FB3" w14:textId="77777777" w:rsidR="0076292E" w:rsidRPr="00E45F61" w:rsidRDefault="00B7499E" w:rsidP="000B4F7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w:t>
            </w:r>
          </w:p>
        </w:tc>
      </w:tr>
      <w:tr w:rsidR="001700C5" w:rsidRPr="00E45F61" w14:paraId="35A24599"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4B0C4E58" w14:textId="77777777" w:rsidR="0076292E" w:rsidRPr="00E45F61" w:rsidRDefault="00B7499E" w:rsidP="000B4F77">
            <w:pPr>
              <w:rPr>
                <w:rFonts w:eastAsia="Times New Roman"/>
                <w:color w:val="000000"/>
                <w:sz w:val="20"/>
                <w:lang w:val="es-419" w:eastAsia="en-US"/>
              </w:rPr>
            </w:pPr>
            <w:r w:rsidRPr="00E45F61">
              <w:rPr>
                <w:rFonts w:eastAsia="Arial"/>
                <w:color w:val="000000"/>
                <w:sz w:val="20"/>
                <w:lang w:val="es-419" w:eastAsia="en-US"/>
              </w:rPr>
              <w:t>Total</w:t>
            </w:r>
          </w:p>
        </w:tc>
        <w:tc>
          <w:tcPr>
            <w:tcW w:w="1592" w:type="dxa"/>
            <w:tcBorders>
              <w:top w:val="nil"/>
              <w:left w:val="nil"/>
              <w:bottom w:val="nil"/>
              <w:right w:val="nil"/>
            </w:tcBorders>
            <w:noWrap/>
            <w:hideMark/>
          </w:tcPr>
          <w:p w14:paraId="32266102"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E45F61">
              <w:rPr>
                <w:rFonts w:eastAsia="Arial"/>
                <w:b/>
                <w:bCs/>
                <w:color w:val="000000"/>
                <w:sz w:val="20"/>
                <w:lang w:val="es-419" w:eastAsia="en-US"/>
              </w:rPr>
              <w:t>59</w:t>
            </w:r>
          </w:p>
        </w:tc>
        <w:tc>
          <w:tcPr>
            <w:tcW w:w="1517" w:type="dxa"/>
            <w:tcBorders>
              <w:top w:val="nil"/>
              <w:left w:val="nil"/>
              <w:bottom w:val="nil"/>
              <w:right w:val="nil"/>
            </w:tcBorders>
            <w:noWrap/>
          </w:tcPr>
          <w:p w14:paraId="056457CE"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E45F61">
              <w:rPr>
                <w:rFonts w:eastAsia="Arial"/>
                <w:b/>
                <w:bCs/>
                <w:color w:val="000000"/>
                <w:sz w:val="20"/>
                <w:lang w:val="es-419" w:eastAsia="en-US"/>
              </w:rPr>
              <w:t>37</w:t>
            </w:r>
          </w:p>
        </w:tc>
        <w:tc>
          <w:tcPr>
            <w:tcW w:w="1461" w:type="dxa"/>
            <w:tcBorders>
              <w:top w:val="nil"/>
              <w:left w:val="nil"/>
              <w:bottom w:val="nil"/>
              <w:right w:val="nil"/>
            </w:tcBorders>
            <w:noWrap/>
          </w:tcPr>
          <w:p w14:paraId="758937A6"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E45F61">
              <w:rPr>
                <w:rFonts w:eastAsia="Arial"/>
                <w:b/>
                <w:bCs/>
                <w:color w:val="000000"/>
                <w:sz w:val="20"/>
                <w:lang w:val="es-419" w:eastAsia="en-US"/>
              </w:rPr>
              <w:t>(66)</w:t>
            </w:r>
          </w:p>
        </w:tc>
        <w:tc>
          <w:tcPr>
            <w:tcW w:w="1348" w:type="dxa"/>
            <w:tcBorders>
              <w:top w:val="nil"/>
              <w:left w:val="nil"/>
              <w:bottom w:val="nil"/>
              <w:right w:val="nil"/>
            </w:tcBorders>
            <w:noWrap/>
          </w:tcPr>
          <w:p w14:paraId="2C28D5E4" w14:textId="77777777" w:rsidR="0076292E" w:rsidRPr="00E45F61" w:rsidRDefault="00B7499E" w:rsidP="000B4F7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E45F61">
              <w:rPr>
                <w:rFonts w:eastAsia="Arial"/>
                <w:b/>
                <w:bCs/>
                <w:color w:val="000000"/>
                <w:sz w:val="20"/>
                <w:lang w:val="es-419" w:eastAsia="en-US"/>
              </w:rPr>
              <w:t xml:space="preserve">30 </w:t>
            </w:r>
          </w:p>
        </w:tc>
      </w:tr>
    </w:tbl>
    <w:p w14:paraId="2D54DA25" w14:textId="126662E6" w:rsidR="0076292E" w:rsidRPr="00E45F61" w:rsidRDefault="00B7499E" w:rsidP="0076292E">
      <w:pPr>
        <w:pStyle w:val="ONUME"/>
        <w:keepLines/>
        <w:numPr>
          <w:ilvl w:val="0"/>
          <w:numId w:val="0"/>
        </w:numPr>
        <w:spacing w:after="360"/>
        <w:rPr>
          <w:lang w:val="es-419"/>
        </w:rPr>
      </w:pPr>
      <w:r w:rsidRPr="00E45F61">
        <w:rPr>
          <w:rFonts w:eastAsia="Arial"/>
          <w:sz w:val="18"/>
          <w:szCs w:val="18"/>
          <w:lang w:val="es-419"/>
        </w:rPr>
        <w:t>Fuente: sistema TeamMate+ de gestión de auditoría de la DSI, diciembre de 2024.</w:t>
      </w:r>
    </w:p>
    <w:p w14:paraId="2B4195EF" w14:textId="77777777" w:rsidR="0076292E" w:rsidRPr="00E45F61" w:rsidRDefault="00B7499E" w:rsidP="001221CE">
      <w:pPr>
        <w:pStyle w:val="ONUME"/>
        <w:tabs>
          <w:tab w:val="clear" w:pos="567"/>
          <w:tab w:val="num" w:pos="657"/>
        </w:tabs>
        <w:spacing w:after="240"/>
        <w:ind w:left="91"/>
        <w:rPr>
          <w:lang w:val="es-419"/>
        </w:rPr>
      </w:pPr>
      <w:r w:rsidRPr="00E45F61">
        <w:rPr>
          <w:rFonts w:eastAsia="Arial"/>
          <w:szCs w:val="22"/>
          <w:lang w:val="es-419"/>
        </w:rPr>
        <w:t>El siguiente gráfico muestra la evolución de las recomendaciones abiertas según la fecha en la que se deberían haber aplicado inicialmente. La mitad de las recomendaciones abiertas (15) no habían vencido, y el</w:t>
      </w:r>
      <w:r w:rsidR="008D09ED" w:rsidRPr="00E45F61">
        <w:rPr>
          <w:rFonts w:eastAsia="Arial"/>
          <w:szCs w:val="22"/>
          <w:lang w:val="es-419"/>
        </w:rPr>
        <w:t> 4</w:t>
      </w:r>
      <w:r w:rsidRPr="00E45F61">
        <w:rPr>
          <w:rFonts w:eastAsia="Arial"/>
          <w:szCs w:val="22"/>
          <w:lang w:val="es-419"/>
        </w:rPr>
        <w:t>7 % de las recomendaciones tenían un retraso de entre tres y 12 meses a 31 de diciembre de 2024. S</w:t>
      </w:r>
      <w:r w:rsidR="00955FCA" w:rsidRPr="00E45F61">
        <w:rPr>
          <w:rFonts w:eastAsia="Arial"/>
          <w:szCs w:val="22"/>
          <w:lang w:val="es-419"/>
        </w:rPr>
        <w:t>o</w:t>
      </w:r>
      <w:r w:rsidRPr="00E45F61">
        <w:rPr>
          <w:rFonts w:eastAsia="Arial"/>
          <w:szCs w:val="22"/>
          <w:lang w:val="es-419"/>
        </w:rPr>
        <w:t>lo una recomendación estaba en el intervalo de uno a tres años de retraso.</w:t>
      </w:r>
    </w:p>
    <w:p w14:paraId="3EC90A60" w14:textId="77777777" w:rsidR="00336175" w:rsidRPr="00E45F61" w:rsidRDefault="00B7499E" w:rsidP="001221CE">
      <w:pPr>
        <w:pStyle w:val="ONUME"/>
        <w:keepNext/>
        <w:numPr>
          <w:ilvl w:val="0"/>
          <w:numId w:val="0"/>
        </w:numPr>
        <w:spacing w:after="120"/>
        <w:jc w:val="center"/>
        <w:rPr>
          <w:rFonts w:eastAsia="Arial"/>
          <w:b/>
          <w:bCs/>
          <w:szCs w:val="22"/>
          <w:lang w:val="es-419"/>
        </w:rPr>
      </w:pPr>
      <w:r w:rsidRPr="00E45F61">
        <w:rPr>
          <w:rFonts w:eastAsia="Arial"/>
          <w:b/>
          <w:bCs/>
          <w:szCs w:val="22"/>
          <w:lang w:val="es-419"/>
        </w:rPr>
        <w:t>Gráfico</w:t>
      </w:r>
      <w:r w:rsidR="008D09ED" w:rsidRPr="00E45F61">
        <w:rPr>
          <w:rFonts w:eastAsia="Arial"/>
          <w:b/>
          <w:bCs/>
          <w:szCs w:val="22"/>
          <w:lang w:val="es-419"/>
        </w:rPr>
        <w:t> 5</w:t>
      </w:r>
      <w:r w:rsidRPr="00E45F61">
        <w:rPr>
          <w:rFonts w:eastAsia="Arial"/>
          <w:b/>
          <w:bCs/>
          <w:szCs w:val="22"/>
          <w:lang w:val="es-419"/>
        </w:rPr>
        <w:t xml:space="preserve"> - Antigüedad de las recomendaciones pendientes en materia de supervisión basada en la fecha de aplicación inicial</w:t>
      </w:r>
    </w:p>
    <w:p w14:paraId="2A6FA3D7" w14:textId="77777777" w:rsidR="005C58EB" w:rsidRPr="00E45F61" w:rsidRDefault="00D07142" w:rsidP="00BE5159">
      <w:pPr>
        <w:spacing w:after="240"/>
        <w:rPr>
          <w:lang w:val="es-419"/>
        </w:rPr>
      </w:pPr>
      <w:r w:rsidRPr="00E45F61">
        <w:rPr>
          <w:noProof/>
          <w:lang w:val="es-419"/>
        </w:rPr>
        <w:drawing>
          <wp:inline distT="0" distB="0" distL="0" distR="0" wp14:anchorId="2168316F" wp14:editId="353D38E8">
            <wp:extent cx="5379085" cy="3668422"/>
            <wp:effectExtent l="0" t="0" r="5715" b="1905"/>
            <wp:docPr id="545392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92606" name=""/>
                    <pic:cNvPicPr/>
                  </pic:nvPicPr>
                  <pic:blipFill>
                    <a:blip r:embed="rId17"/>
                    <a:stretch>
                      <a:fillRect/>
                    </a:stretch>
                  </pic:blipFill>
                  <pic:spPr>
                    <a:xfrm>
                      <a:off x="0" y="0"/>
                      <a:ext cx="5419952" cy="3696292"/>
                    </a:xfrm>
                    <a:prstGeom prst="rect">
                      <a:avLst/>
                    </a:prstGeom>
                  </pic:spPr>
                </pic:pic>
              </a:graphicData>
            </a:graphic>
          </wp:inline>
        </w:drawing>
      </w:r>
    </w:p>
    <w:p w14:paraId="0117CB80" w14:textId="77777777" w:rsidR="0076292E" w:rsidRPr="00E45F61" w:rsidRDefault="00B7499E" w:rsidP="001221CE">
      <w:pPr>
        <w:pStyle w:val="ONUME"/>
        <w:keepNext/>
        <w:keepLines/>
        <w:tabs>
          <w:tab w:val="clear" w:pos="567"/>
          <w:tab w:val="num" w:pos="657"/>
        </w:tabs>
        <w:ind w:left="91"/>
        <w:rPr>
          <w:lang w:val="es-419"/>
        </w:rPr>
      </w:pPr>
      <w:r w:rsidRPr="00E45F61">
        <w:rPr>
          <w:rFonts w:eastAsia="Arial"/>
          <w:szCs w:val="22"/>
          <w:lang w:val="es-419"/>
        </w:rPr>
        <w:lastRenderedPageBreak/>
        <w:t>Se presenta a continuación el número de recomendaciones abiertas por sectores de la OMPI y por prioridad a 31 de diciembre de 2024:</w:t>
      </w:r>
    </w:p>
    <w:p w14:paraId="08E6A5B3" w14:textId="77777777" w:rsidR="0076292E" w:rsidRPr="00E45F61" w:rsidRDefault="00B7499E" w:rsidP="0076292E">
      <w:pPr>
        <w:pStyle w:val="ONUME"/>
        <w:keepNext/>
        <w:numPr>
          <w:ilvl w:val="0"/>
          <w:numId w:val="0"/>
        </w:numPr>
        <w:spacing w:after="0"/>
        <w:jc w:val="center"/>
        <w:rPr>
          <w:b/>
          <w:lang w:val="es-419"/>
        </w:rPr>
      </w:pPr>
      <w:r w:rsidRPr="00E45F61">
        <w:rPr>
          <w:rFonts w:eastAsia="Arial"/>
          <w:b/>
          <w:bCs/>
          <w:szCs w:val="22"/>
          <w:lang w:val="es-419"/>
        </w:rPr>
        <w:t>Gráfico 6: Recomendaciones abiertas por sector y por prioridad</w:t>
      </w:r>
    </w:p>
    <w:p w14:paraId="136F8059" w14:textId="77777777" w:rsidR="0076292E" w:rsidRPr="00E45F61" w:rsidRDefault="0076292E" w:rsidP="0076292E">
      <w:pPr>
        <w:pStyle w:val="ONUME"/>
        <w:keepNext/>
        <w:numPr>
          <w:ilvl w:val="0"/>
          <w:numId w:val="0"/>
        </w:numPr>
        <w:spacing w:after="0"/>
        <w:jc w:val="center"/>
        <w:rPr>
          <w:szCs w:val="22"/>
          <w:lang w:val="es-419"/>
        </w:rPr>
      </w:pPr>
    </w:p>
    <w:p w14:paraId="379B9DC7" w14:textId="77777777" w:rsidR="005A64AC" w:rsidRPr="00E45F61" w:rsidRDefault="00336175" w:rsidP="0076292E">
      <w:pPr>
        <w:pStyle w:val="ONUME"/>
        <w:keepLines/>
        <w:numPr>
          <w:ilvl w:val="0"/>
          <w:numId w:val="0"/>
        </w:numPr>
        <w:spacing w:after="360"/>
        <w:rPr>
          <w:rFonts w:eastAsia="Arial"/>
          <w:sz w:val="18"/>
          <w:szCs w:val="18"/>
          <w:lang w:val="es-419"/>
        </w:rPr>
      </w:pPr>
      <w:r w:rsidRPr="00E45F61">
        <w:rPr>
          <w:noProof/>
          <w:lang w:val="es-419"/>
        </w:rPr>
        <w:drawing>
          <wp:inline distT="0" distB="0" distL="0" distR="0" wp14:anchorId="08BCDDFF" wp14:editId="509D3E93">
            <wp:extent cx="4816724" cy="3113494"/>
            <wp:effectExtent l="0" t="0" r="0" b="0"/>
            <wp:docPr id="1811651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51993" name=""/>
                    <pic:cNvPicPr/>
                  </pic:nvPicPr>
                  <pic:blipFill>
                    <a:blip r:embed="rId18"/>
                    <a:stretch>
                      <a:fillRect/>
                    </a:stretch>
                  </pic:blipFill>
                  <pic:spPr>
                    <a:xfrm>
                      <a:off x="0" y="0"/>
                      <a:ext cx="4891804" cy="3162025"/>
                    </a:xfrm>
                    <a:prstGeom prst="rect">
                      <a:avLst/>
                    </a:prstGeom>
                  </pic:spPr>
                </pic:pic>
              </a:graphicData>
            </a:graphic>
          </wp:inline>
        </w:drawing>
      </w:r>
    </w:p>
    <w:p w14:paraId="6800A967" w14:textId="77777777" w:rsidR="0076292E" w:rsidRPr="00E45F61" w:rsidRDefault="00B7499E" w:rsidP="0076292E">
      <w:pPr>
        <w:pStyle w:val="ONUME"/>
        <w:keepLines/>
        <w:numPr>
          <w:ilvl w:val="0"/>
          <w:numId w:val="0"/>
        </w:numPr>
        <w:spacing w:after="360"/>
        <w:rPr>
          <w:rFonts w:eastAsia="Arial"/>
          <w:sz w:val="18"/>
          <w:szCs w:val="18"/>
          <w:lang w:val="es-419"/>
        </w:rPr>
      </w:pPr>
      <w:r w:rsidRPr="00E45F61">
        <w:rPr>
          <w:rFonts w:eastAsia="Arial"/>
          <w:sz w:val="18"/>
          <w:szCs w:val="18"/>
          <w:lang w:val="es-419"/>
        </w:rPr>
        <w:t>Fuente: sistema TeamMate+ de gestión de auditoría de la DSI, diciembre de 2024.</w:t>
      </w:r>
    </w:p>
    <w:p w14:paraId="7C6FCF4C" w14:textId="74D737A2"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mayoría de las recomendaciones abiertas (77 %) se referían al Sector de Administración, Finanzas y Gestión (60 %) y al Sector de Marcas y Diseños (17 %).</w:t>
      </w:r>
      <w:r w:rsidR="001A4D4B" w:rsidRPr="00E45F61">
        <w:rPr>
          <w:rFonts w:eastAsia="Arial"/>
          <w:szCs w:val="22"/>
          <w:lang w:val="es-419"/>
        </w:rPr>
        <w:t xml:space="preserve"> A 1 de enero de 2024, el Sector de Administración tenía 31 recomendaciones abiertas.  A lo largo del año, se emitieron 19 nuevas recomendaciones y se cerraron 32, con lo que a finales de 2024 había 18 recomendaciones abiertas.</w:t>
      </w:r>
    </w:p>
    <w:p w14:paraId="6A12AF71" w14:textId="6E25B5B2" w:rsidR="002B6E11" w:rsidRPr="00E45F61" w:rsidRDefault="002B6E11" w:rsidP="0076292E">
      <w:pPr>
        <w:pStyle w:val="ONUME"/>
        <w:tabs>
          <w:tab w:val="clear" w:pos="567"/>
          <w:tab w:val="num" w:pos="657"/>
        </w:tabs>
        <w:ind w:left="90"/>
        <w:rPr>
          <w:lang w:val="es-419"/>
        </w:rPr>
      </w:pPr>
      <w:r w:rsidRPr="00E45F61">
        <w:rPr>
          <w:lang w:val="es-419"/>
        </w:rPr>
        <w:t>En el caso del Sector de Marcas y Diseños, había nueve recomendaciones abiertas a principios de 2024.  Una recomendación se emitió durante el año, mientras que cinco se cerraron, quedando un total de cinco recomendaciones abiertas a finales de año.</w:t>
      </w:r>
    </w:p>
    <w:p w14:paraId="6870929D" w14:textId="29E05B35"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 xml:space="preserve">La DSI reconoce el apoyo continuo de la CCIS y del director general y las iniciativas adoptadas por la Oficina </w:t>
      </w:r>
      <w:r w:rsidR="00AC6237" w:rsidRPr="00E45F61">
        <w:rPr>
          <w:rFonts w:eastAsia="Arial"/>
          <w:szCs w:val="22"/>
          <w:lang w:val="es-419"/>
        </w:rPr>
        <w:t>de la Contralora</w:t>
      </w:r>
      <w:r w:rsidRPr="00E45F61">
        <w:rPr>
          <w:rFonts w:eastAsia="Arial"/>
          <w:szCs w:val="22"/>
          <w:lang w:val="es-419"/>
        </w:rPr>
        <w:t xml:space="preserve"> para implicar a la Dirección en el tratamiento de las recomendaciones abiertas.</w:t>
      </w:r>
    </w:p>
    <w:p w14:paraId="41B5828D" w14:textId="064F21ED" w:rsidR="0076292E" w:rsidRPr="00E45F61" w:rsidRDefault="00B7499E" w:rsidP="00BE5159">
      <w:pPr>
        <w:pStyle w:val="Heading1"/>
        <w:spacing w:before="0" w:after="120"/>
        <w:ind w:left="91"/>
        <w:rPr>
          <w:lang w:val="es-419"/>
        </w:rPr>
      </w:pPr>
      <w:bookmarkStart w:id="39" w:name="_Toc39071253"/>
      <w:bookmarkStart w:id="40" w:name="_Toc197337712"/>
      <w:r w:rsidRPr="00E45F61">
        <w:rPr>
          <w:rFonts w:eastAsia="Arial"/>
          <w:szCs w:val="22"/>
          <w:lang w:val="es-419"/>
        </w:rPr>
        <w:t>COOPERACIÓN CON ORGANISMOS DE SUPERVISIÓN EXTERNOS</w:t>
      </w:r>
      <w:bookmarkEnd w:id="39"/>
      <w:bookmarkEnd w:id="40"/>
    </w:p>
    <w:p w14:paraId="6B5E3C2D" w14:textId="77777777" w:rsidR="0076292E" w:rsidRPr="00E45F61" w:rsidRDefault="00B7499E" w:rsidP="00BE5159">
      <w:pPr>
        <w:pStyle w:val="Heading2"/>
        <w:spacing w:before="0" w:after="120"/>
        <w:ind w:left="91"/>
        <w:rPr>
          <w:lang w:val="es-419"/>
        </w:rPr>
      </w:pPr>
      <w:r w:rsidRPr="00E45F61">
        <w:rPr>
          <w:rFonts w:eastAsia="Arial"/>
          <w:szCs w:val="22"/>
          <w:lang w:val="es-419"/>
        </w:rPr>
        <w:t>La Comisión Consultiva Independiente de Supervisión</w:t>
      </w:r>
    </w:p>
    <w:p w14:paraId="19378C33"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ha asistido a las reuniones trimestrales de la CCIS, durante las cuales ha presentado informes sobre la aplicación del plan de trabajo de supervisión en</w:t>
      </w:r>
      <w:r w:rsidR="008D09ED" w:rsidRPr="00E45F61">
        <w:rPr>
          <w:rFonts w:eastAsia="Arial"/>
          <w:szCs w:val="22"/>
          <w:lang w:val="es-419"/>
        </w:rPr>
        <w:t> 2</w:t>
      </w:r>
      <w:r w:rsidRPr="00E45F61">
        <w:rPr>
          <w:rFonts w:eastAsia="Arial"/>
          <w:szCs w:val="22"/>
          <w:lang w:val="es-419"/>
        </w:rPr>
        <w:t>024, ha examinado los resultados de supervisión y otros aspectos relacionados con su labor y funcionamiento, y ha solicitado el asesoramiento de la CCIS, según las necesidades. En el período examinado se celebraron las sesiones</w:t>
      </w:r>
      <w:r w:rsidR="008D09ED" w:rsidRPr="00E45F61">
        <w:rPr>
          <w:rFonts w:eastAsia="Arial"/>
          <w:szCs w:val="22"/>
          <w:lang w:val="es-419"/>
        </w:rPr>
        <w:t> 7</w:t>
      </w:r>
      <w:r w:rsidRPr="00E45F61">
        <w:rPr>
          <w:rFonts w:eastAsia="Arial"/>
          <w:szCs w:val="22"/>
          <w:lang w:val="es-419"/>
        </w:rPr>
        <w:t>2.ª a</w:t>
      </w:r>
      <w:r w:rsidR="008D09ED" w:rsidRPr="00E45F61">
        <w:rPr>
          <w:rFonts w:eastAsia="Arial"/>
          <w:szCs w:val="22"/>
          <w:lang w:val="es-419"/>
        </w:rPr>
        <w:t> 7</w:t>
      </w:r>
      <w:r w:rsidRPr="00E45F61">
        <w:rPr>
          <w:rFonts w:eastAsia="Arial"/>
          <w:szCs w:val="22"/>
          <w:lang w:val="es-419"/>
        </w:rPr>
        <w:t>5.ª de la CCIS. La DSI agradece el apoyo, la orientación, las experiencias compartidas y los conocimientos aportados por la CCIS a lo largo de</w:t>
      </w:r>
      <w:r w:rsidR="008D09ED" w:rsidRPr="00E45F61">
        <w:rPr>
          <w:rFonts w:eastAsia="Arial"/>
          <w:szCs w:val="22"/>
          <w:lang w:val="es-419"/>
        </w:rPr>
        <w:t> 2</w:t>
      </w:r>
      <w:r w:rsidRPr="00E45F61">
        <w:rPr>
          <w:rFonts w:eastAsia="Arial"/>
          <w:szCs w:val="22"/>
          <w:lang w:val="es-419"/>
        </w:rPr>
        <w:t>024.</w:t>
      </w:r>
    </w:p>
    <w:p w14:paraId="030A5221" w14:textId="77777777" w:rsidR="0076292E" w:rsidRPr="00E45F61" w:rsidRDefault="00B7499E" w:rsidP="00BE5159">
      <w:pPr>
        <w:pStyle w:val="Heading2"/>
        <w:spacing w:after="120"/>
        <w:ind w:left="91"/>
        <w:rPr>
          <w:lang w:val="es-419"/>
        </w:rPr>
      </w:pPr>
      <w:r w:rsidRPr="00E45F61">
        <w:rPr>
          <w:rFonts w:eastAsia="Arial"/>
          <w:szCs w:val="22"/>
          <w:lang w:val="es-419"/>
        </w:rPr>
        <w:lastRenderedPageBreak/>
        <w:t>El auditor externo</w:t>
      </w:r>
    </w:p>
    <w:p w14:paraId="3DFD680C" w14:textId="77777777"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La DSI estuvo en contacto con el auditor externo, con el que compartió su plan de trabajo de supervisión para</w:t>
      </w:r>
      <w:r w:rsidR="008D09ED" w:rsidRPr="00E45F61">
        <w:rPr>
          <w:rFonts w:eastAsia="Arial"/>
          <w:szCs w:val="22"/>
          <w:lang w:val="es-419"/>
        </w:rPr>
        <w:t> 2</w:t>
      </w:r>
      <w:r w:rsidRPr="00E45F61">
        <w:rPr>
          <w:rFonts w:eastAsia="Arial"/>
          <w:szCs w:val="22"/>
          <w:lang w:val="es-419"/>
        </w:rPr>
        <w:t>024 con el fin de garantizar una cobertura eficiente de la supervisión y al mismo tiempo evitar la posible duplicación de esfuerzos. Además, todos los informes de auditoría y de evaluación se comunicaron puntualmente al auditor externo una vez finalizados. Los informes de investigación también se facilitaron al auditor externo cuando los solicitó.</w:t>
      </w:r>
    </w:p>
    <w:p w14:paraId="3D8D66B5" w14:textId="77777777" w:rsidR="0076292E" w:rsidRPr="00E45F61" w:rsidRDefault="00B7499E" w:rsidP="00BE5159">
      <w:pPr>
        <w:pStyle w:val="Heading1"/>
        <w:spacing w:before="0" w:after="240"/>
        <w:ind w:left="91"/>
        <w:rPr>
          <w:lang w:val="es-419"/>
        </w:rPr>
      </w:pPr>
      <w:bookmarkStart w:id="41" w:name="_Toc39071254"/>
      <w:bookmarkStart w:id="42" w:name="_Toc197337713"/>
      <w:r w:rsidRPr="00E45F61">
        <w:rPr>
          <w:rFonts w:eastAsia="Arial"/>
          <w:szCs w:val="22"/>
          <w:lang w:val="es-419"/>
        </w:rPr>
        <w:t>OTRAS FUNCIONES DE SUPERVISIÓN</w:t>
      </w:r>
      <w:bookmarkEnd w:id="41"/>
      <w:bookmarkEnd w:id="42"/>
    </w:p>
    <w:p w14:paraId="74AA1022" w14:textId="77777777" w:rsidR="0076292E" w:rsidRPr="00E45F61" w:rsidRDefault="00B7499E" w:rsidP="00BE5159">
      <w:pPr>
        <w:pStyle w:val="Heading2"/>
        <w:spacing w:before="0" w:after="120"/>
        <w:ind w:left="91"/>
        <w:rPr>
          <w:lang w:val="es-419"/>
        </w:rPr>
      </w:pPr>
      <w:r w:rsidRPr="00E45F61">
        <w:rPr>
          <w:rFonts w:eastAsia="Arial"/>
          <w:szCs w:val="22"/>
          <w:lang w:val="es-419"/>
        </w:rPr>
        <w:t>COOPERACIÓN CON LA OFICINA DE MEDIACIÓN Y LA OFICINA DE ÉTICA PROFESIONAL</w:t>
      </w:r>
    </w:p>
    <w:p w14:paraId="3B39D526" w14:textId="0DE5B078"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Durante el ejercicio en examen, l</w:t>
      </w:r>
      <w:r w:rsidR="001330B3" w:rsidRPr="00E45F61">
        <w:rPr>
          <w:rFonts w:eastAsia="Arial"/>
          <w:szCs w:val="22"/>
          <w:lang w:val="es-419"/>
        </w:rPr>
        <w:t>a</w:t>
      </w:r>
      <w:r w:rsidRPr="00E45F61">
        <w:rPr>
          <w:rFonts w:eastAsia="Arial"/>
          <w:szCs w:val="22"/>
          <w:lang w:val="es-419"/>
        </w:rPr>
        <w:t xml:space="preserve"> director</w:t>
      </w:r>
      <w:r w:rsidR="001330B3" w:rsidRPr="00E45F61">
        <w:rPr>
          <w:rFonts w:eastAsia="Arial"/>
          <w:szCs w:val="22"/>
          <w:lang w:val="es-419"/>
        </w:rPr>
        <w:t>a</w:t>
      </w:r>
      <w:r w:rsidRPr="00E45F61">
        <w:rPr>
          <w:rFonts w:eastAsia="Arial"/>
          <w:szCs w:val="22"/>
          <w:lang w:val="es-419"/>
        </w:rPr>
        <w:t xml:space="preserve"> de la DSI se reunió con l</w:t>
      </w:r>
      <w:r w:rsidR="00B26C77" w:rsidRPr="00E45F61">
        <w:rPr>
          <w:rFonts w:eastAsia="Arial"/>
          <w:szCs w:val="22"/>
          <w:lang w:val="es-419"/>
        </w:rPr>
        <w:t>a</w:t>
      </w:r>
      <w:r w:rsidRPr="00E45F61">
        <w:rPr>
          <w:rFonts w:eastAsia="Arial"/>
          <w:szCs w:val="22"/>
          <w:lang w:val="es-419"/>
        </w:rPr>
        <w:t xml:space="preserve"> mediador</w:t>
      </w:r>
      <w:r w:rsidR="00B26C77" w:rsidRPr="00E45F61">
        <w:rPr>
          <w:rFonts w:eastAsia="Arial"/>
          <w:szCs w:val="22"/>
          <w:lang w:val="es-419"/>
        </w:rPr>
        <w:t>a</w:t>
      </w:r>
      <w:r w:rsidRPr="00E45F61">
        <w:rPr>
          <w:rFonts w:eastAsia="Arial"/>
          <w:szCs w:val="22"/>
          <w:lang w:val="es-419"/>
        </w:rPr>
        <w:t xml:space="preserve"> y la oficial jefa de Ética Profesional a fin de garantizar la coordinación y el apoyo mutuo.</w:t>
      </w:r>
    </w:p>
    <w:p w14:paraId="34B2E2C1" w14:textId="77777777" w:rsidR="0076292E" w:rsidRPr="00E45F61" w:rsidRDefault="00B7499E" w:rsidP="00BE5159">
      <w:pPr>
        <w:pStyle w:val="Heading2"/>
        <w:spacing w:before="0" w:after="120"/>
        <w:ind w:left="91"/>
        <w:rPr>
          <w:lang w:val="es-419"/>
        </w:rPr>
      </w:pPr>
      <w:r w:rsidRPr="00E45F61">
        <w:rPr>
          <w:rFonts w:eastAsia="Arial"/>
          <w:szCs w:val="22"/>
          <w:lang w:val="es-419"/>
        </w:rPr>
        <w:t>ACTIVIDADES DE DIVULGACIÓN EN LA ORGANIZACIÓN</w:t>
      </w:r>
    </w:p>
    <w:p w14:paraId="4DB1D8AF" w14:textId="0EA6AB13"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A lo largo del año, la DSI colaboró con los colegas de la OMPI en el marco de reuniones iniciales relativas a tareas, actualizaciones, reuniones de finalización, conversaciones informales cuando fue necesario, presentaciones durante la formación inicial del nuevo personal y presentaciones a la dirección y a los responsables de los sectores cuando fue necesario. </w:t>
      </w:r>
      <w:r w:rsidR="0092465A" w:rsidRPr="00E45F61">
        <w:rPr>
          <w:rFonts w:eastAsia="Arial"/>
          <w:szCs w:val="22"/>
          <w:lang w:val="es-419"/>
        </w:rPr>
        <w:t>La</w:t>
      </w:r>
      <w:r w:rsidRPr="00E45F61">
        <w:rPr>
          <w:rFonts w:eastAsia="Arial"/>
          <w:szCs w:val="22"/>
          <w:lang w:val="es-419"/>
        </w:rPr>
        <w:t xml:space="preserve"> </w:t>
      </w:r>
      <w:r w:rsidR="00B26C77" w:rsidRPr="00E45F61">
        <w:rPr>
          <w:rFonts w:eastAsia="Arial"/>
          <w:szCs w:val="22"/>
          <w:lang w:val="es-419"/>
        </w:rPr>
        <w:t>d</w:t>
      </w:r>
      <w:r w:rsidRPr="00E45F61">
        <w:rPr>
          <w:rFonts w:eastAsia="Arial"/>
          <w:szCs w:val="22"/>
          <w:lang w:val="es-419"/>
        </w:rPr>
        <w:t>irector</w:t>
      </w:r>
      <w:r w:rsidR="0092465A" w:rsidRPr="00E45F61">
        <w:rPr>
          <w:rFonts w:eastAsia="Arial"/>
          <w:szCs w:val="22"/>
          <w:lang w:val="es-419"/>
        </w:rPr>
        <w:t>a</w:t>
      </w:r>
      <w:r w:rsidRPr="00E45F61">
        <w:rPr>
          <w:rFonts w:eastAsia="Arial"/>
          <w:szCs w:val="22"/>
          <w:lang w:val="es-419"/>
        </w:rPr>
        <w:t xml:space="preserve"> de la DSI asistió a todas las reuniones trimestrales del Grupo de Gestión de Riesgos en calidad de observador, contribuyendo a las deliberaciones desde una perspectiva de supervisión.</w:t>
      </w:r>
    </w:p>
    <w:p w14:paraId="3AD291DC" w14:textId="5EA4CE19"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Además, en marzo de</w:t>
      </w:r>
      <w:r w:rsidR="008D09ED" w:rsidRPr="00E45F61">
        <w:rPr>
          <w:rFonts w:eastAsia="Arial"/>
          <w:szCs w:val="22"/>
          <w:lang w:val="es-419"/>
        </w:rPr>
        <w:t> 2</w:t>
      </w:r>
      <w:r w:rsidRPr="00E45F61">
        <w:rPr>
          <w:rFonts w:eastAsia="Arial"/>
          <w:szCs w:val="22"/>
          <w:lang w:val="es-419"/>
        </w:rPr>
        <w:t>024, la DSI organizó un almuerzo de trabajo para más de</w:t>
      </w:r>
      <w:r w:rsidR="008D09ED" w:rsidRPr="00E45F61">
        <w:rPr>
          <w:rFonts w:eastAsia="Arial"/>
          <w:szCs w:val="22"/>
          <w:lang w:val="es-419"/>
        </w:rPr>
        <w:t> 6</w:t>
      </w:r>
      <w:r w:rsidRPr="00E45F61">
        <w:rPr>
          <w:rFonts w:eastAsia="Arial"/>
          <w:szCs w:val="22"/>
          <w:lang w:val="es-419"/>
        </w:rPr>
        <w:t xml:space="preserve">0 colegas de la OMPI, al que asistieron el </w:t>
      </w:r>
      <w:r w:rsidR="00B26C77" w:rsidRPr="00E45F61">
        <w:rPr>
          <w:rFonts w:eastAsia="Arial"/>
          <w:szCs w:val="22"/>
          <w:lang w:val="es-419"/>
        </w:rPr>
        <w:t>d</w:t>
      </w:r>
      <w:r w:rsidRPr="00E45F61">
        <w:rPr>
          <w:rFonts w:eastAsia="Arial"/>
          <w:szCs w:val="22"/>
          <w:lang w:val="es-419"/>
        </w:rPr>
        <w:t xml:space="preserve">irector </w:t>
      </w:r>
      <w:r w:rsidR="00B26C77" w:rsidRPr="00E45F61">
        <w:rPr>
          <w:rFonts w:eastAsia="Arial"/>
          <w:szCs w:val="22"/>
          <w:lang w:val="es-419"/>
        </w:rPr>
        <w:t>g</w:t>
      </w:r>
      <w:r w:rsidRPr="00E45F61">
        <w:rPr>
          <w:rFonts w:eastAsia="Arial"/>
          <w:szCs w:val="22"/>
          <w:lang w:val="es-419"/>
        </w:rPr>
        <w:t xml:space="preserve">eneral, los </w:t>
      </w:r>
      <w:r w:rsidR="00B26C77" w:rsidRPr="00E45F61">
        <w:rPr>
          <w:rFonts w:eastAsia="Arial"/>
          <w:szCs w:val="22"/>
          <w:lang w:val="es-419"/>
        </w:rPr>
        <w:t>d</w:t>
      </w:r>
      <w:r w:rsidRPr="00E45F61">
        <w:rPr>
          <w:rFonts w:eastAsia="Arial"/>
          <w:szCs w:val="22"/>
          <w:lang w:val="es-419"/>
        </w:rPr>
        <w:t xml:space="preserve">irectores </w:t>
      </w:r>
      <w:r w:rsidR="00B26C77" w:rsidRPr="00E45F61">
        <w:rPr>
          <w:rFonts w:eastAsia="Arial"/>
          <w:szCs w:val="22"/>
          <w:lang w:val="es-419"/>
        </w:rPr>
        <w:t>g</w:t>
      </w:r>
      <w:r w:rsidRPr="00E45F61">
        <w:rPr>
          <w:rFonts w:eastAsia="Arial"/>
          <w:szCs w:val="22"/>
          <w:lang w:val="es-419"/>
        </w:rPr>
        <w:t xml:space="preserve">enerales </w:t>
      </w:r>
      <w:r w:rsidR="00B26C77" w:rsidRPr="00E45F61">
        <w:rPr>
          <w:rFonts w:eastAsia="Arial"/>
          <w:szCs w:val="22"/>
          <w:lang w:val="es-419"/>
        </w:rPr>
        <w:t>a</w:t>
      </w:r>
      <w:r w:rsidRPr="00E45F61">
        <w:rPr>
          <w:rFonts w:eastAsia="Arial"/>
          <w:szCs w:val="22"/>
          <w:lang w:val="es-419"/>
        </w:rPr>
        <w:t xml:space="preserve">djuntos y </w:t>
      </w:r>
      <w:r w:rsidR="00B26C77" w:rsidRPr="00E45F61">
        <w:rPr>
          <w:rFonts w:eastAsia="Arial"/>
          <w:szCs w:val="22"/>
          <w:lang w:val="es-419"/>
        </w:rPr>
        <w:t>s</w:t>
      </w:r>
      <w:r w:rsidRPr="00E45F61">
        <w:rPr>
          <w:rFonts w:eastAsia="Arial"/>
          <w:szCs w:val="22"/>
          <w:lang w:val="es-419"/>
        </w:rPr>
        <w:t xml:space="preserve">ubdirectores y directivos superiores, para ayudar a desmitificar la función de evaluación de la DSI y recopilar información práctica. </w:t>
      </w:r>
    </w:p>
    <w:p w14:paraId="3B32680F" w14:textId="77777777" w:rsidR="0076292E" w:rsidRPr="00E45F61" w:rsidRDefault="00B7499E" w:rsidP="00BE5159">
      <w:pPr>
        <w:pStyle w:val="Heading2"/>
        <w:spacing w:before="0" w:after="120"/>
        <w:ind w:left="91"/>
        <w:rPr>
          <w:lang w:val="es-419"/>
        </w:rPr>
      </w:pPr>
      <w:r w:rsidRPr="00E45F61">
        <w:rPr>
          <w:rFonts w:eastAsia="Arial"/>
          <w:szCs w:val="22"/>
          <w:lang w:val="es-419"/>
        </w:rPr>
        <w:t>Vínculos con otros servicios de supervisión</w:t>
      </w:r>
    </w:p>
    <w:p w14:paraId="17CED7B3"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En la Carta de Supervisión Interna se establecen disposiciones específicas</w:t>
      </w:r>
      <w:r w:rsidRPr="00E45F61">
        <w:rPr>
          <w:vertAlign w:val="superscript"/>
          <w:lang w:val="es-419"/>
        </w:rPr>
        <w:footnoteReference w:id="23"/>
      </w:r>
      <w:r w:rsidR="00955FCA" w:rsidRPr="00E45F61">
        <w:rPr>
          <w:rFonts w:eastAsia="Arial"/>
          <w:szCs w:val="22"/>
          <w:lang w:val="es-419"/>
        </w:rPr>
        <w:t xml:space="preserve"> </w:t>
      </w:r>
      <w:r w:rsidRPr="00E45F61">
        <w:rPr>
          <w:rFonts w:eastAsia="Arial"/>
          <w:szCs w:val="22"/>
          <w:lang w:val="es-419"/>
        </w:rPr>
        <w:t xml:space="preserve">sobre el establecimiento de contactos y vínculos de cooperación entre la DSI y los servicios de supervisión interna de otros organismos del sistema de las Naciones Unidas y de instituciones financieras multilaterales, así como sobre la manera de representar a la OMPI en las reuniones interinstitucionales pertinentes. </w:t>
      </w:r>
    </w:p>
    <w:p w14:paraId="7535B61B" w14:textId="67844629" w:rsidR="0076292E" w:rsidRPr="00E45F61" w:rsidRDefault="00B7499E" w:rsidP="0076292E">
      <w:pPr>
        <w:pStyle w:val="ONUME"/>
        <w:tabs>
          <w:tab w:val="clear" w:pos="567"/>
          <w:tab w:val="num" w:pos="657"/>
        </w:tabs>
        <w:ind w:left="90"/>
        <w:rPr>
          <w:lang w:val="es-419"/>
        </w:rPr>
      </w:pPr>
      <w:r w:rsidRPr="00E45F61">
        <w:rPr>
          <w:rFonts w:eastAsia="Arial"/>
          <w:szCs w:val="22"/>
          <w:lang w:val="es-419"/>
        </w:rPr>
        <w:t>Durante el período examinado, la DSI siguió colaborando</w:t>
      </w:r>
      <w:r w:rsidR="002B6E11" w:rsidRPr="00E45F61">
        <w:rPr>
          <w:rFonts w:eastAsia="Arial"/>
          <w:szCs w:val="22"/>
          <w:lang w:val="es-419"/>
        </w:rPr>
        <w:t>,</w:t>
      </w:r>
      <w:r w:rsidRPr="00E45F61">
        <w:rPr>
          <w:rFonts w:eastAsia="Arial"/>
          <w:szCs w:val="22"/>
          <w:lang w:val="es-419"/>
        </w:rPr>
        <w:t xml:space="preserve"> estableciendo redes </w:t>
      </w:r>
      <w:r w:rsidR="002B6E11" w:rsidRPr="00E45F61">
        <w:rPr>
          <w:rFonts w:eastAsia="Arial"/>
          <w:szCs w:val="22"/>
          <w:lang w:val="es-419"/>
        </w:rPr>
        <w:t xml:space="preserve">e intercambiando conocimientos </w:t>
      </w:r>
      <w:r w:rsidRPr="00E45F61">
        <w:rPr>
          <w:rFonts w:eastAsia="Arial"/>
          <w:szCs w:val="22"/>
          <w:lang w:val="es-419"/>
        </w:rPr>
        <w:t xml:space="preserve">con otras organizaciones y entidades del sistema de las Naciones Unidas, así como con otras organizaciones pertinentes ajenas a las Naciones Unidas. En concreto: </w:t>
      </w:r>
    </w:p>
    <w:p w14:paraId="17888B29" w14:textId="77777777" w:rsidR="001221CE" w:rsidRPr="00E45F61" w:rsidRDefault="001221CE">
      <w:pPr>
        <w:rPr>
          <w:rFonts w:eastAsia="Arial"/>
          <w:b/>
          <w:bCs/>
          <w:szCs w:val="22"/>
          <w:lang w:val="es-419"/>
        </w:rPr>
      </w:pPr>
      <w:r w:rsidRPr="00E45F61">
        <w:rPr>
          <w:rFonts w:eastAsia="Arial"/>
          <w:b/>
          <w:bCs/>
          <w:szCs w:val="22"/>
          <w:lang w:val="es-419"/>
        </w:rPr>
        <w:br w:type="page"/>
      </w:r>
    </w:p>
    <w:p w14:paraId="6F0F582A" w14:textId="064ADBEC" w:rsidR="0076292E" w:rsidRPr="00E45F61" w:rsidRDefault="00B7499E" w:rsidP="0076292E">
      <w:pPr>
        <w:pStyle w:val="ONUME"/>
        <w:numPr>
          <w:ilvl w:val="0"/>
          <w:numId w:val="0"/>
        </w:numPr>
        <w:ind w:left="90"/>
        <w:jc w:val="center"/>
        <w:rPr>
          <w:lang w:val="es-419"/>
        </w:rPr>
      </w:pPr>
      <w:r w:rsidRPr="00E45F61">
        <w:rPr>
          <w:rFonts w:eastAsia="Arial"/>
          <w:b/>
          <w:bCs/>
          <w:szCs w:val="22"/>
          <w:lang w:val="es-419"/>
        </w:rPr>
        <w:lastRenderedPageBreak/>
        <w:t>Cuadro</w:t>
      </w:r>
      <w:r w:rsidR="008D09ED" w:rsidRPr="00E45F61">
        <w:rPr>
          <w:rFonts w:eastAsia="Arial"/>
          <w:b/>
          <w:bCs/>
          <w:szCs w:val="22"/>
          <w:lang w:val="es-419"/>
        </w:rPr>
        <w:t> 4</w:t>
      </w:r>
      <w:r w:rsidRPr="00E45F61">
        <w:rPr>
          <w:rFonts w:eastAsia="Arial"/>
          <w:b/>
          <w:bCs/>
          <w:szCs w:val="22"/>
          <w:lang w:val="es-419"/>
        </w:rPr>
        <w:t xml:space="preserve"> - Eventos </w:t>
      </w:r>
      <w:r w:rsidR="002B6E11" w:rsidRPr="00E45F61">
        <w:rPr>
          <w:rFonts w:eastAsia="Arial"/>
          <w:b/>
          <w:bCs/>
          <w:szCs w:val="22"/>
          <w:lang w:val="es-419"/>
        </w:rPr>
        <w:t>profesionales</w:t>
      </w:r>
      <w:r w:rsidRPr="00E45F61">
        <w:rPr>
          <w:rFonts w:eastAsia="Arial"/>
          <w:b/>
          <w:bCs/>
          <w:szCs w:val="22"/>
          <w:lang w:val="es-419"/>
        </w:rPr>
        <w:t xml:space="preserve"> a los que ha asistido la DSI</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 Networking Events attended by IOD"/>
      </w:tblPr>
      <w:tblGrid>
        <w:gridCol w:w="6799"/>
        <w:gridCol w:w="2546"/>
      </w:tblGrid>
      <w:tr w:rsidR="001700C5" w:rsidRPr="00E45F61" w14:paraId="127164E8" w14:textId="77777777" w:rsidTr="001700C5">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3AB632C0" w14:textId="77777777" w:rsidR="0076292E" w:rsidRPr="00E45F61" w:rsidRDefault="00B7499E" w:rsidP="000B4F77">
            <w:pPr>
              <w:jc w:val="center"/>
              <w:rPr>
                <w:rFonts w:eastAsia="Times New Roman"/>
                <w:sz w:val="20"/>
                <w:lang w:val="es-419" w:eastAsia="en-US"/>
              </w:rPr>
            </w:pPr>
            <w:r w:rsidRPr="00E45F61">
              <w:rPr>
                <w:rFonts w:eastAsia="Arial"/>
                <w:color w:val="FFFFFF"/>
                <w:sz w:val="20"/>
                <w:lang w:val="es-419" w:eastAsia="en-US"/>
              </w:rPr>
              <w:t xml:space="preserve">Evento (organizado por organizaciones de las Naciones Unidas y ajenas a las Naciones Unidas) </w:t>
            </w:r>
          </w:p>
        </w:tc>
        <w:tc>
          <w:tcPr>
            <w:tcW w:w="1362" w:type="pct"/>
            <w:tcBorders>
              <w:bottom w:val="nil"/>
            </w:tcBorders>
            <w:shd w:val="clear" w:color="auto" w:fill="17365D" w:themeFill="text2" w:themeFillShade="BF"/>
            <w:vAlign w:val="center"/>
            <w:hideMark/>
          </w:tcPr>
          <w:p w14:paraId="7AC5D460"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Fecha</w:t>
            </w:r>
          </w:p>
        </w:tc>
      </w:tr>
      <w:tr w:rsidR="001700C5" w:rsidRPr="00E45F61" w14:paraId="2D4F9CE5"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338DFD7"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Seminario de Desarrollo Profesional del UNEG e Intercambio de Prácticas de Evaluación para</w:t>
            </w:r>
            <w:r w:rsidR="008D09ED" w:rsidRPr="00E45F61">
              <w:rPr>
                <w:rFonts w:eastAsia="Arial"/>
                <w:b w:val="0"/>
                <w:color w:val="000000"/>
                <w:sz w:val="20"/>
                <w:lang w:val="es-419" w:eastAsia="en-US"/>
              </w:rPr>
              <w:t> 2</w:t>
            </w:r>
            <w:r w:rsidRPr="00E45F61">
              <w:rPr>
                <w:rFonts w:eastAsia="Arial"/>
                <w:b w:val="0"/>
                <w:color w:val="000000"/>
                <w:sz w:val="20"/>
                <w:lang w:val="es-419" w:eastAsia="en-US"/>
              </w:rPr>
              <w:t>024 UNEG EvalWeek, y Reunión General Anual de Directores del UNEG</w:t>
            </w:r>
          </w:p>
        </w:tc>
        <w:tc>
          <w:tcPr>
            <w:tcW w:w="1362" w:type="pct"/>
            <w:tcBorders>
              <w:top w:val="nil"/>
              <w:left w:val="nil"/>
              <w:bottom w:val="nil"/>
              <w:right w:val="nil"/>
            </w:tcBorders>
            <w:noWrap/>
            <w:vAlign w:val="center"/>
          </w:tcPr>
          <w:p w14:paraId="57F0007D"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29 a</w:t>
            </w:r>
            <w:r w:rsidR="008D09ED" w:rsidRPr="00E45F61">
              <w:rPr>
                <w:rFonts w:eastAsia="Arial"/>
                <w:color w:val="000000"/>
                <w:sz w:val="20"/>
                <w:lang w:val="es-419" w:eastAsia="en-US"/>
              </w:rPr>
              <w:t> 3</w:t>
            </w:r>
            <w:r w:rsidRPr="00E45F61">
              <w:rPr>
                <w:rFonts w:eastAsia="Arial"/>
                <w:color w:val="000000"/>
                <w:sz w:val="20"/>
                <w:lang w:val="es-419" w:eastAsia="en-US"/>
              </w:rPr>
              <w:t>1 de enero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397D1A88"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242BCBB" w14:textId="77777777" w:rsidR="0076292E" w:rsidRPr="00931987" w:rsidRDefault="00B7499E" w:rsidP="000B4F77">
            <w:pPr>
              <w:rPr>
                <w:rFonts w:eastAsia="Times New Roman"/>
                <w:bCs w:val="0"/>
                <w:color w:val="000000"/>
                <w:sz w:val="20"/>
                <w:lang w:val="en-US" w:eastAsia="en-US"/>
              </w:rPr>
            </w:pPr>
            <w:r w:rsidRPr="00931987">
              <w:rPr>
                <w:rFonts w:eastAsia="Arial"/>
                <w:b w:val="0"/>
                <w:color w:val="000000"/>
                <w:sz w:val="20"/>
                <w:lang w:val="en-US" w:eastAsia="en-US"/>
              </w:rPr>
              <w:t>Swiss Cybersecurity Days - Shaping Cyber Resilience</w:t>
            </w:r>
          </w:p>
        </w:tc>
        <w:tc>
          <w:tcPr>
            <w:tcW w:w="1362" w:type="pct"/>
            <w:tcBorders>
              <w:top w:val="nil"/>
              <w:left w:val="nil"/>
              <w:bottom w:val="nil"/>
              <w:right w:val="nil"/>
            </w:tcBorders>
            <w:noWrap/>
            <w:vAlign w:val="center"/>
          </w:tcPr>
          <w:p w14:paraId="354F2CF9"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20 y</w:t>
            </w:r>
            <w:r w:rsidR="008D09ED" w:rsidRPr="00E45F61">
              <w:rPr>
                <w:rFonts w:eastAsia="Arial"/>
                <w:color w:val="000000"/>
                <w:sz w:val="20"/>
                <w:lang w:val="es-419" w:eastAsia="en-US"/>
              </w:rPr>
              <w:t> 2</w:t>
            </w:r>
            <w:r w:rsidRPr="00E45F61">
              <w:rPr>
                <w:rFonts w:eastAsia="Arial"/>
                <w:color w:val="000000"/>
                <w:sz w:val="20"/>
                <w:lang w:val="es-419" w:eastAsia="en-US"/>
              </w:rPr>
              <w:t>1 de febrero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56612B40"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F6FB797"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 xml:space="preserve">Women Investigators Networking in Geneva (WINGS) - Día Internacional de la Mujer </w:t>
            </w:r>
          </w:p>
        </w:tc>
        <w:tc>
          <w:tcPr>
            <w:tcW w:w="1362" w:type="pct"/>
            <w:tcBorders>
              <w:top w:val="nil"/>
              <w:left w:val="nil"/>
              <w:bottom w:val="nil"/>
              <w:right w:val="nil"/>
            </w:tcBorders>
            <w:noWrap/>
            <w:vAlign w:val="center"/>
          </w:tcPr>
          <w:p w14:paraId="4BE2C9B6"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8 de marzo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71EBAD6A"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8C511CF"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Reunión de Jefes de Auditoría Interna (Jefes de</w:t>
            </w:r>
            <w:r w:rsidR="008D09ED" w:rsidRPr="00E45F61">
              <w:rPr>
                <w:rFonts w:eastAsia="Arial"/>
                <w:b w:val="0"/>
                <w:color w:val="000000"/>
                <w:sz w:val="20"/>
                <w:lang w:val="es-419" w:eastAsia="en-US"/>
              </w:rPr>
              <w:t> 4</w:t>
            </w:r>
            <w:r w:rsidRPr="00E45F61">
              <w:rPr>
                <w:rFonts w:eastAsia="Arial"/>
                <w:b w:val="0"/>
                <w:color w:val="000000"/>
                <w:sz w:val="20"/>
                <w:lang w:val="es-419" w:eastAsia="en-US"/>
              </w:rPr>
              <w:t xml:space="preserve">5 organizaciones internacionales). </w:t>
            </w:r>
          </w:p>
        </w:tc>
        <w:tc>
          <w:tcPr>
            <w:tcW w:w="1362" w:type="pct"/>
            <w:tcBorders>
              <w:top w:val="nil"/>
              <w:left w:val="nil"/>
              <w:bottom w:val="nil"/>
              <w:right w:val="nil"/>
            </w:tcBorders>
            <w:noWrap/>
            <w:vAlign w:val="center"/>
          </w:tcPr>
          <w:p w14:paraId="6B49310D"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23 y</w:t>
            </w:r>
            <w:r w:rsidR="008D09ED" w:rsidRPr="00E45F61">
              <w:rPr>
                <w:rFonts w:eastAsia="Arial"/>
                <w:color w:val="000000"/>
                <w:sz w:val="20"/>
                <w:lang w:val="es-419" w:eastAsia="en-US"/>
              </w:rPr>
              <w:t> 2</w:t>
            </w:r>
            <w:r w:rsidRPr="00E45F61">
              <w:rPr>
                <w:rFonts w:eastAsia="Arial"/>
                <w:color w:val="000000"/>
                <w:sz w:val="20"/>
                <w:lang w:val="es-419" w:eastAsia="en-US"/>
              </w:rPr>
              <w:t>4 de mayo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5B71A117"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7968B8B6"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Evento sobre riesgos de las agencias internacionales de desarrollo (Ernst &amp; Young, Ginebra)</w:t>
            </w:r>
          </w:p>
        </w:tc>
        <w:tc>
          <w:tcPr>
            <w:tcW w:w="1362" w:type="pct"/>
            <w:tcBorders>
              <w:top w:val="nil"/>
              <w:left w:val="nil"/>
              <w:bottom w:val="nil"/>
              <w:right w:val="nil"/>
            </w:tcBorders>
            <w:noWrap/>
            <w:vAlign w:val="center"/>
          </w:tcPr>
          <w:p w14:paraId="41830C0A"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Del 10 al 14 de junio de 2024</w:t>
            </w:r>
          </w:p>
        </w:tc>
      </w:tr>
      <w:tr w:rsidR="001700C5" w:rsidRPr="00E45F61" w14:paraId="32D217D0"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313DD7CF"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 xml:space="preserve">16.ª Asamblea General Anual de </w:t>
            </w:r>
            <w:r w:rsidR="008D09ED" w:rsidRPr="00E45F61">
              <w:rPr>
                <w:rFonts w:eastAsia="Arial"/>
                <w:b w:val="0"/>
                <w:color w:val="000000"/>
                <w:sz w:val="20"/>
                <w:lang w:val="es-419" w:eastAsia="en-US"/>
              </w:rPr>
              <w:t>representante</w:t>
            </w:r>
            <w:r w:rsidRPr="00E45F61">
              <w:rPr>
                <w:rFonts w:eastAsia="Arial"/>
                <w:b w:val="0"/>
                <w:color w:val="000000"/>
                <w:sz w:val="20"/>
                <w:lang w:val="es-419" w:eastAsia="en-US"/>
              </w:rPr>
              <w:t>s de Servicios de Auditoría Interna de las Organizaciones de las Naciones Unidas (UN-RIAS) y</w:t>
            </w:r>
            <w:r w:rsidR="008D09ED" w:rsidRPr="00E45F61">
              <w:rPr>
                <w:rFonts w:eastAsia="Arial"/>
                <w:b w:val="0"/>
                <w:color w:val="000000"/>
                <w:sz w:val="20"/>
                <w:lang w:val="es-419" w:eastAsia="en-US"/>
              </w:rPr>
              <w:t> 5</w:t>
            </w:r>
            <w:r w:rsidRPr="00E45F61">
              <w:rPr>
                <w:rFonts w:eastAsia="Arial"/>
                <w:b w:val="0"/>
                <w:color w:val="000000"/>
                <w:sz w:val="20"/>
                <w:lang w:val="es-419" w:eastAsia="en-US"/>
              </w:rPr>
              <w:t xml:space="preserve">3.ª reunión del UN-RIAS </w:t>
            </w:r>
          </w:p>
        </w:tc>
        <w:tc>
          <w:tcPr>
            <w:tcW w:w="1362" w:type="pct"/>
            <w:tcBorders>
              <w:top w:val="nil"/>
              <w:left w:val="nil"/>
              <w:bottom w:val="nil"/>
              <w:right w:val="nil"/>
            </w:tcBorders>
            <w:noWrap/>
            <w:vAlign w:val="center"/>
          </w:tcPr>
          <w:p w14:paraId="2C8CDB9E"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17 a</w:t>
            </w:r>
            <w:r w:rsidR="008D09ED" w:rsidRPr="00E45F61">
              <w:rPr>
                <w:rFonts w:eastAsia="Arial"/>
                <w:color w:val="000000"/>
                <w:sz w:val="20"/>
                <w:lang w:val="es-419" w:eastAsia="en-US"/>
              </w:rPr>
              <w:t> 2</w:t>
            </w:r>
            <w:r w:rsidRPr="00E45F61">
              <w:rPr>
                <w:rFonts w:eastAsia="Arial"/>
                <w:color w:val="000000"/>
                <w:sz w:val="20"/>
                <w:lang w:val="es-419" w:eastAsia="en-US"/>
              </w:rPr>
              <w:t>0 de septiembre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6B30E70C"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0E8511E"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 xml:space="preserve">24.ª Conferencia Anual de Investigadores Internacionales y Asamblea General Anual de los </w:t>
            </w:r>
            <w:r w:rsidR="008D09ED" w:rsidRPr="00E45F61">
              <w:rPr>
                <w:rFonts w:eastAsia="Arial"/>
                <w:b w:val="0"/>
                <w:color w:val="000000"/>
                <w:sz w:val="20"/>
                <w:lang w:val="es-419" w:eastAsia="en-US"/>
              </w:rPr>
              <w:t>representante</w:t>
            </w:r>
            <w:r w:rsidRPr="00E45F61">
              <w:rPr>
                <w:rFonts w:eastAsia="Arial"/>
                <w:b w:val="0"/>
                <w:color w:val="000000"/>
                <w:sz w:val="20"/>
                <w:lang w:val="es-419" w:eastAsia="en-US"/>
              </w:rPr>
              <w:t xml:space="preserve">s de los Servicios de Investigaciones de las Naciones Unidas (UN-RIS) </w:t>
            </w:r>
          </w:p>
        </w:tc>
        <w:tc>
          <w:tcPr>
            <w:tcW w:w="1362" w:type="pct"/>
            <w:tcBorders>
              <w:top w:val="nil"/>
              <w:left w:val="nil"/>
              <w:bottom w:val="nil"/>
              <w:right w:val="nil"/>
            </w:tcBorders>
            <w:noWrap/>
            <w:vAlign w:val="center"/>
          </w:tcPr>
          <w:p w14:paraId="2B7CBB79"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13 al</w:t>
            </w:r>
            <w:r w:rsidR="008D09ED" w:rsidRPr="00E45F61">
              <w:rPr>
                <w:rFonts w:eastAsia="Arial"/>
                <w:color w:val="000000"/>
                <w:sz w:val="20"/>
                <w:lang w:val="es-419" w:eastAsia="en-US"/>
              </w:rPr>
              <w:t> 1</w:t>
            </w:r>
            <w:r w:rsidRPr="00E45F61">
              <w:rPr>
                <w:rFonts w:eastAsia="Arial"/>
                <w:color w:val="000000"/>
                <w:sz w:val="20"/>
                <w:lang w:val="es-419" w:eastAsia="en-US"/>
              </w:rPr>
              <w:t>5 de noviembre de 2024</w:t>
            </w:r>
          </w:p>
        </w:tc>
      </w:tr>
      <w:tr w:rsidR="001700C5" w:rsidRPr="00E45F61" w14:paraId="16CD8773"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E1CAC3F" w14:textId="77777777" w:rsidR="0076292E" w:rsidRPr="00E45F61" w:rsidRDefault="00B7499E" w:rsidP="000B4F77">
            <w:pPr>
              <w:rPr>
                <w:rFonts w:eastAsia="Times New Roman"/>
                <w:color w:val="000000"/>
                <w:sz w:val="20"/>
                <w:lang w:val="es-419" w:eastAsia="en-US"/>
              </w:rPr>
            </w:pPr>
            <w:r w:rsidRPr="00E45F61">
              <w:rPr>
                <w:rFonts w:eastAsia="Arial"/>
                <w:b w:val="0"/>
                <w:bCs w:val="0"/>
                <w:color w:val="000000"/>
                <w:sz w:val="20"/>
                <w:lang w:val="es-419" w:eastAsia="en-US"/>
              </w:rPr>
              <w:t xml:space="preserve">Participación en el Grupo de Trabajo sobre Innovación de UN-RIAS </w:t>
            </w:r>
          </w:p>
        </w:tc>
        <w:tc>
          <w:tcPr>
            <w:tcW w:w="1362" w:type="pct"/>
            <w:tcBorders>
              <w:top w:val="nil"/>
              <w:left w:val="nil"/>
              <w:bottom w:val="nil"/>
              <w:right w:val="nil"/>
            </w:tcBorders>
            <w:noWrap/>
            <w:vAlign w:val="center"/>
          </w:tcPr>
          <w:p w14:paraId="3D08D483"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A lo largo del año</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644E2E71"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5D202CB" w14:textId="7F35A766" w:rsidR="0076292E" w:rsidRPr="00E45F61" w:rsidRDefault="00B7499E" w:rsidP="000B4F77">
            <w:pPr>
              <w:rPr>
                <w:rFonts w:eastAsia="Times New Roman"/>
                <w:b w:val="0"/>
                <w:bCs w:val="0"/>
                <w:color w:val="000000"/>
                <w:sz w:val="20"/>
                <w:lang w:val="es-419" w:eastAsia="en-US"/>
              </w:rPr>
            </w:pPr>
            <w:r w:rsidRPr="00E45F61">
              <w:rPr>
                <w:rFonts w:eastAsia="Arial"/>
                <w:b w:val="0"/>
                <w:color w:val="000000"/>
                <w:sz w:val="20"/>
                <w:lang w:val="es-419" w:eastAsia="en-US"/>
              </w:rPr>
              <w:t xml:space="preserve">Sesiones de intercambio de información con los </w:t>
            </w:r>
            <w:r w:rsidR="006E380E" w:rsidRPr="00E45F61">
              <w:rPr>
                <w:rFonts w:eastAsia="Arial"/>
                <w:b w:val="0"/>
                <w:color w:val="000000"/>
                <w:sz w:val="20"/>
                <w:lang w:val="es-419" w:eastAsia="en-US"/>
              </w:rPr>
              <w:t>d</w:t>
            </w:r>
            <w:r w:rsidRPr="00E45F61">
              <w:rPr>
                <w:rFonts w:eastAsia="Arial"/>
                <w:b w:val="0"/>
                <w:color w:val="000000"/>
                <w:sz w:val="20"/>
                <w:lang w:val="es-419" w:eastAsia="en-US"/>
              </w:rPr>
              <w:t>irectores y demás personal de Supervisión Interna de los organismos de las Naciones Unidas</w:t>
            </w:r>
          </w:p>
        </w:tc>
        <w:tc>
          <w:tcPr>
            <w:tcW w:w="1362" w:type="pct"/>
            <w:tcBorders>
              <w:top w:val="nil"/>
              <w:left w:val="nil"/>
              <w:bottom w:val="nil"/>
              <w:right w:val="nil"/>
            </w:tcBorders>
            <w:noWrap/>
            <w:vAlign w:val="center"/>
          </w:tcPr>
          <w:p w14:paraId="44C2128B"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A lo largo del año</w:t>
            </w:r>
            <w:r w:rsidR="008D09ED" w:rsidRPr="00E45F61">
              <w:rPr>
                <w:rFonts w:eastAsia="Arial"/>
                <w:color w:val="000000"/>
                <w:sz w:val="20"/>
                <w:lang w:val="es-419" w:eastAsia="en-US"/>
              </w:rPr>
              <w:t> 2</w:t>
            </w:r>
            <w:r w:rsidRPr="00E45F61">
              <w:rPr>
                <w:rFonts w:eastAsia="Arial"/>
                <w:color w:val="000000"/>
                <w:sz w:val="20"/>
                <w:lang w:val="es-419" w:eastAsia="en-US"/>
              </w:rPr>
              <w:t>024</w:t>
            </w:r>
          </w:p>
        </w:tc>
      </w:tr>
    </w:tbl>
    <w:p w14:paraId="30B1ACD5" w14:textId="000E1755" w:rsidR="0076292E" w:rsidRPr="00E45F61" w:rsidRDefault="00B7499E" w:rsidP="00BE5159">
      <w:pPr>
        <w:pStyle w:val="ONUME"/>
        <w:tabs>
          <w:tab w:val="clear" w:pos="567"/>
          <w:tab w:val="num" w:pos="657"/>
        </w:tabs>
        <w:spacing w:before="240" w:after="480"/>
        <w:ind w:left="91"/>
        <w:rPr>
          <w:lang w:val="es-419"/>
        </w:rPr>
      </w:pPr>
      <w:r w:rsidRPr="00E45F61">
        <w:rPr>
          <w:rFonts w:eastAsia="Arial"/>
          <w:szCs w:val="22"/>
          <w:lang w:val="es-419"/>
        </w:rPr>
        <w:t>En la Asamblea General Anual de UN-RIAS de</w:t>
      </w:r>
      <w:r w:rsidR="008D09ED" w:rsidRPr="00E45F61">
        <w:rPr>
          <w:rFonts w:eastAsia="Arial"/>
          <w:szCs w:val="22"/>
          <w:lang w:val="es-419"/>
        </w:rPr>
        <w:t> 2</w:t>
      </w:r>
      <w:r w:rsidRPr="00E45F61">
        <w:rPr>
          <w:rFonts w:eastAsia="Arial"/>
          <w:szCs w:val="22"/>
          <w:lang w:val="es-419"/>
        </w:rPr>
        <w:t xml:space="preserve">024, </w:t>
      </w:r>
      <w:r w:rsidR="001330B3" w:rsidRPr="00E45F61">
        <w:rPr>
          <w:rFonts w:eastAsia="Arial"/>
          <w:szCs w:val="22"/>
          <w:lang w:val="es-419"/>
        </w:rPr>
        <w:t>la</w:t>
      </w:r>
      <w:r w:rsidRPr="00E45F61">
        <w:rPr>
          <w:rFonts w:eastAsia="Arial"/>
          <w:szCs w:val="22"/>
          <w:lang w:val="es-419"/>
        </w:rPr>
        <w:t xml:space="preserve"> </w:t>
      </w:r>
      <w:r w:rsidR="001330B3" w:rsidRPr="00E45F61">
        <w:rPr>
          <w:rFonts w:eastAsia="Arial"/>
          <w:szCs w:val="22"/>
          <w:lang w:val="es-419"/>
        </w:rPr>
        <w:t>d</w:t>
      </w:r>
      <w:r w:rsidRPr="00E45F61">
        <w:rPr>
          <w:rFonts w:eastAsia="Arial"/>
          <w:szCs w:val="22"/>
          <w:lang w:val="es-419"/>
        </w:rPr>
        <w:t>irector</w:t>
      </w:r>
      <w:r w:rsidR="001330B3" w:rsidRPr="00E45F61">
        <w:rPr>
          <w:rFonts w:eastAsia="Arial"/>
          <w:szCs w:val="22"/>
          <w:lang w:val="es-419"/>
        </w:rPr>
        <w:t>a</w:t>
      </w:r>
      <w:r w:rsidRPr="00E45F61">
        <w:rPr>
          <w:rFonts w:eastAsia="Arial"/>
          <w:szCs w:val="22"/>
          <w:lang w:val="es-419"/>
        </w:rPr>
        <w:t xml:space="preserve"> de la DSI fue designad</w:t>
      </w:r>
      <w:r w:rsidR="001330B3" w:rsidRPr="00E45F61">
        <w:rPr>
          <w:rFonts w:eastAsia="Arial"/>
          <w:szCs w:val="22"/>
          <w:lang w:val="es-419"/>
        </w:rPr>
        <w:t>a</w:t>
      </w:r>
      <w:r w:rsidRPr="00E45F61">
        <w:rPr>
          <w:rFonts w:eastAsia="Arial"/>
          <w:szCs w:val="22"/>
          <w:lang w:val="es-419"/>
        </w:rPr>
        <w:t xml:space="preserve"> coordinador</w:t>
      </w:r>
      <w:r w:rsidR="001330B3" w:rsidRPr="00E45F61">
        <w:rPr>
          <w:rFonts w:eastAsia="Arial"/>
          <w:szCs w:val="22"/>
          <w:lang w:val="es-419"/>
        </w:rPr>
        <w:t>a</w:t>
      </w:r>
      <w:r w:rsidRPr="00E45F61">
        <w:rPr>
          <w:rFonts w:eastAsia="Arial"/>
          <w:szCs w:val="22"/>
          <w:lang w:val="es-419"/>
        </w:rPr>
        <w:t xml:space="preserve"> de UN-RIAS ante el Comité de Alto Nivel sobre Gestión de las Naciones Unidas, con efecto a partir de septiembre de 2024.</w:t>
      </w:r>
    </w:p>
    <w:p w14:paraId="2B402A84" w14:textId="77777777" w:rsidR="0076292E" w:rsidRPr="00E45F61" w:rsidRDefault="00B7499E" w:rsidP="00BE5159">
      <w:pPr>
        <w:pStyle w:val="Heading2"/>
        <w:spacing w:before="0" w:after="120"/>
        <w:ind w:left="91"/>
        <w:rPr>
          <w:lang w:val="es-419"/>
        </w:rPr>
      </w:pPr>
      <w:r w:rsidRPr="00E45F61">
        <w:rPr>
          <w:rFonts w:eastAsia="Arial"/>
          <w:szCs w:val="22"/>
          <w:lang w:val="es-419"/>
        </w:rPr>
        <w:t>Formación y perfeccionamiento profesional del personal</w:t>
      </w:r>
    </w:p>
    <w:p w14:paraId="57ABDA33" w14:textId="71D50182"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aprendizaje y el desarrollo continuos son esenciales para que el personal de supervisión interna mantenga las certificaciones profesionales y mejore sus competencias con respecto a la evolución de las normas de evaluación, investigación y auditoría, así a las prácticas más avanzadas. El personal de la DSI participó en programas de formación pertinentes durante el período examinado con el fin de seguir desarrollando sus competencias y conocimientos. Destacan, entre otros:</w:t>
      </w:r>
    </w:p>
    <w:p w14:paraId="76DEC4F8" w14:textId="77777777" w:rsidR="0076292E" w:rsidRPr="00E45F61" w:rsidRDefault="00B7499E" w:rsidP="00BE5159">
      <w:pPr>
        <w:pStyle w:val="ONUME"/>
        <w:keepNext/>
        <w:keepLines/>
        <w:numPr>
          <w:ilvl w:val="0"/>
          <w:numId w:val="0"/>
        </w:numPr>
        <w:ind w:left="91"/>
        <w:jc w:val="center"/>
        <w:rPr>
          <w:b/>
          <w:szCs w:val="22"/>
          <w:lang w:val="es-419"/>
        </w:rPr>
      </w:pPr>
      <w:r w:rsidRPr="00E45F61">
        <w:rPr>
          <w:rFonts w:eastAsia="Arial"/>
          <w:b/>
          <w:bCs/>
          <w:szCs w:val="22"/>
          <w:lang w:val="es-419"/>
        </w:rPr>
        <w:t>Cuadro</w:t>
      </w:r>
      <w:r w:rsidR="008D09ED" w:rsidRPr="00E45F61">
        <w:rPr>
          <w:rFonts w:eastAsia="Arial"/>
          <w:b/>
          <w:bCs/>
          <w:szCs w:val="22"/>
          <w:lang w:val="es-419"/>
        </w:rPr>
        <w:t> 5</w:t>
      </w:r>
      <w:r w:rsidRPr="00E45F61">
        <w:rPr>
          <w:rFonts w:eastAsia="Arial"/>
          <w:b/>
          <w:bCs/>
          <w:szCs w:val="22"/>
          <w:lang w:val="es-419"/>
        </w:rPr>
        <w:t xml:space="preserve"> - Programas de formación a los que ha asistido la DSI</w:t>
      </w:r>
    </w:p>
    <w:tbl>
      <w:tblPr>
        <w:tblStyle w:val="GridTable4-Accent1"/>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 Training Programs Attended by IOD"/>
      </w:tblPr>
      <w:tblGrid>
        <w:gridCol w:w="3879"/>
        <w:gridCol w:w="3828"/>
        <w:gridCol w:w="1554"/>
      </w:tblGrid>
      <w:tr w:rsidR="001700C5" w:rsidRPr="00E45F61" w14:paraId="5CE5E1CE" w14:textId="77777777" w:rsidTr="001700C5">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tcBorders>
              <w:bottom w:val="nil"/>
            </w:tcBorders>
            <w:shd w:val="clear" w:color="auto" w:fill="17365D" w:themeFill="text2" w:themeFillShade="BF"/>
            <w:noWrap/>
            <w:vAlign w:val="center"/>
            <w:hideMark/>
          </w:tcPr>
          <w:p w14:paraId="5B375441" w14:textId="77777777" w:rsidR="0076292E" w:rsidRPr="00E45F61" w:rsidRDefault="00B7499E" w:rsidP="000B4F77">
            <w:pPr>
              <w:jc w:val="center"/>
              <w:rPr>
                <w:rFonts w:eastAsia="Times New Roman"/>
                <w:sz w:val="20"/>
                <w:lang w:val="es-419" w:eastAsia="en-US"/>
              </w:rPr>
            </w:pPr>
            <w:r w:rsidRPr="00E45F61">
              <w:rPr>
                <w:rFonts w:eastAsia="Arial"/>
                <w:color w:val="FFFFFF"/>
                <w:sz w:val="20"/>
                <w:lang w:val="es-419" w:eastAsia="en-US"/>
              </w:rPr>
              <w:t>Formación</w:t>
            </w:r>
          </w:p>
        </w:tc>
        <w:tc>
          <w:tcPr>
            <w:tcW w:w="2067" w:type="pct"/>
            <w:tcBorders>
              <w:bottom w:val="nil"/>
            </w:tcBorders>
            <w:shd w:val="clear" w:color="auto" w:fill="17365D" w:themeFill="text2" w:themeFillShade="BF"/>
            <w:vAlign w:val="center"/>
            <w:hideMark/>
          </w:tcPr>
          <w:p w14:paraId="74A82CAF"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Temas principales</w:t>
            </w:r>
          </w:p>
        </w:tc>
        <w:tc>
          <w:tcPr>
            <w:tcW w:w="839" w:type="pct"/>
            <w:tcBorders>
              <w:bottom w:val="nil"/>
            </w:tcBorders>
            <w:shd w:val="clear" w:color="auto" w:fill="17365D" w:themeFill="text2" w:themeFillShade="BF"/>
            <w:vAlign w:val="center"/>
            <w:hideMark/>
          </w:tcPr>
          <w:p w14:paraId="72C72511" w14:textId="77777777" w:rsidR="0076292E" w:rsidRPr="00E45F61" w:rsidRDefault="00B7499E" w:rsidP="000B4F77">
            <w:pPr>
              <w:jc w:val="center"/>
              <w:cnfStyle w:val="100000000000" w:firstRow="1" w:lastRow="0" w:firstColumn="0" w:lastColumn="0" w:oddVBand="0" w:evenVBand="0" w:oddHBand="0" w:evenHBand="0" w:firstRowFirstColumn="0" w:firstRowLastColumn="0" w:lastRowFirstColumn="0" w:lastRowLastColumn="0"/>
              <w:rPr>
                <w:rFonts w:eastAsia="Times New Roman"/>
                <w:sz w:val="20"/>
                <w:lang w:val="es-419" w:eastAsia="en-US"/>
              </w:rPr>
            </w:pPr>
            <w:r w:rsidRPr="00E45F61">
              <w:rPr>
                <w:rFonts w:eastAsia="Arial"/>
                <w:color w:val="FFFFFF"/>
                <w:sz w:val="20"/>
                <w:lang w:val="es-419" w:eastAsia="en-US"/>
              </w:rPr>
              <w:t>Fecha</w:t>
            </w:r>
          </w:p>
        </w:tc>
      </w:tr>
      <w:tr w:rsidR="001700C5" w:rsidRPr="00E45F61" w14:paraId="71C6AA1D"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A147393"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Conferencia virtual sobre fraude de la Asociación de Examinadores de Fraude Certificados</w:t>
            </w:r>
          </w:p>
        </w:tc>
        <w:tc>
          <w:tcPr>
            <w:tcW w:w="2067" w:type="pct"/>
            <w:tcBorders>
              <w:top w:val="nil"/>
              <w:left w:val="nil"/>
              <w:bottom w:val="nil"/>
              <w:right w:val="nil"/>
            </w:tcBorders>
            <w:noWrap/>
            <w:vAlign w:val="center"/>
          </w:tcPr>
          <w:p w14:paraId="7DA2C323" w14:textId="77777777" w:rsidR="0076292E" w:rsidRPr="00E45F61" w:rsidRDefault="00B7499E" w:rsidP="0076292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Últimas tendencias, herramientas y técnicas para afrontar los retos de la lucha contra el fraude</w:t>
            </w:r>
          </w:p>
        </w:tc>
        <w:tc>
          <w:tcPr>
            <w:tcW w:w="839" w:type="pct"/>
            <w:tcBorders>
              <w:top w:val="nil"/>
              <w:left w:val="nil"/>
              <w:bottom w:val="nil"/>
              <w:right w:val="nil"/>
            </w:tcBorders>
            <w:noWrap/>
            <w:vAlign w:val="center"/>
          </w:tcPr>
          <w:p w14:paraId="682515EA"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13 a</w:t>
            </w:r>
            <w:r w:rsidR="008D09ED" w:rsidRPr="00E45F61">
              <w:rPr>
                <w:rFonts w:eastAsia="Arial"/>
                <w:color w:val="000000"/>
                <w:sz w:val="20"/>
                <w:lang w:val="es-419" w:eastAsia="en-US"/>
              </w:rPr>
              <w:t> 1</w:t>
            </w:r>
            <w:r w:rsidRPr="00E45F61">
              <w:rPr>
                <w:rFonts w:eastAsia="Arial"/>
                <w:color w:val="000000"/>
                <w:sz w:val="20"/>
                <w:lang w:val="es-419" w:eastAsia="en-US"/>
              </w:rPr>
              <w:t>5 de marzo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2E0EBF32"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6D792141"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 xml:space="preserve">35.ª Conferencia mundial anual de la Asociación de Examinadores de Fraude Certificados </w:t>
            </w:r>
          </w:p>
        </w:tc>
        <w:tc>
          <w:tcPr>
            <w:tcW w:w="2067" w:type="pct"/>
            <w:tcBorders>
              <w:top w:val="nil"/>
              <w:left w:val="nil"/>
              <w:bottom w:val="nil"/>
              <w:right w:val="nil"/>
            </w:tcBorders>
            <w:noWrap/>
            <w:vAlign w:val="center"/>
          </w:tcPr>
          <w:p w14:paraId="5AFDAB3B" w14:textId="77777777" w:rsidR="0076292E" w:rsidRPr="00E45F61" w:rsidRDefault="00B7499E" w:rsidP="007629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Evaluación de riesgo de fraude</w:t>
            </w:r>
          </w:p>
          <w:p w14:paraId="509ED092" w14:textId="77777777" w:rsidR="0076292E" w:rsidRPr="00E45F61" w:rsidRDefault="00B7499E" w:rsidP="007629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La inteligencia artificial (IA) en los procesos de investigación</w:t>
            </w:r>
          </w:p>
          <w:p w14:paraId="77B45E95" w14:textId="77777777" w:rsidR="0076292E" w:rsidRPr="00E45F61" w:rsidRDefault="00B7499E" w:rsidP="007629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La inteligencia emocional en las investigaciones</w:t>
            </w:r>
          </w:p>
          <w:p w14:paraId="5D9D6965" w14:textId="77777777" w:rsidR="0076292E" w:rsidRPr="00E45F61" w:rsidRDefault="00B7499E" w:rsidP="007629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Auditoría del fraude interno</w:t>
            </w:r>
          </w:p>
        </w:tc>
        <w:tc>
          <w:tcPr>
            <w:tcW w:w="839" w:type="pct"/>
            <w:tcBorders>
              <w:top w:val="nil"/>
              <w:left w:val="nil"/>
              <w:bottom w:val="nil"/>
              <w:right w:val="nil"/>
            </w:tcBorders>
            <w:noWrap/>
            <w:vAlign w:val="center"/>
          </w:tcPr>
          <w:p w14:paraId="7AE13DDA"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Del 24 al 28 de junio de 2024</w:t>
            </w:r>
          </w:p>
        </w:tc>
      </w:tr>
      <w:tr w:rsidR="001700C5" w:rsidRPr="00E45F61" w14:paraId="2DD6AA8C"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06C9A354"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 xml:space="preserve">Formación en investigación impartida por el Alto Comisionado de las Naciones Unidas para los Refugiados </w:t>
            </w:r>
          </w:p>
        </w:tc>
        <w:tc>
          <w:tcPr>
            <w:tcW w:w="2067" w:type="pct"/>
            <w:tcBorders>
              <w:top w:val="nil"/>
              <w:left w:val="nil"/>
              <w:bottom w:val="nil"/>
              <w:right w:val="nil"/>
            </w:tcBorders>
            <w:noWrap/>
            <w:vAlign w:val="center"/>
          </w:tcPr>
          <w:p w14:paraId="008B8FE8" w14:textId="77777777" w:rsidR="0076292E" w:rsidRPr="00E45F61" w:rsidRDefault="00B7499E" w:rsidP="007629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lang w:val="es-419" w:eastAsia="en-US"/>
              </w:rPr>
            </w:pPr>
            <w:r w:rsidRPr="00E45F61">
              <w:rPr>
                <w:rFonts w:eastAsia="Arial"/>
                <w:bCs/>
                <w:color w:val="000000"/>
                <w:sz w:val="20"/>
                <w:lang w:val="es-419" w:eastAsia="en-US"/>
              </w:rPr>
              <w:t xml:space="preserve">Investigación de casos de hostigamiento, abuso de autoridad, discriminación, represalias, explotación sexual y acoso sexual. </w:t>
            </w:r>
          </w:p>
        </w:tc>
        <w:tc>
          <w:tcPr>
            <w:tcW w:w="839" w:type="pct"/>
            <w:tcBorders>
              <w:top w:val="nil"/>
              <w:left w:val="nil"/>
              <w:bottom w:val="nil"/>
              <w:right w:val="nil"/>
            </w:tcBorders>
            <w:noWrap/>
            <w:vAlign w:val="center"/>
          </w:tcPr>
          <w:p w14:paraId="051C6837"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30 de septiembre a</w:t>
            </w:r>
            <w:r w:rsidR="008D09ED" w:rsidRPr="00E45F61">
              <w:rPr>
                <w:rFonts w:eastAsia="Arial"/>
                <w:color w:val="000000"/>
                <w:sz w:val="20"/>
                <w:lang w:val="es-419" w:eastAsia="en-US"/>
              </w:rPr>
              <w:t> 4</w:t>
            </w:r>
            <w:r w:rsidRPr="00E45F61">
              <w:rPr>
                <w:rFonts w:eastAsia="Arial"/>
                <w:color w:val="000000"/>
                <w:sz w:val="20"/>
                <w:lang w:val="es-419" w:eastAsia="en-US"/>
              </w:rPr>
              <w:t xml:space="preserve"> de octubre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3FD19C75"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1F599469"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lastRenderedPageBreak/>
              <w:t xml:space="preserve">Curso de formación sobre fraude en la contratación pública impartido por la Conferencia Anual de Investigadores Internacionales </w:t>
            </w:r>
          </w:p>
        </w:tc>
        <w:tc>
          <w:tcPr>
            <w:tcW w:w="2067" w:type="pct"/>
            <w:tcBorders>
              <w:top w:val="nil"/>
              <w:left w:val="nil"/>
              <w:bottom w:val="nil"/>
              <w:right w:val="nil"/>
            </w:tcBorders>
            <w:noWrap/>
            <w:vAlign w:val="center"/>
          </w:tcPr>
          <w:p w14:paraId="4A9F48A3" w14:textId="77777777" w:rsidR="0076292E" w:rsidRPr="00E45F61" w:rsidRDefault="00B7499E" w:rsidP="0076292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val="es-419" w:eastAsia="en-US"/>
              </w:rPr>
            </w:pPr>
            <w:r w:rsidRPr="00E45F61">
              <w:rPr>
                <w:rFonts w:eastAsia="Arial"/>
                <w:bCs/>
                <w:color w:val="000000"/>
                <w:sz w:val="20"/>
                <w:lang w:val="es-419" w:eastAsia="en-US"/>
              </w:rPr>
              <w:t xml:space="preserve">Mecanismos de fraude en la contratación pública, </w:t>
            </w:r>
          </w:p>
          <w:p w14:paraId="5BB27828" w14:textId="77777777" w:rsidR="0076292E" w:rsidRPr="00E45F61" w:rsidRDefault="00B7499E" w:rsidP="0076292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val="es-419" w:eastAsia="en-US"/>
              </w:rPr>
            </w:pPr>
            <w:r w:rsidRPr="00E45F61">
              <w:rPr>
                <w:rFonts w:eastAsia="Arial"/>
                <w:bCs/>
                <w:color w:val="000000"/>
                <w:sz w:val="20"/>
                <w:lang w:val="es-419" w:eastAsia="en-US"/>
              </w:rPr>
              <w:t>Signos de alarma</w:t>
            </w:r>
          </w:p>
          <w:p w14:paraId="68B87E14" w14:textId="77777777" w:rsidR="0076292E" w:rsidRPr="00E45F61" w:rsidRDefault="00B7499E" w:rsidP="0076292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val="es-419" w:eastAsia="en-US"/>
              </w:rPr>
            </w:pPr>
            <w:r w:rsidRPr="00E45F61">
              <w:rPr>
                <w:rFonts w:eastAsia="Arial"/>
                <w:bCs/>
                <w:color w:val="000000"/>
                <w:sz w:val="20"/>
                <w:lang w:val="es-419" w:eastAsia="en-US"/>
              </w:rPr>
              <w:t>Metodologías para investigar el fraude en la contratación pública</w:t>
            </w:r>
          </w:p>
        </w:tc>
        <w:tc>
          <w:tcPr>
            <w:tcW w:w="839" w:type="pct"/>
            <w:tcBorders>
              <w:top w:val="nil"/>
              <w:left w:val="nil"/>
              <w:bottom w:val="nil"/>
              <w:right w:val="nil"/>
            </w:tcBorders>
            <w:noWrap/>
            <w:vAlign w:val="center"/>
          </w:tcPr>
          <w:p w14:paraId="08C9C685"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8 de noviembre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6548F42D" w14:textId="77777777" w:rsidTr="001700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676BFA8F"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Transformación de los procesos de auditoría con IA generativa, por Wolters Kluwer</w:t>
            </w:r>
          </w:p>
        </w:tc>
        <w:tc>
          <w:tcPr>
            <w:tcW w:w="2067" w:type="pct"/>
            <w:tcBorders>
              <w:top w:val="nil"/>
              <w:left w:val="nil"/>
              <w:bottom w:val="nil"/>
              <w:right w:val="nil"/>
            </w:tcBorders>
            <w:noWrap/>
            <w:vAlign w:val="center"/>
          </w:tcPr>
          <w:p w14:paraId="347839C9" w14:textId="77777777" w:rsidR="0076292E" w:rsidRPr="00E45F61" w:rsidRDefault="00B7499E" w:rsidP="007629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 xml:space="preserve">Uso eficaz de la IA en la auditoría interna </w:t>
            </w:r>
          </w:p>
          <w:p w14:paraId="034D94D6" w14:textId="77777777" w:rsidR="0076292E" w:rsidRPr="00E45F61" w:rsidRDefault="00B7499E" w:rsidP="007629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 xml:space="preserve">Ciberseguridad - Principales riesgos y controles </w:t>
            </w:r>
          </w:p>
          <w:p w14:paraId="52538DCA" w14:textId="77777777" w:rsidR="0076292E" w:rsidRPr="00E45F61" w:rsidRDefault="00B7499E" w:rsidP="007629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 xml:space="preserve">Gobernanza eficaz, confianza y rendición de cuentas </w:t>
            </w:r>
          </w:p>
        </w:tc>
        <w:tc>
          <w:tcPr>
            <w:tcW w:w="839" w:type="pct"/>
            <w:tcBorders>
              <w:top w:val="nil"/>
              <w:left w:val="nil"/>
              <w:bottom w:val="nil"/>
              <w:right w:val="nil"/>
            </w:tcBorders>
            <w:noWrap/>
            <w:vAlign w:val="center"/>
          </w:tcPr>
          <w:p w14:paraId="6A735320" w14:textId="77777777" w:rsidR="0076292E" w:rsidRPr="00E45F61" w:rsidRDefault="00B7499E" w:rsidP="000B4F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23 de octubre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r w:rsidR="001700C5" w:rsidRPr="00E45F61" w14:paraId="7C0A841C" w14:textId="77777777" w:rsidTr="001700C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3ACC3E5C" w14:textId="77777777" w:rsidR="0076292E" w:rsidRPr="00E45F61" w:rsidRDefault="00B7499E" w:rsidP="000B4F77">
            <w:pPr>
              <w:rPr>
                <w:rFonts w:eastAsia="Times New Roman"/>
                <w:bCs w:val="0"/>
                <w:color w:val="000000"/>
                <w:sz w:val="20"/>
                <w:lang w:val="es-419" w:eastAsia="en-US"/>
              </w:rPr>
            </w:pPr>
            <w:r w:rsidRPr="00E45F61">
              <w:rPr>
                <w:rFonts w:eastAsia="Arial"/>
                <w:b w:val="0"/>
                <w:color w:val="000000"/>
                <w:sz w:val="20"/>
                <w:lang w:val="es-419" w:eastAsia="en-US"/>
              </w:rPr>
              <w:t>Varios cursos en línea de la Asociación de Auditoría y Control de Sistemas de Información</w:t>
            </w:r>
          </w:p>
        </w:tc>
        <w:tc>
          <w:tcPr>
            <w:tcW w:w="2067" w:type="pct"/>
            <w:tcBorders>
              <w:top w:val="nil"/>
              <w:left w:val="nil"/>
              <w:bottom w:val="nil"/>
              <w:right w:val="nil"/>
            </w:tcBorders>
            <w:noWrap/>
            <w:vAlign w:val="center"/>
          </w:tcPr>
          <w:p w14:paraId="48812B5C" w14:textId="77777777" w:rsidR="0076292E" w:rsidRPr="00E45F61" w:rsidRDefault="00B7499E" w:rsidP="0076292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sz w:val="20"/>
                <w:lang w:val="es-419"/>
              </w:rPr>
              <w:t>Introducción a las herramientas de auditoría basadas en la IA</w:t>
            </w:r>
          </w:p>
          <w:p w14:paraId="1E693D65" w14:textId="77777777" w:rsidR="0076292E" w:rsidRPr="00E45F61" w:rsidRDefault="00B7499E" w:rsidP="0076292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Revolucionar la auditoría con la IA</w:t>
            </w:r>
          </w:p>
          <w:p w14:paraId="4664FE6B" w14:textId="77777777" w:rsidR="0076292E" w:rsidRPr="00E45F61" w:rsidRDefault="00B7499E" w:rsidP="0076292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Auditoría interna de tecnologías de la información: Principales ámbitos de actuación de alta incidencia</w:t>
            </w:r>
          </w:p>
          <w:p w14:paraId="2B812796" w14:textId="77777777" w:rsidR="0076292E" w:rsidRPr="00E45F61" w:rsidRDefault="00B7499E" w:rsidP="0076292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Elaboración de una evaluación de amenazas de ciberriesgos</w:t>
            </w:r>
          </w:p>
          <w:p w14:paraId="14D881BB" w14:textId="77777777" w:rsidR="0076292E" w:rsidRPr="00E45F61" w:rsidRDefault="00B7499E" w:rsidP="0076292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sz w:val="20"/>
                <w:lang w:val="es-419"/>
              </w:rPr>
              <w:t>Modelización de ciberadversarios: Construir puentes entre datos imperfectos</w:t>
            </w:r>
          </w:p>
        </w:tc>
        <w:tc>
          <w:tcPr>
            <w:tcW w:w="839" w:type="pct"/>
            <w:tcBorders>
              <w:top w:val="nil"/>
              <w:left w:val="nil"/>
              <w:bottom w:val="nil"/>
              <w:right w:val="nil"/>
            </w:tcBorders>
            <w:noWrap/>
            <w:vAlign w:val="center"/>
          </w:tcPr>
          <w:p w14:paraId="50F5AD69" w14:textId="77777777" w:rsidR="0076292E" w:rsidRPr="00E45F61" w:rsidRDefault="00B7499E" w:rsidP="000B4F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E45F61">
              <w:rPr>
                <w:rFonts w:eastAsia="Arial"/>
                <w:color w:val="000000"/>
                <w:sz w:val="20"/>
                <w:lang w:val="es-419" w:eastAsia="en-US"/>
              </w:rPr>
              <w:t>Noviembre de</w:t>
            </w:r>
            <w:r w:rsidR="008D09ED" w:rsidRPr="00E45F61">
              <w:rPr>
                <w:rFonts w:eastAsia="Arial"/>
                <w:color w:val="000000"/>
                <w:sz w:val="20"/>
                <w:lang w:val="es-419" w:eastAsia="en-US"/>
              </w:rPr>
              <w:t> 2</w:t>
            </w:r>
            <w:r w:rsidRPr="00E45F61">
              <w:rPr>
                <w:rFonts w:eastAsia="Arial"/>
                <w:color w:val="000000"/>
                <w:sz w:val="20"/>
                <w:lang w:val="es-419" w:eastAsia="en-US"/>
              </w:rPr>
              <w:t>024</w:t>
            </w:r>
          </w:p>
        </w:tc>
      </w:tr>
    </w:tbl>
    <w:p w14:paraId="3A7B26C0" w14:textId="77777777" w:rsidR="0076292E" w:rsidRPr="00E45F61" w:rsidRDefault="00B7499E" w:rsidP="00BE5159">
      <w:pPr>
        <w:pStyle w:val="Heading1"/>
        <w:spacing w:before="480" w:after="120"/>
        <w:ind w:left="91"/>
        <w:rPr>
          <w:lang w:val="es-419"/>
        </w:rPr>
      </w:pPr>
      <w:bookmarkStart w:id="43" w:name="_Toc39071255"/>
      <w:bookmarkStart w:id="44" w:name="_Toc197337714"/>
      <w:r w:rsidRPr="00E45F61">
        <w:rPr>
          <w:rFonts w:eastAsia="Arial"/>
          <w:szCs w:val="22"/>
          <w:lang w:val="es-419"/>
        </w:rPr>
        <w:t>PROGRAMA DE ASEGURAMIENTO Y MEJORAMIENTO DE LA CALIDAD DE LA DSI</w:t>
      </w:r>
      <w:bookmarkEnd w:id="44"/>
    </w:p>
    <w:p w14:paraId="218A61E7" w14:textId="04F48C15"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t>El Programa de Aseguramiento y Mejoramiento de la Calidad de la DSI está concebido para proporcionar una garantía razonable a las diversas partes interesadas</w:t>
      </w:r>
      <w:r w:rsidRPr="00E45F61">
        <w:rPr>
          <w:vertAlign w:val="superscript"/>
          <w:lang w:val="es-419"/>
        </w:rPr>
        <w:footnoteReference w:id="24"/>
      </w:r>
      <w:r w:rsidRPr="00E45F61">
        <w:rPr>
          <w:rFonts w:eastAsia="Arial"/>
          <w:szCs w:val="22"/>
          <w:lang w:val="es-419"/>
        </w:rPr>
        <w:t xml:space="preserve"> de que las actividades de supervisión se realizan de conformidad con la Carta de Supervisión Interna y las respectivas normas y prácticas profesionales de cada función, se llevan a cabo de manera eficaz y de que las partes interesadas perciben que la DSI es un valor añadido que mejora de forma continua. Las esferas que se indican a continuación están comprendidas en el Programa de Aseguramiento y Mejoramiento de la Calidad.</w:t>
      </w:r>
    </w:p>
    <w:p w14:paraId="54DA9FB4" w14:textId="77777777" w:rsidR="0076292E" w:rsidRPr="00E45F61" w:rsidRDefault="00B7499E" w:rsidP="00BE5159">
      <w:pPr>
        <w:pStyle w:val="Heading2"/>
        <w:spacing w:before="0" w:after="120"/>
        <w:ind w:left="91"/>
        <w:rPr>
          <w:lang w:val="es-419"/>
        </w:rPr>
      </w:pPr>
      <w:r w:rsidRPr="00E45F61">
        <w:rPr>
          <w:rFonts w:eastAsia="Arial"/>
          <w:szCs w:val="22"/>
          <w:lang w:val="es-419"/>
        </w:rPr>
        <w:t xml:space="preserve">Independencia operacional </w:t>
      </w:r>
      <w:bookmarkEnd w:id="43"/>
      <w:r w:rsidRPr="00E45F61">
        <w:rPr>
          <w:rFonts w:eastAsia="Arial"/>
          <w:szCs w:val="22"/>
          <w:lang w:val="es-419"/>
        </w:rPr>
        <w:t>de la DSI</w:t>
      </w:r>
    </w:p>
    <w:p w14:paraId="622D8C7D" w14:textId="081BEED0"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Carta de Supervisión Interna exige</w:t>
      </w:r>
      <w:r w:rsidR="00955FCA" w:rsidRPr="00E45F61">
        <w:rPr>
          <w:rFonts w:eastAsia="Arial"/>
          <w:szCs w:val="22"/>
          <w:lang w:val="es-419"/>
        </w:rPr>
        <w:t xml:space="preserve"> que </w:t>
      </w:r>
      <w:r w:rsidRPr="00E45F61">
        <w:rPr>
          <w:rFonts w:eastAsia="Arial"/>
          <w:szCs w:val="22"/>
          <w:lang w:val="es-419"/>
        </w:rPr>
        <w:t>el director de la DSI confirme la independencia orgánica con que se lleva a cabo la función de supervisión interna y proporcione información acerca del alcance de las actividades de supervisión interna y de la adecuación de los recursos a los fines previstos.</w:t>
      </w:r>
      <w:r w:rsidR="00B83567" w:rsidRPr="00E45F61">
        <w:rPr>
          <w:rFonts w:eastAsia="Arial"/>
          <w:szCs w:val="22"/>
          <w:vertAlign w:val="superscript"/>
          <w:lang w:val="es-419"/>
        </w:rPr>
        <w:footnoteReference w:id="25"/>
      </w:r>
    </w:p>
    <w:p w14:paraId="087377EC" w14:textId="6C4F7244"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Durante el ejercicio en examen no se presentó ninguna situación o actividad que pudiera considerarse como una amenaza para la independencia operacional de la DSI. </w:t>
      </w:r>
      <w:bookmarkStart w:id="45" w:name="_Toc420663573"/>
      <w:r w:rsidRPr="00E45F61">
        <w:rPr>
          <w:rFonts w:eastAsia="Arial"/>
          <w:szCs w:val="22"/>
          <w:lang w:val="es-419"/>
        </w:rPr>
        <w:t>Así lo confirmó formalmente l</w:t>
      </w:r>
      <w:r w:rsidR="006342D4" w:rsidRPr="00E45F61">
        <w:rPr>
          <w:rFonts w:eastAsia="Arial"/>
          <w:szCs w:val="22"/>
          <w:lang w:val="es-419"/>
        </w:rPr>
        <w:t>a</w:t>
      </w:r>
      <w:r w:rsidRPr="00E45F61">
        <w:rPr>
          <w:rFonts w:eastAsia="Arial"/>
          <w:szCs w:val="22"/>
          <w:lang w:val="es-419"/>
        </w:rPr>
        <w:t xml:space="preserve"> </w:t>
      </w:r>
      <w:r w:rsidR="006342D4" w:rsidRPr="00E45F61">
        <w:rPr>
          <w:rFonts w:eastAsia="Arial"/>
          <w:szCs w:val="22"/>
          <w:lang w:val="es-419"/>
        </w:rPr>
        <w:t>d</w:t>
      </w:r>
      <w:r w:rsidRPr="00E45F61">
        <w:rPr>
          <w:rFonts w:eastAsia="Arial"/>
          <w:szCs w:val="22"/>
          <w:lang w:val="es-419"/>
        </w:rPr>
        <w:t>irector</w:t>
      </w:r>
      <w:r w:rsidR="006342D4" w:rsidRPr="00E45F61">
        <w:rPr>
          <w:rFonts w:eastAsia="Arial"/>
          <w:szCs w:val="22"/>
          <w:lang w:val="es-419"/>
        </w:rPr>
        <w:t>a</w:t>
      </w:r>
      <w:r w:rsidRPr="00E45F61">
        <w:rPr>
          <w:rFonts w:eastAsia="Arial"/>
          <w:szCs w:val="22"/>
          <w:lang w:val="es-419"/>
        </w:rPr>
        <w:t xml:space="preserve"> de la DSI a la CCIS en su 75.ª sesión, además de en las sesiones formales y privadas celebradas en</w:t>
      </w:r>
      <w:r w:rsidR="008D09ED" w:rsidRPr="00E45F61">
        <w:rPr>
          <w:rFonts w:eastAsia="Arial"/>
          <w:szCs w:val="22"/>
          <w:lang w:val="es-419"/>
        </w:rPr>
        <w:t> 2</w:t>
      </w:r>
      <w:r w:rsidRPr="00E45F61">
        <w:rPr>
          <w:rFonts w:eastAsia="Arial"/>
          <w:szCs w:val="22"/>
          <w:lang w:val="es-419"/>
        </w:rPr>
        <w:t>024.</w:t>
      </w:r>
    </w:p>
    <w:p w14:paraId="50CC4A69" w14:textId="77777777" w:rsidR="0076292E" w:rsidRPr="00E45F61" w:rsidRDefault="00B7499E" w:rsidP="00A26396">
      <w:pPr>
        <w:pStyle w:val="ONUME"/>
        <w:tabs>
          <w:tab w:val="clear" w:pos="567"/>
          <w:tab w:val="num" w:pos="657"/>
        </w:tabs>
        <w:ind w:left="91"/>
        <w:rPr>
          <w:lang w:val="es-419"/>
        </w:rPr>
      </w:pPr>
      <w:r w:rsidRPr="00E45F61">
        <w:rPr>
          <w:rFonts w:eastAsia="Arial"/>
          <w:szCs w:val="22"/>
          <w:lang w:val="es-419"/>
        </w:rPr>
        <w:t>Para elaborar el plan de supervisión</w:t>
      </w:r>
      <w:r w:rsidR="008D09ED" w:rsidRPr="00E45F61">
        <w:rPr>
          <w:rFonts w:eastAsia="Arial"/>
          <w:szCs w:val="22"/>
          <w:lang w:val="es-419"/>
        </w:rPr>
        <w:t> 2</w:t>
      </w:r>
      <w:r w:rsidRPr="00E45F61">
        <w:rPr>
          <w:rFonts w:eastAsia="Arial"/>
          <w:szCs w:val="22"/>
          <w:lang w:val="es-419"/>
        </w:rPr>
        <w:t>024, la DSI colaboró con los responsables de los sectores, el director general y los representantes de los Estados miembros, así como con la CCIS de la que obtuvo información y asesoramiento. Sin embargo, en última instancia la DSI determinó el plan definitivo teniendo en cuenta los comentarios recibidos y su evaluación de riesgos.</w:t>
      </w:r>
    </w:p>
    <w:p w14:paraId="484F8865" w14:textId="54534FC0" w:rsidR="0076292E" w:rsidRPr="00E45F61" w:rsidRDefault="00B7499E" w:rsidP="00BE5159">
      <w:pPr>
        <w:pStyle w:val="ONUME"/>
        <w:tabs>
          <w:tab w:val="clear" w:pos="567"/>
          <w:tab w:val="num" w:pos="657"/>
        </w:tabs>
        <w:spacing w:after="480"/>
        <w:ind w:left="91"/>
        <w:rPr>
          <w:lang w:val="es-419"/>
        </w:rPr>
      </w:pPr>
      <w:r w:rsidRPr="00E45F61">
        <w:rPr>
          <w:rFonts w:eastAsia="Arial"/>
          <w:szCs w:val="22"/>
          <w:lang w:val="es-419"/>
        </w:rPr>
        <w:lastRenderedPageBreak/>
        <w:t>Trimestralmente, se presentó y se examinó junto con la CCIS la disponibilidad y la adecuación de los recursos para la DSI, incluidas las medidas para colmar las lagunas. En</w:t>
      </w:r>
      <w:r w:rsidR="008D09ED" w:rsidRPr="00E45F61">
        <w:rPr>
          <w:rFonts w:eastAsia="Arial"/>
          <w:szCs w:val="22"/>
          <w:lang w:val="es-419"/>
        </w:rPr>
        <w:t> 2</w:t>
      </w:r>
      <w:r w:rsidRPr="00E45F61">
        <w:rPr>
          <w:rFonts w:eastAsia="Arial"/>
          <w:szCs w:val="22"/>
          <w:lang w:val="es-419"/>
        </w:rPr>
        <w:t xml:space="preserve">024, la </w:t>
      </w:r>
      <w:r w:rsidR="00B83567" w:rsidRPr="00E45F61">
        <w:rPr>
          <w:rFonts w:eastAsia="Arial"/>
          <w:szCs w:val="22"/>
          <w:lang w:val="es-419"/>
        </w:rPr>
        <w:t xml:space="preserve">Administración </w:t>
      </w:r>
      <w:r w:rsidRPr="00E45F61">
        <w:rPr>
          <w:rFonts w:eastAsia="Arial"/>
          <w:szCs w:val="22"/>
          <w:lang w:val="es-419"/>
        </w:rPr>
        <w:t xml:space="preserve">proporcionó a la DSI un puesto de personal adicional para hacer frente a la ausencia prolongada del </w:t>
      </w:r>
      <w:r w:rsidR="00B83567" w:rsidRPr="00E45F61">
        <w:rPr>
          <w:rFonts w:eastAsia="Arial"/>
          <w:szCs w:val="22"/>
          <w:lang w:val="es-419"/>
        </w:rPr>
        <w:t xml:space="preserve">jefe </w:t>
      </w:r>
      <w:r w:rsidRPr="00E45F61">
        <w:rPr>
          <w:rFonts w:eastAsia="Arial"/>
          <w:szCs w:val="22"/>
          <w:lang w:val="es-419"/>
        </w:rPr>
        <w:t xml:space="preserve">de la Sección de Auditoría y </w:t>
      </w:r>
      <w:r w:rsidR="00B83567" w:rsidRPr="00E45F61">
        <w:rPr>
          <w:rFonts w:eastAsia="Arial"/>
          <w:szCs w:val="22"/>
          <w:lang w:val="es-419"/>
        </w:rPr>
        <w:t>recursos</w:t>
      </w:r>
      <w:r w:rsidRPr="00E45F61">
        <w:rPr>
          <w:rFonts w:eastAsia="Arial"/>
          <w:szCs w:val="22"/>
          <w:lang w:val="es-419"/>
        </w:rPr>
        <w:t xml:space="preserve"> financiero</w:t>
      </w:r>
      <w:r w:rsidR="00B83567" w:rsidRPr="00E45F61">
        <w:rPr>
          <w:rFonts w:eastAsia="Arial"/>
          <w:szCs w:val="22"/>
          <w:lang w:val="es-419"/>
        </w:rPr>
        <w:t>s</w:t>
      </w:r>
      <w:r w:rsidRPr="00E45F61">
        <w:rPr>
          <w:rFonts w:eastAsia="Arial"/>
          <w:szCs w:val="22"/>
          <w:lang w:val="es-419"/>
        </w:rPr>
        <w:t xml:space="preserve"> adicional</w:t>
      </w:r>
      <w:r w:rsidR="00B83567" w:rsidRPr="00E45F61">
        <w:rPr>
          <w:rFonts w:eastAsia="Arial"/>
          <w:szCs w:val="22"/>
          <w:lang w:val="es-419"/>
        </w:rPr>
        <w:t>es</w:t>
      </w:r>
      <w:r w:rsidRPr="00E45F61">
        <w:rPr>
          <w:rFonts w:eastAsia="Arial"/>
          <w:szCs w:val="22"/>
          <w:lang w:val="es-419"/>
        </w:rPr>
        <w:t xml:space="preserve"> en mayo de</w:t>
      </w:r>
      <w:r w:rsidR="008D09ED" w:rsidRPr="00E45F61">
        <w:rPr>
          <w:rFonts w:eastAsia="Arial"/>
          <w:szCs w:val="22"/>
          <w:lang w:val="es-419"/>
        </w:rPr>
        <w:t> 2</w:t>
      </w:r>
      <w:r w:rsidRPr="00E45F61">
        <w:rPr>
          <w:rFonts w:eastAsia="Arial"/>
          <w:szCs w:val="22"/>
          <w:lang w:val="es-419"/>
        </w:rPr>
        <w:t>024, cuando se solicitó.</w:t>
      </w:r>
    </w:p>
    <w:p w14:paraId="2E3053E6" w14:textId="77777777" w:rsidR="0076292E" w:rsidRPr="00E45F61" w:rsidRDefault="00B7499E" w:rsidP="00BE5159">
      <w:pPr>
        <w:pStyle w:val="Heading2"/>
        <w:spacing w:before="0" w:after="120"/>
        <w:ind w:left="91"/>
        <w:rPr>
          <w:lang w:val="es-419"/>
        </w:rPr>
      </w:pPr>
      <w:r w:rsidRPr="00E45F61">
        <w:rPr>
          <w:rFonts w:eastAsia="Arial"/>
          <w:szCs w:val="22"/>
          <w:lang w:val="es-419"/>
        </w:rPr>
        <w:t>Control continuo e indicadores de rendimiento</w:t>
      </w:r>
    </w:p>
    <w:p w14:paraId="0F0F63CB" w14:textId="0B160B76" w:rsidR="0076292E" w:rsidRPr="00E45F61" w:rsidRDefault="00B7499E" w:rsidP="00A26396">
      <w:pPr>
        <w:pStyle w:val="ONUME"/>
        <w:tabs>
          <w:tab w:val="clear" w:pos="567"/>
          <w:tab w:val="num" w:pos="657"/>
        </w:tabs>
        <w:ind w:left="91"/>
        <w:rPr>
          <w:lang w:val="es-419"/>
        </w:rPr>
      </w:pPr>
      <w:r w:rsidRPr="00E45F61">
        <w:rPr>
          <w:rFonts w:eastAsia="Arial"/>
          <w:szCs w:val="22"/>
          <w:lang w:val="es-419"/>
        </w:rPr>
        <w:t xml:space="preserve">El control continuo del rendimiento de la actividad de supervisión se refiere a la supervisión, la revisión y la medición de las actividades de supervisión interna que figura en las políticas, los manuales y los procedimientos rutinarios de la DSI. </w:t>
      </w:r>
    </w:p>
    <w:p w14:paraId="5C740FED" w14:textId="77777777" w:rsidR="0076292E" w:rsidRPr="00E45F61" w:rsidRDefault="00B7499E" w:rsidP="00BE5159">
      <w:pPr>
        <w:pStyle w:val="ONUME"/>
        <w:tabs>
          <w:tab w:val="clear" w:pos="567"/>
          <w:tab w:val="num" w:pos="657"/>
        </w:tabs>
        <w:spacing w:after="240"/>
        <w:ind w:left="91"/>
        <w:rPr>
          <w:lang w:val="es-419"/>
        </w:rPr>
      </w:pPr>
      <w:r w:rsidRPr="00E45F61">
        <w:rPr>
          <w:rFonts w:eastAsia="Arial"/>
          <w:szCs w:val="22"/>
          <w:lang w:val="es-419"/>
        </w:rPr>
        <w:t>La DSI ha establecido indicadores de rendimiento para medir la eficacia, la eficiencia y la pertinencia de las actividades de supervisión. Entre ellos se incluyen el plazo medio para la finalización de las actividades de supervisión, la percepción de las partes interesadas internas sobre la labor de la DSI y el grado de aceptación y pertinencia de las recomendaciones de la DSI. En el cuadro siguiente se resumen los resultados.</w:t>
      </w:r>
    </w:p>
    <w:p w14:paraId="6B93E53D" w14:textId="77777777" w:rsidR="0076292E" w:rsidRPr="00E45F61" w:rsidRDefault="00B7499E" w:rsidP="00BE5159">
      <w:pPr>
        <w:pStyle w:val="ONUME"/>
        <w:numPr>
          <w:ilvl w:val="0"/>
          <w:numId w:val="0"/>
        </w:numPr>
        <w:spacing w:after="120"/>
        <w:ind w:left="1701" w:hanging="1610"/>
        <w:jc w:val="center"/>
        <w:rPr>
          <w:rFonts w:eastAsia="Times New Roman"/>
          <w:b/>
          <w:lang w:val="es-419" w:eastAsia="en-US"/>
        </w:rPr>
      </w:pPr>
      <w:r w:rsidRPr="00E45F61">
        <w:rPr>
          <w:rFonts w:eastAsia="Arial"/>
          <w:b/>
          <w:bCs/>
          <w:szCs w:val="22"/>
          <w:lang w:val="es-419" w:eastAsia="en-US"/>
        </w:rPr>
        <w:t>Cuadro</w:t>
      </w:r>
      <w:r w:rsidR="008D09ED" w:rsidRPr="00E45F61">
        <w:rPr>
          <w:rFonts w:eastAsia="Arial"/>
          <w:b/>
          <w:bCs/>
          <w:szCs w:val="22"/>
          <w:lang w:val="es-419" w:eastAsia="en-US"/>
        </w:rPr>
        <w:t> 6</w:t>
      </w:r>
      <w:r w:rsidRPr="00E45F61">
        <w:rPr>
          <w:rFonts w:eastAsia="Arial"/>
          <w:b/>
          <w:bCs/>
          <w:szCs w:val="22"/>
          <w:lang w:val="es-419" w:eastAsia="en-US"/>
        </w:rPr>
        <w:t xml:space="preserve"> - Indicadores de rendimiento de la DSI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 IOD Performance Indicators"/>
      </w:tblPr>
      <w:tblGrid>
        <w:gridCol w:w="2065"/>
        <w:gridCol w:w="2970"/>
        <w:gridCol w:w="2250"/>
        <w:gridCol w:w="2060"/>
      </w:tblGrid>
      <w:tr w:rsidR="001700C5" w:rsidRPr="00E45F61" w14:paraId="654DB10F" w14:textId="77777777" w:rsidTr="000B4F77">
        <w:trPr>
          <w:trHeight w:val="324"/>
        </w:trPr>
        <w:tc>
          <w:tcPr>
            <w:tcW w:w="1105" w:type="pct"/>
            <w:shd w:val="clear" w:color="auto" w:fill="244061" w:themeFill="accent1" w:themeFillShade="80"/>
            <w:noWrap/>
            <w:hideMark/>
          </w:tcPr>
          <w:p w14:paraId="3DBEE1C2" w14:textId="77777777" w:rsidR="0076292E" w:rsidRPr="00E45F61" w:rsidRDefault="00B7499E" w:rsidP="000B4F77">
            <w:pP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Indicador de rendimiento</w:t>
            </w:r>
          </w:p>
        </w:tc>
        <w:tc>
          <w:tcPr>
            <w:tcW w:w="1589" w:type="pct"/>
            <w:shd w:val="clear" w:color="auto" w:fill="244061" w:themeFill="accent1" w:themeFillShade="80"/>
          </w:tcPr>
          <w:p w14:paraId="5EE7971B" w14:textId="77777777" w:rsidR="0076292E" w:rsidRPr="00E45F61" w:rsidRDefault="00B7499E" w:rsidP="000B4F77">
            <w:pPr>
              <w:jc w:val="center"/>
              <w:rPr>
                <w:rFonts w:eastAsia="Times New Roman"/>
                <w:b/>
                <w:bCs/>
                <w:color w:val="FFFFFF" w:themeColor="background1"/>
                <w:sz w:val="18"/>
                <w:szCs w:val="18"/>
                <w:lang w:val="es-419" w:eastAsia="en-US"/>
              </w:rPr>
            </w:pPr>
            <w:r w:rsidRPr="00E45F61">
              <w:rPr>
                <w:rFonts w:eastAsia="Arial"/>
                <w:b/>
                <w:bCs/>
                <w:color w:val="FFFFFF"/>
                <w:sz w:val="18"/>
                <w:szCs w:val="18"/>
                <w:lang w:val="es-419" w:eastAsia="en-US"/>
              </w:rPr>
              <w:t>Indicador de rendimiento</w:t>
            </w:r>
          </w:p>
        </w:tc>
        <w:tc>
          <w:tcPr>
            <w:tcW w:w="1204" w:type="pct"/>
            <w:shd w:val="clear" w:color="auto" w:fill="244061" w:themeFill="accent1" w:themeFillShade="80"/>
          </w:tcPr>
          <w:p w14:paraId="759CD985" w14:textId="77777777" w:rsidR="0076292E" w:rsidRPr="00E45F61" w:rsidRDefault="00B7499E" w:rsidP="000B4F77">
            <w:pPr>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Resultados</w:t>
            </w:r>
            <w:r w:rsidR="008D09ED" w:rsidRPr="00E45F61">
              <w:rPr>
                <w:rFonts w:eastAsia="Arial"/>
                <w:b/>
                <w:bCs/>
                <w:color w:val="FFFFFF"/>
                <w:sz w:val="18"/>
                <w:szCs w:val="18"/>
                <w:lang w:val="es-419" w:eastAsia="en-US"/>
              </w:rPr>
              <w:t> 2</w:t>
            </w:r>
            <w:r w:rsidRPr="00E45F61">
              <w:rPr>
                <w:rFonts w:eastAsia="Arial"/>
                <w:b/>
                <w:bCs/>
                <w:color w:val="FFFFFF"/>
                <w:sz w:val="18"/>
                <w:szCs w:val="18"/>
                <w:lang w:val="es-419" w:eastAsia="en-US"/>
              </w:rPr>
              <w:t>023</w:t>
            </w:r>
          </w:p>
        </w:tc>
        <w:tc>
          <w:tcPr>
            <w:tcW w:w="1102" w:type="pct"/>
            <w:shd w:val="clear" w:color="auto" w:fill="244061" w:themeFill="accent1" w:themeFillShade="80"/>
            <w:noWrap/>
            <w:hideMark/>
          </w:tcPr>
          <w:p w14:paraId="1D51C70B" w14:textId="77777777" w:rsidR="0076292E" w:rsidRPr="00E45F61" w:rsidRDefault="00B7499E" w:rsidP="000B4F77">
            <w:pPr>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Resultados</w:t>
            </w:r>
            <w:r w:rsidR="008D09ED" w:rsidRPr="00E45F61">
              <w:rPr>
                <w:rFonts w:eastAsia="Arial"/>
                <w:b/>
                <w:bCs/>
                <w:color w:val="FFFFFF"/>
                <w:sz w:val="18"/>
                <w:szCs w:val="18"/>
                <w:lang w:val="es-419" w:eastAsia="en-US"/>
              </w:rPr>
              <w:t> 2</w:t>
            </w:r>
            <w:r w:rsidRPr="00E45F61">
              <w:rPr>
                <w:rFonts w:eastAsia="Arial"/>
                <w:b/>
                <w:bCs/>
                <w:color w:val="FFFFFF"/>
                <w:sz w:val="18"/>
                <w:szCs w:val="18"/>
                <w:lang w:val="es-419" w:eastAsia="en-US"/>
              </w:rPr>
              <w:t>024</w:t>
            </w:r>
          </w:p>
        </w:tc>
      </w:tr>
      <w:tr w:rsidR="001700C5" w:rsidRPr="00E45F61" w14:paraId="1FA66733" w14:textId="77777777" w:rsidTr="000B4F77">
        <w:trPr>
          <w:trHeight w:val="416"/>
        </w:trPr>
        <w:tc>
          <w:tcPr>
            <w:tcW w:w="1105" w:type="pct"/>
            <w:shd w:val="clear" w:color="auto" w:fill="auto"/>
            <w:hideMark/>
          </w:tcPr>
          <w:p w14:paraId="708E71E6"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Sin interferencia de las principales partes interesadas, y grado de independencia percibido por estas</w:t>
            </w:r>
          </w:p>
        </w:tc>
        <w:tc>
          <w:tcPr>
            <w:tcW w:w="1589" w:type="pct"/>
          </w:tcPr>
          <w:p w14:paraId="23B48283"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Sin interferencia</w:t>
            </w:r>
          </w:p>
        </w:tc>
        <w:tc>
          <w:tcPr>
            <w:tcW w:w="1204" w:type="pct"/>
            <w:shd w:val="clear" w:color="auto" w:fill="auto"/>
          </w:tcPr>
          <w:p w14:paraId="5EFF9C1A"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No se observaron interferencias durante el ejercicio en examen</w:t>
            </w:r>
          </w:p>
        </w:tc>
        <w:tc>
          <w:tcPr>
            <w:tcW w:w="1102" w:type="pct"/>
            <w:noWrap/>
            <w:vAlign w:val="center"/>
            <w:hideMark/>
          </w:tcPr>
          <w:p w14:paraId="0F147A59"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No se observaron interferencias durante el ejercicio en examen</w:t>
            </w:r>
          </w:p>
        </w:tc>
      </w:tr>
      <w:tr w:rsidR="001700C5" w:rsidRPr="00E45F61" w14:paraId="4834B16C" w14:textId="77777777" w:rsidTr="000B4F77">
        <w:trPr>
          <w:trHeight w:val="295"/>
        </w:trPr>
        <w:tc>
          <w:tcPr>
            <w:tcW w:w="1105" w:type="pct"/>
            <w:vMerge w:val="restart"/>
            <w:shd w:val="clear" w:color="auto" w:fill="auto"/>
            <w:hideMark/>
          </w:tcPr>
          <w:p w14:paraId="4DD1D237"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Plazo medio para la finalización de las actividades</w:t>
            </w:r>
          </w:p>
        </w:tc>
        <w:tc>
          <w:tcPr>
            <w:tcW w:w="1589" w:type="pct"/>
          </w:tcPr>
          <w:p w14:paraId="057A54C9"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Auditoría interna:</w:t>
            </w:r>
            <w:r w:rsidR="008D09ED" w:rsidRPr="00E45F61">
              <w:rPr>
                <w:rFonts w:eastAsia="Arial"/>
                <w:sz w:val="18"/>
                <w:szCs w:val="18"/>
                <w:lang w:val="es-419" w:eastAsia="en-US"/>
              </w:rPr>
              <w:t> 4</w:t>
            </w:r>
            <w:r w:rsidRPr="00E45F61">
              <w:rPr>
                <w:rFonts w:eastAsia="Arial"/>
                <w:sz w:val="18"/>
                <w:szCs w:val="18"/>
                <w:lang w:val="es-419" w:eastAsia="en-US"/>
              </w:rPr>
              <w:t>,5 meses</w:t>
            </w:r>
          </w:p>
        </w:tc>
        <w:tc>
          <w:tcPr>
            <w:tcW w:w="1204" w:type="pct"/>
            <w:shd w:val="clear" w:color="auto" w:fill="auto"/>
          </w:tcPr>
          <w:p w14:paraId="41135D77"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4,4 meses</w:t>
            </w:r>
          </w:p>
        </w:tc>
        <w:tc>
          <w:tcPr>
            <w:tcW w:w="1102" w:type="pct"/>
            <w:noWrap/>
            <w:hideMark/>
          </w:tcPr>
          <w:p w14:paraId="1EF56BC9" w14:textId="77777777" w:rsidR="0076292E" w:rsidRPr="00E45F61" w:rsidRDefault="00B7499E" w:rsidP="000B4F77">
            <w:pPr>
              <w:rPr>
                <w:rFonts w:eastAsia="Times New Roman"/>
                <w:sz w:val="18"/>
                <w:szCs w:val="18"/>
                <w:lang w:val="es-419" w:eastAsia="en-US"/>
              </w:rPr>
            </w:pPr>
            <w:r w:rsidRPr="00E45F61">
              <w:rPr>
                <w:rFonts w:eastAsia="Arial"/>
                <w:color w:val="000000"/>
                <w:sz w:val="18"/>
                <w:szCs w:val="18"/>
                <w:lang w:val="es-419" w:eastAsia="en-US"/>
              </w:rPr>
              <w:t>3,2 meses</w:t>
            </w:r>
            <w:r w:rsidRPr="00E45F61">
              <w:rPr>
                <w:rFonts w:eastAsia="Arial"/>
                <w:sz w:val="18"/>
                <w:szCs w:val="18"/>
                <w:lang w:val="es-419" w:eastAsia="en-US"/>
              </w:rPr>
              <w:t xml:space="preserve"> </w:t>
            </w:r>
          </w:p>
        </w:tc>
      </w:tr>
      <w:tr w:rsidR="001700C5" w:rsidRPr="00E45F61" w14:paraId="233800F9" w14:textId="77777777" w:rsidTr="000B4F77">
        <w:trPr>
          <w:trHeight w:val="262"/>
        </w:trPr>
        <w:tc>
          <w:tcPr>
            <w:tcW w:w="1105" w:type="pct"/>
            <w:vMerge/>
            <w:vAlign w:val="center"/>
            <w:hideMark/>
          </w:tcPr>
          <w:p w14:paraId="288746F1" w14:textId="77777777" w:rsidR="0076292E" w:rsidRPr="00E45F61" w:rsidRDefault="0076292E" w:rsidP="000B4F77">
            <w:pPr>
              <w:rPr>
                <w:rFonts w:eastAsia="Times New Roman"/>
                <w:color w:val="000000"/>
                <w:sz w:val="18"/>
                <w:szCs w:val="18"/>
                <w:lang w:val="es-419" w:eastAsia="en-US"/>
              </w:rPr>
            </w:pPr>
          </w:p>
        </w:tc>
        <w:tc>
          <w:tcPr>
            <w:tcW w:w="1589" w:type="pct"/>
          </w:tcPr>
          <w:p w14:paraId="68B942B2"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Evaluaciones:</w:t>
            </w:r>
            <w:r w:rsidR="008D09ED" w:rsidRPr="00E45F61">
              <w:rPr>
                <w:rFonts w:eastAsia="Arial"/>
                <w:sz w:val="18"/>
                <w:szCs w:val="18"/>
                <w:lang w:val="es-419" w:eastAsia="en-US"/>
              </w:rPr>
              <w:t> 6</w:t>
            </w:r>
            <w:r w:rsidRPr="00E45F61">
              <w:rPr>
                <w:rFonts w:eastAsia="Arial"/>
                <w:sz w:val="18"/>
                <w:szCs w:val="18"/>
                <w:lang w:val="es-419" w:eastAsia="en-US"/>
              </w:rPr>
              <w:t xml:space="preserve"> meses</w:t>
            </w:r>
          </w:p>
          <w:p w14:paraId="26409AE1"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w:t>
            </w:r>
            <w:r w:rsidR="00955FCA" w:rsidRPr="00E45F61">
              <w:rPr>
                <w:rFonts w:eastAsia="Arial"/>
                <w:sz w:val="18"/>
                <w:szCs w:val="18"/>
                <w:lang w:val="es-419" w:eastAsia="en-US"/>
              </w:rPr>
              <w:t xml:space="preserve"> </w:t>
            </w:r>
            <w:r w:rsidRPr="00E45F61">
              <w:rPr>
                <w:rFonts w:eastAsia="Arial"/>
                <w:sz w:val="18"/>
                <w:szCs w:val="18"/>
                <w:lang w:val="es-419" w:eastAsia="en-US"/>
              </w:rPr>
              <w:t>Elaboración de los informes de</w:t>
            </w:r>
            <w:r w:rsidR="008D09ED" w:rsidRPr="00E45F61">
              <w:rPr>
                <w:rFonts w:eastAsia="Arial"/>
                <w:sz w:val="18"/>
                <w:szCs w:val="18"/>
                <w:lang w:val="es-419" w:eastAsia="en-US"/>
              </w:rPr>
              <w:t> 2</w:t>
            </w:r>
            <w:r w:rsidRPr="00E45F61">
              <w:rPr>
                <w:rFonts w:eastAsia="Arial"/>
                <w:sz w:val="18"/>
                <w:szCs w:val="18"/>
                <w:lang w:val="es-419" w:eastAsia="en-US"/>
              </w:rPr>
              <w:t>022 y</w:t>
            </w:r>
            <w:r w:rsidR="008D09ED" w:rsidRPr="00E45F61">
              <w:rPr>
                <w:rFonts w:eastAsia="Arial"/>
                <w:sz w:val="18"/>
                <w:szCs w:val="18"/>
                <w:lang w:val="es-419" w:eastAsia="en-US"/>
              </w:rPr>
              <w:t> 2</w:t>
            </w:r>
            <w:r w:rsidRPr="00E45F61">
              <w:rPr>
                <w:rFonts w:eastAsia="Arial"/>
                <w:sz w:val="18"/>
                <w:szCs w:val="18"/>
                <w:lang w:val="es-419" w:eastAsia="en-US"/>
              </w:rPr>
              <w:t>023</w:t>
            </w:r>
          </w:p>
          <w:p w14:paraId="17827904"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w:t>
            </w:r>
            <w:r w:rsidR="00955FCA" w:rsidRPr="00E45F61">
              <w:rPr>
                <w:rFonts w:eastAsia="Arial"/>
                <w:sz w:val="18"/>
                <w:szCs w:val="18"/>
                <w:lang w:val="es-419" w:eastAsia="en-US"/>
              </w:rPr>
              <w:t xml:space="preserve"> </w:t>
            </w:r>
            <w:r w:rsidRPr="00E45F61">
              <w:rPr>
                <w:rFonts w:eastAsia="Arial"/>
                <w:sz w:val="18"/>
                <w:szCs w:val="18"/>
                <w:lang w:val="es-419" w:eastAsia="en-US"/>
              </w:rPr>
              <w:t>Realización de</w:t>
            </w:r>
            <w:r w:rsidR="008D09ED" w:rsidRPr="00E45F61">
              <w:rPr>
                <w:rFonts w:eastAsia="Arial"/>
                <w:sz w:val="18"/>
                <w:szCs w:val="18"/>
                <w:lang w:val="es-419" w:eastAsia="en-US"/>
              </w:rPr>
              <w:t> 5</w:t>
            </w:r>
            <w:r w:rsidRPr="00E45F61">
              <w:rPr>
                <w:rFonts w:eastAsia="Arial"/>
                <w:sz w:val="18"/>
                <w:szCs w:val="18"/>
                <w:lang w:val="es-419" w:eastAsia="en-US"/>
              </w:rPr>
              <w:t xml:space="preserve"> exámenes de evaluación previa y</w:t>
            </w:r>
            <w:r w:rsidR="008D09ED" w:rsidRPr="00E45F61">
              <w:rPr>
                <w:rFonts w:eastAsia="Arial"/>
                <w:sz w:val="18"/>
                <w:szCs w:val="18"/>
                <w:lang w:val="es-419" w:eastAsia="en-US"/>
              </w:rPr>
              <w:t> 1</w:t>
            </w:r>
            <w:r w:rsidRPr="00E45F61">
              <w:rPr>
                <w:rFonts w:eastAsia="Arial"/>
                <w:sz w:val="18"/>
                <w:szCs w:val="18"/>
                <w:lang w:val="es-419" w:eastAsia="en-US"/>
              </w:rPr>
              <w:t xml:space="preserve"> de asesoramiento en</w:t>
            </w:r>
            <w:r w:rsidR="008D09ED" w:rsidRPr="00E45F61">
              <w:rPr>
                <w:rFonts w:eastAsia="Arial"/>
                <w:sz w:val="18"/>
                <w:szCs w:val="18"/>
                <w:lang w:val="es-419" w:eastAsia="en-US"/>
              </w:rPr>
              <w:t> 2</w:t>
            </w:r>
            <w:r w:rsidRPr="00E45F61">
              <w:rPr>
                <w:rFonts w:eastAsia="Arial"/>
                <w:sz w:val="18"/>
                <w:szCs w:val="18"/>
                <w:lang w:val="es-419" w:eastAsia="en-US"/>
              </w:rPr>
              <w:t>024.</w:t>
            </w:r>
          </w:p>
          <w:p w14:paraId="036948AD" w14:textId="77777777" w:rsidR="0076292E" w:rsidRPr="00E45F61" w:rsidRDefault="0076292E" w:rsidP="000B4F77">
            <w:pPr>
              <w:rPr>
                <w:rFonts w:eastAsia="Times New Roman"/>
                <w:sz w:val="18"/>
                <w:szCs w:val="18"/>
                <w:lang w:val="es-419" w:eastAsia="en-US"/>
              </w:rPr>
            </w:pPr>
          </w:p>
        </w:tc>
        <w:tc>
          <w:tcPr>
            <w:tcW w:w="1204" w:type="pct"/>
            <w:shd w:val="clear" w:color="auto" w:fill="auto"/>
          </w:tcPr>
          <w:p w14:paraId="7915CD7E" w14:textId="77777777" w:rsidR="0076292E" w:rsidRPr="00E45F61" w:rsidRDefault="0076292E" w:rsidP="000B4F77">
            <w:pPr>
              <w:rPr>
                <w:rFonts w:eastAsia="Times New Roman"/>
                <w:sz w:val="18"/>
                <w:szCs w:val="18"/>
                <w:lang w:val="es-419" w:eastAsia="en-US"/>
              </w:rPr>
            </w:pPr>
          </w:p>
          <w:p w14:paraId="547940E6"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5,3 meses</w:t>
            </w:r>
          </w:p>
          <w:p w14:paraId="4ABBA792" w14:textId="77777777" w:rsidR="0076292E" w:rsidRPr="00E45F61" w:rsidRDefault="0076292E" w:rsidP="000B4F77">
            <w:pPr>
              <w:rPr>
                <w:rFonts w:eastAsia="Times New Roman"/>
                <w:sz w:val="18"/>
                <w:szCs w:val="18"/>
                <w:lang w:val="es-419" w:eastAsia="en-US"/>
              </w:rPr>
            </w:pPr>
          </w:p>
          <w:p w14:paraId="1C187B16"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N/D</w:t>
            </w:r>
          </w:p>
          <w:p w14:paraId="7236B5CF" w14:textId="77777777" w:rsidR="0076292E" w:rsidRPr="00E45F61" w:rsidRDefault="0076292E" w:rsidP="000B4F77">
            <w:pPr>
              <w:rPr>
                <w:rFonts w:eastAsia="Times New Roman"/>
                <w:sz w:val="18"/>
                <w:szCs w:val="18"/>
                <w:lang w:val="es-419" w:eastAsia="en-US"/>
              </w:rPr>
            </w:pPr>
          </w:p>
          <w:p w14:paraId="37E9B698" w14:textId="77777777" w:rsidR="0076292E" w:rsidRPr="00E45F61" w:rsidRDefault="0076292E" w:rsidP="000B4F77">
            <w:pPr>
              <w:rPr>
                <w:rFonts w:eastAsia="Times New Roman"/>
                <w:sz w:val="18"/>
                <w:szCs w:val="18"/>
                <w:lang w:val="es-419" w:eastAsia="en-US"/>
              </w:rPr>
            </w:pPr>
          </w:p>
        </w:tc>
        <w:tc>
          <w:tcPr>
            <w:tcW w:w="1102" w:type="pct"/>
            <w:noWrap/>
            <w:hideMark/>
          </w:tcPr>
          <w:p w14:paraId="1C0EAA61" w14:textId="77777777" w:rsidR="0076292E" w:rsidRPr="00E45F61" w:rsidRDefault="0076292E" w:rsidP="000B4F77">
            <w:pPr>
              <w:rPr>
                <w:rFonts w:eastAsia="Times New Roman"/>
                <w:sz w:val="18"/>
                <w:szCs w:val="18"/>
                <w:lang w:val="es-419" w:eastAsia="en-US"/>
              </w:rPr>
            </w:pPr>
          </w:p>
          <w:p w14:paraId="79AB17D0"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 xml:space="preserve">13,4 meses </w:t>
            </w:r>
          </w:p>
          <w:p w14:paraId="33BD78D4" w14:textId="77777777" w:rsidR="0076292E" w:rsidRPr="00E45F61" w:rsidRDefault="0076292E" w:rsidP="000B4F77">
            <w:pPr>
              <w:rPr>
                <w:rFonts w:eastAsia="Times New Roman"/>
                <w:sz w:val="18"/>
                <w:szCs w:val="18"/>
                <w:lang w:val="es-419" w:eastAsia="en-US"/>
              </w:rPr>
            </w:pPr>
          </w:p>
          <w:p w14:paraId="06D13702"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4 meses</w:t>
            </w:r>
          </w:p>
        </w:tc>
      </w:tr>
      <w:tr w:rsidR="001700C5" w:rsidRPr="00E45F61" w14:paraId="65A42D04" w14:textId="77777777" w:rsidTr="000B4F77">
        <w:trPr>
          <w:trHeight w:val="262"/>
        </w:trPr>
        <w:tc>
          <w:tcPr>
            <w:tcW w:w="1105" w:type="pct"/>
            <w:vMerge/>
            <w:vAlign w:val="center"/>
            <w:hideMark/>
          </w:tcPr>
          <w:p w14:paraId="368A219B" w14:textId="77777777" w:rsidR="0076292E" w:rsidRPr="00E45F61" w:rsidRDefault="0076292E" w:rsidP="000B4F77">
            <w:pPr>
              <w:rPr>
                <w:rFonts w:eastAsia="Times New Roman"/>
                <w:color w:val="000000"/>
                <w:sz w:val="18"/>
                <w:szCs w:val="18"/>
                <w:lang w:val="es-419" w:eastAsia="en-US"/>
              </w:rPr>
            </w:pPr>
          </w:p>
        </w:tc>
        <w:tc>
          <w:tcPr>
            <w:tcW w:w="1589" w:type="pct"/>
          </w:tcPr>
          <w:p w14:paraId="6C380648"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Investigaciones:</w:t>
            </w:r>
            <w:r w:rsidR="008D09ED" w:rsidRPr="00E45F61">
              <w:rPr>
                <w:rFonts w:eastAsia="Arial"/>
                <w:sz w:val="18"/>
                <w:szCs w:val="18"/>
                <w:lang w:val="es-419" w:eastAsia="en-US"/>
              </w:rPr>
              <w:t> 6</w:t>
            </w:r>
            <w:r w:rsidRPr="00E45F61">
              <w:rPr>
                <w:rFonts w:eastAsia="Arial"/>
                <w:sz w:val="18"/>
                <w:szCs w:val="18"/>
                <w:lang w:val="es-419" w:eastAsia="en-US"/>
              </w:rPr>
              <w:t xml:space="preserve"> meses</w:t>
            </w:r>
          </w:p>
          <w:p w14:paraId="3C55E33B"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w:t>
            </w:r>
            <w:r w:rsidR="00955FCA" w:rsidRPr="00E45F61">
              <w:rPr>
                <w:rFonts w:eastAsia="Arial"/>
                <w:sz w:val="18"/>
                <w:szCs w:val="18"/>
                <w:lang w:val="es-419" w:eastAsia="en-US"/>
              </w:rPr>
              <w:t xml:space="preserve"> </w:t>
            </w:r>
            <w:r w:rsidRPr="00E45F61">
              <w:rPr>
                <w:rFonts w:eastAsia="Arial"/>
                <w:sz w:val="18"/>
                <w:szCs w:val="18"/>
                <w:lang w:val="es-419" w:eastAsia="en-US"/>
              </w:rPr>
              <w:t>Cierre de</w:t>
            </w:r>
            <w:r w:rsidR="008D09ED" w:rsidRPr="00E45F61">
              <w:rPr>
                <w:rFonts w:eastAsia="Arial"/>
                <w:sz w:val="18"/>
                <w:szCs w:val="18"/>
                <w:lang w:val="es-419" w:eastAsia="en-US"/>
              </w:rPr>
              <w:t> 1</w:t>
            </w:r>
            <w:r w:rsidRPr="00E45F61">
              <w:rPr>
                <w:rFonts w:eastAsia="Arial"/>
                <w:sz w:val="18"/>
                <w:szCs w:val="18"/>
                <w:lang w:val="es-419" w:eastAsia="en-US"/>
              </w:rPr>
              <w:t>8 casos trasladados de</w:t>
            </w:r>
            <w:r w:rsidR="008D09ED" w:rsidRPr="00E45F61">
              <w:rPr>
                <w:rFonts w:eastAsia="Arial"/>
                <w:sz w:val="18"/>
                <w:szCs w:val="18"/>
                <w:lang w:val="es-419" w:eastAsia="en-US"/>
              </w:rPr>
              <w:t> 2</w:t>
            </w:r>
            <w:r w:rsidRPr="00E45F61">
              <w:rPr>
                <w:rFonts w:eastAsia="Arial"/>
                <w:sz w:val="18"/>
                <w:szCs w:val="18"/>
                <w:lang w:val="es-419" w:eastAsia="en-US"/>
              </w:rPr>
              <w:t>022 y</w:t>
            </w:r>
            <w:r w:rsidR="008D09ED" w:rsidRPr="00E45F61">
              <w:rPr>
                <w:rFonts w:eastAsia="Arial"/>
                <w:sz w:val="18"/>
                <w:szCs w:val="18"/>
                <w:lang w:val="es-419" w:eastAsia="en-US"/>
              </w:rPr>
              <w:t> 2</w:t>
            </w:r>
            <w:r w:rsidRPr="00E45F61">
              <w:rPr>
                <w:rFonts w:eastAsia="Arial"/>
                <w:sz w:val="18"/>
                <w:szCs w:val="18"/>
                <w:lang w:val="es-419" w:eastAsia="en-US"/>
              </w:rPr>
              <w:t>023.</w:t>
            </w:r>
          </w:p>
          <w:p w14:paraId="45FB17A3"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w:t>
            </w:r>
            <w:r w:rsidR="00955FCA" w:rsidRPr="00E45F61">
              <w:rPr>
                <w:rFonts w:eastAsia="Arial"/>
                <w:sz w:val="18"/>
                <w:szCs w:val="18"/>
                <w:lang w:val="es-419" w:eastAsia="en-US"/>
              </w:rPr>
              <w:t xml:space="preserve"> </w:t>
            </w:r>
            <w:r w:rsidRPr="00E45F61">
              <w:rPr>
                <w:rFonts w:eastAsia="Arial"/>
                <w:sz w:val="18"/>
                <w:szCs w:val="18"/>
                <w:lang w:val="es-419" w:eastAsia="en-US"/>
              </w:rPr>
              <w:t>Cierre de las evaluaciones preliminares</w:t>
            </w:r>
          </w:p>
        </w:tc>
        <w:tc>
          <w:tcPr>
            <w:tcW w:w="1204" w:type="pct"/>
            <w:shd w:val="clear" w:color="auto" w:fill="auto"/>
          </w:tcPr>
          <w:p w14:paraId="4CC6B3D0" w14:textId="77777777" w:rsidR="0076292E" w:rsidRPr="00E45F61" w:rsidRDefault="0076292E" w:rsidP="000B4F77">
            <w:pPr>
              <w:rPr>
                <w:rFonts w:eastAsia="Times New Roman"/>
                <w:sz w:val="18"/>
                <w:szCs w:val="18"/>
                <w:lang w:val="es-419" w:eastAsia="en-US"/>
              </w:rPr>
            </w:pPr>
          </w:p>
          <w:p w14:paraId="7DED061B"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 xml:space="preserve">8,7 meses </w:t>
            </w:r>
          </w:p>
          <w:p w14:paraId="091027F5" w14:textId="77777777" w:rsidR="0076292E" w:rsidRPr="00E45F61" w:rsidRDefault="0076292E" w:rsidP="000B4F77">
            <w:pPr>
              <w:rPr>
                <w:rFonts w:eastAsia="Times New Roman"/>
                <w:sz w:val="18"/>
                <w:szCs w:val="18"/>
                <w:lang w:val="es-419" w:eastAsia="en-US"/>
              </w:rPr>
            </w:pPr>
          </w:p>
          <w:p w14:paraId="4BD99614"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4,0 meses</w:t>
            </w:r>
          </w:p>
        </w:tc>
        <w:tc>
          <w:tcPr>
            <w:tcW w:w="1102" w:type="pct"/>
            <w:noWrap/>
            <w:hideMark/>
          </w:tcPr>
          <w:p w14:paraId="755F6051" w14:textId="77777777" w:rsidR="0076292E" w:rsidRPr="00E45F61" w:rsidRDefault="0076292E" w:rsidP="000B4F77">
            <w:pPr>
              <w:rPr>
                <w:rFonts w:eastAsia="Times New Roman"/>
                <w:sz w:val="18"/>
                <w:szCs w:val="18"/>
                <w:lang w:val="es-419" w:eastAsia="en-US"/>
              </w:rPr>
            </w:pPr>
          </w:p>
          <w:p w14:paraId="66FF0892" w14:textId="77777777" w:rsidR="0076292E" w:rsidRPr="00E45F61" w:rsidRDefault="00B7499E" w:rsidP="000B4F77">
            <w:pPr>
              <w:rPr>
                <w:rFonts w:ascii="Segoe UI" w:eastAsia="Segoe UI" w:hAnsi="Segoe UI" w:cs="Segoe UI"/>
                <w:color w:val="333333"/>
                <w:sz w:val="18"/>
                <w:szCs w:val="18"/>
                <w:lang w:val="es-419"/>
              </w:rPr>
            </w:pPr>
            <w:r w:rsidRPr="00E45F61">
              <w:rPr>
                <w:rFonts w:eastAsia="Arial"/>
                <w:sz w:val="18"/>
                <w:szCs w:val="18"/>
                <w:lang w:val="es-419" w:eastAsia="en-US"/>
              </w:rPr>
              <w:t>11,6 meses</w:t>
            </w:r>
          </w:p>
          <w:p w14:paraId="60F8C0B3" w14:textId="77777777" w:rsidR="0076292E" w:rsidRPr="00E45F61" w:rsidRDefault="0076292E" w:rsidP="000B4F77">
            <w:pPr>
              <w:rPr>
                <w:rFonts w:eastAsia="Times New Roman"/>
                <w:sz w:val="18"/>
                <w:szCs w:val="18"/>
                <w:lang w:val="es-419" w:eastAsia="en-US"/>
              </w:rPr>
            </w:pPr>
          </w:p>
          <w:p w14:paraId="42056FF0"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1,9 meses</w:t>
            </w:r>
          </w:p>
        </w:tc>
      </w:tr>
      <w:tr w:rsidR="001700C5" w:rsidRPr="00E45F61" w14:paraId="3477D042" w14:textId="77777777" w:rsidTr="000B4F77">
        <w:trPr>
          <w:trHeight w:val="630"/>
        </w:trPr>
        <w:tc>
          <w:tcPr>
            <w:tcW w:w="1105" w:type="pct"/>
            <w:shd w:val="clear" w:color="auto" w:fill="auto"/>
            <w:hideMark/>
          </w:tcPr>
          <w:p w14:paraId="665FE2B2" w14:textId="1B275A3C"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Porcentaje de partes interesadas internas que consideran que las recomendaciones de la DSI son SMART</w:t>
            </w:r>
          </w:p>
        </w:tc>
        <w:tc>
          <w:tcPr>
            <w:tcW w:w="1589" w:type="pct"/>
          </w:tcPr>
          <w:p w14:paraId="0788A441"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 xml:space="preserve">80 % </w:t>
            </w:r>
          </w:p>
        </w:tc>
        <w:tc>
          <w:tcPr>
            <w:tcW w:w="1204" w:type="pct"/>
            <w:shd w:val="clear" w:color="auto" w:fill="auto"/>
          </w:tcPr>
          <w:p w14:paraId="20120012"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El</w:t>
            </w:r>
            <w:r w:rsidR="008D09ED" w:rsidRPr="00E45F61">
              <w:rPr>
                <w:rFonts w:eastAsia="Arial"/>
                <w:sz w:val="18"/>
                <w:szCs w:val="18"/>
                <w:lang w:val="es-419" w:eastAsia="en-US"/>
              </w:rPr>
              <w:t> 8</w:t>
            </w:r>
            <w:r w:rsidRPr="00E45F61">
              <w:rPr>
                <w:rFonts w:eastAsia="Arial"/>
                <w:sz w:val="18"/>
                <w:szCs w:val="18"/>
                <w:lang w:val="es-419" w:eastAsia="en-US"/>
              </w:rPr>
              <w:t>8 % de los directivos considera que las recomendaciones de la DSI son SMART</w:t>
            </w:r>
          </w:p>
        </w:tc>
        <w:tc>
          <w:tcPr>
            <w:tcW w:w="1102" w:type="pct"/>
            <w:noWrap/>
            <w:vAlign w:val="center"/>
            <w:hideMark/>
          </w:tcPr>
          <w:p w14:paraId="6D997DB1"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El</w:t>
            </w:r>
            <w:r w:rsidR="008D09ED" w:rsidRPr="00E45F61">
              <w:rPr>
                <w:rFonts w:eastAsia="Arial"/>
                <w:sz w:val="18"/>
                <w:szCs w:val="18"/>
                <w:lang w:val="es-419" w:eastAsia="en-US"/>
              </w:rPr>
              <w:t> 8</w:t>
            </w:r>
            <w:r w:rsidRPr="00E45F61">
              <w:rPr>
                <w:rFonts w:eastAsia="Arial"/>
                <w:sz w:val="18"/>
                <w:szCs w:val="18"/>
                <w:lang w:val="es-419" w:eastAsia="en-US"/>
              </w:rPr>
              <w:t>4 % de los directivos considera que las recomendaciones de la DSI son SMART</w:t>
            </w:r>
          </w:p>
        </w:tc>
      </w:tr>
      <w:tr w:rsidR="001700C5" w:rsidRPr="00E45F61" w14:paraId="0A30F1F8" w14:textId="77777777" w:rsidTr="000B4F77">
        <w:trPr>
          <w:trHeight w:val="639"/>
        </w:trPr>
        <w:tc>
          <w:tcPr>
            <w:tcW w:w="1105" w:type="pct"/>
            <w:shd w:val="clear" w:color="auto" w:fill="auto"/>
            <w:hideMark/>
          </w:tcPr>
          <w:p w14:paraId="737D4F9C"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Porcentaje de partes interesadas internas que consideran que la labor de supervisión es pertinente</w:t>
            </w:r>
          </w:p>
        </w:tc>
        <w:tc>
          <w:tcPr>
            <w:tcW w:w="1589" w:type="pct"/>
          </w:tcPr>
          <w:p w14:paraId="2964197F" w14:textId="77777777" w:rsidR="0076292E" w:rsidRPr="00E45F61" w:rsidRDefault="00B7499E" w:rsidP="000B4F77">
            <w:pPr>
              <w:rPr>
                <w:rFonts w:eastAsia="Times New Roman"/>
                <w:sz w:val="18"/>
                <w:szCs w:val="18"/>
                <w:lang w:val="es-419" w:eastAsia="en-US" w:bidi="th-TH"/>
              </w:rPr>
            </w:pPr>
            <w:r w:rsidRPr="00E45F61">
              <w:rPr>
                <w:rFonts w:eastAsia="Arial"/>
                <w:sz w:val="18"/>
                <w:szCs w:val="18"/>
                <w:lang w:val="es-419" w:eastAsia="en-US" w:bidi="th-TH"/>
              </w:rPr>
              <w:t>80 %</w:t>
            </w:r>
          </w:p>
        </w:tc>
        <w:tc>
          <w:tcPr>
            <w:tcW w:w="1204" w:type="pct"/>
            <w:shd w:val="clear" w:color="auto" w:fill="auto"/>
          </w:tcPr>
          <w:p w14:paraId="0032E080" w14:textId="77777777" w:rsidR="0076292E" w:rsidRPr="00E45F61" w:rsidRDefault="00955FCA" w:rsidP="00955FCA">
            <w:pPr>
              <w:rPr>
                <w:rFonts w:eastAsia="Times New Roman"/>
                <w:sz w:val="18"/>
                <w:szCs w:val="18"/>
                <w:lang w:val="es-419" w:eastAsia="en-US" w:bidi="th-TH"/>
              </w:rPr>
            </w:pPr>
            <w:r w:rsidRPr="00E45F61">
              <w:rPr>
                <w:rFonts w:eastAsia="Times New Roman"/>
                <w:sz w:val="18"/>
                <w:szCs w:val="18"/>
                <w:lang w:val="es-419" w:eastAsia="en-US" w:bidi="th-TH"/>
              </w:rPr>
              <w:t xml:space="preserve">El </w:t>
            </w:r>
            <w:r w:rsidRPr="00E45F61">
              <w:rPr>
                <w:rFonts w:eastAsia="Arial"/>
                <w:sz w:val="18"/>
                <w:szCs w:val="18"/>
                <w:lang w:val="es-419" w:eastAsia="en-US" w:bidi="th-TH"/>
              </w:rPr>
              <w:t>79 % de las personas encuestadas considera que la labor de supervisión es pertinente</w:t>
            </w:r>
          </w:p>
        </w:tc>
        <w:tc>
          <w:tcPr>
            <w:tcW w:w="1102" w:type="pct"/>
            <w:noWrap/>
            <w:vAlign w:val="center"/>
            <w:hideMark/>
          </w:tcPr>
          <w:p w14:paraId="3ADB4D4A" w14:textId="77777777" w:rsidR="0076292E" w:rsidRPr="00E45F61" w:rsidRDefault="00955FCA" w:rsidP="000B4F77">
            <w:pPr>
              <w:rPr>
                <w:rFonts w:eastAsia="Times New Roman"/>
                <w:sz w:val="18"/>
                <w:szCs w:val="18"/>
                <w:lang w:val="es-419" w:eastAsia="en-US"/>
              </w:rPr>
            </w:pPr>
            <w:r w:rsidRPr="00E45F61">
              <w:rPr>
                <w:rFonts w:eastAsia="Arial"/>
                <w:sz w:val="18"/>
                <w:szCs w:val="18"/>
                <w:lang w:val="es-419" w:eastAsia="en-US" w:bidi="th-TH"/>
              </w:rPr>
              <w:t>El 87 % de las personas encuestadas consideran que la labor de supervisión es pertinente</w:t>
            </w:r>
          </w:p>
        </w:tc>
      </w:tr>
      <w:tr w:rsidR="001700C5" w:rsidRPr="00E45F61" w14:paraId="219877D5" w14:textId="77777777" w:rsidTr="000B4F77">
        <w:trPr>
          <w:trHeight w:val="268"/>
        </w:trPr>
        <w:tc>
          <w:tcPr>
            <w:tcW w:w="1105" w:type="pct"/>
            <w:shd w:val="clear" w:color="auto" w:fill="auto"/>
            <w:hideMark/>
          </w:tcPr>
          <w:p w14:paraId="12BF700B" w14:textId="77777777" w:rsidR="0076292E" w:rsidRPr="00E45F61" w:rsidRDefault="00B7499E" w:rsidP="000B4F77">
            <w:pPr>
              <w:rPr>
                <w:rFonts w:eastAsia="Times New Roman"/>
                <w:color w:val="000000"/>
                <w:sz w:val="18"/>
                <w:szCs w:val="18"/>
                <w:lang w:val="es-419" w:eastAsia="en-US"/>
              </w:rPr>
            </w:pPr>
            <w:r w:rsidRPr="00E45F61">
              <w:rPr>
                <w:rFonts w:eastAsia="Arial"/>
                <w:color w:val="000000"/>
                <w:sz w:val="18"/>
                <w:szCs w:val="18"/>
                <w:lang w:val="es-419" w:eastAsia="en-US"/>
              </w:rPr>
              <w:t xml:space="preserve">Número de recomendaciones derivadas de la supervisión aceptadas </w:t>
            </w:r>
          </w:p>
        </w:tc>
        <w:tc>
          <w:tcPr>
            <w:tcW w:w="1589" w:type="pct"/>
          </w:tcPr>
          <w:p w14:paraId="553A0B45" w14:textId="77777777" w:rsidR="0076292E" w:rsidRPr="00E45F61" w:rsidRDefault="00B7499E" w:rsidP="000B4F77">
            <w:pPr>
              <w:rPr>
                <w:rFonts w:eastAsia="Times New Roman"/>
                <w:sz w:val="18"/>
                <w:szCs w:val="18"/>
                <w:lang w:val="es-419" w:eastAsia="en-US"/>
              </w:rPr>
            </w:pPr>
            <w:r w:rsidRPr="00E45F61">
              <w:rPr>
                <w:rFonts w:eastAsia="Arial"/>
                <w:sz w:val="18"/>
                <w:szCs w:val="18"/>
                <w:lang w:val="es-419" w:eastAsia="en-US"/>
              </w:rPr>
              <w:t>90 %</w:t>
            </w:r>
          </w:p>
        </w:tc>
        <w:tc>
          <w:tcPr>
            <w:tcW w:w="1204" w:type="pct"/>
            <w:shd w:val="clear" w:color="auto" w:fill="auto"/>
          </w:tcPr>
          <w:p w14:paraId="2ECF3587" w14:textId="77777777" w:rsidR="0076292E" w:rsidRPr="00E45F61" w:rsidRDefault="00955FCA" w:rsidP="000B4F77">
            <w:pPr>
              <w:rPr>
                <w:rFonts w:eastAsia="Times New Roman"/>
                <w:sz w:val="18"/>
                <w:szCs w:val="18"/>
                <w:lang w:val="es-419" w:eastAsia="en-US"/>
              </w:rPr>
            </w:pPr>
            <w:r w:rsidRPr="00E45F61">
              <w:rPr>
                <w:rFonts w:eastAsia="Arial"/>
                <w:sz w:val="18"/>
                <w:szCs w:val="18"/>
                <w:lang w:val="es-419" w:eastAsia="en-US"/>
              </w:rPr>
              <w:t>Aceptadas el 100 % de recomendaciones de la DSI aceptadas</w:t>
            </w:r>
          </w:p>
        </w:tc>
        <w:tc>
          <w:tcPr>
            <w:tcW w:w="1102" w:type="pct"/>
            <w:noWrap/>
            <w:vAlign w:val="center"/>
            <w:hideMark/>
          </w:tcPr>
          <w:p w14:paraId="5E453F41" w14:textId="77777777" w:rsidR="0076292E" w:rsidRPr="00E45F61" w:rsidRDefault="00955FCA" w:rsidP="000B4F77">
            <w:pPr>
              <w:rPr>
                <w:rFonts w:eastAsia="Times New Roman"/>
                <w:sz w:val="18"/>
                <w:szCs w:val="18"/>
                <w:lang w:val="es-419" w:eastAsia="en-US"/>
              </w:rPr>
            </w:pPr>
            <w:r w:rsidRPr="00E45F61">
              <w:rPr>
                <w:rFonts w:eastAsia="Arial"/>
                <w:sz w:val="18"/>
                <w:szCs w:val="18"/>
                <w:lang w:val="es-419" w:eastAsia="en-US"/>
              </w:rPr>
              <w:t>Aceptadas el 100 % de las recomendaciones de la DSI</w:t>
            </w:r>
          </w:p>
        </w:tc>
      </w:tr>
    </w:tbl>
    <w:p w14:paraId="55DFDBC7" w14:textId="77777777" w:rsidR="0076292E" w:rsidRPr="00E45F61" w:rsidRDefault="00B7499E" w:rsidP="00B7499E">
      <w:pPr>
        <w:pStyle w:val="ONUME"/>
        <w:tabs>
          <w:tab w:val="clear" w:pos="567"/>
          <w:tab w:val="num" w:pos="657"/>
        </w:tabs>
        <w:spacing w:before="240" w:after="240"/>
        <w:ind w:left="91"/>
        <w:rPr>
          <w:lang w:val="es-419"/>
        </w:rPr>
      </w:pPr>
      <w:r w:rsidRPr="00E45F61">
        <w:rPr>
          <w:rFonts w:eastAsia="Arial"/>
          <w:szCs w:val="22"/>
          <w:lang w:val="es-419"/>
        </w:rPr>
        <w:t>En enero de</w:t>
      </w:r>
      <w:r w:rsidR="008D09ED" w:rsidRPr="00E45F61">
        <w:rPr>
          <w:rFonts w:eastAsia="Arial"/>
          <w:szCs w:val="22"/>
          <w:lang w:val="es-419"/>
        </w:rPr>
        <w:t> 2</w:t>
      </w:r>
      <w:r w:rsidRPr="00E45F61">
        <w:rPr>
          <w:rFonts w:eastAsia="Arial"/>
          <w:szCs w:val="22"/>
          <w:lang w:val="es-419"/>
        </w:rPr>
        <w:t>024, había</w:t>
      </w:r>
      <w:r w:rsidR="008D09ED" w:rsidRPr="00E45F61">
        <w:rPr>
          <w:rFonts w:eastAsia="Arial"/>
          <w:szCs w:val="22"/>
          <w:lang w:val="es-419"/>
        </w:rPr>
        <w:t> 1</w:t>
      </w:r>
      <w:r w:rsidRPr="00E45F61">
        <w:rPr>
          <w:rFonts w:eastAsia="Arial"/>
          <w:szCs w:val="22"/>
          <w:lang w:val="es-419"/>
        </w:rPr>
        <w:t>8 investigaciones en curso arrastradas de</w:t>
      </w:r>
      <w:r w:rsidR="008D09ED" w:rsidRPr="00E45F61">
        <w:rPr>
          <w:rFonts w:eastAsia="Arial"/>
          <w:szCs w:val="22"/>
          <w:lang w:val="es-419"/>
        </w:rPr>
        <w:t> 2</w:t>
      </w:r>
      <w:r w:rsidRPr="00E45F61">
        <w:rPr>
          <w:rFonts w:eastAsia="Arial"/>
          <w:szCs w:val="22"/>
          <w:lang w:val="es-419"/>
        </w:rPr>
        <w:t>022 y</w:t>
      </w:r>
      <w:r w:rsidR="008D09ED" w:rsidRPr="00E45F61">
        <w:rPr>
          <w:rFonts w:eastAsia="Arial"/>
          <w:szCs w:val="22"/>
          <w:lang w:val="es-419"/>
        </w:rPr>
        <w:t> 2</w:t>
      </w:r>
      <w:r w:rsidRPr="00E45F61">
        <w:rPr>
          <w:rFonts w:eastAsia="Arial"/>
          <w:szCs w:val="22"/>
          <w:lang w:val="es-419"/>
        </w:rPr>
        <w:t>023.</w:t>
      </w:r>
    </w:p>
    <w:p w14:paraId="07FF48EC" w14:textId="247C6D3F" w:rsidR="0076292E" w:rsidRPr="00E45F61" w:rsidRDefault="00B7499E" w:rsidP="00A26396">
      <w:pPr>
        <w:pStyle w:val="ONUME"/>
        <w:tabs>
          <w:tab w:val="clear" w:pos="567"/>
          <w:tab w:val="num" w:pos="657"/>
        </w:tabs>
        <w:ind w:left="91"/>
        <w:rPr>
          <w:lang w:val="es-419"/>
        </w:rPr>
      </w:pPr>
      <w:r w:rsidRPr="00E45F61">
        <w:rPr>
          <w:rFonts w:eastAsia="Arial"/>
          <w:szCs w:val="22"/>
          <w:lang w:val="es-419"/>
        </w:rPr>
        <w:t>El retraso en la finalización de las investigaciones específicamente relacionadas con</w:t>
      </w:r>
      <w:r w:rsidR="008D09ED" w:rsidRPr="00E45F61">
        <w:rPr>
          <w:rFonts w:eastAsia="Arial"/>
          <w:szCs w:val="22"/>
          <w:lang w:val="es-419"/>
        </w:rPr>
        <w:t> 2</w:t>
      </w:r>
      <w:r w:rsidRPr="00E45F61">
        <w:rPr>
          <w:rFonts w:eastAsia="Arial"/>
          <w:szCs w:val="22"/>
          <w:lang w:val="es-419"/>
        </w:rPr>
        <w:t>022 y</w:t>
      </w:r>
      <w:r w:rsidR="008D09ED" w:rsidRPr="00E45F61">
        <w:rPr>
          <w:rFonts w:eastAsia="Arial"/>
          <w:szCs w:val="22"/>
          <w:lang w:val="es-419"/>
        </w:rPr>
        <w:t> 2</w:t>
      </w:r>
      <w:r w:rsidRPr="00E45F61">
        <w:rPr>
          <w:rFonts w:eastAsia="Arial"/>
          <w:szCs w:val="22"/>
          <w:lang w:val="es-419"/>
        </w:rPr>
        <w:t>023 se debió a múltiples factores, a saber:</w:t>
      </w:r>
      <w:r w:rsidR="008D09ED" w:rsidRPr="00E45F61">
        <w:rPr>
          <w:rFonts w:eastAsia="Arial"/>
          <w:szCs w:val="22"/>
          <w:lang w:val="es-419"/>
        </w:rPr>
        <w:t> i</w:t>
      </w:r>
      <w:r w:rsidRPr="00E45F61">
        <w:rPr>
          <w:rFonts w:eastAsia="Arial"/>
          <w:szCs w:val="22"/>
          <w:lang w:val="es-419"/>
        </w:rPr>
        <w:t>) la presencia, entre abril y diciembre de</w:t>
      </w:r>
      <w:r w:rsidR="008D09ED" w:rsidRPr="00E45F61">
        <w:rPr>
          <w:rFonts w:eastAsia="Arial"/>
          <w:szCs w:val="22"/>
          <w:lang w:val="es-419"/>
        </w:rPr>
        <w:t> 2</w:t>
      </w:r>
      <w:r w:rsidRPr="00E45F61">
        <w:rPr>
          <w:rFonts w:eastAsia="Arial"/>
          <w:szCs w:val="22"/>
          <w:lang w:val="es-419"/>
        </w:rPr>
        <w:t xml:space="preserve">024, de un único investigador a tiempo completo, como consecuencia de las vacantes no </w:t>
      </w:r>
      <w:r w:rsidRPr="00E45F61">
        <w:rPr>
          <w:rFonts w:eastAsia="Arial"/>
          <w:szCs w:val="22"/>
          <w:lang w:val="es-419"/>
        </w:rPr>
        <w:lastRenderedPageBreak/>
        <w:t>cubiertas y del retraso en la provisión de los puestos en</w:t>
      </w:r>
      <w:r w:rsidR="008D09ED" w:rsidRPr="00E45F61">
        <w:rPr>
          <w:rFonts w:eastAsia="Arial"/>
          <w:szCs w:val="22"/>
          <w:lang w:val="es-419"/>
        </w:rPr>
        <w:t> 2</w:t>
      </w:r>
      <w:r w:rsidRPr="00E45F61">
        <w:rPr>
          <w:rFonts w:eastAsia="Arial"/>
          <w:szCs w:val="22"/>
          <w:lang w:val="es-419"/>
        </w:rPr>
        <w:t>024;</w:t>
      </w:r>
      <w:r w:rsidR="008D09ED" w:rsidRPr="00E45F61">
        <w:rPr>
          <w:rFonts w:eastAsia="Arial"/>
          <w:szCs w:val="22"/>
          <w:lang w:val="es-419"/>
        </w:rPr>
        <w:t> ii)</w:t>
      </w:r>
      <w:r w:rsidRPr="00E45F61">
        <w:rPr>
          <w:rFonts w:eastAsia="Arial"/>
          <w:szCs w:val="22"/>
          <w:lang w:val="es-419"/>
        </w:rPr>
        <w:t xml:space="preserve"> el constante aumento del número de nuevas denuncias en</w:t>
      </w:r>
      <w:r w:rsidR="008D09ED" w:rsidRPr="00E45F61">
        <w:rPr>
          <w:rFonts w:eastAsia="Arial"/>
          <w:szCs w:val="22"/>
          <w:lang w:val="es-419"/>
        </w:rPr>
        <w:t> 2</w:t>
      </w:r>
      <w:r w:rsidRPr="00E45F61">
        <w:rPr>
          <w:rFonts w:eastAsia="Arial"/>
          <w:szCs w:val="22"/>
          <w:lang w:val="es-419"/>
        </w:rPr>
        <w:t>024, que requirió cierta reorganización de las prioridades para abordar los asuntos que iban surgiendo;</w:t>
      </w:r>
      <w:r w:rsidR="008D09ED" w:rsidRPr="00E45F61">
        <w:rPr>
          <w:rFonts w:eastAsia="Arial"/>
          <w:szCs w:val="22"/>
          <w:lang w:val="es-419"/>
        </w:rPr>
        <w:t> iii)</w:t>
      </w:r>
      <w:r w:rsidRPr="00E45F61">
        <w:rPr>
          <w:rFonts w:eastAsia="Arial"/>
          <w:szCs w:val="22"/>
          <w:lang w:val="es-419"/>
        </w:rPr>
        <w:t xml:space="preserve"> la complejidad de algunos casos, que precisaron la aportación de partes externas, con los retrasos que eso conlleva, lo que llevó a que tres casos se prolongaran durante más de</w:t>
      </w:r>
      <w:r w:rsidR="008D09ED" w:rsidRPr="00E45F61">
        <w:rPr>
          <w:rFonts w:eastAsia="Arial"/>
          <w:szCs w:val="22"/>
          <w:lang w:val="es-419"/>
        </w:rPr>
        <w:t> 1</w:t>
      </w:r>
      <w:r w:rsidRPr="00E45F61">
        <w:rPr>
          <w:rFonts w:eastAsia="Arial"/>
          <w:szCs w:val="22"/>
          <w:lang w:val="es-419"/>
        </w:rPr>
        <w:t>0 meses;</w:t>
      </w:r>
      <w:r w:rsidR="008D09ED" w:rsidRPr="00E45F61">
        <w:rPr>
          <w:rFonts w:eastAsia="Arial"/>
          <w:szCs w:val="22"/>
          <w:lang w:val="es-419"/>
        </w:rPr>
        <w:t> iv)</w:t>
      </w:r>
      <w:r w:rsidRPr="00E45F61">
        <w:rPr>
          <w:rFonts w:eastAsia="Arial"/>
          <w:szCs w:val="22"/>
          <w:lang w:val="es-419"/>
        </w:rPr>
        <w:t xml:space="preserve"> el tiempo de respuesta</w:t>
      </w:r>
      <w:r w:rsidR="00B83567" w:rsidRPr="00E45F61">
        <w:rPr>
          <w:rFonts w:eastAsia="Arial"/>
          <w:szCs w:val="22"/>
          <w:lang w:val="es-419"/>
        </w:rPr>
        <w:t>,</w:t>
      </w:r>
      <w:r w:rsidRPr="00E45F61">
        <w:rPr>
          <w:rFonts w:eastAsia="Arial"/>
          <w:szCs w:val="22"/>
          <w:lang w:val="es-419"/>
        </w:rPr>
        <w:t xml:space="preserve"> especialmente en lo que atañe a las investigaciones subcontratadas a empresas de investigación externas que se encontraron con limitaciones imprevistas, lo que </w:t>
      </w:r>
      <w:r w:rsidR="00B83567" w:rsidRPr="00E45F61">
        <w:rPr>
          <w:rFonts w:eastAsia="Arial"/>
          <w:szCs w:val="22"/>
          <w:lang w:val="es-419"/>
        </w:rPr>
        <w:t>hizo que</w:t>
      </w:r>
      <w:r w:rsidRPr="00E45F61">
        <w:rPr>
          <w:rFonts w:eastAsia="Arial"/>
          <w:szCs w:val="22"/>
          <w:lang w:val="es-419"/>
        </w:rPr>
        <w:t xml:space="preserve"> dos casos se prolongaran durante más de</w:t>
      </w:r>
      <w:r w:rsidR="008D09ED" w:rsidRPr="00E45F61">
        <w:rPr>
          <w:rFonts w:eastAsia="Arial"/>
          <w:szCs w:val="22"/>
          <w:lang w:val="es-419"/>
        </w:rPr>
        <w:t> 1</w:t>
      </w:r>
      <w:r w:rsidRPr="00E45F61">
        <w:rPr>
          <w:rFonts w:eastAsia="Arial"/>
          <w:szCs w:val="22"/>
          <w:lang w:val="es-419"/>
        </w:rPr>
        <w:t>0 meses;</w:t>
      </w:r>
      <w:r w:rsidR="008D09ED" w:rsidRPr="00E45F61">
        <w:rPr>
          <w:rFonts w:eastAsia="Arial"/>
          <w:szCs w:val="22"/>
          <w:lang w:val="es-419"/>
        </w:rPr>
        <w:t> v</w:t>
      </w:r>
      <w:r w:rsidRPr="00E45F61">
        <w:rPr>
          <w:rFonts w:eastAsia="Arial"/>
          <w:szCs w:val="22"/>
          <w:lang w:val="es-419"/>
        </w:rPr>
        <w:t xml:space="preserve">) la falta de disponibilidad de las partes pertinentes </w:t>
      </w:r>
      <w:r w:rsidR="00B83567" w:rsidRPr="00E45F61">
        <w:rPr>
          <w:rFonts w:eastAsia="Arial"/>
          <w:szCs w:val="22"/>
          <w:lang w:val="es-419"/>
        </w:rPr>
        <w:t xml:space="preserve">para participar </w:t>
      </w:r>
      <w:r w:rsidRPr="00E45F61">
        <w:rPr>
          <w:rFonts w:eastAsia="Arial"/>
          <w:szCs w:val="22"/>
          <w:lang w:val="es-419"/>
        </w:rPr>
        <w:t>en la investigación, que hizo que dos casos permanecieran en suspenso durante</w:t>
      </w:r>
      <w:r w:rsidR="008D09ED" w:rsidRPr="00E45F61">
        <w:rPr>
          <w:rFonts w:eastAsia="Arial"/>
          <w:szCs w:val="22"/>
          <w:lang w:val="es-419"/>
        </w:rPr>
        <w:t> 1</w:t>
      </w:r>
      <w:r w:rsidRPr="00E45F61">
        <w:rPr>
          <w:rFonts w:eastAsia="Arial"/>
          <w:szCs w:val="22"/>
          <w:lang w:val="es-419"/>
        </w:rPr>
        <w:t>1 meses o la falta de cooperación eficaz</w:t>
      </w:r>
      <w:r w:rsidR="00B83567" w:rsidRPr="00E45F61">
        <w:rPr>
          <w:rFonts w:eastAsia="Arial"/>
          <w:szCs w:val="22"/>
          <w:lang w:val="es-419"/>
        </w:rPr>
        <w:t>,</w:t>
      </w:r>
      <w:r w:rsidRPr="00E45F61">
        <w:rPr>
          <w:rFonts w:eastAsia="Arial"/>
          <w:szCs w:val="22"/>
          <w:lang w:val="es-419"/>
        </w:rPr>
        <w:t xml:space="preserve"> que se tradujo en un retraso en el cierre de los casos.</w:t>
      </w:r>
    </w:p>
    <w:p w14:paraId="679D413A" w14:textId="77777777" w:rsidR="0076292E" w:rsidRPr="00E45F61" w:rsidRDefault="00B7499E" w:rsidP="00A26396">
      <w:pPr>
        <w:pStyle w:val="ONUME"/>
        <w:tabs>
          <w:tab w:val="clear" w:pos="567"/>
          <w:tab w:val="num" w:pos="657"/>
        </w:tabs>
        <w:ind w:left="91"/>
        <w:rPr>
          <w:lang w:val="es-419"/>
        </w:rPr>
      </w:pPr>
      <w:r w:rsidRPr="00E45F61">
        <w:rPr>
          <w:rFonts w:eastAsia="Arial"/>
          <w:szCs w:val="22"/>
          <w:lang w:val="es-419"/>
        </w:rPr>
        <w:t xml:space="preserve"> Como se indica en el párrafo</w:t>
      </w:r>
      <w:r w:rsidR="008D09ED" w:rsidRPr="00E45F61">
        <w:rPr>
          <w:rFonts w:eastAsia="Arial"/>
          <w:szCs w:val="22"/>
          <w:lang w:val="es-419"/>
        </w:rPr>
        <w:t> 5</w:t>
      </w:r>
      <w:r w:rsidRPr="00E45F61">
        <w:rPr>
          <w:rFonts w:eastAsia="Arial"/>
          <w:szCs w:val="22"/>
          <w:lang w:val="es-419"/>
        </w:rPr>
        <w:t>7 anterior, de febrero a diciembre de</w:t>
      </w:r>
      <w:r w:rsidR="008D09ED" w:rsidRPr="00E45F61">
        <w:rPr>
          <w:rFonts w:eastAsia="Arial"/>
          <w:szCs w:val="22"/>
          <w:lang w:val="es-419"/>
        </w:rPr>
        <w:t> 2</w:t>
      </w:r>
      <w:r w:rsidRPr="00E45F61">
        <w:rPr>
          <w:rFonts w:eastAsia="Arial"/>
          <w:szCs w:val="22"/>
          <w:lang w:val="es-419"/>
        </w:rPr>
        <w:t>024 no hubo personal de evaluación. Los proyectos de informe elaborados antes de la ausencia o baja por enfermedad del personal tuvieron que ser reasignados y redirigidos, entre otros intereses contrapuestos. Fue necesario realizar varias rondas de examen y actualización de los informes de evaluación, verificar los datos nuevamente para garantizar su exactitud y fiabilidad, así como solicitar de nuevo el análisis y los comentarios de las partes interesadas. Como se indica en el párrafo</w:t>
      </w:r>
      <w:r w:rsidR="008D09ED" w:rsidRPr="00E45F61">
        <w:rPr>
          <w:rFonts w:eastAsia="Arial"/>
          <w:szCs w:val="22"/>
          <w:lang w:val="es-419"/>
        </w:rPr>
        <w:t> 2</w:t>
      </w:r>
      <w:r w:rsidRPr="00E45F61">
        <w:rPr>
          <w:rFonts w:eastAsia="Arial"/>
          <w:szCs w:val="22"/>
          <w:lang w:val="es-419"/>
        </w:rPr>
        <w:t>9, el informe de evaluación incluido en el plan de trabajo de</w:t>
      </w:r>
      <w:r w:rsidR="008D09ED" w:rsidRPr="00E45F61">
        <w:rPr>
          <w:rFonts w:eastAsia="Arial"/>
          <w:szCs w:val="22"/>
          <w:lang w:val="es-419"/>
        </w:rPr>
        <w:t> 2</w:t>
      </w:r>
      <w:r w:rsidRPr="00E45F61">
        <w:rPr>
          <w:rFonts w:eastAsia="Arial"/>
          <w:szCs w:val="22"/>
          <w:lang w:val="es-419"/>
        </w:rPr>
        <w:t>022 no comenzó hasta enero de</w:t>
      </w:r>
      <w:r w:rsidR="008D09ED" w:rsidRPr="00E45F61">
        <w:rPr>
          <w:rFonts w:eastAsia="Arial"/>
          <w:szCs w:val="22"/>
          <w:lang w:val="es-419"/>
        </w:rPr>
        <w:t> 2</w:t>
      </w:r>
      <w:r w:rsidRPr="00E45F61">
        <w:rPr>
          <w:rFonts w:eastAsia="Arial"/>
          <w:szCs w:val="22"/>
          <w:lang w:val="es-419"/>
        </w:rPr>
        <w:t>023 y se publicó en mayo de</w:t>
      </w:r>
      <w:r w:rsidR="008D09ED" w:rsidRPr="00E45F61">
        <w:rPr>
          <w:rFonts w:eastAsia="Arial"/>
          <w:szCs w:val="22"/>
          <w:lang w:val="es-419"/>
        </w:rPr>
        <w:t> 2</w:t>
      </w:r>
      <w:r w:rsidRPr="00E45F61">
        <w:rPr>
          <w:rFonts w:eastAsia="Arial"/>
          <w:szCs w:val="22"/>
          <w:lang w:val="es-419"/>
        </w:rPr>
        <w:t>024.</w:t>
      </w:r>
      <w:r w:rsidR="008D09ED" w:rsidRPr="00E45F61">
        <w:rPr>
          <w:rFonts w:eastAsia="Arial"/>
          <w:szCs w:val="22"/>
          <w:lang w:val="es-419"/>
        </w:rPr>
        <w:t xml:space="preserve"> </w:t>
      </w:r>
      <w:r w:rsidRPr="00E45F61">
        <w:rPr>
          <w:rFonts w:eastAsia="Arial"/>
          <w:szCs w:val="22"/>
          <w:lang w:val="es-419"/>
        </w:rPr>
        <w:t>Además, y tras varios exámenes, en abril, noviembre y diciembre de</w:t>
      </w:r>
      <w:r w:rsidR="008D09ED" w:rsidRPr="00E45F61">
        <w:rPr>
          <w:rFonts w:eastAsia="Arial"/>
          <w:szCs w:val="22"/>
          <w:lang w:val="es-419"/>
        </w:rPr>
        <w:t> 2</w:t>
      </w:r>
      <w:r w:rsidRPr="00E45F61">
        <w:rPr>
          <w:rFonts w:eastAsia="Arial"/>
          <w:szCs w:val="22"/>
          <w:lang w:val="es-419"/>
        </w:rPr>
        <w:t>024 se publicaron tres informes relacionados con el plan de trabajo de</w:t>
      </w:r>
      <w:r w:rsidR="008D09ED" w:rsidRPr="00E45F61">
        <w:rPr>
          <w:rFonts w:eastAsia="Arial"/>
          <w:szCs w:val="22"/>
          <w:lang w:val="es-419"/>
        </w:rPr>
        <w:t> 2</w:t>
      </w:r>
      <w:r w:rsidRPr="00E45F61">
        <w:rPr>
          <w:rFonts w:eastAsia="Arial"/>
          <w:szCs w:val="22"/>
          <w:lang w:val="es-419"/>
        </w:rPr>
        <w:t>023, como se indica en los párrafos 34 a 44 anteriores.</w:t>
      </w:r>
    </w:p>
    <w:p w14:paraId="16DC3074" w14:textId="149C224D" w:rsidR="0076292E" w:rsidRPr="00E45F61" w:rsidRDefault="00B7499E" w:rsidP="00A26396">
      <w:pPr>
        <w:pStyle w:val="ONUME"/>
        <w:tabs>
          <w:tab w:val="clear" w:pos="567"/>
          <w:tab w:val="num" w:pos="657"/>
        </w:tabs>
        <w:ind w:left="91"/>
        <w:rPr>
          <w:lang w:val="es-419"/>
        </w:rPr>
      </w:pPr>
      <w:r w:rsidRPr="00E45F61">
        <w:rPr>
          <w:rFonts w:eastAsia="Arial"/>
          <w:szCs w:val="22"/>
          <w:lang w:val="es-419"/>
        </w:rPr>
        <w:t>Sin embargo, todas las auditorías, los casos abiertos durante el período objeto de examen y los exámenes de evaluación previa realizados durante dicho período, según el plan de trabajo de supervisión de</w:t>
      </w:r>
      <w:r w:rsidR="008D09ED" w:rsidRPr="00E45F61">
        <w:rPr>
          <w:rFonts w:eastAsia="Arial"/>
          <w:szCs w:val="22"/>
          <w:lang w:val="es-419"/>
        </w:rPr>
        <w:t> 2</w:t>
      </w:r>
      <w:r w:rsidRPr="00E45F61">
        <w:rPr>
          <w:rFonts w:eastAsia="Arial"/>
          <w:szCs w:val="22"/>
          <w:lang w:val="es-419"/>
        </w:rPr>
        <w:t>024, se completaron dentro de los plazos establecidos, lo que demuestra el compromiso con la rendición de cuentas y el cumplimiento.</w:t>
      </w:r>
    </w:p>
    <w:p w14:paraId="183B9893" w14:textId="44DCA11D" w:rsidR="0076292E" w:rsidRPr="00E45F61" w:rsidRDefault="00B7499E" w:rsidP="00B7499E">
      <w:pPr>
        <w:pStyle w:val="ONUME"/>
        <w:tabs>
          <w:tab w:val="clear" w:pos="567"/>
          <w:tab w:val="num" w:pos="657"/>
        </w:tabs>
        <w:spacing w:after="480"/>
        <w:ind w:left="91"/>
        <w:rPr>
          <w:lang w:val="es-419"/>
        </w:rPr>
      </w:pPr>
      <w:r w:rsidRPr="00E45F61">
        <w:rPr>
          <w:rFonts w:eastAsia="Arial"/>
          <w:szCs w:val="22"/>
          <w:lang w:val="es-419"/>
        </w:rPr>
        <w:t>Los indicadores siguen mostrando un alto grado de aceptación de la pertinencia de la labor de la DSI y de sus recomendaciones.</w:t>
      </w:r>
    </w:p>
    <w:p w14:paraId="41590F5A" w14:textId="77777777" w:rsidR="0076292E" w:rsidRPr="00E45F61" w:rsidRDefault="00B7499E" w:rsidP="00B7499E">
      <w:pPr>
        <w:pStyle w:val="Heading2"/>
        <w:spacing w:before="0" w:after="120"/>
        <w:ind w:left="91"/>
        <w:rPr>
          <w:lang w:val="es-419"/>
        </w:rPr>
      </w:pPr>
      <w:r w:rsidRPr="00E45F61">
        <w:rPr>
          <w:rFonts w:eastAsia="Arial"/>
          <w:szCs w:val="22"/>
          <w:lang w:val="es-419"/>
        </w:rPr>
        <w:t>Encuesta de satisfacción</w:t>
      </w:r>
    </w:p>
    <w:p w14:paraId="10AEC245" w14:textId="733FBF91" w:rsidR="0076292E" w:rsidRPr="00E45F61" w:rsidRDefault="00B7499E" w:rsidP="0076292E">
      <w:pPr>
        <w:pStyle w:val="ONUME"/>
        <w:tabs>
          <w:tab w:val="clear" w:pos="567"/>
          <w:tab w:val="num" w:pos="657"/>
        </w:tabs>
        <w:ind w:left="90"/>
        <w:rPr>
          <w:lang w:val="es-419"/>
        </w:rPr>
      </w:pPr>
      <w:r w:rsidRPr="00E45F61">
        <w:rPr>
          <w:rFonts w:eastAsia="Arial"/>
          <w:szCs w:val="22"/>
          <w:lang w:val="es-419"/>
        </w:rPr>
        <w:t>Después de cada actividad, la DSI siguió recabando la opinión de los colegas de las dependencias de la OMPI que se habían auditado y evaluado mediante encuestas de satisfacción a los clientes. A fines de</w:t>
      </w:r>
      <w:r w:rsidR="008D09ED" w:rsidRPr="00E45F61">
        <w:rPr>
          <w:rFonts w:eastAsia="Arial"/>
          <w:szCs w:val="22"/>
          <w:lang w:val="es-419"/>
        </w:rPr>
        <w:t> 2</w:t>
      </w:r>
      <w:r w:rsidRPr="00E45F61">
        <w:rPr>
          <w:rFonts w:eastAsia="Arial"/>
          <w:szCs w:val="22"/>
          <w:lang w:val="es-419"/>
        </w:rPr>
        <w:t>024, del análisis consolidado de los resultados de las encuestas se desprende un índice de satisfacción del</w:t>
      </w:r>
      <w:r w:rsidR="008D09ED" w:rsidRPr="00E45F61">
        <w:rPr>
          <w:rFonts w:eastAsia="Arial"/>
          <w:szCs w:val="22"/>
          <w:lang w:val="es-419"/>
        </w:rPr>
        <w:t> 8</w:t>
      </w:r>
      <w:r w:rsidRPr="00E45F61">
        <w:rPr>
          <w:rFonts w:eastAsia="Arial"/>
          <w:szCs w:val="22"/>
          <w:lang w:val="es-419"/>
        </w:rPr>
        <w:t>7 %</w:t>
      </w:r>
      <w:r w:rsidR="00612BBF" w:rsidRPr="00E45F61">
        <w:rPr>
          <w:rFonts w:eastAsia="Arial"/>
          <w:szCs w:val="22"/>
          <w:lang w:val="es-419"/>
        </w:rPr>
        <w:t>.</w:t>
      </w:r>
      <w:r w:rsidRPr="00E45F61">
        <w:rPr>
          <w:rStyle w:val="FootnoteReference"/>
          <w:lang w:val="es-419"/>
        </w:rPr>
        <w:footnoteReference w:id="26"/>
      </w:r>
    </w:p>
    <w:p w14:paraId="1B5F8AFD" w14:textId="77777777" w:rsidR="0076292E" w:rsidRPr="00E45F61" w:rsidRDefault="00B7499E" w:rsidP="00B7499E">
      <w:pPr>
        <w:pStyle w:val="ONUME"/>
        <w:tabs>
          <w:tab w:val="clear" w:pos="567"/>
          <w:tab w:val="num" w:pos="657"/>
        </w:tabs>
        <w:spacing w:after="480"/>
        <w:ind w:left="91"/>
        <w:rPr>
          <w:lang w:val="es-419"/>
        </w:rPr>
      </w:pPr>
      <w:r w:rsidRPr="00E45F61">
        <w:rPr>
          <w:rFonts w:eastAsia="Arial"/>
          <w:szCs w:val="22"/>
          <w:lang w:val="es-419"/>
        </w:rPr>
        <w:t>Los resultados de las encuestas, realizadas al menos un año después de finalizadas las actividades y cuando se habían aplicado al menos el 70 % de las recomendaciones, señalaron un índice de satisfacción medio del 85 %.</w:t>
      </w:r>
      <w:r w:rsidRPr="00E45F61">
        <w:rPr>
          <w:rStyle w:val="FootnoteReference"/>
          <w:lang w:val="es-419"/>
        </w:rPr>
        <w:footnoteReference w:id="27"/>
      </w:r>
      <w:r w:rsidRPr="00E45F61">
        <w:rPr>
          <w:rFonts w:eastAsia="Arial"/>
          <w:szCs w:val="22"/>
          <w:lang w:val="es-419"/>
        </w:rPr>
        <w:t xml:space="preserve"> La encuesta evalúa la repercusión y el efecto de las recomendaciones aplicadas sobre el programa. Los demás comentarios enviados por las unidades auditadas o evaluadas a través de encuestas ayudan a la DSI a identificar las oportunidades de mejora y medidas correctivas.</w:t>
      </w:r>
    </w:p>
    <w:p w14:paraId="3B63CF0C" w14:textId="77777777" w:rsidR="0076292E" w:rsidRPr="00E45F61" w:rsidRDefault="00B7499E" w:rsidP="00B7499E">
      <w:pPr>
        <w:pStyle w:val="Heading2"/>
        <w:spacing w:before="0" w:after="120"/>
        <w:ind w:left="91"/>
        <w:rPr>
          <w:lang w:val="es-419"/>
        </w:rPr>
      </w:pPr>
      <w:r w:rsidRPr="00E45F61">
        <w:rPr>
          <w:rFonts w:eastAsia="Arial"/>
          <w:szCs w:val="22"/>
          <w:lang w:val="es-419"/>
        </w:rPr>
        <w:t>Evaluaciones periódicas internas y externas</w:t>
      </w:r>
    </w:p>
    <w:p w14:paraId="7F0ACF9B"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De conformidad con el párrafo</w:t>
      </w:r>
      <w:r w:rsidR="008D09ED" w:rsidRPr="00E45F61">
        <w:rPr>
          <w:rFonts w:eastAsia="Arial"/>
          <w:szCs w:val="22"/>
          <w:lang w:val="es-419"/>
        </w:rPr>
        <w:t> 3</w:t>
      </w:r>
      <w:r w:rsidRPr="00E45F61">
        <w:rPr>
          <w:rFonts w:eastAsia="Arial"/>
          <w:szCs w:val="22"/>
          <w:lang w:val="es-419"/>
        </w:rPr>
        <w:t xml:space="preserve">0.e) de la Carta de Supervisión Interna, cada función de la DSI lleva a cabo autoevaluaciones periódicas y exámenes externos (cada cinco años) para </w:t>
      </w:r>
      <w:r w:rsidRPr="00E45F61">
        <w:rPr>
          <w:rFonts w:eastAsia="Arial"/>
          <w:szCs w:val="22"/>
          <w:lang w:val="es-419"/>
        </w:rPr>
        <w:lastRenderedPageBreak/>
        <w:t>determinar si las funciones de la DSI desempeñan sus obligaciones con eficacia y eficiencia y de conformidad con las normas profesionales aplicables. Los resultados de dichas autoevaluaciones y valoraciones externas se comunican a la CCIS en la reunión siguiente a la fecha del informe de evaluación.</w:t>
      </w:r>
    </w:p>
    <w:p w14:paraId="5CCB5BC0"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Sección de Evaluación se sometió a un examen por homólogos efectuado por el UNEG en el último trimestre de</w:t>
      </w:r>
      <w:r w:rsidR="008D09ED" w:rsidRPr="00E45F61">
        <w:rPr>
          <w:rFonts w:eastAsia="Arial"/>
          <w:szCs w:val="22"/>
          <w:lang w:val="es-419"/>
        </w:rPr>
        <w:t> 2</w:t>
      </w:r>
      <w:r w:rsidRPr="00E45F61">
        <w:rPr>
          <w:rFonts w:eastAsia="Arial"/>
          <w:szCs w:val="22"/>
          <w:lang w:val="es-419"/>
        </w:rPr>
        <w:t xml:space="preserve">024. </w:t>
      </w:r>
      <w:r w:rsidRPr="00E45F61">
        <w:rPr>
          <w:rFonts w:eastAsia="Arial"/>
          <w:color w:val="000000"/>
          <w:szCs w:val="22"/>
          <w:lang w:val="es-419"/>
        </w:rPr>
        <w:t>El objetivo de dicho examen era extraer ideas para mejorar la contribución de la función de evaluación de la OMPI a la toma de decisiones, el aprendizaje y la rendición de cuentas de la Organización. El examen por homólogos abarcó las actividades de evaluación llevadas a cabo desde</w:t>
      </w:r>
      <w:r w:rsidR="008D09ED" w:rsidRPr="00E45F61">
        <w:rPr>
          <w:rFonts w:eastAsia="Arial"/>
          <w:color w:val="000000"/>
          <w:szCs w:val="22"/>
          <w:lang w:val="es-419"/>
        </w:rPr>
        <w:t> 2</w:t>
      </w:r>
      <w:r w:rsidRPr="00E45F61">
        <w:rPr>
          <w:rFonts w:eastAsia="Arial"/>
          <w:color w:val="000000"/>
          <w:szCs w:val="22"/>
          <w:lang w:val="es-419"/>
        </w:rPr>
        <w:t>019 y hasta septiembre de</w:t>
      </w:r>
      <w:r w:rsidR="008D09ED" w:rsidRPr="00E45F61">
        <w:rPr>
          <w:rFonts w:eastAsia="Arial"/>
          <w:color w:val="000000"/>
          <w:szCs w:val="22"/>
          <w:lang w:val="es-419"/>
        </w:rPr>
        <w:t> 2</w:t>
      </w:r>
      <w:r w:rsidRPr="00E45F61">
        <w:rPr>
          <w:rFonts w:eastAsia="Arial"/>
          <w:color w:val="000000"/>
          <w:szCs w:val="22"/>
          <w:lang w:val="es-419"/>
        </w:rPr>
        <w:t>024, centrándose principalmente en la función de evaluación centralizada en el seno de la DSI.</w:t>
      </w:r>
    </w:p>
    <w:p w14:paraId="008BCB11"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conclusión general del examen por homólogos fue que el rendimiento de la función de evaluación es deficiente y no alcanza todo su potencial, a pesar de los importantes esfuerzos realizados en el pasado para reforzar la función y la cultura de evaluación. El informe se publicó el</w:t>
      </w:r>
      <w:r w:rsidR="008D09ED" w:rsidRPr="00E45F61">
        <w:rPr>
          <w:rFonts w:eastAsia="Arial"/>
          <w:szCs w:val="22"/>
          <w:lang w:val="es-419"/>
        </w:rPr>
        <w:t> 2</w:t>
      </w:r>
      <w:r w:rsidRPr="00E45F61">
        <w:rPr>
          <w:rFonts w:eastAsia="Arial"/>
          <w:szCs w:val="22"/>
          <w:lang w:val="es-419"/>
        </w:rPr>
        <w:t>4 de enero de</w:t>
      </w:r>
      <w:r w:rsidR="008D09ED" w:rsidRPr="00E45F61">
        <w:rPr>
          <w:rFonts w:eastAsia="Arial"/>
          <w:szCs w:val="22"/>
          <w:lang w:val="es-419"/>
        </w:rPr>
        <w:t> 2</w:t>
      </w:r>
      <w:r w:rsidRPr="00E45F61">
        <w:rPr>
          <w:rFonts w:eastAsia="Arial"/>
          <w:szCs w:val="22"/>
          <w:lang w:val="es-419"/>
        </w:rPr>
        <w:t>025.</w:t>
      </w:r>
    </w:p>
    <w:p w14:paraId="0DF9F763"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informe incluía recomendaciones sobre el examen y actualización de la Política y el Manual de Evaluación, la mejora del sistema de aseguramiento de la calidad de los informes de evaluación, la subsanación de las carencias de personal mediante la contratación, y el apoyo continuo de los directivos superiores y la DSI para seguir mejorando la función de evaluación y la cultura de evaluación de la Organización.</w:t>
      </w:r>
    </w:p>
    <w:p w14:paraId="49944AE3" w14:textId="15A58B10" w:rsidR="0076292E" w:rsidRPr="00E45F61" w:rsidRDefault="00B7499E" w:rsidP="00B7499E">
      <w:pPr>
        <w:pStyle w:val="ONUME"/>
        <w:tabs>
          <w:tab w:val="clear" w:pos="567"/>
          <w:tab w:val="num" w:pos="657"/>
        </w:tabs>
        <w:spacing w:after="480"/>
        <w:ind w:left="91"/>
        <w:rPr>
          <w:szCs w:val="22"/>
          <w:lang w:val="es-419"/>
        </w:rPr>
      </w:pPr>
      <w:r w:rsidRPr="00E45F61">
        <w:rPr>
          <w:rFonts w:eastAsia="Arial"/>
          <w:szCs w:val="22"/>
          <w:lang w:val="es-419"/>
        </w:rPr>
        <w:t>Se han elaborado planes de acción para abordar, en</w:t>
      </w:r>
      <w:r w:rsidR="008D09ED" w:rsidRPr="00E45F61">
        <w:rPr>
          <w:rFonts w:eastAsia="Arial"/>
          <w:szCs w:val="22"/>
          <w:lang w:val="es-419"/>
        </w:rPr>
        <w:t> 2</w:t>
      </w:r>
      <w:r w:rsidRPr="00E45F61">
        <w:rPr>
          <w:rFonts w:eastAsia="Arial"/>
          <w:szCs w:val="22"/>
          <w:lang w:val="es-419"/>
        </w:rPr>
        <w:t>025, cada una de las recomendaciones formuladas y acordadas.</w:t>
      </w:r>
    </w:p>
    <w:p w14:paraId="5909B51A" w14:textId="77777777" w:rsidR="0076292E" w:rsidRPr="00E45F61" w:rsidRDefault="00B7499E" w:rsidP="00B7499E">
      <w:pPr>
        <w:pStyle w:val="Heading1"/>
        <w:spacing w:before="0" w:after="240"/>
        <w:ind w:left="91"/>
        <w:rPr>
          <w:lang w:val="es-419"/>
        </w:rPr>
      </w:pPr>
      <w:bookmarkStart w:id="46" w:name="_Toc39071256"/>
      <w:bookmarkStart w:id="47" w:name="_Toc197337715"/>
      <w:r w:rsidRPr="00E45F61">
        <w:rPr>
          <w:rFonts w:eastAsia="Arial"/>
          <w:szCs w:val="22"/>
          <w:lang w:val="es-419"/>
        </w:rPr>
        <w:t>RECURSOS PARA LA SUPERVISIÓN INTERNA</w:t>
      </w:r>
      <w:bookmarkEnd w:id="45"/>
      <w:bookmarkEnd w:id="46"/>
      <w:bookmarkEnd w:id="47"/>
    </w:p>
    <w:p w14:paraId="6475854D" w14:textId="77777777" w:rsidR="0076292E" w:rsidRPr="00E45F61" w:rsidRDefault="00B7499E" w:rsidP="00B7499E">
      <w:pPr>
        <w:pStyle w:val="Heading2"/>
        <w:spacing w:before="0" w:after="120"/>
        <w:ind w:left="91"/>
        <w:rPr>
          <w:lang w:val="es-419"/>
        </w:rPr>
      </w:pPr>
      <w:r w:rsidRPr="00E45F61">
        <w:rPr>
          <w:rFonts w:eastAsia="Arial"/>
          <w:szCs w:val="22"/>
          <w:lang w:val="es-419"/>
        </w:rPr>
        <w:t>Presupuesto y personal</w:t>
      </w:r>
    </w:p>
    <w:p w14:paraId="0B87D988" w14:textId="269422E1" w:rsidR="0076292E" w:rsidRPr="00E45F61" w:rsidRDefault="00B7499E" w:rsidP="0076292E">
      <w:pPr>
        <w:pStyle w:val="ONUME"/>
        <w:tabs>
          <w:tab w:val="clear" w:pos="567"/>
          <w:tab w:val="num" w:pos="657"/>
        </w:tabs>
        <w:ind w:left="90"/>
        <w:rPr>
          <w:lang w:val="es-419"/>
        </w:rPr>
      </w:pPr>
      <w:r w:rsidRPr="00E45F61">
        <w:rPr>
          <w:rFonts w:eastAsia="Arial"/>
          <w:szCs w:val="22"/>
          <w:lang w:val="es-419"/>
        </w:rPr>
        <w:t>El presupuesto de 2024 de la DSI para cumplir su mandato ascendió a 3,16</w:t>
      </w:r>
      <w:r w:rsidRPr="00E45F61">
        <w:rPr>
          <w:rStyle w:val="FootnoteReference"/>
          <w:lang w:val="es-419"/>
        </w:rPr>
        <w:footnoteReference w:id="28"/>
      </w:r>
      <w:r w:rsidRPr="00E45F61">
        <w:rPr>
          <w:rFonts w:eastAsia="Arial"/>
          <w:szCs w:val="22"/>
          <w:lang w:val="es-419"/>
        </w:rPr>
        <w:t> millones de francos suizos, lo que representa el 0,66 % del presupuesto de la OMPI (479</w:t>
      </w:r>
      <w:r w:rsidR="00E05F28" w:rsidRPr="00E45F61">
        <w:rPr>
          <w:rFonts w:eastAsia="Arial"/>
          <w:szCs w:val="22"/>
          <w:lang w:val="es-419"/>
        </w:rPr>
        <w:t>,2</w:t>
      </w:r>
      <w:r w:rsidRPr="00E45F61">
        <w:rPr>
          <w:rFonts w:eastAsia="Arial"/>
          <w:szCs w:val="22"/>
          <w:lang w:val="es-419"/>
        </w:rPr>
        <w:t xml:space="preserve"> millones de francos suizos)</w:t>
      </w:r>
      <w:r w:rsidRPr="00E45F61">
        <w:rPr>
          <w:rStyle w:val="FootnoteReference"/>
          <w:lang w:val="es-419"/>
        </w:rPr>
        <w:footnoteReference w:id="29"/>
      </w:r>
      <w:r w:rsidRPr="00E45F61">
        <w:rPr>
          <w:rFonts w:eastAsia="Arial"/>
          <w:szCs w:val="22"/>
          <w:lang w:val="es-419"/>
        </w:rPr>
        <w:t xml:space="preserve"> para el mismo período (DSI en 2023:</w:t>
      </w:r>
      <w:r w:rsidR="008D09ED" w:rsidRPr="00E45F61">
        <w:rPr>
          <w:rFonts w:eastAsia="Arial"/>
          <w:szCs w:val="22"/>
          <w:lang w:val="es-419"/>
        </w:rPr>
        <w:t> 0</w:t>
      </w:r>
      <w:r w:rsidRPr="00E45F61">
        <w:rPr>
          <w:rFonts w:eastAsia="Arial"/>
          <w:szCs w:val="22"/>
          <w:lang w:val="es-419"/>
        </w:rPr>
        <w:t>,</w:t>
      </w:r>
      <w:r w:rsidR="00E05F28" w:rsidRPr="00E45F61">
        <w:rPr>
          <w:rFonts w:eastAsia="Arial"/>
          <w:szCs w:val="22"/>
          <w:lang w:val="es-419"/>
        </w:rPr>
        <w:t>61</w:t>
      </w:r>
      <w:r w:rsidRPr="00E45F61">
        <w:rPr>
          <w:rFonts w:eastAsia="Arial"/>
          <w:szCs w:val="22"/>
          <w:lang w:val="es-419"/>
        </w:rPr>
        <w:t> %, presupuesto anual de la OMPI:</w:t>
      </w:r>
      <w:r w:rsidR="008D09ED" w:rsidRPr="00E45F61">
        <w:rPr>
          <w:rFonts w:eastAsia="Arial"/>
          <w:szCs w:val="22"/>
          <w:lang w:val="es-419"/>
        </w:rPr>
        <w:t> </w:t>
      </w:r>
      <w:r w:rsidR="00E05F28" w:rsidRPr="00E45F61">
        <w:rPr>
          <w:rFonts w:eastAsia="Arial"/>
          <w:szCs w:val="22"/>
          <w:lang w:val="es-419"/>
        </w:rPr>
        <w:t>483,8</w:t>
      </w:r>
      <w:r w:rsidRPr="00E45F61">
        <w:rPr>
          <w:rFonts w:eastAsia="Arial"/>
          <w:szCs w:val="22"/>
          <w:lang w:val="es-419"/>
        </w:rPr>
        <w:t xml:space="preserve"> millones de francos suizos). En 2024, el gasto real ascendió a 2,</w:t>
      </w:r>
      <w:r w:rsidR="00E05F28" w:rsidRPr="00E45F61">
        <w:rPr>
          <w:rFonts w:eastAsia="Arial"/>
          <w:szCs w:val="22"/>
          <w:lang w:val="es-419"/>
        </w:rPr>
        <w:t>47</w:t>
      </w:r>
      <w:r w:rsidRPr="00E45F61">
        <w:rPr>
          <w:rFonts w:eastAsia="Arial"/>
          <w:szCs w:val="22"/>
          <w:lang w:val="es-419"/>
        </w:rPr>
        <w:t xml:space="preserve"> millones de francos suizos (2023:</w:t>
      </w:r>
      <w:r w:rsidR="008D09ED" w:rsidRPr="00E45F61">
        <w:rPr>
          <w:rFonts w:eastAsia="Arial"/>
          <w:szCs w:val="22"/>
          <w:lang w:val="es-419"/>
        </w:rPr>
        <w:t> 2</w:t>
      </w:r>
      <w:r w:rsidRPr="00E45F61">
        <w:rPr>
          <w:rFonts w:eastAsia="Arial"/>
          <w:szCs w:val="22"/>
          <w:lang w:val="es-419"/>
        </w:rPr>
        <w:t>,97 millones).</w:t>
      </w:r>
    </w:p>
    <w:p w14:paraId="75B0E1DD" w14:textId="51D23BC7" w:rsidR="0076292E" w:rsidRPr="00E45F61" w:rsidRDefault="00B7499E" w:rsidP="0076292E">
      <w:pPr>
        <w:pStyle w:val="ONUME"/>
        <w:tabs>
          <w:tab w:val="clear" w:pos="567"/>
          <w:tab w:val="num" w:pos="657"/>
        </w:tabs>
        <w:ind w:left="90"/>
        <w:rPr>
          <w:lang w:val="es-419"/>
        </w:rPr>
      </w:pPr>
      <w:r w:rsidRPr="00E45F61">
        <w:rPr>
          <w:rFonts w:eastAsia="Arial"/>
          <w:szCs w:val="22"/>
          <w:lang w:val="es-419"/>
        </w:rPr>
        <w:t xml:space="preserve">La utilización del presupuesto en </w:t>
      </w:r>
      <w:r w:rsidR="00E05F28" w:rsidRPr="00E45F61">
        <w:rPr>
          <w:rFonts w:eastAsia="Arial"/>
          <w:szCs w:val="22"/>
          <w:lang w:val="es-419"/>
        </w:rPr>
        <w:t>2024 para</w:t>
      </w:r>
      <w:r w:rsidRPr="00E45F61">
        <w:rPr>
          <w:rFonts w:eastAsia="Arial"/>
          <w:szCs w:val="22"/>
          <w:lang w:val="es-419"/>
        </w:rPr>
        <w:t xml:space="preserve"> personal se situó en el</w:t>
      </w:r>
      <w:r w:rsidR="008D09ED" w:rsidRPr="00E45F61">
        <w:rPr>
          <w:rFonts w:eastAsia="Arial"/>
          <w:szCs w:val="22"/>
          <w:lang w:val="es-419"/>
        </w:rPr>
        <w:t> </w:t>
      </w:r>
      <w:r w:rsidR="00E05F28" w:rsidRPr="00E45F61">
        <w:rPr>
          <w:rFonts w:eastAsia="Arial"/>
          <w:szCs w:val="22"/>
          <w:lang w:val="es-419"/>
        </w:rPr>
        <w:t>8</w:t>
      </w:r>
      <w:r w:rsidRPr="00E45F61">
        <w:rPr>
          <w:rFonts w:eastAsia="Arial"/>
          <w:szCs w:val="22"/>
          <w:lang w:val="es-419"/>
        </w:rPr>
        <w:t>8 % (2023:</w:t>
      </w:r>
      <w:r w:rsidR="008D09ED" w:rsidRPr="00E45F61">
        <w:rPr>
          <w:rFonts w:eastAsia="Arial"/>
          <w:szCs w:val="22"/>
          <w:lang w:val="es-419"/>
        </w:rPr>
        <w:t> 1</w:t>
      </w:r>
      <w:r w:rsidRPr="00E45F61">
        <w:rPr>
          <w:rFonts w:eastAsia="Arial"/>
          <w:szCs w:val="22"/>
          <w:lang w:val="es-419"/>
        </w:rPr>
        <w:t>02 %). Esto se debió a que durante el año no se cubrieron las vacantes de los puestos de Jefe de Investigaciones (a partir de abril de</w:t>
      </w:r>
      <w:r w:rsidR="008D09ED" w:rsidRPr="00E45F61">
        <w:rPr>
          <w:rFonts w:eastAsia="Arial"/>
          <w:szCs w:val="22"/>
          <w:lang w:val="es-419"/>
        </w:rPr>
        <w:t> 2</w:t>
      </w:r>
      <w:r w:rsidRPr="00E45F61">
        <w:rPr>
          <w:rFonts w:eastAsia="Arial"/>
          <w:szCs w:val="22"/>
          <w:lang w:val="es-419"/>
        </w:rPr>
        <w:t>024) y Jefe de Evaluación (a partir de septiembre de</w:t>
      </w:r>
      <w:r w:rsidR="008D09ED" w:rsidRPr="00E45F61">
        <w:rPr>
          <w:rFonts w:eastAsia="Arial"/>
          <w:szCs w:val="22"/>
          <w:lang w:val="es-419"/>
        </w:rPr>
        <w:t> 2</w:t>
      </w:r>
      <w:r w:rsidRPr="00E45F61">
        <w:rPr>
          <w:rFonts w:eastAsia="Arial"/>
          <w:szCs w:val="22"/>
          <w:lang w:val="es-419"/>
        </w:rPr>
        <w:t>024) ni de personal temporal de la Sección de Investigaciones (cubierta en septiembre de</w:t>
      </w:r>
      <w:r w:rsidR="008D09ED" w:rsidRPr="00E45F61">
        <w:rPr>
          <w:rFonts w:eastAsia="Arial"/>
          <w:szCs w:val="22"/>
          <w:lang w:val="es-419"/>
        </w:rPr>
        <w:t> 2</w:t>
      </w:r>
      <w:r w:rsidRPr="00E45F61">
        <w:rPr>
          <w:rFonts w:eastAsia="Arial"/>
          <w:szCs w:val="22"/>
          <w:lang w:val="es-419"/>
        </w:rPr>
        <w:t xml:space="preserve">024) ni de la Sección de Evaluación. En cuanto a la Sección de Investigaciones, durante el año se recurrió a investigadores individuales externos y a una empresa de investigación para abordar algunos casos de investigación. </w:t>
      </w:r>
    </w:p>
    <w:p w14:paraId="1DD5C29D" w14:textId="3F10989B" w:rsidR="0076292E" w:rsidRPr="00E45F61" w:rsidRDefault="00E05F28" w:rsidP="0076292E">
      <w:pPr>
        <w:pStyle w:val="ONUME"/>
        <w:tabs>
          <w:tab w:val="clear" w:pos="567"/>
          <w:tab w:val="num" w:pos="657"/>
        </w:tabs>
        <w:ind w:left="90"/>
        <w:rPr>
          <w:lang w:val="es-419"/>
        </w:rPr>
      </w:pPr>
      <w:r w:rsidRPr="00E45F61">
        <w:rPr>
          <w:rFonts w:eastAsia="Arial"/>
          <w:szCs w:val="22"/>
          <w:lang w:val="es-419"/>
        </w:rPr>
        <w:t xml:space="preserve">La utilización del presupuesto no relativo al personal en 2024 fue </w:t>
      </w:r>
      <w:r w:rsidR="00B7499E" w:rsidRPr="00E45F61">
        <w:rPr>
          <w:rFonts w:eastAsia="Arial"/>
          <w:szCs w:val="22"/>
          <w:lang w:val="es-419"/>
        </w:rPr>
        <w:t>del</w:t>
      </w:r>
      <w:r w:rsidR="008D09ED" w:rsidRPr="00E45F61">
        <w:rPr>
          <w:rFonts w:eastAsia="Arial"/>
          <w:szCs w:val="22"/>
          <w:lang w:val="es-419"/>
        </w:rPr>
        <w:t> 4</w:t>
      </w:r>
      <w:r w:rsidR="00B7499E" w:rsidRPr="00E45F61">
        <w:rPr>
          <w:rFonts w:eastAsia="Arial"/>
          <w:szCs w:val="22"/>
          <w:lang w:val="es-419"/>
        </w:rPr>
        <w:t>7 % (2023:</w:t>
      </w:r>
      <w:r w:rsidR="008D09ED" w:rsidRPr="00E45F61">
        <w:rPr>
          <w:rFonts w:eastAsia="Arial"/>
          <w:szCs w:val="22"/>
          <w:lang w:val="es-419"/>
        </w:rPr>
        <w:t> 9</w:t>
      </w:r>
      <w:r w:rsidR="00B7499E" w:rsidRPr="00E45F61">
        <w:rPr>
          <w:rFonts w:eastAsia="Arial"/>
          <w:szCs w:val="22"/>
          <w:lang w:val="es-419"/>
        </w:rPr>
        <w:t>0 %) y correspondi</w:t>
      </w:r>
      <w:r w:rsidR="00BF169E" w:rsidRPr="00E45F61">
        <w:rPr>
          <w:rFonts w:eastAsia="Arial"/>
          <w:szCs w:val="22"/>
          <w:lang w:val="es-419"/>
        </w:rPr>
        <w:t xml:space="preserve">ó </w:t>
      </w:r>
      <w:r w:rsidR="00B7499E" w:rsidRPr="00E45F61">
        <w:rPr>
          <w:rFonts w:eastAsia="Arial"/>
          <w:szCs w:val="22"/>
          <w:lang w:val="es-419"/>
        </w:rPr>
        <w:t>a la financiación adicional solicitada y obtenida en mayo de</w:t>
      </w:r>
      <w:r w:rsidR="008D09ED" w:rsidRPr="00E45F61">
        <w:rPr>
          <w:rFonts w:eastAsia="Arial"/>
          <w:szCs w:val="22"/>
          <w:lang w:val="es-419"/>
        </w:rPr>
        <w:t> 2</w:t>
      </w:r>
      <w:r w:rsidR="00B7499E" w:rsidRPr="00E45F61">
        <w:rPr>
          <w:rFonts w:eastAsia="Arial"/>
          <w:szCs w:val="22"/>
          <w:lang w:val="es-419"/>
        </w:rPr>
        <w:t xml:space="preserve">024 en previsión de un aumento de la carga de casos de investigación y de la necesidad de contratar consultores externos para ayudar en estas tareas y en las tareas de evaluación previstas. </w:t>
      </w:r>
    </w:p>
    <w:p w14:paraId="2C97C718"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Como se ha indicado anteriormente, en</w:t>
      </w:r>
      <w:r w:rsidR="008D09ED" w:rsidRPr="00E45F61">
        <w:rPr>
          <w:rFonts w:eastAsia="Arial"/>
          <w:szCs w:val="22"/>
          <w:lang w:val="es-419"/>
        </w:rPr>
        <w:t> 2</w:t>
      </w:r>
      <w:r w:rsidRPr="00E45F61">
        <w:rPr>
          <w:rFonts w:eastAsia="Arial"/>
          <w:szCs w:val="22"/>
          <w:lang w:val="es-419"/>
        </w:rPr>
        <w:t xml:space="preserve">024 no se llevaron a cabo evaluaciones a gran escala, y el número y las características de los asuntos que fueron objeto de investigación no dieron lugar a consultas adicionales significativas. </w:t>
      </w:r>
    </w:p>
    <w:p w14:paraId="55BDB730" w14:textId="2F42216B" w:rsidR="0076292E" w:rsidRPr="00E45F61" w:rsidRDefault="00B7499E" w:rsidP="00B7499E">
      <w:pPr>
        <w:pStyle w:val="ONUME"/>
        <w:tabs>
          <w:tab w:val="clear" w:pos="567"/>
          <w:tab w:val="num" w:pos="657"/>
        </w:tabs>
        <w:spacing w:after="480"/>
        <w:ind w:left="91"/>
        <w:rPr>
          <w:lang w:val="es-419"/>
        </w:rPr>
      </w:pPr>
      <w:r w:rsidRPr="00E45F61">
        <w:rPr>
          <w:rFonts w:eastAsia="Arial"/>
          <w:szCs w:val="22"/>
          <w:lang w:val="es-419"/>
        </w:rPr>
        <w:lastRenderedPageBreak/>
        <w:t>El gráfico 7 a continuación muestra un análisis del presupuesto y los gastos, el nivel de los puestos y la combinación por sexos del personal de la DSI en 2024.</w:t>
      </w:r>
    </w:p>
    <w:p w14:paraId="6A29939D" w14:textId="77777777" w:rsidR="00602015" w:rsidRPr="00E45F61" w:rsidRDefault="00B7499E" w:rsidP="00B7499E">
      <w:pPr>
        <w:pStyle w:val="ONUME"/>
        <w:numPr>
          <w:ilvl w:val="0"/>
          <w:numId w:val="0"/>
        </w:numPr>
        <w:spacing w:after="240"/>
        <w:jc w:val="center"/>
        <w:rPr>
          <w:rFonts w:eastAsia="Arial"/>
          <w:b/>
          <w:bCs/>
          <w:szCs w:val="22"/>
          <w:lang w:val="es-419"/>
        </w:rPr>
      </w:pPr>
      <w:r w:rsidRPr="00E45F61">
        <w:rPr>
          <w:rFonts w:eastAsia="Arial"/>
          <w:b/>
          <w:bCs/>
          <w:szCs w:val="22"/>
          <w:lang w:val="es-419"/>
        </w:rPr>
        <w:t>Gráfico 7: Presupuesto y gastos de la DSI</w:t>
      </w:r>
      <w:r w:rsidRPr="00E45F61">
        <w:rPr>
          <w:bCs/>
          <w:vertAlign w:val="superscript"/>
          <w:lang w:val="es-419"/>
        </w:rPr>
        <w:footnoteReference w:id="30"/>
      </w:r>
      <w:r w:rsidRPr="00E45F61">
        <w:rPr>
          <w:rFonts w:eastAsia="Arial"/>
          <w:b/>
          <w:bCs/>
          <w:szCs w:val="22"/>
          <w:lang w:val="es-419"/>
        </w:rPr>
        <w:t xml:space="preserve"> y recursos de personal en 2024</w:t>
      </w:r>
    </w:p>
    <w:p w14:paraId="5810CC72" w14:textId="4216EEFF" w:rsidR="00602015" w:rsidRPr="00E45F61" w:rsidRDefault="00A06E57" w:rsidP="005A64AC">
      <w:pPr>
        <w:pStyle w:val="ONUME"/>
        <w:numPr>
          <w:ilvl w:val="0"/>
          <w:numId w:val="0"/>
        </w:numPr>
        <w:jc w:val="center"/>
        <w:rPr>
          <w:rFonts w:eastAsia="Arial"/>
          <w:b/>
          <w:bCs/>
          <w:szCs w:val="22"/>
          <w:lang w:val="es-419"/>
        </w:rPr>
      </w:pPr>
      <w:r w:rsidRPr="00E45F61">
        <w:rPr>
          <w:noProof/>
          <w:lang w:val="es-419"/>
        </w:rPr>
        <w:drawing>
          <wp:inline distT="0" distB="0" distL="0" distR="0" wp14:anchorId="1FEC4A79" wp14:editId="39E2BCC5">
            <wp:extent cx="3066049" cy="1288800"/>
            <wp:effectExtent l="0" t="0" r="1270" b="6985"/>
            <wp:docPr id="910359935" name="Picture 1" descr="A blue and white rectangular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59935" name="Picture 1" descr="A blue and white rectangular table with numbers and numbers&#10;&#10;AI-generated content may be incorrect."/>
                    <pic:cNvPicPr/>
                  </pic:nvPicPr>
                  <pic:blipFill>
                    <a:blip r:embed="rId19"/>
                    <a:stretch>
                      <a:fillRect/>
                    </a:stretch>
                  </pic:blipFill>
                  <pic:spPr>
                    <a:xfrm>
                      <a:off x="0" y="0"/>
                      <a:ext cx="3066049" cy="1288800"/>
                    </a:xfrm>
                    <a:prstGeom prst="rect">
                      <a:avLst/>
                    </a:prstGeom>
                  </pic:spPr>
                </pic:pic>
              </a:graphicData>
            </a:graphic>
          </wp:inline>
        </w:drawing>
      </w:r>
      <w:r w:rsidRPr="00E45F61">
        <w:rPr>
          <w:noProof/>
          <w:lang w:val="es-419"/>
        </w:rPr>
        <w:t xml:space="preserve"> </w:t>
      </w:r>
      <w:r w:rsidR="00602015" w:rsidRPr="00E45F61">
        <w:rPr>
          <w:noProof/>
          <w:lang w:val="es-419"/>
        </w:rPr>
        <w:drawing>
          <wp:inline distT="0" distB="0" distL="0" distR="0" wp14:anchorId="2EB0D231" wp14:editId="40DCAF63">
            <wp:extent cx="2458800" cy="1602643"/>
            <wp:effectExtent l="0" t="0" r="5080" b="0"/>
            <wp:docPr id="1557764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64910" name=""/>
                    <pic:cNvPicPr/>
                  </pic:nvPicPr>
                  <pic:blipFill>
                    <a:blip r:embed="rId20"/>
                    <a:stretch>
                      <a:fillRect/>
                    </a:stretch>
                  </pic:blipFill>
                  <pic:spPr>
                    <a:xfrm>
                      <a:off x="0" y="0"/>
                      <a:ext cx="2458800" cy="1602643"/>
                    </a:xfrm>
                    <a:prstGeom prst="rect">
                      <a:avLst/>
                    </a:prstGeom>
                  </pic:spPr>
                </pic:pic>
              </a:graphicData>
            </a:graphic>
          </wp:inline>
        </w:drawing>
      </w:r>
    </w:p>
    <w:p w14:paraId="17800629" w14:textId="77777777" w:rsidR="0076292E" w:rsidRPr="00E45F61" w:rsidRDefault="00B7499E" w:rsidP="0076292E">
      <w:pPr>
        <w:pStyle w:val="ONUME"/>
        <w:numPr>
          <w:ilvl w:val="0"/>
          <w:numId w:val="0"/>
        </w:numPr>
        <w:rPr>
          <w:rFonts w:eastAsia="Arial"/>
          <w:sz w:val="18"/>
          <w:szCs w:val="18"/>
          <w:lang w:val="es-419"/>
        </w:rPr>
      </w:pPr>
      <w:r w:rsidRPr="00E45F61">
        <w:rPr>
          <w:rFonts w:eastAsia="Arial"/>
          <w:sz w:val="18"/>
          <w:szCs w:val="18"/>
          <w:lang w:val="es-419"/>
        </w:rPr>
        <w:t>Fuente: WePerform de la OMPI</w:t>
      </w:r>
    </w:p>
    <w:p w14:paraId="25791715" w14:textId="77777777" w:rsidR="0076292E" w:rsidRPr="00E45F61" w:rsidRDefault="00B7499E" w:rsidP="00B7499E">
      <w:pPr>
        <w:pStyle w:val="Heading1"/>
        <w:spacing w:after="120"/>
        <w:ind w:left="91"/>
        <w:rPr>
          <w:lang w:val="es-419"/>
        </w:rPr>
      </w:pPr>
      <w:bookmarkStart w:id="48" w:name="_Toc197337716"/>
      <w:r w:rsidRPr="00E45F61">
        <w:rPr>
          <w:rFonts w:eastAsia="Arial"/>
          <w:szCs w:val="22"/>
          <w:lang w:val="es-419"/>
        </w:rPr>
        <w:t>2025 y más allá</w:t>
      </w:r>
      <w:bookmarkEnd w:id="48"/>
    </w:p>
    <w:p w14:paraId="31773F58"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Carta de Supervisión Interna fue aprobada por la Asamblea General de la OMPI en la sexagésima quinta serie de reuniones, celebrada del</w:t>
      </w:r>
      <w:r w:rsidR="008D09ED" w:rsidRPr="00E45F61">
        <w:rPr>
          <w:rFonts w:eastAsia="Arial"/>
          <w:szCs w:val="22"/>
          <w:lang w:val="es-419"/>
        </w:rPr>
        <w:t> 9</w:t>
      </w:r>
      <w:r w:rsidRPr="00E45F61">
        <w:rPr>
          <w:rFonts w:eastAsia="Arial"/>
          <w:szCs w:val="22"/>
          <w:lang w:val="es-419"/>
        </w:rPr>
        <w:t xml:space="preserve"> al</w:t>
      </w:r>
      <w:r w:rsidR="008D09ED" w:rsidRPr="00E45F61">
        <w:rPr>
          <w:rFonts w:eastAsia="Arial"/>
          <w:szCs w:val="22"/>
          <w:lang w:val="es-419"/>
        </w:rPr>
        <w:t> 1</w:t>
      </w:r>
      <w:r w:rsidRPr="00E45F61">
        <w:rPr>
          <w:rFonts w:eastAsia="Arial"/>
          <w:szCs w:val="22"/>
          <w:lang w:val="es-419"/>
        </w:rPr>
        <w:t>7 de julio de</w:t>
      </w:r>
      <w:r w:rsidR="008D09ED" w:rsidRPr="00E45F61">
        <w:rPr>
          <w:rFonts w:eastAsia="Arial"/>
          <w:szCs w:val="22"/>
          <w:lang w:val="es-419"/>
        </w:rPr>
        <w:t> 2</w:t>
      </w:r>
      <w:r w:rsidRPr="00E45F61">
        <w:rPr>
          <w:rFonts w:eastAsia="Arial"/>
          <w:szCs w:val="22"/>
          <w:lang w:val="es-419"/>
        </w:rPr>
        <w:t>024; se publicó y entró en vigor el</w:t>
      </w:r>
      <w:r w:rsidR="008D09ED" w:rsidRPr="00E45F61">
        <w:rPr>
          <w:rFonts w:eastAsia="Arial"/>
          <w:szCs w:val="22"/>
          <w:lang w:val="es-419"/>
        </w:rPr>
        <w:t> 1</w:t>
      </w:r>
      <w:r w:rsidRPr="00E45F61">
        <w:rPr>
          <w:rFonts w:eastAsia="Arial"/>
          <w:szCs w:val="22"/>
          <w:lang w:val="es-419"/>
        </w:rPr>
        <w:t xml:space="preserve"> de enero de</w:t>
      </w:r>
      <w:r w:rsidR="008D09ED" w:rsidRPr="00E45F61">
        <w:rPr>
          <w:rFonts w:eastAsia="Arial"/>
          <w:szCs w:val="22"/>
          <w:lang w:val="es-419"/>
        </w:rPr>
        <w:t> 2</w:t>
      </w:r>
      <w:r w:rsidRPr="00E45F61">
        <w:rPr>
          <w:rFonts w:eastAsia="Arial"/>
          <w:szCs w:val="22"/>
          <w:lang w:val="es-419"/>
        </w:rPr>
        <w:t>025.</w:t>
      </w:r>
    </w:p>
    <w:p w14:paraId="46C5EE15"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El</w:t>
      </w:r>
      <w:r w:rsidR="008D09ED" w:rsidRPr="00E45F61">
        <w:rPr>
          <w:rFonts w:eastAsia="Arial"/>
          <w:szCs w:val="22"/>
          <w:lang w:val="es-419"/>
        </w:rPr>
        <w:t> 2</w:t>
      </w:r>
      <w:r w:rsidRPr="00E45F61">
        <w:rPr>
          <w:rFonts w:eastAsia="Arial"/>
          <w:szCs w:val="22"/>
          <w:lang w:val="es-419"/>
        </w:rPr>
        <w:t>0 de enero de</w:t>
      </w:r>
      <w:r w:rsidR="008D09ED" w:rsidRPr="00E45F61">
        <w:rPr>
          <w:rFonts w:eastAsia="Arial"/>
          <w:szCs w:val="22"/>
          <w:lang w:val="es-419"/>
        </w:rPr>
        <w:t> 2</w:t>
      </w:r>
      <w:r w:rsidRPr="00E45F61">
        <w:rPr>
          <w:rFonts w:eastAsia="Arial"/>
          <w:szCs w:val="22"/>
          <w:lang w:val="es-419"/>
        </w:rPr>
        <w:t>025 se produjo la publicación y entrada en vigor de la Política y el Manual de Auditoría revisados.</w:t>
      </w:r>
    </w:p>
    <w:p w14:paraId="324B70AC"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Política y el Manual de Investigación revisados se publicaron y entraron en vigor el</w:t>
      </w:r>
      <w:r w:rsidR="008D09ED" w:rsidRPr="00E45F61">
        <w:rPr>
          <w:rFonts w:eastAsia="Arial"/>
          <w:szCs w:val="22"/>
          <w:lang w:val="es-419"/>
        </w:rPr>
        <w:t> 2</w:t>
      </w:r>
      <w:r w:rsidRPr="00E45F61">
        <w:rPr>
          <w:rFonts w:eastAsia="Arial"/>
          <w:szCs w:val="22"/>
          <w:lang w:val="es-419"/>
        </w:rPr>
        <w:t>8 de enero de</w:t>
      </w:r>
      <w:r w:rsidR="008D09ED" w:rsidRPr="00E45F61">
        <w:rPr>
          <w:rFonts w:eastAsia="Arial"/>
          <w:szCs w:val="22"/>
          <w:lang w:val="es-419"/>
        </w:rPr>
        <w:t> 2</w:t>
      </w:r>
      <w:r w:rsidRPr="00E45F61">
        <w:rPr>
          <w:rFonts w:eastAsia="Arial"/>
          <w:szCs w:val="22"/>
          <w:lang w:val="es-419"/>
        </w:rPr>
        <w:t>025 y el</w:t>
      </w:r>
      <w:r w:rsidR="008D09ED" w:rsidRPr="00E45F61">
        <w:rPr>
          <w:rFonts w:eastAsia="Arial"/>
          <w:szCs w:val="22"/>
          <w:lang w:val="es-419"/>
        </w:rPr>
        <w:t> 2</w:t>
      </w:r>
      <w:r w:rsidRPr="00E45F61">
        <w:rPr>
          <w:rFonts w:eastAsia="Arial"/>
          <w:szCs w:val="22"/>
          <w:lang w:val="es-419"/>
        </w:rPr>
        <w:t>9 de enero de</w:t>
      </w:r>
      <w:r w:rsidR="008D09ED" w:rsidRPr="00E45F61">
        <w:rPr>
          <w:rFonts w:eastAsia="Arial"/>
          <w:szCs w:val="22"/>
          <w:lang w:val="es-419"/>
        </w:rPr>
        <w:t> 2</w:t>
      </w:r>
      <w:r w:rsidRPr="00E45F61">
        <w:rPr>
          <w:rFonts w:eastAsia="Arial"/>
          <w:szCs w:val="22"/>
          <w:lang w:val="es-419"/>
        </w:rPr>
        <w:t>025, respectivamente.</w:t>
      </w:r>
    </w:p>
    <w:p w14:paraId="132E568C"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Está previsto que el</w:t>
      </w:r>
      <w:r w:rsidR="008D09ED" w:rsidRPr="00E45F61">
        <w:rPr>
          <w:rFonts w:eastAsia="Arial"/>
          <w:szCs w:val="22"/>
          <w:lang w:val="es-419"/>
        </w:rPr>
        <w:t> 3</w:t>
      </w:r>
      <w:r w:rsidRPr="00E45F61">
        <w:rPr>
          <w:rFonts w:eastAsia="Arial"/>
          <w:szCs w:val="22"/>
          <w:lang w:val="es-419"/>
        </w:rPr>
        <w:t>1 de diciembre de</w:t>
      </w:r>
      <w:r w:rsidR="008D09ED" w:rsidRPr="00E45F61">
        <w:rPr>
          <w:rFonts w:eastAsia="Arial"/>
          <w:szCs w:val="22"/>
          <w:lang w:val="es-419"/>
        </w:rPr>
        <w:t> 2</w:t>
      </w:r>
      <w:r w:rsidRPr="00E45F61">
        <w:rPr>
          <w:rFonts w:eastAsia="Arial"/>
          <w:szCs w:val="22"/>
          <w:lang w:val="es-419"/>
        </w:rPr>
        <w:t>025 se haya completado la revisión de la Política y el Manual de Evaluación.</w:t>
      </w:r>
    </w:p>
    <w:p w14:paraId="73BAE716" w14:textId="77777777" w:rsidR="0076292E" w:rsidRPr="00E45F61" w:rsidRDefault="00B7499E" w:rsidP="0076292E">
      <w:pPr>
        <w:pStyle w:val="ONUME"/>
        <w:tabs>
          <w:tab w:val="clear" w:pos="567"/>
          <w:tab w:val="num" w:pos="657"/>
        </w:tabs>
        <w:ind w:left="90"/>
        <w:rPr>
          <w:lang w:val="es-419"/>
        </w:rPr>
      </w:pPr>
      <w:r w:rsidRPr="00E45F61">
        <w:rPr>
          <w:rFonts w:eastAsia="Arial"/>
          <w:szCs w:val="22"/>
          <w:lang w:val="es-419"/>
        </w:rPr>
        <w:t>Entre el</w:t>
      </w:r>
      <w:r w:rsidR="008D09ED" w:rsidRPr="00E45F61">
        <w:rPr>
          <w:rFonts w:eastAsia="Arial"/>
          <w:szCs w:val="22"/>
          <w:lang w:val="es-419"/>
        </w:rPr>
        <w:t> 3</w:t>
      </w:r>
      <w:r w:rsidRPr="00E45F61">
        <w:rPr>
          <w:rFonts w:eastAsia="Arial"/>
          <w:szCs w:val="22"/>
          <w:lang w:val="es-419"/>
        </w:rPr>
        <w:t>1 de diciembre de</w:t>
      </w:r>
      <w:r w:rsidR="008D09ED" w:rsidRPr="00E45F61">
        <w:rPr>
          <w:rFonts w:eastAsia="Arial"/>
          <w:szCs w:val="22"/>
          <w:lang w:val="es-419"/>
        </w:rPr>
        <w:t> 2</w:t>
      </w:r>
      <w:r w:rsidRPr="00E45F61">
        <w:rPr>
          <w:rFonts w:eastAsia="Arial"/>
          <w:szCs w:val="22"/>
          <w:lang w:val="es-419"/>
        </w:rPr>
        <w:t>024 y el</w:t>
      </w:r>
      <w:r w:rsidR="008D09ED" w:rsidRPr="00E45F61">
        <w:rPr>
          <w:rFonts w:eastAsia="Arial"/>
          <w:szCs w:val="22"/>
          <w:lang w:val="es-419"/>
        </w:rPr>
        <w:t> 2</w:t>
      </w:r>
      <w:r w:rsidRPr="00E45F61">
        <w:rPr>
          <w:rFonts w:eastAsia="Arial"/>
          <w:szCs w:val="22"/>
          <w:lang w:val="es-419"/>
        </w:rPr>
        <w:t>8 de febrero de</w:t>
      </w:r>
      <w:r w:rsidR="008D09ED" w:rsidRPr="00E45F61">
        <w:rPr>
          <w:rFonts w:eastAsia="Arial"/>
          <w:szCs w:val="22"/>
          <w:lang w:val="es-419"/>
        </w:rPr>
        <w:t> 2</w:t>
      </w:r>
      <w:r w:rsidRPr="00E45F61">
        <w:rPr>
          <w:rFonts w:eastAsia="Arial"/>
          <w:szCs w:val="22"/>
          <w:lang w:val="es-419"/>
        </w:rPr>
        <w:t>025 se aplicaron catorce recomendaciones abiertas, quedando</w:t>
      </w:r>
      <w:r w:rsidR="008D09ED" w:rsidRPr="00E45F61">
        <w:rPr>
          <w:rFonts w:eastAsia="Arial"/>
          <w:szCs w:val="22"/>
          <w:lang w:val="es-419"/>
        </w:rPr>
        <w:t> 1</w:t>
      </w:r>
      <w:r w:rsidRPr="00E45F61">
        <w:rPr>
          <w:rFonts w:eastAsia="Arial"/>
          <w:szCs w:val="22"/>
          <w:lang w:val="es-419"/>
        </w:rPr>
        <w:t>6 recomendaciones abiertas (seis de ellas del auditor externo) a fines de febrero de</w:t>
      </w:r>
      <w:r w:rsidR="008D09ED" w:rsidRPr="00E45F61">
        <w:rPr>
          <w:rFonts w:eastAsia="Arial"/>
          <w:szCs w:val="22"/>
          <w:lang w:val="es-419"/>
        </w:rPr>
        <w:t> 2</w:t>
      </w:r>
      <w:r w:rsidRPr="00E45F61">
        <w:rPr>
          <w:rFonts w:eastAsia="Arial"/>
          <w:szCs w:val="22"/>
          <w:lang w:val="es-419"/>
        </w:rPr>
        <w:t>025.</w:t>
      </w:r>
    </w:p>
    <w:p w14:paraId="644039F7" w14:textId="6589FA30" w:rsidR="0076292E" w:rsidRPr="00E45F61" w:rsidRDefault="00B7499E" w:rsidP="0076292E">
      <w:pPr>
        <w:pStyle w:val="ONUME"/>
        <w:tabs>
          <w:tab w:val="clear" w:pos="567"/>
          <w:tab w:val="num" w:pos="657"/>
        </w:tabs>
        <w:ind w:left="90"/>
        <w:rPr>
          <w:lang w:val="es-419"/>
        </w:rPr>
      </w:pPr>
      <w:r w:rsidRPr="00E45F61">
        <w:rPr>
          <w:rFonts w:eastAsia="Arial"/>
          <w:szCs w:val="22"/>
          <w:lang w:val="es-419"/>
        </w:rPr>
        <w:t>Dos investigaciones pendientes de</w:t>
      </w:r>
      <w:r w:rsidR="008D09ED" w:rsidRPr="00E45F61">
        <w:rPr>
          <w:rFonts w:eastAsia="Arial"/>
          <w:szCs w:val="22"/>
          <w:lang w:val="es-419"/>
        </w:rPr>
        <w:t> 2</w:t>
      </w:r>
      <w:r w:rsidRPr="00E45F61">
        <w:rPr>
          <w:rFonts w:eastAsia="Arial"/>
          <w:szCs w:val="22"/>
          <w:lang w:val="es-419"/>
        </w:rPr>
        <w:t>022 y</w:t>
      </w:r>
      <w:r w:rsidR="008D09ED" w:rsidRPr="00E45F61">
        <w:rPr>
          <w:rFonts w:eastAsia="Arial"/>
          <w:szCs w:val="22"/>
          <w:lang w:val="es-419"/>
        </w:rPr>
        <w:t> 2</w:t>
      </w:r>
      <w:r w:rsidRPr="00E45F61">
        <w:rPr>
          <w:rFonts w:eastAsia="Arial"/>
          <w:szCs w:val="22"/>
          <w:lang w:val="es-419"/>
        </w:rPr>
        <w:t>023</w:t>
      </w:r>
      <w:r w:rsidR="00BF169E" w:rsidRPr="00E45F61">
        <w:rPr>
          <w:rFonts w:eastAsia="Arial"/>
          <w:szCs w:val="22"/>
          <w:lang w:val="es-419"/>
        </w:rPr>
        <w:t>,</w:t>
      </w:r>
      <w:r w:rsidRPr="00E45F61">
        <w:rPr>
          <w:rFonts w:eastAsia="Arial"/>
          <w:szCs w:val="22"/>
          <w:lang w:val="es-419"/>
        </w:rPr>
        <w:t xml:space="preserve"> a</w:t>
      </w:r>
      <w:r w:rsidR="008D09ED" w:rsidRPr="00E45F61">
        <w:rPr>
          <w:rFonts w:eastAsia="Arial"/>
          <w:szCs w:val="22"/>
          <w:lang w:val="es-419"/>
        </w:rPr>
        <w:t> 3</w:t>
      </w:r>
      <w:r w:rsidRPr="00E45F61">
        <w:rPr>
          <w:rFonts w:eastAsia="Arial"/>
          <w:szCs w:val="22"/>
          <w:lang w:val="es-419"/>
        </w:rPr>
        <w:t>1 de diciembre de</w:t>
      </w:r>
      <w:r w:rsidR="008D09ED" w:rsidRPr="00E45F61">
        <w:rPr>
          <w:rFonts w:eastAsia="Arial"/>
          <w:szCs w:val="22"/>
          <w:lang w:val="es-419"/>
        </w:rPr>
        <w:t> 2</w:t>
      </w:r>
      <w:r w:rsidRPr="00E45F61">
        <w:rPr>
          <w:rFonts w:eastAsia="Arial"/>
          <w:szCs w:val="22"/>
          <w:lang w:val="es-419"/>
        </w:rPr>
        <w:t>024</w:t>
      </w:r>
      <w:r w:rsidR="00BF169E" w:rsidRPr="00E45F61">
        <w:rPr>
          <w:rFonts w:eastAsia="Arial"/>
          <w:szCs w:val="22"/>
          <w:lang w:val="es-419"/>
        </w:rPr>
        <w:t>,</w:t>
      </w:r>
      <w:r w:rsidRPr="00E45F61">
        <w:rPr>
          <w:rFonts w:eastAsia="Arial"/>
          <w:szCs w:val="22"/>
          <w:lang w:val="es-419"/>
        </w:rPr>
        <w:t xml:space="preserve"> se cerraron a principios de enero de</w:t>
      </w:r>
      <w:r w:rsidR="008D09ED" w:rsidRPr="00E45F61">
        <w:rPr>
          <w:rFonts w:eastAsia="Arial"/>
          <w:szCs w:val="22"/>
          <w:lang w:val="es-419"/>
        </w:rPr>
        <w:t> 2</w:t>
      </w:r>
      <w:r w:rsidRPr="00E45F61">
        <w:rPr>
          <w:rFonts w:eastAsia="Arial"/>
          <w:szCs w:val="22"/>
          <w:lang w:val="es-419"/>
        </w:rPr>
        <w:t>025, dando por concluidos todos los casos pendientes de</w:t>
      </w:r>
      <w:r w:rsidR="008D09ED" w:rsidRPr="00E45F61">
        <w:rPr>
          <w:rFonts w:eastAsia="Arial"/>
          <w:szCs w:val="22"/>
          <w:lang w:val="es-419"/>
        </w:rPr>
        <w:t> 2</w:t>
      </w:r>
      <w:r w:rsidRPr="00E45F61">
        <w:rPr>
          <w:rFonts w:eastAsia="Arial"/>
          <w:szCs w:val="22"/>
          <w:lang w:val="es-419"/>
        </w:rPr>
        <w:t>022 y</w:t>
      </w:r>
      <w:r w:rsidR="008D09ED" w:rsidRPr="00E45F61">
        <w:rPr>
          <w:rFonts w:eastAsia="Arial"/>
          <w:szCs w:val="22"/>
          <w:lang w:val="es-419"/>
        </w:rPr>
        <w:t> 2</w:t>
      </w:r>
      <w:r w:rsidRPr="00E45F61">
        <w:rPr>
          <w:rFonts w:eastAsia="Arial"/>
          <w:szCs w:val="22"/>
          <w:lang w:val="es-419"/>
        </w:rPr>
        <w:t>023.</w:t>
      </w:r>
    </w:p>
    <w:p w14:paraId="0EFCA60E" w14:textId="4E4165ED" w:rsidR="0076292E" w:rsidRPr="00E45F61" w:rsidRDefault="00BF169E" w:rsidP="0076292E">
      <w:pPr>
        <w:pStyle w:val="ONUME"/>
        <w:tabs>
          <w:tab w:val="clear" w:pos="567"/>
          <w:tab w:val="num" w:pos="657"/>
        </w:tabs>
        <w:ind w:left="90"/>
        <w:rPr>
          <w:lang w:val="es-419"/>
        </w:rPr>
      </w:pPr>
      <w:r w:rsidRPr="00E45F61">
        <w:rPr>
          <w:rFonts w:eastAsia="Arial"/>
          <w:szCs w:val="22"/>
          <w:lang w:val="es-419"/>
        </w:rPr>
        <w:t xml:space="preserve">La Sección de Auditoría Interna completó una autoevaluación periódica, con una conclusión de </w:t>
      </w:r>
      <w:r w:rsidR="008D09ED" w:rsidRPr="00E45F61">
        <w:rPr>
          <w:rFonts w:eastAsia="Arial"/>
          <w:szCs w:val="22"/>
          <w:lang w:val="es-419"/>
        </w:rPr>
        <w:t>“</w:t>
      </w:r>
      <w:r w:rsidR="00B7499E" w:rsidRPr="00E45F61">
        <w:rPr>
          <w:rFonts w:eastAsia="Arial"/>
          <w:szCs w:val="22"/>
          <w:lang w:val="es-419"/>
        </w:rPr>
        <w:t>se ajusta en general</w:t>
      </w:r>
      <w:r w:rsidR="008D09ED" w:rsidRPr="00E45F61">
        <w:rPr>
          <w:rFonts w:eastAsia="Arial"/>
          <w:szCs w:val="22"/>
          <w:lang w:val="es-419"/>
        </w:rPr>
        <w:t>”</w:t>
      </w:r>
      <w:r w:rsidR="00B7499E" w:rsidRPr="00E45F61">
        <w:rPr>
          <w:rFonts w:eastAsia="Arial"/>
          <w:szCs w:val="22"/>
          <w:lang w:val="es-419"/>
        </w:rPr>
        <w:t>. La esfera clave en la que se puede seguir mejorando es la completa documentación conservada en los expedientes de las actividades. Este aspecto se abordará en</w:t>
      </w:r>
      <w:r w:rsidR="008D09ED" w:rsidRPr="00E45F61">
        <w:rPr>
          <w:rFonts w:eastAsia="Arial"/>
          <w:szCs w:val="22"/>
          <w:lang w:val="es-419"/>
        </w:rPr>
        <w:t> 2</w:t>
      </w:r>
      <w:r w:rsidR="00B7499E" w:rsidRPr="00E45F61">
        <w:rPr>
          <w:rFonts w:eastAsia="Arial"/>
          <w:szCs w:val="22"/>
          <w:lang w:val="es-419"/>
        </w:rPr>
        <w:t>025.</w:t>
      </w:r>
    </w:p>
    <w:p w14:paraId="0D7B1B17" w14:textId="19120EE4"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Sección de Investigaciones completó una autoevaluación periódica en marzo de</w:t>
      </w:r>
      <w:r w:rsidR="008D09ED" w:rsidRPr="00E45F61">
        <w:rPr>
          <w:rFonts w:eastAsia="Arial"/>
          <w:szCs w:val="22"/>
          <w:lang w:val="es-419"/>
        </w:rPr>
        <w:t> 2</w:t>
      </w:r>
      <w:r w:rsidRPr="00E45F61">
        <w:rPr>
          <w:rFonts w:eastAsia="Arial"/>
          <w:szCs w:val="22"/>
          <w:lang w:val="es-419"/>
        </w:rPr>
        <w:t>025. La esfera clave en la que se puede seguir mejorando es el tiempo de respuesta de las investigaciones, aspecto que se aborda</w:t>
      </w:r>
      <w:r w:rsidR="00BF169E" w:rsidRPr="00E45F61">
        <w:rPr>
          <w:rFonts w:eastAsia="Arial"/>
          <w:szCs w:val="22"/>
          <w:lang w:val="es-419"/>
        </w:rPr>
        <w:t xml:space="preserve">rá </w:t>
      </w:r>
      <w:r w:rsidRPr="00E45F61">
        <w:rPr>
          <w:rFonts w:eastAsia="Arial"/>
          <w:szCs w:val="22"/>
          <w:lang w:val="es-419"/>
        </w:rPr>
        <w:t>en</w:t>
      </w:r>
      <w:r w:rsidR="008D09ED" w:rsidRPr="00E45F61">
        <w:rPr>
          <w:rFonts w:eastAsia="Arial"/>
          <w:szCs w:val="22"/>
          <w:lang w:val="es-419"/>
        </w:rPr>
        <w:t> 2</w:t>
      </w:r>
      <w:r w:rsidRPr="00E45F61">
        <w:rPr>
          <w:rFonts w:eastAsia="Arial"/>
          <w:szCs w:val="22"/>
          <w:lang w:val="es-419"/>
        </w:rPr>
        <w:t>025.</w:t>
      </w:r>
    </w:p>
    <w:p w14:paraId="46CAF714" w14:textId="6FA50F57" w:rsidR="0076292E" w:rsidRPr="00E45F61" w:rsidRDefault="00B7499E" w:rsidP="0076292E">
      <w:pPr>
        <w:pStyle w:val="ONUME"/>
        <w:tabs>
          <w:tab w:val="clear" w:pos="567"/>
          <w:tab w:val="num" w:pos="657"/>
        </w:tabs>
        <w:ind w:left="90"/>
        <w:rPr>
          <w:lang w:val="es-419"/>
        </w:rPr>
      </w:pPr>
      <w:r w:rsidRPr="00E45F61">
        <w:rPr>
          <w:rFonts w:eastAsia="Arial"/>
          <w:szCs w:val="22"/>
          <w:lang w:val="es-419"/>
        </w:rPr>
        <w:t>Está previsto que las secciones de auditoría interna e investigaciones se sometan a exámenes externos en</w:t>
      </w:r>
      <w:r w:rsidR="008D09ED" w:rsidRPr="00E45F61">
        <w:rPr>
          <w:rFonts w:eastAsia="Arial"/>
          <w:szCs w:val="22"/>
          <w:lang w:val="es-419"/>
        </w:rPr>
        <w:t> 2</w:t>
      </w:r>
      <w:r w:rsidRPr="00E45F61">
        <w:rPr>
          <w:rFonts w:eastAsia="Arial"/>
          <w:szCs w:val="22"/>
          <w:lang w:val="es-419"/>
        </w:rPr>
        <w:t>025, tras los últimos exámenes de octubre y noviembre de</w:t>
      </w:r>
      <w:r w:rsidR="008D09ED" w:rsidRPr="00E45F61">
        <w:rPr>
          <w:rFonts w:eastAsia="Arial"/>
          <w:szCs w:val="22"/>
          <w:lang w:val="es-419"/>
        </w:rPr>
        <w:t> 2</w:t>
      </w:r>
      <w:r w:rsidRPr="00E45F61">
        <w:rPr>
          <w:rFonts w:eastAsia="Arial"/>
          <w:szCs w:val="22"/>
          <w:lang w:val="es-419"/>
        </w:rPr>
        <w:t>020, respectivamente.</w:t>
      </w:r>
    </w:p>
    <w:p w14:paraId="73759D2B" w14:textId="4C52A616" w:rsidR="0076292E" w:rsidRPr="00E45F61" w:rsidRDefault="00B7499E" w:rsidP="0076292E">
      <w:pPr>
        <w:pStyle w:val="ONUME"/>
        <w:tabs>
          <w:tab w:val="clear" w:pos="567"/>
          <w:tab w:val="num" w:pos="657"/>
        </w:tabs>
        <w:ind w:left="90"/>
        <w:rPr>
          <w:lang w:val="es-419"/>
        </w:rPr>
      </w:pPr>
      <w:r w:rsidRPr="00E45F61">
        <w:rPr>
          <w:rFonts w:eastAsia="Arial"/>
          <w:szCs w:val="22"/>
          <w:lang w:val="es-419"/>
        </w:rPr>
        <w:lastRenderedPageBreak/>
        <w:t>La DSI avanza en la aplicación de la recomendación formulada por el auditor externo en su informe para el ejercicio de 2020</w:t>
      </w:r>
      <w:r w:rsidR="00B773A8" w:rsidRPr="00E45F61">
        <w:rPr>
          <w:rFonts w:eastAsia="Arial"/>
          <w:szCs w:val="22"/>
          <w:lang w:val="es-419"/>
        </w:rPr>
        <w:t>,</w:t>
      </w:r>
      <w:r w:rsidRPr="00E45F61">
        <w:rPr>
          <w:vertAlign w:val="superscript"/>
          <w:lang w:val="es-419"/>
        </w:rPr>
        <w:footnoteReference w:id="31"/>
      </w:r>
      <w:r w:rsidRPr="00E45F61">
        <w:rPr>
          <w:rFonts w:eastAsia="Arial"/>
          <w:szCs w:val="22"/>
          <w:lang w:val="es-419"/>
        </w:rPr>
        <w:t xml:space="preserve"> a saber, emitir un dictamen anual sobre la gobernanza, la gestión de riesgos y el marco de control de la OMPI. Está previsto que esta recomendación se haya aplicado totalmente en el ejercicio que acaba el 31 de diciembre de 2025.</w:t>
      </w:r>
    </w:p>
    <w:p w14:paraId="021B71D6" w14:textId="54CF826C" w:rsidR="0076292E" w:rsidRPr="00E45F61" w:rsidRDefault="00B7499E" w:rsidP="00B7499E">
      <w:pPr>
        <w:pStyle w:val="ONUME"/>
        <w:tabs>
          <w:tab w:val="clear" w:pos="567"/>
          <w:tab w:val="num" w:pos="657"/>
        </w:tabs>
        <w:spacing w:after="480"/>
        <w:ind w:left="91"/>
        <w:rPr>
          <w:lang w:val="es-419"/>
        </w:rPr>
      </w:pPr>
      <w:r w:rsidRPr="00E45F61">
        <w:rPr>
          <w:rFonts w:eastAsia="Arial"/>
          <w:szCs w:val="22"/>
          <w:lang w:val="es-419"/>
        </w:rPr>
        <w:t>Las actividades de contratación para cubrir las vacantes en las Secciones de Investigaciones y Evaluación siguen su curso con vistas a su finalización en</w:t>
      </w:r>
      <w:r w:rsidR="008D09ED" w:rsidRPr="00E45F61">
        <w:rPr>
          <w:rFonts w:eastAsia="Arial"/>
          <w:szCs w:val="22"/>
          <w:lang w:val="es-419"/>
        </w:rPr>
        <w:t> 2</w:t>
      </w:r>
      <w:r w:rsidRPr="00E45F61">
        <w:rPr>
          <w:rFonts w:eastAsia="Arial"/>
          <w:szCs w:val="22"/>
          <w:lang w:val="es-419"/>
        </w:rPr>
        <w:t>025.</w:t>
      </w:r>
    </w:p>
    <w:p w14:paraId="71EAD1EA" w14:textId="77777777" w:rsidR="0076292E" w:rsidRPr="00E45F61" w:rsidRDefault="00B7499E" w:rsidP="00B7499E">
      <w:pPr>
        <w:pStyle w:val="Heading1"/>
        <w:spacing w:before="0" w:after="120"/>
        <w:ind w:left="91"/>
        <w:rPr>
          <w:lang w:val="es-419"/>
        </w:rPr>
      </w:pPr>
      <w:bookmarkStart w:id="49" w:name="_Toc197337717"/>
      <w:r w:rsidRPr="00E45F61">
        <w:rPr>
          <w:rFonts w:eastAsia="Arial"/>
          <w:szCs w:val="22"/>
          <w:lang w:val="es-419"/>
        </w:rPr>
        <w:t>CONCLUSIÓN</w:t>
      </w:r>
      <w:bookmarkEnd w:id="49"/>
    </w:p>
    <w:p w14:paraId="5B15625B" w14:textId="3803CE52" w:rsidR="0076292E" w:rsidRPr="00E45F61" w:rsidRDefault="00B7499E" w:rsidP="0076292E">
      <w:pPr>
        <w:pStyle w:val="ONUME"/>
        <w:tabs>
          <w:tab w:val="clear" w:pos="567"/>
          <w:tab w:val="num" w:pos="657"/>
        </w:tabs>
        <w:ind w:left="90"/>
        <w:rPr>
          <w:lang w:val="es-419"/>
        </w:rPr>
      </w:pPr>
      <w:r w:rsidRPr="00E45F61">
        <w:rPr>
          <w:rFonts w:eastAsia="Arial"/>
          <w:szCs w:val="22"/>
          <w:lang w:val="es-419"/>
        </w:rPr>
        <w:t>La DSI desea agradecer a la CCIS, al director general, a los responsables de los sectores y a los miembros del personal de la OMPI su apoyo continuo, que permitió que la División cumpliera de forma satisfactoria con su mandato en 2024.</w:t>
      </w:r>
    </w:p>
    <w:p w14:paraId="5E6B2E0D" w14:textId="77777777" w:rsidR="0076292E" w:rsidRPr="00E45F61" w:rsidRDefault="00B7499E" w:rsidP="00B7499E">
      <w:pPr>
        <w:pStyle w:val="ONUME"/>
        <w:tabs>
          <w:tab w:val="clear" w:pos="567"/>
          <w:tab w:val="num" w:pos="657"/>
        </w:tabs>
        <w:spacing w:after="600"/>
        <w:ind w:left="91"/>
        <w:rPr>
          <w:lang w:val="es-419"/>
        </w:rPr>
      </w:pPr>
      <w:r w:rsidRPr="00E45F61">
        <w:rPr>
          <w:rFonts w:eastAsia="Arial"/>
          <w:szCs w:val="22"/>
          <w:lang w:val="es-419"/>
        </w:rPr>
        <w:t>La DSI desea trabajar estrechamente con la CCIS, el director general, los responsables de los sectores y el personal de la OMPI para lograr los objetivos y los resultados clave de la Organización, tal como se establece en el PEMP para 2022-2026, mientras sigue fortaleciendo su contribución a la gobernanza, la gestión del riesgo y los procesos de control interno, así como la toma de decisiones y la supervisión, la reputación y la credibilidad con sus partes interesadas, y la capacidad de favorecer al interés público.</w:t>
      </w:r>
    </w:p>
    <w:p w14:paraId="50D27F44" w14:textId="77777777" w:rsidR="0076292E" w:rsidRPr="00E45F61" w:rsidRDefault="00B7499E" w:rsidP="00BE5159">
      <w:pPr>
        <w:pStyle w:val="Endofdocument-Annex"/>
        <w:rPr>
          <w:lang w:val="es-419"/>
        </w:rPr>
      </w:pPr>
      <w:r w:rsidRPr="00E45F61">
        <w:rPr>
          <w:lang w:val="es-419"/>
        </w:rPr>
        <w:t>[Sigue el Anexo]</w:t>
      </w:r>
    </w:p>
    <w:p w14:paraId="366925AD" w14:textId="77777777" w:rsidR="0076292E" w:rsidRPr="00E45F61" w:rsidRDefault="0076292E" w:rsidP="0076292E">
      <w:pPr>
        <w:keepLines/>
        <w:tabs>
          <w:tab w:val="left" w:pos="5529"/>
          <w:tab w:val="left" w:pos="6930"/>
          <w:tab w:val="right" w:pos="9355"/>
        </w:tabs>
        <w:rPr>
          <w:lang w:val="es-419"/>
        </w:rPr>
      </w:pPr>
    </w:p>
    <w:p w14:paraId="7AD72CBE" w14:textId="77777777" w:rsidR="0076292E" w:rsidRPr="00E45F61" w:rsidRDefault="0076292E" w:rsidP="0076292E">
      <w:pPr>
        <w:pStyle w:val="ONUME"/>
        <w:keepLines/>
        <w:numPr>
          <w:ilvl w:val="0"/>
          <w:numId w:val="0"/>
        </w:numPr>
        <w:jc w:val="right"/>
        <w:rPr>
          <w:lang w:val="es-419"/>
        </w:rPr>
        <w:sectPr w:rsidR="0076292E" w:rsidRPr="00E45F61" w:rsidSect="0076292E">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305" w:right="1134" w:bottom="1418" w:left="1418" w:header="510" w:footer="1021" w:gutter="0"/>
          <w:pgNumType w:start="1"/>
          <w:cols w:space="720"/>
          <w:titlePg/>
          <w:docGrid w:linePitch="299"/>
        </w:sectPr>
      </w:pPr>
    </w:p>
    <w:p w14:paraId="2BDC7F7E" w14:textId="77777777" w:rsidR="0076292E" w:rsidRPr="00E45F61" w:rsidRDefault="00B7499E" w:rsidP="00B7499E">
      <w:pPr>
        <w:keepLines/>
        <w:spacing w:after="120"/>
        <w:jc w:val="center"/>
        <w:rPr>
          <w:lang w:val="es-419"/>
        </w:rPr>
      </w:pPr>
      <w:r w:rsidRPr="00E45F61">
        <w:rPr>
          <w:rFonts w:eastAsia="Arial"/>
          <w:b/>
          <w:bCs/>
          <w:szCs w:val="22"/>
          <w:lang w:val="es-419"/>
        </w:rPr>
        <w:lastRenderedPageBreak/>
        <w:t>ANEXO - Lista de documentos e informes de la DSI</w:t>
      </w:r>
    </w:p>
    <w:tbl>
      <w:tblPr>
        <w:tblStyle w:val="TableGridLight"/>
        <w:tblW w:w="9345" w:type="dxa"/>
        <w:tblLook w:val="04A0" w:firstRow="1" w:lastRow="0" w:firstColumn="1" w:lastColumn="0" w:noHBand="0" w:noVBand="1"/>
        <w:tblCaption w:val="ANNEX - List of IOD Documents and Reports"/>
        <w:tblDescription w:val="&#10;"/>
      </w:tblPr>
      <w:tblGrid>
        <w:gridCol w:w="4855"/>
        <w:gridCol w:w="2228"/>
        <w:gridCol w:w="2262"/>
      </w:tblGrid>
      <w:tr w:rsidR="001700C5" w:rsidRPr="00E45F61" w14:paraId="62CD9A9A" w14:textId="77777777" w:rsidTr="001E0A7E">
        <w:trPr>
          <w:trHeight w:val="539"/>
          <w:tblHeader/>
        </w:trPr>
        <w:tc>
          <w:tcPr>
            <w:tcW w:w="4855" w:type="dxa"/>
            <w:shd w:val="clear" w:color="auto" w:fill="244061" w:themeFill="accent1" w:themeFillShade="80"/>
            <w:vAlign w:val="center"/>
          </w:tcPr>
          <w:p w14:paraId="4513D206" w14:textId="77777777" w:rsidR="0076292E" w:rsidRPr="00E45F61" w:rsidRDefault="00B7499E" w:rsidP="000B4F77">
            <w:pPr>
              <w:pStyle w:val="ONUME"/>
              <w:numPr>
                <w:ilvl w:val="0"/>
                <w:numId w:val="0"/>
              </w:numPr>
              <w:spacing w:after="240"/>
              <w:rPr>
                <w:rFonts w:eastAsia="Times New Roman"/>
                <w:color w:val="FFFFFF" w:themeColor="background1"/>
                <w:sz w:val="18"/>
                <w:szCs w:val="18"/>
                <w:lang w:val="es-419" w:eastAsia="en-US"/>
              </w:rPr>
            </w:pPr>
            <w:r w:rsidRPr="00E45F61">
              <w:rPr>
                <w:rFonts w:eastAsia="Arial"/>
                <w:b/>
                <w:bCs/>
                <w:color w:val="FFFFFF"/>
                <w:sz w:val="18"/>
                <w:szCs w:val="18"/>
                <w:lang w:val="es-419" w:eastAsia="en-US"/>
              </w:rPr>
              <w:t>Carta de supervisión, políticas y manuales actualizados en</w:t>
            </w:r>
            <w:r w:rsidR="008D09ED" w:rsidRPr="00E45F61">
              <w:rPr>
                <w:rFonts w:eastAsia="Arial"/>
                <w:b/>
                <w:bCs/>
                <w:color w:val="FFFFFF"/>
                <w:sz w:val="18"/>
                <w:szCs w:val="18"/>
                <w:lang w:val="es-419" w:eastAsia="en-US"/>
              </w:rPr>
              <w:t> 2</w:t>
            </w:r>
            <w:r w:rsidRPr="00E45F61">
              <w:rPr>
                <w:rFonts w:eastAsia="Arial"/>
                <w:b/>
                <w:bCs/>
                <w:color w:val="FFFFFF"/>
                <w:sz w:val="18"/>
                <w:szCs w:val="18"/>
                <w:lang w:val="es-419" w:eastAsia="en-US"/>
              </w:rPr>
              <w:t>024</w:t>
            </w:r>
            <w:r w:rsidRPr="00E45F61">
              <w:rPr>
                <w:rStyle w:val="FootnoteReference"/>
                <w:rFonts w:eastAsia="Times New Roman"/>
                <w:b/>
                <w:color w:val="FFFFFF" w:themeColor="background1"/>
                <w:sz w:val="18"/>
                <w:szCs w:val="18"/>
                <w:lang w:val="es-419" w:eastAsia="en-US"/>
              </w:rPr>
              <w:footnoteReference w:id="32"/>
            </w:r>
          </w:p>
        </w:tc>
        <w:tc>
          <w:tcPr>
            <w:tcW w:w="2228" w:type="dxa"/>
            <w:shd w:val="clear" w:color="auto" w:fill="244061" w:themeFill="accent1" w:themeFillShade="80"/>
            <w:vAlign w:val="center"/>
          </w:tcPr>
          <w:p w14:paraId="246D1470" w14:textId="77777777" w:rsidR="0076292E" w:rsidRPr="00E45F61" w:rsidRDefault="00B7499E" w:rsidP="000B4F77">
            <w:pPr>
              <w:pStyle w:val="ONUME"/>
              <w:numPr>
                <w:ilvl w:val="0"/>
                <w:numId w:val="0"/>
              </w:numPr>
              <w:ind w:left="34"/>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Ref.</w:t>
            </w:r>
          </w:p>
        </w:tc>
        <w:tc>
          <w:tcPr>
            <w:tcW w:w="2262" w:type="dxa"/>
            <w:shd w:val="clear" w:color="auto" w:fill="244061" w:themeFill="accent1" w:themeFillShade="80"/>
          </w:tcPr>
          <w:p w14:paraId="07B5C184" w14:textId="77777777" w:rsidR="0076292E" w:rsidRPr="00E45F61" w:rsidRDefault="00B7499E" w:rsidP="000B4F77">
            <w:pPr>
              <w:pStyle w:val="ONUME"/>
              <w:numPr>
                <w:ilvl w:val="0"/>
                <w:numId w:val="0"/>
              </w:numPr>
              <w:ind w:left="34"/>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Entrada en vigor</w:t>
            </w:r>
          </w:p>
        </w:tc>
      </w:tr>
      <w:tr w:rsidR="001700C5" w:rsidRPr="00E45F61" w14:paraId="577A6834" w14:textId="77777777" w:rsidTr="001E0A7E">
        <w:trPr>
          <w:trHeight w:val="35"/>
        </w:trPr>
        <w:tc>
          <w:tcPr>
            <w:tcW w:w="4855" w:type="dxa"/>
            <w:vAlign w:val="center"/>
          </w:tcPr>
          <w:p w14:paraId="04B0E1E3" w14:textId="77777777" w:rsidR="0076292E" w:rsidRPr="00E45F61" w:rsidRDefault="00B7499E" w:rsidP="000B4F77">
            <w:pPr>
              <w:pStyle w:val="Default"/>
              <w:rPr>
                <w:sz w:val="18"/>
                <w:szCs w:val="18"/>
                <w:lang w:val="es-419"/>
              </w:rPr>
            </w:pPr>
            <w:r w:rsidRPr="00E45F61">
              <w:rPr>
                <w:rFonts w:eastAsia="Arial"/>
                <w:sz w:val="18"/>
                <w:szCs w:val="18"/>
                <w:lang w:val="es-419"/>
              </w:rPr>
              <w:t>Carta de Supervisión Interna</w:t>
            </w:r>
          </w:p>
        </w:tc>
        <w:tc>
          <w:tcPr>
            <w:tcW w:w="2228" w:type="dxa"/>
            <w:vAlign w:val="center"/>
          </w:tcPr>
          <w:p w14:paraId="10D67013" w14:textId="77777777" w:rsidR="0076292E" w:rsidRPr="00E45F61" w:rsidRDefault="00B7499E" w:rsidP="000B4F77">
            <w:pPr>
              <w:pStyle w:val="Default"/>
              <w:rPr>
                <w:sz w:val="18"/>
                <w:szCs w:val="18"/>
                <w:lang w:val="es-419"/>
              </w:rPr>
            </w:pPr>
            <w:r w:rsidRPr="00E45F61">
              <w:rPr>
                <w:rFonts w:eastAsia="Arial"/>
                <w:sz w:val="18"/>
                <w:szCs w:val="18"/>
                <w:lang w:val="es-419"/>
              </w:rPr>
              <w:t>WO/PBC/GA/37/5</w:t>
            </w:r>
          </w:p>
        </w:tc>
        <w:tc>
          <w:tcPr>
            <w:tcW w:w="2262" w:type="dxa"/>
            <w:vAlign w:val="center"/>
          </w:tcPr>
          <w:p w14:paraId="0D963BA2" w14:textId="77777777" w:rsidR="0076292E" w:rsidRPr="00E45F61" w:rsidRDefault="00B7499E" w:rsidP="000B4F77">
            <w:pPr>
              <w:pStyle w:val="Default"/>
              <w:rPr>
                <w:sz w:val="18"/>
                <w:szCs w:val="18"/>
                <w:lang w:val="es-419"/>
              </w:rPr>
            </w:pPr>
            <w:r w:rsidRPr="00E45F61">
              <w:rPr>
                <w:rFonts w:eastAsia="Arial"/>
                <w:sz w:val="18"/>
                <w:szCs w:val="18"/>
                <w:lang w:val="es-419"/>
              </w:rPr>
              <w:t>1 de enero de</w:t>
            </w:r>
            <w:r w:rsidR="008D09ED" w:rsidRPr="00E45F61">
              <w:rPr>
                <w:rFonts w:eastAsia="Arial"/>
                <w:sz w:val="18"/>
                <w:szCs w:val="18"/>
                <w:lang w:val="es-419"/>
              </w:rPr>
              <w:t> 2</w:t>
            </w:r>
            <w:r w:rsidRPr="00E45F61">
              <w:rPr>
                <w:rFonts w:eastAsia="Arial"/>
                <w:sz w:val="18"/>
                <w:szCs w:val="18"/>
                <w:lang w:val="es-419"/>
              </w:rPr>
              <w:t>025.</w:t>
            </w:r>
          </w:p>
        </w:tc>
      </w:tr>
      <w:tr w:rsidR="001700C5" w:rsidRPr="00E45F61" w14:paraId="1CB879BE" w14:textId="77777777" w:rsidTr="001E0A7E">
        <w:trPr>
          <w:trHeight w:val="35"/>
        </w:trPr>
        <w:tc>
          <w:tcPr>
            <w:tcW w:w="4855" w:type="dxa"/>
            <w:vAlign w:val="center"/>
          </w:tcPr>
          <w:p w14:paraId="0DFC6F21" w14:textId="2643431A" w:rsidR="0076292E" w:rsidRPr="00E45F61" w:rsidRDefault="00B7499E" w:rsidP="000B4F77">
            <w:pPr>
              <w:pStyle w:val="Default"/>
              <w:rPr>
                <w:sz w:val="18"/>
                <w:szCs w:val="18"/>
                <w:lang w:val="es-419"/>
              </w:rPr>
            </w:pPr>
            <w:r w:rsidRPr="00E45F61">
              <w:rPr>
                <w:rFonts w:eastAsia="Arial"/>
                <w:sz w:val="18"/>
                <w:szCs w:val="18"/>
                <w:lang w:val="es-419"/>
              </w:rPr>
              <w:t xml:space="preserve">Política de </w:t>
            </w:r>
            <w:r w:rsidR="00CC486A" w:rsidRPr="00E45F61">
              <w:rPr>
                <w:rFonts w:eastAsia="Arial"/>
                <w:sz w:val="18"/>
                <w:szCs w:val="18"/>
                <w:lang w:val="es-419"/>
              </w:rPr>
              <w:t>A</w:t>
            </w:r>
            <w:r w:rsidRPr="00E45F61">
              <w:rPr>
                <w:rFonts w:eastAsia="Arial"/>
                <w:sz w:val="18"/>
                <w:szCs w:val="18"/>
                <w:lang w:val="es-419"/>
              </w:rPr>
              <w:t xml:space="preserve">uditoría </w:t>
            </w:r>
            <w:r w:rsidR="00CC486A" w:rsidRPr="00E45F61">
              <w:rPr>
                <w:rFonts w:eastAsia="Arial"/>
                <w:sz w:val="18"/>
                <w:szCs w:val="18"/>
                <w:lang w:val="es-419"/>
              </w:rPr>
              <w:t>I</w:t>
            </w:r>
            <w:r w:rsidRPr="00E45F61">
              <w:rPr>
                <w:rFonts w:eastAsia="Arial"/>
                <w:sz w:val="18"/>
                <w:szCs w:val="18"/>
                <w:lang w:val="es-419"/>
              </w:rPr>
              <w:t>nterna</w:t>
            </w:r>
          </w:p>
        </w:tc>
        <w:tc>
          <w:tcPr>
            <w:tcW w:w="2228" w:type="dxa"/>
            <w:vAlign w:val="center"/>
          </w:tcPr>
          <w:p w14:paraId="28400F78" w14:textId="77777777" w:rsidR="0076292E" w:rsidRPr="00E45F61" w:rsidRDefault="00B7499E" w:rsidP="000B4F77">
            <w:pPr>
              <w:pStyle w:val="Default"/>
              <w:rPr>
                <w:sz w:val="18"/>
                <w:szCs w:val="18"/>
                <w:lang w:val="es-419"/>
              </w:rPr>
            </w:pPr>
            <w:r w:rsidRPr="00E45F61">
              <w:rPr>
                <w:rFonts w:eastAsia="Arial"/>
                <w:sz w:val="18"/>
                <w:szCs w:val="18"/>
                <w:lang w:val="es-419"/>
              </w:rPr>
              <w:t>IOD/IAP/2025</w:t>
            </w:r>
          </w:p>
        </w:tc>
        <w:tc>
          <w:tcPr>
            <w:tcW w:w="2262" w:type="dxa"/>
            <w:vAlign w:val="center"/>
          </w:tcPr>
          <w:p w14:paraId="3C9E3733" w14:textId="77777777" w:rsidR="0076292E" w:rsidRPr="00E45F61" w:rsidRDefault="00B7499E" w:rsidP="000B4F77">
            <w:pPr>
              <w:pStyle w:val="Default"/>
              <w:rPr>
                <w:sz w:val="18"/>
                <w:szCs w:val="18"/>
                <w:lang w:val="es-419"/>
              </w:rPr>
            </w:pPr>
            <w:r w:rsidRPr="00E45F61">
              <w:rPr>
                <w:rFonts w:eastAsia="Arial"/>
                <w:sz w:val="18"/>
                <w:szCs w:val="18"/>
                <w:lang w:val="es-419"/>
              </w:rPr>
              <w:t>20 de enero de</w:t>
            </w:r>
            <w:r w:rsidR="008D09ED" w:rsidRPr="00E45F61">
              <w:rPr>
                <w:rFonts w:eastAsia="Arial"/>
                <w:sz w:val="18"/>
                <w:szCs w:val="18"/>
                <w:lang w:val="es-419"/>
              </w:rPr>
              <w:t> 2</w:t>
            </w:r>
            <w:r w:rsidRPr="00E45F61">
              <w:rPr>
                <w:rFonts w:eastAsia="Arial"/>
                <w:sz w:val="18"/>
                <w:szCs w:val="18"/>
                <w:lang w:val="es-419"/>
              </w:rPr>
              <w:t>025</w:t>
            </w:r>
          </w:p>
        </w:tc>
      </w:tr>
      <w:tr w:rsidR="001700C5" w:rsidRPr="00E45F61" w14:paraId="17AE2B07" w14:textId="77777777" w:rsidTr="001E0A7E">
        <w:trPr>
          <w:trHeight w:val="35"/>
        </w:trPr>
        <w:tc>
          <w:tcPr>
            <w:tcW w:w="4855" w:type="dxa"/>
            <w:vAlign w:val="center"/>
          </w:tcPr>
          <w:p w14:paraId="6C233C2C" w14:textId="512D0BC9" w:rsidR="0076292E" w:rsidRPr="00E45F61" w:rsidRDefault="00B7499E" w:rsidP="000B4F77">
            <w:pPr>
              <w:pStyle w:val="Default"/>
              <w:rPr>
                <w:sz w:val="18"/>
                <w:szCs w:val="18"/>
                <w:lang w:val="es-419"/>
              </w:rPr>
            </w:pPr>
            <w:r w:rsidRPr="00E45F61">
              <w:rPr>
                <w:rFonts w:eastAsia="Arial"/>
                <w:sz w:val="18"/>
                <w:szCs w:val="18"/>
                <w:lang w:val="es-419"/>
              </w:rPr>
              <w:t xml:space="preserve">Manual de </w:t>
            </w:r>
            <w:r w:rsidR="00CC486A" w:rsidRPr="00E45F61">
              <w:rPr>
                <w:rFonts w:eastAsia="Arial"/>
                <w:sz w:val="18"/>
                <w:szCs w:val="18"/>
                <w:lang w:val="es-419"/>
              </w:rPr>
              <w:t>A</w:t>
            </w:r>
            <w:r w:rsidRPr="00E45F61">
              <w:rPr>
                <w:rFonts w:eastAsia="Arial"/>
                <w:sz w:val="18"/>
                <w:szCs w:val="18"/>
                <w:lang w:val="es-419"/>
              </w:rPr>
              <w:t xml:space="preserve">uditoría </w:t>
            </w:r>
            <w:r w:rsidR="00CC486A" w:rsidRPr="00E45F61">
              <w:rPr>
                <w:rFonts w:eastAsia="Arial"/>
                <w:sz w:val="18"/>
                <w:szCs w:val="18"/>
                <w:lang w:val="es-419"/>
              </w:rPr>
              <w:t>I</w:t>
            </w:r>
            <w:r w:rsidRPr="00E45F61">
              <w:rPr>
                <w:rFonts w:eastAsia="Arial"/>
                <w:sz w:val="18"/>
                <w:szCs w:val="18"/>
                <w:lang w:val="es-419"/>
              </w:rPr>
              <w:t>nterna</w:t>
            </w:r>
          </w:p>
        </w:tc>
        <w:tc>
          <w:tcPr>
            <w:tcW w:w="2228" w:type="dxa"/>
            <w:vAlign w:val="center"/>
          </w:tcPr>
          <w:p w14:paraId="1EC84F22" w14:textId="77777777" w:rsidR="0076292E" w:rsidRPr="00E45F61" w:rsidRDefault="00B7499E" w:rsidP="000B4F77">
            <w:pPr>
              <w:pStyle w:val="Default"/>
              <w:rPr>
                <w:sz w:val="18"/>
                <w:szCs w:val="18"/>
                <w:lang w:val="es-419"/>
              </w:rPr>
            </w:pPr>
            <w:r w:rsidRPr="00E45F61">
              <w:rPr>
                <w:rFonts w:eastAsia="Arial"/>
                <w:sz w:val="18"/>
                <w:szCs w:val="18"/>
                <w:lang w:val="es-419"/>
              </w:rPr>
              <w:t>IOD/IAM/2025</w:t>
            </w:r>
          </w:p>
        </w:tc>
        <w:tc>
          <w:tcPr>
            <w:tcW w:w="2262" w:type="dxa"/>
            <w:vAlign w:val="center"/>
          </w:tcPr>
          <w:p w14:paraId="05909B9B" w14:textId="77777777" w:rsidR="0076292E" w:rsidRPr="00E45F61" w:rsidRDefault="00B7499E" w:rsidP="000B4F77">
            <w:pPr>
              <w:pStyle w:val="Default"/>
              <w:rPr>
                <w:sz w:val="18"/>
                <w:szCs w:val="18"/>
                <w:lang w:val="es-419"/>
              </w:rPr>
            </w:pPr>
            <w:r w:rsidRPr="00E45F61">
              <w:rPr>
                <w:rFonts w:eastAsia="Arial"/>
                <w:sz w:val="18"/>
                <w:szCs w:val="18"/>
                <w:lang w:val="es-419"/>
              </w:rPr>
              <w:t>20 de enero de</w:t>
            </w:r>
            <w:r w:rsidR="008D09ED" w:rsidRPr="00E45F61">
              <w:rPr>
                <w:rFonts w:eastAsia="Arial"/>
                <w:sz w:val="18"/>
                <w:szCs w:val="18"/>
                <w:lang w:val="es-419"/>
              </w:rPr>
              <w:t> 2</w:t>
            </w:r>
            <w:r w:rsidRPr="00E45F61">
              <w:rPr>
                <w:rFonts w:eastAsia="Arial"/>
                <w:sz w:val="18"/>
                <w:szCs w:val="18"/>
                <w:lang w:val="es-419"/>
              </w:rPr>
              <w:t>025</w:t>
            </w:r>
          </w:p>
        </w:tc>
      </w:tr>
      <w:tr w:rsidR="001700C5" w:rsidRPr="00E45F61" w14:paraId="42C16B58" w14:textId="77777777" w:rsidTr="001E0A7E">
        <w:trPr>
          <w:trHeight w:val="35"/>
        </w:trPr>
        <w:tc>
          <w:tcPr>
            <w:tcW w:w="4855" w:type="dxa"/>
            <w:vAlign w:val="center"/>
          </w:tcPr>
          <w:p w14:paraId="0FB57B58" w14:textId="6CC66AC5" w:rsidR="0076292E" w:rsidRPr="00E45F61" w:rsidRDefault="00B7499E" w:rsidP="000B4F77">
            <w:pPr>
              <w:pStyle w:val="Default"/>
              <w:rPr>
                <w:sz w:val="18"/>
                <w:szCs w:val="18"/>
                <w:lang w:val="es-419"/>
              </w:rPr>
            </w:pPr>
            <w:r w:rsidRPr="00E45F61">
              <w:rPr>
                <w:rFonts w:eastAsia="Arial"/>
                <w:sz w:val="18"/>
                <w:szCs w:val="18"/>
                <w:lang w:val="es-419"/>
              </w:rPr>
              <w:t xml:space="preserve">Política de </w:t>
            </w:r>
            <w:r w:rsidR="00CC486A" w:rsidRPr="00E45F61">
              <w:rPr>
                <w:rFonts w:eastAsia="Arial"/>
                <w:sz w:val="18"/>
                <w:szCs w:val="18"/>
                <w:lang w:val="es-419"/>
              </w:rPr>
              <w:t>I</w:t>
            </w:r>
            <w:r w:rsidRPr="00E45F61">
              <w:rPr>
                <w:rFonts w:eastAsia="Arial"/>
                <w:sz w:val="18"/>
                <w:szCs w:val="18"/>
                <w:lang w:val="es-419"/>
              </w:rPr>
              <w:t>nvestigación</w:t>
            </w:r>
          </w:p>
        </w:tc>
        <w:tc>
          <w:tcPr>
            <w:tcW w:w="2228" w:type="dxa"/>
            <w:vAlign w:val="center"/>
          </w:tcPr>
          <w:p w14:paraId="4049A39A" w14:textId="77777777" w:rsidR="0076292E" w:rsidRPr="00E45F61" w:rsidRDefault="00B7499E" w:rsidP="000B4F77">
            <w:pPr>
              <w:pStyle w:val="Default"/>
              <w:rPr>
                <w:sz w:val="18"/>
                <w:szCs w:val="18"/>
                <w:lang w:val="es-419"/>
              </w:rPr>
            </w:pPr>
            <w:r w:rsidRPr="00E45F61">
              <w:rPr>
                <w:rFonts w:eastAsia="Arial"/>
                <w:sz w:val="18"/>
                <w:szCs w:val="18"/>
                <w:lang w:val="es-419"/>
              </w:rPr>
              <w:t>IOD/IP/2025/1</w:t>
            </w:r>
          </w:p>
        </w:tc>
        <w:tc>
          <w:tcPr>
            <w:tcW w:w="2262" w:type="dxa"/>
            <w:vAlign w:val="center"/>
          </w:tcPr>
          <w:p w14:paraId="64163378" w14:textId="77777777" w:rsidR="0076292E" w:rsidRPr="00E45F61" w:rsidRDefault="00B7499E" w:rsidP="000B4F77">
            <w:pPr>
              <w:pStyle w:val="Default"/>
              <w:rPr>
                <w:sz w:val="18"/>
                <w:szCs w:val="18"/>
                <w:lang w:val="es-419"/>
              </w:rPr>
            </w:pPr>
            <w:r w:rsidRPr="00E45F61">
              <w:rPr>
                <w:rFonts w:eastAsia="Arial"/>
                <w:sz w:val="18"/>
                <w:szCs w:val="18"/>
                <w:lang w:val="es-419"/>
              </w:rPr>
              <w:t>28 de enero de</w:t>
            </w:r>
            <w:r w:rsidR="008D09ED" w:rsidRPr="00E45F61">
              <w:rPr>
                <w:rFonts w:eastAsia="Arial"/>
                <w:sz w:val="18"/>
                <w:szCs w:val="18"/>
                <w:lang w:val="es-419"/>
              </w:rPr>
              <w:t> 2</w:t>
            </w:r>
            <w:r w:rsidRPr="00E45F61">
              <w:rPr>
                <w:rFonts w:eastAsia="Arial"/>
                <w:sz w:val="18"/>
                <w:szCs w:val="18"/>
                <w:lang w:val="es-419"/>
              </w:rPr>
              <w:t>025</w:t>
            </w:r>
          </w:p>
        </w:tc>
      </w:tr>
      <w:tr w:rsidR="001700C5" w:rsidRPr="00E45F61" w14:paraId="40C8D8C0" w14:textId="77777777" w:rsidTr="001E0A7E">
        <w:trPr>
          <w:trHeight w:val="35"/>
        </w:trPr>
        <w:tc>
          <w:tcPr>
            <w:tcW w:w="4855" w:type="dxa"/>
            <w:vAlign w:val="center"/>
          </w:tcPr>
          <w:p w14:paraId="113FE643" w14:textId="5ABE0BED" w:rsidR="0076292E" w:rsidRPr="00E45F61" w:rsidRDefault="00B7499E" w:rsidP="000B4F77">
            <w:pPr>
              <w:pStyle w:val="Default"/>
              <w:rPr>
                <w:sz w:val="18"/>
                <w:szCs w:val="18"/>
                <w:lang w:val="es-419"/>
              </w:rPr>
            </w:pPr>
            <w:r w:rsidRPr="00E45F61">
              <w:rPr>
                <w:rFonts w:eastAsia="Arial"/>
                <w:sz w:val="18"/>
                <w:szCs w:val="18"/>
                <w:lang w:val="es-419"/>
              </w:rPr>
              <w:t xml:space="preserve">Manual de </w:t>
            </w:r>
            <w:r w:rsidR="00CC486A" w:rsidRPr="00E45F61">
              <w:rPr>
                <w:rFonts w:eastAsia="Arial"/>
                <w:sz w:val="18"/>
                <w:szCs w:val="18"/>
                <w:lang w:val="es-419"/>
              </w:rPr>
              <w:t>I</w:t>
            </w:r>
            <w:r w:rsidRPr="00E45F61">
              <w:rPr>
                <w:rFonts w:eastAsia="Arial"/>
                <w:sz w:val="18"/>
                <w:szCs w:val="18"/>
                <w:lang w:val="es-419"/>
              </w:rPr>
              <w:t>nvestigación</w:t>
            </w:r>
          </w:p>
        </w:tc>
        <w:tc>
          <w:tcPr>
            <w:tcW w:w="2228" w:type="dxa"/>
            <w:vAlign w:val="center"/>
          </w:tcPr>
          <w:p w14:paraId="5B716344" w14:textId="77777777" w:rsidR="0076292E" w:rsidRPr="00E45F61" w:rsidRDefault="00B7499E" w:rsidP="000B4F77">
            <w:pPr>
              <w:pStyle w:val="Default"/>
              <w:rPr>
                <w:sz w:val="18"/>
                <w:szCs w:val="18"/>
                <w:lang w:val="es-419"/>
              </w:rPr>
            </w:pPr>
            <w:r w:rsidRPr="00E45F61">
              <w:rPr>
                <w:rFonts w:eastAsia="Arial"/>
                <w:sz w:val="18"/>
                <w:szCs w:val="18"/>
                <w:lang w:val="es-419"/>
              </w:rPr>
              <w:t>IOD/IM/2025/1</w:t>
            </w:r>
          </w:p>
        </w:tc>
        <w:tc>
          <w:tcPr>
            <w:tcW w:w="2262" w:type="dxa"/>
            <w:vAlign w:val="center"/>
          </w:tcPr>
          <w:p w14:paraId="27FA1A1F" w14:textId="77777777" w:rsidR="0076292E" w:rsidRPr="00E45F61" w:rsidRDefault="00B7499E" w:rsidP="000B4F77">
            <w:pPr>
              <w:pStyle w:val="Default"/>
              <w:rPr>
                <w:sz w:val="18"/>
                <w:szCs w:val="18"/>
                <w:lang w:val="es-419"/>
              </w:rPr>
            </w:pPr>
            <w:r w:rsidRPr="00E45F61">
              <w:rPr>
                <w:rFonts w:eastAsia="Arial"/>
                <w:sz w:val="18"/>
                <w:szCs w:val="18"/>
                <w:lang w:val="es-419"/>
              </w:rPr>
              <w:t>29 de enero de</w:t>
            </w:r>
            <w:r w:rsidR="008D09ED" w:rsidRPr="00E45F61">
              <w:rPr>
                <w:rFonts w:eastAsia="Arial"/>
                <w:sz w:val="18"/>
                <w:szCs w:val="18"/>
                <w:lang w:val="es-419"/>
              </w:rPr>
              <w:t> 2</w:t>
            </w:r>
            <w:r w:rsidRPr="00E45F61">
              <w:rPr>
                <w:rFonts w:eastAsia="Arial"/>
                <w:sz w:val="18"/>
                <w:szCs w:val="18"/>
                <w:lang w:val="es-419"/>
              </w:rPr>
              <w:t>025</w:t>
            </w:r>
          </w:p>
        </w:tc>
      </w:tr>
      <w:tr w:rsidR="001700C5" w:rsidRPr="00E45F61" w14:paraId="13713014" w14:textId="77777777" w:rsidTr="001E0A7E">
        <w:trPr>
          <w:trHeight w:val="611"/>
          <w:tblHeader/>
        </w:trPr>
        <w:tc>
          <w:tcPr>
            <w:tcW w:w="4855" w:type="dxa"/>
            <w:shd w:val="clear" w:color="auto" w:fill="244061" w:themeFill="accent1" w:themeFillShade="80"/>
            <w:vAlign w:val="center"/>
          </w:tcPr>
          <w:p w14:paraId="74300E25" w14:textId="77777777" w:rsidR="0076292E" w:rsidRPr="00E45F61" w:rsidRDefault="00B7499E" w:rsidP="000B4F77">
            <w:pPr>
              <w:pStyle w:val="ONUME"/>
              <w:numPr>
                <w:ilvl w:val="0"/>
                <w:numId w:val="0"/>
              </w:numPr>
              <w:spacing w:after="240"/>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Informes de la DSI publicados del 1 de enero al 31 de diciembre de 2024</w:t>
            </w:r>
          </w:p>
        </w:tc>
        <w:tc>
          <w:tcPr>
            <w:tcW w:w="2228" w:type="dxa"/>
            <w:shd w:val="clear" w:color="auto" w:fill="244061" w:themeFill="accent1" w:themeFillShade="80"/>
            <w:vAlign w:val="center"/>
          </w:tcPr>
          <w:p w14:paraId="729B9DD2" w14:textId="77777777" w:rsidR="0076292E" w:rsidRPr="00E45F61" w:rsidRDefault="00B7499E" w:rsidP="000B4F77">
            <w:pPr>
              <w:pStyle w:val="ONUME"/>
              <w:numPr>
                <w:ilvl w:val="0"/>
                <w:numId w:val="0"/>
              </w:numPr>
              <w:ind w:left="34"/>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Ref.</w:t>
            </w:r>
          </w:p>
        </w:tc>
        <w:tc>
          <w:tcPr>
            <w:tcW w:w="2262" w:type="dxa"/>
            <w:shd w:val="clear" w:color="auto" w:fill="244061" w:themeFill="accent1" w:themeFillShade="80"/>
          </w:tcPr>
          <w:p w14:paraId="57026F35" w14:textId="77777777" w:rsidR="0076292E" w:rsidRPr="00E45F61" w:rsidRDefault="00B7499E" w:rsidP="000B4F77">
            <w:pPr>
              <w:pStyle w:val="ONUME"/>
              <w:numPr>
                <w:ilvl w:val="0"/>
                <w:numId w:val="0"/>
              </w:numPr>
              <w:ind w:left="34"/>
              <w:jc w:val="center"/>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Fecha de publicación del informe</w:t>
            </w:r>
          </w:p>
        </w:tc>
      </w:tr>
      <w:tr w:rsidR="001700C5" w:rsidRPr="00E45F61" w14:paraId="6AC82B79" w14:textId="77777777" w:rsidTr="000B4F77">
        <w:trPr>
          <w:trHeight w:val="54"/>
          <w:tblHeader/>
        </w:trPr>
        <w:tc>
          <w:tcPr>
            <w:tcW w:w="9345" w:type="dxa"/>
            <w:gridSpan w:val="3"/>
            <w:shd w:val="clear" w:color="auto" w:fill="1F497D" w:themeFill="text2"/>
            <w:vAlign w:val="center"/>
          </w:tcPr>
          <w:p w14:paraId="784E3159" w14:textId="77777777" w:rsidR="0076292E" w:rsidRPr="00E45F61" w:rsidRDefault="00B7499E" w:rsidP="000B4F77">
            <w:pPr>
              <w:pStyle w:val="ONUME"/>
              <w:numPr>
                <w:ilvl w:val="0"/>
                <w:numId w:val="0"/>
              </w:numPr>
              <w:spacing w:after="0"/>
              <w:rPr>
                <w:rFonts w:eastAsia="Times New Roman"/>
                <w:b/>
                <w:color w:val="FFFFFF" w:themeColor="background1"/>
                <w:sz w:val="18"/>
                <w:szCs w:val="18"/>
                <w:lang w:val="es-419" w:eastAsia="en-US"/>
              </w:rPr>
            </w:pPr>
            <w:r w:rsidRPr="00E45F61">
              <w:rPr>
                <w:rFonts w:eastAsia="Arial"/>
                <w:b/>
                <w:bCs/>
                <w:color w:val="FFFFFF"/>
                <w:sz w:val="18"/>
                <w:szCs w:val="18"/>
                <w:lang w:val="es-419" w:eastAsia="en-US"/>
              </w:rPr>
              <w:t>Actividades de auditoría</w:t>
            </w:r>
          </w:p>
        </w:tc>
      </w:tr>
      <w:tr w:rsidR="001700C5" w:rsidRPr="00E45F61" w14:paraId="11D157C1" w14:textId="77777777" w:rsidTr="001E0A7E">
        <w:trPr>
          <w:trHeight w:val="35"/>
        </w:trPr>
        <w:tc>
          <w:tcPr>
            <w:tcW w:w="4855" w:type="dxa"/>
            <w:vAlign w:val="center"/>
          </w:tcPr>
          <w:p w14:paraId="1C38C2CF" w14:textId="77777777" w:rsidR="0076292E" w:rsidRPr="00E45F61" w:rsidRDefault="00B7499E" w:rsidP="000B4F77">
            <w:pPr>
              <w:pStyle w:val="Default"/>
              <w:rPr>
                <w:sz w:val="18"/>
                <w:szCs w:val="18"/>
                <w:lang w:val="es-419"/>
              </w:rPr>
            </w:pPr>
            <w:r w:rsidRPr="00E45F61">
              <w:rPr>
                <w:rFonts w:eastAsia="Arial"/>
                <w:sz w:val="18"/>
                <w:szCs w:val="18"/>
                <w:lang w:val="es-419"/>
              </w:rPr>
              <w:t>Auditoría de la gestión de la nube</w:t>
            </w:r>
          </w:p>
        </w:tc>
        <w:tc>
          <w:tcPr>
            <w:tcW w:w="2228" w:type="dxa"/>
            <w:vAlign w:val="center"/>
          </w:tcPr>
          <w:p w14:paraId="489650CC" w14:textId="77777777" w:rsidR="0076292E" w:rsidRPr="00E45F61" w:rsidRDefault="00B7499E" w:rsidP="000B4F77">
            <w:pPr>
              <w:pStyle w:val="Default"/>
              <w:rPr>
                <w:sz w:val="18"/>
                <w:szCs w:val="18"/>
                <w:lang w:val="es-419"/>
              </w:rPr>
            </w:pPr>
            <w:r w:rsidRPr="00E45F61">
              <w:rPr>
                <w:rFonts w:eastAsia="Arial"/>
                <w:sz w:val="18"/>
                <w:szCs w:val="18"/>
                <w:lang w:val="es-419"/>
              </w:rPr>
              <w:t>IA 2023-02</w:t>
            </w:r>
          </w:p>
        </w:tc>
        <w:tc>
          <w:tcPr>
            <w:tcW w:w="2262" w:type="dxa"/>
            <w:vAlign w:val="center"/>
          </w:tcPr>
          <w:p w14:paraId="49A67488" w14:textId="77777777" w:rsidR="0076292E" w:rsidRPr="00E45F61" w:rsidRDefault="00B7499E" w:rsidP="000B4F77">
            <w:pPr>
              <w:pStyle w:val="Default"/>
              <w:rPr>
                <w:sz w:val="18"/>
                <w:szCs w:val="18"/>
                <w:lang w:val="es-419"/>
              </w:rPr>
            </w:pPr>
            <w:r w:rsidRPr="00E45F61">
              <w:rPr>
                <w:rFonts w:eastAsia="Arial"/>
                <w:sz w:val="18"/>
                <w:szCs w:val="18"/>
                <w:lang w:val="es-419"/>
              </w:rPr>
              <w:t>31 de enero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4221493B" w14:textId="77777777" w:rsidTr="001E0A7E">
        <w:trPr>
          <w:trHeight w:val="35"/>
        </w:trPr>
        <w:tc>
          <w:tcPr>
            <w:tcW w:w="4855" w:type="dxa"/>
            <w:vAlign w:val="center"/>
          </w:tcPr>
          <w:p w14:paraId="2720527E" w14:textId="77777777" w:rsidR="0076292E" w:rsidRPr="00E45F61" w:rsidRDefault="00B7499E" w:rsidP="000B4F77">
            <w:pPr>
              <w:pStyle w:val="Default"/>
              <w:rPr>
                <w:sz w:val="18"/>
                <w:szCs w:val="18"/>
                <w:lang w:val="es-419"/>
              </w:rPr>
            </w:pPr>
            <w:r w:rsidRPr="00E45F61">
              <w:rPr>
                <w:rFonts w:eastAsia="Arial"/>
                <w:sz w:val="18"/>
                <w:szCs w:val="18"/>
                <w:lang w:val="es-419"/>
              </w:rPr>
              <w:t>Auditoría de la gestión de la ciberseguridad</w:t>
            </w:r>
          </w:p>
        </w:tc>
        <w:tc>
          <w:tcPr>
            <w:tcW w:w="2228" w:type="dxa"/>
            <w:vAlign w:val="center"/>
          </w:tcPr>
          <w:p w14:paraId="1E097B46" w14:textId="77777777" w:rsidR="0076292E" w:rsidRPr="00E45F61" w:rsidRDefault="00B7499E" w:rsidP="000B4F77">
            <w:pPr>
              <w:pStyle w:val="Default"/>
              <w:rPr>
                <w:sz w:val="18"/>
                <w:szCs w:val="18"/>
                <w:lang w:val="es-419"/>
              </w:rPr>
            </w:pPr>
            <w:r w:rsidRPr="00E45F61">
              <w:rPr>
                <w:rFonts w:eastAsia="Arial"/>
                <w:sz w:val="18"/>
                <w:szCs w:val="18"/>
                <w:lang w:val="es-419"/>
              </w:rPr>
              <w:t>IA</w:t>
            </w:r>
            <w:r w:rsidR="008D09ED" w:rsidRPr="00E45F61">
              <w:rPr>
                <w:rFonts w:eastAsia="Arial"/>
                <w:sz w:val="18"/>
                <w:szCs w:val="18"/>
                <w:lang w:val="es-419"/>
              </w:rPr>
              <w:t> 2</w:t>
            </w:r>
            <w:r w:rsidRPr="00E45F61">
              <w:rPr>
                <w:rFonts w:eastAsia="Arial"/>
                <w:sz w:val="18"/>
                <w:szCs w:val="18"/>
                <w:lang w:val="es-419"/>
              </w:rPr>
              <w:t>024-02</w:t>
            </w:r>
          </w:p>
        </w:tc>
        <w:tc>
          <w:tcPr>
            <w:tcW w:w="2262" w:type="dxa"/>
            <w:vAlign w:val="center"/>
          </w:tcPr>
          <w:p w14:paraId="6CCAFB8D" w14:textId="77777777" w:rsidR="0076292E" w:rsidRPr="00E45F61" w:rsidRDefault="00B7499E" w:rsidP="000B4F77">
            <w:pPr>
              <w:pStyle w:val="Default"/>
              <w:rPr>
                <w:sz w:val="18"/>
                <w:szCs w:val="18"/>
                <w:lang w:val="es-419"/>
              </w:rPr>
            </w:pPr>
            <w:r w:rsidRPr="00E45F61">
              <w:rPr>
                <w:rFonts w:eastAsia="Arial"/>
                <w:sz w:val="18"/>
                <w:szCs w:val="18"/>
                <w:lang w:val="es-419"/>
              </w:rPr>
              <w:t>15 de mayo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07FE5F78" w14:textId="77777777" w:rsidTr="001E0A7E">
        <w:trPr>
          <w:trHeight w:val="35"/>
        </w:trPr>
        <w:tc>
          <w:tcPr>
            <w:tcW w:w="4855" w:type="dxa"/>
            <w:vAlign w:val="center"/>
          </w:tcPr>
          <w:p w14:paraId="120343C3" w14:textId="77777777" w:rsidR="0076292E" w:rsidRPr="00E45F61" w:rsidRDefault="00B7499E" w:rsidP="000B4F77">
            <w:pPr>
              <w:pStyle w:val="Default"/>
              <w:rPr>
                <w:sz w:val="18"/>
                <w:szCs w:val="18"/>
                <w:lang w:val="es-419"/>
              </w:rPr>
            </w:pPr>
            <w:r w:rsidRPr="00E45F61">
              <w:rPr>
                <w:rFonts w:eastAsia="Arial"/>
                <w:sz w:val="18"/>
                <w:szCs w:val="18"/>
                <w:lang w:val="es-419"/>
              </w:rPr>
              <w:t>Examen del diseño y la eficacia operativa de los controles clave - Resultados de las pruebas del primer trimestre</w:t>
            </w:r>
          </w:p>
        </w:tc>
        <w:tc>
          <w:tcPr>
            <w:tcW w:w="2228" w:type="dxa"/>
            <w:vAlign w:val="center"/>
          </w:tcPr>
          <w:p w14:paraId="224B55D3" w14:textId="77777777" w:rsidR="0076292E" w:rsidRPr="00E45F61" w:rsidRDefault="00B7499E" w:rsidP="000B4F77">
            <w:pPr>
              <w:pStyle w:val="Default"/>
              <w:rPr>
                <w:sz w:val="18"/>
                <w:szCs w:val="18"/>
                <w:lang w:val="es-419"/>
              </w:rPr>
            </w:pPr>
            <w:r w:rsidRPr="00E45F61">
              <w:rPr>
                <w:rFonts w:eastAsia="Arial"/>
                <w:sz w:val="18"/>
                <w:szCs w:val="18"/>
                <w:lang w:val="es-419"/>
              </w:rPr>
              <w:t>IA</w:t>
            </w:r>
            <w:r w:rsidR="008D09ED" w:rsidRPr="00E45F61">
              <w:rPr>
                <w:rFonts w:eastAsia="Arial"/>
                <w:sz w:val="18"/>
                <w:szCs w:val="18"/>
                <w:lang w:val="es-419"/>
              </w:rPr>
              <w:t> 2</w:t>
            </w:r>
            <w:r w:rsidRPr="00E45F61">
              <w:rPr>
                <w:rFonts w:eastAsia="Arial"/>
                <w:sz w:val="18"/>
                <w:szCs w:val="18"/>
                <w:lang w:val="es-419"/>
              </w:rPr>
              <w:t>024-03</w:t>
            </w:r>
          </w:p>
        </w:tc>
        <w:tc>
          <w:tcPr>
            <w:tcW w:w="2262" w:type="dxa"/>
            <w:vAlign w:val="center"/>
          </w:tcPr>
          <w:p w14:paraId="3F284C28" w14:textId="77777777" w:rsidR="0076292E" w:rsidRPr="00E45F61" w:rsidRDefault="00B7499E" w:rsidP="000B4F77">
            <w:pPr>
              <w:pStyle w:val="Default"/>
              <w:rPr>
                <w:sz w:val="18"/>
                <w:szCs w:val="18"/>
                <w:lang w:val="es-419"/>
              </w:rPr>
            </w:pPr>
            <w:r w:rsidRPr="00E45F61">
              <w:rPr>
                <w:rFonts w:eastAsia="Arial"/>
                <w:sz w:val="18"/>
                <w:szCs w:val="18"/>
                <w:lang w:val="es-419"/>
              </w:rPr>
              <w:t>17 de mayo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71F8D161" w14:textId="77777777" w:rsidTr="001E0A7E">
        <w:trPr>
          <w:trHeight w:val="35"/>
        </w:trPr>
        <w:tc>
          <w:tcPr>
            <w:tcW w:w="4855" w:type="dxa"/>
            <w:vAlign w:val="center"/>
          </w:tcPr>
          <w:p w14:paraId="44A13644" w14:textId="77777777" w:rsidR="0076292E" w:rsidRPr="00E45F61" w:rsidRDefault="00B7499E" w:rsidP="000B4F77">
            <w:pPr>
              <w:pStyle w:val="Default"/>
              <w:rPr>
                <w:sz w:val="18"/>
                <w:szCs w:val="18"/>
                <w:lang w:val="es-419"/>
              </w:rPr>
            </w:pPr>
            <w:r w:rsidRPr="00E45F61">
              <w:rPr>
                <w:rFonts w:eastAsia="Arial"/>
                <w:sz w:val="18"/>
                <w:szCs w:val="18"/>
                <w:lang w:val="es-419"/>
              </w:rPr>
              <w:t>Auditoría de la División de Traducción del PCT</w:t>
            </w:r>
          </w:p>
        </w:tc>
        <w:tc>
          <w:tcPr>
            <w:tcW w:w="2228" w:type="dxa"/>
            <w:vAlign w:val="center"/>
          </w:tcPr>
          <w:p w14:paraId="77ABA6F7" w14:textId="77777777" w:rsidR="0076292E" w:rsidRPr="00E45F61" w:rsidRDefault="00B7499E" w:rsidP="000B4F77">
            <w:pPr>
              <w:pStyle w:val="Default"/>
              <w:rPr>
                <w:sz w:val="18"/>
                <w:szCs w:val="18"/>
                <w:lang w:val="es-419"/>
              </w:rPr>
            </w:pPr>
            <w:r w:rsidRPr="00E45F61">
              <w:rPr>
                <w:rFonts w:eastAsia="Arial"/>
                <w:sz w:val="18"/>
                <w:szCs w:val="18"/>
                <w:lang w:val="es-419"/>
              </w:rPr>
              <w:t>IA</w:t>
            </w:r>
            <w:r w:rsidR="008D09ED" w:rsidRPr="00E45F61">
              <w:rPr>
                <w:rFonts w:eastAsia="Arial"/>
                <w:sz w:val="18"/>
                <w:szCs w:val="18"/>
                <w:lang w:val="es-419"/>
              </w:rPr>
              <w:t> 2</w:t>
            </w:r>
            <w:r w:rsidRPr="00E45F61">
              <w:rPr>
                <w:rFonts w:eastAsia="Arial"/>
                <w:sz w:val="18"/>
                <w:szCs w:val="18"/>
                <w:lang w:val="es-419"/>
              </w:rPr>
              <w:t>024-04</w:t>
            </w:r>
          </w:p>
        </w:tc>
        <w:tc>
          <w:tcPr>
            <w:tcW w:w="2262" w:type="dxa"/>
            <w:vAlign w:val="center"/>
          </w:tcPr>
          <w:p w14:paraId="0F3150E3" w14:textId="77777777" w:rsidR="0076292E" w:rsidRPr="00E45F61" w:rsidRDefault="00B7499E" w:rsidP="000B4F77">
            <w:pPr>
              <w:pStyle w:val="Default"/>
              <w:rPr>
                <w:sz w:val="18"/>
                <w:szCs w:val="18"/>
                <w:lang w:val="es-419"/>
              </w:rPr>
            </w:pPr>
            <w:r w:rsidRPr="00E45F61">
              <w:rPr>
                <w:rFonts w:eastAsia="Arial"/>
                <w:sz w:val="18"/>
                <w:szCs w:val="18"/>
                <w:lang w:val="es-419"/>
              </w:rPr>
              <w:t>19 de diciembre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16AE61D2" w14:textId="77777777" w:rsidTr="001E0A7E">
        <w:trPr>
          <w:trHeight w:val="35"/>
        </w:trPr>
        <w:tc>
          <w:tcPr>
            <w:tcW w:w="4855" w:type="dxa"/>
            <w:vAlign w:val="center"/>
          </w:tcPr>
          <w:p w14:paraId="718569ED" w14:textId="77777777" w:rsidR="0076292E" w:rsidRPr="00E45F61" w:rsidRDefault="00B7499E" w:rsidP="000B4F77">
            <w:pPr>
              <w:pStyle w:val="Default"/>
              <w:rPr>
                <w:sz w:val="18"/>
                <w:szCs w:val="18"/>
                <w:lang w:val="es-419"/>
              </w:rPr>
            </w:pPr>
            <w:r w:rsidRPr="00E45F61">
              <w:rPr>
                <w:rFonts w:eastAsia="Arial"/>
                <w:sz w:val="18"/>
                <w:szCs w:val="18"/>
                <w:lang w:val="es-419"/>
              </w:rPr>
              <w:t>Auditoría interna de la Oficina de la OMPI en Nigeria</w:t>
            </w:r>
          </w:p>
        </w:tc>
        <w:tc>
          <w:tcPr>
            <w:tcW w:w="2228" w:type="dxa"/>
            <w:vAlign w:val="center"/>
          </w:tcPr>
          <w:p w14:paraId="263D9452" w14:textId="77777777" w:rsidR="0076292E" w:rsidRPr="00E45F61" w:rsidRDefault="00B7499E" w:rsidP="000B4F77">
            <w:pPr>
              <w:pStyle w:val="Default"/>
              <w:rPr>
                <w:sz w:val="18"/>
                <w:szCs w:val="18"/>
                <w:lang w:val="es-419"/>
              </w:rPr>
            </w:pPr>
            <w:r w:rsidRPr="00E45F61">
              <w:rPr>
                <w:rFonts w:eastAsia="Arial"/>
                <w:sz w:val="18"/>
                <w:szCs w:val="18"/>
                <w:lang w:val="es-419"/>
              </w:rPr>
              <w:t>IA</w:t>
            </w:r>
            <w:r w:rsidR="008D09ED" w:rsidRPr="00E45F61">
              <w:rPr>
                <w:rFonts w:eastAsia="Arial"/>
                <w:sz w:val="18"/>
                <w:szCs w:val="18"/>
                <w:lang w:val="es-419"/>
              </w:rPr>
              <w:t> 2</w:t>
            </w:r>
            <w:r w:rsidRPr="00E45F61">
              <w:rPr>
                <w:rFonts w:eastAsia="Arial"/>
                <w:sz w:val="18"/>
                <w:szCs w:val="18"/>
                <w:lang w:val="es-419"/>
              </w:rPr>
              <w:t>024-05</w:t>
            </w:r>
          </w:p>
        </w:tc>
        <w:tc>
          <w:tcPr>
            <w:tcW w:w="2262" w:type="dxa"/>
            <w:vAlign w:val="center"/>
          </w:tcPr>
          <w:p w14:paraId="236FE4EF" w14:textId="77777777" w:rsidR="0076292E" w:rsidRPr="00E45F61" w:rsidRDefault="00B7499E" w:rsidP="000B4F77">
            <w:pPr>
              <w:pStyle w:val="Default"/>
              <w:rPr>
                <w:sz w:val="18"/>
                <w:szCs w:val="18"/>
                <w:lang w:val="es-419"/>
              </w:rPr>
            </w:pPr>
            <w:r w:rsidRPr="00E45F61">
              <w:rPr>
                <w:rFonts w:eastAsia="Arial"/>
                <w:sz w:val="18"/>
                <w:szCs w:val="18"/>
                <w:lang w:val="es-419"/>
              </w:rPr>
              <w:t>19 de diciembre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734A4271" w14:textId="77777777" w:rsidTr="000B4F77">
        <w:trPr>
          <w:trHeight w:val="54"/>
        </w:trPr>
        <w:tc>
          <w:tcPr>
            <w:tcW w:w="9345" w:type="dxa"/>
            <w:gridSpan w:val="3"/>
            <w:shd w:val="clear" w:color="auto" w:fill="1F497D" w:themeFill="text2"/>
            <w:vAlign w:val="center"/>
          </w:tcPr>
          <w:p w14:paraId="3AEB6339" w14:textId="77777777" w:rsidR="0076292E" w:rsidRPr="00E45F61" w:rsidRDefault="00B7499E" w:rsidP="000B4F77">
            <w:pPr>
              <w:pStyle w:val="ONUME"/>
              <w:numPr>
                <w:ilvl w:val="0"/>
                <w:numId w:val="0"/>
              </w:numPr>
              <w:spacing w:after="0"/>
              <w:ind w:left="34"/>
              <w:rPr>
                <w:rFonts w:eastAsia="Times New Roman"/>
                <w:b/>
                <w:color w:val="FFFFFF" w:themeColor="background1"/>
                <w:sz w:val="18"/>
                <w:szCs w:val="18"/>
                <w:lang w:val="es-419" w:eastAsia="en-US"/>
              </w:rPr>
            </w:pPr>
            <w:r w:rsidRPr="00E45F61">
              <w:rPr>
                <w:rFonts w:eastAsia="Arial"/>
                <w:b/>
                <w:bCs/>
                <w:color w:val="FFFFFF"/>
                <w:sz w:val="18"/>
                <w:szCs w:val="18"/>
                <w:lang w:val="es-419"/>
              </w:rPr>
              <w:t>Actividades de examen</w:t>
            </w:r>
          </w:p>
        </w:tc>
      </w:tr>
      <w:tr w:rsidR="001700C5" w:rsidRPr="00E45F61" w14:paraId="442B0C5A" w14:textId="77777777" w:rsidTr="001E0A7E">
        <w:trPr>
          <w:trHeight w:val="35"/>
        </w:trPr>
        <w:tc>
          <w:tcPr>
            <w:tcW w:w="4855" w:type="dxa"/>
            <w:vAlign w:val="center"/>
          </w:tcPr>
          <w:p w14:paraId="02E3E6DC" w14:textId="77777777" w:rsidR="0076292E" w:rsidRPr="00E45F61" w:rsidRDefault="00B7499E" w:rsidP="000B4F77">
            <w:pPr>
              <w:pStyle w:val="Default"/>
              <w:rPr>
                <w:sz w:val="18"/>
                <w:szCs w:val="18"/>
                <w:lang w:val="es-419"/>
              </w:rPr>
            </w:pPr>
            <w:r w:rsidRPr="00E45F61">
              <w:rPr>
                <w:rFonts w:eastAsia="Arial"/>
                <w:sz w:val="18"/>
                <w:szCs w:val="18"/>
                <w:lang w:val="es-419"/>
              </w:rPr>
              <w:t>Validación del seguro médico pagadero tras la separación del servicio (ASHI)</w:t>
            </w:r>
          </w:p>
        </w:tc>
        <w:tc>
          <w:tcPr>
            <w:tcW w:w="2228" w:type="dxa"/>
            <w:vAlign w:val="center"/>
          </w:tcPr>
          <w:p w14:paraId="7C1C387F" w14:textId="77777777" w:rsidR="0076292E" w:rsidRPr="00E45F61" w:rsidRDefault="00B7499E" w:rsidP="000B4F77">
            <w:pPr>
              <w:pStyle w:val="Default"/>
              <w:rPr>
                <w:sz w:val="18"/>
                <w:szCs w:val="18"/>
                <w:lang w:val="es-419"/>
              </w:rPr>
            </w:pPr>
            <w:r w:rsidRPr="00E45F61">
              <w:rPr>
                <w:rFonts w:eastAsia="Arial"/>
                <w:sz w:val="18"/>
                <w:szCs w:val="18"/>
                <w:lang w:val="es-419"/>
              </w:rPr>
              <w:t>IA</w:t>
            </w:r>
            <w:r w:rsidR="008D09ED" w:rsidRPr="00E45F61">
              <w:rPr>
                <w:rFonts w:eastAsia="Arial"/>
                <w:sz w:val="18"/>
                <w:szCs w:val="18"/>
                <w:lang w:val="es-419"/>
              </w:rPr>
              <w:t> 2</w:t>
            </w:r>
            <w:r w:rsidRPr="00E45F61">
              <w:rPr>
                <w:rFonts w:eastAsia="Arial"/>
                <w:sz w:val="18"/>
                <w:szCs w:val="18"/>
                <w:lang w:val="es-419"/>
              </w:rPr>
              <w:t>024-01</w:t>
            </w:r>
          </w:p>
        </w:tc>
        <w:tc>
          <w:tcPr>
            <w:tcW w:w="2262" w:type="dxa"/>
            <w:vAlign w:val="center"/>
          </w:tcPr>
          <w:p w14:paraId="61B05147" w14:textId="77777777" w:rsidR="0076292E" w:rsidRPr="00E45F61" w:rsidRDefault="00B7499E" w:rsidP="000B4F77">
            <w:pPr>
              <w:pStyle w:val="Default"/>
              <w:rPr>
                <w:sz w:val="18"/>
                <w:szCs w:val="18"/>
                <w:lang w:val="es-419"/>
              </w:rPr>
            </w:pPr>
            <w:r w:rsidRPr="00E45F61">
              <w:rPr>
                <w:rFonts w:eastAsia="Arial"/>
                <w:sz w:val="18"/>
                <w:szCs w:val="18"/>
                <w:lang w:val="es-419"/>
              </w:rPr>
              <w:t>25 de abril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07BF9F02" w14:textId="77777777" w:rsidTr="001E0A7E">
        <w:trPr>
          <w:trHeight w:val="35"/>
        </w:trPr>
        <w:tc>
          <w:tcPr>
            <w:tcW w:w="4855" w:type="dxa"/>
            <w:vAlign w:val="center"/>
          </w:tcPr>
          <w:p w14:paraId="4285A054" w14:textId="77777777" w:rsidR="0076292E" w:rsidRPr="00E45F61" w:rsidRDefault="00B7499E" w:rsidP="000B4F77">
            <w:pPr>
              <w:pStyle w:val="Default"/>
              <w:rPr>
                <w:sz w:val="18"/>
                <w:szCs w:val="18"/>
                <w:lang w:val="es-419"/>
              </w:rPr>
            </w:pPr>
            <w:r w:rsidRPr="00E45F61">
              <w:rPr>
                <w:rFonts w:eastAsia="Arial"/>
                <w:sz w:val="18"/>
                <w:szCs w:val="18"/>
                <w:lang w:val="es-419"/>
              </w:rPr>
              <w:t>Validación del informe sobre el rendimiento de la OMPI (WPR)</w:t>
            </w:r>
          </w:p>
        </w:tc>
        <w:tc>
          <w:tcPr>
            <w:tcW w:w="2228" w:type="dxa"/>
            <w:vAlign w:val="center"/>
          </w:tcPr>
          <w:p w14:paraId="1B6482DF" w14:textId="77777777" w:rsidR="0076292E" w:rsidRPr="00E45F61" w:rsidRDefault="00B7499E" w:rsidP="000B4F77">
            <w:pPr>
              <w:pStyle w:val="Default"/>
              <w:rPr>
                <w:sz w:val="18"/>
                <w:szCs w:val="18"/>
                <w:lang w:val="es-419"/>
              </w:rPr>
            </w:pPr>
            <w:r w:rsidRPr="00E45F61">
              <w:rPr>
                <w:rFonts w:eastAsia="Arial"/>
                <w:sz w:val="18"/>
                <w:szCs w:val="18"/>
                <w:lang w:val="es-419"/>
              </w:rPr>
              <w:t>VALID 2024-01</w:t>
            </w:r>
          </w:p>
        </w:tc>
        <w:tc>
          <w:tcPr>
            <w:tcW w:w="2262" w:type="dxa"/>
            <w:vAlign w:val="center"/>
          </w:tcPr>
          <w:p w14:paraId="79FD5C02" w14:textId="77777777" w:rsidR="0076292E" w:rsidRPr="00E45F61" w:rsidRDefault="00B7499E" w:rsidP="000B4F77">
            <w:pPr>
              <w:pStyle w:val="Default"/>
              <w:rPr>
                <w:sz w:val="18"/>
                <w:szCs w:val="18"/>
                <w:lang w:val="es-419"/>
              </w:rPr>
            </w:pPr>
            <w:r w:rsidRPr="00E45F61">
              <w:rPr>
                <w:rFonts w:eastAsia="Arial"/>
                <w:sz w:val="18"/>
                <w:szCs w:val="18"/>
                <w:lang w:val="es-419"/>
              </w:rPr>
              <w:t>6 de mayo de</w:t>
            </w:r>
            <w:r w:rsidR="008D09ED" w:rsidRPr="00E45F61">
              <w:rPr>
                <w:rFonts w:eastAsia="Arial"/>
                <w:sz w:val="18"/>
                <w:szCs w:val="18"/>
                <w:lang w:val="es-419"/>
              </w:rPr>
              <w:t> 2</w:t>
            </w:r>
            <w:r w:rsidRPr="00E45F61">
              <w:rPr>
                <w:rFonts w:eastAsia="Arial"/>
                <w:sz w:val="18"/>
                <w:szCs w:val="18"/>
                <w:lang w:val="es-419"/>
              </w:rPr>
              <w:t xml:space="preserve">024 </w:t>
            </w:r>
          </w:p>
        </w:tc>
      </w:tr>
      <w:tr w:rsidR="001700C5" w:rsidRPr="00E45F61" w14:paraId="0B4E3772" w14:textId="77777777" w:rsidTr="000B4F77">
        <w:trPr>
          <w:trHeight w:val="54"/>
        </w:trPr>
        <w:tc>
          <w:tcPr>
            <w:tcW w:w="9345" w:type="dxa"/>
            <w:gridSpan w:val="3"/>
            <w:shd w:val="clear" w:color="auto" w:fill="1F497D" w:themeFill="text2"/>
            <w:vAlign w:val="center"/>
          </w:tcPr>
          <w:p w14:paraId="5D43C0F4" w14:textId="77777777" w:rsidR="0076292E" w:rsidRPr="00E45F61" w:rsidRDefault="00B7499E" w:rsidP="000B4F77">
            <w:pPr>
              <w:pStyle w:val="ONUME"/>
              <w:numPr>
                <w:ilvl w:val="0"/>
                <w:numId w:val="0"/>
              </w:numPr>
              <w:spacing w:after="0"/>
              <w:ind w:left="34"/>
              <w:rPr>
                <w:rFonts w:eastAsia="Times New Roman"/>
                <w:color w:val="FFFFFF" w:themeColor="background1"/>
                <w:sz w:val="18"/>
                <w:szCs w:val="18"/>
                <w:lang w:val="es-419" w:eastAsia="en-US"/>
              </w:rPr>
            </w:pPr>
            <w:r w:rsidRPr="00E45F61">
              <w:rPr>
                <w:rFonts w:eastAsia="Arial"/>
                <w:b/>
                <w:bCs/>
                <w:color w:val="FFFFFF"/>
                <w:sz w:val="18"/>
                <w:szCs w:val="18"/>
                <w:lang w:val="es-419"/>
              </w:rPr>
              <w:t>Actividades de evaluación</w:t>
            </w:r>
          </w:p>
        </w:tc>
      </w:tr>
      <w:tr w:rsidR="001700C5" w:rsidRPr="00E45F61" w14:paraId="5DCE04F3" w14:textId="77777777" w:rsidTr="001E0A7E">
        <w:trPr>
          <w:trHeight w:val="35"/>
        </w:trPr>
        <w:tc>
          <w:tcPr>
            <w:tcW w:w="4855" w:type="dxa"/>
            <w:vAlign w:val="center"/>
          </w:tcPr>
          <w:p w14:paraId="52B1CBFB" w14:textId="77777777" w:rsidR="0076292E" w:rsidRPr="00E45F61" w:rsidRDefault="00B7499E" w:rsidP="000B4F77">
            <w:pPr>
              <w:pStyle w:val="Default"/>
              <w:rPr>
                <w:sz w:val="18"/>
                <w:szCs w:val="18"/>
                <w:lang w:val="es-419"/>
              </w:rPr>
            </w:pPr>
            <w:r w:rsidRPr="00E45F61">
              <w:rPr>
                <w:rFonts w:eastAsia="Arial"/>
                <w:sz w:val="18"/>
                <w:szCs w:val="18"/>
                <w:lang w:val="es-419"/>
              </w:rPr>
              <w:t>Evaluación del proyecto de Cestas de Chobe</w:t>
            </w:r>
          </w:p>
        </w:tc>
        <w:tc>
          <w:tcPr>
            <w:tcW w:w="2228" w:type="dxa"/>
            <w:vAlign w:val="center"/>
          </w:tcPr>
          <w:p w14:paraId="09EB4589"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023-02 (Informe I)</w:t>
            </w:r>
          </w:p>
        </w:tc>
        <w:tc>
          <w:tcPr>
            <w:tcW w:w="2262" w:type="dxa"/>
            <w:vAlign w:val="center"/>
          </w:tcPr>
          <w:p w14:paraId="21D75B15" w14:textId="77777777" w:rsidR="0076292E" w:rsidRPr="00E45F61" w:rsidRDefault="00B7499E" w:rsidP="000B4F77">
            <w:pPr>
              <w:pStyle w:val="Default"/>
              <w:rPr>
                <w:sz w:val="18"/>
                <w:szCs w:val="18"/>
                <w:lang w:val="es-419"/>
              </w:rPr>
            </w:pPr>
            <w:r w:rsidRPr="00E45F61">
              <w:rPr>
                <w:rFonts w:eastAsia="Arial"/>
                <w:sz w:val="18"/>
                <w:szCs w:val="18"/>
                <w:lang w:val="es-419"/>
              </w:rPr>
              <w:t>19 de abril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1E958ECE" w14:textId="77777777" w:rsidTr="001E0A7E">
        <w:trPr>
          <w:trHeight w:val="35"/>
        </w:trPr>
        <w:tc>
          <w:tcPr>
            <w:tcW w:w="4855" w:type="dxa"/>
            <w:vAlign w:val="center"/>
          </w:tcPr>
          <w:p w14:paraId="43A0D3B1" w14:textId="77777777" w:rsidR="0076292E" w:rsidRPr="00E45F61" w:rsidRDefault="00B7499E" w:rsidP="000B4F77">
            <w:pPr>
              <w:pStyle w:val="Default"/>
              <w:rPr>
                <w:sz w:val="18"/>
                <w:szCs w:val="18"/>
                <w:lang w:val="es-419"/>
              </w:rPr>
            </w:pPr>
            <w:r w:rsidRPr="00E45F61">
              <w:rPr>
                <w:rFonts w:eastAsia="Arial"/>
                <w:sz w:val="18"/>
                <w:szCs w:val="18"/>
                <w:lang w:val="es-419"/>
              </w:rPr>
              <w:t>Auditoría y evaluación combinadas de las operaciones del Tratado de Cooperación en materia de Patentes (PCT) y sus relaciones con los clientes</w:t>
            </w:r>
            <w:r w:rsidR="00D13EC2" w:rsidRPr="00E45F61">
              <w:rPr>
                <w:rFonts w:eastAsia="Arial"/>
                <w:sz w:val="18"/>
                <w:szCs w:val="18"/>
                <w:lang w:val="es-419"/>
              </w:rPr>
              <w:t>.</w:t>
            </w:r>
            <w:r w:rsidRPr="00E45F61">
              <w:rPr>
                <w:rFonts w:eastAsia="Arial"/>
                <w:sz w:val="18"/>
                <w:szCs w:val="18"/>
                <w:lang w:val="es-419"/>
              </w:rPr>
              <w:t xml:space="preserve"> Parte II</w:t>
            </w:r>
            <w:r w:rsidR="00D13EC2" w:rsidRPr="00E45F61">
              <w:rPr>
                <w:rFonts w:eastAsia="Arial"/>
                <w:sz w:val="18"/>
                <w:szCs w:val="18"/>
                <w:lang w:val="es-419"/>
              </w:rPr>
              <w:t>:</w:t>
            </w:r>
            <w:r w:rsidRPr="00E45F61">
              <w:rPr>
                <w:rFonts w:eastAsia="Arial"/>
                <w:sz w:val="18"/>
                <w:szCs w:val="18"/>
                <w:lang w:val="es-419"/>
              </w:rPr>
              <w:t xml:space="preserve"> Verificación de la cultura de atención al cliente del PCT</w:t>
            </w:r>
          </w:p>
        </w:tc>
        <w:tc>
          <w:tcPr>
            <w:tcW w:w="2228" w:type="dxa"/>
            <w:vAlign w:val="center"/>
          </w:tcPr>
          <w:p w14:paraId="0BE5F8FB"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022-05</w:t>
            </w:r>
          </w:p>
        </w:tc>
        <w:tc>
          <w:tcPr>
            <w:tcW w:w="2262" w:type="dxa"/>
            <w:vAlign w:val="center"/>
          </w:tcPr>
          <w:p w14:paraId="108D7A32" w14:textId="77777777" w:rsidR="0076292E" w:rsidRPr="00E45F61" w:rsidRDefault="00B7499E" w:rsidP="000B4F77">
            <w:pPr>
              <w:pStyle w:val="Default"/>
              <w:rPr>
                <w:sz w:val="18"/>
                <w:szCs w:val="18"/>
                <w:lang w:val="es-419"/>
              </w:rPr>
            </w:pPr>
            <w:r w:rsidRPr="00E45F61">
              <w:rPr>
                <w:rFonts w:eastAsia="Arial"/>
                <w:sz w:val="18"/>
                <w:szCs w:val="18"/>
                <w:lang w:val="es-419"/>
              </w:rPr>
              <w:t>15 de mayo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42791D92" w14:textId="77777777" w:rsidTr="001E0A7E">
        <w:trPr>
          <w:trHeight w:val="35"/>
        </w:trPr>
        <w:tc>
          <w:tcPr>
            <w:tcW w:w="4855" w:type="dxa"/>
            <w:vAlign w:val="center"/>
          </w:tcPr>
          <w:p w14:paraId="6A9448FA" w14:textId="77777777" w:rsidR="0076292E" w:rsidRPr="00E45F61" w:rsidRDefault="00B7499E" w:rsidP="000B4F77">
            <w:pPr>
              <w:pStyle w:val="Default"/>
              <w:rPr>
                <w:sz w:val="18"/>
                <w:szCs w:val="18"/>
                <w:lang w:val="es-419"/>
              </w:rPr>
            </w:pPr>
            <w:r w:rsidRPr="00E45F61">
              <w:rPr>
                <w:rFonts w:eastAsia="Arial"/>
                <w:sz w:val="18"/>
                <w:szCs w:val="18"/>
                <w:lang w:val="es-419"/>
              </w:rPr>
              <w:t>Examen de evaluación previa de WIPO Connect</w:t>
            </w:r>
          </w:p>
        </w:tc>
        <w:tc>
          <w:tcPr>
            <w:tcW w:w="2228" w:type="dxa"/>
            <w:vAlign w:val="center"/>
          </w:tcPr>
          <w:p w14:paraId="55C09E59"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024-01</w:t>
            </w:r>
          </w:p>
        </w:tc>
        <w:tc>
          <w:tcPr>
            <w:tcW w:w="2262" w:type="dxa"/>
            <w:vAlign w:val="center"/>
          </w:tcPr>
          <w:p w14:paraId="59879C04" w14:textId="77777777" w:rsidR="0076292E" w:rsidRPr="00E45F61" w:rsidRDefault="00B7499E" w:rsidP="000B4F77">
            <w:pPr>
              <w:pStyle w:val="Default"/>
              <w:rPr>
                <w:sz w:val="18"/>
                <w:szCs w:val="18"/>
                <w:lang w:val="es-419"/>
              </w:rPr>
            </w:pPr>
            <w:r w:rsidRPr="00E45F61">
              <w:rPr>
                <w:rFonts w:eastAsia="Arial"/>
                <w:sz w:val="18"/>
                <w:szCs w:val="18"/>
                <w:lang w:val="es-419"/>
              </w:rPr>
              <w:t>12 de julio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1F3AAE72" w14:textId="77777777" w:rsidTr="001E0A7E">
        <w:trPr>
          <w:trHeight w:val="35"/>
        </w:trPr>
        <w:tc>
          <w:tcPr>
            <w:tcW w:w="4855" w:type="dxa"/>
            <w:vAlign w:val="center"/>
          </w:tcPr>
          <w:p w14:paraId="3B7034E5" w14:textId="77777777" w:rsidR="0076292E" w:rsidRPr="00E45F61" w:rsidRDefault="00B7499E" w:rsidP="000B4F77">
            <w:pPr>
              <w:pStyle w:val="Default"/>
              <w:rPr>
                <w:sz w:val="18"/>
                <w:szCs w:val="18"/>
                <w:lang w:val="es-419"/>
              </w:rPr>
            </w:pPr>
            <w:r w:rsidRPr="00E45F61">
              <w:rPr>
                <w:rFonts w:eastAsia="Arial"/>
                <w:sz w:val="18"/>
                <w:szCs w:val="18"/>
                <w:lang w:val="es-419"/>
              </w:rPr>
              <w:t>Evaluación previa del programa de becas del Sistema de Madrid</w:t>
            </w:r>
          </w:p>
        </w:tc>
        <w:tc>
          <w:tcPr>
            <w:tcW w:w="2228" w:type="dxa"/>
            <w:vAlign w:val="center"/>
          </w:tcPr>
          <w:p w14:paraId="5AA9FA46"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024-02</w:t>
            </w:r>
          </w:p>
        </w:tc>
        <w:tc>
          <w:tcPr>
            <w:tcW w:w="2262" w:type="dxa"/>
            <w:vAlign w:val="center"/>
          </w:tcPr>
          <w:p w14:paraId="45F33B67" w14:textId="77777777" w:rsidR="0076292E" w:rsidRPr="00E45F61" w:rsidRDefault="00B7499E" w:rsidP="000B4F77">
            <w:pPr>
              <w:pStyle w:val="Default"/>
              <w:rPr>
                <w:sz w:val="18"/>
                <w:szCs w:val="18"/>
                <w:lang w:val="es-419"/>
              </w:rPr>
            </w:pPr>
            <w:r w:rsidRPr="00E45F61">
              <w:rPr>
                <w:rFonts w:eastAsia="Arial"/>
                <w:sz w:val="18"/>
                <w:szCs w:val="18"/>
                <w:lang w:val="es-419"/>
              </w:rPr>
              <w:t>30 de julio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3459153E" w14:textId="77777777" w:rsidTr="001E0A7E">
        <w:trPr>
          <w:trHeight w:val="35"/>
        </w:trPr>
        <w:tc>
          <w:tcPr>
            <w:tcW w:w="4855" w:type="dxa"/>
            <w:vAlign w:val="center"/>
          </w:tcPr>
          <w:p w14:paraId="2942FE98" w14:textId="77777777" w:rsidR="0076292E" w:rsidRPr="00E45F61" w:rsidRDefault="00B7499E" w:rsidP="000B4F77">
            <w:pPr>
              <w:pStyle w:val="Default"/>
              <w:rPr>
                <w:sz w:val="18"/>
                <w:szCs w:val="18"/>
                <w:lang w:val="es-419"/>
              </w:rPr>
            </w:pPr>
            <w:r w:rsidRPr="00E45F61">
              <w:rPr>
                <w:rFonts w:eastAsia="Arial"/>
                <w:sz w:val="18"/>
                <w:szCs w:val="18"/>
                <w:lang w:val="es-419"/>
              </w:rPr>
              <w:t>Examen de evaluación previa del Programa de Instituciones Académicas y Capacitación para Directivos de la Academia de la OMPI</w:t>
            </w:r>
          </w:p>
        </w:tc>
        <w:tc>
          <w:tcPr>
            <w:tcW w:w="2228" w:type="dxa"/>
            <w:vAlign w:val="center"/>
          </w:tcPr>
          <w:p w14:paraId="0A2DC305"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024-03</w:t>
            </w:r>
          </w:p>
        </w:tc>
        <w:tc>
          <w:tcPr>
            <w:tcW w:w="2262" w:type="dxa"/>
            <w:vAlign w:val="center"/>
          </w:tcPr>
          <w:p w14:paraId="189F5A54" w14:textId="77777777" w:rsidR="0076292E" w:rsidRPr="00E45F61" w:rsidRDefault="00B7499E" w:rsidP="000B4F77">
            <w:pPr>
              <w:pStyle w:val="Default"/>
              <w:rPr>
                <w:sz w:val="18"/>
                <w:szCs w:val="18"/>
                <w:lang w:val="es-419"/>
              </w:rPr>
            </w:pPr>
            <w:r w:rsidRPr="00E45F61">
              <w:rPr>
                <w:rFonts w:eastAsia="Arial"/>
                <w:sz w:val="18"/>
                <w:szCs w:val="18"/>
                <w:lang w:val="es-419"/>
              </w:rPr>
              <w:t>28 de agosto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32D8BE6B" w14:textId="77777777" w:rsidTr="001E0A7E">
        <w:trPr>
          <w:trHeight w:val="35"/>
        </w:trPr>
        <w:tc>
          <w:tcPr>
            <w:tcW w:w="4855" w:type="dxa"/>
            <w:vAlign w:val="center"/>
          </w:tcPr>
          <w:p w14:paraId="5890C55C" w14:textId="77777777" w:rsidR="0076292E" w:rsidRPr="00E45F61" w:rsidRDefault="00B7499E" w:rsidP="000B4F77">
            <w:pPr>
              <w:pStyle w:val="Default"/>
              <w:rPr>
                <w:sz w:val="18"/>
                <w:szCs w:val="18"/>
                <w:lang w:val="es-419"/>
              </w:rPr>
            </w:pPr>
            <w:r w:rsidRPr="00E45F61">
              <w:rPr>
                <w:rFonts w:eastAsia="Arial"/>
                <w:sz w:val="18"/>
                <w:szCs w:val="18"/>
                <w:lang w:val="es-419"/>
              </w:rPr>
              <w:t>Evaluación previa de la sección de enseñanza a distancia sobre PI de la Academia de la OMPI</w:t>
            </w:r>
          </w:p>
        </w:tc>
        <w:tc>
          <w:tcPr>
            <w:tcW w:w="2228" w:type="dxa"/>
            <w:vAlign w:val="center"/>
          </w:tcPr>
          <w:p w14:paraId="44F05275"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024-04</w:t>
            </w:r>
          </w:p>
        </w:tc>
        <w:tc>
          <w:tcPr>
            <w:tcW w:w="2262" w:type="dxa"/>
            <w:vAlign w:val="center"/>
          </w:tcPr>
          <w:p w14:paraId="52982BE4" w14:textId="77777777" w:rsidR="0076292E" w:rsidRPr="00E45F61" w:rsidRDefault="00B7499E" w:rsidP="000B4F77">
            <w:pPr>
              <w:pStyle w:val="Default"/>
              <w:rPr>
                <w:sz w:val="18"/>
                <w:szCs w:val="18"/>
                <w:lang w:val="es-419"/>
              </w:rPr>
            </w:pPr>
            <w:r w:rsidRPr="00E45F61">
              <w:rPr>
                <w:rFonts w:eastAsia="Arial"/>
                <w:sz w:val="18"/>
                <w:szCs w:val="18"/>
                <w:lang w:val="es-419"/>
              </w:rPr>
              <w:t>29 de agosto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5E38111C" w14:textId="77777777" w:rsidTr="001E0A7E">
        <w:trPr>
          <w:trHeight w:val="35"/>
        </w:trPr>
        <w:tc>
          <w:tcPr>
            <w:tcW w:w="4855" w:type="dxa"/>
            <w:vAlign w:val="center"/>
          </w:tcPr>
          <w:p w14:paraId="400DDAA0" w14:textId="77777777" w:rsidR="0076292E" w:rsidRPr="00E45F61" w:rsidRDefault="00B7499E" w:rsidP="000B4F77">
            <w:pPr>
              <w:pStyle w:val="Default"/>
              <w:rPr>
                <w:sz w:val="18"/>
                <w:szCs w:val="18"/>
                <w:lang w:val="es-419"/>
              </w:rPr>
            </w:pPr>
            <w:r w:rsidRPr="00E45F61">
              <w:rPr>
                <w:rFonts w:eastAsia="Arial"/>
                <w:sz w:val="18"/>
                <w:szCs w:val="18"/>
                <w:lang w:val="es-419"/>
              </w:rPr>
              <w:t>Evaluación previa de los programas de becas de la OMPI</w:t>
            </w:r>
          </w:p>
        </w:tc>
        <w:tc>
          <w:tcPr>
            <w:tcW w:w="2228" w:type="dxa"/>
            <w:vAlign w:val="center"/>
          </w:tcPr>
          <w:p w14:paraId="6E88F81A"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024-05</w:t>
            </w:r>
          </w:p>
        </w:tc>
        <w:tc>
          <w:tcPr>
            <w:tcW w:w="2262" w:type="dxa"/>
            <w:vAlign w:val="center"/>
          </w:tcPr>
          <w:p w14:paraId="17A2DE55" w14:textId="77777777" w:rsidR="0076292E" w:rsidRPr="00E45F61" w:rsidRDefault="00B7499E" w:rsidP="000B4F77">
            <w:pPr>
              <w:pStyle w:val="Default"/>
              <w:rPr>
                <w:sz w:val="18"/>
                <w:szCs w:val="18"/>
                <w:lang w:val="es-419"/>
              </w:rPr>
            </w:pPr>
            <w:r w:rsidRPr="00E45F61">
              <w:rPr>
                <w:rFonts w:eastAsia="Arial"/>
                <w:sz w:val="18"/>
                <w:szCs w:val="18"/>
                <w:lang w:val="es-419"/>
              </w:rPr>
              <w:t>16 de septiembre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4E024829" w14:textId="77777777" w:rsidTr="001E0A7E">
        <w:trPr>
          <w:trHeight w:val="35"/>
        </w:trPr>
        <w:tc>
          <w:tcPr>
            <w:tcW w:w="4855" w:type="dxa"/>
            <w:vAlign w:val="center"/>
          </w:tcPr>
          <w:p w14:paraId="27F53BC9" w14:textId="77777777" w:rsidR="0076292E" w:rsidRPr="00E45F61" w:rsidRDefault="00B7499E" w:rsidP="000B4F77">
            <w:pPr>
              <w:pStyle w:val="Default"/>
              <w:rPr>
                <w:sz w:val="18"/>
                <w:szCs w:val="18"/>
                <w:lang w:val="es-419"/>
              </w:rPr>
            </w:pPr>
            <w:r w:rsidRPr="00E45F61">
              <w:rPr>
                <w:rFonts w:eastAsia="Arial"/>
                <w:sz w:val="18"/>
                <w:szCs w:val="18"/>
                <w:lang w:val="es-419"/>
              </w:rPr>
              <w:t>Asignación de asesoramiento con intervención de la ciencia del comportamiento para el proyecto de colaboración sobre gestión de contenidos institucionales -</w:t>
            </w:r>
            <w:r w:rsidR="008D09ED" w:rsidRPr="00E45F61">
              <w:rPr>
                <w:rFonts w:eastAsia="Arial"/>
                <w:sz w:val="18"/>
                <w:szCs w:val="18"/>
                <w:lang w:val="es-419"/>
              </w:rPr>
              <w:t> 2</w:t>
            </w:r>
            <w:r w:rsidRPr="00E45F61">
              <w:rPr>
                <w:rFonts w:eastAsia="Arial"/>
                <w:sz w:val="18"/>
                <w:szCs w:val="18"/>
                <w:lang w:val="es-419"/>
              </w:rPr>
              <w:t>.ª parte</w:t>
            </w:r>
          </w:p>
        </w:tc>
        <w:tc>
          <w:tcPr>
            <w:tcW w:w="2228" w:type="dxa"/>
            <w:vAlign w:val="center"/>
          </w:tcPr>
          <w:p w14:paraId="060354FB"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024-06</w:t>
            </w:r>
          </w:p>
        </w:tc>
        <w:tc>
          <w:tcPr>
            <w:tcW w:w="2262" w:type="dxa"/>
            <w:vAlign w:val="center"/>
          </w:tcPr>
          <w:p w14:paraId="48DFD52F" w14:textId="77777777" w:rsidR="0076292E" w:rsidRPr="00E45F61" w:rsidRDefault="00B7499E" w:rsidP="000B4F77">
            <w:pPr>
              <w:pStyle w:val="Default"/>
              <w:rPr>
                <w:sz w:val="18"/>
                <w:szCs w:val="18"/>
                <w:lang w:val="es-419"/>
              </w:rPr>
            </w:pPr>
            <w:r w:rsidRPr="00E45F61">
              <w:rPr>
                <w:rFonts w:eastAsia="Arial"/>
                <w:sz w:val="18"/>
                <w:szCs w:val="18"/>
                <w:lang w:val="es-419"/>
              </w:rPr>
              <w:t>16 de septiembre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2369C5F5" w14:textId="77777777" w:rsidTr="001E0A7E">
        <w:trPr>
          <w:trHeight w:val="35"/>
        </w:trPr>
        <w:tc>
          <w:tcPr>
            <w:tcW w:w="4855" w:type="dxa"/>
            <w:vAlign w:val="center"/>
          </w:tcPr>
          <w:p w14:paraId="48972FCD" w14:textId="3A5FA06A" w:rsidR="0076292E" w:rsidRPr="00E45F61" w:rsidRDefault="00B7499E" w:rsidP="000B4F77">
            <w:pPr>
              <w:pStyle w:val="Default"/>
              <w:rPr>
                <w:sz w:val="18"/>
                <w:szCs w:val="18"/>
                <w:lang w:val="es-419"/>
              </w:rPr>
            </w:pPr>
            <w:r w:rsidRPr="00E45F61">
              <w:rPr>
                <w:rFonts w:eastAsia="Arial"/>
                <w:sz w:val="18"/>
                <w:szCs w:val="18"/>
                <w:lang w:val="es-419"/>
              </w:rPr>
              <w:t xml:space="preserve">Evaluación del </w:t>
            </w:r>
            <w:r w:rsidR="00F443A0" w:rsidRPr="00E45F61">
              <w:rPr>
                <w:rFonts w:eastAsia="Arial"/>
                <w:sz w:val="18"/>
                <w:szCs w:val="18"/>
                <w:lang w:val="es-419"/>
              </w:rPr>
              <w:t>Programa para emprendedoras de Pueblos Indígenas y comunidades locales</w:t>
            </w:r>
            <w:r w:rsidRPr="00E45F61">
              <w:rPr>
                <w:rFonts w:eastAsia="Arial"/>
                <w:sz w:val="18"/>
                <w:szCs w:val="18"/>
                <w:lang w:val="es-419"/>
              </w:rPr>
              <w:t xml:space="preserve"> (WEP)</w:t>
            </w:r>
          </w:p>
        </w:tc>
        <w:tc>
          <w:tcPr>
            <w:tcW w:w="2228" w:type="dxa"/>
            <w:vAlign w:val="center"/>
          </w:tcPr>
          <w:p w14:paraId="6B119C51"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023-02 (Informe</w:t>
            </w:r>
            <w:r w:rsidR="008D09ED" w:rsidRPr="00E45F61">
              <w:rPr>
                <w:rFonts w:eastAsia="Arial"/>
                <w:sz w:val="18"/>
                <w:szCs w:val="18"/>
                <w:lang w:val="es-419"/>
              </w:rPr>
              <w:t> ii)</w:t>
            </w:r>
          </w:p>
        </w:tc>
        <w:tc>
          <w:tcPr>
            <w:tcW w:w="2262" w:type="dxa"/>
            <w:vAlign w:val="center"/>
          </w:tcPr>
          <w:p w14:paraId="1DA6CF42" w14:textId="77777777" w:rsidR="0076292E" w:rsidRPr="00E45F61" w:rsidRDefault="00B7499E" w:rsidP="000B4F77">
            <w:pPr>
              <w:pStyle w:val="Default"/>
              <w:rPr>
                <w:sz w:val="18"/>
                <w:szCs w:val="18"/>
                <w:lang w:val="es-419"/>
              </w:rPr>
            </w:pPr>
            <w:r w:rsidRPr="00E45F61">
              <w:rPr>
                <w:rFonts w:eastAsia="Arial"/>
                <w:sz w:val="18"/>
                <w:szCs w:val="18"/>
                <w:lang w:val="es-419"/>
              </w:rPr>
              <w:t>20 de noviembre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74F4C942" w14:textId="77777777" w:rsidTr="001E0A7E">
        <w:trPr>
          <w:trHeight w:val="35"/>
        </w:trPr>
        <w:tc>
          <w:tcPr>
            <w:tcW w:w="4855" w:type="dxa"/>
            <w:vAlign w:val="center"/>
          </w:tcPr>
          <w:p w14:paraId="2BDC1D93" w14:textId="77777777" w:rsidR="0076292E" w:rsidRPr="00E45F61" w:rsidRDefault="00B7499E" w:rsidP="000B4F77">
            <w:pPr>
              <w:pStyle w:val="Default"/>
              <w:rPr>
                <w:sz w:val="18"/>
                <w:szCs w:val="18"/>
                <w:lang w:val="es-419"/>
              </w:rPr>
            </w:pPr>
            <w:r w:rsidRPr="00E45F61">
              <w:rPr>
                <w:rFonts w:eastAsia="Arial"/>
                <w:sz w:val="18"/>
                <w:szCs w:val="18"/>
                <w:lang w:val="es-419"/>
              </w:rPr>
              <w:t xml:space="preserve">Evaluación del proyecto sobre el fortalecimiento del papel de las mujeres en la innovación y el emprendimiento </w:t>
            </w:r>
          </w:p>
        </w:tc>
        <w:tc>
          <w:tcPr>
            <w:tcW w:w="2228" w:type="dxa"/>
            <w:vAlign w:val="center"/>
          </w:tcPr>
          <w:p w14:paraId="36675483" w14:textId="77777777" w:rsidR="0076292E" w:rsidRPr="00E45F61" w:rsidRDefault="00B7499E" w:rsidP="000B4F77">
            <w:pPr>
              <w:pStyle w:val="Default"/>
              <w:rPr>
                <w:sz w:val="18"/>
                <w:szCs w:val="18"/>
                <w:lang w:val="es-419"/>
              </w:rPr>
            </w:pPr>
            <w:r w:rsidRPr="00E45F61">
              <w:rPr>
                <w:rFonts w:eastAsia="Arial"/>
                <w:sz w:val="18"/>
                <w:szCs w:val="18"/>
                <w:lang w:val="es-419"/>
              </w:rPr>
              <w:t>EVAL</w:t>
            </w:r>
            <w:r w:rsidR="008D09ED" w:rsidRPr="00E45F61">
              <w:rPr>
                <w:rFonts w:eastAsia="Arial"/>
                <w:sz w:val="18"/>
                <w:szCs w:val="18"/>
                <w:lang w:val="es-419"/>
              </w:rPr>
              <w:t> 2</w:t>
            </w:r>
            <w:r w:rsidRPr="00E45F61">
              <w:rPr>
                <w:rFonts w:eastAsia="Arial"/>
                <w:sz w:val="18"/>
                <w:szCs w:val="18"/>
                <w:lang w:val="es-419"/>
              </w:rPr>
              <w:t>023-02 (Informe</w:t>
            </w:r>
            <w:r w:rsidR="008D09ED" w:rsidRPr="00E45F61">
              <w:rPr>
                <w:rFonts w:eastAsia="Arial"/>
                <w:sz w:val="18"/>
                <w:szCs w:val="18"/>
                <w:lang w:val="es-419"/>
              </w:rPr>
              <w:t> iii)</w:t>
            </w:r>
          </w:p>
        </w:tc>
        <w:tc>
          <w:tcPr>
            <w:tcW w:w="2262" w:type="dxa"/>
            <w:vAlign w:val="center"/>
          </w:tcPr>
          <w:p w14:paraId="352203B3" w14:textId="77777777" w:rsidR="0076292E" w:rsidRPr="00E45F61" w:rsidRDefault="00B7499E" w:rsidP="000B4F77">
            <w:pPr>
              <w:pStyle w:val="Default"/>
              <w:rPr>
                <w:sz w:val="18"/>
                <w:szCs w:val="18"/>
                <w:lang w:val="es-419"/>
              </w:rPr>
            </w:pPr>
            <w:r w:rsidRPr="00E45F61">
              <w:rPr>
                <w:rFonts w:eastAsia="Arial"/>
                <w:sz w:val="18"/>
                <w:szCs w:val="18"/>
                <w:lang w:val="es-419"/>
              </w:rPr>
              <w:t>2 de diciembre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5B0D0474" w14:textId="77777777" w:rsidTr="000B4F77">
        <w:trPr>
          <w:trHeight w:val="54"/>
        </w:trPr>
        <w:tc>
          <w:tcPr>
            <w:tcW w:w="9345" w:type="dxa"/>
            <w:gridSpan w:val="3"/>
            <w:shd w:val="clear" w:color="auto" w:fill="1F497D" w:themeFill="text2"/>
            <w:vAlign w:val="center"/>
          </w:tcPr>
          <w:p w14:paraId="6DD9E402" w14:textId="77777777" w:rsidR="0076292E" w:rsidRPr="00E45F61" w:rsidRDefault="00B7499E" w:rsidP="000B4F77">
            <w:pPr>
              <w:pStyle w:val="Default"/>
              <w:rPr>
                <w:color w:val="FFFFFF" w:themeColor="background1"/>
                <w:sz w:val="18"/>
                <w:szCs w:val="18"/>
                <w:lang w:val="es-419"/>
              </w:rPr>
            </w:pPr>
            <w:r w:rsidRPr="00E45F61">
              <w:rPr>
                <w:rFonts w:eastAsia="Arial"/>
                <w:b/>
                <w:bCs/>
                <w:color w:val="FFFFFF"/>
                <w:sz w:val="18"/>
                <w:szCs w:val="18"/>
                <w:lang w:val="es-419"/>
              </w:rPr>
              <w:t>Informes sobre las consecuencias para la dirección</w:t>
            </w:r>
          </w:p>
        </w:tc>
      </w:tr>
      <w:tr w:rsidR="001700C5" w:rsidRPr="00E45F61" w14:paraId="4F9892FC" w14:textId="77777777" w:rsidTr="001E0A7E">
        <w:trPr>
          <w:trHeight w:val="54"/>
        </w:trPr>
        <w:tc>
          <w:tcPr>
            <w:tcW w:w="4855" w:type="dxa"/>
            <w:vAlign w:val="center"/>
          </w:tcPr>
          <w:p w14:paraId="1D70CD5B" w14:textId="77777777" w:rsidR="0076292E" w:rsidRPr="00E45F61" w:rsidRDefault="00B7499E" w:rsidP="000B4F77">
            <w:pPr>
              <w:pStyle w:val="Default"/>
              <w:rPr>
                <w:sz w:val="18"/>
                <w:szCs w:val="18"/>
                <w:lang w:val="es-419"/>
              </w:rPr>
            </w:pPr>
            <w:r w:rsidRPr="00E45F61">
              <w:rPr>
                <w:rFonts w:eastAsia="Arial"/>
                <w:sz w:val="18"/>
                <w:szCs w:val="18"/>
                <w:lang w:val="es-419"/>
              </w:rPr>
              <w:t>Informe sobre las consecuencias para la dirección en la tramitación de las controversias relativas a los nombres de dominio de Internet en el Centro de Arbitraje y Mediación de la OMPI</w:t>
            </w:r>
          </w:p>
        </w:tc>
        <w:tc>
          <w:tcPr>
            <w:tcW w:w="2228" w:type="dxa"/>
            <w:vAlign w:val="center"/>
          </w:tcPr>
          <w:p w14:paraId="0B82CF2A" w14:textId="77777777" w:rsidR="0076292E" w:rsidRPr="00E45F61" w:rsidRDefault="00B7499E" w:rsidP="000B4F77">
            <w:pPr>
              <w:pStyle w:val="Default"/>
              <w:rPr>
                <w:sz w:val="18"/>
                <w:szCs w:val="18"/>
                <w:lang w:val="es-419"/>
              </w:rPr>
            </w:pPr>
            <w:r w:rsidRPr="00E45F61">
              <w:rPr>
                <w:rFonts w:eastAsia="Arial"/>
                <w:sz w:val="18"/>
                <w:szCs w:val="18"/>
                <w:lang w:val="es-419"/>
              </w:rPr>
              <w:t>MIR</w:t>
            </w:r>
            <w:r w:rsidR="008D09ED" w:rsidRPr="00E45F61">
              <w:rPr>
                <w:rFonts w:eastAsia="Arial"/>
                <w:sz w:val="18"/>
                <w:szCs w:val="18"/>
                <w:lang w:val="es-419"/>
              </w:rPr>
              <w:t> 2</w:t>
            </w:r>
            <w:r w:rsidRPr="00E45F61">
              <w:rPr>
                <w:rFonts w:eastAsia="Arial"/>
                <w:sz w:val="18"/>
                <w:szCs w:val="18"/>
                <w:lang w:val="es-419"/>
              </w:rPr>
              <w:t>023-19</w:t>
            </w:r>
          </w:p>
        </w:tc>
        <w:tc>
          <w:tcPr>
            <w:tcW w:w="2262" w:type="dxa"/>
            <w:vAlign w:val="center"/>
          </w:tcPr>
          <w:p w14:paraId="34522D17" w14:textId="77777777" w:rsidR="0076292E" w:rsidRPr="00E45F61" w:rsidRDefault="00B7499E" w:rsidP="000B4F77">
            <w:pPr>
              <w:pStyle w:val="Default"/>
              <w:spacing w:line="259" w:lineRule="auto"/>
              <w:rPr>
                <w:sz w:val="18"/>
                <w:szCs w:val="18"/>
                <w:lang w:val="es-419"/>
              </w:rPr>
            </w:pPr>
            <w:r w:rsidRPr="00E45F61">
              <w:rPr>
                <w:rFonts w:eastAsia="Arial"/>
                <w:sz w:val="18"/>
                <w:szCs w:val="18"/>
                <w:lang w:val="es-419"/>
              </w:rPr>
              <w:t>12 de febrero de</w:t>
            </w:r>
            <w:r w:rsidR="008D09ED" w:rsidRPr="00E45F61">
              <w:rPr>
                <w:rFonts w:eastAsia="Arial"/>
                <w:sz w:val="18"/>
                <w:szCs w:val="18"/>
                <w:lang w:val="es-419"/>
              </w:rPr>
              <w:t> 2</w:t>
            </w:r>
            <w:r w:rsidRPr="00E45F61">
              <w:rPr>
                <w:rFonts w:eastAsia="Arial"/>
                <w:sz w:val="18"/>
                <w:szCs w:val="18"/>
                <w:lang w:val="es-419"/>
              </w:rPr>
              <w:t>024</w:t>
            </w:r>
          </w:p>
        </w:tc>
      </w:tr>
      <w:tr w:rsidR="001700C5" w:rsidRPr="00E45F61" w14:paraId="2AFDDBDB" w14:textId="77777777" w:rsidTr="001E0A7E">
        <w:trPr>
          <w:trHeight w:val="54"/>
        </w:trPr>
        <w:tc>
          <w:tcPr>
            <w:tcW w:w="4855" w:type="dxa"/>
            <w:vAlign w:val="center"/>
          </w:tcPr>
          <w:p w14:paraId="2B4BC044" w14:textId="77777777" w:rsidR="0076292E" w:rsidRPr="00E45F61" w:rsidRDefault="00B7499E" w:rsidP="000B4F77">
            <w:pPr>
              <w:pStyle w:val="Default"/>
              <w:rPr>
                <w:sz w:val="18"/>
                <w:szCs w:val="18"/>
                <w:lang w:val="es-419"/>
              </w:rPr>
            </w:pPr>
            <w:r w:rsidRPr="00E45F61">
              <w:rPr>
                <w:rFonts w:eastAsia="Arial"/>
                <w:sz w:val="18"/>
                <w:szCs w:val="18"/>
                <w:lang w:val="es-419"/>
              </w:rPr>
              <w:t>Informe sobre las consecuencias para la dirección de las ausencias no autorizadas del personal de la OMPI y el abuso de las modalidades de teletrabajo</w:t>
            </w:r>
          </w:p>
        </w:tc>
        <w:tc>
          <w:tcPr>
            <w:tcW w:w="2228" w:type="dxa"/>
            <w:vAlign w:val="center"/>
          </w:tcPr>
          <w:p w14:paraId="141BA7B4" w14:textId="77777777" w:rsidR="0076292E" w:rsidRPr="00E45F61" w:rsidRDefault="00B7499E" w:rsidP="000B4F77">
            <w:pPr>
              <w:pStyle w:val="Default"/>
              <w:rPr>
                <w:sz w:val="18"/>
                <w:szCs w:val="18"/>
                <w:lang w:val="es-419"/>
              </w:rPr>
            </w:pPr>
            <w:r w:rsidRPr="00E45F61">
              <w:rPr>
                <w:rFonts w:eastAsia="Arial"/>
                <w:sz w:val="18"/>
                <w:szCs w:val="18"/>
                <w:lang w:val="es-419"/>
              </w:rPr>
              <w:t>MIR</w:t>
            </w:r>
            <w:r w:rsidR="008D09ED" w:rsidRPr="00E45F61">
              <w:rPr>
                <w:rFonts w:eastAsia="Arial"/>
                <w:sz w:val="18"/>
                <w:szCs w:val="18"/>
                <w:lang w:val="es-419"/>
              </w:rPr>
              <w:t> 2</w:t>
            </w:r>
            <w:r w:rsidRPr="00E45F61">
              <w:rPr>
                <w:rFonts w:eastAsia="Arial"/>
                <w:sz w:val="18"/>
                <w:szCs w:val="18"/>
                <w:lang w:val="es-419"/>
              </w:rPr>
              <w:t>022-20</w:t>
            </w:r>
          </w:p>
        </w:tc>
        <w:tc>
          <w:tcPr>
            <w:tcW w:w="2262" w:type="dxa"/>
            <w:vAlign w:val="center"/>
          </w:tcPr>
          <w:p w14:paraId="03FD644F" w14:textId="77777777" w:rsidR="0076292E" w:rsidRPr="00E45F61" w:rsidRDefault="00B7499E" w:rsidP="000B4F77">
            <w:pPr>
              <w:pStyle w:val="Default"/>
              <w:rPr>
                <w:sz w:val="18"/>
                <w:szCs w:val="18"/>
                <w:lang w:val="es-419"/>
              </w:rPr>
            </w:pPr>
            <w:r w:rsidRPr="00E45F61">
              <w:rPr>
                <w:rFonts w:eastAsia="Arial"/>
                <w:sz w:val="18"/>
                <w:szCs w:val="18"/>
                <w:lang w:val="es-419"/>
              </w:rPr>
              <w:t>4 de abril de</w:t>
            </w:r>
            <w:r w:rsidR="008D09ED" w:rsidRPr="00E45F61">
              <w:rPr>
                <w:rFonts w:eastAsia="Arial"/>
                <w:sz w:val="18"/>
                <w:szCs w:val="18"/>
                <w:lang w:val="es-419"/>
              </w:rPr>
              <w:t> 2</w:t>
            </w:r>
            <w:r w:rsidRPr="00E45F61">
              <w:rPr>
                <w:rFonts w:eastAsia="Arial"/>
                <w:sz w:val="18"/>
                <w:szCs w:val="18"/>
                <w:lang w:val="es-419"/>
              </w:rPr>
              <w:t>024</w:t>
            </w:r>
          </w:p>
        </w:tc>
      </w:tr>
    </w:tbl>
    <w:p w14:paraId="67E81A07" w14:textId="77777777" w:rsidR="0076292E" w:rsidRPr="00E45F61" w:rsidRDefault="00B7499E" w:rsidP="00BE5159">
      <w:pPr>
        <w:keepLines/>
        <w:spacing w:before="360"/>
        <w:ind w:left="5534"/>
        <w:jc w:val="right"/>
        <w:rPr>
          <w:rFonts w:eastAsia="Times New Roman"/>
          <w:szCs w:val="22"/>
          <w:lang w:val="es-419" w:eastAsia="fr-CH"/>
        </w:rPr>
      </w:pPr>
      <w:r w:rsidRPr="00E45F61">
        <w:rPr>
          <w:rFonts w:eastAsia="Arial"/>
          <w:szCs w:val="22"/>
          <w:lang w:val="es-419"/>
        </w:rPr>
        <w:t>[Fin del Anexo y del documento]</w:t>
      </w:r>
    </w:p>
    <w:sectPr w:rsidR="0076292E" w:rsidRPr="00E45F61" w:rsidSect="00BE5159">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BE7A" w14:textId="77777777" w:rsidR="001F2A14" w:rsidRDefault="001F2A14">
      <w:r>
        <w:separator/>
      </w:r>
    </w:p>
  </w:endnote>
  <w:endnote w:type="continuationSeparator" w:id="0">
    <w:p w14:paraId="22B13A0F" w14:textId="77777777" w:rsidR="001F2A14" w:rsidRPr="009D30E6" w:rsidRDefault="001F2A14" w:rsidP="007E663E">
      <w:pPr>
        <w:rPr>
          <w:sz w:val="17"/>
          <w:szCs w:val="17"/>
        </w:rPr>
      </w:pPr>
      <w:r w:rsidRPr="009D30E6">
        <w:rPr>
          <w:sz w:val="17"/>
          <w:szCs w:val="17"/>
        </w:rPr>
        <w:separator/>
      </w:r>
    </w:p>
    <w:p w14:paraId="040D1FD4" w14:textId="77777777" w:rsidR="001F2A14" w:rsidRPr="007E663E" w:rsidRDefault="001F2A14" w:rsidP="007E663E">
      <w:pPr>
        <w:spacing w:after="60"/>
        <w:rPr>
          <w:sz w:val="17"/>
          <w:szCs w:val="17"/>
        </w:rPr>
      </w:pPr>
      <w:r>
        <w:rPr>
          <w:sz w:val="17"/>
        </w:rPr>
        <w:t>[Continuación de la nota de la página anterior]</w:t>
      </w:r>
    </w:p>
  </w:endnote>
  <w:endnote w:type="continuationNotice" w:id="1">
    <w:p w14:paraId="1341E2B5" w14:textId="77777777" w:rsidR="001F2A14" w:rsidRPr="007E663E" w:rsidRDefault="001F2A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8259" w14:textId="77777777" w:rsidR="0076292E" w:rsidRPr="00CD472C" w:rsidRDefault="00B7499E" w:rsidP="002670C4">
    <w:pPr>
      <w:pStyle w:val="Footer"/>
    </w:pPr>
    <w:r>
      <w:rPr>
        <w:noProof/>
      </w:rPr>
      <mc:AlternateContent>
        <mc:Choice Requires="wps">
          <w:drawing>
            <wp:anchor distT="0" distB="0" distL="0" distR="0" simplePos="0" relativeHeight="251661312" behindDoc="0" locked="0" layoutInCell="1" allowOverlap="1" wp14:anchorId="74234AC4" wp14:editId="08F83652">
              <wp:simplePos x="0" y="0"/>
              <wp:positionH relativeFrom="page">
                <wp:align>center</wp:align>
              </wp:positionH>
              <wp:positionV relativeFrom="page">
                <wp:align>bottom</wp:align>
              </wp:positionV>
              <wp:extent cx="1090930" cy="345440"/>
              <wp:effectExtent l="0" t="0" r="13970" b="0"/>
              <wp:wrapNone/>
              <wp:docPr id="2035617361" name="Text Box 7"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77769197" w14:textId="77777777" w:rsidR="0076292E" w:rsidRPr="00242999" w:rsidRDefault="00B7499E" w:rsidP="00242999">
                          <w:pPr>
                            <w:rPr>
                              <w:rFonts w:ascii="Calibri" w:eastAsia="Calibri" w:hAnsi="Calibri" w:cs="Calibri"/>
                              <w:noProof/>
                              <w:color w:val="FF0000"/>
                              <w:sz w:val="20"/>
                            </w:rPr>
                          </w:pPr>
                          <w:r>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34AC4" id="_x0000_t202" coordsize="21600,21600" o:spt="202" path="m,l,21600r21600,l21600,xe">
              <v:stroke joinstyle="miter"/>
              <v:path gradientshapeok="t" o:connecttype="rect"/>
            </v:shapetype>
            <v:shape id="Text Box 7" o:spid="_x0000_s1026" type="#_x0000_t202" alt="WIPO CONFIDENTIAL " style="position:absolute;margin-left:0;margin-top:0;width:85.9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77769197" w14:textId="77777777" w:rsidR="0076292E" w:rsidRPr="00242999" w:rsidRDefault="00B7499E" w:rsidP="00242999">
                    <w:pPr>
                      <w:rPr>
                        <w:rFonts w:ascii="Calibri" w:eastAsia="Calibri" w:hAnsi="Calibri" w:cs="Calibri"/>
                        <w:noProof/>
                        <w:color w:val="FF0000"/>
                        <w:sz w:val="20"/>
                      </w:rPr>
                    </w:pPr>
                    <w:r>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249E" w14:textId="77777777" w:rsidR="0076292E" w:rsidRPr="00CD472C" w:rsidRDefault="0076292E"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FEAA" w14:textId="3160B77C" w:rsidR="0076292E" w:rsidRPr="00CD472C" w:rsidRDefault="0076292E"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A1CB" w14:textId="77777777" w:rsidR="001F2A14" w:rsidRDefault="001F2A14">
      <w:r>
        <w:separator/>
      </w:r>
    </w:p>
  </w:footnote>
  <w:footnote w:type="continuationSeparator" w:id="0">
    <w:p w14:paraId="225F3F46" w14:textId="77777777" w:rsidR="001F2A14" w:rsidRPr="009D30E6" w:rsidRDefault="001F2A14" w:rsidP="007E663E">
      <w:pPr>
        <w:rPr>
          <w:sz w:val="17"/>
          <w:szCs w:val="17"/>
        </w:rPr>
      </w:pPr>
      <w:r w:rsidRPr="009D30E6">
        <w:rPr>
          <w:sz w:val="17"/>
          <w:szCs w:val="17"/>
        </w:rPr>
        <w:separator/>
      </w:r>
    </w:p>
    <w:p w14:paraId="3B0B13FB" w14:textId="77777777" w:rsidR="001F2A14" w:rsidRPr="007E663E" w:rsidRDefault="001F2A14" w:rsidP="007E663E">
      <w:pPr>
        <w:spacing w:after="60"/>
        <w:rPr>
          <w:sz w:val="17"/>
          <w:szCs w:val="17"/>
        </w:rPr>
      </w:pPr>
      <w:r>
        <w:rPr>
          <w:sz w:val="17"/>
        </w:rPr>
        <w:t>[Continuación de la nota de la página anterior]</w:t>
      </w:r>
    </w:p>
  </w:footnote>
  <w:footnote w:type="continuationNotice" w:id="1">
    <w:p w14:paraId="2F97DFEC" w14:textId="77777777" w:rsidR="001F2A14" w:rsidRPr="007E663E" w:rsidRDefault="001F2A14" w:rsidP="007E663E">
      <w:pPr>
        <w:spacing w:before="60"/>
        <w:jc w:val="right"/>
        <w:rPr>
          <w:sz w:val="17"/>
          <w:szCs w:val="17"/>
        </w:rPr>
      </w:pPr>
      <w:r w:rsidRPr="007E663E">
        <w:rPr>
          <w:sz w:val="17"/>
          <w:szCs w:val="17"/>
        </w:rPr>
        <w:t>[Sigue la nota en la página siguiente]</w:t>
      </w:r>
    </w:p>
  </w:footnote>
  <w:footnote w:id="2">
    <w:p w14:paraId="293FF575" w14:textId="5FEAFA8C" w:rsidR="0076292E" w:rsidRPr="00790D71" w:rsidRDefault="00B7499E" w:rsidP="0076292E">
      <w:pPr>
        <w:pStyle w:val="FootnoteText"/>
        <w:rPr>
          <w:szCs w:val="18"/>
        </w:rPr>
      </w:pPr>
      <w:r w:rsidRPr="0009168D">
        <w:rPr>
          <w:rStyle w:val="FootnoteReference"/>
          <w:szCs w:val="18"/>
        </w:rPr>
        <w:footnoteRef/>
      </w:r>
      <w:r w:rsidR="00BE5159">
        <w:rPr>
          <w:rFonts w:eastAsia="Arial"/>
          <w:szCs w:val="18"/>
        </w:rPr>
        <w:t xml:space="preserve"> </w:t>
      </w:r>
      <w:r>
        <w:rPr>
          <w:rFonts w:eastAsia="Arial"/>
          <w:szCs w:val="18"/>
        </w:rPr>
        <w:t>Véase el párrafo</w:t>
      </w:r>
      <w:r w:rsidR="00E87EC1">
        <w:rPr>
          <w:rFonts w:eastAsia="Arial"/>
          <w:szCs w:val="18"/>
        </w:rPr>
        <w:t> </w:t>
      </w:r>
      <w:r>
        <w:rPr>
          <w:rFonts w:eastAsia="Arial"/>
          <w:szCs w:val="18"/>
        </w:rPr>
        <w:t>51 de la Carta de Supervisión Interna.</w:t>
      </w:r>
    </w:p>
  </w:footnote>
  <w:footnote w:id="3">
    <w:p w14:paraId="15B84633" w14:textId="73421FD7" w:rsidR="008E5E87" w:rsidRPr="00790D71" w:rsidRDefault="008E5E87" w:rsidP="008E5E87">
      <w:pPr>
        <w:pStyle w:val="FootnoteText"/>
        <w:rPr>
          <w:szCs w:val="18"/>
        </w:rPr>
      </w:pPr>
      <w:r w:rsidRPr="0009168D">
        <w:rPr>
          <w:rStyle w:val="FootnoteReference"/>
          <w:szCs w:val="18"/>
        </w:rPr>
        <w:footnoteRef/>
      </w:r>
      <w:r w:rsidR="00BE5159">
        <w:rPr>
          <w:rFonts w:eastAsia="Arial"/>
          <w:szCs w:val="18"/>
        </w:rPr>
        <w:t xml:space="preserve"> </w:t>
      </w:r>
      <w:r>
        <w:rPr>
          <w:rFonts w:eastAsia="Arial"/>
          <w:szCs w:val="18"/>
        </w:rPr>
        <w:t xml:space="preserve">El término “asesoramiento” se emplea en los casos en que la DSI presta apoyo al cliente en forma de consejos y observaciones, pero sin tomar la iniciativa en cuanto a la gestión de la actividad o a la obtención de aportes concretos </w:t>
      </w:r>
      <w:r w:rsidR="00F30324">
        <w:rPr>
          <w:rFonts w:eastAsia="Arial"/>
          <w:szCs w:val="18"/>
        </w:rPr>
        <w:t>oficiales</w:t>
      </w:r>
      <w:r>
        <w:rPr>
          <w:rFonts w:eastAsia="Arial"/>
          <w:szCs w:val="18"/>
        </w:rPr>
        <w:t>.</w:t>
      </w:r>
    </w:p>
  </w:footnote>
  <w:footnote w:id="4">
    <w:p w14:paraId="5969CAF2" w14:textId="4E3E9893" w:rsidR="00D40A12" w:rsidRPr="00790D71" w:rsidRDefault="00D40A12" w:rsidP="00D40A12">
      <w:pPr>
        <w:pStyle w:val="FootnoteText"/>
      </w:pPr>
      <w:r>
        <w:rPr>
          <w:rStyle w:val="FootnoteReference"/>
        </w:rPr>
        <w:footnoteRef/>
      </w:r>
      <w:r w:rsidR="00BE5159">
        <w:rPr>
          <w:rFonts w:eastAsia="Arial"/>
          <w:szCs w:val="18"/>
        </w:rPr>
        <w:t xml:space="preserve"> </w:t>
      </w:r>
      <w:r>
        <w:rPr>
          <w:rFonts w:eastAsia="Arial"/>
          <w:szCs w:val="18"/>
        </w:rPr>
        <w:t>Evaluación de la División para América Latina y el Caribe</w:t>
      </w:r>
      <w:r w:rsidR="00E87EC1">
        <w:rPr>
          <w:rFonts w:eastAsia="Arial"/>
          <w:szCs w:val="18"/>
        </w:rPr>
        <w:t>.</w:t>
      </w:r>
    </w:p>
  </w:footnote>
  <w:footnote w:id="5">
    <w:p w14:paraId="4A9B9D80" w14:textId="1E725C60" w:rsidR="0076292E" w:rsidRPr="00790D71" w:rsidRDefault="00B7499E" w:rsidP="0076292E">
      <w:pPr>
        <w:pStyle w:val="FootnoteText"/>
      </w:pPr>
      <w:r w:rsidRPr="009C0A04">
        <w:rPr>
          <w:rStyle w:val="FootnoteReference"/>
        </w:rPr>
        <w:footnoteRef/>
      </w:r>
      <w:r w:rsidR="00BE5159">
        <w:rPr>
          <w:rFonts w:eastAsia="Arial"/>
          <w:szCs w:val="18"/>
        </w:rPr>
        <w:t xml:space="preserve"> </w:t>
      </w:r>
      <w:r>
        <w:rPr>
          <w:rFonts w:eastAsia="Arial"/>
          <w:szCs w:val="18"/>
        </w:rPr>
        <w:t>Auditoría y evaluación de las operaciones del Tratado de Cooperación en materia de Patentes (PCT) y sus relaciones con los clientes</w:t>
      </w:r>
      <w:r w:rsidR="00EF0C1B">
        <w:rPr>
          <w:rFonts w:eastAsia="Arial"/>
          <w:szCs w:val="18"/>
        </w:rPr>
        <w:t>.</w:t>
      </w:r>
      <w:r>
        <w:rPr>
          <w:rFonts w:eastAsia="Arial"/>
          <w:szCs w:val="18"/>
        </w:rPr>
        <w:t xml:space="preserve"> </w:t>
      </w:r>
      <w:r w:rsidR="00EF0C1B">
        <w:rPr>
          <w:rFonts w:eastAsia="Arial"/>
          <w:szCs w:val="18"/>
        </w:rPr>
        <w:t>P</w:t>
      </w:r>
      <w:r>
        <w:rPr>
          <w:rFonts w:eastAsia="Arial"/>
          <w:szCs w:val="18"/>
        </w:rPr>
        <w:t>arte I: Resultados de la auditoría de las operaciones del PCT (IA</w:t>
      </w:r>
      <w:r w:rsidR="00E87EC1">
        <w:rPr>
          <w:rFonts w:eastAsia="Arial"/>
          <w:szCs w:val="18"/>
        </w:rPr>
        <w:t> </w:t>
      </w:r>
      <w:r>
        <w:rPr>
          <w:rFonts w:eastAsia="Arial"/>
          <w:szCs w:val="18"/>
        </w:rPr>
        <w:t>2022-05)</w:t>
      </w:r>
      <w:r w:rsidR="00EF0C1B">
        <w:rPr>
          <w:rFonts w:eastAsia="Arial"/>
          <w:szCs w:val="18"/>
        </w:rPr>
        <w:t>.</w:t>
      </w:r>
    </w:p>
  </w:footnote>
  <w:footnote w:id="6">
    <w:p w14:paraId="4EF60D71" w14:textId="7D52CFFC" w:rsidR="0076292E" w:rsidRPr="00790D71" w:rsidRDefault="00B7499E" w:rsidP="0076292E">
      <w:pPr>
        <w:pStyle w:val="FootnoteText"/>
      </w:pPr>
      <w:r w:rsidRPr="00A13A29">
        <w:rPr>
          <w:rStyle w:val="FootnoteReference"/>
        </w:rPr>
        <w:footnoteRef/>
      </w:r>
      <w:r w:rsidR="00BE5159">
        <w:rPr>
          <w:rFonts w:eastAsia="Arial"/>
          <w:szCs w:val="18"/>
        </w:rPr>
        <w:t xml:space="preserve"> </w:t>
      </w:r>
      <w:r>
        <w:rPr>
          <w:rFonts w:eastAsia="Arial"/>
          <w:szCs w:val="18"/>
        </w:rPr>
        <w:t>Enseñanzas extraídas de la aplicación de las iniciativas de la OMPI encaminadas a empoderar a las empre</w:t>
      </w:r>
      <w:r w:rsidR="00A203CC">
        <w:rPr>
          <w:rFonts w:eastAsia="Arial"/>
          <w:szCs w:val="18"/>
        </w:rPr>
        <w:t>ndedoras</w:t>
      </w:r>
      <w:r>
        <w:rPr>
          <w:rFonts w:eastAsia="Arial"/>
          <w:szCs w:val="18"/>
        </w:rPr>
        <w:t xml:space="preserve"> (EVAL</w:t>
      </w:r>
      <w:r w:rsidR="00E87EC1">
        <w:rPr>
          <w:rFonts w:eastAsia="Arial"/>
          <w:szCs w:val="18"/>
        </w:rPr>
        <w:t> </w:t>
      </w:r>
      <w:r>
        <w:rPr>
          <w:rFonts w:eastAsia="Arial"/>
          <w:szCs w:val="18"/>
        </w:rPr>
        <w:t>2022-03), 17</w:t>
      </w:r>
      <w:r w:rsidR="00EF0C1B">
        <w:rPr>
          <w:rFonts w:eastAsia="Arial"/>
          <w:szCs w:val="18"/>
        </w:rPr>
        <w:t> </w:t>
      </w:r>
      <w:r>
        <w:rPr>
          <w:rFonts w:eastAsia="Arial"/>
          <w:szCs w:val="18"/>
        </w:rPr>
        <w:t>de mayo de</w:t>
      </w:r>
      <w:r w:rsidR="00EF0C1B">
        <w:rPr>
          <w:rFonts w:eastAsia="Arial"/>
          <w:szCs w:val="18"/>
        </w:rPr>
        <w:t> </w:t>
      </w:r>
      <w:r>
        <w:rPr>
          <w:rFonts w:eastAsia="Arial"/>
          <w:szCs w:val="18"/>
        </w:rPr>
        <w:t>2023.</w:t>
      </w:r>
    </w:p>
  </w:footnote>
  <w:footnote w:id="7">
    <w:p w14:paraId="506E8F00" w14:textId="77777777" w:rsidR="0076292E" w:rsidRPr="00790D71" w:rsidRDefault="00B7499E" w:rsidP="0076292E">
      <w:pPr>
        <w:pStyle w:val="FootnoteText"/>
      </w:pPr>
      <w:r>
        <w:rPr>
          <w:rStyle w:val="FootnoteReference"/>
        </w:rPr>
        <w:footnoteRef/>
      </w:r>
      <w:r>
        <w:rPr>
          <w:rFonts w:eastAsia="Arial"/>
          <w:szCs w:val="18"/>
        </w:rPr>
        <w:t xml:space="preserve"> SOC 2 es un marco de seguridad que especifica cómo deben proteger las organizaciones los datos de los clientes frente a accesos no autorizados, incidentes de seguridad y otras vulnerabilidades. Se trata de un marco elaborado por el </w:t>
      </w:r>
      <w:r w:rsidRPr="00D40A12">
        <w:rPr>
          <w:rFonts w:eastAsia="Arial"/>
          <w:i/>
          <w:iCs/>
          <w:szCs w:val="18"/>
        </w:rPr>
        <w:t>American Institute of Certified Public Accountants</w:t>
      </w:r>
      <w:r>
        <w:rPr>
          <w:rFonts w:eastAsia="Arial"/>
          <w:szCs w:val="18"/>
        </w:rPr>
        <w:t>.</w:t>
      </w:r>
    </w:p>
  </w:footnote>
  <w:footnote w:id="8">
    <w:p w14:paraId="3C70E2DE" w14:textId="77777777" w:rsidR="0076292E" w:rsidRPr="00790D71" w:rsidRDefault="00B7499E" w:rsidP="0076292E">
      <w:pPr>
        <w:pStyle w:val="FootnoteText"/>
      </w:pPr>
      <w:r>
        <w:rPr>
          <w:rStyle w:val="FootnoteReference"/>
        </w:rPr>
        <w:footnoteRef/>
      </w:r>
      <w:r>
        <w:rPr>
          <w:rFonts w:eastAsia="Arial"/>
          <w:szCs w:val="18"/>
        </w:rPr>
        <w:t xml:space="preserve"> Norma mundialmente reconocida en materia de gestión de la calidad. Ayuda a organizaciones de todos los tamaños y sectores a mejorar su rendimiento, responder a las expectativas de los clientes y demostrar su compromiso con la calidad. Sus requisitos definen cómo establecer, aplicar, mantener y mejorar de manera continua un sistema de gestión de la calidad.</w:t>
      </w:r>
    </w:p>
  </w:footnote>
  <w:footnote w:id="9">
    <w:p w14:paraId="51BC3FC1" w14:textId="77777777" w:rsidR="0076292E" w:rsidRPr="00790D71" w:rsidRDefault="00B7499E" w:rsidP="0076292E">
      <w:pPr>
        <w:pStyle w:val="FootnoteText"/>
      </w:pPr>
      <w:r>
        <w:rPr>
          <w:rStyle w:val="FootnoteReference"/>
        </w:rPr>
        <w:footnoteRef/>
      </w:r>
      <w:r>
        <w:rPr>
          <w:rFonts w:eastAsia="Arial"/>
          <w:szCs w:val="18"/>
        </w:rPr>
        <w:t xml:space="preserve"> ISO 27001 es una norma internacional para sistemas de gestión de la seguridad de la información (SGSI). Proporciona un marco para que las organizaciones establezcan, apliquen, mantengan y mejoren continuamente un ISMS, que es un enfoque sistemático para gestionar la información sensible de la empresa, garantizando su confidencialidad, integridad y disponibilidad.</w:t>
      </w:r>
    </w:p>
  </w:footnote>
  <w:footnote w:id="10">
    <w:p w14:paraId="3DE6B88A" w14:textId="77777777" w:rsidR="0076292E" w:rsidRPr="00790D71" w:rsidRDefault="00B7499E" w:rsidP="0076292E">
      <w:pPr>
        <w:pStyle w:val="FootnoteText"/>
      </w:pPr>
      <w:r>
        <w:rPr>
          <w:rStyle w:val="FootnoteReference"/>
        </w:rPr>
        <w:footnoteRef/>
      </w:r>
      <w:r>
        <w:rPr>
          <w:rFonts w:eastAsia="Arial"/>
          <w:szCs w:val="18"/>
        </w:rPr>
        <w:t xml:space="preserve"> Recomendación</w:t>
      </w:r>
      <w:r w:rsidR="00EF0C1B">
        <w:rPr>
          <w:rFonts w:eastAsia="Arial"/>
          <w:szCs w:val="18"/>
        </w:rPr>
        <w:t> </w:t>
      </w:r>
      <w:r>
        <w:rPr>
          <w:rFonts w:eastAsia="Arial"/>
          <w:szCs w:val="18"/>
        </w:rPr>
        <w:t>3 (EARM 2021-01): La OMPI debería acelerar el calendario para que la DSI emita un dictamen anual sobre el entorno de control, la gestión de riesgos y la gobernanza de la OMPI, a fin de proporcionar a los Estados miembros una garantía adicional en esas esferas clave de supervisión y apoyar al director general en la preparación de su Declaración sobre el control interno.</w:t>
      </w:r>
    </w:p>
  </w:footnote>
  <w:footnote w:id="11">
    <w:p w14:paraId="57424F69" w14:textId="77777777" w:rsidR="0076292E" w:rsidRPr="00790D71" w:rsidRDefault="00B7499E" w:rsidP="0076292E">
      <w:pPr>
        <w:pStyle w:val="FootnoteText"/>
      </w:pPr>
      <w:r>
        <w:rPr>
          <w:rStyle w:val="FootnoteReference"/>
        </w:rPr>
        <w:footnoteRef/>
      </w:r>
      <w:r>
        <w:rPr>
          <w:rFonts w:eastAsia="Arial"/>
          <w:szCs w:val="18"/>
        </w:rPr>
        <w:t xml:space="preserve"> El examen de la seguridad informática de las principales aplicaciones utilizadas por la División de Traducción del PCT se limitó a conocer el entorno de seguridad informática en torno a las aplicaciones y a analizar las garantías externas e internas disponibles. Además, la DSI hizo un seguimiento del estado de las vulnerabilidades detectadas en el ejercicio de pruebas de penetración externa realizado por un proveedor externo en mayo de 2024.</w:t>
      </w:r>
    </w:p>
  </w:footnote>
  <w:footnote w:id="12">
    <w:p w14:paraId="25ED61B6" w14:textId="77777777" w:rsidR="0076292E" w:rsidRPr="00790D71" w:rsidRDefault="00B7499E" w:rsidP="0076292E">
      <w:pPr>
        <w:pStyle w:val="FootnoteText"/>
      </w:pPr>
      <w:r>
        <w:rPr>
          <w:rStyle w:val="FootnoteReference"/>
        </w:rPr>
        <w:footnoteRef/>
      </w:r>
      <w:r>
        <w:rPr>
          <w:rFonts w:eastAsia="Arial"/>
          <w:szCs w:val="18"/>
        </w:rPr>
        <w:t xml:space="preserve"> Se limitó a la revisión de los indicadores clave de rendimiento pertinentes.</w:t>
      </w:r>
    </w:p>
  </w:footnote>
  <w:footnote w:id="13">
    <w:p w14:paraId="1ECA528B" w14:textId="77777777" w:rsidR="0076292E" w:rsidRPr="00790D71" w:rsidRDefault="00B7499E" w:rsidP="0076292E">
      <w:pPr>
        <w:pStyle w:val="FootnoteText"/>
      </w:pPr>
      <w:r>
        <w:rPr>
          <w:rStyle w:val="FootnoteReference"/>
        </w:rPr>
        <w:footnoteRef/>
      </w:r>
      <w:r>
        <w:rPr>
          <w:rFonts w:eastAsia="Arial"/>
          <w:szCs w:val="18"/>
        </w:rPr>
        <w:t xml:space="preserve"> Documento WO/PBC/37/8, 3</w:t>
      </w:r>
      <w:r w:rsidR="00EF0C1B">
        <w:rPr>
          <w:rFonts w:eastAsia="Arial"/>
          <w:szCs w:val="18"/>
        </w:rPr>
        <w:t xml:space="preserve"> </w:t>
      </w:r>
      <w:r>
        <w:rPr>
          <w:rFonts w:eastAsia="Arial"/>
          <w:szCs w:val="18"/>
        </w:rPr>
        <w:t>de mayo de</w:t>
      </w:r>
      <w:r w:rsidR="00EF0C1B">
        <w:rPr>
          <w:rFonts w:eastAsia="Arial"/>
          <w:szCs w:val="18"/>
        </w:rPr>
        <w:t> </w:t>
      </w:r>
      <w:r>
        <w:rPr>
          <w:rFonts w:eastAsia="Arial"/>
          <w:szCs w:val="18"/>
        </w:rPr>
        <w:t>2024.</w:t>
      </w:r>
    </w:p>
  </w:footnote>
  <w:footnote w:id="14">
    <w:p w14:paraId="52CD66A7" w14:textId="77777777" w:rsidR="0076292E" w:rsidRPr="00790D71" w:rsidRDefault="00B7499E" w:rsidP="0076292E">
      <w:pPr>
        <w:pStyle w:val="FootnoteText"/>
      </w:pPr>
      <w:r>
        <w:rPr>
          <w:rStyle w:val="FootnoteReference"/>
        </w:rPr>
        <w:footnoteRef/>
      </w:r>
      <w:r>
        <w:rPr>
          <w:rFonts w:eastAsia="Arial"/>
          <w:szCs w:val="18"/>
        </w:rPr>
        <w:t xml:space="preserve"> El informe del estudio de seguimiento evalúa los programas universitarios que han cumplido cinco años, con el fin de determinar su pertinencia, eficacia e incidencia.</w:t>
      </w:r>
    </w:p>
  </w:footnote>
  <w:footnote w:id="15">
    <w:p w14:paraId="2CE7EB70" w14:textId="77777777" w:rsidR="0076292E" w:rsidRPr="00790D71" w:rsidRDefault="00B7499E" w:rsidP="0076292E">
      <w:pPr>
        <w:pStyle w:val="FootnoteText"/>
        <w:rPr>
          <w:highlight w:val="yellow"/>
        </w:rPr>
      </w:pPr>
      <w:r w:rsidRPr="553BE8FA">
        <w:rPr>
          <w:rStyle w:val="FootnoteReference"/>
        </w:rPr>
        <w:footnoteRef/>
      </w:r>
      <w:r>
        <w:rPr>
          <w:rFonts w:eastAsia="Arial"/>
          <w:szCs w:val="18"/>
        </w:rPr>
        <w:t xml:space="preserve"> En 2024 se abrieron 35 casos, además de dos casos trasladados desde 2023 y uno desde 2022.</w:t>
      </w:r>
    </w:p>
  </w:footnote>
  <w:footnote w:id="16">
    <w:p w14:paraId="583FE833" w14:textId="77777777" w:rsidR="0076292E" w:rsidRPr="00790D71" w:rsidRDefault="00B7499E" w:rsidP="0076292E">
      <w:pPr>
        <w:pStyle w:val="FootnoteText"/>
        <w:rPr>
          <w:szCs w:val="18"/>
        </w:rPr>
      </w:pPr>
      <w:r w:rsidRPr="0009168D">
        <w:rPr>
          <w:rStyle w:val="FootnoteReference"/>
          <w:szCs w:val="18"/>
        </w:rPr>
        <w:footnoteRef/>
      </w:r>
      <w:r>
        <w:rPr>
          <w:rFonts w:eastAsia="Arial"/>
          <w:szCs w:val="18"/>
        </w:rPr>
        <w:t xml:space="preserve"> Se concluyeron cuatro investigaciones por casos abiertos en 2022 y 14 por casos abiertos en 2023. </w:t>
      </w:r>
    </w:p>
  </w:footnote>
  <w:footnote w:id="17">
    <w:p w14:paraId="26BBD56E" w14:textId="77777777" w:rsidR="0076292E" w:rsidRPr="00790D71" w:rsidRDefault="00B7499E" w:rsidP="0076292E">
      <w:pPr>
        <w:pStyle w:val="FootnoteText"/>
      </w:pPr>
      <w:r>
        <w:rPr>
          <w:rStyle w:val="FootnoteReference"/>
        </w:rPr>
        <w:footnoteRef/>
      </w:r>
      <w:r>
        <w:rPr>
          <w:rFonts w:eastAsia="Arial"/>
          <w:szCs w:val="18"/>
        </w:rPr>
        <w:t xml:space="preserve"> En 2024 se registraron ocho casos, en 2023 un caso y en 2022, otro. Los casos de 2022 y 2023 se cerraron posteriormente, en enero de 2025.</w:t>
      </w:r>
    </w:p>
  </w:footnote>
  <w:footnote w:id="18">
    <w:p w14:paraId="0EF79BD4" w14:textId="73BD5EEC" w:rsidR="0076292E" w:rsidRPr="00790D71" w:rsidRDefault="00B7499E" w:rsidP="0076292E">
      <w:pPr>
        <w:pStyle w:val="FootnoteText"/>
        <w:rPr>
          <w:szCs w:val="18"/>
        </w:rPr>
      </w:pPr>
      <w:r w:rsidRPr="0009168D">
        <w:rPr>
          <w:rStyle w:val="FootnoteReference"/>
          <w:szCs w:val="18"/>
        </w:rPr>
        <w:footnoteRef/>
      </w:r>
      <w:r w:rsidR="00BE5159">
        <w:rPr>
          <w:rFonts w:eastAsia="Arial"/>
          <w:szCs w:val="18"/>
        </w:rPr>
        <w:t xml:space="preserve"> </w:t>
      </w:r>
      <w:r>
        <w:rPr>
          <w:rFonts w:eastAsia="Arial"/>
          <w:szCs w:val="18"/>
        </w:rPr>
        <w:t>Carta de Supervisión Interna, párrafo 52.c).</w:t>
      </w:r>
    </w:p>
  </w:footnote>
  <w:footnote w:id="19">
    <w:p w14:paraId="3F148DAA" w14:textId="4A38ACEC" w:rsidR="0076292E" w:rsidRPr="00790D71" w:rsidRDefault="00B7499E" w:rsidP="0076292E">
      <w:pPr>
        <w:pStyle w:val="FootnoteText"/>
      </w:pPr>
      <w:r>
        <w:rPr>
          <w:rStyle w:val="FootnoteReference"/>
        </w:rPr>
        <w:footnoteRef/>
      </w:r>
      <w:r w:rsidR="00BE5159">
        <w:rPr>
          <w:rFonts w:eastAsia="Arial"/>
          <w:szCs w:val="18"/>
        </w:rPr>
        <w:t xml:space="preserve"> </w:t>
      </w:r>
      <w:r>
        <w:rPr>
          <w:rFonts w:eastAsia="Arial"/>
          <w:szCs w:val="18"/>
        </w:rPr>
        <w:t>El sistema de gestión de contenidos institucionales consiste en establecer un depósito institucional central para almacenar documentos. El proyecto tiene por fin continuar y acelerar la transformación digital de la OMPI, centrándose en la gestión de contenidos y las capacidades de colaboración.</w:t>
      </w:r>
    </w:p>
  </w:footnote>
  <w:footnote w:id="20">
    <w:p w14:paraId="49368431" w14:textId="7B4EA688" w:rsidR="0076292E" w:rsidRPr="00790D71" w:rsidRDefault="00B7499E" w:rsidP="0076292E">
      <w:pPr>
        <w:pStyle w:val="FootnoteText"/>
        <w:spacing w:after="20"/>
        <w:rPr>
          <w:szCs w:val="18"/>
        </w:rPr>
      </w:pPr>
      <w:r w:rsidRPr="0072065D">
        <w:rPr>
          <w:rStyle w:val="FootnoteReference"/>
          <w:szCs w:val="18"/>
        </w:rPr>
        <w:footnoteRef/>
      </w:r>
      <w:r w:rsidR="00BE5159">
        <w:rPr>
          <w:rFonts w:eastAsia="Arial"/>
          <w:szCs w:val="18"/>
        </w:rPr>
        <w:t xml:space="preserve"> </w:t>
      </w:r>
      <w:r>
        <w:rPr>
          <w:rFonts w:eastAsia="Arial"/>
          <w:szCs w:val="18"/>
        </w:rPr>
        <w:t>Véase el párrafo</w:t>
      </w:r>
      <w:r w:rsidR="00955FCA">
        <w:rPr>
          <w:rFonts w:eastAsia="Arial"/>
          <w:szCs w:val="18"/>
        </w:rPr>
        <w:t> </w:t>
      </w:r>
      <w:r>
        <w:rPr>
          <w:rFonts w:eastAsia="Arial"/>
          <w:szCs w:val="18"/>
        </w:rPr>
        <w:t>49 de la Carta de Supervisión Interna.</w:t>
      </w:r>
    </w:p>
  </w:footnote>
  <w:footnote w:id="21">
    <w:p w14:paraId="4B7A2C9C" w14:textId="1357B694" w:rsidR="0076292E" w:rsidRPr="00790D71" w:rsidRDefault="00B7499E" w:rsidP="0076292E">
      <w:pPr>
        <w:pStyle w:val="FootnoteText"/>
        <w:spacing w:after="20"/>
        <w:rPr>
          <w:szCs w:val="18"/>
        </w:rPr>
      </w:pPr>
      <w:r w:rsidRPr="0072065D">
        <w:rPr>
          <w:rStyle w:val="FootnoteReference"/>
          <w:szCs w:val="18"/>
        </w:rPr>
        <w:footnoteRef/>
      </w:r>
      <w:r w:rsidR="00BE5159">
        <w:rPr>
          <w:rFonts w:eastAsia="Arial"/>
          <w:szCs w:val="18"/>
        </w:rPr>
        <w:t xml:space="preserve"> </w:t>
      </w:r>
      <w:r>
        <w:rPr>
          <w:rFonts w:eastAsia="Arial"/>
          <w:szCs w:val="18"/>
        </w:rPr>
        <w:t>Véase el párrafo 7 de la orden de servicio 16/2010.</w:t>
      </w:r>
    </w:p>
  </w:footnote>
  <w:footnote w:id="22">
    <w:p w14:paraId="290E2A39" w14:textId="77777777" w:rsidR="0076292E" w:rsidRPr="00790D71" w:rsidRDefault="00B7499E" w:rsidP="0076292E">
      <w:pPr>
        <w:pStyle w:val="FootnoteText"/>
        <w:rPr>
          <w:szCs w:val="18"/>
        </w:rPr>
      </w:pPr>
      <w:r w:rsidRPr="0072065D">
        <w:rPr>
          <w:rStyle w:val="FootnoteReference"/>
          <w:szCs w:val="18"/>
        </w:rPr>
        <w:footnoteRef/>
      </w:r>
      <w:r>
        <w:rPr>
          <w:rFonts w:eastAsia="Arial"/>
          <w:szCs w:val="18"/>
        </w:rPr>
        <w:t xml:space="preserve"> Una recomendación “de seguimiento” relacionada con el examen por homólogos realizada por la Alianza de Asesoría y Gestión de Reservas (RAMP) del Banco Mundial en</w:t>
      </w:r>
      <w:r w:rsidR="00955FCA">
        <w:rPr>
          <w:rFonts w:eastAsia="Arial"/>
          <w:szCs w:val="18"/>
        </w:rPr>
        <w:t> </w:t>
      </w:r>
      <w:r>
        <w:rPr>
          <w:rFonts w:eastAsia="Arial"/>
          <w:szCs w:val="18"/>
        </w:rPr>
        <w:t>2023. La RAMP es un programa desarrollado en el seno de la Tesorería del Banco Mundial que presta servicios de asesoramiento, organiza cursos de formación para directivos y proporciona servicios de gestión de activos. Esta alianza, creada en</w:t>
      </w:r>
      <w:r w:rsidR="00955FCA">
        <w:rPr>
          <w:rFonts w:eastAsia="Arial"/>
          <w:szCs w:val="18"/>
        </w:rPr>
        <w:t> </w:t>
      </w:r>
      <w:r>
        <w:rPr>
          <w:rFonts w:eastAsia="Arial"/>
          <w:szCs w:val="18"/>
        </w:rPr>
        <w:t>2001, cuenta con más de</w:t>
      </w:r>
      <w:r w:rsidR="00955FCA">
        <w:rPr>
          <w:rFonts w:eastAsia="Arial"/>
          <w:szCs w:val="18"/>
        </w:rPr>
        <w:t> </w:t>
      </w:r>
      <w:r>
        <w:rPr>
          <w:rFonts w:eastAsia="Arial"/>
          <w:szCs w:val="18"/>
        </w:rPr>
        <w:t xml:space="preserve">70 miembros, entre los que figuran principalmente bancos centrales, instituciones financieras internacionales, fondos de pensiones, fondos soberanos y organizaciones de las Naciones Unidas. </w:t>
      </w:r>
    </w:p>
  </w:footnote>
  <w:footnote w:id="23">
    <w:p w14:paraId="1F76A679" w14:textId="0897DD30" w:rsidR="0076292E" w:rsidRPr="00790D71" w:rsidRDefault="00B7499E" w:rsidP="0076292E">
      <w:pPr>
        <w:pStyle w:val="FootnoteText"/>
        <w:rPr>
          <w:szCs w:val="18"/>
        </w:rPr>
      </w:pPr>
      <w:r w:rsidRPr="0009168D">
        <w:rPr>
          <w:rStyle w:val="FootnoteReference"/>
          <w:szCs w:val="18"/>
        </w:rPr>
        <w:footnoteRef/>
      </w:r>
      <w:r w:rsidR="00B773A8">
        <w:rPr>
          <w:rFonts w:eastAsia="Arial"/>
          <w:szCs w:val="18"/>
        </w:rPr>
        <w:t xml:space="preserve"> </w:t>
      </w:r>
      <w:r>
        <w:rPr>
          <w:rFonts w:eastAsia="Arial"/>
          <w:szCs w:val="18"/>
        </w:rPr>
        <w:t>Carta de Supervisión Interna, párrafo 30.f).</w:t>
      </w:r>
    </w:p>
  </w:footnote>
  <w:footnote w:id="24">
    <w:p w14:paraId="25DD3AAA" w14:textId="186ECE67" w:rsidR="0076292E" w:rsidRPr="00790D71" w:rsidRDefault="00B7499E" w:rsidP="0076292E">
      <w:pPr>
        <w:pStyle w:val="FootnoteText"/>
        <w:rPr>
          <w:szCs w:val="18"/>
        </w:rPr>
      </w:pPr>
      <w:r w:rsidRPr="007A59E6">
        <w:rPr>
          <w:rStyle w:val="FootnoteReference"/>
          <w:szCs w:val="18"/>
        </w:rPr>
        <w:footnoteRef/>
      </w:r>
      <w:r w:rsidR="00BE5159">
        <w:rPr>
          <w:rFonts w:eastAsia="Arial"/>
          <w:szCs w:val="18"/>
        </w:rPr>
        <w:t xml:space="preserve"> </w:t>
      </w:r>
      <w:r>
        <w:rPr>
          <w:rFonts w:eastAsia="Arial"/>
          <w:szCs w:val="18"/>
        </w:rPr>
        <w:t>Las principales partes interesadas son la dirección de la OMPI, el auditor externo, el director general, la CCIS, los Estados miembros, y el público en general.</w:t>
      </w:r>
    </w:p>
  </w:footnote>
  <w:footnote w:id="25">
    <w:p w14:paraId="6A3AFA30" w14:textId="77777777" w:rsidR="00B83567" w:rsidRPr="00790D71" w:rsidRDefault="00B83567" w:rsidP="00B83567">
      <w:pPr>
        <w:pStyle w:val="FootnoteText"/>
        <w:rPr>
          <w:szCs w:val="18"/>
        </w:rPr>
      </w:pPr>
      <w:r w:rsidRPr="007A59E6">
        <w:rPr>
          <w:rStyle w:val="FootnoteReference"/>
          <w:szCs w:val="18"/>
        </w:rPr>
        <w:footnoteRef/>
      </w:r>
      <w:r>
        <w:rPr>
          <w:rFonts w:eastAsia="Arial"/>
          <w:szCs w:val="18"/>
        </w:rPr>
        <w:t xml:space="preserve"> Carta de Supervisión Interna, párrafo 52.i).</w:t>
      </w:r>
    </w:p>
  </w:footnote>
  <w:footnote w:id="26">
    <w:p w14:paraId="3E13C3A0" w14:textId="125900BD" w:rsidR="0076292E" w:rsidRPr="00790D71" w:rsidRDefault="00B7499E" w:rsidP="0076292E">
      <w:pPr>
        <w:pStyle w:val="FootnoteText"/>
        <w:rPr>
          <w:szCs w:val="18"/>
        </w:rPr>
      </w:pPr>
      <w:r w:rsidRPr="00755BB1">
        <w:rPr>
          <w:rStyle w:val="FootnoteReference"/>
          <w:szCs w:val="18"/>
        </w:rPr>
        <w:footnoteRef/>
      </w:r>
      <w:r>
        <w:rPr>
          <w:rFonts w:eastAsia="Arial"/>
          <w:szCs w:val="18"/>
        </w:rPr>
        <w:t xml:space="preserve"> Durante el período objeto de examen, la DSI recibió respuestas a diez encuestas para compromisos realizados en</w:t>
      </w:r>
      <w:r w:rsidR="00BE5159">
        <w:rPr>
          <w:rFonts w:eastAsia="Arial"/>
          <w:szCs w:val="18"/>
        </w:rPr>
        <w:t> </w:t>
      </w:r>
      <w:r>
        <w:rPr>
          <w:rFonts w:eastAsia="Arial"/>
          <w:szCs w:val="18"/>
        </w:rPr>
        <w:t>2024.</w:t>
      </w:r>
    </w:p>
  </w:footnote>
  <w:footnote w:id="27">
    <w:p w14:paraId="1744B1DC" w14:textId="4E3F6B49" w:rsidR="0076292E" w:rsidRPr="00790D71" w:rsidRDefault="00B7499E" w:rsidP="0076292E">
      <w:pPr>
        <w:pStyle w:val="FootnoteText"/>
        <w:rPr>
          <w:szCs w:val="18"/>
        </w:rPr>
      </w:pPr>
      <w:r w:rsidRPr="00755BB1">
        <w:rPr>
          <w:rStyle w:val="FootnoteReference"/>
          <w:szCs w:val="18"/>
        </w:rPr>
        <w:footnoteRef/>
      </w:r>
      <w:r>
        <w:rPr>
          <w:rFonts w:eastAsia="Arial"/>
          <w:szCs w:val="18"/>
        </w:rPr>
        <w:t xml:space="preserve"> Durante el período examinado, la DSI recibió respuestas a ocho encuestas sobre actividades realizadas entre</w:t>
      </w:r>
      <w:r w:rsidR="00BE5159">
        <w:rPr>
          <w:rFonts w:eastAsia="Arial"/>
          <w:szCs w:val="18"/>
        </w:rPr>
        <w:t> </w:t>
      </w:r>
      <w:r>
        <w:rPr>
          <w:rFonts w:eastAsia="Arial"/>
          <w:szCs w:val="18"/>
        </w:rPr>
        <w:t>2021 y 2023.</w:t>
      </w:r>
    </w:p>
  </w:footnote>
  <w:footnote w:id="28">
    <w:p w14:paraId="41680B81" w14:textId="0BCBD145" w:rsidR="0076292E" w:rsidRPr="00790D71" w:rsidRDefault="00B7499E" w:rsidP="0076292E">
      <w:pPr>
        <w:rPr>
          <w:sz w:val="18"/>
          <w:szCs w:val="18"/>
        </w:rPr>
      </w:pPr>
      <w:r w:rsidRPr="00062AD6">
        <w:rPr>
          <w:rStyle w:val="FootnoteReference"/>
          <w:sz w:val="18"/>
          <w:szCs w:val="18"/>
        </w:rPr>
        <w:footnoteRef/>
      </w:r>
      <w:r>
        <w:rPr>
          <w:rFonts w:eastAsia="Arial"/>
          <w:sz w:val="18"/>
          <w:szCs w:val="18"/>
        </w:rPr>
        <w:t xml:space="preserve"> Fuente: </w:t>
      </w:r>
      <w:r w:rsidR="008C6704">
        <w:rPr>
          <w:rFonts w:eastAsia="Arial"/>
          <w:sz w:val="18"/>
          <w:szCs w:val="18"/>
        </w:rPr>
        <w:t>G</w:t>
      </w:r>
      <w:r>
        <w:rPr>
          <w:rFonts w:eastAsia="Arial"/>
          <w:sz w:val="18"/>
          <w:szCs w:val="18"/>
        </w:rPr>
        <w:t>estión del rendimiento institucional de la OMPI; cifras en francos suizos.</w:t>
      </w:r>
    </w:p>
  </w:footnote>
  <w:footnote w:id="29">
    <w:p w14:paraId="4F8E31BF" w14:textId="3BFB0B2C" w:rsidR="0076292E" w:rsidRPr="00790D71" w:rsidRDefault="00B7499E" w:rsidP="0076292E">
      <w:pPr>
        <w:pStyle w:val="FootnoteText"/>
        <w:rPr>
          <w:szCs w:val="18"/>
        </w:rPr>
      </w:pPr>
      <w:r w:rsidRPr="00734AA8">
        <w:rPr>
          <w:rStyle w:val="FootnoteReference"/>
          <w:szCs w:val="18"/>
        </w:rPr>
        <w:footnoteRef/>
      </w:r>
      <w:r>
        <w:rPr>
          <w:rFonts w:eastAsia="Arial"/>
          <w:szCs w:val="18"/>
        </w:rPr>
        <w:t xml:space="preserve"> </w:t>
      </w:r>
      <w:hyperlink r:id="rId1" w:history="1">
        <w:r w:rsidR="0076292E">
          <w:rPr>
            <w:rFonts w:eastAsia="Arial" w:cs="Times New Roman"/>
            <w:color w:val="0000FF"/>
            <w:szCs w:val="18"/>
            <w:u w:val="single"/>
          </w:rPr>
          <w:t>WO/PBC/36/8</w:t>
        </w:r>
      </w:hyperlink>
      <w:r>
        <w:rPr>
          <w:rFonts w:eastAsia="Arial"/>
          <w:szCs w:val="18"/>
        </w:rPr>
        <w:t>, Anexo VIIII, Presupuesto anual 2024-2025</w:t>
      </w:r>
      <w:r w:rsidR="00BF169E">
        <w:rPr>
          <w:rFonts w:eastAsia="Arial"/>
          <w:szCs w:val="18"/>
        </w:rPr>
        <w:t>.</w:t>
      </w:r>
    </w:p>
  </w:footnote>
  <w:footnote w:id="30">
    <w:p w14:paraId="1D175D15" w14:textId="0C2596AD" w:rsidR="0076292E" w:rsidRPr="00790D71" w:rsidRDefault="00B7499E" w:rsidP="0076292E">
      <w:pPr>
        <w:rPr>
          <w:sz w:val="18"/>
          <w:szCs w:val="18"/>
        </w:rPr>
      </w:pPr>
      <w:r w:rsidRPr="0009168D">
        <w:rPr>
          <w:rStyle w:val="FootnoteReference"/>
          <w:sz w:val="18"/>
          <w:szCs w:val="18"/>
        </w:rPr>
        <w:footnoteRef/>
      </w:r>
      <w:r>
        <w:rPr>
          <w:rFonts w:eastAsia="Arial"/>
          <w:sz w:val="18"/>
          <w:szCs w:val="18"/>
        </w:rPr>
        <w:t xml:space="preserve"> Fuente: </w:t>
      </w:r>
      <w:r w:rsidR="00BF169E">
        <w:rPr>
          <w:rFonts w:eastAsia="Arial"/>
          <w:sz w:val="18"/>
          <w:szCs w:val="18"/>
        </w:rPr>
        <w:t xml:space="preserve">sistema WePerform </w:t>
      </w:r>
      <w:r>
        <w:rPr>
          <w:rFonts w:eastAsia="Arial"/>
          <w:sz w:val="18"/>
          <w:szCs w:val="18"/>
        </w:rPr>
        <w:t>de la OMPI; cifras en francos suizos.</w:t>
      </w:r>
    </w:p>
  </w:footnote>
  <w:footnote w:id="31">
    <w:p w14:paraId="245AA94D" w14:textId="450D2C1D" w:rsidR="0076292E" w:rsidRPr="00790D71" w:rsidRDefault="00B7499E" w:rsidP="0076292E">
      <w:pPr>
        <w:pStyle w:val="FootnoteText"/>
        <w:rPr>
          <w:szCs w:val="18"/>
        </w:rPr>
      </w:pPr>
      <w:r w:rsidRPr="00B64F79">
        <w:rPr>
          <w:rStyle w:val="FootnoteReference"/>
          <w:szCs w:val="18"/>
        </w:rPr>
        <w:footnoteRef/>
      </w:r>
      <w:r w:rsidR="00B773A8">
        <w:rPr>
          <w:rFonts w:eastAsia="Arial"/>
          <w:szCs w:val="18"/>
        </w:rPr>
        <w:t xml:space="preserve"> </w:t>
      </w:r>
      <w:r>
        <w:rPr>
          <w:rFonts w:eastAsia="Arial"/>
          <w:szCs w:val="18"/>
        </w:rPr>
        <w:t>(WO/PBC/33/5) Informe del auditor externo sobre el ejercicio 2020 con motivo de la 62.ª serie de reuniones de las Asambleas de los Estados miembros de la OMPI (también conocido como el “informe extenso”).</w:t>
      </w:r>
    </w:p>
  </w:footnote>
  <w:footnote w:id="32">
    <w:p w14:paraId="451DAB11" w14:textId="4A4970D8" w:rsidR="0076292E" w:rsidRPr="00790D71" w:rsidRDefault="00B7499E" w:rsidP="0076292E">
      <w:pPr>
        <w:pStyle w:val="FootnoteText"/>
      </w:pPr>
      <w:r>
        <w:rPr>
          <w:rStyle w:val="FootnoteReference"/>
        </w:rPr>
        <w:footnoteRef/>
      </w:r>
      <w:r>
        <w:rPr>
          <w:rFonts w:eastAsia="Arial"/>
          <w:szCs w:val="18"/>
        </w:rPr>
        <w:t xml:space="preserve"> Las actualizaciones se realizaron en consulta con la CCIS, los Estados miembros y las partes interesadas internas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D0C4" w14:textId="77777777" w:rsidR="0076292E" w:rsidRPr="00F87303" w:rsidRDefault="00B7499E" w:rsidP="002670C4">
    <w:pPr>
      <w:jc w:val="right"/>
    </w:pPr>
    <w:r>
      <w:rPr>
        <w:rFonts w:eastAsia="Arial"/>
        <w:szCs w:val="22"/>
      </w:rPr>
      <w:t>WO/PBC/28/5</w:t>
    </w:r>
  </w:p>
  <w:p w14:paraId="42BEC9B7" w14:textId="77777777" w:rsidR="0076292E" w:rsidRPr="00E365E6" w:rsidRDefault="00B7499E" w:rsidP="002670C4">
    <w:pPr>
      <w:pStyle w:val="Header"/>
      <w:jc w:val="right"/>
    </w:pPr>
    <w:r>
      <w:rPr>
        <w:rFonts w:eastAsia="Arial"/>
        <w:szCs w:val="22"/>
      </w:rPr>
      <w:t>página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FF62" w14:textId="77777777" w:rsidR="00351FC3" w:rsidRDefault="00B7499E" w:rsidP="00351FC3">
    <w:pPr>
      <w:jc w:val="right"/>
      <w:rPr>
        <w:rFonts w:eastAsia="Arial"/>
        <w:szCs w:val="22"/>
      </w:rPr>
    </w:pPr>
    <w:r>
      <w:rPr>
        <w:rFonts w:eastAsia="Arial"/>
        <w:szCs w:val="22"/>
      </w:rPr>
      <w:t>WO/PBC/39/5</w:t>
    </w:r>
  </w:p>
  <w:p w14:paraId="06B792A5" w14:textId="47CEF9BF" w:rsidR="0076292E" w:rsidRPr="00F87303" w:rsidRDefault="003D79B8" w:rsidP="00351FC3">
    <w:pPr>
      <w:spacing w:after="480"/>
      <w:jc w:val="right"/>
    </w:pPr>
    <w:r>
      <w:rPr>
        <w:rFonts w:eastAsia="Arial"/>
        <w:szCs w:val="22"/>
      </w:rPr>
      <w:t>p</w:t>
    </w:r>
    <w:r w:rsidR="00B7499E">
      <w:rPr>
        <w:rFonts w:eastAsia="Arial"/>
        <w:szCs w:val="22"/>
      </w:rPr>
      <w:t>ágina</w:t>
    </w:r>
    <w:r>
      <w:rPr>
        <w:rFonts w:eastAsia="Arial"/>
        <w:szCs w:val="22"/>
      </w:rPr>
      <w:t xml:space="preserve"> </w:t>
    </w:r>
    <w:r w:rsidR="00B7499E">
      <w:fldChar w:fldCharType="begin"/>
    </w:r>
    <w:r w:rsidR="00B7499E">
      <w:instrText xml:space="preserve"> PAGE   \* MERGEFORMAT </w:instrText>
    </w:r>
    <w:r w:rsidR="00B7499E">
      <w:fldChar w:fldCharType="separate"/>
    </w:r>
    <w:r w:rsidR="00B7499E">
      <w:rPr>
        <w:noProof/>
      </w:rPr>
      <w:t>23</w:t>
    </w:r>
    <w:r w:rsidR="00B7499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3754" w14:textId="77777777" w:rsidR="0076292E" w:rsidRPr="003E573F" w:rsidRDefault="0076292E" w:rsidP="002670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28CE" w14:textId="77777777" w:rsidR="0076292E" w:rsidRPr="00F94101" w:rsidRDefault="00B7499E" w:rsidP="00477D6B">
    <w:pPr>
      <w:jc w:val="right"/>
    </w:pPr>
    <w:r>
      <w:rPr>
        <w:rFonts w:eastAsia="Arial"/>
        <w:szCs w:val="22"/>
      </w:rPr>
      <w:t>WO/PBC/39/5</w:t>
    </w:r>
  </w:p>
  <w:p w14:paraId="57F21644" w14:textId="77777777" w:rsidR="0076292E" w:rsidRPr="00F94101" w:rsidRDefault="00B7499E" w:rsidP="00477D6B">
    <w:pPr>
      <w:jc w:val="right"/>
    </w:pPr>
    <w:r>
      <w:rPr>
        <w:rFonts w:eastAsia="Arial"/>
        <w:szCs w:val="22"/>
      </w:rPr>
      <w:t xml:space="preserve">página </w:t>
    </w:r>
    <w:r w:rsidRPr="00F94101">
      <w:fldChar w:fldCharType="begin"/>
    </w:r>
    <w:r w:rsidRPr="00F94101">
      <w:instrText xml:space="preserve"> PAGE  \* MERGEFORMAT </w:instrText>
    </w:r>
    <w:r w:rsidRPr="00F94101">
      <w:fldChar w:fldCharType="separate"/>
    </w:r>
    <w:r w:rsidRPr="00F94101">
      <w:t>2</w:t>
    </w:r>
    <w:r w:rsidRPr="00F94101">
      <w:fldChar w:fldCharType="end"/>
    </w:r>
  </w:p>
  <w:p w14:paraId="7D4D07B7" w14:textId="77777777" w:rsidR="0076292E" w:rsidRPr="00F94101" w:rsidRDefault="0076292E" w:rsidP="00477D6B">
    <w:pPr>
      <w:jc w:val="right"/>
    </w:pPr>
  </w:p>
  <w:p w14:paraId="0F2DEF98" w14:textId="77777777" w:rsidR="0076292E" w:rsidRPr="00F94101" w:rsidRDefault="0076292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6BF4" w14:textId="77777777" w:rsidR="00C325F8" w:rsidRPr="00C325F8" w:rsidRDefault="00B7499E" w:rsidP="00C325F8">
    <w:pPr>
      <w:jc w:val="right"/>
      <w:rPr>
        <w:szCs w:val="22"/>
      </w:rPr>
    </w:pPr>
    <w:r>
      <w:rPr>
        <w:rFonts w:eastAsia="Arial"/>
        <w:szCs w:val="22"/>
      </w:rPr>
      <w:t>WO/PBC/39/5</w:t>
    </w:r>
  </w:p>
  <w:p w14:paraId="6EE55E28" w14:textId="77777777" w:rsidR="00C325F8" w:rsidRPr="00C325F8" w:rsidRDefault="00B7499E" w:rsidP="00C325F8">
    <w:pPr>
      <w:pStyle w:val="Header"/>
      <w:spacing w:after="480"/>
      <w:jc w:val="right"/>
      <w:rPr>
        <w:szCs w:val="22"/>
      </w:rPr>
    </w:pPr>
    <w:r>
      <w:rPr>
        <w:rFonts w:eastAsia="Arial"/>
        <w:szCs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E16FA3"/>
    <w:multiLevelType w:val="hybridMultilevel"/>
    <w:tmpl w:val="386AB3D0"/>
    <w:lvl w:ilvl="0" w:tplc="1FCAEC58">
      <w:start w:val="1"/>
      <w:numFmt w:val="bullet"/>
      <w:lvlText w:val=""/>
      <w:lvlJc w:val="left"/>
      <w:pPr>
        <w:ind w:left="360" w:hanging="360"/>
      </w:pPr>
      <w:rPr>
        <w:rFonts w:ascii="Symbol" w:hAnsi="Symbol" w:hint="default"/>
      </w:rPr>
    </w:lvl>
    <w:lvl w:ilvl="1" w:tplc="882A473C" w:tentative="1">
      <w:start w:val="1"/>
      <w:numFmt w:val="bullet"/>
      <w:lvlText w:val="o"/>
      <w:lvlJc w:val="left"/>
      <w:pPr>
        <w:ind w:left="1080" w:hanging="360"/>
      </w:pPr>
      <w:rPr>
        <w:rFonts w:ascii="Courier New" w:hAnsi="Courier New" w:cs="Courier New" w:hint="default"/>
      </w:rPr>
    </w:lvl>
    <w:lvl w:ilvl="2" w:tplc="1770803A" w:tentative="1">
      <w:start w:val="1"/>
      <w:numFmt w:val="bullet"/>
      <w:lvlText w:val=""/>
      <w:lvlJc w:val="left"/>
      <w:pPr>
        <w:ind w:left="1800" w:hanging="360"/>
      </w:pPr>
      <w:rPr>
        <w:rFonts w:ascii="Wingdings" w:hAnsi="Wingdings" w:hint="default"/>
      </w:rPr>
    </w:lvl>
    <w:lvl w:ilvl="3" w:tplc="B58EC14C" w:tentative="1">
      <w:start w:val="1"/>
      <w:numFmt w:val="bullet"/>
      <w:lvlText w:val=""/>
      <w:lvlJc w:val="left"/>
      <w:pPr>
        <w:ind w:left="2520" w:hanging="360"/>
      </w:pPr>
      <w:rPr>
        <w:rFonts w:ascii="Symbol" w:hAnsi="Symbol" w:hint="default"/>
      </w:rPr>
    </w:lvl>
    <w:lvl w:ilvl="4" w:tplc="0E10FB68" w:tentative="1">
      <w:start w:val="1"/>
      <w:numFmt w:val="bullet"/>
      <w:lvlText w:val="o"/>
      <w:lvlJc w:val="left"/>
      <w:pPr>
        <w:ind w:left="3240" w:hanging="360"/>
      </w:pPr>
      <w:rPr>
        <w:rFonts w:ascii="Courier New" w:hAnsi="Courier New" w:cs="Courier New" w:hint="default"/>
      </w:rPr>
    </w:lvl>
    <w:lvl w:ilvl="5" w:tplc="7FAA412A" w:tentative="1">
      <w:start w:val="1"/>
      <w:numFmt w:val="bullet"/>
      <w:lvlText w:val=""/>
      <w:lvlJc w:val="left"/>
      <w:pPr>
        <w:ind w:left="3960" w:hanging="360"/>
      </w:pPr>
      <w:rPr>
        <w:rFonts w:ascii="Wingdings" w:hAnsi="Wingdings" w:hint="default"/>
      </w:rPr>
    </w:lvl>
    <w:lvl w:ilvl="6" w:tplc="6A50E160" w:tentative="1">
      <w:start w:val="1"/>
      <w:numFmt w:val="bullet"/>
      <w:lvlText w:val=""/>
      <w:lvlJc w:val="left"/>
      <w:pPr>
        <w:ind w:left="4680" w:hanging="360"/>
      </w:pPr>
      <w:rPr>
        <w:rFonts w:ascii="Symbol" w:hAnsi="Symbol" w:hint="default"/>
      </w:rPr>
    </w:lvl>
    <w:lvl w:ilvl="7" w:tplc="ABA68446" w:tentative="1">
      <w:start w:val="1"/>
      <w:numFmt w:val="bullet"/>
      <w:lvlText w:val="o"/>
      <w:lvlJc w:val="left"/>
      <w:pPr>
        <w:ind w:left="5400" w:hanging="360"/>
      </w:pPr>
      <w:rPr>
        <w:rFonts w:ascii="Courier New" w:hAnsi="Courier New" w:cs="Courier New" w:hint="default"/>
      </w:rPr>
    </w:lvl>
    <w:lvl w:ilvl="8" w:tplc="F05473B6" w:tentative="1">
      <w:start w:val="1"/>
      <w:numFmt w:val="bullet"/>
      <w:lvlText w:val=""/>
      <w:lvlJc w:val="left"/>
      <w:pPr>
        <w:ind w:left="6120" w:hanging="360"/>
      </w:pPr>
      <w:rPr>
        <w:rFonts w:ascii="Wingdings" w:hAnsi="Wingdings" w:hint="default"/>
      </w:rPr>
    </w:lvl>
  </w:abstractNum>
  <w:abstractNum w:abstractNumId="2" w15:restartNumberingAfterBreak="0">
    <w:nsid w:val="05775B46"/>
    <w:multiLevelType w:val="hybridMultilevel"/>
    <w:tmpl w:val="8C4E0C16"/>
    <w:lvl w:ilvl="0" w:tplc="D1ECFA3E">
      <w:start w:val="1"/>
      <w:numFmt w:val="bullet"/>
      <w:lvlText w:val=""/>
      <w:lvlJc w:val="left"/>
      <w:pPr>
        <w:ind w:left="360" w:hanging="360"/>
      </w:pPr>
      <w:rPr>
        <w:rFonts w:ascii="Symbol" w:hAnsi="Symbol" w:hint="default"/>
      </w:rPr>
    </w:lvl>
    <w:lvl w:ilvl="1" w:tplc="9E5467C0" w:tentative="1">
      <w:start w:val="1"/>
      <w:numFmt w:val="bullet"/>
      <w:lvlText w:val="o"/>
      <w:lvlJc w:val="left"/>
      <w:pPr>
        <w:ind w:left="1080" w:hanging="360"/>
      </w:pPr>
      <w:rPr>
        <w:rFonts w:ascii="Courier New" w:hAnsi="Courier New" w:cs="Courier New" w:hint="default"/>
      </w:rPr>
    </w:lvl>
    <w:lvl w:ilvl="2" w:tplc="ABBCD368" w:tentative="1">
      <w:start w:val="1"/>
      <w:numFmt w:val="bullet"/>
      <w:lvlText w:val=""/>
      <w:lvlJc w:val="left"/>
      <w:pPr>
        <w:ind w:left="1800" w:hanging="360"/>
      </w:pPr>
      <w:rPr>
        <w:rFonts w:ascii="Wingdings" w:hAnsi="Wingdings" w:hint="default"/>
      </w:rPr>
    </w:lvl>
    <w:lvl w:ilvl="3" w:tplc="FC607176" w:tentative="1">
      <w:start w:val="1"/>
      <w:numFmt w:val="bullet"/>
      <w:lvlText w:val=""/>
      <w:lvlJc w:val="left"/>
      <w:pPr>
        <w:ind w:left="2520" w:hanging="360"/>
      </w:pPr>
      <w:rPr>
        <w:rFonts w:ascii="Symbol" w:hAnsi="Symbol" w:hint="default"/>
      </w:rPr>
    </w:lvl>
    <w:lvl w:ilvl="4" w:tplc="3CD29BC4" w:tentative="1">
      <w:start w:val="1"/>
      <w:numFmt w:val="bullet"/>
      <w:lvlText w:val="o"/>
      <w:lvlJc w:val="left"/>
      <w:pPr>
        <w:ind w:left="3240" w:hanging="360"/>
      </w:pPr>
      <w:rPr>
        <w:rFonts w:ascii="Courier New" w:hAnsi="Courier New" w:cs="Courier New" w:hint="default"/>
      </w:rPr>
    </w:lvl>
    <w:lvl w:ilvl="5" w:tplc="5F1E6020" w:tentative="1">
      <w:start w:val="1"/>
      <w:numFmt w:val="bullet"/>
      <w:lvlText w:val=""/>
      <w:lvlJc w:val="left"/>
      <w:pPr>
        <w:ind w:left="3960" w:hanging="360"/>
      </w:pPr>
      <w:rPr>
        <w:rFonts w:ascii="Wingdings" w:hAnsi="Wingdings" w:hint="default"/>
      </w:rPr>
    </w:lvl>
    <w:lvl w:ilvl="6" w:tplc="46849312" w:tentative="1">
      <w:start w:val="1"/>
      <w:numFmt w:val="bullet"/>
      <w:lvlText w:val=""/>
      <w:lvlJc w:val="left"/>
      <w:pPr>
        <w:ind w:left="4680" w:hanging="360"/>
      </w:pPr>
      <w:rPr>
        <w:rFonts w:ascii="Symbol" w:hAnsi="Symbol" w:hint="default"/>
      </w:rPr>
    </w:lvl>
    <w:lvl w:ilvl="7" w:tplc="83003D3E" w:tentative="1">
      <w:start w:val="1"/>
      <w:numFmt w:val="bullet"/>
      <w:lvlText w:val="o"/>
      <w:lvlJc w:val="left"/>
      <w:pPr>
        <w:ind w:left="5400" w:hanging="360"/>
      </w:pPr>
      <w:rPr>
        <w:rFonts w:ascii="Courier New" w:hAnsi="Courier New" w:cs="Courier New" w:hint="default"/>
      </w:rPr>
    </w:lvl>
    <w:lvl w:ilvl="8" w:tplc="019E45FE" w:tentative="1">
      <w:start w:val="1"/>
      <w:numFmt w:val="bullet"/>
      <w:lvlText w:val=""/>
      <w:lvlJc w:val="left"/>
      <w:pPr>
        <w:ind w:left="6120" w:hanging="360"/>
      </w:pPr>
      <w:rPr>
        <w:rFonts w:ascii="Wingdings" w:hAnsi="Wingdings" w:hint="default"/>
      </w:rPr>
    </w:lvl>
  </w:abstractNum>
  <w:abstractNum w:abstractNumId="3" w15:restartNumberingAfterBreak="0">
    <w:nsid w:val="06CD29E3"/>
    <w:multiLevelType w:val="multilevel"/>
    <w:tmpl w:val="A54CC414"/>
    <w:lvl w:ilvl="0">
      <w:start w:val="1"/>
      <w:numFmt w:val="decimal"/>
      <w:pStyle w:val="ONUME"/>
      <w:lvlText w:val="%1."/>
      <w:lvlJc w:val="left"/>
      <w:pPr>
        <w:tabs>
          <w:tab w:val="num" w:pos="567"/>
        </w:tabs>
        <w:ind w:left="0" w:firstLine="0"/>
      </w:pPr>
      <w:rPr>
        <w:rFonts w:hint="default"/>
        <w:b w:val="0"/>
        <w:bCs/>
      </w:rPr>
    </w:lvl>
    <w:lvl w:ilvl="1">
      <w:start w:val="1"/>
      <w:numFmt w:val="lowerLetter"/>
      <w:lvlText w:val="%2)"/>
      <w:lvlJc w:val="left"/>
      <w:pPr>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6465EC"/>
    <w:multiLevelType w:val="multilevel"/>
    <w:tmpl w:val="18BE88D2"/>
    <w:styleLink w:val="CurrentList1"/>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6A1D0B"/>
    <w:multiLevelType w:val="hybridMultilevel"/>
    <w:tmpl w:val="B5BC7E4A"/>
    <w:lvl w:ilvl="0" w:tplc="30C2FBD6">
      <w:start w:val="1"/>
      <w:numFmt w:val="bullet"/>
      <w:lvlText w:val=""/>
      <w:lvlJc w:val="left"/>
      <w:pPr>
        <w:ind w:left="360" w:hanging="360"/>
      </w:pPr>
      <w:rPr>
        <w:rFonts w:ascii="Symbol" w:hAnsi="Symbol" w:hint="default"/>
      </w:rPr>
    </w:lvl>
    <w:lvl w:ilvl="1" w:tplc="096CD81E" w:tentative="1">
      <w:start w:val="1"/>
      <w:numFmt w:val="bullet"/>
      <w:lvlText w:val="o"/>
      <w:lvlJc w:val="left"/>
      <w:pPr>
        <w:ind w:left="1080" w:hanging="360"/>
      </w:pPr>
      <w:rPr>
        <w:rFonts w:ascii="Courier New" w:hAnsi="Courier New" w:cs="Courier New" w:hint="default"/>
      </w:rPr>
    </w:lvl>
    <w:lvl w:ilvl="2" w:tplc="769471D2" w:tentative="1">
      <w:start w:val="1"/>
      <w:numFmt w:val="bullet"/>
      <w:lvlText w:val=""/>
      <w:lvlJc w:val="left"/>
      <w:pPr>
        <w:ind w:left="1800" w:hanging="360"/>
      </w:pPr>
      <w:rPr>
        <w:rFonts w:ascii="Wingdings" w:hAnsi="Wingdings" w:hint="default"/>
      </w:rPr>
    </w:lvl>
    <w:lvl w:ilvl="3" w:tplc="F3D4C34C" w:tentative="1">
      <w:start w:val="1"/>
      <w:numFmt w:val="bullet"/>
      <w:lvlText w:val=""/>
      <w:lvlJc w:val="left"/>
      <w:pPr>
        <w:ind w:left="2520" w:hanging="360"/>
      </w:pPr>
      <w:rPr>
        <w:rFonts w:ascii="Symbol" w:hAnsi="Symbol" w:hint="default"/>
      </w:rPr>
    </w:lvl>
    <w:lvl w:ilvl="4" w:tplc="CFF6B0EE" w:tentative="1">
      <w:start w:val="1"/>
      <w:numFmt w:val="bullet"/>
      <w:lvlText w:val="o"/>
      <w:lvlJc w:val="left"/>
      <w:pPr>
        <w:ind w:left="3240" w:hanging="360"/>
      </w:pPr>
      <w:rPr>
        <w:rFonts w:ascii="Courier New" w:hAnsi="Courier New" w:cs="Courier New" w:hint="default"/>
      </w:rPr>
    </w:lvl>
    <w:lvl w:ilvl="5" w:tplc="4DD68FFA" w:tentative="1">
      <w:start w:val="1"/>
      <w:numFmt w:val="bullet"/>
      <w:lvlText w:val=""/>
      <w:lvlJc w:val="left"/>
      <w:pPr>
        <w:ind w:left="3960" w:hanging="360"/>
      </w:pPr>
      <w:rPr>
        <w:rFonts w:ascii="Wingdings" w:hAnsi="Wingdings" w:hint="default"/>
      </w:rPr>
    </w:lvl>
    <w:lvl w:ilvl="6" w:tplc="EC760D18" w:tentative="1">
      <w:start w:val="1"/>
      <w:numFmt w:val="bullet"/>
      <w:lvlText w:val=""/>
      <w:lvlJc w:val="left"/>
      <w:pPr>
        <w:ind w:left="4680" w:hanging="360"/>
      </w:pPr>
      <w:rPr>
        <w:rFonts w:ascii="Symbol" w:hAnsi="Symbol" w:hint="default"/>
      </w:rPr>
    </w:lvl>
    <w:lvl w:ilvl="7" w:tplc="C95C6384" w:tentative="1">
      <w:start w:val="1"/>
      <w:numFmt w:val="bullet"/>
      <w:lvlText w:val="o"/>
      <w:lvlJc w:val="left"/>
      <w:pPr>
        <w:ind w:left="5400" w:hanging="360"/>
      </w:pPr>
      <w:rPr>
        <w:rFonts w:ascii="Courier New" w:hAnsi="Courier New" w:cs="Courier New" w:hint="default"/>
      </w:rPr>
    </w:lvl>
    <w:lvl w:ilvl="8" w:tplc="49886630" w:tentative="1">
      <w:start w:val="1"/>
      <w:numFmt w:val="bullet"/>
      <w:lvlText w:val=""/>
      <w:lvlJc w:val="left"/>
      <w:pPr>
        <w:ind w:left="6120" w:hanging="360"/>
      </w:pPr>
      <w:rPr>
        <w:rFonts w:ascii="Wingdings" w:hAnsi="Wingdings" w:hint="default"/>
      </w:rPr>
    </w:lvl>
  </w:abstractNum>
  <w:abstractNum w:abstractNumId="8" w15:restartNumberingAfterBreak="0">
    <w:nsid w:val="3EAC7B59"/>
    <w:multiLevelType w:val="hybridMultilevel"/>
    <w:tmpl w:val="2FBCA47A"/>
    <w:lvl w:ilvl="0" w:tplc="620A8482">
      <w:start w:val="1"/>
      <w:numFmt w:val="bullet"/>
      <w:lvlText w:val=""/>
      <w:lvlJc w:val="left"/>
      <w:pPr>
        <w:ind w:left="360" w:hanging="360"/>
      </w:pPr>
      <w:rPr>
        <w:rFonts w:ascii="Symbol" w:hAnsi="Symbol" w:hint="default"/>
      </w:rPr>
    </w:lvl>
    <w:lvl w:ilvl="1" w:tplc="FF4A4594" w:tentative="1">
      <w:start w:val="1"/>
      <w:numFmt w:val="bullet"/>
      <w:lvlText w:val="o"/>
      <w:lvlJc w:val="left"/>
      <w:pPr>
        <w:ind w:left="1080" w:hanging="360"/>
      </w:pPr>
      <w:rPr>
        <w:rFonts w:ascii="Courier New" w:hAnsi="Courier New" w:cs="Courier New" w:hint="default"/>
      </w:rPr>
    </w:lvl>
    <w:lvl w:ilvl="2" w:tplc="A2FE68E8" w:tentative="1">
      <w:start w:val="1"/>
      <w:numFmt w:val="bullet"/>
      <w:lvlText w:val=""/>
      <w:lvlJc w:val="left"/>
      <w:pPr>
        <w:ind w:left="1800" w:hanging="360"/>
      </w:pPr>
      <w:rPr>
        <w:rFonts w:ascii="Wingdings" w:hAnsi="Wingdings" w:hint="default"/>
      </w:rPr>
    </w:lvl>
    <w:lvl w:ilvl="3" w:tplc="1ED06F68" w:tentative="1">
      <w:start w:val="1"/>
      <w:numFmt w:val="bullet"/>
      <w:lvlText w:val=""/>
      <w:lvlJc w:val="left"/>
      <w:pPr>
        <w:ind w:left="2520" w:hanging="360"/>
      </w:pPr>
      <w:rPr>
        <w:rFonts w:ascii="Symbol" w:hAnsi="Symbol" w:hint="default"/>
      </w:rPr>
    </w:lvl>
    <w:lvl w:ilvl="4" w:tplc="55FAE318" w:tentative="1">
      <w:start w:val="1"/>
      <w:numFmt w:val="bullet"/>
      <w:lvlText w:val="o"/>
      <w:lvlJc w:val="left"/>
      <w:pPr>
        <w:ind w:left="3240" w:hanging="360"/>
      </w:pPr>
      <w:rPr>
        <w:rFonts w:ascii="Courier New" w:hAnsi="Courier New" w:cs="Courier New" w:hint="default"/>
      </w:rPr>
    </w:lvl>
    <w:lvl w:ilvl="5" w:tplc="90D6D154" w:tentative="1">
      <w:start w:val="1"/>
      <w:numFmt w:val="bullet"/>
      <w:lvlText w:val=""/>
      <w:lvlJc w:val="left"/>
      <w:pPr>
        <w:ind w:left="3960" w:hanging="360"/>
      </w:pPr>
      <w:rPr>
        <w:rFonts w:ascii="Wingdings" w:hAnsi="Wingdings" w:hint="default"/>
      </w:rPr>
    </w:lvl>
    <w:lvl w:ilvl="6" w:tplc="0B2A8C3C" w:tentative="1">
      <w:start w:val="1"/>
      <w:numFmt w:val="bullet"/>
      <w:lvlText w:val=""/>
      <w:lvlJc w:val="left"/>
      <w:pPr>
        <w:ind w:left="4680" w:hanging="360"/>
      </w:pPr>
      <w:rPr>
        <w:rFonts w:ascii="Symbol" w:hAnsi="Symbol" w:hint="default"/>
      </w:rPr>
    </w:lvl>
    <w:lvl w:ilvl="7" w:tplc="7236FBDC" w:tentative="1">
      <w:start w:val="1"/>
      <w:numFmt w:val="bullet"/>
      <w:lvlText w:val="o"/>
      <w:lvlJc w:val="left"/>
      <w:pPr>
        <w:ind w:left="5400" w:hanging="360"/>
      </w:pPr>
      <w:rPr>
        <w:rFonts w:ascii="Courier New" w:hAnsi="Courier New" w:cs="Courier New" w:hint="default"/>
      </w:rPr>
    </w:lvl>
    <w:lvl w:ilvl="8" w:tplc="E590546A" w:tentative="1">
      <w:start w:val="1"/>
      <w:numFmt w:val="bullet"/>
      <w:lvlText w:val=""/>
      <w:lvlJc w:val="left"/>
      <w:pPr>
        <w:ind w:left="6120" w:hanging="360"/>
      </w:pPr>
      <w:rPr>
        <w:rFonts w:ascii="Wingdings" w:hAnsi="Wingdings" w:hint="default"/>
      </w:rPr>
    </w:lvl>
  </w:abstractNum>
  <w:abstractNum w:abstractNumId="9" w15:restartNumberingAfterBreak="0">
    <w:nsid w:val="433D5054"/>
    <w:multiLevelType w:val="hybridMultilevel"/>
    <w:tmpl w:val="D868B3FA"/>
    <w:lvl w:ilvl="0" w:tplc="FA38C714">
      <w:start w:val="1"/>
      <w:numFmt w:val="bullet"/>
      <w:lvlText w:val=""/>
      <w:lvlJc w:val="left"/>
      <w:pPr>
        <w:ind w:left="810" w:hanging="360"/>
      </w:pPr>
      <w:rPr>
        <w:rFonts w:ascii="Symbol" w:hAnsi="Symbol" w:hint="default"/>
      </w:rPr>
    </w:lvl>
    <w:lvl w:ilvl="1" w:tplc="DE4C9456" w:tentative="1">
      <w:start w:val="1"/>
      <w:numFmt w:val="bullet"/>
      <w:lvlText w:val="o"/>
      <w:lvlJc w:val="left"/>
      <w:pPr>
        <w:ind w:left="1530" w:hanging="360"/>
      </w:pPr>
      <w:rPr>
        <w:rFonts w:ascii="Courier New" w:hAnsi="Courier New" w:cs="Courier New" w:hint="default"/>
      </w:rPr>
    </w:lvl>
    <w:lvl w:ilvl="2" w:tplc="2F3C66BC" w:tentative="1">
      <w:start w:val="1"/>
      <w:numFmt w:val="bullet"/>
      <w:lvlText w:val=""/>
      <w:lvlJc w:val="left"/>
      <w:pPr>
        <w:ind w:left="2250" w:hanging="360"/>
      </w:pPr>
      <w:rPr>
        <w:rFonts w:ascii="Wingdings" w:hAnsi="Wingdings" w:hint="default"/>
      </w:rPr>
    </w:lvl>
    <w:lvl w:ilvl="3" w:tplc="97CE5CE8" w:tentative="1">
      <w:start w:val="1"/>
      <w:numFmt w:val="bullet"/>
      <w:lvlText w:val=""/>
      <w:lvlJc w:val="left"/>
      <w:pPr>
        <w:ind w:left="2970" w:hanging="360"/>
      </w:pPr>
      <w:rPr>
        <w:rFonts w:ascii="Symbol" w:hAnsi="Symbol" w:hint="default"/>
      </w:rPr>
    </w:lvl>
    <w:lvl w:ilvl="4" w:tplc="8C0E9B02" w:tentative="1">
      <w:start w:val="1"/>
      <w:numFmt w:val="bullet"/>
      <w:lvlText w:val="o"/>
      <w:lvlJc w:val="left"/>
      <w:pPr>
        <w:ind w:left="3690" w:hanging="360"/>
      </w:pPr>
      <w:rPr>
        <w:rFonts w:ascii="Courier New" w:hAnsi="Courier New" w:cs="Courier New" w:hint="default"/>
      </w:rPr>
    </w:lvl>
    <w:lvl w:ilvl="5" w:tplc="393C21B8" w:tentative="1">
      <w:start w:val="1"/>
      <w:numFmt w:val="bullet"/>
      <w:lvlText w:val=""/>
      <w:lvlJc w:val="left"/>
      <w:pPr>
        <w:ind w:left="4410" w:hanging="360"/>
      </w:pPr>
      <w:rPr>
        <w:rFonts w:ascii="Wingdings" w:hAnsi="Wingdings" w:hint="default"/>
      </w:rPr>
    </w:lvl>
    <w:lvl w:ilvl="6" w:tplc="0422E30C" w:tentative="1">
      <w:start w:val="1"/>
      <w:numFmt w:val="bullet"/>
      <w:lvlText w:val=""/>
      <w:lvlJc w:val="left"/>
      <w:pPr>
        <w:ind w:left="5130" w:hanging="360"/>
      </w:pPr>
      <w:rPr>
        <w:rFonts w:ascii="Symbol" w:hAnsi="Symbol" w:hint="default"/>
      </w:rPr>
    </w:lvl>
    <w:lvl w:ilvl="7" w:tplc="E938A8A4" w:tentative="1">
      <w:start w:val="1"/>
      <w:numFmt w:val="bullet"/>
      <w:lvlText w:val="o"/>
      <w:lvlJc w:val="left"/>
      <w:pPr>
        <w:ind w:left="5850" w:hanging="360"/>
      </w:pPr>
      <w:rPr>
        <w:rFonts w:ascii="Courier New" w:hAnsi="Courier New" w:cs="Courier New" w:hint="default"/>
      </w:rPr>
    </w:lvl>
    <w:lvl w:ilvl="8" w:tplc="2F86823A" w:tentative="1">
      <w:start w:val="1"/>
      <w:numFmt w:val="bullet"/>
      <w:lvlText w:val=""/>
      <w:lvlJc w:val="left"/>
      <w:pPr>
        <w:ind w:left="657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9C40D948">
      <w:start w:val="1"/>
      <w:numFmt w:val="decimal"/>
      <w:pStyle w:val="ListNumber"/>
      <w:lvlText w:val="03.%1."/>
      <w:lvlJc w:val="left"/>
      <w:pPr>
        <w:tabs>
          <w:tab w:val="num" w:pos="567"/>
        </w:tabs>
        <w:ind w:left="0" w:firstLine="0"/>
      </w:pPr>
      <w:rPr>
        <w:rFonts w:hint="default"/>
      </w:rPr>
    </w:lvl>
    <w:lvl w:ilvl="1" w:tplc="30463BFE" w:tentative="1">
      <w:start w:val="1"/>
      <w:numFmt w:val="lowerLetter"/>
      <w:lvlText w:val="%2."/>
      <w:lvlJc w:val="left"/>
      <w:pPr>
        <w:tabs>
          <w:tab w:val="num" w:pos="1440"/>
        </w:tabs>
        <w:ind w:left="1440" w:hanging="360"/>
      </w:pPr>
    </w:lvl>
    <w:lvl w:ilvl="2" w:tplc="0928AA7A" w:tentative="1">
      <w:start w:val="1"/>
      <w:numFmt w:val="lowerRoman"/>
      <w:lvlText w:val="%3."/>
      <w:lvlJc w:val="right"/>
      <w:pPr>
        <w:tabs>
          <w:tab w:val="num" w:pos="2160"/>
        </w:tabs>
        <w:ind w:left="2160" w:hanging="180"/>
      </w:pPr>
    </w:lvl>
    <w:lvl w:ilvl="3" w:tplc="B8807548" w:tentative="1">
      <w:start w:val="1"/>
      <w:numFmt w:val="decimal"/>
      <w:lvlText w:val="%4."/>
      <w:lvlJc w:val="left"/>
      <w:pPr>
        <w:tabs>
          <w:tab w:val="num" w:pos="2880"/>
        </w:tabs>
        <w:ind w:left="2880" w:hanging="360"/>
      </w:pPr>
    </w:lvl>
    <w:lvl w:ilvl="4" w:tplc="DA9C1602" w:tentative="1">
      <w:start w:val="1"/>
      <w:numFmt w:val="lowerLetter"/>
      <w:lvlText w:val="%5."/>
      <w:lvlJc w:val="left"/>
      <w:pPr>
        <w:tabs>
          <w:tab w:val="num" w:pos="3600"/>
        </w:tabs>
        <w:ind w:left="3600" w:hanging="360"/>
      </w:pPr>
    </w:lvl>
    <w:lvl w:ilvl="5" w:tplc="BD94711E" w:tentative="1">
      <w:start w:val="1"/>
      <w:numFmt w:val="lowerRoman"/>
      <w:lvlText w:val="%6."/>
      <w:lvlJc w:val="right"/>
      <w:pPr>
        <w:tabs>
          <w:tab w:val="num" w:pos="4320"/>
        </w:tabs>
        <w:ind w:left="4320" w:hanging="180"/>
      </w:pPr>
    </w:lvl>
    <w:lvl w:ilvl="6" w:tplc="FCEA54CE" w:tentative="1">
      <w:start w:val="1"/>
      <w:numFmt w:val="decimal"/>
      <w:lvlText w:val="%7."/>
      <w:lvlJc w:val="left"/>
      <w:pPr>
        <w:tabs>
          <w:tab w:val="num" w:pos="5040"/>
        </w:tabs>
        <w:ind w:left="5040" w:hanging="360"/>
      </w:pPr>
    </w:lvl>
    <w:lvl w:ilvl="7" w:tplc="BC92E4AC" w:tentative="1">
      <w:start w:val="1"/>
      <w:numFmt w:val="lowerLetter"/>
      <w:lvlText w:val="%8."/>
      <w:lvlJc w:val="left"/>
      <w:pPr>
        <w:tabs>
          <w:tab w:val="num" w:pos="5760"/>
        </w:tabs>
        <w:ind w:left="5760" w:hanging="360"/>
      </w:pPr>
    </w:lvl>
    <w:lvl w:ilvl="8" w:tplc="3E9EA3D2" w:tentative="1">
      <w:start w:val="1"/>
      <w:numFmt w:val="lowerRoman"/>
      <w:lvlText w:val="%9."/>
      <w:lvlJc w:val="right"/>
      <w:pPr>
        <w:tabs>
          <w:tab w:val="num" w:pos="6480"/>
        </w:tabs>
        <w:ind w:left="6480" w:hanging="180"/>
      </w:pPr>
    </w:lvl>
  </w:abstractNum>
  <w:abstractNum w:abstractNumId="12" w15:restartNumberingAfterBreak="0">
    <w:nsid w:val="4D4E6A2B"/>
    <w:multiLevelType w:val="hybridMultilevel"/>
    <w:tmpl w:val="662AF102"/>
    <w:lvl w:ilvl="0" w:tplc="7EA645C0">
      <w:start w:val="1"/>
      <w:numFmt w:val="bullet"/>
      <w:lvlText w:val=""/>
      <w:lvlJc w:val="left"/>
      <w:pPr>
        <w:ind w:left="720" w:hanging="360"/>
      </w:pPr>
      <w:rPr>
        <w:rFonts w:ascii="Symbol" w:hAnsi="Symbol" w:hint="default"/>
      </w:rPr>
    </w:lvl>
    <w:lvl w:ilvl="1" w:tplc="31AAC6CC" w:tentative="1">
      <w:start w:val="1"/>
      <w:numFmt w:val="bullet"/>
      <w:lvlText w:val="o"/>
      <w:lvlJc w:val="left"/>
      <w:pPr>
        <w:ind w:left="1440" w:hanging="360"/>
      </w:pPr>
      <w:rPr>
        <w:rFonts w:ascii="Courier New" w:hAnsi="Courier New" w:cs="Courier New" w:hint="default"/>
      </w:rPr>
    </w:lvl>
    <w:lvl w:ilvl="2" w:tplc="1116FBB8" w:tentative="1">
      <w:start w:val="1"/>
      <w:numFmt w:val="bullet"/>
      <w:lvlText w:val=""/>
      <w:lvlJc w:val="left"/>
      <w:pPr>
        <w:ind w:left="2160" w:hanging="360"/>
      </w:pPr>
      <w:rPr>
        <w:rFonts w:ascii="Wingdings" w:hAnsi="Wingdings" w:hint="default"/>
      </w:rPr>
    </w:lvl>
    <w:lvl w:ilvl="3" w:tplc="43A2EEA8" w:tentative="1">
      <w:start w:val="1"/>
      <w:numFmt w:val="bullet"/>
      <w:lvlText w:val=""/>
      <w:lvlJc w:val="left"/>
      <w:pPr>
        <w:ind w:left="2880" w:hanging="360"/>
      </w:pPr>
      <w:rPr>
        <w:rFonts w:ascii="Symbol" w:hAnsi="Symbol" w:hint="default"/>
      </w:rPr>
    </w:lvl>
    <w:lvl w:ilvl="4" w:tplc="34D07392" w:tentative="1">
      <w:start w:val="1"/>
      <w:numFmt w:val="bullet"/>
      <w:lvlText w:val="o"/>
      <w:lvlJc w:val="left"/>
      <w:pPr>
        <w:ind w:left="3600" w:hanging="360"/>
      </w:pPr>
      <w:rPr>
        <w:rFonts w:ascii="Courier New" w:hAnsi="Courier New" w:cs="Courier New" w:hint="default"/>
      </w:rPr>
    </w:lvl>
    <w:lvl w:ilvl="5" w:tplc="366AEAAA" w:tentative="1">
      <w:start w:val="1"/>
      <w:numFmt w:val="bullet"/>
      <w:lvlText w:val=""/>
      <w:lvlJc w:val="left"/>
      <w:pPr>
        <w:ind w:left="4320" w:hanging="360"/>
      </w:pPr>
      <w:rPr>
        <w:rFonts w:ascii="Wingdings" w:hAnsi="Wingdings" w:hint="default"/>
      </w:rPr>
    </w:lvl>
    <w:lvl w:ilvl="6" w:tplc="02164F5E" w:tentative="1">
      <w:start w:val="1"/>
      <w:numFmt w:val="bullet"/>
      <w:lvlText w:val=""/>
      <w:lvlJc w:val="left"/>
      <w:pPr>
        <w:ind w:left="5040" w:hanging="360"/>
      </w:pPr>
      <w:rPr>
        <w:rFonts w:ascii="Symbol" w:hAnsi="Symbol" w:hint="default"/>
      </w:rPr>
    </w:lvl>
    <w:lvl w:ilvl="7" w:tplc="639E19C2" w:tentative="1">
      <w:start w:val="1"/>
      <w:numFmt w:val="bullet"/>
      <w:lvlText w:val="o"/>
      <w:lvlJc w:val="left"/>
      <w:pPr>
        <w:ind w:left="5760" w:hanging="360"/>
      </w:pPr>
      <w:rPr>
        <w:rFonts w:ascii="Courier New" w:hAnsi="Courier New" w:cs="Courier New" w:hint="default"/>
      </w:rPr>
    </w:lvl>
    <w:lvl w:ilvl="8" w:tplc="83C6C086" w:tentative="1">
      <w:start w:val="1"/>
      <w:numFmt w:val="bullet"/>
      <w:lvlText w:val=""/>
      <w:lvlJc w:val="left"/>
      <w:pPr>
        <w:ind w:left="6480" w:hanging="360"/>
      </w:pPr>
      <w:rPr>
        <w:rFonts w:ascii="Wingdings" w:hAnsi="Wingdings" w:hint="default"/>
      </w:rPr>
    </w:lvl>
  </w:abstractNum>
  <w:abstractNum w:abstractNumId="13" w15:restartNumberingAfterBreak="0">
    <w:nsid w:val="67DB0FF2"/>
    <w:multiLevelType w:val="multilevel"/>
    <w:tmpl w:val="0D444DD4"/>
    <w:lvl w:ilvl="0">
      <w:start w:val="1"/>
      <w:numFmt w:val="decimal"/>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31E0C78"/>
    <w:multiLevelType w:val="hybridMultilevel"/>
    <w:tmpl w:val="76AABA32"/>
    <w:lvl w:ilvl="0" w:tplc="18560D44">
      <w:start w:val="5"/>
      <w:numFmt w:val="decimal"/>
      <w:pStyle w:val="Heading11"/>
      <w:lvlText w:val="%1.1"/>
      <w:lvlJc w:val="left"/>
      <w:pPr>
        <w:ind w:left="720" w:hanging="360"/>
      </w:pPr>
      <w:rPr>
        <w:rFonts w:hint="default"/>
      </w:rPr>
    </w:lvl>
    <w:lvl w:ilvl="1" w:tplc="5C2A1CFE" w:tentative="1">
      <w:start w:val="1"/>
      <w:numFmt w:val="lowerLetter"/>
      <w:lvlText w:val="%2."/>
      <w:lvlJc w:val="left"/>
      <w:pPr>
        <w:ind w:left="1440" w:hanging="360"/>
      </w:pPr>
    </w:lvl>
    <w:lvl w:ilvl="2" w:tplc="B59CB45C" w:tentative="1">
      <w:start w:val="1"/>
      <w:numFmt w:val="lowerRoman"/>
      <w:lvlText w:val="%3."/>
      <w:lvlJc w:val="right"/>
      <w:pPr>
        <w:ind w:left="2160" w:hanging="180"/>
      </w:pPr>
    </w:lvl>
    <w:lvl w:ilvl="3" w:tplc="9C3E6B40" w:tentative="1">
      <w:start w:val="1"/>
      <w:numFmt w:val="decimal"/>
      <w:lvlText w:val="%4."/>
      <w:lvlJc w:val="left"/>
      <w:pPr>
        <w:ind w:left="2880" w:hanging="360"/>
      </w:pPr>
    </w:lvl>
    <w:lvl w:ilvl="4" w:tplc="14266190" w:tentative="1">
      <w:start w:val="1"/>
      <w:numFmt w:val="lowerLetter"/>
      <w:lvlText w:val="%5."/>
      <w:lvlJc w:val="left"/>
      <w:pPr>
        <w:ind w:left="3600" w:hanging="360"/>
      </w:pPr>
    </w:lvl>
    <w:lvl w:ilvl="5" w:tplc="2A7AE20A" w:tentative="1">
      <w:start w:val="1"/>
      <w:numFmt w:val="lowerRoman"/>
      <w:lvlText w:val="%6."/>
      <w:lvlJc w:val="right"/>
      <w:pPr>
        <w:ind w:left="4320" w:hanging="180"/>
      </w:pPr>
    </w:lvl>
    <w:lvl w:ilvl="6" w:tplc="19BC9D02" w:tentative="1">
      <w:start w:val="1"/>
      <w:numFmt w:val="decimal"/>
      <w:lvlText w:val="%7."/>
      <w:lvlJc w:val="left"/>
      <w:pPr>
        <w:ind w:left="5040" w:hanging="360"/>
      </w:pPr>
    </w:lvl>
    <w:lvl w:ilvl="7" w:tplc="ECD8C2CA" w:tentative="1">
      <w:start w:val="1"/>
      <w:numFmt w:val="lowerLetter"/>
      <w:lvlText w:val="%8."/>
      <w:lvlJc w:val="left"/>
      <w:pPr>
        <w:ind w:left="5760" w:hanging="360"/>
      </w:pPr>
    </w:lvl>
    <w:lvl w:ilvl="8" w:tplc="5608FE70" w:tentative="1">
      <w:start w:val="1"/>
      <w:numFmt w:val="lowerRoman"/>
      <w:lvlText w:val="%9."/>
      <w:lvlJc w:val="right"/>
      <w:pPr>
        <w:ind w:left="6480" w:hanging="180"/>
      </w:pPr>
    </w:lvl>
  </w:abstractNum>
  <w:num w:numId="1" w16cid:durableId="126900844">
    <w:abstractNumId w:val="4"/>
  </w:num>
  <w:num w:numId="2" w16cid:durableId="309794587">
    <w:abstractNumId w:val="10"/>
  </w:num>
  <w:num w:numId="3" w16cid:durableId="1968076723">
    <w:abstractNumId w:val="0"/>
  </w:num>
  <w:num w:numId="4" w16cid:durableId="1656638925">
    <w:abstractNumId w:val="11"/>
  </w:num>
  <w:num w:numId="5" w16cid:durableId="244077344">
    <w:abstractNumId w:val="3"/>
  </w:num>
  <w:num w:numId="6" w16cid:durableId="720789353">
    <w:abstractNumId w:val="5"/>
  </w:num>
  <w:num w:numId="7" w16cid:durableId="225607120">
    <w:abstractNumId w:val="13"/>
  </w:num>
  <w:num w:numId="8" w16cid:durableId="534007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170547">
    <w:abstractNumId w:val="14"/>
  </w:num>
  <w:num w:numId="10" w16cid:durableId="519584634">
    <w:abstractNumId w:val="2"/>
  </w:num>
  <w:num w:numId="11" w16cid:durableId="284043441">
    <w:abstractNumId w:val="8"/>
  </w:num>
  <w:num w:numId="12" w16cid:durableId="1932740830">
    <w:abstractNumId w:val="7"/>
  </w:num>
  <w:num w:numId="13" w16cid:durableId="1978954826">
    <w:abstractNumId w:val="1"/>
  </w:num>
  <w:num w:numId="14" w16cid:durableId="1985430293">
    <w:abstractNumId w:val="12"/>
  </w:num>
  <w:num w:numId="15" w16cid:durableId="2060594160">
    <w:abstractNumId w:val="9"/>
  </w:num>
  <w:num w:numId="16" w16cid:durableId="1492990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073111">
    <w:abstractNumId w:val="6"/>
  </w:num>
  <w:num w:numId="18" w16cid:durableId="2094157174">
    <w:abstractNumId w:val="3"/>
  </w:num>
  <w:num w:numId="19" w16cid:durableId="1579628837">
    <w:abstractNumId w:val="3"/>
  </w:num>
  <w:num w:numId="20" w16cid:durableId="135569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58"/>
    <w:rsid w:val="00002F83"/>
    <w:rsid w:val="00010724"/>
    <w:rsid w:val="00046C3F"/>
    <w:rsid w:val="00061D09"/>
    <w:rsid w:val="00073695"/>
    <w:rsid w:val="000A23C2"/>
    <w:rsid w:val="000B1E5A"/>
    <w:rsid w:val="000B4F77"/>
    <w:rsid w:val="000E094E"/>
    <w:rsid w:val="000E3BB3"/>
    <w:rsid w:val="000F5E56"/>
    <w:rsid w:val="0011504F"/>
    <w:rsid w:val="00115F07"/>
    <w:rsid w:val="001221CE"/>
    <w:rsid w:val="001330B3"/>
    <w:rsid w:val="001362EE"/>
    <w:rsid w:val="00137CC4"/>
    <w:rsid w:val="00146516"/>
    <w:rsid w:val="00152CEA"/>
    <w:rsid w:val="001700C5"/>
    <w:rsid w:val="001832A6"/>
    <w:rsid w:val="00185445"/>
    <w:rsid w:val="0018659E"/>
    <w:rsid w:val="0019459B"/>
    <w:rsid w:val="00196D90"/>
    <w:rsid w:val="001A4D4B"/>
    <w:rsid w:val="001B0F06"/>
    <w:rsid w:val="001C4DD3"/>
    <w:rsid w:val="001E0A7E"/>
    <w:rsid w:val="001F0266"/>
    <w:rsid w:val="001F2A14"/>
    <w:rsid w:val="00201AFF"/>
    <w:rsid w:val="00242999"/>
    <w:rsid w:val="002510EF"/>
    <w:rsid w:val="00257AD8"/>
    <w:rsid w:val="002634C4"/>
    <w:rsid w:val="002670C4"/>
    <w:rsid w:val="002B13C8"/>
    <w:rsid w:val="002B6E11"/>
    <w:rsid w:val="002D7ECF"/>
    <w:rsid w:val="002F4E68"/>
    <w:rsid w:val="003021CD"/>
    <w:rsid w:val="00307787"/>
    <w:rsid w:val="00313E01"/>
    <w:rsid w:val="00323EB5"/>
    <w:rsid w:val="00333604"/>
    <w:rsid w:val="00336175"/>
    <w:rsid w:val="00351FC3"/>
    <w:rsid w:val="00353054"/>
    <w:rsid w:val="00354647"/>
    <w:rsid w:val="00377273"/>
    <w:rsid w:val="00381687"/>
    <w:rsid w:val="003845C1"/>
    <w:rsid w:val="00387287"/>
    <w:rsid w:val="003D41D4"/>
    <w:rsid w:val="003D79B8"/>
    <w:rsid w:val="003E4419"/>
    <w:rsid w:val="003E573F"/>
    <w:rsid w:val="00401C85"/>
    <w:rsid w:val="00404AC3"/>
    <w:rsid w:val="00423E3E"/>
    <w:rsid w:val="00427AF4"/>
    <w:rsid w:val="0045169F"/>
    <w:rsid w:val="0045231F"/>
    <w:rsid w:val="00455963"/>
    <w:rsid w:val="004647DA"/>
    <w:rsid w:val="004679A8"/>
    <w:rsid w:val="004760E6"/>
    <w:rsid w:val="00477073"/>
    <w:rsid w:val="00477D6B"/>
    <w:rsid w:val="004A6C37"/>
    <w:rsid w:val="004C1421"/>
    <w:rsid w:val="004F475E"/>
    <w:rsid w:val="004F7418"/>
    <w:rsid w:val="00522018"/>
    <w:rsid w:val="00530560"/>
    <w:rsid w:val="0055013B"/>
    <w:rsid w:val="0056224D"/>
    <w:rsid w:val="00571B99"/>
    <w:rsid w:val="00582027"/>
    <w:rsid w:val="005A64AC"/>
    <w:rsid w:val="005C58EB"/>
    <w:rsid w:val="005C7702"/>
    <w:rsid w:val="005D64EC"/>
    <w:rsid w:val="005F736B"/>
    <w:rsid w:val="00602015"/>
    <w:rsid w:val="00605827"/>
    <w:rsid w:val="00612BBF"/>
    <w:rsid w:val="006342D4"/>
    <w:rsid w:val="00675021"/>
    <w:rsid w:val="0067766A"/>
    <w:rsid w:val="006A06C6"/>
    <w:rsid w:val="006B684B"/>
    <w:rsid w:val="006C0B5B"/>
    <w:rsid w:val="006C65AB"/>
    <w:rsid w:val="006E380E"/>
    <w:rsid w:val="00717388"/>
    <w:rsid w:val="00756ED9"/>
    <w:rsid w:val="0076292E"/>
    <w:rsid w:val="00765744"/>
    <w:rsid w:val="00790D71"/>
    <w:rsid w:val="007A2314"/>
    <w:rsid w:val="007C097D"/>
    <w:rsid w:val="007C517C"/>
    <w:rsid w:val="007E3307"/>
    <w:rsid w:val="007E63AC"/>
    <w:rsid w:val="007E663E"/>
    <w:rsid w:val="007E758E"/>
    <w:rsid w:val="00815082"/>
    <w:rsid w:val="00817B3C"/>
    <w:rsid w:val="00835643"/>
    <w:rsid w:val="00843582"/>
    <w:rsid w:val="0084593A"/>
    <w:rsid w:val="0084613A"/>
    <w:rsid w:val="008B14EA"/>
    <w:rsid w:val="008B2CC1"/>
    <w:rsid w:val="008C6704"/>
    <w:rsid w:val="008D09ED"/>
    <w:rsid w:val="008E2001"/>
    <w:rsid w:val="008E5E87"/>
    <w:rsid w:val="008F60F1"/>
    <w:rsid w:val="0090731E"/>
    <w:rsid w:val="0092465A"/>
    <w:rsid w:val="00931987"/>
    <w:rsid w:val="009462A0"/>
    <w:rsid w:val="00952C0B"/>
    <w:rsid w:val="00955FCA"/>
    <w:rsid w:val="00966A22"/>
    <w:rsid w:val="00972F03"/>
    <w:rsid w:val="00990163"/>
    <w:rsid w:val="00994C8A"/>
    <w:rsid w:val="009A0C8B"/>
    <w:rsid w:val="009B1E90"/>
    <w:rsid w:val="009B6241"/>
    <w:rsid w:val="009E42FD"/>
    <w:rsid w:val="009E7613"/>
    <w:rsid w:val="009F59B7"/>
    <w:rsid w:val="00A06E57"/>
    <w:rsid w:val="00A16FC0"/>
    <w:rsid w:val="00A203CC"/>
    <w:rsid w:val="00A216EC"/>
    <w:rsid w:val="00A26396"/>
    <w:rsid w:val="00A32C9E"/>
    <w:rsid w:val="00A545E7"/>
    <w:rsid w:val="00A7453D"/>
    <w:rsid w:val="00A76143"/>
    <w:rsid w:val="00AB1396"/>
    <w:rsid w:val="00AB613D"/>
    <w:rsid w:val="00AB7F59"/>
    <w:rsid w:val="00AC6237"/>
    <w:rsid w:val="00AD6B7B"/>
    <w:rsid w:val="00AE4879"/>
    <w:rsid w:val="00B04CA9"/>
    <w:rsid w:val="00B11978"/>
    <w:rsid w:val="00B26C77"/>
    <w:rsid w:val="00B40A10"/>
    <w:rsid w:val="00B47A1A"/>
    <w:rsid w:val="00B65A0A"/>
    <w:rsid w:val="00B72D36"/>
    <w:rsid w:val="00B7499E"/>
    <w:rsid w:val="00B773A8"/>
    <w:rsid w:val="00B83567"/>
    <w:rsid w:val="00BA4674"/>
    <w:rsid w:val="00BC4164"/>
    <w:rsid w:val="00BD2DCC"/>
    <w:rsid w:val="00BE1A8C"/>
    <w:rsid w:val="00BE5159"/>
    <w:rsid w:val="00BF169E"/>
    <w:rsid w:val="00C06472"/>
    <w:rsid w:val="00C07DBB"/>
    <w:rsid w:val="00C07F41"/>
    <w:rsid w:val="00C325F8"/>
    <w:rsid w:val="00C41964"/>
    <w:rsid w:val="00C64DE4"/>
    <w:rsid w:val="00C82B28"/>
    <w:rsid w:val="00C86458"/>
    <w:rsid w:val="00C90559"/>
    <w:rsid w:val="00CB5587"/>
    <w:rsid w:val="00CC315A"/>
    <w:rsid w:val="00CC486A"/>
    <w:rsid w:val="00CC6A25"/>
    <w:rsid w:val="00CD472C"/>
    <w:rsid w:val="00CD55ED"/>
    <w:rsid w:val="00CF362C"/>
    <w:rsid w:val="00CF5318"/>
    <w:rsid w:val="00D07142"/>
    <w:rsid w:val="00D13EC2"/>
    <w:rsid w:val="00D20B6E"/>
    <w:rsid w:val="00D36B79"/>
    <w:rsid w:val="00D40A12"/>
    <w:rsid w:val="00D40CF0"/>
    <w:rsid w:val="00D52052"/>
    <w:rsid w:val="00D524DA"/>
    <w:rsid w:val="00D53BF6"/>
    <w:rsid w:val="00D56C7C"/>
    <w:rsid w:val="00D71B4D"/>
    <w:rsid w:val="00D71FA4"/>
    <w:rsid w:val="00D900FC"/>
    <w:rsid w:val="00D90289"/>
    <w:rsid w:val="00D93D55"/>
    <w:rsid w:val="00DE636E"/>
    <w:rsid w:val="00E05F28"/>
    <w:rsid w:val="00E1781A"/>
    <w:rsid w:val="00E365E6"/>
    <w:rsid w:val="00E45C84"/>
    <w:rsid w:val="00E45F61"/>
    <w:rsid w:val="00E504E5"/>
    <w:rsid w:val="00E618BD"/>
    <w:rsid w:val="00E73ABF"/>
    <w:rsid w:val="00E806DB"/>
    <w:rsid w:val="00E85F90"/>
    <w:rsid w:val="00E87EC1"/>
    <w:rsid w:val="00E910EA"/>
    <w:rsid w:val="00EA4D08"/>
    <w:rsid w:val="00EB30CB"/>
    <w:rsid w:val="00EB7A3E"/>
    <w:rsid w:val="00EC401A"/>
    <w:rsid w:val="00EF0C1B"/>
    <w:rsid w:val="00EF43F1"/>
    <w:rsid w:val="00EF530A"/>
    <w:rsid w:val="00EF6622"/>
    <w:rsid w:val="00EF6D55"/>
    <w:rsid w:val="00F30324"/>
    <w:rsid w:val="00F443A0"/>
    <w:rsid w:val="00F542A9"/>
    <w:rsid w:val="00F55408"/>
    <w:rsid w:val="00F6353C"/>
    <w:rsid w:val="00F66152"/>
    <w:rsid w:val="00F72897"/>
    <w:rsid w:val="00F80845"/>
    <w:rsid w:val="00F84474"/>
    <w:rsid w:val="00F87303"/>
    <w:rsid w:val="00F9191D"/>
    <w:rsid w:val="00F94101"/>
    <w:rsid w:val="00FA7FED"/>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2AE12"/>
  <w15:docId w15:val="{CE948C56-7953-480C-BA4B-7C71E1B5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76292E"/>
    <w:pPr>
      <w:keepNext/>
      <w:keepLines/>
      <w:spacing w:before="240" w:after="220"/>
      <w:outlineLvl w:val="4"/>
    </w:pPr>
    <w:rPr>
      <w:rFonts w:eastAsiaTheme="majorEastAsia" w:cstheme="majorBidi"/>
      <w:i/>
      <w:lang w:val="en-US"/>
    </w:rPr>
  </w:style>
  <w:style w:type="paragraph" w:styleId="Heading6">
    <w:name w:val="heading 6"/>
    <w:basedOn w:val="Normal"/>
    <w:next w:val="Normal"/>
    <w:link w:val="Heading6Char"/>
    <w:semiHidden/>
    <w:unhideWhenUsed/>
    <w:qFormat/>
    <w:rsid w:val="0076292E"/>
    <w:pPr>
      <w:keepNext/>
      <w:keepLines/>
      <w:spacing w:before="40"/>
      <w:outlineLvl w:val="5"/>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ALTS FOOTNOTE,Char,Footnote,Footnote Text Char Char Char Char,Footnote Text Char Char Char1,Footnote Text Char Char1 Char,Footnote Text Char1 Char Char,Footnote Text Char1 Char1,Footnote Text qer,Footnote Text qer Char,fn,footnote text,ft"/>
    <w:basedOn w:val="Normal"/>
    <w:link w:val="FootnoteTextChar"/>
    <w:qFormat/>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76292E"/>
    <w:rPr>
      <w:rFonts w:ascii="Arial" w:eastAsia="SimSun" w:hAnsi="Arial" w:cs="Arial"/>
      <w:sz w:val="22"/>
      <w:lang w:val="es-ES" w:eastAsia="zh-CN"/>
    </w:rPr>
  </w:style>
  <w:style w:type="character" w:customStyle="1" w:styleId="Heading5Char">
    <w:name w:val="Heading 5 Char"/>
    <w:basedOn w:val="DefaultParagraphFont"/>
    <w:link w:val="Heading5"/>
    <w:rsid w:val="0076292E"/>
    <w:rPr>
      <w:rFonts w:ascii="Arial" w:eastAsiaTheme="majorEastAsia" w:hAnsi="Arial" w:cstheme="majorBidi"/>
      <w:i/>
      <w:sz w:val="22"/>
      <w:lang w:val="en-US" w:eastAsia="zh-CN"/>
    </w:rPr>
  </w:style>
  <w:style w:type="character" w:customStyle="1" w:styleId="Heading6Char">
    <w:name w:val="Heading 6 Char"/>
    <w:basedOn w:val="DefaultParagraphFont"/>
    <w:link w:val="Heading6"/>
    <w:semiHidden/>
    <w:rsid w:val="0076292E"/>
    <w:rPr>
      <w:rFonts w:asciiTheme="majorHAnsi" w:eastAsiaTheme="majorEastAsia" w:hAnsiTheme="majorHAnsi" w:cstheme="majorBidi"/>
      <w:color w:val="243F60" w:themeColor="accent1" w:themeShade="7F"/>
      <w:sz w:val="22"/>
      <w:lang w:val="en-US" w:eastAsia="zh-CN"/>
    </w:rPr>
  </w:style>
  <w:style w:type="paragraph" w:styleId="BalloonText">
    <w:name w:val="Balloon Text"/>
    <w:basedOn w:val="Normal"/>
    <w:link w:val="BalloonTextChar"/>
    <w:uiPriority w:val="99"/>
    <w:unhideWhenUsed/>
    <w:rsid w:val="0076292E"/>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6292E"/>
    <w:rPr>
      <w:rFonts w:ascii="Segoe UI" w:eastAsia="SimSun" w:hAnsi="Segoe UI" w:cs="Segoe UI"/>
      <w:sz w:val="18"/>
      <w:szCs w:val="18"/>
      <w:lang w:val="en-US" w:eastAsia="zh-CN"/>
    </w:rPr>
  </w:style>
  <w:style w:type="character" w:customStyle="1" w:styleId="Heading2Char">
    <w:name w:val="Heading 2 Char"/>
    <w:link w:val="Heading2"/>
    <w:locked/>
    <w:rsid w:val="0076292E"/>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76292E"/>
    <w:rPr>
      <w:rFonts w:ascii="Arial" w:eastAsia="SimSun" w:hAnsi="Arial" w:cs="Arial"/>
      <w:sz w:val="22"/>
      <w:lang w:val="es-ES" w:eastAsia="zh-CN"/>
    </w:rPr>
  </w:style>
  <w:style w:type="character" w:customStyle="1" w:styleId="CaptionChar">
    <w:name w:val="Caption Char"/>
    <w:basedOn w:val="DefaultParagraphFont"/>
    <w:link w:val="Caption"/>
    <w:rsid w:val="0076292E"/>
    <w:rPr>
      <w:rFonts w:ascii="Arial" w:eastAsia="SimSun" w:hAnsi="Arial" w:cs="Arial"/>
      <w:b/>
      <w:bCs/>
      <w:sz w:val="18"/>
      <w:lang w:val="es-ES" w:eastAsia="zh-CN"/>
    </w:rPr>
  </w:style>
  <w:style w:type="character" w:customStyle="1" w:styleId="CommentTextChar">
    <w:name w:val="Comment Text Char"/>
    <w:basedOn w:val="DefaultParagraphFont"/>
    <w:semiHidden/>
    <w:rsid w:val="0076292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6292E"/>
    <w:rPr>
      <w:rFonts w:ascii="Arial" w:eastAsia="SimSun" w:hAnsi="Arial" w:cs="Arial"/>
      <w:sz w:val="18"/>
      <w:lang w:val="es-ES" w:eastAsia="zh-CN"/>
    </w:rPr>
  </w:style>
  <w:style w:type="character" w:customStyle="1" w:styleId="FootnoteTextChar">
    <w:name w:val="Footnote Text Char"/>
    <w:aliases w:val="ALTS FOOTNOTE Char,Char Char,Footnote Char,Footnote Text Char Char Char Char Char,Footnote Text Char Char Char1 Char,Footnote Text Char Char1 Char Char,Footnote Text Char1 Char Char Char,Footnote Text Char1 Char1 Char,fn Char,ft Char"/>
    <w:link w:val="FootnoteText"/>
    <w:locked/>
    <w:rsid w:val="0076292E"/>
    <w:rPr>
      <w:rFonts w:ascii="Arial" w:eastAsia="SimSun" w:hAnsi="Arial" w:cs="Arial"/>
      <w:sz w:val="18"/>
      <w:lang w:val="es-ES" w:eastAsia="zh-CN"/>
    </w:rPr>
  </w:style>
  <w:style w:type="character" w:customStyle="1" w:styleId="HeaderChar">
    <w:name w:val="Header Char"/>
    <w:link w:val="Header"/>
    <w:uiPriority w:val="99"/>
    <w:locked/>
    <w:rsid w:val="0076292E"/>
    <w:rPr>
      <w:rFonts w:ascii="Arial" w:eastAsia="SimSun" w:hAnsi="Arial" w:cs="Arial"/>
      <w:sz w:val="22"/>
      <w:lang w:val="es-ES" w:eastAsia="zh-CN"/>
    </w:rPr>
  </w:style>
  <w:style w:type="paragraph" w:styleId="NoSpacing">
    <w:name w:val="No Spacing"/>
    <w:uiPriority w:val="1"/>
    <w:qFormat/>
    <w:rsid w:val="0076292E"/>
    <w:rPr>
      <w:rFonts w:ascii="Arial" w:eastAsia="SimSun" w:hAnsi="Arial" w:cs="Arial"/>
      <w:sz w:val="22"/>
      <w:lang w:val="en-US" w:eastAsia="zh-CN"/>
    </w:rPr>
  </w:style>
  <w:style w:type="paragraph" w:styleId="TOC1">
    <w:name w:val="toc 1"/>
    <w:basedOn w:val="Normal"/>
    <w:next w:val="Normal"/>
    <w:autoRedefine/>
    <w:uiPriority w:val="39"/>
    <w:qFormat/>
    <w:rsid w:val="0076292E"/>
    <w:pPr>
      <w:tabs>
        <w:tab w:val="left" w:pos="440"/>
        <w:tab w:val="right" w:leader="dot" w:pos="9345"/>
      </w:tabs>
      <w:spacing w:before="240" w:after="240"/>
    </w:pPr>
    <w:rPr>
      <w:lang w:val="en-US"/>
    </w:rPr>
  </w:style>
  <w:style w:type="character" w:styleId="Hyperlink">
    <w:name w:val="Hyperlink"/>
    <w:basedOn w:val="DefaultParagraphFont"/>
    <w:uiPriority w:val="99"/>
    <w:rsid w:val="0076292E"/>
    <w:rPr>
      <w:rFonts w:cs="Times New Roman"/>
      <w:color w:val="0000FF"/>
      <w:u w:val="single"/>
    </w:rPr>
  </w:style>
  <w:style w:type="table" w:styleId="TableGrid">
    <w:name w:val="Table Grid"/>
    <w:basedOn w:val="TableNormal"/>
    <w:uiPriority w:val="59"/>
    <w:rsid w:val="0076292E"/>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 BVI fnr Tegn Char Tegn Char Char,16 Poin,BVI fnr,Carattere Carattere Char Char Char Carattere Char,Carattere Char Carattere Carattere Char Carattere Char Carattere Char Char Char1 Char,Footnote Reference Char Char Char,callout,ftref"/>
    <w:basedOn w:val="DefaultParagraphFont"/>
    <w:link w:val="BVIfnrTegnCharTegnChar"/>
    <w:qFormat/>
    <w:rsid w:val="0076292E"/>
    <w:rPr>
      <w:vertAlign w:val="superscript"/>
    </w:rPr>
  </w:style>
  <w:style w:type="paragraph" w:styleId="PlainText">
    <w:name w:val="Plain Text"/>
    <w:basedOn w:val="Normal"/>
    <w:link w:val="PlainTextChar"/>
    <w:uiPriority w:val="99"/>
    <w:rsid w:val="0076292E"/>
    <w:rPr>
      <w:rFonts w:ascii="Courier New" w:hAnsi="Courier New" w:cs="Courier New"/>
      <w:sz w:val="20"/>
      <w:lang w:val="en-US"/>
    </w:rPr>
  </w:style>
  <w:style w:type="character" w:customStyle="1" w:styleId="PlainTextChar">
    <w:name w:val="Plain Text Char"/>
    <w:basedOn w:val="DefaultParagraphFont"/>
    <w:link w:val="PlainText"/>
    <w:uiPriority w:val="99"/>
    <w:rsid w:val="0076292E"/>
    <w:rPr>
      <w:rFonts w:ascii="Courier New" w:eastAsia="SimSun" w:hAnsi="Courier New" w:cs="Courier New"/>
      <w:lang w:val="en-US" w:eastAsia="zh-CN"/>
    </w:rPr>
  </w:style>
  <w:style w:type="paragraph" w:styleId="ListParagraph">
    <w:name w:val="List Paragraph"/>
    <w:aliases w:val="Bullet 1,Colorful List - Accent 11,Dot pt,F5 List Paragraph,Indicator Text,List Paragraph (numbered (a)),List Paragraph Char Char Char,List Paragraph1,MAIN CONTENT,MCHIP_list paragraph,No Spacing1,Numbered Para 1,Recommendation"/>
    <w:basedOn w:val="Normal"/>
    <w:link w:val="ListParagraphChar"/>
    <w:uiPriority w:val="34"/>
    <w:qFormat/>
    <w:rsid w:val="0076292E"/>
    <w:pPr>
      <w:ind w:left="720"/>
      <w:contextualSpacing/>
    </w:pPr>
    <w:rPr>
      <w:lang w:val="en-US"/>
    </w:rPr>
  </w:style>
  <w:style w:type="character" w:customStyle="1" w:styleId="ListParagraphChar">
    <w:name w:val="List Paragraph Char"/>
    <w:aliases w:val="Bullet 1 Char,Colorful List - Accent 11 Char,Dot pt Char,F5 List Paragraph Char,Indicator Text Char,List Paragraph (numbered (a)) Char,List Paragraph Char Char Char Char,List Paragraph1 Char,MAIN CONTENT Char,No Spacing1 Char"/>
    <w:basedOn w:val="DefaultParagraphFont"/>
    <w:link w:val="ListParagraph"/>
    <w:uiPriority w:val="34"/>
    <w:rsid w:val="0076292E"/>
    <w:rPr>
      <w:rFonts w:ascii="Arial" w:eastAsia="SimSun" w:hAnsi="Arial" w:cs="Arial"/>
      <w:sz w:val="22"/>
      <w:lang w:val="en-US" w:eastAsia="zh-CN"/>
    </w:rPr>
  </w:style>
  <w:style w:type="character" w:styleId="CommentReference">
    <w:name w:val="annotation reference"/>
    <w:basedOn w:val="DefaultParagraphFont"/>
    <w:rsid w:val="0076292E"/>
    <w:rPr>
      <w:sz w:val="16"/>
      <w:szCs w:val="16"/>
    </w:rPr>
  </w:style>
  <w:style w:type="paragraph" w:styleId="CommentSubject">
    <w:name w:val="annotation subject"/>
    <w:basedOn w:val="CommentText"/>
    <w:next w:val="CommentText"/>
    <w:link w:val="CommentSubjectChar"/>
    <w:rsid w:val="0076292E"/>
    <w:rPr>
      <w:b/>
      <w:bCs/>
      <w:sz w:val="20"/>
      <w:lang w:val="en-US"/>
    </w:rPr>
  </w:style>
  <w:style w:type="character" w:customStyle="1" w:styleId="CommentTextChar1">
    <w:name w:val="Comment Text Char1"/>
    <w:basedOn w:val="DefaultParagraphFont"/>
    <w:link w:val="CommentText"/>
    <w:semiHidden/>
    <w:rsid w:val="0076292E"/>
    <w:rPr>
      <w:rFonts w:ascii="Arial" w:eastAsia="SimSun" w:hAnsi="Arial" w:cs="Arial"/>
      <w:sz w:val="18"/>
      <w:lang w:val="es-ES" w:eastAsia="zh-CN"/>
    </w:rPr>
  </w:style>
  <w:style w:type="character" w:customStyle="1" w:styleId="CommentSubjectChar">
    <w:name w:val="Comment Subject Char"/>
    <w:basedOn w:val="CommentTextChar1"/>
    <w:link w:val="CommentSubject"/>
    <w:rsid w:val="0076292E"/>
    <w:rPr>
      <w:rFonts w:ascii="Arial" w:eastAsia="SimSun" w:hAnsi="Arial" w:cs="Arial"/>
      <w:b/>
      <w:bCs/>
      <w:sz w:val="18"/>
      <w:lang w:val="en-US" w:eastAsia="zh-CN"/>
    </w:rPr>
  </w:style>
  <w:style w:type="character" w:styleId="EndnoteReference">
    <w:name w:val="endnote reference"/>
    <w:basedOn w:val="DefaultParagraphFont"/>
    <w:rsid w:val="0076292E"/>
    <w:rPr>
      <w:vertAlign w:val="superscript"/>
    </w:rPr>
  </w:style>
  <w:style w:type="paragraph" w:styleId="NormalWeb">
    <w:name w:val="Normal (Web)"/>
    <w:basedOn w:val="Normal"/>
    <w:uiPriority w:val="99"/>
    <w:rsid w:val="0076292E"/>
    <w:pPr>
      <w:spacing w:before="100" w:beforeAutospacing="1" w:after="100" w:afterAutospacing="1"/>
    </w:pPr>
    <w:rPr>
      <w:rFonts w:eastAsia="Times New Roman"/>
      <w:sz w:val="18"/>
      <w:szCs w:val="18"/>
      <w:lang w:val="en-US" w:eastAsia="en-US"/>
    </w:rPr>
  </w:style>
  <w:style w:type="character" w:customStyle="1" w:styleId="ONUMECharChar">
    <w:name w:val="ONUM E Char Char"/>
    <w:locked/>
    <w:rsid w:val="0076292E"/>
    <w:rPr>
      <w:rFonts w:ascii="Arial" w:hAnsi="Arial"/>
      <w:sz w:val="22"/>
      <w:lang w:val="x-none" w:eastAsia="x-none"/>
    </w:rPr>
  </w:style>
  <w:style w:type="character" w:customStyle="1" w:styleId="apple-converted-space">
    <w:name w:val="apple-converted-space"/>
    <w:basedOn w:val="DefaultParagraphFont"/>
    <w:rsid w:val="0076292E"/>
  </w:style>
  <w:style w:type="paragraph" w:customStyle="1" w:styleId="Default">
    <w:name w:val="Default"/>
    <w:rsid w:val="0076292E"/>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76292E"/>
    <w:pPr>
      <w:spacing w:after="100"/>
      <w:ind w:left="220"/>
    </w:pPr>
    <w:rPr>
      <w:lang w:val="en-US"/>
    </w:rPr>
  </w:style>
  <w:style w:type="paragraph" w:customStyle="1" w:styleId="Heading11">
    <w:name w:val="Heading 1.1"/>
    <w:basedOn w:val="Heading1"/>
    <w:qFormat/>
    <w:rsid w:val="0076292E"/>
    <w:pPr>
      <w:numPr>
        <w:numId w:val="9"/>
      </w:numPr>
      <w:spacing w:before="480"/>
    </w:pPr>
    <w:rPr>
      <w:lang w:val="pt-PT"/>
    </w:rPr>
  </w:style>
  <w:style w:type="paragraph" w:customStyle="1" w:styleId="BVIfnrTegnCharTegnChar">
    <w:name w:val="BVI fnr Tegn Char Tegn Char"/>
    <w:aliases w:val=" BVI fnr Car Car Car Car Tegn Char Tegn Char, BVI fnr Car Car Tegn Char Tegn Char,BVI fnr Car Car Car Car Tegn Char Tegn Char,BVI fnr Car Car Tegn Char Tegn Char,BVI fnr Car Tegn Char Tegn Char"/>
    <w:basedOn w:val="Normal"/>
    <w:link w:val="FootnoteReference"/>
    <w:rsid w:val="0076292E"/>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76292E"/>
    <w:rPr>
      <w:rFonts w:ascii="Arial" w:eastAsia="SimSun" w:hAnsi="Arial" w:cs="Arial"/>
      <w:sz w:val="22"/>
      <w:lang w:val="en-US" w:eastAsia="zh-CN"/>
    </w:rPr>
  </w:style>
  <w:style w:type="character" w:customStyle="1" w:styleId="Heading1Char">
    <w:name w:val="Heading 1 Char"/>
    <w:basedOn w:val="DefaultParagraphFont"/>
    <w:link w:val="Heading1"/>
    <w:rsid w:val="0076292E"/>
    <w:rPr>
      <w:rFonts w:ascii="Arial" w:eastAsia="SimSun" w:hAnsi="Arial" w:cs="Arial"/>
      <w:b/>
      <w:bCs/>
      <w:caps/>
      <w:kern w:val="32"/>
      <w:sz w:val="22"/>
      <w:szCs w:val="32"/>
      <w:lang w:val="es-ES" w:eastAsia="zh-CN"/>
    </w:rPr>
  </w:style>
  <w:style w:type="table" w:styleId="GridTable6Colorful-Accent1">
    <w:name w:val="Grid Table 6 Colorful Accent 1"/>
    <w:basedOn w:val="TableNormal"/>
    <w:uiPriority w:val="51"/>
    <w:rsid w:val="0076292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629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629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76292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76292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6292E"/>
    <w:rPr>
      <w:rFonts w:ascii="Arial" w:eastAsia="SimSun" w:hAnsi="Arial" w:cs="Arial"/>
      <w:sz w:val="22"/>
      <w:lang w:val="es-ES" w:eastAsia="zh-CN"/>
    </w:rPr>
  </w:style>
  <w:style w:type="character" w:styleId="FollowedHyperlink">
    <w:name w:val="FollowedHyperlink"/>
    <w:basedOn w:val="DefaultParagraphFont"/>
    <w:semiHidden/>
    <w:unhideWhenUsed/>
    <w:rsid w:val="0076292E"/>
    <w:rPr>
      <w:color w:val="800080" w:themeColor="followedHyperlink"/>
      <w:u w:val="single"/>
    </w:rPr>
  </w:style>
  <w:style w:type="paragraph" w:styleId="TOCHeading">
    <w:name w:val="TOC Heading"/>
    <w:basedOn w:val="Heading1"/>
    <w:next w:val="Normal"/>
    <w:uiPriority w:val="39"/>
    <w:unhideWhenUsed/>
    <w:qFormat/>
    <w:rsid w:val="0076292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76292E"/>
  </w:style>
  <w:style w:type="paragraph" w:styleId="MacroText">
    <w:name w:val="macro"/>
    <w:link w:val="MacroTextChar"/>
    <w:semiHidden/>
    <w:rsid w:val="007629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6292E"/>
    <w:rPr>
      <w:rFonts w:ascii="Courier New" w:hAnsi="Courier New"/>
      <w:sz w:val="16"/>
      <w:lang w:val="en-US" w:eastAsia="en-US"/>
    </w:rPr>
  </w:style>
  <w:style w:type="table" w:styleId="GridTable5Dark-Accent1">
    <w:name w:val="Grid Table 5 Dark Accent 1"/>
    <w:basedOn w:val="TableNormal"/>
    <w:uiPriority w:val="50"/>
    <w:rsid w:val="007629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7629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76292E"/>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76292E"/>
  </w:style>
  <w:style w:type="character" w:customStyle="1" w:styleId="eop">
    <w:name w:val="eop"/>
    <w:basedOn w:val="DefaultParagraphFont"/>
    <w:rsid w:val="0076292E"/>
  </w:style>
  <w:style w:type="character" w:styleId="Emphasis">
    <w:name w:val="Emphasis"/>
    <w:basedOn w:val="DefaultParagraphFont"/>
    <w:uiPriority w:val="20"/>
    <w:qFormat/>
    <w:rsid w:val="0076292E"/>
    <w:rPr>
      <w:i/>
      <w:iCs/>
    </w:rPr>
  </w:style>
  <w:style w:type="table" w:customStyle="1" w:styleId="TableGridLight1">
    <w:name w:val="Table Grid Light1"/>
    <w:basedOn w:val="TableNormal"/>
    <w:next w:val="TableGridLight"/>
    <w:uiPriority w:val="40"/>
    <w:rsid w:val="0076292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6292E"/>
  </w:style>
  <w:style w:type="character" w:styleId="Mention">
    <w:name w:val="Mention"/>
    <w:basedOn w:val="DefaultParagraphFont"/>
    <w:uiPriority w:val="99"/>
    <w:unhideWhenUsed/>
    <w:rsid w:val="0076292E"/>
    <w:rPr>
      <w:color w:val="2B579A"/>
      <w:shd w:val="clear" w:color="auto" w:fill="E1DFDD"/>
    </w:rPr>
  </w:style>
  <w:style w:type="paragraph" w:customStyle="1" w:styleId="TableParagraph">
    <w:name w:val="Table Paragraph"/>
    <w:basedOn w:val="Normal"/>
    <w:uiPriority w:val="1"/>
    <w:qFormat/>
    <w:rsid w:val="0076292E"/>
    <w:pPr>
      <w:widowControl w:val="0"/>
      <w:autoSpaceDE w:val="0"/>
      <w:autoSpaceDN w:val="0"/>
    </w:pPr>
    <w:rPr>
      <w:rFonts w:eastAsia="Arial"/>
      <w:szCs w:val="22"/>
      <w:lang w:val="en-US" w:eastAsia="en-US"/>
    </w:rPr>
  </w:style>
  <w:style w:type="character" w:styleId="UnresolvedMention">
    <w:name w:val="Unresolved Mention"/>
    <w:basedOn w:val="DefaultParagraphFont"/>
    <w:uiPriority w:val="99"/>
    <w:semiHidden/>
    <w:unhideWhenUsed/>
    <w:rsid w:val="0076292E"/>
    <w:rPr>
      <w:color w:val="605E5C"/>
      <w:shd w:val="clear" w:color="auto" w:fill="E1DFDD"/>
    </w:rPr>
  </w:style>
  <w:style w:type="table" w:styleId="ListTable3-Accent1">
    <w:name w:val="List Table 3 Accent 1"/>
    <w:basedOn w:val="TableNormal"/>
    <w:uiPriority w:val="48"/>
    <w:rsid w:val="0076292E"/>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NUMEsubpara">
    <w:name w:val="ONUM E sub para"/>
    <w:basedOn w:val="ONUME"/>
    <w:qFormat/>
    <w:rsid w:val="0076292E"/>
    <w:pPr>
      <w:numPr>
        <w:numId w:val="0"/>
      </w:numPr>
      <w:tabs>
        <w:tab w:val="left" w:pos="1170"/>
      </w:tabs>
      <w:ind w:left="540" w:hanging="360"/>
    </w:pPr>
    <w:rPr>
      <w:lang w:val="en-US"/>
    </w:rPr>
  </w:style>
  <w:style w:type="paragraph" w:customStyle="1" w:styleId="ONUMEsubsubpara">
    <w:name w:val="ONUM E sub sub para"/>
    <w:basedOn w:val="ONUMEsubpara"/>
    <w:qFormat/>
    <w:rsid w:val="0076292E"/>
    <w:pPr>
      <w:tabs>
        <w:tab w:val="clear" w:pos="1170"/>
        <w:tab w:val="left" w:pos="1800"/>
      </w:tabs>
      <w:ind w:left="1197"/>
    </w:pPr>
  </w:style>
  <w:style w:type="character" w:styleId="Strong">
    <w:name w:val="Strong"/>
    <w:basedOn w:val="DefaultParagraphFont"/>
    <w:uiPriority w:val="22"/>
    <w:qFormat/>
    <w:rsid w:val="0076292E"/>
    <w:rPr>
      <w:b/>
      <w:bCs/>
    </w:rPr>
  </w:style>
  <w:style w:type="character" w:customStyle="1" w:styleId="cf01">
    <w:name w:val="cf01"/>
    <w:basedOn w:val="DefaultParagraphFont"/>
    <w:rsid w:val="0076292E"/>
    <w:rPr>
      <w:rFonts w:ascii="Segoe UI" w:hAnsi="Segoe UI" w:cs="Segoe UI" w:hint="default"/>
      <w:sz w:val="18"/>
      <w:szCs w:val="18"/>
    </w:rPr>
  </w:style>
  <w:style w:type="numbering" w:customStyle="1" w:styleId="CurrentList1">
    <w:name w:val="Current List1"/>
    <w:uiPriority w:val="99"/>
    <w:rsid w:val="0035305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282">
      <w:bodyDiv w:val="1"/>
      <w:marLeft w:val="0"/>
      <w:marRight w:val="0"/>
      <w:marTop w:val="0"/>
      <w:marBottom w:val="0"/>
      <w:divBdr>
        <w:top w:val="none" w:sz="0" w:space="0" w:color="auto"/>
        <w:left w:val="none" w:sz="0" w:space="0" w:color="auto"/>
        <w:bottom w:val="none" w:sz="0" w:space="0" w:color="auto"/>
        <w:right w:val="none" w:sz="0" w:space="0" w:color="auto"/>
      </w:divBdr>
    </w:div>
    <w:div w:id="313533192">
      <w:bodyDiv w:val="1"/>
      <w:marLeft w:val="0"/>
      <w:marRight w:val="0"/>
      <w:marTop w:val="0"/>
      <w:marBottom w:val="0"/>
      <w:divBdr>
        <w:top w:val="none" w:sz="0" w:space="0" w:color="auto"/>
        <w:left w:val="none" w:sz="0" w:space="0" w:color="auto"/>
        <w:bottom w:val="none" w:sz="0" w:space="0" w:color="auto"/>
        <w:right w:val="none" w:sz="0" w:space="0" w:color="auto"/>
      </w:divBdr>
    </w:div>
    <w:div w:id="335881773">
      <w:bodyDiv w:val="1"/>
      <w:marLeft w:val="0"/>
      <w:marRight w:val="0"/>
      <w:marTop w:val="0"/>
      <w:marBottom w:val="0"/>
      <w:divBdr>
        <w:top w:val="none" w:sz="0" w:space="0" w:color="auto"/>
        <w:left w:val="none" w:sz="0" w:space="0" w:color="auto"/>
        <w:bottom w:val="none" w:sz="0" w:space="0" w:color="auto"/>
        <w:right w:val="none" w:sz="0" w:space="0" w:color="auto"/>
      </w:divBdr>
    </w:div>
    <w:div w:id="356153311">
      <w:bodyDiv w:val="1"/>
      <w:marLeft w:val="0"/>
      <w:marRight w:val="0"/>
      <w:marTop w:val="0"/>
      <w:marBottom w:val="0"/>
      <w:divBdr>
        <w:top w:val="none" w:sz="0" w:space="0" w:color="auto"/>
        <w:left w:val="none" w:sz="0" w:space="0" w:color="auto"/>
        <w:bottom w:val="none" w:sz="0" w:space="0" w:color="auto"/>
        <w:right w:val="none" w:sz="0" w:space="0" w:color="auto"/>
      </w:divBdr>
    </w:div>
    <w:div w:id="811941145">
      <w:bodyDiv w:val="1"/>
      <w:marLeft w:val="0"/>
      <w:marRight w:val="0"/>
      <w:marTop w:val="0"/>
      <w:marBottom w:val="0"/>
      <w:divBdr>
        <w:top w:val="none" w:sz="0" w:space="0" w:color="auto"/>
        <w:left w:val="none" w:sz="0" w:space="0" w:color="auto"/>
        <w:bottom w:val="none" w:sz="0" w:space="0" w:color="auto"/>
        <w:right w:val="none" w:sz="0" w:space="0" w:color="auto"/>
      </w:divBdr>
    </w:div>
    <w:div w:id="830802321">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92274512">
      <w:bodyDiv w:val="1"/>
      <w:marLeft w:val="0"/>
      <w:marRight w:val="0"/>
      <w:marTop w:val="0"/>
      <w:marBottom w:val="0"/>
      <w:divBdr>
        <w:top w:val="none" w:sz="0" w:space="0" w:color="auto"/>
        <w:left w:val="none" w:sz="0" w:space="0" w:color="auto"/>
        <w:bottom w:val="none" w:sz="0" w:space="0" w:color="auto"/>
        <w:right w:val="none" w:sz="0" w:space="0" w:color="auto"/>
      </w:divBdr>
    </w:div>
    <w:div w:id="916667319">
      <w:bodyDiv w:val="1"/>
      <w:marLeft w:val="0"/>
      <w:marRight w:val="0"/>
      <w:marTop w:val="0"/>
      <w:marBottom w:val="0"/>
      <w:divBdr>
        <w:top w:val="none" w:sz="0" w:space="0" w:color="auto"/>
        <w:left w:val="none" w:sz="0" w:space="0" w:color="auto"/>
        <w:bottom w:val="none" w:sz="0" w:space="0" w:color="auto"/>
        <w:right w:val="none" w:sz="0" w:space="0" w:color="auto"/>
      </w:divBdr>
    </w:div>
    <w:div w:id="1007751955">
      <w:bodyDiv w:val="1"/>
      <w:marLeft w:val="0"/>
      <w:marRight w:val="0"/>
      <w:marTop w:val="0"/>
      <w:marBottom w:val="0"/>
      <w:divBdr>
        <w:top w:val="none" w:sz="0" w:space="0" w:color="auto"/>
        <w:left w:val="none" w:sz="0" w:space="0" w:color="auto"/>
        <w:bottom w:val="none" w:sz="0" w:space="0" w:color="auto"/>
        <w:right w:val="none" w:sz="0" w:space="0" w:color="auto"/>
      </w:divBdr>
    </w:div>
    <w:div w:id="1082215082">
      <w:bodyDiv w:val="1"/>
      <w:marLeft w:val="0"/>
      <w:marRight w:val="0"/>
      <w:marTop w:val="0"/>
      <w:marBottom w:val="0"/>
      <w:divBdr>
        <w:top w:val="none" w:sz="0" w:space="0" w:color="auto"/>
        <w:left w:val="none" w:sz="0" w:space="0" w:color="auto"/>
        <w:bottom w:val="none" w:sz="0" w:space="0" w:color="auto"/>
        <w:right w:val="none" w:sz="0" w:space="0" w:color="auto"/>
      </w:divBdr>
    </w:div>
    <w:div w:id="1108961726">
      <w:bodyDiv w:val="1"/>
      <w:marLeft w:val="0"/>
      <w:marRight w:val="0"/>
      <w:marTop w:val="0"/>
      <w:marBottom w:val="0"/>
      <w:divBdr>
        <w:top w:val="none" w:sz="0" w:space="0" w:color="auto"/>
        <w:left w:val="none" w:sz="0" w:space="0" w:color="auto"/>
        <w:bottom w:val="none" w:sz="0" w:space="0" w:color="auto"/>
        <w:right w:val="none" w:sz="0" w:space="0" w:color="auto"/>
      </w:divBdr>
    </w:div>
    <w:div w:id="1171990623">
      <w:bodyDiv w:val="1"/>
      <w:marLeft w:val="0"/>
      <w:marRight w:val="0"/>
      <w:marTop w:val="0"/>
      <w:marBottom w:val="0"/>
      <w:divBdr>
        <w:top w:val="none" w:sz="0" w:space="0" w:color="auto"/>
        <w:left w:val="none" w:sz="0" w:space="0" w:color="auto"/>
        <w:bottom w:val="none" w:sz="0" w:space="0" w:color="auto"/>
        <w:right w:val="none" w:sz="0" w:space="0" w:color="auto"/>
      </w:divBdr>
    </w:div>
    <w:div w:id="1180661994">
      <w:bodyDiv w:val="1"/>
      <w:marLeft w:val="0"/>
      <w:marRight w:val="0"/>
      <w:marTop w:val="0"/>
      <w:marBottom w:val="0"/>
      <w:divBdr>
        <w:top w:val="none" w:sz="0" w:space="0" w:color="auto"/>
        <w:left w:val="none" w:sz="0" w:space="0" w:color="auto"/>
        <w:bottom w:val="none" w:sz="0" w:space="0" w:color="auto"/>
        <w:right w:val="none" w:sz="0" w:space="0" w:color="auto"/>
      </w:divBdr>
    </w:div>
    <w:div w:id="1358237370">
      <w:bodyDiv w:val="1"/>
      <w:marLeft w:val="0"/>
      <w:marRight w:val="0"/>
      <w:marTop w:val="0"/>
      <w:marBottom w:val="0"/>
      <w:divBdr>
        <w:top w:val="none" w:sz="0" w:space="0" w:color="auto"/>
        <w:left w:val="none" w:sz="0" w:space="0" w:color="auto"/>
        <w:bottom w:val="none" w:sz="0" w:space="0" w:color="auto"/>
        <w:right w:val="none" w:sz="0" w:space="0" w:color="auto"/>
      </w:divBdr>
    </w:div>
    <w:div w:id="1367021796">
      <w:bodyDiv w:val="1"/>
      <w:marLeft w:val="0"/>
      <w:marRight w:val="0"/>
      <w:marTop w:val="0"/>
      <w:marBottom w:val="0"/>
      <w:divBdr>
        <w:top w:val="none" w:sz="0" w:space="0" w:color="auto"/>
        <w:left w:val="none" w:sz="0" w:space="0" w:color="auto"/>
        <w:bottom w:val="none" w:sz="0" w:space="0" w:color="auto"/>
        <w:right w:val="none" w:sz="0" w:space="0" w:color="auto"/>
      </w:divBdr>
    </w:div>
    <w:div w:id="1378046289">
      <w:bodyDiv w:val="1"/>
      <w:marLeft w:val="0"/>
      <w:marRight w:val="0"/>
      <w:marTop w:val="0"/>
      <w:marBottom w:val="0"/>
      <w:divBdr>
        <w:top w:val="none" w:sz="0" w:space="0" w:color="auto"/>
        <w:left w:val="none" w:sz="0" w:space="0" w:color="auto"/>
        <w:bottom w:val="none" w:sz="0" w:space="0" w:color="auto"/>
        <w:right w:val="none" w:sz="0" w:space="0" w:color="auto"/>
      </w:divBdr>
    </w:div>
    <w:div w:id="1421104956">
      <w:bodyDiv w:val="1"/>
      <w:marLeft w:val="0"/>
      <w:marRight w:val="0"/>
      <w:marTop w:val="0"/>
      <w:marBottom w:val="0"/>
      <w:divBdr>
        <w:top w:val="none" w:sz="0" w:space="0" w:color="auto"/>
        <w:left w:val="none" w:sz="0" w:space="0" w:color="auto"/>
        <w:bottom w:val="none" w:sz="0" w:space="0" w:color="auto"/>
        <w:right w:val="none" w:sz="0" w:space="0" w:color="auto"/>
      </w:divBdr>
    </w:div>
    <w:div w:id="1564636021">
      <w:bodyDiv w:val="1"/>
      <w:marLeft w:val="0"/>
      <w:marRight w:val="0"/>
      <w:marTop w:val="0"/>
      <w:marBottom w:val="0"/>
      <w:divBdr>
        <w:top w:val="none" w:sz="0" w:space="0" w:color="auto"/>
        <w:left w:val="none" w:sz="0" w:space="0" w:color="auto"/>
        <w:bottom w:val="none" w:sz="0" w:space="0" w:color="auto"/>
        <w:right w:val="none" w:sz="0" w:space="0" w:color="auto"/>
      </w:divBdr>
    </w:div>
    <w:div w:id="1626035357">
      <w:bodyDiv w:val="1"/>
      <w:marLeft w:val="0"/>
      <w:marRight w:val="0"/>
      <w:marTop w:val="0"/>
      <w:marBottom w:val="0"/>
      <w:divBdr>
        <w:top w:val="none" w:sz="0" w:space="0" w:color="auto"/>
        <w:left w:val="none" w:sz="0" w:space="0" w:color="auto"/>
        <w:bottom w:val="none" w:sz="0" w:space="0" w:color="auto"/>
        <w:right w:val="none" w:sz="0" w:space="0" w:color="auto"/>
      </w:divBdr>
    </w:div>
    <w:div w:id="1685588170">
      <w:bodyDiv w:val="1"/>
      <w:marLeft w:val="0"/>
      <w:marRight w:val="0"/>
      <w:marTop w:val="0"/>
      <w:marBottom w:val="0"/>
      <w:divBdr>
        <w:top w:val="none" w:sz="0" w:space="0" w:color="auto"/>
        <w:left w:val="none" w:sz="0" w:space="0" w:color="auto"/>
        <w:bottom w:val="none" w:sz="0" w:space="0" w:color="auto"/>
        <w:right w:val="none" w:sz="0" w:space="0" w:color="auto"/>
      </w:divBdr>
    </w:div>
    <w:div w:id="2074500181">
      <w:bodyDiv w:val="1"/>
      <w:marLeft w:val="0"/>
      <w:marRight w:val="0"/>
      <w:marTop w:val="0"/>
      <w:marBottom w:val="0"/>
      <w:divBdr>
        <w:top w:val="none" w:sz="0" w:space="0" w:color="auto"/>
        <w:left w:val="none" w:sz="0" w:space="0" w:color="auto"/>
        <w:bottom w:val="none" w:sz="0" w:space="0" w:color="auto"/>
        <w:right w:val="none" w:sz="0" w:space="0" w:color="auto"/>
      </w:divBdr>
    </w:div>
    <w:div w:id="2099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budget/pdf/budget-2024-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06391-563A-4A06-B002-13EBBD2CF84B}">
  <ds:schemaRefs>
    <ds:schemaRef ds:uri="http://schemas.openxmlformats.org/officeDocument/2006/bibliography"/>
  </ds:schemaRefs>
</ds:datastoreItem>
</file>

<file path=customXml/itemProps3.xml><?xml version="1.0" encoding="utf-8"?>
<ds:datastoreItem xmlns:ds="http://schemas.openxmlformats.org/officeDocument/2006/customXml" ds:itemID="{FE1C76D2-131C-4353-B4FF-741C414D01D6}">
  <ds:schemaRefs>
    <ds:schemaRef ds:uri="781c9f64-295c-457e-9e5f-c4eb841d6909"/>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b1a73aef-ce8f-442d-a5fc-a13bc475f3f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D3E1137-DB2F-465F-BD14-3C92C8B0A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(S).dotm</Template>
  <TotalTime>15</TotalTime>
  <Pages>31</Pages>
  <Words>10920</Words>
  <Characters>57306</Characters>
  <Application>Microsoft Office Word</Application>
  <DocSecurity>0</DocSecurity>
  <Lines>477</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WO/GA/58/3</vt:lpstr>
      <vt:lpstr>WO/GA/58/3</vt:lpstr>
    </vt:vector>
  </TitlesOfParts>
  <Company/>
  <LinksUpToDate>false</LinksUpToDate>
  <CharactersWithSpaces>68090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WO/GA/58/3</dc:title>
  <dc:creator>WIPO</dc:creator>
  <cp:lastModifiedBy>RUSSO Antonella</cp:lastModifiedBy>
  <cp:revision>3</cp:revision>
  <cp:lastPrinted>2025-05-05T09:40:00Z</cp:lastPrinted>
  <dcterms:created xsi:type="dcterms:W3CDTF">2025-05-05T09:39:00Z</dcterms:created>
  <dcterms:modified xsi:type="dcterms:W3CDTF">2025-05-05T09:54:00Z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ContentTypeId">
    <vt:lpwstr>0x0101005ABDE43AC2B2FA498C2D4BCF657BBF08</vt:lpwstr>
  </property>
  <property fmtid="{D5CDD505-2E9C-101B-9397-08002B2CF9AE}" pid="5" name="Language">
    <vt:lpwstr>English</vt:lpwstr>
  </property>
  <property fmtid="{D5CDD505-2E9C-101B-9397-08002B2CF9AE}" pid="6" name="MSIP_Label_20773ee6-353b-4fb9-a59d-0b94c8c67bea_ActionId">
    <vt:lpwstr>ed34074f-d083-4d05-adfc-1237999e79e9</vt:lpwstr>
  </property>
  <property fmtid="{D5CDD505-2E9C-101B-9397-08002B2CF9AE}" pid="7" name="MSIP_Label_20773ee6-353b-4fb9-a59d-0b94c8c67bea_ContentBits">
    <vt:lpwstr>0</vt:lpwstr>
  </property>
  <property fmtid="{D5CDD505-2E9C-101B-9397-08002B2CF9AE}" pid="8" name="MSIP_Label_20773ee6-353b-4fb9-a59d-0b94c8c67bea_Enabled">
    <vt:lpwstr>true</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etDate">
    <vt:lpwstr>2025-02-18T10:25:36Z</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Tag">
    <vt:lpwstr>10, 0, 1, 1</vt:lpwstr>
  </property>
  <property fmtid="{D5CDD505-2E9C-101B-9397-08002B2CF9AE}" pid="14" name="TCSClassification">
    <vt:lpwstr>FOR OFFICIAL USE ONLY</vt:lpwstr>
  </property>
  <property fmtid="{D5CDD505-2E9C-101B-9397-08002B2CF9AE}" pid="15" name="TitusGUID">
    <vt:lpwstr>97c1e2a3-8e7f-43d2-be5f-27d34b55462c</vt:lpwstr>
  </property>
  <property fmtid="{D5CDD505-2E9C-101B-9397-08002B2CF9AE}" pid="16" name="VisualMarkings">
    <vt:lpwstr>Footer</vt:lpwstr>
  </property>
</Properties>
</file>