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3AC1" w14:textId="77777777" w:rsidR="008B2CC1" w:rsidRPr="00621156" w:rsidRDefault="008B14EA" w:rsidP="008B14EA">
      <w:pPr>
        <w:spacing w:after="120"/>
        <w:jc w:val="right"/>
        <w:rPr>
          <w:lang w:val="es-419"/>
        </w:rPr>
      </w:pPr>
      <w:r w:rsidRPr="00621156">
        <w:rPr>
          <w:noProof/>
          <w:lang w:val="es-419" w:eastAsia="fr-CH"/>
        </w:rPr>
        <w:drawing>
          <wp:inline distT="0" distB="0" distL="0" distR="0" wp14:anchorId="2D1F7509" wp14:editId="2AD9A31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1">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21156">
        <w:rPr>
          <w:rFonts w:ascii="Arial Black" w:hAnsi="Arial Black"/>
          <w:caps/>
          <w:noProof/>
          <w:sz w:val="15"/>
          <w:szCs w:val="15"/>
          <w:lang w:val="es-419" w:eastAsia="fr-CH"/>
        </w:rPr>
        <mc:AlternateContent>
          <mc:Choice Requires="wps">
            <w:drawing>
              <wp:inline distT="0" distB="0" distL="0" distR="0" wp14:anchorId="7A52E533" wp14:editId="592FBDA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84D904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8DED625" w14:textId="1424EA90" w:rsidR="008B2CC1" w:rsidRPr="00621156" w:rsidRDefault="00522018" w:rsidP="008B14EA">
      <w:pPr>
        <w:jc w:val="right"/>
        <w:rPr>
          <w:rFonts w:ascii="Arial Black" w:hAnsi="Arial Black"/>
          <w:caps/>
          <w:sz w:val="15"/>
          <w:lang w:val="es-419"/>
        </w:rPr>
      </w:pPr>
      <w:r w:rsidRPr="00621156">
        <w:rPr>
          <w:rFonts w:ascii="Arial Black" w:hAnsi="Arial Black"/>
          <w:caps/>
          <w:sz w:val="15"/>
          <w:szCs w:val="15"/>
          <w:lang w:val="es-419"/>
        </w:rPr>
        <w:t>WO/GA/5</w:t>
      </w:r>
      <w:r w:rsidR="00137CC4" w:rsidRPr="00621156">
        <w:rPr>
          <w:rFonts w:ascii="Arial Black" w:hAnsi="Arial Black"/>
          <w:caps/>
          <w:sz w:val="15"/>
          <w:szCs w:val="15"/>
          <w:lang w:val="es-419"/>
        </w:rPr>
        <w:t>8</w:t>
      </w:r>
      <w:r w:rsidRPr="00621156">
        <w:rPr>
          <w:rFonts w:ascii="Arial Black" w:hAnsi="Arial Black"/>
          <w:caps/>
          <w:sz w:val="15"/>
          <w:szCs w:val="15"/>
          <w:lang w:val="es-419"/>
        </w:rPr>
        <w:t>/</w:t>
      </w:r>
      <w:bookmarkStart w:id="0" w:name="Code"/>
      <w:r w:rsidR="008D03C4" w:rsidRPr="00621156">
        <w:rPr>
          <w:rFonts w:ascii="Arial Black" w:hAnsi="Arial Black"/>
          <w:caps/>
          <w:sz w:val="15"/>
          <w:szCs w:val="15"/>
          <w:lang w:val="es-419"/>
        </w:rPr>
        <w:t>2</w:t>
      </w:r>
    </w:p>
    <w:bookmarkEnd w:id="0"/>
    <w:p w14:paraId="77CA2470" w14:textId="67475AA5" w:rsidR="008B2CC1" w:rsidRPr="00621156" w:rsidRDefault="008B14EA" w:rsidP="008B14EA">
      <w:pPr>
        <w:jc w:val="right"/>
        <w:rPr>
          <w:rFonts w:ascii="Arial Black" w:hAnsi="Arial Black"/>
          <w:caps/>
          <w:sz w:val="15"/>
          <w:lang w:val="es-419"/>
        </w:rPr>
      </w:pPr>
      <w:r w:rsidRPr="00621156">
        <w:rPr>
          <w:rFonts w:ascii="Arial Black" w:hAnsi="Arial Black"/>
          <w:caps/>
          <w:sz w:val="15"/>
          <w:lang w:val="es-419"/>
        </w:rPr>
        <w:t xml:space="preserve">ORIGINAL: </w:t>
      </w:r>
      <w:bookmarkStart w:id="1" w:name="Original"/>
      <w:r w:rsidR="008D03C4" w:rsidRPr="00621156">
        <w:rPr>
          <w:rFonts w:ascii="Arial Black" w:hAnsi="Arial Black"/>
          <w:caps/>
          <w:sz w:val="15"/>
          <w:lang w:val="es-419"/>
        </w:rPr>
        <w:t>Inglés</w:t>
      </w:r>
    </w:p>
    <w:bookmarkEnd w:id="1"/>
    <w:p w14:paraId="20E4E0DD" w14:textId="513565B4" w:rsidR="008B2CC1" w:rsidRPr="00621156" w:rsidRDefault="008B14EA" w:rsidP="008B14EA">
      <w:pPr>
        <w:spacing w:after="1200"/>
        <w:jc w:val="right"/>
        <w:rPr>
          <w:rFonts w:ascii="Arial Black" w:hAnsi="Arial Black"/>
          <w:caps/>
          <w:sz w:val="15"/>
          <w:lang w:val="es-419"/>
        </w:rPr>
      </w:pPr>
      <w:r w:rsidRPr="00621156">
        <w:rPr>
          <w:rFonts w:ascii="Arial Black" w:hAnsi="Arial Black"/>
          <w:caps/>
          <w:sz w:val="15"/>
          <w:lang w:val="es-419"/>
        </w:rPr>
        <w:t xml:space="preserve">FECHA: </w:t>
      </w:r>
      <w:bookmarkStart w:id="2" w:name="Date"/>
      <w:r w:rsidR="002C2B0F" w:rsidRPr="00621156">
        <w:rPr>
          <w:rFonts w:ascii="Arial Black" w:hAnsi="Arial Black"/>
          <w:caps/>
          <w:sz w:val="15"/>
          <w:lang w:val="es-419"/>
        </w:rPr>
        <w:t xml:space="preserve">27 </w:t>
      </w:r>
      <w:r w:rsidR="008D03C4" w:rsidRPr="00621156">
        <w:rPr>
          <w:rFonts w:ascii="Arial Black" w:hAnsi="Arial Black"/>
          <w:caps/>
          <w:sz w:val="15"/>
          <w:lang w:val="es-419"/>
        </w:rPr>
        <w:t>de mayo de 2025</w:t>
      </w:r>
    </w:p>
    <w:bookmarkEnd w:id="2"/>
    <w:p w14:paraId="079341A6" w14:textId="77777777" w:rsidR="008B2CC1" w:rsidRPr="00621156" w:rsidRDefault="00522018" w:rsidP="008B14EA">
      <w:pPr>
        <w:spacing w:after="600"/>
        <w:rPr>
          <w:b/>
          <w:sz w:val="28"/>
          <w:szCs w:val="28"/>
          <w:lang w:val="es-419"/>
        </w:rPr>
      </w:pPr>
      <w:r w:rsidRPr="00621156">
        <w:rPr>
          <w:b/>
          <w:sz w:val="28"/>
          <w:szCs w:val="28"/>
          <w:lang w:val="es-419"/>
        </w:rPr>
        <w:t>Asamblea General de la OMPI</w:t>
      </w:r>
    </w:p>
    <w:p w14:paraId="374A3C18" w14:textId="77777777" w:rsidR="00323EB5" w:rsidRPr="00621156" w:rsidRDefault="00D52052" w:rsidP="00323EB5">
      <w:pPr>
        <w:rPr>
          <w:b/>
          <w:sz w:val="24"/>
          <w:szCs w:val="24"/>
          <w:lang w:val="es-419"/>
        </w:rPr>
      </w:pPr>
      <w:r w:rsidRPr="00621156">
        <w:rPr>
          <w:b/>
          <w:sz w:val="24"/>
          <w:szCs w:val="24"/>
          <w:lang w:val="es-419"/>
        </w:rPr>
        <w:t xml:space="preserve">Quincuagésimo </w:t>
      </w:r>
      <w:r w:rsidR="00137CC4" w:rsidRPr="00621156">
        <w:rPr>
          <w:b/>
          <w:sz w:val="24"/>
          <w:szCs w:val="24"/>
          <w:lang w:val="es-419"/>
        </w:rPr>
        <w:t>octavo</w:t>
      </w:r>
      <w:r w:rsidRPr="00621156">
        <w:rPr>
          <w:b/>
          <w:sz w:val="24"/>
          <w:szCs w:val="24"/>
          <w:lang w:val="es-419"/>
        </w:rPr>
        <w:t xml:space="preserve"> período de sesiones (</w:t>
      </w:r>
      <w:r w:rsidR="00137CC4" w:rsidRPr="00621156">
        <w:rPr>
          <w:b/>
          <w:sz w:val="24"/>
          <w:szCs w:val="24"/>
          <w:lang w:val="es-419"/>
        </w:rPr>
        <w:t>27</w:t>
      </w:r>
      <w:r w:rsidRPr="00621156">
        <w:rPr>
          <w:b/>
          <w:sz w:val="24"/>
          <w:szCs w:val="24"/>
          <w:lang w:val="es-419"/>
        </w:rPr>
        <w:t>.º ordinario</w:t>
      </w:r>
      <w:r w:rsidR="00522018" w:rsidRPr="00621156">
        <w:rPr>
          <w:b/>
          <w:sz w:val="24"/>
          <w:szCs w:val="24"/>
          <w:lang w:val="es-419"/>
        </w:rPr>
        <w:t>)</w:t>
      </w:r>
    </w:p>
    <w:p w14:paraId="35F046CD" w14:textId="77777777" w:rsidR="008B2CC1" w:rsidRPr="00621156" w:rsidRDefault="00522018" w:rsidP="008B14EA">
      <w:pPr>
        <w:spacing w:after="720"/>
        <w:rPr>
          <w:b/>
          <w:sz w:val="24"/>
          <w:szCs w:val="24"/>
          <w:lang w:val="es-419"/>
        </w:rPr>
      </w:pPr>
      <w:r w:rsidRPr="00621156">
        <w:rPr>
          <w:b/>
          <w:sz w:val="24"/>
          <w:szCs w:val="24"/>
          <w:lang w:val="es-419"/>
        </w:rPr>
        <w:t xml:space="preserve">Ginebra, </w:t>
      </w:r>
      <w:r w:rsidR="00137CC4" w:rsidRPr="00621156">
        <w:rPr>
          <w:b/>
          <w:sz w:val="24"/>
          <w:szCs w:val="24"/>
          <w:lang w:val="es-419"/>
        </w:rPr>
        <w:t xml:space="preserve">8 </w:t>
      </w:r>
      <w:r w:rsidR="00D52052" w:rsidRPr="00621156">
        <w:rPr>
          <w:b/>
          <w:sz w:val="24"/>
          <w:szCs w:val="24"/>
          <w:lang w:val="es-419"/>
        </w:rPr>
        <w:t>a 17 de julio de 202</w:t>
      </w:r>
      <w:r w:rsidR="00137CC4" w:rsidRPr="00621156">
        <w:rPr>
          <w:b/>
          <w:sz w:val="24"/>
          <w:szCs w:val="24"/>
          <w:lang w:val="es-419"/>
        </w:rPr>
        <w:t>5</w:t>
      </w:r>
    </w:p>
    <w:p w14:paraId="5DD8F765" w14:textId="79E0AFDF" w:rsidR="008B2CC1" w:rsidRPr="00621156" w:rsidRDefault="008D03C4" w:rsidP="008B14EA">
      <w:pPr>
        <w:spacing w:after="360"/>
        <w:rPr>
          <w:caps/>
          <w:sz w:val="24"/>
          <w:lang w:val="es-419"/>
        </w:rPr>
      </w:pPr>
      <w:bookmarkStart w:id="3" w:name="TitleOfDoc"/>
      <w:r w:rsidRPr="00621156">
        <w:rPr>
          <w:caps/>
          <w:sz w:val="24"/>
          <w:lang w:val="es-419"/>
        </w:rPr>
        <w:t>INFORME DE LA COMISIÓN CONSULTIVA INDEPENDIENTE DE SUPERVISIÓN (CCIS) DE LA OMPI</w:t>
      </w:r>
    </w:p>
    <w:p w14:paraId="6797BE1F" w14:textId="3BC7FA2B" w:rsidR="008B2CC1" w:rsidRPr="00621156" w:rsidRDefault="008D03C4" w:rsidP="008B14EA">
      <w:pPr>
        <w:spacing w:after="960"/>
        <w:rPr>
          <w:i/>
          <w:lang w:val="es-419"/>
        </w:rPr>
      </w:pPr>
      <w:bookmarkStart w:id="4" w:name="Prepared"/>
      <w:bookmarkEnd w:id="3"/>
      <w:r w:rsidRPr="00621156">
        <w:rPr>
          <w:i/>
          <w:lang w:val="es-419"/>
        </w:rPr>
        <w:t>preparado por la Comisión Consultiva Independiente de Supervisión (CCIS)</w:t>
      </w:r>
    </w:p>
    <w:bookmarkEnd w:id="4"/>
    <w:p w14:paraId="3322F104" w14:textId="77777777" w:rsidR="008D03C4" w:rsidRPr="00621156" w:rsidRDefault="008D03C4" w:rsidP="008D03C4">
      <w:pPr>
        <w:numPr>
          <w:ilvl w:val="0"/>
          <w:numId w:val="21"/>
        </w:numPr>
        <w:spacing w:after="220"/>
        <w:rPr>
          <w:lang w:val="es-419"/>
        </w:rPr>
      </w:pPr>
      <w:r w:rsidRPr="00621156">
        <w:rPr>
          <w:lang w:val="es-419"/>
        </w:rPr>
        <w:t>El presente documento contiene el "Informe de la Comisión Consultiva Independiente de Supervisión (CCIS) de la OMPI” (documento WO/PBC/39/2), presentado al Comité del Programa y Presupuesto (PBC) de la OMPI en su trigésima novena sesión (16 a 20 de junio de 2025).</w:t>
      </w:r>
    </w:p>
    <w:p w14:paraId="5E84F979" w14:textId="45BFDE97" w:rsidR="008D03C4" w:rsidRPr="00621156" w:rsidRDefault="008D03C4" w:rsidP="00DB1696">
      <w:pPr>
        <w:spacing w:after="840"/>
        <w:rPr>
          <w:lang w:val="es-419"/>
        </w:rPr>
      </w:pPr>
      <w:r w:rsidRPr="00621156">
        <w:rPr>
          <w:lang w:val="es-419"/>
        </w:rPr>
        <w:t>Las decisiones del PBC relativas a ese documento figurarán en la "Lista de decisiones aprobadas por el Comité del Programa y Presupuesto” (documento A/</w:t>
      </w:r>
      <w:r w:rsidR="0017278B" w:rsidRPr="00621156">
        <w:rPr>
          <w:lang w:val="es-419"/>
        </w:rPr>
        <w:t>66</w:t>
      </w:r>
      <w:r w:rsidRPr="00621156">
        <w:rPr>
          <w:lang w:val="es-419"/>
        </w:rPr>
        <w:t>/7).</w:t>
      </w:r>
    </w:p>
    <w:p w14:paraId="2CB1529D" w14:textId="77777777" w:rsidR="008D03C4" w:rsidRPr="00621156" w:rsidRDefault="008D03C4" w:rsidP="00DB1696">
      <w:pPr>
        <w:pStyle w:val="Endofdocument-Annex"/>
        <w:rPr>
          <w:lang w:val="es-419"/>
        </w:rPr>
      </w:pPr>
      <w:r w:rsidRPr="00621156">
        <w:rPr>
          <w:lang w:val="es-419"/>
        </w:rPr>
        <w:t>[Sigue el documento WO/PBC/39/2]</w:t>
      </w:r>
    </w:p>
    <w:p w14:paraId="29BB2A5A" w14:textId="77777777" w:rsidR="008D03C4" w:rsidRPr="00621156" w:rsidRDefault="008D03C4" w:rsidP="008D03C4">
      <w:pPr>
        <w:spacing w:after="220"/>
        <w:rPr>
          <w:lang w:val="es-419"/>
        </w:rPr>
      </w:pPr>
      <w:r w:rsidRPr="00621156">
        <w:rPr>
          <w:lang w:val="es-419"/>
        </w:rPr>
        <w:br w:type="page"/>
      </w:r>
    </w:p>
    <w:p w14:paraId="2280C2E6" w14:textId="77777777" w:rsidR="00257FF1" w:rsidRPr="00621156" w:rsidRDefault="00257FF1" w:rsidP="00257FF1">
      <w:pPr>
        <w:spacing w:after="120"/>
        <w:jc w:val="right"/>
        <w:rPr>
          <w:lang w:val="es-419"/>
        </w:rPr>
      </w:pPr>
      <w:bookmarkStart w:id="5" w:name="_Hlk198193125"/>
      <w:r w:rsidRPr="00621156">
        <w:rPr>
          <w:noProof/>
          <w:lang w:val="es-419" w:eastAsia="en-US"/>
        </w:rPr>
        <w:lastRenderedPageBreak/>
        <w:drawing>
          <wp:inline distT="0" distB="0" distL="0" distR="0" wp14:anchorId="554CF843" wp14:editId="04DD0FBC">
            <wp:extent cx="3014550" cy="1332000"/>
            <wp:effectExtent l="0" t="0" r="0" b="1905"/>
            <wp:docPr id="713733758" name="Picture 713733758"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1">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621156">
        <w:rPr>
          <w:rFonts w:ascii="Arial Black" w:hAnsi="Arial Black"/>
          <w:caps/>
          <w:noProof/>
          <w:sz w:val="15"/>
          <w:szCs w:val="15"/>
          <w:lang w:val="es-419" w:eastAsia="en-US"/>
        </w:rPr>
        <mc:AlternateContent>
          <mc:Choice Requires="wps">
            <w:drawing>
              <wp:inline distT="0" distB="0" distL="0" distR="0" wp14:anchorId="2FB152A0" wp14:editId="40BB87DC">
                <wp:extent cx="5935980" cy="0"/>
                <wp:effectExtent l="0" t="0" r="26670" b="19050"/>
                <wp:docPr id="1393649860" name="Straight Connector 1393649860"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360752" id="Straight Connector 1393649860"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0C1C8CF" w14:textId="77777777" w:rsidR="00257FF1" w:rsidRPr="00621156" w:rsidRDefault="00257FF1" w:rsidP="00257FF1">
      <w:pPr>
        <w:jc w:val="right"/>
        <w:rPr>
          <w:rFonts w:ascii="Arial Black" w:hAnsi="Arial Black"/>
          <w:caps/>
          <w:sz w:val="15"/>
          <w:szCs w:val="15"/>
          <w:lang w:val="es-419"/>
        </w:rPr>
      </w:pPr>
      <w:r w:rsidRPr="00621156">
        <w:rPr>
          <w:rFonts w:ascii="Arial Black" w:hAnsi="Arial Black"/>
          <w:caps/>
          <w:sz w:val="15"/>
          <w:szCs w:val="15"/>
          <w:lang w:val="es-419"/>
        </w:rPr>
        <w:t>WO/PBC/39/2</w:t>
      </w:r>
    </w:p>
    <w:p w14:paraId="654187D3" w14:textId="77777777" w:rsidR="00257FF1" w:rsidRPr="00621156" w:rsidRDefault="00257FF1" w:rsidP="00257FF1">
      <w:pPr>
        <w:jc w:val="right"/>
        <w:rPr>
          <w:rFonts w:ascii="Arial Black" w:hAnsi="Arial Black"/>
          <w:caps/>
          <w:sz w:val="15"/>
          <w:szCs w:val="15"/>
          <w:lang w:val="es-419"/>
        </w:rPr>
      </w:pPr>
      <w:r w:rsidRPr="00621156">
        <w:rPr>
          <w:rFonts w:ascii="Arial Black" w:hAnsi="Arial Black"/>
          <w:caps/>
          <w:sz w:val="15"/>
          <w:szCs w:val="15"/>
          <w:lang w:val="es-419"/>
        </w:rPr>
        <w:t>ORIGINAL: INGLÉS</w:t>
      </w:r>
    </w:p>
    <w:p w14:paraId="1E048AE9" w14:textId="04D80D33" w:rsidR="00257FF1" w:rsidRPr="00621156" w:rsidRDefault="00257FF1" w:rsidP="00257FF1">
      <w:pPr>
        <w:spacing w:after="1200"/>
        <w:jc w:val="right"/>
        <w:rPr>
          <w:rFonts w:ascii="Arial Black" w:hAnsi="Arial Black"/>
          <w:caps/>
          <w:sz w:val="15"/>
          <w:szCs w:val="15"/>
          <w:lang w:val="es-419"/>
        </w:rPr>
      </w:pPr>
      <w:r w:rsidRPr="00621156">
        <w:rPr>
          <w:rFonts w:ascii="Arial Black" w:hAnsi="Arial Black"/>
          <w:caps/>
          <w:sz w:val="15"/>
          <w:szCs w:val="15"/>
          <w:lang w:val="es-419"/>
        </w:rPr>
        <w:t xml:space="preserve">DATE: </w:t>
      </w:r>
      <w:r w:rsidR="002C2B0F" w:rsidRPr="00621156">
        <w:rPr>
          <w:rFonts w:ascii="Arial Black" w:hAnsi="Arial Black"/>
          <w:caps/>
          <w:sz w:val="15"/>
          <w:szCs w:val="15"/>
          <w:lang w:val="es-419"/>
        </w:rPr>
        <w:t>27</w:t>
      </w:r>
      <w:r w:rsidRPr="00621156">
        <w:rPr>
          <w:rFonts w:ascii="Arial Black" w:hAnsi="Arial Black"/>
          <w:caps/>
          <w:sz w:val="15"/>
          <w:szCs w:val="15"/>
          <w:lang w:val="es-419"/>
        </w:rPr>
        <w:t xml:space="preserve"> DE MAYO DE 2025</w:t>
      </w:r>
    </w:p>
    <w:p w14:paraId="2F51DDA5" w14:textId="77777777" w:rsidR="00257FF1" w:rsidRPr="00621156" w:rsidRDefault="00257FF1" w:rsidP="00257FF1">
      <w:pPr>
        <w:spacing w:after="600"/>
        <w:rPr>
          <w:b/>
          <w:sz w:val="28"/>
          <w:szCs w:val="28"/>
          <w:lang w:val="es-419"/>
        </w:rPr>
      </w:pPr>
      <w:r w:rsidRPr="00621156">
        <w:rPr>
          <w:b/>
          <w:sz w:val="28"/>
          <w:szCs w:val="28"/>
          <w:lang w:val="es-419"/>
        </w:rPr>
        <w:t>Comité del Programa y Presupuesto</w:t>
      </w:r>
    </w:p>
    <w:p w14:paraId="72B0C3FA" w14:textId="77777777" w:rsidR="00257FF1" w:rsidRPr="00621156" w:rsidRDefault="00257FF1" w:rsidP="00257FF1">
      <w:pPr>
        <w:rPr>
          <w:b/>
          <w:sz w:val="24"/>
          <w:szCs w:val="24"/>
          <w:lang w:val="es-419"/>
        </w:rPr>
      </w:pPr>
      <w:r w:rsidRPr="00621156">
        <w:rPr>
          <w:b/>
          <w:sz w:val="24"/>
          <w:szCs w:val="24"/>
          <w:lang w:val="es-419"/>
        </w:rPr>
        <w:t>Trigésima novena sesión</w:t>
      </w:r>
    </w:p>
    <w:p w14:paraId="025B4124" w14:textId="77777777" w:rsidR="00257FF1" w:rsidRPr="00621156" w:rsidRDefault="00257FF1" w:rsidP="00257FF1">
      <w:pPr>
        <w:spacing w:after="720"/>
        <w:rPr>
          <w:lang w:val="es-419"/>
        </w:rPr>
      </w:pPr>
      <w:r w:rsidRPr="00621156">
        <w:rPr>
          <w:b/>
          <w:sz w:val="24"/>
          <w:szCs w:val="24"/>
          <w:lang w:val="es-419"/>
        </w:rPr>
        <w:t>Ginebra, 16 a 20 de junio de 2025</w:t>
      </w:r>
    </w:p>
    <w:p w14:paraId="01DEA42D" w14:textId="77777777" w:rsidR="00257FF1" w:rsidRPr="00621156" w:rsidRDefault="00257FF1" w:rsidP="00257FF1">
      <w:pPr>
        <w:spacing w:after="360"/>
        <w:rPr>
          <w:caps/>
          <w:sz w:val="24"/>
          <w:szCs w:val="24"/>
          <w:lang w:val="es-419"/>
        </w:rPr>
      </w:pPr>
      <w:r w:rsidRPr="00621156">
        <w:rPr>
          <w:sz w:val="24"/>
          <w:szCs w:val="24"/>
          <w:lang w:val="es-419"/>
        </w:rPr>
        <w:t>INFORME DE LA COMISIÓN CONSULTIVA INDEPENDIENTE DE SUPERVISIÓN (CCIS) DE LA OMPI</w:t>
      </w:r>
    </w:p>
    <w:p w14:paraId="2D4BB227" w14:textId="77777777" w:rsidR="008D03C4" w:rsidRPr="00621156" w:rsidRDefault="008D03C4" w:rsidP="00257FF1">
      <w:pPr>
        <w:spacing w:after="960"/>
        <w:rPr>
          <w:lang w:val="es-419"/>
        </w:rPr>
      </w:pPr>
      <w:r w:rsidRPr="00621156">
        <w:rPr>
          <w:i/>
          <w:lang w:val="es-419"/>
        </w:rPr>
        <w:t>preparado por la Comisión Consultiva Independiente de Supervisión (CCIS)</w:t>
      </w:r>
      <w:bookmarkEnd w:id="5"/>
    </w:p>
    <w:p w14:paraId="5C149E94" w14:textId="70173306" w:rsidR="008D03C4" w:rsidRPr="00621156" w:rsidRDefault="008D03C4" w:rsidP="008D03C4">
      <w:pPr>
        <w:numPr>
          <w:ilvl w:val="0"/>
          <w:numId w:val="7"/>
        </w:numPr>
        <w:spacing w:after="220"/>
        <w:rPr>
          <w:lang w:val="es-419"/>
        </w:rPr>
      </w:pPr>
      <w:r w:rsidRPr="00621156">
        <w:rPr>
          <w:lang w:val="es-419"/>
        </w:rPr>
        <w:t>El presente documento contiene el Informe de la Comisión Consultiva Independiente de Supervisión (CCIS) de la OMPI, elaborado por la CCIS y relativo al período comprendido entre el</w:t>
      </w:r>
      <w:r w:rsidR="006425F0" w:rsidRPr="00621156">
        <w:rPr>
          <w:lang w:val="es-419"/>
        </w:rPr>
        <w:t> </w:t>
      </w:r>
      <w:r w:rsidRPr="00621156">
        <w:rPr>
          <w:lang w:val="es-419"/>
        </w:rPr>
        <w:t>23 de marzo de</w:t>
      </w:r>
      <w:r w:rsidR="006425F0" w:rsidRPr="00621156">
        <w:rPr>
          <w:lang w:val="es-419"/>
        </w:rPr>
        <w:t> </w:t>
      </w:r>
      <w:r w:rsidRPr="00621156">
        <w:rPr>
          <w:lang w:val="es-419"/>
        </w:rPr>
        <w:t>2024 y el</w:t>
      </w:r>
      <w:r w:rsidR="006425F0" w:rsidRPr="00621156">
        <w:rPr>
          <w:lang w:val="es-419"/>
        </w:rPr>
        <w:t> </w:t>
      </w:r>
      <w:r w:rsidRPr="00621156">
        <w:rPr>
          <w:lang w:val="es-419"/>
        </w:rPr>
        <w:t>28 de marzo de</w:t>
      </w:r>
      <w:r w:rsidR="006425F0" w:rsidRPr="00621156">
        <w:rPr>
          <w:lang w:val="es-419"/>
        </w:rPr>
        <w:t> </w:t>
      </w:r>
      <w:r w:rsidRPr="00621156">
        <w:rPr>
          <w:lang w:val="es-419"/>
        </w:rPr>
        <w:t>2025.</w:t>
      </w:r>
    </w:p>
    <w:p w14:paraId="154130FF" w14:textId="77777777" w:rsidR="008D03C4" w:rsidRPr="00621156" w:rsidRDefault="008D03C4" w:rsidP="008D03C4">
      <w:pPr>
        <w:numPr>
          <w:ilvl w:val="0"/>
          <w:numId w:val="7"/>
        </w:numPr>
        <w:spacing w:after="220"/>
        <w:rPr>
          <w:lang w:val="es-419"/>
        </w:rPr>
      </w:pPr>
      <w:r w:rsidRPr="00621156">
        <w:rPr>
          <w:lang w:val="es-419"/>
        </w:rPr>
        <w:t>Se propone el siguiente párrafo de decisión:</w:t>
      </w:r>
    </w:p>
    <w:p w14:paraId="2ACB6924" w14:textId="77777777" w:rsidR="008D03C4" w:rsidRPr="00621156" w:rsidRDefault="008D03C4" w:rsidP="00257FF1">
      <w:pPr>
        <w:numPr>
          <w:ilvl w:val="1"/>
          <w:numId w:val="7"/>
        </w:numPr>
        <w:spacing w:after="840"/>
        <w:ind w:left="5534"/>
        <w:rPr>
          <w:i/>
          <w:iCs/>
          <w:lang w:val="es-419"/>
        </w:rPr>
      </w:pPr>
      <w:r w:rsidRPr="00621156">
        <w:rPr>
          <w:i/>
          <w:lang w:val="es-419"/>
        </w:rPr>
        <w:t>El Comité del Programa y Presupuesto (PBC) recomendó a la Asamblea General de la OMPI que tome nota del "Informe de la Comisión Consultiva Independiente de Supervisión (CCIS) de la OMPI” (documento WO/PBC/39/2).</w:t>
      </w:r>
    </w:p>
    <w:p w14:paraId="7309D362" w14:textId="5A6A79FB" w:rsidR="008D03C4" w:rsidRPr="00621156" w:rsidRDefault="008D03C4" w:rsidP="0012589E">
      <w:pPr>
        <w:pStyle w:val="Endofdocument-Annex"/>
        <w:rPr>
          <w:lang w:val="es-419"/>
        </w:rPr>
        <w:sectPr w:rsidR="008D03C4" w:rsidRPr="00621156" w:rsidSect="00257FF1">
          <w:footerReference w:type="even" r:id="rId12"/>
          <w:pgSz w:w="11900" w:h="16841"/>
          <w:pgMar w:top="993" w:right="906" w:bottom="1440" w:left="1280" w:header="0" w:footer="0" w:gutter="0"/>
          <w:cols w:space="720" w:equalWidth="0">
            <w:col w:w="9720"/>
          </w:cols>
          <w:titlePg/>
          <w:docGrid w:linePitch="299"/>
        </w:sectPr>
      </w:pPr>
      <w:r w:rsidRPr="00621156">
        <w:rPr>
          <w:lang w:val="es-419"/>
        </w:rPr>
        <w:t>[Sigue el Informe de la Comisión</w:t>
      </w:r>
      <w:r w:rsidR="00995D29" w:rsidRPr="00621156">
        <w:rPr>
          <w:lang w:val="es-419"/>
        </w:rPr>
        <w:t xml:space="preserve"> </w:t>
      </w:r>
      <w:r w:rsidRPr="00621156">
        <w:rPr>
          <w:lang w:val="es-419"/>
        </w:rPr>
        <w:t>Consultiva Independiente de Supervisión de la</w:t>
      </w:r>
      <w:r w:rsidR="00EF13F5" w:rsidRPr="00621156">
        <w:rPr>
          <w:lang w:val="es-419"/>
        </w:rPr>
        <w:t> </w:t>
      </w:r>
      <w:r w:rsidRPr="00621156">
        <w:rPr>
          <w:lang w:val="es-419"/>
        </w:rPr>
        <w:t>OMPI]</w:t>
      </w:r>
    </w:p>
    <w:p w14:paraId="0B1E149C" w14:textId="77777777" w:rsidR="008D03C4" w:rsidRPr="00621156" w:rsidRDefault="008D03C4" w:rsidP="00257FF1">
      <w:pPr>
        <w:spacing w:before="1800" w:after="220"/>
        <w:jc w:val="center"/>
        <w:rPr>
          <w:lang w:val="es-419"/>
        </w:rPr>
      </w:pPr>
      <w:bookmarkStart w:id="6" w:name="page2"/>
      <w:bookmarkEnd w:id="6"/>
      <w:r w:rsidRPr="00621156">
        <w:rPr>
          <w:lang w:val="es-419"/>
        </w:rPr>
        <w:lastRenderedPageBreak/>
        <w:t>INFORME ANUAL</w:t>
      </w:r>
    </w:p>
    <w:p w14:paraId="2E80204B" w14:textId="407D6579" w:rsidR="008D03C4" w:rsidRPr="00621156" w:rsidRDefault="008D03C4" w:rsidP="00DB43B5">
      <w:pPr>
        <w:spacing w:after="220"/>
        <w:jc w:val="center"/>
        <w:rPr>
          <w:lang w:val="es-419"/>
        </w:rPr>
      </w:pPr>
      <w:r w:rsidRPr="00621156">
        <w:rPr>
          <w:lang w:val="es-419"/>
        </w:rPr>
        <w:t xml:space="preserve">DE LA COMISIÓN CONSULTIVA INDEPENDIENTE DE SUPERVISIÓN (CCIS) </w:t>
      </w:r>
      <w:r w:rsidR="00DB43B5" w:rsidRPr="00621156">
        <w:rPr>
          <w:lang w:val="es-419"/>
        </w:rPr>
        <w:br/>
      </w:r>
      <w:r w:rsidRPr="00621156">
        <w:rPr>
          <w:lang w:val="es-419"/>
        </w:rPr>
        <w:t>DE LA OMPI</w:t>
      </w:r>
    </w:p>
    <w:p w14:paraId="7BD4BDE1" w14:textId="565C6A4C" w:rsidR="008D03C4" w:rsidRPr="00621156" w:rsidRDefault="008D03C4" w:rsidP="00DB43B5">
      <w:pPr>
        <w:spacing w:after="220"/>
        <w:jc w:val="center"/>
        <w:rPr>
          <w:lang w:val="es-419"/>
        </w:rPr>
      </w:pPr>
      <w:r w:rsidRPr="00621156">
        <w:rPr>
          <w:lang w:val="es-419"/>
        </w:rPr>
        <w:t xml:space="preserve">CORRESPONDIENTE AL PERÍODO COMPRENDIDO ENTRE EL 23 DE MARZO </w:t>
      </w:r>
      <w:r w:rsidR="009A278A" w:rsidRPr="00621156">
        <w:rPr>
          <w:lang w:val="es-419"/>
        </w:rPr>
        <w:br/>
      </w:r>
      <w:r w:rsidRPr="00621156">
        <w:rPr>
          <w:lang w:val="es-419"/>
        </w:rPr>
        <w:t>DE</w:t>
      </w:r>
      <w:r w:rsidR="009A278A" w:rsidRPr="00621156">
        <w:rPr>
          <w:lang w:val="es-419"/>
        </w:rPr>
        <w:t> </w:t>
      </w:r>
      <w:r w:rsidRPr="00621156">
        <w:rPr>
          <w:lang w:val="es-419"/>
        </w:rPr>
        <w:t>2024 Y EL</w:t>
      </w:r>
      <w:r w:rsidR="009A278A" w:rsidRPr="00621156">
        <w:rPr>
          <w:lang w:val="es-419"/>
        </w:rPr>
        <w:t> </w:t>
      </w:r>
      <w:r w:rsidRPr="00621156">
        <w:rPr>
          <w:lang w:val="es-419"/>
        </w:rPr>
        <w:t>28 DE MARZO DE 2025</w:t>
      </w:r>
    </w:p>
    <w:p w14:paraId="352013A1" w14:textId="2F86E150" w:rsidR="008D03C4" w:rsidRPr="00621156" w:rsidRDefault="008D03C4" w:rsidP="009A278A">
      <w:pPr>
        <w:spacing w:after="220"/>
        <w:jc w:val="center"/>
        <w:rPr>
          <w:lang w:val="es-419"/>
        </w:rPr>
      </w:pPr>
      <w:r w:rsidRPr="00621156">
        <w:rPr>
          <w:lang w:val="es-419"/>
        </w:rPr>
        <w:t>[</w:t>
      </w:r>
      <w:r w:rsidR="002C2B0F" w:rsidRPr="00621156">
        <w:rPr>
          <w:lang w:val="es-419"/>
        </w:rPr>
        <w:t>27</w:t>
      </w:r>
      <w:r w:rsidR="00380FA6" w:rsidRPr="00621156">
        <w:rPr>
          <w:lang w:val="es-419"/>
        </w:rPr>
        <w:t xml:space="preserve"> </w:t>
      </w:r>
      <w:r w:rsidRPr="00621156">
        <w:rPr>
          <w:lang w:val="es-419"/>
        </w:rPr>
        <w:t>DE MAYO DE 2025]</w:t>
      </w:r>
    </w:p>
    <w:p w14:paraId="2A9DE141" w14:textId="77777777" w:rsidR="008D03C4" w:rsidRPr="00621156" w:rsidRDefault="008D03C4" w:rsidP="009A278A">
      <w:pPr>
        <w:spacing w:after="220"/>
        <w:jc w:val="center"/>
        <w:rPr>
          <w:lang w:val="es-419"/>
        </w:rPr>
        <w:sectPr w:rsidR="008D03C4" w:rsidRPr="00621156" w:rsidSect="008D03C4">
          <w:pgSz w:w="11900" w:h="16841"/>
          <w:pgMar w:top="1440" w:right="1440" w:bottom="1440" w:left="1440" w:header="0" w:footer="0" w:gutter="0"/>
          <w:cols w:space="720" w:equalWidth="0">
            <w:col w:w="9026"/>
          </w:cols>
        </w:sectPr>
      </w:pPr>
    </w:p>
    <w:p w14:paraId="283BF20A" w14:textId="77777777" w:rsidR="008D03C4" w:rsidRPr="00621156" w:rsidRDefault="008D03C4" w:rsidP="002735E6">
      <w:pPr>
        <w:spacing w:after="720"/>
        <w:jc w:val="center"/>
        <w:rPr>
          <w:lang w:val="es-419"/>
        </w:rPr>
      </w:pPr>
      <w:bookmarkStart w:id="7" w:name="page3"/>
      <w:bookmarkEnd w:id="7"/>
      <w:r w:rsidRPr="00621156">
        <w:rPr>
          <w:b/>
          <w:lang w:val="es-419"/>
        </w:rPr>
        <w:lastRenderedPageBreak/>
        <w:t>Índice</w:t>
      </w:r>
    </w:p>
    <w:p w14:paraId="055FB8B5" w14:textId="0A42D3B9" w:rsidR="003A4DAD" w:rsidRPr="003A4DAD" w:rsidRDefault="002735E6" w:rsidP="003A4DAD">
      <w:pPr>
        <w:pStyle w:val="TOC1"/>
        <w:spacing w:after="0" w:line="480" w:lineRule="auto"/>
        <w:rPr>
          <w:rFonts w:asciiTheme="minorHAnsi" w:eastAsiaTheme="minorEastAsia" w:hAnsiTheme="minorHAnsi" w:cstheme="minorBidi"/>
          <w:noProof/>
          <w:kern w:val="2"/>
          <w:sz w:val="24"/>
          <w:szCs w:val="24"/>
          <w:lang w:eastAsia="en-US"/>
          <w14:ligatures w14:val="standardContextual"/>
        </w:rPr>
      </w:pPr>
      <w:r w:rsidRPr="00621156">
        <w:rPr>
          <w:lang w:val="es-419"/>
        </w:rPr>
        <w:fldChar w:fldCharType="begin"/>
      </w:r>
      <w:r w:rsidRPr="00621156">
        <w:rPr>
          <w:lang w:val="es-419"/>
        </w:rPr>
        <w:instrText xml:space="preserve"> TOC \o "1-2" \u </w:instrText>
      </w:r>
      <w:r w:rsidRPr="00621156">
        <w:rPr>
          <w:lang w:val="es-419"/>
        </w:rPr>
        <w:fldChar w:fldCharType="separate"/>
      </w:r>
      <w:r w:rsidR="003A4DAD" w:rsidRPr="009E0AEA">
        <w:rPr>
          <w:noProof/>
          <w:lang w:val="es-419"/>
        </w:rPr>
        <w:t>I.</w:t>
      </w:r>
      <w:r w:rsidR="003A4DAD" w:rsidRPr="003A4DAD">
        <w:rPr>
          <w:rFonts w:asciiTheme="minorHAnsi" w:eastAsiaTheme="minorEastAsia" w:hAnsiTheme="minorHAnsi" w:cstheme="minorBidi"/>
          <w:noProof/>
          <w:kern w:val="2"/>
          <w:sz w:val="24"/>
          <w:szCs w:val="24"/>
          <w:lang w:eastAsia="en-US"/>
          <w14:ligatures w14:val="standardContextual"/>
        </w:rPr>
        <w:tab/>
      </w:r>
      <w:r w:rsidR="003A4DAD" w:rsidRPr="009E0AEA">
        <w:rPr>
          <w:noProof/>
          <w:lang w:val="es-419"/>
        </w:rPr>
        <w:t>INTRODUCCIÓN</w:t>
      </w:r>
      <w:r w:rsidR="003A4DAD">
        <w:rPr>
          <w:noProof/>
        </w:rPr>
        <w:tab/>
      </w:r>
      <w:r w:rsidR="003A4DAD">
        <w:rPr>
          <w:noProof/>
        </w:rPr>
        <w:fldChar w:fldCharType="begin"/>
      </w:r>
      <w:r w:rsidR="003A4DAD">
        <w:rPr>
          <w:noProof/>
        </w:rPr>
        <w:instrText xml:space="preserve"> PAGEREF _Toc199343279 \h </w:instrText>
      </w:r>
      <w:r w:rsidR="003A4DAD">
        <w:rPr>
          <w:noProof/>
        </w:rPr>
      </w:r>
      <w:r w:rsidR="003A4DAD">
        <w:rPr>
          <w:noProof/>
        </w:rPr>
        <w:fldChar w:fldCharType="separate"/>
      </w:r>
      <w:r w:rsidR="007D4DFC">
        <w:rPr>
          <w:noProof/>
        </w:rPr>
        <w:t>3</w:t>
      </w:r>
      <w:r w:rsidR="003A4DAD">
        <w:rPr>
          <w:noProof/>
        </w:rPr>
        <w:fldChar w:fldCharType="end"/>
      </w:r>
    </w:p>
    <w:p w14:paraId="443DB3EC" w14:textId="48BE4206" w:rsidR="003A4DAD" w:rsidRPr="003A4DAD" w:rsidRDefault="003A4DAD" w:rsidP="003A4DAD">
      <w:pPr>
        <w:pStyle w:val="TOC1"/>
        <w:spacing w:after="0" w:line="480" w:lineRule="auto"/>
        <w:rPr>
          <w:rFonts w:asciiTheme="minorHAnsi" w:eastAsiaTheme="minorEastAsia" w:hAnsiTheme="minorHAnsi" w:cstheme="minorBidi"/>
          <w:noProof/>
          <w:kern w:val="2"/>
          <w:sz w:val="24"/>
          <w:szCs w:val="24"/>
          <w:lang w:eastAsia="en-US"/>
          <w14:ligatures w14:val="standardContextual"/>
        </w:rPr>
      </w:pPr>
      <w:r w:rsidRPr="009E0AEA">
        <w:rPr>
          <w:noProof/>
          <w:lang w:val="es-419"/>
        </w:rPr>
        <w:t>II.</w:t>
      </w:r>
      <w:r w:rsidRPr="003A4DAD">
        <w:rPr>
          <w:rFonts w:asciiTheme="minorHAnsi" w:eastAsiaTheme="minorEastAsia" w:hAnsiTheme="minorHAnsi" w:cstheme="minorBidi"/>
          <w:noProof/>
          <w:kern w:val="2"/>
          <w:sz w:val="24"/>
          <w:szCs w:val="24"/>
          <w:lang w:eastAsia="en-US"/>
          <w14:ligatures w14:val="standardContextual"/>
        </w:rPr>
        <w:tab/>
      </w:r>
      <w:r w:rsidRPr="009E0AEA">
        <w:rPr>
          <w:noProof/>
          <w:lang w:val="es-419"/>
        </w:rPr>
        <w:t>SESIONES TRIMESTRALES, COMPOSICIÓN Y MÉTODOS DE TRABAJO</w:t>
      </w:r>
      <w:r>
        <w:rPr>
          <w:noProof/>
        </w:rPr>
        <w:tab/>
      </w:r>
      <w:r>
        <w:rPr>
          <w:noProof/>
        </w:rPr>
        <w:fldChar w:fldCharType="begin"/>
      </w:r>
      <w:r>
        <w:rPr>
          <w:noProof/>
        </w:rPr>
        <w:instrText xml:space="preserve"> PAGEREF _Toc199343280 \h </w:instrText>
      </w:r>
      <w:r>
        <w:rPr>
          <w:noProof/>
        </w:rPr>
      </w:r>
      <w:r>
        <w:rPr>
          <w:noProof/>
        </w:rPr>
        <w:fldChar w:fldCharType="separate"/>
      </w:r>
      <w:r w:rsidR="007D4DFC">
        <w:rPr>
          <w:noProof/>
        </w:rPr>
        <w:t>3</w:t>
      </w:r>
      <w:r>
        <w:rPr>
          <w:noProof/>
        </w:rPr>
        <w:fldChar w:fldCharType="end"/>
      </w:r>
    </w:p>
    <w:p w14:paraId="0E2C391B" w14:textId="4C321D48" w:rsidR="003A4DAD" w:rsidRPr="003A4DAD" w:rsidRDefault="003A4DAD" w:rsidP="003A4DAD">
      <w:pPr>
        <w:pStyle w:val="TOC1"/>
        <w:spacing w:after="0" w:line="480" w:lineRule="auto"/>
        <w:rPr>
          <w:rFonts w:asciiTheme="minorHAnsi" w:eastAsiaTheme="minorEastAsia" w:hAnsiTheme="minorHAnsi" w:cstheme="minorBidi"/>
          <w:noProof/>
          <w:kern w:val="2"/>
          <w:sz w:val="24"/>
          <w:szCs w:val="24"/>
          <w:lang w:eastAsia="en-US"/>
          <w14:ligatures w14:val="standardContextual"/>
        </w:rPr>
      </w:pPr>
      <w:r w:rsidRPr="009E0AEA">
        <w:rPr>
          <w:noProof/>
          <w:lang w:val="es-419"/>
        </w:rPr>
        <w:t>III.</w:t>
      </w:r>
      <w:r w:rsidRPr="003A4DAD">
        <w:rPr>
          <w:rFonts w:asciiTheme="minorHAnsi" w:eastAsiaTheme="minorEastAsia" w:hAnsiTheme="minorHAnsi" w:cstheme="minorBidi"/>
          <w:noProof/>
          <w:kern w:val="2"/>
          <w:sz w:val="24"/>
          <w:szCs w:val="24"/>
          <w:lang w:eastAsia="en-US"/>
          <w14:ligatures w14:val="standardContextual"/>
        </w:rPr>
        <w:tab/>
      </w:r>
      <w:r w:rsidRPr="009E0AEA">
        <w:rPr>
          <w:noProof/>
          <w:lang w:val="es-419"/>
        </w:rPr>
        <w:t>ASUNTOS DEBATIDOS Y EXAMINADOS</w:t>
      </w:r>
      <w:r>
        <w:rPr>
          <w:noProof/>
        </w:rPr>
        <w:tab/>
      </w:r>
      <w:r>
        <w:rPr>
          <w:noProof/>
        </w:rPr>
        <w:fldChar w:fldCharType="begin"/>
      </w:r>
      <w:r>
        <w:rPr>
          <w:noProof/>
        </w:rPr>
        <w:instrText xml:space="preserve"> PAGEREF _Toc199343281 \h </w:instrText>
      </w:r>
      <w:r>
        <w:rPr>
          <w:noProof/>
        </w:rPr>
      </w:r>
      <w:r>
        <w:rPr>
          <w:noProof/>
        </w:rPr>
        <w:fldChar w:fldCharType="separate"/>
      </w:r>
      <w:r w:rsidR="007D4DFC">
        <w:rPr>
          <w:noProof/>
        </w:rPr>
        <w:t>5</w:t>
      </w:r>
      <w:r>
        <w:rPr>
          <w:noProof/>
        </w:rPr>
        <w:fldChar w:fldCharType="end"/>
      </w:r>
    </w:p>
    <w:p w14:paraId="51978884" w14:textId="69C5CF6E" w:rsidR="003A4DAD" w:rsidRPr="003A4DAD" w:rsidRDefault="003A4DAD" w:rsidP="003A4DAD">
      <w:pPr>
        <w:pStyle w:val="TOC2"/>
        <w:tabs>
          <w:tab w:val="left" w:pos="720"/>
          <w:tab w:val="right" w:leader="dot" w:pos="9345"/>
        </w:tabs>
        <w:spacing w:after="0" w:line="480" w:lineRule="auto"/>
        <w:rPr>
          <w:rFonts w:asciiTheme="minorHAnsi" w:eastAsiaTheme="minorEastAsia" w:hAnsiTheme="minorHAnsi" w:cstheme="minorBidi"/>
          <w:noProof/>
          <w:kern w:val="2"/>
          <w:sz w:val="24"/>
          <w:szCs w:val="24"/>
          <w:lang w:eastAsia="en-US"/>
          <w14:ligatures w14:val="standardContextual"/>
        </w:rPr>
      </w:pPr>
      <w:r w:rsidRPr="003A4DAD">
        <w:rPr>
          <w:noProof/>
          <w:lang w:val="es-419"/>
        </w:rPr>
        <w:t>A.</w:t>
      </w:r>
      <w:r w:rsidRPr="003A4DAD">
        <w:rPr>
          <w:rFonts w:asciiTheme="minorHAnsi" w:eastAsiaTheme="minorEastAsia" w:hAnsiTheme="minorHAnsi" w:cstheme="minorBidi"/>
          <w:noProof/>
          <w:kern w:val="2"/>
          <w:sz w:val="24"/>
          <w:szCs w:val="24"/>
          <w:lang w:eastAsia="en-US"/>
          <w14:ligatures w14:val="standardContextual"/>
        </w:rPr>
        <w:tab/>
      </w:r>
      <w:r w:rsidRPr="003A4DAD">
        <w:rPr>
          <w:noProof/>
          <w:lang w:val="es-419"/>
        </w:rPr>
        <w:t>Supervisión interna</w:t>
      </w:r>
      <w:r w:rsidRPr="003A4DAD">
        <w:rPr>
          <w:noProof/>
        </w:rPr>
        <w:tab/>
      </w:r>
      <w:r w:rsidRPr="003A4DAD">
        <w:rPr>
          <w:noProof/>
        </w:rPr>
        <w:fldChar w:fldCharType="begin"/>
      </w:r>
      <w:r w:rsidRPr="003A4DAD">
        <w:rPr>
          <w:noProof/>
        </w:rPr>
        <w:instrText xml:space="preserve"> PAGEREF _Toc199343282 \h </w:instrText>
      </w:r>
      <w:r w:rsidRPr="003A4DAD">
        <w:rPr>
          <w:noProof/>
        </w:rPr>
      </w:r>
      <w:r w:rsidRPr="003A4DAD">
        <w:rPr>
          <w:noProof/>
        </w:rPr>
        <w:fldChar w:fldCharType="separate"/>
      </w:r>
      <w:r w:rsidR="007D4DFC">
        <w:rPr>
          <w:noProof/>
        </w:rPr>
        <w:t>5</w:t>
      </w:r>
      <w:r w:rsidRPr="003A4DAD">
        <w:rPr>
          <w:noProof/>
        </w:rPr>
        <w:fldChar w:fldCharType="end"/>
      </w:r>
    </w:p>
    <w:p w14:paraId="3D5D0346" w14:textId="57E16324" w:rsidR="003A4DAD" w:rsidRPr="003A4DAD" w:rsidRDefault="003A4DAD" w:rsidP="003A4DAD">
      <w:pPr>
        <w:pStyle w:val="TOC2"/>
        <w:tabs>
          <w:tab w:val="left" w:pos="720"/>
          <w:tab w:val="right" w:leader="dot" w:pos="9345"/>
        </w:tabs>
        <w:spacing w:after="0" w:line="480" w:lineRule="auto"/>
        <w:rPr>
          <w:rFonts w:asciiTheme="minorHAnsi" w:eastAsiaTheme="minorEastAsia" w:hAnsiTheme="minorHAnsi" w:cstheme="minorBidi"/>
          <w:noProof/>
          <w:kern w:val="2"/>
          <w:sz w:val="24"/>
          <w:szCs w:val="24"/>
          <w:lang w:eastAsia="en-US"/>
          <w14:ligatures w14:val="standardContextual"/>
        </w:rPr>
      </w:pPr>
      <w:r w:rsidRPr="003A4DAD">
        <w:rPr>
          <w:noProof/>
          <w:lang w:val="es-419"/>
        </w:rPr>
        <w:t>B.</w:t>
      </w:r>
      <w:r w:rsidRPr="003A4DAD">
        <w:rPr>
          <w:rFonts w:asciiTheme="minorHAnsi" w:eastAsiaTheme="minorEastAsia" w:hAnsiTheme="minorHAnsi" w:cstheme="minorBidi"/>
          <w:noProof/>
          <w:kern w:val="2"/>
          <w:sz w:val="24"/>
          <w:szCs w:val="24"/>
          <w:lang w:eastAsia="en-US"/>
          <w14:ligatures w14:val="standardContextual"/>
        </w:rPr>
        <w:tab/>
      </w:r>
      <w:r w:rsidRPr="003A4DAD">
        <w:rPr>
          <w:noProof/>
          <w:lang w:val="es-419"/>
        </w:rPr>
        <w:t>Auditoría externa</w:t>
      </w:r>
      <w:r w:rsidRPr="003A4DAD">
        <w:rPr>
          <w:noProof/>
        </w:rPr>
        <w:tab/>
      </w:r>
      <w:r w:rsidRPr="003A4DAD">
        <w:rPr>
          <w:noProof/>
        </w:rPr>
        <w:fldChar w:fldCharType="begin"/>
      </w:r>
      <w:r w:rsidRPr="003A4DAD">
        <w:rPr>
          <w:noProof/>
        </w:rPr>
        <w:instrText xml:space="preserve"> PAGEREF _Toc199343283 \h </w:instrText>
      </w:r>
      <w:r w:rsidRPr="003A4DAD">
        <w:rPr>
          <w:noProof/>
        </w:rPr>
      </w:r>
      <w:r w:rsidRPr="003A4DAD">
        <w:rPr>
          <w:noProof/>
        </w:rPr>
        <w:fldChar w:fldCharType="separate"/>
      </w:r>
      <w:r w:rsidR="007D4DFC">
        <w:rPr>
          <w:noProof/>
        </w:rPr>
        <w:t>8</w:t>
      </w:r>
      <w:r w:rsidRPr="003A4DAD">
        <w:rPr>
          <w:noProof/>
        </w:rPr>
        <w:fldChar w:fldCharType="end"/>
      </w:r>
    </w:p>
    <w:p w14:paraId="34536DAC" w14:textId="6C1A671F" w:rsidR="003A4DAD" w:rsidRPr="003A4DAD" w:rsidRDefault="003A4DAD" w:rsidP="003A4DAD">
      <w:pPr>
        <w:pStyle w:val="TOC2"/>
        <w:tabs>
          <w:tab w:val="left" w:pos="720"/>
          <w:tab w:val="right" w:leader="dot" w:pos="9345"/>
        </w:tabs>
        <w:spacing w:after="0" w:line="480" w:lineRule="auto"/>
        <w:rPr>
          <w:rFonts w:asciiTheme="minorHAnsi" w:eastAsiaTheme="minorEastAsia" w:hAnsiTheme="minorHAnsi" w:cstheme="minorBidi"/>
          <w:noProof/>
          <w:kern w:val="2"/>
          <w:sz w:val="24"/>
          <w:szCs w:val="24"/>
          <w:lang w:eastAsia="en-US"/>
          <w14:ligatures w14:val="standardContextual"/>
        </w:rPr>
      </w:pPr>
      <w:r w:rsidRPr="003A4DAD">
        <w:rPr>
          <w:noProof/>
          <w:lang w:val="es-419"/>
        </w:rPr>
        <w:t>C.</w:t>
      </w:r>
      <w:r w:rsidRPr="003A4DAD">
        <w:rPr>
          <w:rFonts w:asciiTheme="minorHAnsi" w:eastAsiaTheme="minorEastAsia" w:hAnsiTheme="minorHAnsi" w:cstheme="minorBidi"/>
          <w:noProof/>
          <w:kern w:val="2"/>
          <w:sz w:val="24"/>
          <w:szCs w:val="24"/>
          <w:lang w:eastAsia="en-US"/>
          <w14:ligatures w14:val="standardContextual"/>
        </w:rPr>
        <w:tab/>
      </w:r>
      <w:r w:rsidRPr="003A4DAD">
        <w:rPr>
          <w:noProof/>
          <w:lang w:val="es-419"/>
        </w:rPr>
        <w:t>Informes financieros</w:t>
      </w:r>
      <w:r w:rsidRPr="003A4DAD">
        <w:rPr>
          <w:noProof/>
        </w:rPr>
        <w:tab/>
      </w:r>
      <w:r w:rsidRPr="003A4DAD">
        <w:rPr>
          <w:noProof/>
        </w:rPr>
        <w:fldChar w:fldCharType="begin"/>
      </w:r>
      <w:r w:rsidRPr="003A4DAD">
        <w:rPr>
          <w:noProof/>
        </w:rPr>
        <w:instrText xml:space="preserve"> PAGEREF _Toc199343284 \h </w:instrText>
      </w:r>
      <w:r w:rsidRPr="003A4DAD">
        <w:rPr>
          <w:noProof/>
        </w:rPr>
      </w:r>
      <w:r w:rsidRPr="003A4DAD">
        <w:rPr>
          <w:noProof/>
        </w:rPr>
        <w:fldChar w:fldCharType="separate"/>
      </w:r>
      <w:r w:rsidR="007D4DFC">
        <w:rPr>
          <w:noProof/>
        </w:rPr>
        <w:t>9</w:t>
      </w:r>
      <w:r w:rsidRPr="003A4DAD">
        <w:rPr>
          <w:noProof/>
        </w:rPr>
        <w:fldChar w:fldCharType="end"/>
      </w:r>
    </w:p>
    <w:p w14:paraId="7FA31FC5" w14:textId="46B47803" w:rsidR="003A4DAD" w:rsidRPr="003A4DAD" w:rsidRDefault="003A4DAD" w:rsidP="003A4DAD">
      <w:pPr>
        <w:pStyle w:val="TOC2"/>
        <w:tabs>
          <w:tab w:val="left" w:pos="720"/>
          <w:tab w:val="right" w:leader="dot" w:pos="9345"/>
        </w:tabs>
        <w:spacing w:after="0" w:line="480" w:lineRule="auto"/>
        <w:rPr>
          <w:rFonts w:asciiTheme="minorHAnsi" w:eastAsiaTheme="minorEastAsia" w:hAnsiTheme="minorHAnsi" w:cstheme="minorBidi"/>
          <w:noProof/>
          <w:kern w:val="2"/>
          <w:sz w:val="24"/>
          <w:szCs w:val="24"/>
          <w:lang w:eastAsia="en-US"/>
          <w14:ligatures w14:val="standardContextual"/>
        </w:rPr>
      </w:pPr>
      <w:r w:rsidRPr="003A4DAD">
        <w:rPr>
          <w:noProof/>
          <w:lang w:val="es-419"/>
        </w:rPr>
        <w:t>D.</w:t>
      </w:r>
      <w:r w:rsidRPr="003A4DAD">
        <w:rPr>
          <w:rFonts w:asciiTheme="minorHAnsi" w:eastAsiaTheme="minorEastAsia" w:hAnsiTheme="minorHAnsi" w:cstheme="minorBidi"/>
          <w:noProof/>
          <w:kern w:val="2"/>
          <w:sz w:val="24"/>
          <w:szCs w:val="24"/>
          <w:lang w:eastAsia="en-US"/>
          <w14:ligatures w14:val="standardContextual"/>
        </w:rPr>
        <w:tab/>
      </w:r>
      <w:r w:rsidRPr="003A4DAD">
        <w:rPr>
          <w:noProof/>
          <w:lang w:val="es-419"/>
        </w:rPr>
        <w:t>Gestión de riesgos y controles internos</w:t>
      </w:r>
      <w:r w:rsidRPr="003A4DAD">
        <w:rPr>
          <w:noProof/>
        </w:rPr>
        <w:tab/>
      </w:r>
      <w:r w:rsidRPr="003A4DAD">
        <w:rPr>
          <w:noProof/>
        </w:rPr>
        <w:fldChar w:fldCharType="begin"/>
      </w:r>
      <w:r w:rsidRPr="003A4DAD">
        <w:rPr>
          <w:noProof/>
        </w:rPr>
        <w:instrText xml:space="preserve"> PAGEREF _Toc199343285 \h </w:instrText>
      </w:r>
      <w:r w:rsidRPr="003A4DAD">
        <w:rPr>
          <w:noProof/>
        </w:rPr>
      </w:r>
      <w:r w:rsidRPr="003A4DAD">
        <w:rPr>
          <w:noProof/>
        </w:rPr>
        <w:fldChar w:fldCharType="separate"/>
      </w:r>
      <w:r w:rsidR="007D4DFC">
        <w:rPr>
          <w:noProof/>
        </w:rPr>
        <w:t>10</w:t>
      </w:r>
      <w:r w:rsidRPr="003A4DAD">
        <w:rPr>
          <w:noProof/>
        </w:rPr>
        <w:fldChar w:fldCharType="end"/>
      </w:r>
    </w:p>
    <w:p w14:paraId="3006C2ED" w14:textId="30C26E32" w:rsidR="003A4DAD" w:rsidRPr="003A4DAD" w:rsidRDefault="003A4DAD" w:rsidP="003A4DAD">
      <w:pPr>
        <w:pStyle w:val="TOC2"/>
        <w:tabs>
          <w:tab w:val="left" w:pos="720"/>
          <w:tab w:val="right" w:leader="dot" w:pos="9345"/>
        </w:tabs>
        <w:spacing w:after="0" w:line="480" w:lineRule="auto"/>
        <w:rPr>
          <w:rFonts w:asciiTheme="minorHAnsi" w:eastAsiaTheme="minorEastAsia" w:hAnsiTheme="minorHAnsi" w:cstheme="minorBidi"/>
          <w:noProof/>
          <w:kern w:val="2"/>
          <w:sz w:val="24"/>
          <w:szCs w:val="24"/>
          <w:lang w:eastAsia="en-US"/>
          <w14:ligatures w14:val="standardContextual"/>
        </w:rPr>
      </w:pPr>
      <w:r w:rsidRPr="003A4DAD">
        <w:rPr>
          <w:noProof/>
          <w:lang w:val="es-419"/>
        </w:rPr>
        <w:t>E.</w:t>
      </w:r>
      <w:r w:rsidRPr="003A4DAD">
        <w:rPr>
          <w:rFonts w:asciiTheme="minorHAnsi" w:eastAsiaTheme="minorEastAsia" w:hAnsiTheme="minorHAnsi" w:cstheme="minorBidi"/>
          <w:noProof/>
          <w:kern w:val="2"/>
          <w:sz w:val="24"/>
          <w:szCs w:val="24"/>
          <w:lang w:eastAsia="en-US"/>
          <w14:ligatures w14:val="standardContextual"/>
        </w:rPr>
        <w:tab/>
      </w:r>
      <w:r w:rsidRPr="003A4DAD">
        <w:rPr>
          <w:noProof/>
          <w:lang w:val="es-419"/>
        </w:rPr>
        <w:t>Aplicación de las recomendaciones de supervisión</w:t>
      </w:r>
      <w:r w:rsidRPr="003A4DAD">
        <w:rPr>
          <w:noProof/>
        </w:rPr>
        <w:tab/>
      </w:r>
      <w:r w:rsidRPr="003A4DAD">
        <w:rPr>
          <w:noProof/>
        </w:rPr>
        <w:fldChar w:fldCharType="begin"/>
      </w:r>
      <w:r w:rsidRPr="003A4DAD">
        <w:rPr>
          <w:noProof/>
        </w:rPr>
        <w:instrText xml:space="preserve"> PAGEREF _Toc199343286 \h </w:instrText>
      </w:r>
      <w:r w:rsidRPr="003A4DAD">
        <w:rPr>
          <w:noProof/>
        </w:rPr>
      </w:r>
      <w:r w:rsidRPr="003A4DAD">
        <w:rPr>
          <w:noProof/>
        </w:rPr>
        <w:fldChar w:fldCharType="separate"/>
      </w:r>
      <w:r w:rsidR="007D4DFC">
        <w:rPr>
          <w:noProof/>
        </w:rPr>
        <w:t>12</w:t>
      </w:r>
      <w:r w:rsidRPr="003A4DAD">
        <w:rPr>
          <w:noProof/>
        </w:rPr>
        <w:fldChar w:fldCharType="end"/>
      </w:r>
    </w:p>
    <w:p w14:paraId="0E70C967" w14:textId="58CA574A" w:rsidR="003A4DAD" w:rsidRPr="003A4DAD" w:rsidRDefault="003A4DAD" w:rsidP="003A4DAD">
      <w:pPr>
        <w:pStyle w:val="TOC2"/>
        <w:tabs>
          <w:tab w:val="left" w:pos="720"/>
          <w:tab w:val="right" w:leader="dot" w:pos="9345"/>
        </w:tabs>
        <w:spacing w:after="0" w:line="480" w:lineRule="auto"/>
        <w:rPr>
          <w:rFonts w:asciiTheme="minorHAnsi" w:eastAsiaTheme="minorEastAsia" w:hAnsiTheme="minorHAnsi" w:cstheme="minorBidi"/>
          <w:noProof/>
          <w:kern w:val="2"/>
          <w:sz w:val="24"/>
          <w:szCs w:val="24"/>
          <w:lang w:eastAsia="en-US"/>
          <w14:ligatures w14:val="standardContextual"/>
        </w:rPr>
      </w:pPr>
      <w:r w:rsidRPr="003A4DAD">
        <w:rPr>
          <w:noProof/>
          <w:lang w:val="es-419"/>
        </w:rPr>
        <w:t>F.</w:t>
      </w:r>
      <w:r w:rsidRPr="003A4DAD">
        <w:rPr>
          <w:rFonts w:asciiTheme="minorHAnsi" w:eastAsiaTheme="minorEastAsia" w:hAnsiTheme="minorHAnsi" w:cstheme="minorBidi"/>
          <w:noProof/>
          <w:kern w:val="2"/>
          <w:sz w:val="24"/>
          <w:szCs w:val="24"/>
          <w:lang w:eastAsia="en-US"/>
          <w14:ligatures w14:val="standardContextual"/>
        </w:rPr>
        <w:tab/>
      </w:r>
      <w:r w:rsidRPr="003A4DAD">
        <w:rPr>
          <w:noProof/>
          <w:lang w:val="es-419"/>
        </w:rPr>
        <w:t>Oficina de Ética Profesional y Oficina de Mediación.</w:t>
      </w:r>
      <w:r w:rsidRPr="003A4DAD">
        <w:rPr>
          <w:noProof/>
        </w:rPr>
        <w:tab/>
      </w:r>
      <w:r w:rsidRPr="003A4DAD">
        <w:rPr>
          <w:noProof/>
        </w:rPr>
        <w:fldChar w:fldCharType="begin"/>
      </w:r>
      <w:r w:rsidRPr="003A4DAD">
        <w:rPr>
          <w:noProof/>
        </w:rPr>
        <w:instrText xml:space="preserve"> PAGEREF _Toc199343287 \h </w:instrText>
      </w:r>
      <w:r w:rsidRPr="003A4DAD">
        <w:rPr>
          <w:noProof/>
        </w:rPr>
      </w:r>
      <w:r w:rsidRPr="003A4DAD">
        <w:rPr>
          <w:noProof/>
        </w:rPr>
        <w:fldChar w:fldCharType="separate"/>
      </w:r>
      <w:r w:rsidR="007D4DFC">
        <w:rPr>
          <w:noProof/>
        </w:rPr>
        <w:t>13</w:t>
      </w:r>
      <w:r w:rsidRPr="003A4DAD">
        <w:rPr>
          <w:noProof/>
        </w:rPr>
        <w:fldChar w:fldCharType="end"/>
      </w:r>
    </w:p>
    <w:p w14:paraId="17EB3CF4" w14:textId="040C98F1" w:rsidR="003A4DAD" w:rsidRPr="003A4DAD" w:rsidRDefault="003A4DAD" w:rsidP="003A4DAD">
      <w:pPr>
        <w:pStyle w:val="TOC2"/>
        <w:tabs>
          <w:tab w:val="left" w:pos="720"/>
          <w:tab w:val="right" w:leader="dot" w:pos="9345"/>
        </w:tabs>
        <w:spacing w:after="0" w:line="480" w:lineRule="auto"/>
        <w:rPr>
          <w:rFonts w:asciiTheme="minorHAnsi" w:eastAsiaTheme="minorEastAsia" w:hAnsiTheme="minorHAnsi" w:cstheme="minorBidi"/>
          <w:noProof/>
          <w:kern w:val="2"/>
          <w:sz w:val="24"/>
          <w:szCs w:val="24"/>
          <w:lang w:eastAsia="en-US"/>
          <w14:ligatures w14:val="standardContextual"/>
        </w:rPr>
      </w:pPr>
      <w:r w:rsidRPr="003A4DAD">
        <w:rPr>
          <w:noProof/>
          <w:lang w:val="es-419"/>
        </w:rPr>
        <w:t>G.</w:t>
      </w:r>
      <w:r w:rsidRPr="003A4DAD">
        <w:rPr>
          <w:rFonts w:asciiTheme="minorHAnsi" w:eastAsiaTheme="minorEastAsia" w:hAnsiTheme="minorHAnsi" w:cstheme="minorBidi"/>
          <w:noProof/>
          <w:kern w:val="2"/>
          <w:sz w:val="24"/>
          <w:szCs w:val="24"/>
          <w:lang w:eastAsia="en-US"/>
          <w14:ligatures w14:val="standardContextual"/>
        </w:rPr>
        <w:tab/>
      </w:r>
      <w:r w:rsidRPr="003A4DAD">
        <w:rPr>
          <w:noProof/>
          <w:lang w:val="es-419"/>
        </w:rPr>
        <w:t>Información actualizada sobre gestión de los recursos humanos</w:t>
      </w:r>
      <w:r w:rsidRPr="003A4DAD">
        <w:rPr>
          <w:noProof/>
        </w:rPr>
        <w:tab/>
      </w:r>
      <w:r w:rsidRPr="003A4DAD">
        <w:rPr>
          <w:noProof/>
        </w:rPr>
        <w:fldChar w:fldCharType="begin"/>
      </w:r>
      <w:r w:rsidRPr="003A4DAD">
        <w:rPr>
          <w:noProof/>
        </w:rPr>
        <w:instrText xml:space="preserve"> PAGEREF _Toc199343288 \h </w:instrText>
      </w:r>
      <w:r w:rsidRPr="003A4DAD">
        <w:rPr>
          <w:noProof/>
        </w:rPr>
      </w:r>
      <w:r w:rsidRPr="003A4DAD">
        <w:rPr>
          <w:noProof/>
        </w:rPr>
        <w:fldChar w:fldCharType="separate"/>
      </w:r>
      <w:r w:rsidR="007D4DFC">
        <w:rPr>
          <w:noProof/>
        </w:rPr>
        <w:t>15</w:t>
      </w:r>
      <w:r w:rsidRPr="003A4DAD">
        <w:rPr>
          <w:noProof/>
        </w:rPr>
        <w:fldChar w:fldCharType="end"/>
      </w:r>
    </w:p>
    <w:p w14:paraId="368E0986" w14:textId="1C6F88C7" w:rsidR="003A4DAD" w:rsidRPr="003A4DAD" w:rsidRDefault="003A4DAD" w:rsidP="003A4DAD">
      <w:pPr>
        <w:pStyle w:val="TOC2"/>
        <w:tabs>
          <w:tab w:val="left" w:pos="720"/>
          <w:tab w:val="right" w:leader="dot" w:pos="9345"/>
        </w:tabs>
        <w:spacing w:after="0" w:line="480" w:lineRule="auto"/>
        <w:rPr>
          <w:rFonts w:asciiTheme="minorHAnsi" w:eastAsiaTheme="minorEastAsia" w:hAnsiTheme="minorHAnsi" w:cstheme="minorBidi"/>
          <w:noProof/>
          <w:kern w:val="2"/>
          <w:sz w:val="24"/>
          <w:szCs w:val="24"/>
          <w:lang w:eastAsia="en-US"/>
          <w14:ligatures w14:val="standardContextual"/>
        </w:rPr>
      </w:pPr>
      <w:r w:rsidRPr="003A4DAD">
        <w:rPr>
          <w:noProof/>
          <w:lang w:val="es-419"/>
        </w:rPr>
        <w:t>H.</w:t>
      </w:r>
      <w:r w:rsidRPr="003A4DAD">
        <w:rPr>
          <w:rFonts w:asciiTheme="minorHAnsi" w:eastAsiaTheme="minorEastAsia" w:hAnsiTheme="minorHAnsi" w:cstheme="minorBidi"/>
          <w:noProof/>
          <w:kern w:val="2"/>
          <w:sz w:val="24"/>
          <w:szCs w:val="24"/>
          <w:lang w:eastAsia="en-US"/>
          <w14:ligatures w14:val="standardContextual"/>
        </w:rPr>
        <w:tab/>
      </w:r>
      <w:r w:rsidRPr="003A4DAD">
        <w:rPr>
          <w:noProof/>
          <w:lang w:val="es-419"/>
        </w:rPr>
        <w:t>Otros asuntos</w:t>
      </w:r>
      <w:r w:rsidRPr="003A4DAD">
        <w:rPr>
          <w:noProof/>
        </w:rPr>
        <w:tab/>
      </w:r>
      <w:r w:rsidRPr="003A4DAD">
        <w:rPr>
          <w:noProof/>
        </w:rPr>
        <w:fldChar w:fldCharType="begin"/>
      </w:r>
      <w:r w:rsidRPr="003A4DAD">
        <w:rPr>
          <w:noProof/>
        </w:rPr>
        <w:instrText xml:space="preserve"> PAGEREF _Toc199343289 \h </w:instrText>
      </w:r>
      <w:r w:rsidRPr="003A4DAD">
        <w:rPr>
          <w:noProof/>
        </w:rPr>
      </w:r>
      <w:r w:rsidRPr="003A4DAD">
        <w:rPr>
          <w:noProof/>
        </w:rPr>
        <w:fldChar w:fldCharType="separate"/>
      </w:r>
      <w:r w:rsidR="007D4DFC">
        <w:rPr>
          <w:noProof/>
        </w:rPr>
        <w:t>15</w:t>
      </w:r>
      <w:r w:rsidRPr="003A4DAD">
        <w:rPr>
          <w:noProof/>
        </w:rPr>
        <w:fldChar w:fldCharType="end"/>
      </w:r>
    </w:p>
    <w:p w14:paraId="02102BF4" w14:textId="6FD547E3" w:rsidR="003A4DAD" w:rsidRPr="003A4DAD" w:rsidRDefault="003A4DAD" w:rsidP="003A4DAD">
      <w:pPr>
        <w:pStyle w:val="TOC1"/>
        <w:spacing w:after="0" w:line="480" w:lineRule="auto"/>
        <w:rPr>
          <w:rFonts w:asciiTheme="minorHAnsi" w:eastAsiaTheme="minorEastAsia" w:hAnsiTheme="minorHAnsi" w:cstheme="minorBidi"/>
          <w:noProof/>
          <w:kern w:val="2"/>
          <w:sz w:val="24"/>
          <w:szCs w:val="24"/>
          <w:lang w:eastAsia="en-US"/>
          <w14:ligatures w14:val="standardContextual"/>
        </w:rPr>
      </w:pPr>
      <w:r w:rsidRPr="009E0AEA">
        <w:rPr>
          <w:noProof/>
          <w:lang w:val="es-419"/>
        </w:rPr>
        <w:t>IV.</w:t>
      </w:r>
      <w:r w:rsidRPr="003A4DAD">
        <w:rPr>
          <w:rFonts w:asciiTheme="minorHAnsi" w:eastAsiaTheme="minorEastAsia" w:hAnsiTheme="minorHAnsi" w:cstheme="minorBidi"/>
          <w:noProof/>
          <w:kern w:val="2"/>
          <w:sz w:val="24"/>
          <w:szCs w:val="24"/>
          <w:lang w:eastAsia="en-US"/>
          <w14:ligatures w14:val="standardContextual"/>
        </w:rPr>
        <w:tab/>
      </w:r>
      <w:r w:rsidRPr="009E0AEA">
        <w:rPr>
          <w:noProof/>
          <w:lang w:val="es-419"/>
        </w:rPr>
        <w:t>OBSERVACIONES FINALES</w:t>
      </w:r>
      <w:r>
        <w:rPr>
          <w:noProof/>
        </w:rPr>
        <w:tab/>
      </w:r>
      <w:r>
        <w:rPr>
          <w:noProof/>
        </w:rPr>
        <w:fldChar w:fldCharType="begin"/>
      </w:r>
      <w:r>
        <w:rPr>
          <w:noProof/>
        </w:rPr>
        <w:instrText xml:space="preserve"> PAGEREF _Toc199343290 \h </w:instrText>
      </w:r>
      <w:r>
        <w:rPr>
          <w:noProof/>
        </w:rPr>
      </w:r>
      <w:r>
        <w:rPr>
          <w:noProof/>
        </w:rPr>
        <w:fldChar w:fldCharType="separate"/>
      </w:r>
      <w:r w:rsidR="007D4DFC">
        <w:rPr>
          <w:noProof/>
        </w:rPr>
        <w:t>15</w:t>
      </w:r>
      <w:r>
        <w:rPr>
          <w:noProof/>
        </w:rPr>
        <w:fldChar w:fldCharType="end"/>
      </w:r>
    </w:p>
    <w:p w14:paraId="336FEAFE" w14:textId="4172F40D" w:rsidR="00257FF1" w:rsidRPr="00621156" w:rsidRDefault="002735E6" w:rsidP="003A4DAD">
      <w:pPr>
        <w:spacing w:line="480" w:lineRule="auto"/>
        <w:rPr>
          <w:lang w:val="es-419"/>
        </w:rPr>
      </w:pPr>
      <w:r w:rsidRPr="00621156">
        <w:rPr>
          <w:lang w:val="es-419"/>
        </w:rPr>
        <w:fldChar w:fldCharType="end"/>
      </w:r>
      <w:r w:rsidR="00257FF1" w:rsidRPr="00621156">
        <w:rPr>
          <w:lang w:val="es-419"/>
        </w:rPr>
        <w:br w:type="page"/>
      </w:r>
    </w:p>
    <w:p w14:paraId="0AF12223" w14:textId="77777777" w:rsidR="008D03C4" w:rsidRPr="00621156" w:rsidRDefault="008D03C4" w:rsidP="00257FF1">
      <w:pPr>
        <w:pStyle w:val="Heading1"/>
        <w:keepNext w:val="0"/>
        <w:ind w:left="0" w:firstLine="0"/>
        <w:rPr>
          <w:lang w:val="es-419"/>
        </w:rPr>
      </w:pPr>
      <w:bookmarkStart w:id="8" w:name="_Toc199343279"/>
      <w:r w:rsidRPr="00621156">
        <w:rPr>
          <w:lang w:val="es-419"/>
        </w:rPr>
        <w:lastRenderedPageBreak/>
        <w:t>INTRODUCCIÓN</w:t>
      </w:r>
      <w:bookmarkEnd w:id="8"/>
    </w:p>
    <w:p w14:paraId="14661753" w14:textId="77777777" w:rsidR="008D03C4" w:rsidRPr="00621156" w:rsidRDefault="008D03C4" w:rsidP="008D03C4">
      <w:pPr>
        <w:numPr>
          <w:ilvl w:val="0"/>
          <w:numId w:val="9"/>
        </w:numPr>
        <w:spacing w:after="220"/>
        <w:rPr>
          <w:lang w:val="es-419"/>
        </w:rPr>
      </w:pPr>
      <w:r w:rsidRPr="00621156">
        <w:rPr>
          <w:lang w:val="es-419"/>
        </w:rPr>
        <w:t>De conformidad con su mandato, la Comisión Consultiva Independiente de Supervisión (CCIS) de la OMPI presenta un informe anual al Comité del Programa y Presupuesto (PBC) y a la Asamblea General de la OMPI.</w:t>
      </w:r>
    </w:p>
    <w:p w14:paraId="3987C493" w14:textId="791ACC50" w:rsidR="008D03C4" w:rsidRPr="00621156" w:rsidRDefault="008D03C4" w:rsidP="008D03C4">
      <w:pPr>
        <w:numPr>
          <w:ilvl w:val="0"/>
          <w:numId w:val="9"/>
        </w:numPr>
        <w:spacing w:after="220"/>
        <w:rPr>
          <w:lang w:val="es-419"/>
        </w:rPr>
      </w:pPr>
      <w:r w:rsidRPr="00621156">
        <w:rPr>
          <w:lang w:val="es-419"/>
        </w:rPr>
        <w:t>La CCIS (o “Comisión”) se creó en 2005.</w:t>
      </w:r>
      <w:r w:rsidR="00837E91" w:rsidRPr="00621156">
        <w:rPr>
          <w:lang w:val="es-419"/>
        </w:rPr>
        <w:t xml:space="preserve"> </w:t>
      </w:r>
      <w:r w:rsidRPr="00621156">
        <w:rPr>
          <w:lang w:val="es-419"/>
        </w:rPr>
        <w:t>Es un órgano subsidiario de la Asamblea General de la OMPI y del PBC.</w:t>
      </w:r>
      <w:r w:rsidR="00837E91" w:rsidRPr="00621156">
        <w:rPr>
          <w:lang w:val="es-419"/>
        </w:rPr>
        <w:t xml:space="preserve"> </w:t>
      </w:r>
      <w:r w:rsidRPr="00621156">
        <w:rPr>
          <w:lang w:val="es-419"/>
        </w:rPr>
        <w:t>Presta servicios de asesoramiento especializado independiente y asiste a la Asamblea General de la OMPI y al PBC en el desempeño de sus funciones de supervisión.</w:t>
      </w:r>
    </w:p>
    <w:p w14:paraId="492F6947" w14:textId="0BCEA76A" w:rsidR="008D03C4" w:rsidRPr="00621156" w:rsidRDefault="008D03C4" w:rsidP="00257FF1">
      <w:pPr>
        <w:numPr>
          <w:ilvl w:val="0"/>
          <w:numId w:val="9"/>
        </w:numPr>
        <w:spacing w:after="220"/>
        <w:rPr>
          <w:lang w:val="es-419"/>
        </w:rPr>
      </w:pPr>
      <w:r w:rsidRPr="00621156">
        <w:rPr>
          <w:lang w:val="es-419"/>
        </w:rPr>
        <w:t>El presente informe abarca el período comprendido entre el</w:t>
      </w:r>
      <w:r w:rsidR="00013039" w:rsidRPr="00621156">
        <w:rPr>
          <w:lang w:val="es-419"/>
        </w:rPr>
        <w:t> </w:t>
      </w:r>
      <w:r w:rsidRPr="00621156">
        <w:rPr>
          <w:lang w:val="es-419"/>
        </w:rPr>
        <w:t>23 de marzo de</w:t>
      </w:r>
      <w:r w:rsidR="00013039" w:rsidRPr="00621156">
        <w:rPr>
          <w:lang w:val="es-419"/>
        </w:rPr>
        <w:t> </w:t>
      </w:r>
      <w:r w:rsidRPr="00621156">
        <w:rPr>
          <w:lang w:val="es-419"/>
        </w:rPr>
        <w:t>2024 y el</w:t>
      </w:r>
      <w:r w:rsidR="00013039" w:rsidRPr="00621156">
        <w:rPr>
          <w:lang w:val="es-419"/>
        </w:rPr>
        <w:t> </w:t>
      </w:r>
      <w:r w:rsidRPr="00621156">
        <w:rPr>
          <w:lang w:val="es-419"/>
        </w:rPr>
        <w:t>28 de marzo de</w:t>
      </w:r>
      <w:r w:rsidR="00013039" w:rsidRPr="00621156">
        <w:rPr>
          <w:lang w:val="es-419"/>
        </w:rPr>
        <w:t> </w:t>
      </w:r>
      <w:r w:rsidRPr="00621156">
        <w:rPr>
          <w:lang w:val="es-419"/>
        </w:rPr>
        <w:t>2025.</w:t>
      </w:r>
      <w:r w:rsidR="00837E91" w:rsidRPr="00621156">
        <w:rPr>
          <w:lang w:val="es-419"/>
        </w:rPr>
        <w:t xml:space="preserve"> </w:t>
      </w:r>
      <w:r w:rsidRPr="00621156">
        <w:rPr>
          <w:lang w:val="es-419"/>
        </w:rPr>
        <w:t>En la sección II del presente informe figura una reseña de las sesiones trimestrales de la Comisión, su composición y metodología.</w:t>
      </w:r>
      <w:r w:rsidR="00837E91" w:rsidRPr="00621156">
        <w:rPr>
          <w:lang w:val="es-419"/>
        </w:rPr>
        <w:t xml:space="preserve"> </w:t>
      </w:r>
      <w:r w:rsidRPr="00621156">
        <w:rPr>
          <w:lang w:val="es-419"/>
        </w:rPr>
        <w:t>En la sección III se detallan las cuestiones debatidas y examinadas por la Comisión durante el período que abarca el informe.</w:t>
      </w:r>
    </w:p>
    <w:p w14:paraId="389FC7A5" w14:textId="77777777" w:rsidR="00837E91" w:rsidRPr="00621156" w:rsidRDefault="008D03C4" w:rsidP="00257FF1">
      <w:pPr>
        <w:pStyle w:val="Heading1"/>
        <w:keepNext w:val="0"/>
        <w:ind w:left="0" w:firstLine="0"/>
        <w:rPr>
          <w:lang w:val="es-419"/>
        </w:rPr>
      </w:pPr>
      <w:bookmarkStart w:id="9" w:name="_Toc199343280"/>
      <w:r w:rsidRPr="00621156">
        <w:rPr>
          <w:lang w:val="es-419"/>
        </w:rPr>
        <w:t>SESIONES TRIMESTRALES, COMPOSICIÓN Y MÉTODOS DE TRABAJO</w:t>
      </w:r>
      <w:bookmarkEnd w:id="9"/>
    </w:p>
    <w:p w14:paraId="3F3A66FF" w14:textId="77777777" w:rsidR="008D03C4" w:rsidRPr="00621156" w:rsidRDefault="008D03C4" w:rsidP="00380FA6">
      <w:pPr>
        <w:spacing w:after="220"/>
        <w:ind w:left="567"/>
        <w:rPr>
          <w:b/>
          <w:bCs/>
          <w:lang w:val="es-419"/>
        </w:rPr>
      </w:pPr>
      <w:r w:rsidRPr="00621156">
        <w:rPr>
          <w:i/>
          <w:lang w:val="es-419"/>
        </w:rPr>
        <w:t>Sesiones trimestrales</w:t>
      </w:r>
    </w:p>
    <w:p w14:paraId="6B7F13A6" w14:textId="144FB05F" w:rsidR="008D03C4" w:rsidRPr="00621156" w:rsidRDefault="008D03C4" w:rsidP="008D03C4">
      <w:pPr>
        <w:numPr>
          <w:ilvl w:val="0"/>
          <w:numId w:val="9"/>
        </w:numPr>
        <w:spacing w:after="220"/>
        <w:rPr>
          <w:lang w:val="es-419"/>
        </w:rPr>
      </w:pPr>
      <w:r w:rsidRPr="00621156">
        <w:rPr>
          <w:lang w:val="es-419"/>
        </w:rPr>
        <w:t>Durante el ejercicio en examen, la Comisión celebró cuatro sesiones trimestrales:</w:t>
      </w:r>
      <w:r w:rsidR="00837E91" w:rsidRPr="00621156">
        <w:rPr>
          <w:lang w:val="es-419"/>
        </w:rPr>
        <w:t xml:space="preserve"> </w:t>
      </w:r>
      <w:r w:rsidRPr="00621156">
        <w:rPr>
          <w:lang w:val="es-419"/>
        </w:rPr>
        <w:t xml:space="preserve">del 28 al 31 de mayo de 2024 (73.ª </w:t>
      </w:r>
      <w:r w:rsidR="00590114" w:rsidRPr="00621156">
        <w:rPr>
          <w:lang w:val="es-419"/>
        </w:rPr>
        <w:t>sesión</w:t>
      </w:r>
      <w:r w:rsidRPr="00621156">
        <w:rPr>
          <w:lang w:val="es-419"/>
        </w:rPr>
        <w:t xml:space="preserve">); del 24 al 27 de septiembre 2024 (74.ª </w:t>
      </w:r>
      <w:r w:rsidR="003E58AE" w:rsidRPr="00621156">
        <w:rPr>
          <w:lang w:val="es-419"/>
        </w:rPr>
        <w:t>sesión</w:t>
      </w:r>
      <w:r w:rsidRPr="00621156">
        <w:rPr>
          <w:lang w:val="es-419"/>
        </w:rPr>
        <w:t xml:space="preserve">); del 9 al 13 de diciembre de 2024 (75.ª </w:t>
      </w:r>
      <w:r w:rsidR="003E58AE" w:rsidRPr="00621156">
        <w:rPr>
          <w:lang w:val="es-419"/>
        </w:rPr>
        <w:t>sesión</w:t>
      </w:r>
      <w:r w:rsidRPr="00621156">
        <w:rPr>
          <w:lang w:val="es-419"/>
        </w:rPr>
        <w:t xml:space="preserve">); y del 24 al 28 de marzo de 2025 (76.ª </w:t>
      </w:r>
      <w:r w:rsidR="003E58AE" w:rsidRPr="00621156">
        <w:rPr>
          <w:lang w:val="es-419"/>
        </w:rPr>
        <w:t>sesión</w:t>
      </w:r>
      <w:r w:rsidRPr="00621156">
        <w:rPr>
          <w:lang w:val="es-419"/>
        </w:rPr>
        <w:t>).</w:t>
      </w:r>
      <w:r w:rsidR="00837E91" w:rsidRPr="00621156">
        <w:rPr>
          <w:lang w:val="es-419"/>
        </w:rPr>
        <w:t xml:space="preserve"> </w:t>
      </w:r>
      <w:r w:rsidRPr="00621156">
        <w:rPr>
          <w:lang w:val="es-419"/>
        </w:rPr>
        <w:t>De conformidad con su mandato, la Comisión celebró reuniones informativas con los representantes de los Estados miembros después de todas las sesiones.</w:t>
      </w:r>
      <w:r w:rsidR="00837E91" w:rsidRPr="00621156">
        <w:rPr>
          <w:lang w:val="es-419"/>
        </w:rPr>
        <w:t xml:space="preserve"> </w:t>
      </w:r>
      <w:r w:rsidRPr="00621156">
        <w:rPr>
          <w:lang w:val="es-419"/>
        </w:rPr>
        <w:t>Los informes de todas las sesiones del Comité se publican en el sitio web de la OMPI.</w:t>
      </w:r>
    </w:p>
    <w:p w14:paraId="7801853C" w14:textId="77777777" w:rsidR="008D03C4" w:rsidRPr="00621156" w:rsidRDefault="008D03C4" w:rsidP="00380FA6">
      <w:pPr>
        <w:spacing w:after="220"/>
        <w:ind w:left="567"/>
        <w:rPr>
          <w:lang w:val="es-419"/>
        </w:rPr>
      </w:pPr>
      <w:r w:rsidRPr="00621156">
        <w:rPr>
          <w:i/>
          <w:lang w:val="es-419"/>
        </w:rPr>
        <w:t>Composición y proceso de selección de nuevos miembros</w:t>
      </w:r>
    </w:p>
    <w:p w14:paraId="47CA7410" w14:textId="0057ED77" w:rsidR="008D03C4" w:rsidRPr="00621156" w:rsidRDefault="008D03C4" w:rsidP="008D03C4">
      <w:pPr>
        <w:numPr>
          <w:ilvl w:val="0"/>
          <w:numId w:val="10"/>
        </w:numPr>
        <w:spacing w:after="220"/>
        <w:rPr>
          <w:lang w:val="es-419"/>
        </w:rPr>
      </w:pPr>
      <w:r w:rsidRPr="00621156">
        <w:rPr>
          <w:lang w:val="es-419"/>
        </w:rPr>
        <w:t>La CCIS está integrada por siete miembros procedentes de los grupos de Estados miembros de la OMPI,</w:t>
      </w:r>
      <w:r w:rsidR="00837E91" w:rsidRPr="00621156">
        <w:rPr>
          <w:lang w:val="es-419"/>
        </w:rPr>
        <w:t xml:space="preserve"> </w:t>
      </w:r>
      <w:r w:rsidRPr="00621156">
        <w:rPr>
          <w:lang w:val="es-419"/>
        </w:rPr>
        <w:t>que actúan a título personal y con independencia de los Estados miembros.</w:t>
      </w:r>
      <w:r w:rsidR="00837E91" w:rsidRPr="00621156">
        <w:rPr>
          <w:lang w:val="es-419"/>
        </w:rPr>
        <w:t xml:space="preserve"> </w:t>
      </w:r>
      <w:r w:rsidRPr="00621156">
        <w:rPr>
          <w:lang w:val="es-419"/>
        </w:rPr>
        <w:t>De conformidad con su mandato, en su 75.ª sesión, celebrada en diciembre de</w:t>
      </w:r>
      <w:r w:rsidR="0017278B" w:rsidRPr="00621156">
        <w:rPr>
          <w:lang w:val="es-419"/>
        </w:rPr>
        <w:t> </w:t>
      </w:r>
      <w:r w:rsidRPr="00621156">
        <w:rPr>
          <w:lang w:val="es-419"/>
        </w:rPr>
        <w:t>2024, la Comisión eligió presidente al Sr. David Kanja y vicepresidente al Sr. Kamlesh Vikamsey.</w:t>
      </w:r>
      <w:r w:rsidR="00837E91" w:rsidRPr="00621156">
        <w:rPr>
          <w:lang w:val="es-419"/>
        </w:rPr>
        <w:t xml:space="preserve"> </w:t>
      </w:r>
      <w:r w:rsidRPr="00621156">
        <w:rPr>
          <w:lang w:val="es-419"/>
        </w:rPr>
        <w:t>El Sr. Bert Keuppens ocupó la presidencia desde la sesión 72.ª hasta la 75.ª, estando en ese período el Sr. Kanja a cargo de la vicepresidencia.</w:t>
      </w:r>
    </w:p>
    <w:p w14:paraId="7E67A1AB" w14:textId="0F772C19" w:rsidR="00837E91" w:rsidRPr="00621156" w:rsidRDefault="00C309D5" w:rsidP="008D03C4">
      <w:pPr>
        <w:numPr>
          <w:ilvl w:val="0"/>
          <w:numId w:val="10"/>
        </w:numPr>
        <w:spacing w:after="220"/>
        <w:rPr>
          <w:lang w:val="es-419"/>
        </w:rPr>
      </w:pPr>
      <w:r w:rsidRPr="00621156">
        <w:rPr>
          <w:lang w:val="es-419"/>
        </w:rPr>
        <w:t>En sintonía c</w:t>
      </w:r>
      <w:r w:rsidR="008D03C4" w:rsidRPr="00621156">
        <w:rPr>
          <w:lang w:val="es-419"/>
        </w:rPr>
        <w:t>on el proceso de selección descrito en el Anexo IV del Reglamento Financiero y Reglamentación Financiera de la OMPI, la Comisión está compuesta actualmente por los siguientes miembros:</w:t>
      </w:r>
    </w:p>
    <w:p w14:paraId="24394E58" w14:textId="77777777" w:rsidR="008D03C4" w:rsidRPr="003A4DAD" w:rsidRDefault="008D03C4" w:rsidP="002C2B0F">
      <w:pPr>
        <w:numPr>
          <w:ilvl w:val="1"/>
          <w:numId w:val="10"/>
        </w:numPr>
        <w:ind w:left="1134" w:hanging="567"/>
        <w:rPr>
          <w:lang w:val="pt-BR"/>
        </w:rPr>
      </w:pPr>
      <w:r w:rsidRPr="003A4DAD">
        <w:rPr>
          <w:lang w:val="pt-BR"/>
        </w:rPr>
        <w:t>Sr. David Kanja, presidente (Grupo Africano);</w:t>
      </w:r>
    </w:p>
    <w:p w14:paraId="457F443C" w14:textId="77777777" w:rsidR="008D03C4" w:rsidRPr="00621156" w:rsidRDefault="008D03C4" w:rsidP="002C2B0F">
      <w:pPr>
        <w:numPr>
          <w:ilvl w:val="1"/>
          <w:numId w:val="10"/>
        </w:numPr>
        <w:ind w:left="1134" w:hanging="567"/>
        <w:rPr>
          <w:lang w:val="es-419"/>
        </w:rPr>
      </w:pPr>
      <w:r w:rsidRPr="00621156">
        <w:rPr>
          <w:lang w:val="es-419"/>
        </w:rPr>
        <w:t>Sr. Kamlesh Vikamsey, vicepresidente (Grupo de Asia y el Pacífico);</w:t>
      </w:r>
    </w:p>
    <w:p w14:paraId="3E698977" w14:textId="77777777" w:rsidR="008D03C4" w:rsidRPr="003A4DAD" w:rsidRDefault="008D03C4" w:rsidP="002C2B0F">
      <w:pPr>
        <w:numPr>
          <w:ilvl w:val="1"/>
          <w:numId w:val="10"/>
        </w:numPr>
        <w:ind w:left="1134" w:hanging="567"/>
        <w:rPr>
          <w:lang w:val="de-DE"/>
        </w:rPr>
      </w:pPr>
      <w:r w:rsidRPr="003A4DAD">
        <w:rPr>
          <w:lang w:val="de-DE"/>
        </w:rPr>
        <w:t>Sr. Bert Keuppens (Grupo B);</w:t>
      </w:r>
    </w:p>
    <w:p w14:paraId="71CB61A2" w14:textId="77777777" w:rsidR="008D03C4" w:rsidRPr="00621156" w:rsidRDefault="008D03C4" w:rsidP="002C2B0F">
      <w:pPr>
        <w:numPr>
          <w:ilvl w:val="1"/>
          <w:numId w:val="10"/>
        </w:numPr>
        <w:ind w:left="1134" w:hanging="567"/>
        <w:rPr>
          <w:lang w:val="es-419"/>
        </w:rPr>
      </w:pPr>
      <w:r w:rsidRPr="00621156">
        <w:rPr>
          <w:lang w:val="es-419"/>
        </w:rPr>
        <w:t>Sr. Danil Kerimi (Grupo de Países de Asia Central, el Cáucaso y Europa Oriental (CACEEC));</w:t>
      </w:r>
    </w:p>
    <w:p w14:paraId="226D8807" w14:textId="77777777" w:rsidR="008D03C4" w:rsidRPr="00621156" w:rsidRDefault="008D03C4" w:rsidP="002C2B0F">
      <w:pPr>
        <w:numPr>
          <w:ilvl w:val="1"/>
          <w:numId w:val="10"/>
        </w:numPr>
        <w:ind w:left="1134" w:hanging="567"/>
        <w:rPr>
          <w:lang w:val="es-419"/>
        </w:rPr>
      </w:pPr>
      <w:r w:rsidRPr="00621156">
        <w:rPr>
          <w:lang w:val="es-419"/>
        </w:rPr>
        <w:t>Sr. Igors Ludboržs (Grupo de Estados de Europa Central y el Báltico (CEBS));</w:t>
      </w:r>
    </w:p>
    <w:p w14:paraId="5F0837E7" w14:textId="77777777" w:rsidR="008D03C4" w:rsidRPr="00621156" w:rsidRDefault="008D03C4" w:rsidP="002C2B0F">
      <w:pPr>
        <w:numPr>
          <w:ilvl w:val="1"/>
          <w:numId w:val="10"/>
        </w:numPr>
        <w:ind w:left="1134" w:hanging="567"/>
        <w:rPr>
          <w:lang w:val="es-419"/>
        </w:rPr>
      </w:pPr>
      <w:r w:rsidRPr="00621156">
        <w:rPr>
          <w:lang w:val="es-419"/>
        </w:rPr>
        <w:t>Sr. Guan Jian (China); y</w:t>
      </w:r>
    </w:p>
    <w:p w14:paraId="59557E12" w14:textId="77777777" w:rsidR="008D03C4" w:rsidRPr="00621156" w:rsidRDefault="008D03C4" w:rsidP="00380FA6">
      <w:pPr>
        <w:numPr>
          <w:ilvl w:val="1"/>
          <w:numId w:val="10"/>
        </w:numPr>
        <w:spacing w:after="220"/>
        <w:ind w:left="1134" w:hanging="567"/>
        <w:rPr>
          <w:lang w:val="es-419"/>
        </w:rPr>
      </w:pPr>
      <w:r w:rsidRPr="00621156">
        <w:rPr>
          <w:lang w:val="es-419"/>
        </w:rPr>
        <w:t>Sr. German Deffit (Grupo de Países de América Latina y el Caribe (GRULAC)).</w:t>
      </w:r>
    </w:p>
    <w:p w14:paraId="03EB56B0" w14:textId="77777777" w:rsidR="008D03C4" w:rsidRPr="00621156" w:rsidRDefault="008D03C4" w:rsidP="008D03C4">
      <w:pPr>
        <w:numPr>
          <w:ilvl w:val="0"/>
          <w:numId w:val="10"/>
        </w:numPr>
        <w:spacing w:after="220"/>
        <w:rPr>
          <w:lang w:val="es-419"/>
        </w:rPr>
      </w:pPr>
      <w:r w:rsidRPr="00621156">
        <w:rPr>
          <w:lang w:val="es-419"/>
        </w:rPr>
        <w:t>La composición de la Comisión refleja una combinación y un equilibrio adecuados de competencias, conocimientos y experiencia.</w:t>
      </w:r>
    </w:p>
    <w:p w14:paraId="7E71CC4E" w14:textId="1257B6A3" w:rsidR="008D03C4" w:rsidRPr="00621156" w:rsidRDefault="008D03C4" w:rsidP="008D03C4">
      <w:pPr>
        <w:numPr>
          <w:ilvl w:val="0"/>
          <w:numId w:val="10"/>
        </w:numPr>
        <w:spacing w:after="220"/>
        <w:rPr>
          <w:lang w:val="es-419"/>
        </w:rPr>
      </w:pPr>
      <w:r w:rsidRPr="00621156">
        <w:rPr>
          <w:lang w:val="es-419"/>
        </w:rPr>
        <w:t>Durante su 76.ª sesión, la Comisión solicitó a la secretaria del Comité de Selección información actualizada sobre la situación del proceso de selección de nuevos miembros de la CCIS.</w:t>
      </w:r>
      <w:r w:rsidR="00837E91" w:rsidRPr="00621156">
        <w:rPr>
          <w:lang w:val="es-419"/>
        </w:rPr>
        <w:t xml:space="preserve"> </w:t>
      </w:r>
      <w:r w:rsidRPr="00621156">
        <w:rPr>
          <w:lang w:val="es-419"/>
        </w:rPr>
        <w:t xml:space="preserve">La Comisión había completado su evaluación de los candidatos elegibles utilizando una </w:t>
      </w:r>
      <w:r w:rsidRPr="00621156">
        <w:rPr>
          <w:lang w:val="es-419"/>
        </w:rPr>
        <w:lastRenderedPageBreak/>
        <w:t xml:space="preserve">matriz de evaluación proporcionada por el Comité de Selección y respecto de la cual se había </w:t>
      </w:r>
      <w:r w:rsidR="00CD40F8" w:rsidRPr="00621156">
        <w:rPr>
          <w:lang w:val="es-419"/>
        </w:rPr>
        <w:t>consultado</w:t>
      </w:r>
      <w:r w:rsidRPr="00621156">
        <w:rPr>
          <w:lang w:val="es-419"/>
        </w:rPr>
        <w:t xml:space="preserve"> a la CCIS.</w:t>
      </w:r>
      <w:r w:rsidR="00837E91" w:rsidRPr="00621156">
        <w:rPr>
          <w:lang w:val="es-419"/>
        </w:rPr>
        <w:t xml:space="preserve"> </w:t>
      </w:r>
      <w:r w:rsidRPr="00621156">
        <w:rPr>
          <w:lang w:val="es-419"/>
        </w:rPr>
        <w:t>La Comisión también había mantenido una conversación con la secretaria del Comité de Selección acerca de la posibilidad de mejorar en el futuro el proceso de selección de los candidatos elegibles.</w:t>
      </w:r>
    </w:p>
    <w:p w14:paraId="1DE38839" w14:textId="6AE811C2" w:rsidR="008D03C4" w:rsidRPr="00621156" w:rsidRDefault="00CD40F8" w:rsidP="00380FA6">
      <w:pPr>
        <w:spacing w:after="220"/>
        <w:ind w:left="567"/>
        <w:rPr>
          <w:lang w:val="es-419"/>
        </w:rPr>
      </w:pPr>
      <w:r w:rsidRPr="00621156">
        <w:rPr>
          <w:i/>
          <w:lang w:val="es-419"/>
        </w:rPr>
        <w:t>Métodos</w:t>
      </w:r>
      <w:r w:rsidR="008D03C4" w:rsidRPr="00621156">
        <w:rPr>
          <w:i/>
          <w:lang w:val="es-419"/>
        </w:rPr>
        <w:t xml:space="preserve"> de trabajo</w:t>
      </w:r>
    </w:p>
    <w:p w14:paraId="08E6F2E2" w14:textId="6325FCBE" w:rsidR="008D03C4" w:rsidRPr="00621156" w:rsidRDefault="008D03C4" w:rsidP="008D03C4">
      <w:pPr>
        <w:numPr>
          <w:ilvl w:val="0"/>
          <w:numId w:val="10"/>
        </w:numPr>
        <w:spacing w:after="220"/>
        <w:rPr>
          <w:lang w:val="es-419"/>
        </w:rPr>
      </w:pPr>
      <w:r w:rsidRPr="00621156">
        <w:rPr>
          <w:lang w:val="es-419"/>
        </w:rPr>
        <w:t xml:space="preserve">La </w:t>
      </w:r>
      <w:r w:rsidR="00CD40F8" w:rsidRPr="00621156">
        <w:rPr>
          <w:lang w:val="es-419"/>
        </w:rPr>
        <w:t>Comisión</w:t>
      </w:r>
      <w:r w:rsidRPr="00621156">
        <w:rPr>
          <w:lang w:val="es-419"/>
        </w:rPr>
        <w:t xml:space="preserve"> brinda asesoramiento especializado mediante la cooperación con el director general de la OMPI, el personal de la Secretaría y el auditor externo, principalmente sobre la base de los informes, las ponencias y la información que se le facilitan.</w:t>
      </w:r>
      <w:r w:rsidR="00837E91" w:rsidRPr="00621156">
        <w:rPr>
          <w:lang w:val="es-419"/>
        </w:rPr>
        <w:t xml:space="preserve"> </w:t>
      </w:r>
      <w:r w:rsidRPr="00621156">
        <w:rPr>
          <w:lang w:val="es-419"/>
        </w:rPr>
        <w:t>Para elaborar sus evaluaciones y establecer sus conclusiones, lleva a cabo deliberaciones sobre las cuestiones pertinentes.</w:t>
      </w:r>
    </w:p>
    <w:p w14:paraId="6E2A8A1C" w14:textId="69604352" w:rsidR="008D03C4" w:rsidRPr="00621156" w:rsidRDefault="008D03C4" w:rsidP="008D03C4">
      <w:pPr>
        <w:numPr>
          <w:ilvl w:val="0"/>
          <w:numId w:val="10"/>
        </w:numPr>
        <w:spacing w:after="220"/>
        <w:rPr>
          <w:lang w:val="es-419"/>
        </w:rPr>
      </w:pPr>
      <w:r w:rsidRPr="00621156">
        <w:rPr>
          <w:lang w:val="es-419"/>
        </w:rPr>
        <w:t xml:space="preserve">Durante el período de referencia, la Comisión recibió información del director general o del subdirector general encargado del Sector de Administración, Finanzas y Gestión sobre cuestiones importantes, entre otras, la adopción de dos nuevos tratados, la estabilidad del rendimiento financiero de la OMPI, en el contexto general de las dificultades financieras en el sistema de </w:t>
      </w:r>
      <w:r w:rsidR="0059207C" w:rsidRPr="00621156">
        <w:rPr>
          <w:lang w:val="es-419"/>
        </w:rPr>
        <w:t>las Naciones Unidas</w:t>
      </w:r>
      <w:r w:rsidRPr="00621156">
        <w:rPr>
          <w:lang w:val="es-419"/>
        </w:rPr>
        <w:t xml:space="preserve">; los acontecimientos dentro del sistema de </w:t>
      </w:r>
      <w:r w:rsidR="0059207C" w:rsidRPr="00621156">
        <w:rPr>
          <w:lang w:val="es-419"/>
        </w:rPr>
        <w:t>las Naciones Unidas</w:t>
      </w:r>
      <w:r w:rsidRPr="00621156">
        <w:rPr>
          <w:lang w:val="es-419"/>
        </w:rPr>
        <w:t xml:space="preserve"> relacionados con la financiación y el multilateralismo; los planes de la Secretaría para preparar el presupuesto para el próximo bienio; y los esfuerzos de la </w:t>
      </w:r>
      <w:r w:rsidR="0059207C" w:rsidRPr="00621156">
        <w:rPr>
          <w:lang w:val="es-419"/>
        </w:rPr>
        <w:t xml:space="preserve">Organización </w:t>
      </w:r>
      <w:r w:rsidRPr="00621156">
        <w:rPr>
          <w:lang w:val="es-419"/>
        </w:rPr>
        <w:t xml:space="preserve">para elevar los debates sobre la política de </w:t>
      </w:r>
      <w:r w:rsidR="0059207C" w:rsidRPr="00621156">
        <w:rPr>
          <w:lang w:val="es-419"/>
        </w:rPr>
        <w:t>propiedad intelectual (</w:t>
      </w:r>
      <w:r w:rsidRPr="00621156">
        <w:rPr>
          <w:lang w:val="es-419"/>
        </w:rPr>
        <w:t>PI</w:t>
      </w:r>
      <w:r w:rsidR="0059207C" w:rsidRPr="00621156">
        <w:rPr>
          <w:lang w:val="es-419"/>
        </w:rPr>
        <w:t>)</w:t>
      </w:r>
      <w:r w:rsidRPr="00621156">
        <w:rPr>
          <w:lang w:val="es-419"/>
        </w:rPr>
        <w:t xml:space="preserve"> al nivel ministerial y de liderazgo.</w:t>
      </w:r>
    </w:p>
    <w:p w14:paraId="5AEC3A2C" w14:textId="77777777" w:rsidR="008D03C4" w:rsidRPr="00621156" w:rsidRDefault="008D03C4" w:rsidP="00380FA6">
      <w:pPr>
        <w:spacing w:after="220"/>
        <w:ind w:left="567"/>
        <w:rPr>
          <w:lang w:val="es-419"/>
        </w:rPr>
      </w:pPr>
      <w:r w:rsidRPr="00621156">
        <w:rPr>
          <w:i/>
          <w:lang w:val="es-419"/>
        </w:rPr>
        <w:t>Autoevaluación de la CCIS</w:t>
      </w:r>
    </w:p>
    <w:p w14:paraId="66F468CD" w14:textId="086A68EF" w:rsidR="008D03C4" w:rsidRPr="00621156" w:rsidRDefault="008D03C4" w:rsidP="008D03C4">
      <w:pPr>
        <w:numPr>
          <w:ilvl w:val="0"/>
          <w:numId w:val="10"/>
        </w:numPr>
        <w:spacing w:after="220"/>
        <w:rPr>
          <w:lang w:val="es-419"/>
        </w:rPr>
      </w:pPr>
      <w:r w:rsidRPr="00621156">
        <w:rPr>
          <w:lang w:val="es-419"/>
        </w:rPr>
        <w:t>En su 75.ª sesión, la Comisión llevó a cabo su autoevaluación anual, con arreglo a lo previsto en su mandato.</w:t>
      </w:r>
      <w:r w:rsidR="00837E91" w:rsidRPr="00621156">
        <w:rPr>
          <w:lang w:val="es-419"/>
        </w:rPr>
        <w:t xml:space="preserve"> </w:t>
      </w:r>
      <w:r w:rsidRPr="00621156">
        <w:rPr>
          <w:lang w:val="es-419"/>
        </w:rPr>
        <w:t xml:space="preserve">La Comisión basó su autoevaluación en los 13 criterios de la </w:t>
      </w:r>
      <w:r w:rsidR="003C1127" w:rsidRPr="00621156">
        <w:rPr>
          <w:lang w:val="es-419"/>
        </w:rPr>
        <w:t>Dependencia Común de Inspección (</w:t>
      </w:r>
      <w:r w:rsidRPr="00621156">
        <w:rPr>
          <w:lang w:val="es-419"/>
        </w:rPr>
        <w:t>DCI</w:t>
      </w:r>
      <w:r w:rsidR="003C1127" w:rsidRPr="00621156">
        <w:rPr>
          <w:lang w:val="es-419"/>
        </w:rPr>
        <w:t>)</w:t>
      </w:r>
      <w:r w:rsidRPr="00621156">
        <w:rPr>
          <w:lang w:val="es-419"/>
        </w:rPr>
        <w:t xml:space="preserve"> sobre buenas prácticas para los comités de auditoría y supervisión de las organizaciones del sistema de las Naciones Unidas y llegó a la conclusión de que funcionaba eficazmente y cumplía su mandato en sintonía con las mejores prácticas del sistema de las Naciones Unidas.</w:t>
      </w:r>
      <w:r w:rsidR="00837E91" w:rsidRPr="00621156">
        <w:rPr>
          <w:lang w:val="es-419"/>
        </w:rPr>
        <w:t xml:space="preserve"> </w:t>
      </w:r>
      <w:r w:rsidRPr="00621156">
        <w:rPr>
          <w:lang w:val="es-419"/>
        </w:rPr>
        <w:t>Los detalles de su evaluación se adjuntan al informe sobre la 75.ª sesión de la Comisión.</w:t>
      </w:r>
    </w:p>
    <w:p w14:paraId="53EF9693" w14:textId="38089C97" w:rsidR="008D03C4" w:rsidRPr="00621156" w:rsidRDefault="008D03C4" w:rsidP="008D03C4">
      <w:pPr>
        <w:numPr>
          <w:ilvl w:val="0"/>
          <w:numId w:val="10"/>
        </w:numPr>
        <w:spacing w:after="220"/>
        <w:rPr>
          <w:lang w:val="es-419"/>
        </w:rPr>
      </w:pPr>
      <w:r w:rsidRPr="00621156">
        <w:rPr>
          <w:lang w:val="es-419"/>
        </w:rPr>
        <w:t>La Comisión también pidió a la Secretaría que formulara observaciones acerca del funcionamiento de la CCIS.</w:t>
      </w:r>
      <w:r w:rsidR="00837E91" w:rsidRPr="00621156">
        <w:rPr>
          <w:lang w:val="es-419"/>
        </w:rPr>
        <w:t xml:space="preserve"> </w:t>
      </w:r>
      <w:r w:rsidRPr="00621156">
        <w:rPr>
          <w:lang w:val="es-419"/>
        </w:rPr>
        <w:t>En su evaluación global, la Secretaría manifestó aprecio por las aportaciones de la Comisión.</w:t>
      </w:r>
      <w:r w:rsidR="00837E91" w:rsidRPr="00621156">
        <w:rPr>
          <w:lang w:val="es-419"/>
        </w:rPr>
        <w:t xml:space="preserve"> </w:t>
      </w:r>
      <w:r w:rsidRPr="00621156">
        <w:rPr>
          <w:lang w:val="es-419"/>
        </w:rPr>
        <w:t>Algunas de las aportaciones específicas de la Comisión destacadas por la Secretaría fueron:</w:t>
      </w:r>
      <w:r w:rsidR="00837E91" w:rsidRPr="00621156">
        <w:rPr>
          <w:lang w:val="es-419"/>
        </w:rPr>
        <w:t xml:space="preserve"> </w:t>
      </w:r>
      <w:r w:rsidRPr="00621156">
        <w:rPr>
          <w:lang w:val="es-419"/>
        </w:rPr>
        <w:t>i) el fortalecimiento del marco de gobernanza en materia de inversiones; ii) el asesoramiento prestado sobre todas las cuestiones fiduciarias; iii) la concentración en la gestión del riesgo; iv) las sugerencias para reforzar y reformar la DSI; v) el seguimiento de las recomendaciones de supervisión; y vi) la colaboración con los Estados miembros.</w:t>
      </w:r>
      <w:r w:rsidR="00837E91" w:rsidRPr="00621156">
        <w:rPr>
          <w:lang w:val="es-419"/>
        </w:rPr>
        <w:t xml:space="preserve"> </w:t>
      </w:r>
      <w:r w:rsidRPr="00621156">
        <w:rPr>
          <w:lang w:val="es-419"/>
        </w:rPr>
        <w:t>La Secretaría también manifestó inquietud por la duplicación de ciertas labores de supervisión y su deseo de que se mejore la programación del orden del día de las reuniones de la CCIS, teniendo en cuenta el resto de las ocupaciones de la Secretaría, y de que se comunique de manera más clara qué información de antecedentes ha de prepararse para las reuniones.</w:t>
      </w:r>
    </w:p>
    <w:p w14:paraId="56D4A143" w14:textId="63C13608" w:rsidR="008D03C4" w:rsidRPr="00621156" w:rsidRDefault="008D03C4" w:rsidP="008D03C4">
      <w:pPr>
        <w:numPr>
          <w:ilvl w:val="0"/>
          <w:numId w:val="10"/>
        </w:numPr>
        <w:spacing w:after="220"/>
        <w:rPr>
          <w:lang w:val="es-419"/>
        </w:rPr>
      </w:pPr>
      <w:r w:rsidRPr="00621156">
        <w:rPr>
          <w:lang w:val="es-419"/>
        </w:rPr>
        <w:t xml:space="preserve">La Comisión decidió que en 2025 se llevaría a cabo una evaluación externa, en la que se utilizaría el mecanismo del examen por homólogos de </w:t>
      </w:r>
      <w:r w:rsidR="0059207C" w:rsidRPr="00621156">
        <w:rPr>
          <w:lang w:val="es-419"/>
        </w:rPr>
        <w:t>las Naciones Unidas</w:t>
      </w:r>
      <w:r w:rsidRPr="00621156">
        <w:rPr>
          <w:lang w:val="es-419"/>
        </w:rPr>
        <w:t xml:space="preserve">, que ya se ha puesto a prueba con éxito en una organización de </w:t>
      </w:r>
      <w:r w:rsidR="0059207C" w:rsidRPr="00621156">
        <w:rPr>
          <w:lang w:val="es-419"/>
        </w:rPr>
        <w:t>las Naciones Unidas</w:t>
      </w:r>
      <w:r w:rsidRPr="00621156">
        <w:rPr>
          <w:lang w:val="es-419"/>
        </w:rPr>
        <w:t>.</w:t>
      </w:r>
      <w:r w:rsidR="00837E91" w:rsidRPr="00621156">
        <w:rPr>
          <w:lang w:val="es-419"/>
        </w:rPr>
        <w:t xml:space="preserve"> </w:t>
      </w:r>
      <w:r w:rsidRPr="00621156">
        <w:rPr>
          <w:lang w:val="es-419"/>
        </w:rPr>
        <w:t>Esa evaluación se llevará a cabo de conformidad con el requisito relativo a las evaluaciones periódicas independientes del rendimiento que figura en el mandato de la CCIS.</w:t>
      </w:r>
    </w:p>
    <w:p w14:paraId="18168C6A" w14:textId="02034CCD" w:rsidR="008D03C4" w:rsidRPr="00621156" w:rsidRDefault="008D03C4" w:rsidP="003C1127">
      <w:pPr>
        <w:pStyle w:val="Heading1"/>
        <w:ind w:left="0" w:firstLine="0"/>
        <w:rPr>
          <w:lang w:val="es-419"/>
        </w:rPr>
      </w:pPr>
      <w:bookmarkStart w:id="10" w:name="_Toc199343281"/>
      <w:r w:rsidRPr="00621156">
        <w:rPr>
          <w:lang w:val="es-419"/>
        </w:rPr>
        <w:lastRenderedPageBreak/>
        <w:t>ASUNTOS DEBATIDOS Y EXAMINADOS</w:t>
      </w:r>
      <w:bookmarkEnd w:id="10"/>
    </w:p>
    <w:p w14:paraId="499150B9" w14:textId="51F04079" w:rsidR="008D03C4" w:rsidRPr="00621156" w:rsidRDefault="008D03C4" w:rsidP="003C1127">
      <w:pPr>
        <w:pStyle w:val="Heading2"/>
        <w:ind w:left="567" w:hanging="567"/>
        <w:rPr>
          <w:b/>
          <w:u w:val="single"/>
          <w:lang w:val="es-419"/>
        </w:rPr>
      </w:pPr>
      <w:bookmarkStart w:id="11" w:name="_Toc199343282"/>
      <w:r w:rsidRPr="00621156">
        <w:rPr>
          <w:u w:val="single"/>
          <w:lang w:val="es-419"/>
        </w:rPr>
        <w:t>Supervisión interna</w:t>
      </w:r>
      <w:bookmarkEnd w:id="11"/>
    </w:p>
    <w:p w14:paraId="10F4F2D6" w14:textId="79913020" w:rsidR="00837E91" w:rsidRPr="00621156" w:rsidRDefault="008D03C4" w:rsidP="001B6F31">
      <w:pPr>
        <w:spacing w:after="220"/>
        <w:ind w:left="540"/>
        <w:rPr>
          <w:i/>
          <w:lang w:val="es-419"/>
        </w:rPr>
      </w:pPr>
      <w:r w:rsidRPr="00621156">
        <w:rPr>
          <w:i/>
          <w:lang w:val="es-419"/>
        </w:rPr>
        <w:t>Aplicación del plan de trabajo de supervisión interna de la DSI de 2024</w:t>
      </w:r>
    </w:p>
    <w:p w14:paraId="71BCA52A" w14:textId="2C84A3D3" w:rsidR="008D03C4" w:rsidRPr="00621156" w:rsidRDefault="008D03C4" w:rsidP="008D03C4">
      <w:pPr>
        <w:numPr>
          <w:ilvl w:val="0"/>
          <w:numId w:val="10"/>
        </w:numPr>
        <w:spacing w:after="220"/>
        <w:rPr>
          <w:lang w:val="es-419"/>
        </w:rPr>
      </w:pPr>
      <w:r w:rsidRPr="00621156">
        <w:rPr>
          <w:lang w:val="es-419"/>
        </w:rPr>
        <w:t>La Comisión examinó la aplicación del plan de trabajo anual de supervisión interna de 2024, utilizando los informes trimestrales de actividad de la División de Supervisión Interna (DSI) presentados para cada sesión.</w:t>
      </w:r>
      <w:r w:rsidR="00837E91" w:rsidRPr="00621156">
        <w:rPr>
          <w:lang w:val="es-419"/>
        </w:rPr>
        <w:t xml:space="preserve"> </w:t>
      </w:r>
      <w:r w:rsidRPr="00621156">
        <w:rPr>
          <w:lang w:val="es-419"/>
        </w:rPr>
        <w:t>La Comisión también examinó, durante su 76.ª sesión, el proyecto de informe anual de la DSI correspondiente a 2024 y tomó nota de que la División publicó en 2024 los siguientes informes: cinco informes de auditoría interna, dos informes de validación, cuatro informes de evaluación, cinco informes de evaluación previa, un informe de asesoramiento, 18 informes de investigación y dos informes sobre las consecuencias para la dirección. La DSI también formuló 37 recomendaciones y dio por cerradas 66 recomendaciones durante el período de referencia.</w:t>
      </w:r>
    </w:p>
    <w:p w14:paraId="149F6D6E" w14:textId="28238CEE" w:rsidR="00837E91" w:rsidRPr="00621156" w:rsidRDefault="003C1127" w:rsidP="008D03C4">
      <w:pPr>
        <w:numPr>
          <w:ilvl w:val="0"/>
          <w:numId w:val="10"/>
        </w:numPr>
        <w:spacing w:after="220"/>
        <w:rPr>
          <w:lang w:val="es-419"/>
        </w:rPr>
      </w:pPr>
      <w:r w:rsidRPr="00621156">
        <w:rPr>
          <w:lang w:val="es-419"/>
        </w:rPr>
        <w:t xml:space="preserve">La </w:t>
      </w:r>
      <w:r w:rsidR="008D03C4" w:rsidRPr="00621156">
        <w:rPr>
          <w:lang w:val="es-419"/>
        </w:rPr>
        <w:t>Comisión observó que se habían cubierto algunas vacantes de personal en las Secciones de Auditoría y de Investigación, y que en la Sección de Evaluación seguían vacantes dos puestos clave.</w:t>
      </w:r>
      <w:r w:rsidR="00837E91" w:rsidRPr="00621156">
        <w:rPr>
          <w:lang w:val="es-419"/>
        </w:rPr>
        <w:t xml:space="preserve"> </w:t>
      </w:r>
      <w:r w:rsidR="008D03C4" w:rsidRPr="00621156">
        <w:rPr>
          <w:lang w:val="es-419"/>
        </w:rPr>
        <w:t>Se informó a la Comisión de que esas vacantes se anunciarían en 2025, una vez revisada la descripción de funciones de los puestos.</w:t>
      </w:r>
      <w:r w:rsidR="00837E91" w:rsidRPr="00621156">
        <w:rPr>
          <w:lang w:val="es-419"/>
        </w:rPr>
        <w:t xml:space="preserve"> </w:t>
      </w:r>
      <w:r w:rsidR="008D03C4" w:rsidRPr="00621156">
        <w:rPr>
          <w:lang w:val="es-419"/>
        </w:rPr>
        <w:t>Asimismo, se informó a la Comisión que a pesar de las dificultades para encontrar personal para los puestos clave, la DSI esperaba cumplir su plan de trabajo para 2024, con la excepción de una evaluación que se había aplazado hasta el primer trimestre de 2025.</w:t>
      </w:r>
      <w:r w:rsidR="00837E91" w:rsidRPr="00621156">
        <w:rPr>
          <w:lang w:val="es-419"/>
        </w:rPr>
        <w:t xml:space="preserve"> </w:t>
      </w:r>
      <w:r w:rsidR="008D03C4" w:rsidRPr="00621156">
        <w:rPr>
          <w:lang w:val="es-419"/>
        </w:rPr>
        <w:t>La Comisión manifestó satisfacción por los cambios que se habían producido en la DSI y agradeció los esfuerzos realizados para reorientar las actividades de la División.</w:t>
      </w:r>
    </w:p>
    <w:p w14:paraId="24EED5A0" w14:textId="77777777" w:rsidR="00837E91" w:rsidRPr="00621156" w:rsidRDefault="008D03C4" w:rsidP="00380FA6">
      <w:pPr>
        <w:spacing w:after="220"/>
        <w:ind w:left="567"/>
        <w:rPr>
          <w:i/>
          <w:lang w:val="es-419"/>
        </w:rPr>
      </w:pPr>
      <w:r w:rsidRPr="00621156">
        <w:rPr>
          <w:i/>
          <w:lang w:val="es-419"/>
        </w:rPr>
        <w:t>Propuesta de plan de trabajo de supervisión interna de la DSI para 2025</w:t>
      </w:r>
    </w:p>
    <w:p w14:paraId="0CB387A0" w14:textId="32A69DDC" w:rsidR="008D03C4" w:rsidRPr="00621156" w:rsidRDefault="008D03C4" w:rsidP="008D03C4">
      <w:pPr>
        <w:numPr>
          <w:ilvl w:val="0"/>
          <w:numId w:val="10"/>
        </w:numPr>
        <w:spacing w:after="220"/>
        <w:rPr>
          <w:lang w:val="es-419"/>
        </w:rPr>
      </w:pPr>
      <w:r w:rsidRPr="00621156">
        <w:rPr>
          <w:lang w:val="es-419"/>
        </w:rPr>
        <w:t>Durante su 75.ª sesión, la Comisión examinó el plan de trabajo de supervisión interna de la DSI para 2025</w:t>
      </w:r>
      <w:r w:rsidR="00837E91" w:rsidRPr="00621156">
        <w:rPr>
          <w:lang w:val="es-419"/>
        </w:rPr>
        <w:t xml:space="preserve"> </w:t>
      </w:r>
      <w:r w:rsidRPr="00621156">
        <w:rPr>
          <w:lang w:val="es-419"/>
        </w:rPr>
        <w:t>y tomó nota de que el plan de trabajo había sido preparado tras mantener consultas con los sectores interesados internos y los Estados miembros, además de tener en cuenta la información proporcionada por el Grupo de Gestión de Riesgos y los resultados de la evaluación de riesgos de la DSI.</w:t>
      </w:r>
      <w:r w:rsidR="00837E91" w:rsidRPr="00621156">
        <w:rPr>
          <w:lang w:val="es-419"/>
        </w:rPr>
        <w:t xml:space="preserve"> </w:t>
      </w:r>
      <w:r w:rsidRPr="00621156">
        <w:rPr>
          <w:lang w:val="es-419"/>
        </w:rPr>
        <w:t>La Comisión dijo ver con buenos ojos el nuevo formato y ofreció algunas observaciones preliminares respecto del plan de trabajo.</w:t>
      </w:r>
      <w:r w:rsidR="00837E91" w:rsidRPr="00621156">
        <w:rPr>
          <w:lang w:val="es-419"/>
        </w:rPr>
        <w:t xml:space="preserve"> </w:t>
      </w:r>
      <w:r w:rsidRPr="00621156">
        <w:rPr>
          <w:lang w:val="es-419"/>
        </w:rPr>
        <w:t>La Comisión también acogió con beneplácito la inclusión en el plan de trabajo de la emisión de un dictamen de la DSI, que complementaría la declaración de la OMPI sobre el control interno.</w:t>
      </w:r>
    </w:p>
    <w:p w14:paraId="28F518E4" w14:textId="77777777" w:rsidR="008D03C4" w:rsidRPr="00621156" w:rsidRDefault="008D03C4" w:rsidP="00380FA6">
      <w:pPr>
        <w:spacing w:after="220"/>
        <w:ind w:left="567"/>
        <w:rPr>
          <w:i/>
          <w:iCs/>
          <w:lang w:val="es-419"/>
        </w:rPr>
      </w:pPr>
      <w:r w:rsidRPr="00621156">
        <w:rPr>
          <w:i/>
          <w:lang w:val="es-419"/>
        </w:rPr>
        <w:t>Evaluación interna y externa de la calidad de las actividades de la DSI</w:t>
      </w:r>
    </w:p>
    <w:p w14:paraId="75FE2031" w14:textId="62E7D8CE" w:rsidR="008D03C4" w:rsidRPr="00621156" w:rsidRDefault="008D03C4" w:rsidP="008D03C4">
      <w:pPr>
        <w:numPr>
          <w:ilvl w:val="0"/>
          <w:numId w:val="10"/>
        </w:numPr>
        <w:spacing w:after="220"/>
        <w:rPr>
          <w:lang w:val="es-419"/>
        </w:rPr>
      </w:pPr>
      <w:r w:rsidRPr="00621156">
        <w:rPr>
          <w:lang w:val="es-419"/>
        </w:rPr>
        <w:t>Durante sus sesiones 75.ª y 76.ª, la Comisión examinó el primer examen por homólogos de la función de evaluación de la OMPI realizado por el Grupo de Evaluación de las Naciones Unidas (UNEG), que tuvo lugar entre octubre de 2024 y enero de 2025.</w:t>
      </w:r>
      <w:r w:rsidR="00837E91" w:rsidRPr="00621156">
        <w:rPr>
          <w:lang w:val="es-419"/>
        </w:rPr>
        <w:t xml:space="preserve"> </w:t>
      </w:r>
      <w:r w:rsidRPr="00621156">
        <w:rPr>
          <w:lang w:val="es-419"/>
        </w:rPr>
        <w:t>La conclusión del examen fue que el rendimiento de esa función es deficiente, tal como la Comisión ya había informado.</w:t>
      </w:r>
      <w:r w:rsidR="00837E91" w:rsidRPr="00621156">
        <w:rPr>
          <w:lang w:val="es-419"/>
        </w:rPr>
        <w:t xml:space="preserve"> </w:t>
      </w:r>
      <w:r w:rsidRPr="00621156">
        <w:rPr>
          <w:lang w:val="es-419"/>
        </w:rPr>
        <w:t>La Comisión formuló anteriormente una serie de observaciones conexas, entre otras cosas, acerca de la necesidad de que se dé una orientación más estratégica a la función de evaluación.</w:t>
      </w:r>
      <w:r w:rsidR="00837E91" w:rsidRPr="00621156">
        <w:rPr>
          <w:lang w:val="es-419"/>
        </w:rPr>
        <w:t xml:space="preserve"> </w:t>
      </w:r>
      <w:r w:rsidRPr="00621156">
        <w:rPr>
          <w:lang w:val="es-419"/>
        </w:rPr>
        <w:t>La Comisión también tomó nota de la elaboración de un plan de medidas de gestión para abordar las recomendaciones del examen por homólogos.</w:t>
      </w:r>
    </w:p>
    <w:p w14:paraId="16242D15" w14:textId="332F23C6" w:rsidR="008D03C4" w:rsidRPr="00621156" w:rsidRDefault="008D03C4" w:rsidP="008D03C4">
      <w:pPr>
        <w:numPr>
          <w:ilvl w:val="0"/>
          <w:numId w:val="10"/>
        </w:numPr>
        <w:spacing w:after="220"/>
        <w:rPr>
          <w:lang w:val="es-419"/>
        </w:rPr>
      </w:pPr>
      <w:bookmarkStart w:id="12" w:name="_Hlk193817556"/>
      <w:r w:rsidRPr="00621156">
        <w:rPr>
          <w:lang w:val="es-419"/>
        </w:rPr>
        <w:t>La Comisión también examinó, durante su 76.ª sesión, las autoevaluaciones periódicas de la DSI de sus funciones de auditoría interna e investigación, que se llevaron a cabo en preparación para las evaluaciones externas de la calidad previstas para el último trimestre de 2025.</w:t>
      </w:r>
      <w:r w:rsidR="00837E91" w:rsidRPr="00621156">
        <w:rPr>
          <w:lang w:val="es-419"/>
        </w:rPr>
        <w:t xml:space="preserve"> </w:t>
      </w:r>
      <w:r w:rsidRPr="00621156">
        <w:rPr>
          <w:lang w:val="es-419"/>
        </w:rPr>
        <w:t>Las evaluaciones arrojaron la conclusión de que la función de auditoría interna se ajusta a las Normas Globales de Auditoría Interna, y que la función de investigación se ajusta a las normas derivadas de la Conferencia de Investigadores Internos.</w:t>
      </w:r>
      <w:r w:rsidR="00837E91" w:rsidRPr="00621156">
        <w:rPr>
          <w:lang w:val="es-419"/>
        </w:rPr>
        <w:t xml:space="preserve"> </w:t>
      </w:r>
      <w:r w:rsidRPr="00621156">
        <w:rPr>
          <w:lang w:val="es-419"/>
        </w:rPr>
        <w:t xml:space="preserve">La Comisión examinó el calendario y el enfoque de las próximas evaluaciones externas de la calidad de las funciones </w:t>
      </w:r>
      <w:r w:rsidRPr="00621156">
        <w:rPr>
          <w:lang w:val="es-419"/>
        </w:rPr>
        <w:lastRenderedPageBreak/>
        <w:t>de auditoría interna y de investigación, y acordó revisitar este tema con la DSI en su próxima sesión.</w:t>
      </w:r>
      <w:bookmarkEnd w:id="12"/>
    </w:p>
    <w:p w14:paraId="75FF1816" w14:textId="22E11F09" w:rsidR="008D03C4" w:rsidRPr="00621156" w:rsidRDefault="008D03C4" w:rsidP="00380FA6">
      <w:pPr>
        <w:spacing w:after="220"/>
        <w:ind w:left="567"/>
        <w:rPr>
          <w:bCs/>
          <w:i/>
          <w:lang w:val="es-419"/>
        </w:rPr>
      </w:pPr>
      <w:r w:rsidRPr="00621156">
        <w:rPr>
          <w:i/>
          <w:lang w:val="es-419"/>
        </w:rPr>
        <w:t xml:space="preserve">Información actualizada </w:t>
      </w:r>
      <w:r w:rsidR="00D745AA" w:rsidRPr="00621156">
        <w:rPr>
          <w:i/>
          <w:lang w:val="es-419"/>
        </w:rPr>
        <w:t>acerca de</w:t>
      </w:r>
      <w:r w:rsidRPr="00621156">
        <w:rPr>
          <w:i/>
          <w:lang w:val="es-419"/>
        </w:rPr>
        <w:t xml:space="preserve"> la preparación del dictamen de la DSI sobre gobernanza, gestión de riesgos y controles en la OMPI.</w:t>
      </w:r>
    </w:p>
    <w:p w14:paraId="1B5B2984" w14:textId="49F5CC85" w:rsidR="00837E91" w:rsidRPr="00621156" w:rsidRDefault="008D03C4" w:rsidP="008D03C4">
      <w:pPr>
        <w:numPr>
          <w:ilvl w:val="0"/>
          <w:numId w:val="10"/>
        </w:numPr>
        <w:spacing w:after="220"/>
        <w:rPr>
          <w:lang w:val="es-419"/>
        </w:rPr>
      </w:pPr>
      <w:r w:rsidRPr="00621156">
        <w:rPr>
          <w:lang w:val="es-419"/>
        </w:rPr>
        <w:t xml:space="preserve">Durante su 76.ª sesión, la Comisión examinó la información actualizada sobre la preparación en curso del dictamen de la DSI acerca de la idoneidad y eficacia de la gobernanza, la gestión de riesgos y </w:t>
      </w:r>
      <w:r w:rsidR="00DB041F" w:rsidRPr="00621156">
        <w:rPr>
          <w:lang w:val="es-419"/>
        </w:rPr>
        <w:t>l</w:t>
      </w:r>
      <w:r w:rsidRPr="00621156">
        <w:rPr>
          <w:lang w:val="es-419"/>
        </w:rPr>
        <w:t>os controles en la OMPI, que servirá de apoyo a la declaración anual de la Organización sobre el control interno.</w:t>
      </w:r>
      <w:r w:rsidR="00837E91" w:rsidRPr="00621156">
        <w:rPr>
          <w:lang w:val="es-419"/>
        </w:rPr>
        <w:t xml:space="preserve"> </w:t>
      </w:r>
      <w:r w:rsidRPr="00621156">
        <w:rPr>
          <w:lang w:val="es-419"/>
        </w:rPr>
        <w:t xml:space="preserve">La Comisión observó que el marco del dictamen de la DSI se basa en las prácticas de otras organizaciones de </w:t>
      </w:r>
      <w:r w:rsidR="0059207C" w:rsidRPr="00621156">
        <w:rPr>
          <w:lang w:val="es-419"/>
        </w:rPr>
        <w:t>las Naciones Unidas</w:t>
      </w:r>
      <w:r w:rsidRPr="00621156">
        <w:rPr>
          <w:lang w:val="es-419"/>
        </w:rPr>
        <w:t xml:space="preserve"> y se inspira en las Normas Globales de Auditoría Interna del Instituto de Auditores Internos.</w:t>
      </w:r>
      <w:r w:rsidR="00837E91" w:rsidRPr="00621156">
        <w:rPr>
          <w:lang w:val="es-419"/>
        </w:rPr>
        <w:t xml:space="preserve"> </w:t>
      </w:r>
      <w:r w:rsidRPr="00621156">
        <w:rPr>
          <w:lang w:val="es-419"/>
        </w:rPr>
        <w:t>La Comisión examinó además la necesidad de que el dictamen de la DSI se ajuste a la opinión sobre la declaración de control interno proporcionada por el director general.</w:t>
      </w:r>
      <w:r w:rsidR="00837E91" w:rsidRPr="00621156">
        <w:rPr>
          <w:lang w:val="es-419"/>
        </w:rPr>
        <w:t xml:space="preserve"> </w:t>
      </w:r>
      <w:r w:rsidRPr="00621156">
        <w:rPr>
          <w:lang w:val="es-419"/>
        </w:rPr>
        <w:t>La Comisión acogió con satisfacción la preparación del dictamen de la DSI para 2025, que constituye la culminación de los debates mantenidos por la Comisión durante muchos años.</w:t>
      </w:r>
    </w:p>
    <w:p w14:paraId="314C2F44" w14:textId="77777777" w:rsidR="008D03C4" w:rsidRPr="00621156" w:rsidRDefault="008D03C4" w:rsidP="00380FA6">
      <w:pPr>
        <w:spacing w:after="220"/>
        <w:ind w:left="567"/>
        <w:rPr>
          <w:i/>
          <w:iCs/>
          <w:lang w:val="es-419"/>
        </w:rPr>
      </w:pPr>
      <w:r w:rsidRPr="00621156">
        <w:rPr>
          <w:i/>
          <w:lang w:val="es-419"/>
        </w:rPr>
        <w:t>Propuestas de políticas y manuales de supervisión interna</w:t>
      </w:r>
    </w:p>
    <w:p w14:paraId="5DF51F8E" w14:textId="77777777" w:rsidR="00837E91" w:rsidRPr="00621156" w:rsidRDefault="008D03C4" w:rsidP="008D03C4">
      <w:pPr>
        <w:numPr>
          <w:ilvl w:val="0"/>
          <w:numId w:val="10"/>
        </w:numPr>
        <w:spacing w:after="220"/>
        <w:rPr>
          <w:lang w:val="es-419"/>
        </w:rPr>
      </w:pPr>
      <w:r w:rsidRPr="00621156">
        <w:rPr>
          <w:lang w:val="es-419"/>
        </w:rPr>
        <w:t>La Comisión examinó: un manual revisado de investigación de la DSI durante su 73.ª sesión; un manual revisado de auditoría interna durante su 74.ª sesión; y una política revisada de auditoría interna durante su 75.ª sesión.</w:t>
      </w:r>
      <w:r w:rsidR="00837E91" w:rsidRPr="00621156">
        <w:rPr>
          <w:lang w:val="es-419"/>
        </w:rPr>
        <w:t xml:space="preserve"> </w:t>
      </w:r>
      <w:r w:rsidRPr="00621156">
        <w:rPr>
          <w:lang w:val="es-419"/>
        </w:rPr>
        <w:t>La Directora de la DSI informó a la Comisión que las revisiones propuestas del manual de auditoría interna y la política de auditoría interna tenían por objeto garantizar que ambos documentos se ajustan a las nuevas Normas Globales de Auditoría Interna de 2024 y a la Carta de Supervisión Interna actualizada.</w:t>
      </w:r>
    </w:p>
    <w:p w14:paraId="58DFD8A4" w14:textId="77777777" w:rsidR="008D03C4" w:rsidRPr="00621156" w:rsidRDefault="008D03C4" w:rsidP="00380FA6">
      <w:pPr>
        <w:spacing w:after="220"/>
        <w:ind w:left="567"/>
        <w:rPr>
          <w:lang w:val="es-419"/>
        </w:rPr>
      </w:pPr>
      <w:r w:rsidRPr="00621156">
        <w:rPr>
          <w:i/>
          <w:lang w:val="es-419"/>
        </w:rPr>
        <w:t>Informes de auditoría interna</w:t>
      </w:r>
    </w:p>
    <w:p w14:paraId="398BFAFD" w14:textId="77777777" w:rsidR="008D03C4" w:rsidRPr="00621156" w:rsidRDefault="008D03C4" w:rsidP="008D03C4">
      <w:pPr>
        <w:numPr>
          <w:ilvl w:val="0"/>
          <w:numId w:val="10"/>
        </w:numPr>
        <w:spacing w:after="220"/>
        <w:rPr>
          <w:lang w:val="es-419"/>
        </w:rPr>
      </w:pPr>
      <w:bookmarkStart w:id="13" w:name="page7"/>
      <w:bookmarkEnd w:id="13"/>
      <w:r w:rsidRPr="00621156">
        <w:rPr>
          <w:lang w:val="es-419"/>
        </w:rPr>
        <w:t>Junto con la DSI y la Secretaría, la Comisión examinó los informes sobre las seis tareas de auditoría interna enumeradas más abajo. Algunos de ellos se publicaron en formato no expurgado en el sitio web de la OMPI, en sintonía con la Política de publicación de informes de la DSI (IOD/PP/2021).</w:t>
      </w:r>
    </w:p>
    <w:p w14:paraId="136468A6" w14:textId="77777777" w:rsidR="008D03C4" w:rsidRPr="00621156" w:rsidRDefault="008D03C4" w:rsidP="00380FA6">
      <w:pPr>
        <w:numPr>
          <w:ilvl w:val="1"/>
          <w:numId w:val="12"/>
        </w:numPr>
        <w:spacing w:after="220"/>
        <w:ind w:left="1134" w:hanging="567"/>
        <w:rPr>
          <w:lang w:val="es-419"/>
        </w:rPr>
      </w:pPr>
      <w:r w:rsidRPr="00621156">
        <w:rPr>
          <w:lang w:val="es-419"/>
        </w:rPr>
        <w:t>Validación del Informe sobre el rendimiento de la OMPI en 2022/23 (WO/PBC/37/8)</w:t>
      </w:r>
    </w:p>
    <w:p w14:paraId="0E0F574A" w14:textId="77777777" w:rsidR="008D03C4" w:rsidRPr="00621156" w:rsidRDefault="008D03C4" w:rsidP="00380FA6">
      <w:pPr>
        <w:numPr>
          <w:ilvl w:val="1"/>
          <w:numId w:val="12"/>
        </w:numPr>
        <w:spacing w:after="220"/>
        <w:ind w:left="1134" w:hanging="567"/>
        <w:rPr>
          <w:lang w:val="es-419"/>
        </w:rPr>
      </w:pPr>
      <w:r w:rsidRPr="00621156">
        <w:rPr>
          <w:lang w:val="es-419"/>
        </w:rPr>
        <w:t>Validación de los datos de las solicitudes de reembolso relativas al seguro médico pagadero tras la separación del servicio (IA 2024-01)</w:t>
      </w:r>
    </w:p>
    <w:p w14:paraId="7D946116" w14:textId="77777777" w:rsidR="008D03C4" w:rsidRPr="00621156" w:rsidRDefault="008D03C4" w:rsidP="00380FA6">
      <w:pPr>
        <w:numPr>
          <w:ilvl w:val="1"/>
          <w:numId w:val="12"/>
        </w:numPr>
        <w:spacing w:after="220"/>
        <w:ind w:left="1134" w:hanging="567"/>
        <w:rPr>
          <w:lang w:val="es-419"/>
        </w:rPr>
      </w:pPr>
      <w:r w:rsidRPr="00621156">
        <w:rPr>
          <w:lang w:val="es-419"/>
        </w:rPr>
        <w:t>Auditoría de la gestión de la ciberseguridad (IA 2024-02)</w:t>
      </w:r>
    </w:p>
    <w:p w14:paraId="405D7377" w14:textId="77777777" w:rsidR="008D03C4" w:rsidRPr="00621156" w:rsidRDefault="008D03C4" w:rsidP="00380FA6">
      <w:pPr>
        <w:numPr>
          <w:ilvl w:val="1"/>
          <w:numId w:val="12"/>
        </w:numPr>
        <w:spacing w:after="220"/>
        <w:ind w:left="1134" w:hanging="567"/>
        <w:rPr>
          <w:lang w:val="es-419"/>
        </w:rPr>
      </w:pPr>
      <w:r w:rsidRPr="00621156">
        <w:rPr>
          <w:lang w:val="es-419"/>
        </w:rPr>
        <w:t>Examen por la DSI del diseño y la eficacia operativa de los controles esenciales de la OMPI (IA 2024-03)</w:t>
      </w:r>
    </w:p>
    <w:p w14:paraId="5C237A6A" w14:textId="77777777" w:rsidR="008D03C4" w:rsidRPr="00621156" w:rsidRDefault="008D03C4" w:rsidP="00380FA6">
      <w:pPr>
        <w:numPr>
          <w:ilvl w:val="1"/>
          <w:numId w:val="12"/>
        </w:numPr>
        <w:spacing w:after="220"/>
        <w:ind w:left="1134" w:hanging="567"/>
        <w:rPr>
          <w:lang w:val="es-419"/>
        </w:rPr>
      </w:pPr>
      <w:r w:rsidRPr="00621156">
        <w:rPr>
          <w:lang w:val="es-419"/>
        </w:rPr>
        <w:t>Auditoría interna de la Oficina de la OMPI en Nigeria (IA 2024-05)</w:t>
      </w:r>
    </w:p>
    <w:p w14:paraId="581C1AB5" w14:textId="77777777" w:rsidR="008D03C4" w:rsidRPr="00621156" w:rsidRDefault="008D03C4" w:rsidP="00380FA6">
      <w:pPr>
        <w:numPr>
          <w:ilvl w:val="1"/>
          <w:numId w:val="12"/>
        </w:numPr>
        <w:spacing w:after="220"/>
        <w:ind w:left="1134" w:hanging="567"/>
        <w:rPr>
          <w:lang w:val="es-419"/>
        </w:rPr>
      </w:pPr>
      <w:r w:rsidRPr="00621156">
        <w:rPr>
          <w:lang w:val="es-419"/>
        </w:rPr>
        <w:t>Auditoría de la División de Traducción del PCT (IA 2024-04)</w:t>
      </w:r>
    </w:p>
    <w:p w14:paraId="3F3CC5B6" w14:textId="77777777" w:rsidR="008D03C4" w:rsidRPr="00621156" w:rsidRDefault="008D03C4" w:rsidP="00380FA6">
      <w:pPr>
        <w:spacing w:after="220"/>
        <w:ind w:left="567"/>
        <w:rPr>
          <w:lang w:val="es-419"/>
        </w:rPr>
      </w:pPr>
      <w:r w:rsidRPr="00621156">
        <w:rPr>
          <w:i/>
          <w:lang w:val="es-419"/>
        </w:rPr>
        <w:t>Informes de evaluación</w:t>
      </w:r>
    </w:p>
    <w:p w14:paraId="6E4CA43D" w14:textId="5386FE4C" w:rsidR="008D03C4" w:rsidRPr="00621156" w:rsidRDefault="008D03C4" w:rsidP="008D03C4">
      <w:pPr>
        <w:numPr>
          <w:ilvl w:val="0"/>
          <w:numId w:val="10"/>
        </w:numPr>
        <w:spacing w:after="220"/>
        <w:rPr>
          <w:lang w:val="es-419"/>
        </w:rPr>
      </w:pPr>
      <w:r w:rsidRPr="00621156">
        <w:rPr>
          <w:lang w:val="es-419"/>
        </w:rPr>
        <w:t>Junto con la DSI y la Secretaría, la Comisión examinó cuatro informes de evaluación, un informe de asesoramiento y seis informes de evaluación previa, según se enumera más abajo.</w:t>
      </w:r>
      <w:r w:rsidR="00837E91" w:rsidRPr="00621156">
        <w:rPr>
          <w:lang w:val="es-419"/>
        </w:rPr>
        <w:t xml:space="preserve"> </w:t>
      </w:r>
      <w:r w:rsidRPr="00621156">
        <w:rPr>
          <w:lang w:val="es-419"/>
        </w:rPr>
        <w:t>Algunos de ellos se publicaron en formato no expurgado en el sitio web de la OMPI, en sintonía con la Política de publicación de informes de la DSI (IOD/PP/2021).</w:t>
      </w:r>
    </w:p>
    <w:p w14:paraId="4854BFD0" w14:textId="77777777" w:rsidR="00837E91" w:rsidRPr="00621156" w:rsidRDefault="008D03C4" w:rsidP="0021004D">
      <w:pPr>
        <w:numPr>
          <w:ilvl w:val="1"/>
          <w:numId w:val="12"/>
        </w:numPr>
        <w:ind w:left="1134" w:hanging="567"/>
        <w:rPr>
          <w:lang w:val="es-419"/>
        </w:rPr>
      </w:pPr>
      <w:r w:rsidRPr="00621156">
        <w:rPr>
          <w:lang w:val="es-419"/>
        </w:rPr>
        <w:t>Segunda parte de la Auditoría y evaluación combinadas de Operaciones del PCT y Apoyo a los Clientes - Verificación de la cultura de servicio al cliente del PCT (EVAL 2022-05)</w:t>
      </w:r>
    </w:p>
    <w:p w14:paraId="0B4825E5" w14:textId="36E3482D" w:rsidR="008D03C4" w:rsidRPr="00621156" w:rsidRDefault="008D03C4" w:rsidP="0021004D">
      <w:pPr>
        <w:numPr>
          <w:ilvl w:val="1"/>
          <w:numId w:val="12"/>
        </w:numPr>
        <w:ind w:left="1134" w:hanging="567"/>
        <w:rPr>
          <w:lang w:val="es-419"/>
        </w:rPr>
      </w:pPr>
      <w:r w:rsidRPr="00621156">
        <w:rPr>
          <w:lang w:val="es-419"/>
        </w:rPr>
        <w:lastRenderedPageBreak/>
        <w:t>Examen de evaluación previa del programa de becas del Sistema de Madrid (EVAL 2023-02)</w:t>
      </w:r>
    </w:p>
    <w:p w14:paraId="43B4510A" w14:textId="77777777" w:rsidR="00837E91" w:rsidRPr="00621156" w:rsidRDefault="008D03C4" w:rsidP="0021004D">
      <w:pPr>
        <w:numPr>
          <w:ilvl w:val="1"/>
          <w:numId w:val="12"/>
        </w:numPr>
        <w:ind w:left="1134" w:hanging="567"/>
        <w:rPr>
          <w:lang w:val="es-419"/>
        </w:rPr>
      </w:pPr>
      <w:r w:rsidRPr="00621156">
        <w:rPr>
          <w:lang w:val="es-419"/>
        </w:rPr>
        <w:t>Evaluación del proyecto de las cestas de Chobe (lecciones extraídas de la aplicación de las iniciativas de la OMPI destinadas a empoderar a las empresarias) (EVAL 2023-02)</w:t>
      </w:r>
    </w:p>
    <w:p w14:paraId="2DE048C8" w14:textId="0D0CEB87" w:rsidR="008D03C4" w:rsidRPr="00621156" w:rsidRDefault="008D03C4" w:rsidP="0021004D">
      <w:pPr>
        <w:numPr>
          <w:ilvl w:val="1"/>
          <w:numId w:val="12"/>
        </w:numPr>
        <w:ind w:left="1134" w:hanging="567"/>
        <w:rPr>
          <w:lang w:val="es-419"/>
        </w:rPr>
      </w:pPr>
      <w:r w:rsidRPr="00621156">
        <w:rPr>
          <w:lang w:val="es-419"/>
        </w:rPr>
        <w:t>Proyecto sobre el fortalecimiento del papel de las mujeres en la innovación y el emprendimiento (EVAL 2023-02)</w:t>
      </w:r>
    </w:p>
    <w:p w14:paraId="1054DDBA" w14:textId="77777777" w:rsidR="008D03C4" w:rsidRPr="00621156" w:rsidRDefault="008D03C4" w:rsidP="0021004D">
      <w:pPr>
        <w:numPr>
          <w:ilvl w:val="1"/>
          <w:numId w:val="12"/>
        </w:numPr>
        <w:ind w:left="1134" w:hanging="567"/>
        <w:rPr>
          <w:lang w:val="es-419"/>
        </w:rPr>
      </w:pPr>
      <w:r w:rsidRPr="00621156">
        <w:rPr>
          <w:lang w:val="es-419"/>
        </w:rPr>
        <w:t>Evaluación del Programa para emprendedoras de Pueblos Indígenas y comunidades locales (Segundo informe) (EVAL 2023-02)</w:t>
      </w:r>
    </w:p>
    <w:p w14:paraId="145FA5A0" w14:textId="77777777" w:rsidR="00837E91" w:rsidRPr="00621156" w:rsidRDefault="008D03C4" w:rsidP="0021004D">
      <w:pPr>
        <w:numPr>
          <w:ilvl w:val="1"/>
          <w:numId w:val="12"/>
        </w:numPr>
        <w:ind w:left="1134" w:hanging="567"/>
        <w:rPr>
          <w:lang w:val="es-419"/>
        </w:rPr>
      </w:pPr>
      <w:r w:rsidRPr="00621156">
        <w:rPr>
          <w:lang w:val="es-419"/>
        </w:rPr>
        <w:t>Examen de evaluación previa del Programa de Instituciones Académicas y Capacitación para Directivos, de la OMPI</w:t>
      </w:r>
      <w:r w:rsidR="00837E91" w:rsidRPr="00621156">
        <w:rPr>
          <w:lang w:val="es-419"/>
        </w:rPr>
        <w:t xml:space="preserve"> </w:t>
      </w:r>
      <w:r w:rsidRPr="00621156">
        <w:rPr>
          <w:lang w:val="es-419"/>
        </w:rPr>
        <w:t>(EVAL 2023-03)</w:t>
      </w:r>
    </w:p>
    <w:p w14:paraId="2B22ED92" w14:textId="2EC0C4B0" w:rsidR="00837E91" w:rsidRPr="00621156" w:rsidRDefault="008D03C4" w:rsidP="0021004D">
      <w:pPr>
        <w:numPr>
          <w:ilvl w:val="1"/>
          <w:numId w:val="12"/>
        </w:numPr>
        <w:ind w:left="1134" w:hanging="567"/>
        <w:rPr>
          <w:lang w:val="es-419"/>
        </w:rPr>
      </w:pPr>
      <w:r w:rsidRPr="00621156">
        <w:rPr>
          <w:lang w:val="es-419"/>
        </w:rPr>
        <w:t xml:space="preserve">Examen de evaluación previa de los programas de becas de la OMPI) </w:t>
      </w:r>
      <w:r w:rsidR="00BA1B0B" w:rsidRPr="00621156">
        <w:rPr>
          <w:lang w:val="es-419"/>
        </w:rPr>
        <w:br/>
      </w:r>
      <w:r w:rsidRPr="00621156">
        <w:rPr>
          <w:lang w:val="es-419"/>
        </w:rPr>
        <w:t>(EVAL 2023-05)</w:t>
      </w:r>
    </w:p>
    <w:p w14:paraId="77422881" w14:textId="77777777" w:rsidR="00837E91" w:rsidRPr="00621156" w:rsidRDefault="008D03C4" w:rsidP="0021004D">
      <w:pPr>
        <w:numPr>
          <w:ilvl w:val="1"/>
          <w:numId w:val="12"/>
        </w:numPr>
        <w:ind w:left="1134" w:hanging="567"/>
        <w:rPr>
          <w:lang w:val="es-419"/>
        </w:rPr>
      </w:pPr>
      <w:r w:rsidRPr="00621156">
        <w:rPr>
          <w:lang w:val="es-419"/>
        </w:rPr>
        <w:t>Examen de evaluación previa de WIPO Connect (EVAL 2024-01)</w:t>
      </w:r>
    </w:p>
    <w:p w14:paraId="0EA1A197" w14:textId="77777777" w:rsidR="00837E91" w:rsidRPr="00621156" w:rsidRDefault="008D03C4" w:rsidP="0021004D">
      <w:pPr>
        <w:numPr>
          <w:ilvl w:val="1"/>
          <w:numId w:val="12"/>
        </w:numPr>
        <w:ind w:left="1134" w:hanging="567"/>
        <w:rPr>
          <w:lang w:val="es-419"/>
        </w:rPr>
      </w:pPr>
      <w:r w:rsidRPr="00621156">
        <w:rPr>
          <w:lang w:val="es-419"/>
        </w:rPr>
        <w:t>Examen de evaluación previa de la Sección de enseñanza a distancia sobre PI de la Academia de la OMPI (EVAL 2024-04)</w:t>
      </w:r>
    </w:p>
    <w:p w14:paraId="4BEAC481" w14:textId="3230A11D" w:rsidR="008D03C4" w:rsidRPr="00621156" w:rsidRDefault="008D03C4" w:rsidP="0021004D">
      <w:pPr>
        <w:numPr>
          <w:ilvl w:val="1"/>
          <w:numId w:val="12"/>
        </w:numPr>
        <w:ind w:left="1134" w:hanging="567"/>
        <w:rPr>
          <w:lang w:val="es-419"/>
        </w:rPr>
      </w:pPr>
      <w:r w:rsidRPr="00621156">
        <w:rPr>
          <w:lang w:val="es-419"/>
        </w:rPr>
        <w:t>Informe de asesoramiento final acerca del proyecto de gestión de la colaboración y de los contenidos institucionales (EVAL 2024-06)</w:t>
      </w:r>
    </w:p>
    <w:p w14:paraId="6932885A" w14:textId="67504006" w:rsidR="008D03C4" w:rsidRPr="00621156" w:rsidRDefault="008D03C4" w:rsidP="00245222">
      <w:pPr>
        <w:numPr>
          <w:ilvl w:val="1"/>
          <w:numId w:val="13"/>
        </w:numPr>
        <w:spacing w:after="220"/>
        <w:ind w:left="1134" w:hanging="567"/>
        <w:rPr>
          <w:lang w:val="es-419"/>
        </w:rPr>
      </w:pPr>
      <w:r w:rsidRPr="00621156">
        <w:rPr>
          <w:lang w:val="es-419"/>
        </w:rPr>
        <w:t>Examen de evaluación previa de la División para América Latina y el Caribe (EVAL 2024-07)</w:t>
      </w:r>
    </w:p>
    <w:p w14:paraId="52A5C3EE" w14:textId="213AFD4A" w:rsidR="008D03C4" w:rsidRPr="00621156" w:rsidRDefault="008D03C4" w:rsidP="008D03C4">
      <w:pPr>
        <w:numPr>
          <w:ilvl w:val="0"/>
          <w:numId w:val="10"/>
        </w:numPr>
        <w:spacing w:after="220"/>
        <w:rPr>
          <w:lang w:val="es-419"/>
        </w:rPr>
      </w:pPr>
      <w:r w:rsidRPr="00621156">
        <w:rPr>
          <w:lang w:val="es-419"/>
        </w:rPr>
        <w:t>Durante su 74.ª sesión, la Comisión tomó nota de que las evaluaciones previas fueron apreciadas por los sectores interesados y contribuyeron a que se entendieran las actividades que se examinaron, además de dar lugar a recomendaciones de mejora que fueron aceptadas por los sectores.</w:t>
      </w:r>
      <w:r w:rsidR="00837E91" w:rsidRPr="00621156">
        <w:rPr>
          <w:lang w:val="es-419"/>
        </w:rPr>
        <w:t xml:space="preserve"> </w:t>
      </w:r>
      <w:r w:rsidRPr="00621156">
        <w:rPr>
          <w:lang w:val="es-419"/>
        </w:rPr>
        <w:t>También se informó a la Comisión que los exámenes tenían por objeto determinar la posibilidad de evaluar determinados programas y, por lo tanto, no sustituían a las evaluaciones.</w:t>
      </w:r>
      <w:r w:rsidR="00837E91" w:rsidRPr="00621156">
        <w:rPr>
          <w:lang w:val="es-419"/>
        </w:rPr>
        <w:t xml:space="preserve"> </w:t>
      </w:r>
      <w:r w:rsidRPr="00621156">
        <w:rPr>
          <w:lang w:val="es-419"/>
        </w:rPr>
        <w:t>La Comisión señaló además que, en el futuro, la DSI debería realizar evaluaciones completas de importantes líneas de trabajo en el marco de la Organización.</w:t>
      </w:r>
    </w:p>
    <w:p w14:paraId="70A71391" w14:textId="77777777" w:rsidR="008D03C4" w:rsidRPr="00621156" w:rsidRDefault="008D03C4" w:rsidP="00380FA6">
      <w:pPr>
        <w:spacing w:after="220"/>
        <w:ind w:left="567"/>
        <w:rPr>
          <w:lang w:val="es-419"/>
        </w:rPr>
      </w:pPr>
      <w:r w:rsidRPr="00621156">
        <w:rPr>
          <w:i/>
          <w:lang w:val="es-419"/>
        </w:rPr>
        <w:t>Investigaciones</w:t>
      </w:r>
    </w:p>
    <w:p w14:paraId="142A8E1E" w14:textId="1B50B3BC" w:rsidR="008D03C4" w:rsidRPr="00621156" w:rsidRDefault="008D03C4" w:rsidP="008D03C4">
      <w:pPr>
        <w:numPr>
          <w:ilvl w:val="0"/>
          <w:numId w:val="10"/>
        </w:numPr>
        <w:spacing w:after="220"/>
        <w:rPr>
          <w:lang w:val="es-419"/>
        </w:rPr>
      </w:pPr>
      <w:r w:rsidRPr="00621156">
        <w:rPr>
          <w:lang w:val="es-419"/>
        </w:rPr>
        <w:t>De conformidad con la Carta de Supervisión Interna, la Comisión recibió información, en cada sesión, sobre la situación de los casos de investigación y la evolución en el volumen de casos, y se le presentó un desglose de las demandas recibidas y las demandas fundadas, por categoría de falta de conducta.</w:t>
      </w:r>
      <w:r w:rsidR="00837E91" w:rsidRPr="00621156">
        <w:rPr>
          <w:lang w:val="es-419"/>
        </w:rPr>
        <w:t xml:space="preserve"> </w:t>
      </w:r>
      <w:r w:rsidRPr="00621156">
        <w:rPr>
          <w:lang w:val="es-419"/>
        </w:rPr>
        <w:t>En todos los casos que entrañaban un posible conflicto de intereses con respecto a la DSI, la Comisión volvió a examinar cada caso en detalle y prestó asesoramiento en consecuencia.</w:t>
      </w:r>
      <w:r w:rsidR="00837E91" w:rsidRPr="00621156">
        <w:rPr>
          <w:lang w:val="es-419"/>
        </w:rPr>
        <w:t xml:space="preserve"> </w:t>
      </w:r>
      <w:r w:rsidRPr="00621156">
        <w:rPr>
          <w:lang w:val="es-419"/>
        </w:rPr>
        <w:t>Asimismo, la Comisión examinó con la consejera jurídica, en su 76.ª sesión, los procedimientos destinados a tratar las denuncias repetidas, temerarias o maliciosas que podrían imponer una pesada carga administrativa a la Organización.</w:t>
      </w:r>
    </w:p>
    <w:p w14:paraId="7849502D" w14:textId="77777777" w:rsidR="00837E91" w:rsidRPr="00621156" w:rsidRDefault="008D03C4" w:rsidP="008D03C4">
      <w:pPr>
        <w:numPr>
          <w:ilvl w:val="0"/>
          <w:numId w:val="10"/>
        </w:numPr>
        <w:spacing w:after="220"/>
        <w:rPr>
          <w:lang w:val="es-419"/>
        </w:rPr>
      </w:pPr>
      <w:r w:rsidRPr="00621156">
        <w:rPr>
          <w:lang w:val="es-419"/>
        </w:rPr>
        <w:t>La Comisión tomó nota, durante su 73.ª sesión, de los procedimientos de trabajo revisados para tramitar las denuncias recibidas, que incluyen un proceso de selección inicial para determinar si podían remitirse a otras entidades del sistema interno de justicia (por ejemplo, Oficina de Ética Profesional, Oficina de Mediación, Recursos Humanos, etc.) para que tomen las medidas oportunas.</w:t>
      </w:r>
      <w:r w:rsidR="00837E91" w:rsidRPr="00621156">
        <w:rPr>
          <w:lang w:val="es-419"/>
        </w:rPr>
        <w:t xml:space="preserve"> </w:t>
      </w:r>
      <w:r w:rsidRPr="00621156">
        <w:rPr>
          <w:lang w:val="es-419"/>
        </w:rPr>
        <w:t>En la 76.ª sesión de la Comisión, la DSI informó que al 21 de marzo de 2025 había ocho asuntos objeto de investigación, lo que incluye dos investigaciones en curso, cuatro asuntos en etapa de investigación preliminar y dos asuntos en suspenso.</w:t>
      </w:r>
    </w:p>
    <w:p w14:paraId="6FCCD207" w14:textId="77777777" w:rsidR="008D03C4" w:rsidRPr="00621156" w:rsidRDefault="008D03C4" w:rsidP="00380FA6">
      <w:pPr>
        <w:spacing w:after="220"/>
        <w:ind w:left="567"/>
        <w:rPr>
          <w:i/>
          <w:iCs/>
          <w:lang w:val="es-419"/>
        </w:rPr>
      </w:pPr>
      <w:r w:rsidRPr="00621156">
        <w:rPr>
          <w:i/>
          <w:lang w:val="es-419"/>
        </w:rPr>
        <w:t>Sesiones privadas</w:t>
      </w:r>
    </w:p>
    <w:p w14:paraId="2D43849F" w14:textId="77777777" w:rsidR="008D03C4" w:rsidRPr="00621156" w:rsidRDefault="008D03C4" w:rsidP="008D03C4">
      <w:pPr>
        <w:numPr>
          <w:ilvl w:val="0"/>
          <w:numId w:val="10"/>
        </w:numPr>
        <w:spacing w:after="220"/>
        <w:rPr>
          <w:lang w:val="es-419"/>
        </w:rPr>
      </w:pPr>
      <w:r w:rsidRPr="00621156">
        <w:rPr>
          <w:lang w:val="es-419"/>
        </w:rPr>
        <w:t>De conformidad con su mandato, la Comisión se reunió en sesiones privadas con la directora de la DSI.</w:t>
      </w:r>
    </w:p>
    <w:p w14:paraId="394126A4" w14:textId="77777777" w:rsidR="008D03C4" w:rsidRPr="00621156" w:rsidRDefault="008D03C4" w:rsidP="0021004D">
      <w:pPr>
        <w:pStyle w:val="Heading2"/>
        <w:ind w:left="0" w:firstLine="0"/>
        <w:rPr>
          <w:u w:val="single"/>
          <w:lang w:val="es-419"/>
        </w:rPr>
      </w:pPr>
      <w:bookmarkStart w:id="14" w:name="_Toc199343283"/>
      <w:r w:rsidRPr="00621156">
        <w:rPr>
          <w:u w:val="single"/>
          <w:lang w:val="es-419"/>
        </w:rPr>
        <w:lastRenderedPageBreak/>
        <w:t>Auditoría externa</w:t>
      </w:r>
      <w:bookmarkEnd w:id="14"/>
    </w:p>
    <w:p w14:paraId="6EB636EB" w14:textId="77777777" w:rsidR="008D03C4" w:rsidRPr="00621156" w:rsidRDefault="008D03C4" w:rsidP="00380FA6">
      <w:pPr>
        <w:spacing w:after="220"/>
        <w:ind w:left="567"/>
        <w:rPr>
          <w:lang w:val="es-419"/>
        </w:rPr>
      </w:pPr>
      <w:r w:rsidRPr="00621156">
        <w:rPr>
          <w:i/>
          <w:lang w:val="es-419"/>
        </w:rPr>
        <w:t>Reuniones con el auditor externo</w:t>
      </w:r>
    </w:p>
    <w:p w14:paraId="7FDAB8C7" w14:textId="622EC672" w:rsidR="00837E91" w:rsidRPr="00621156" w:rsidRDefault="008D03C4" w:rsidP="008D03C4">
      <w:pPr>
        <w:numPr>
          <w:ilvl w:val="0"/>
          <w:numId w:val="10"/>
        </w:numPr>
        <w:spacing w:after="220"/>
        <w:rPr>
          <w:lang w:val="es-419"/>
        </w:rPr>
      </w:pPr>
      <w:r w:rsidRPr="00621156">
        <w:rPr>
          <w:lang w:val="es-419"/>
        </w:rPr>
        <w:t xml:space="preserve">En su 73.ª sesión, la Comisión examinó con el auditor externo entrante, la Junta de Auditoría de </w:t>
      </w:r>
      <w:r w:rsidR="0021004D" w:rsidRPr="00621156">
        <w:rPr>
          <w:lang w:val="es-419"/>
        </w:rPr>
        <w:t xml:space="preserve">la República de </w:t>
      </w:r>
      <w:r w:rsidRPr="00621156">
        <w:rPr>
          <w:lang w:val="es-419"/>
        </w:rPr>
        <w:t>Indonesia, sus actividades de colaboración y aportó información para la planificación de la auditoría.</w:t>
      </w:r>
    </w:p>
    <w:p w14:paraId="711F977B" w14:textId="6D35F829" w:rsidR="008D03C4" w:rsidRPr="00621156" w:rsidRDefault="008D03C4" w:rsidP="008D03C4">
      <w:pPr>
        <w:numPr>
          <w:ilvl w:val="0"/>
          <w:numId w:val="10"/>
        </w:numPr>
        <w:spacing w:after="220"/>
        <w:rPr>
          <w:lang w:val="es-419"/>
        </w:rPr>
      </w:pPr>
      <w:r w:rsidRPr="00621156">
        <w:rPr>
          <w:lang w:val="es-419"/>
        </w:rPr>
        <w:t>Durante la 73.ª sesión, la Comisión se reunión con los representantes del auditor externo saliente, la Oficina Nacional de Auditoría del Reino Unido.</w:t>
      </w:r>
      <w:r w:rsidR="00837E91" w:rsidRPr="00621156">
        <w:rPr>
          <w:lang w:val="es-419"/>
        </w:rPr>
        <w:t xml:space="preserve"> </w:t>
      </w:r>
      <w:r w:rsidRPr="00621156">
        <w:rPr>
          <w:lang w:val="es-419"/>
        </w:rPr>
        <w:t>Esos representantes presentaron a la Comisión, en presencia de la Dirección, el informe de auditoría y un informe extenso sobre la auditoría de los estados financieros de la OMPI en 2023.</w:t>
      </w:r>
      <w:r w:rsidR="00837E91" w:rsidRPr="00621156">
        <w:rPr>
          <w:lang w:val="es-419"/>
        </w:rPr>
        <w:t xml:space="preserve"> </w:t>
      </w:r>
      <w:r w:rsidRPr="00621156">
        <w:rPr>
          <w:lang w:val="es-419"/>
        </w:rPr>
        <w:t>Los representantes también destacaron ante la Comisión las conclusiones clave de la auditoría, según se describe en su Informe de finalización de la auditoría.</w:t>
      </w:r>
      <w:r w:rsidR="00837E91" w:rsidRPr="00621156">
        <w:rPr>
          <w:lang w:val="es-419"/>
        </w:rPr>
        <w:t xml:space="preserve"> </w:t>
      </w:r>
      <w:r w:rsidRPr="00621156">
        <w:rPr>
          <w:lang w:val="es-419"/>
        </w:rPr>
        <w:t>La Comisión examinó las hipótesis actuariales relativas al seguro médico pagadero tras la separación del servicio y otras cuestiones pertinentes.</w:t>
      </w:r>
      <w:r w:rsidR="00837E91" w:rsidRPr="00621156">
        <w:rPr>
          <w:lang w:val="es-419"/>
        </w:rPr>
        <w:t xml:space="preserve"> </w:t>
      </w:r>
      <w:r w:rsidRPr="00621156">
        <w:rPr>
          <w:lang w:val="es-419"/>
        </w:rPr>
        <w:t xml:space="preserve">La Comisión también tomó nota </w:t>
      </w:r>
      <w:r w:rsidR="0021004D" w:rsidRPr="00621156">
        <w:rPr>
          <w:lang w:val="es-419"/>
        </w:rPr>
        <w:t xml:space="preserve">del dictamen </w:t>
      </w:r>
      <w:r w:rsidRPr="00621156">
        <w:rPr>
          <w:lang w:val="es-419"/>
        </w:rPr>
        <w:t>sin reservas relativo a la presentación de los estados financieros y la regularidad de los ingresos y gastos de la OMPI.</w:t>
      </w:r>
      <w:r w:rsidR="00837E91" w:rsidRPr="00621156">
        <w:rPr>
          <w:lang w:val="es-419"/>
        </w:rPr>
        <w:t xml:space="preserve"> </w:t>
      </w:r>
      <w:r w:rsidRPr="00621156">
        <w:rPr>
          <w:lang w:val="es-419"/>
        </w:rPr>
        <w:t>La Comisión señaló asimismo que el auditor externo reconoció varias oportunidades de mejora y no formuló nuevas recomendaciones.</w:t>
      </w:r>
    </w:p>
    <w:p w14:paraId="41E9BA6D" w14:textId="54ABC8CB" w:rsidR="00837E91" w:rsidRPr="00621156" w:rsidRDefault="008D03C4" w:rsidP="008D03C4">
      <w:pPr>
        <w:numPr>
          <w:ilvl w:val="0"/>
          <w:numId w:val="10"/>
        </w:numPr>
        <w:spacing w:after="220"/>
        <w:rPr>
          <w:lang w:val="es-419"/>
        </w:rPr>
      </w:pPr>
      <w:r w:rsidRPr="00621156">
        <w:rPr>
          <w:lang w:val="es-419"/>
        </w:rPr>
        <w:t>La Comisión se reunió con los representantes del nuevo auditor externo, la Junta de Auditoría de la República de Indonesia, durante sus sesiones 74.ª, 75.ª y 76.ª.</w:t>
      </w:r>
      <w:r w:rsidR="00837E91" w:rsidRPr="00621156">
        <w:rPr>
          <w:lang w:val="es-419"/>
        </w:rPr>
        <w:t xml:space="preserve"> </w:t>
      </w:r>
      <w:r w:rsidRPr="00621156">
        <w:rPr>
          <w:lang w:val="es-419"/>
        </w:rPr>
        <w:t>Durante la 74.ª sesión, el auditor externo presentó el Memorando de planificación de auditoría para la auditoría de los estados financieros de 2024 de la OMPI.</w:t>
      </w:r>
      <w:r w:rsidR="00837E91" w:rsidRPr="00621156">
        <w:rPr>
          <w:lang w:val="es-419"/>
        </w:rPr>
        <w:t xml:space="preserve"> </w:t>
      </w:r>
      <w:r w:rsidRPr="00621156">
        <w:rPr>
          <w:lang w:val="es-419"/>
        </w:rPr>
        <w:t>Dicho Memorando incluye información detallada sobre los procesos de realización de las auditorías financieras y de rendimiento planificadas.</w:t>
      </w:r>
      <w:r w:rsidR="00837E91" w:rsidRPr="00621156">
        <w:rPr>
          <w:lang w:val="es-419"/>
        </w:rPr>
        <w:t xml:space="preserve"> </w:t>
      </w:r>
      <w:r w:rsidRPr="00621156">
        <w:rPr>
          <w:lang w:val="es-419"/>
        </w:rPr>
        <w:t>La Comisión brindó información sobre aspectos</w:t>
      </w:r>
      <w:r w:rsidR="00DB041F" w:rsidRPr="00621156">
        <w:rPr>
          <w:lang w:val="es-419"/>
        </w:rPr>
        <w:t xml:space="preserve"> </w:t>
      </w:r>
      <w:r w:rsidRPr="00621156">
        <w:rPr>
          <w:lang w:val="es-419"/>
        </w:rPr>
        <w:t>cubiertos por el Memorando de planificación de auditoría, entre otras cosas, sobre importancia relativa y alcance de las auditorías.</w:t>
      </w:r>
      <w:r w:rsidR="00837E91" w:rsidRPr="00621156">
        <w:rPr>
          <w:lang w:val="es-419"/>
        </w:rPr>
        <w:t xml:space="preserve"> </w:t>
      </w:r>
      <w:r w:rsidRPr="00621156">
        <w:rPr>
          <w:lang w:val="es-419"/>
        </w:rPr>
        <w:t>La Comisión también se interesó por el proceso de traspaso y relevo del auditor anterior, y el nuevo auditor externo expresó satisfacción por los pormenores examinados con el auditor externo saliente, incluido el seguimiento de las recomendaciones pendientes.</w:t>
      </w:r>
    </w:p>
    <w:p w14:paraId="4EC898F0" w14:textId="51214EDE" w:rsidR="008D03C4" w:rsidRPr="00621156" w:rsidRDefault="008D03C4" w:rsidP="008D03C4">
      <w:pPr>
        <w:numPr>
          <w:ilvl w:val="0"/>
          <w:numId w:val="10"/>
        </w:numPr>
        <w:spacing w:after="220"/>
        <w:rPr>
          <w:lang w:val="es-419"/>
        </w:rPr>
      </w:pPr>
      <w:r w:rsidRPr="00621156">
        <w:rPr>
          <w:lang w:val="es-419"/>
        </w:rPr>
        <w:t>Durante la 75.ª sesión de la Comisión, el auditor externo facilitó información actualizada sobre la situación de las disposiciones relativa a la auditoría externa y de los planes para el próximo año.</w:t>
      </w:r>
      <w:r w:rsidR="00837E91" w:rsidRPr="00621156">
        <w:rPr>
          <w:lang w:val="es-419"/>
        </w:rPr>
        <w:t xml:space="preserve"> </w:t>
      </w:r>
      <w:r w:rsidRPr="00621156">
        <w:rPr>
          <w:lang w:val="es-419"/>
        </w:rPr>
        <w:t>El auditor externo también indicó que el auditor externo anterior formuló 41 recomendaciones de auditoría, de las cuales 35 fueron implementadas y seis siguen en curso.</w:t>
      </w:r>
      <w:r w:rsidR="00837E91" w:rsidRPr="00621156">
        <w:rPr>
          <w:lang w:val="es-419"/>
        </w:rPr>
        <w:t xml:space="preserve"> </w:t>
      </w:r>
      <w:r w:rsidRPr="00621156">
        <w:rPr>
          <w:lang w:val="es-419"/>
        </w:rPr>
        <w:t>El auditor y la Comisión también examinaron los plazos, así como los ámbitos clave de la auditoría.</w:t>
      </w:r>
      <w:r w:rsidR="00837E91" w:rsidRPr="00621156">
        <w:rPr>
          <w:lang w:val="es-419"/>
        </w:rPr>
        <w:t xml:space="preserve"> </w:t>
      </w:r>
      <w:r w:rsidRPr="00621156">
        <w:rPr>
          <w:lang w:val="es-419"/>
        </w:rPr>
        <w:t>La Comisión destacó la importancia de varios ámbitos de auditoría, entre otros, los de la responsabilidad por el pasivo relativo al seguro médico pagadero tras la separación del servicio, las inversiones y las auditorías del rendimiento y el dictamen de la conformidad del auditor externo.</w:t>
      </w:r>
    </w:p>
    <w:p w14:paraId="40F7BDDE" w14:textId="77777777" w:rsidR="00837E91" w:rsidRPr="00621156" w:rsidRDefault="008D03C4" w:rsidP="008D03C4">
      <w:pPr>
        <w:numPr>
          <w:ilvl w:val="0"/>
          <w:numId w:val="10"/>
        </w:numPr>
        <w:spacing w:after="220"/>
        <w:rPr>
          <w:lang w:val="es-419"/>
        </w:rPr>
      </w:pPr>
      <w:r w:rsidRPr="00621156">
        <w:rPr>
          <w:lang w:val="es-419"/>
        </w:rPr>
        <w:t>En su 76.ª sesión, la Comisión examinó la información actualizada proporcionada por el auditor externo sobre la situación de las auditorías financieras y de rendimiento correspondientes a 2024.</w:t>
      </w:r>
      <w:r w:rsidR="00837E91" w:rsidRPr="00621156">
        <w:rPr>
          <w:lang w:val="es-419"/>
        </w:rPr>
        <w:t xml:space="preserve"> </w:t>
      </w:r>
      <w:r w:rsidRPr="00621156">
        <w:rPr>
          <w:lang w:val="es-419"/>
        </w:rPr>
        <w:t>La información actualizada indicó que la auditoría financiera abarcó varios ámbitos, entre ellos, revisiones del sistema de PRI, la reelaboración de los estados financieros no auditados de 2024, el examen de las declaraciones de divulgación, la puesta a prueba de los controles financieros y de TI, el seguimiento de las recomendaciones del año anterior y el cumplimiento de las IPSAS.</w:t>
      </w:r>
      <w:r w:rsidR="00837E91" w:rsidRPr="00621156">
        <w:rPr>
          <w:lang w:val="es-419"/>
        </w:rPr>
        <w:t xml:space="preserve"> </w:t>
      </w:r>
      <w:r w:rsidRPr="00621156">
        <w:rPr>
          <w:lang w:val="es-419"/>
        </w:rPr>
        <w:t>También indicó que el trabajo de campo para la realización de la auditoría de rendimiento finalizó el 14 de marzo de 2025, evaluando la eficacia de la gestión de los programas de la Organización y abarcando cuatro divisiones de la OMPI.</w:t>
      </w:r>
      <w:r w:rsidR="00837E91" w:rsidRPr="00621156">
        <w:rPr>
          <w:lang w:val="es-419"/>
        </w:rPr>
        <w:t xml:space="preserve"> </w:t>
      </w:r>
      <w:r w:rsidRPr="00621156">
        <w:rPr>
          <w:lang w:val="es-419"/>
        </w:rPr>
        <w:t>La Comisión examinó el enfoque y el alcance de la auditoría financiera, las normas de auditoría, los plazos para la finalización del informe de auditoría y las conclusiones y recomendaciones preliminares de la auditoría.</w:t>
      </w:r>
      <w:r w:rsidR="00837E91" w:rsidRPr="00621156">
        <w:rPr>
          <w:lang w:val="es-419"/>
        </w:rPr>
        <w:t xml:space="preserve"> </w:t>
      </w:r>
      <w:r w:rsidRPr="00621156">
        <w:rPr>
          <w:lang w:val="es-419"/>
        </w:rPr>
        <w:t>El auditor externo también proporcionó información actualizada sobre el seguimiento que está realizando de las recomendaciones de auditorías anteriores y el estado de aplicación de dichas recomendaciones.</w:t>
      </w:r>
    </w:p>
    <w:p w14:paraId="156DCBCC" w14:textId="77777777" w:rsidR="008D03C4" w:rsidRPr="00621156" w:rsidRDefault="008D03C4" w:rsidP="00380FA6">
      <w:pPr>
        <w:spacing w:after="220"/>
        <w:ind w:left="567"/>
        <w:rPr>
          <w:i/>
          <w:iCs/>
          <w:lang w:val="es-419"/>
        </w:rPr>
      </w:pPr>
      <w:r w:rsidRPr="00621156">
        <w:rPr>
          <w:i/>
          <w:lang w:val="es-419"/>
        </w:rPr>
        <w:lastRenderedPageBreak/>
        <w:t>Sesiones privadas</w:t>
      </w:r>
    </w:p>
    <w:p w14:paraId="4137919B" w14:textId="77777777" w:rsidR="008D03C4" w:rsidRPr="00621156" w:rsidRDefault="008D03C4" w:rsidP="008D03C4">
      <w:pPr>
        <w:numPr>
          <w:ilvl w:val="0"/>
          <w:numId w:val="10"/>
        </w:numPr>
        <w:spacing w:after="220"/>
        <w:rPr>
          <w:lang w:val="es-419"/>
        </w:rPr>
      </w:pPr>
      <w:r w:rsidRPr="00621156">
        <w:rPr>
          <w:lang w:val="es-419"/>
        </w:rPr>
        <w:t>De conformidad con su mandato, la Comisión se reunió en sesiones privadas con el auditor externo.</w:t>
      </w:r>
    </w:p>
    <w:p w14:paraId="094F4400" w14:textId="77777777" w:rsidR="008D03C4" w:rsidRPr="00621156" w:rsidRDefault="008D03C4" w:rsidP="002735E6">
      <w:pPr>
        <w:pStyle w:val="Heading2"/>
        <w:keepNext w:val="0"/>
        <w:ind w:left="0" w:firstLine="0"/>
        <w:rPr>
          <w:u w:val="single"/>
          <w:lang w:val="es-419"/>
        </w:rPr>
      </w:pPr>
      <w:bookmarkStart w:id="15" w:name="_Toc199343284"/>
      <w:r w:rsidRPr="00621156">
        <w:rPr>
          <w:u w:val="single"/>
          <w:lang w:val="es-419"/>
        </w:rPr>
        <w:t>Informes financieros</w:t>
      </w:r>
      <w:bookmarkEnd w:id="15"/>
    </w:p>
    <w:p w14:paraId="6359927F" w14:textId="77777777" w:rsidR="008D03C4" w:rsidRPr="00621156" w:rsidRDefault="008D03C4" w:rsidP="008D03C4">
      <w:pPr>
        <w:numPr>
          <w:ilvl w:val="0"/>
          <w:numId w:val="20"/>
        </w:numPr>
        <w:spacing w:after="220"/>
        <w:rPr>
          <w:lang w:val="es-419"/>
        </w:rPr>
      </w:pPr>
      <w:r w:rsidRPr="00621156">
        <w:rPr>
          <w:i/>
          <w:lang w:val="es-419"/>
        </w:rPr>
        <w:t>Estados financieros de la OMPI</w:t>
      </w:r>
    </w:p>
    <w:p w14:paraId="08EE2E8A" w14:textId="65293A36" w:rsidR="00837E91" w:rsidRPr="00621156" w:rsidRDefault="008D03C4" w:rsidP="008D03C4">
      <w:pPr>
        <w:numPr>
          <w:ilvl w:val="0"/>
          <w:numId w:val="10"/>
        </w:numPr>
        <w:spacing w:after="220"/>
        <w:rPr>
          <w:lang w:val="es-419"/>
        </w:rPr>
      </w:pPr>
      <w:r w:rsidRPr="00621156">
        <w:rPr>
          <w:lang w:val="es-419"/>
        </w:rPr>
        <w:t>La Comisión examinó, durante su 76.ª sesión, el proyecto de informe financiero y los estados financieros correspondientes al año que finalizó el 31 de diciembre de 2024.</w:t>
      </w:r>
      <w:r w:rsidR="00837E91" w:rsidRPr="00621156">
        <w:rPr>
          <w:lang w:val="es-419"/>
        </w:rPr>
        <w:t xml:space="preserve"> </w:t>
      </w:r>
      <w:r w:rsidRPr="00621156">
        <w:rPr>
          <w:lang w:val="es-419"/>
        </w:rPr>
        <w:t xml:space="preserve">La </w:t>
      </w:r>
      <w:r w:rsidR="0021004D" w:rsidRPr="00621156">
        <w:rPr>
          <w:lang w:val="es-419"/>
        </w:rPr>
        <w:t xml:space="preserve">Organización </w:t>
      </w:r>
      <w:r w:rsidRPr="00621156">
        <w:rPr>
          <w:lang w:val="es-419"/>
        </w:rPr>
        <w:t>informó acerca de un superávit de 140 millones de francos suizos, lo que incluye ganancias por inversiones que ascienden a 74 millones de francos suizos.</w:t>
      </w:r>
      <w:r w:rsidR="00837E91" w:rsidRPr="00621156">
        <w:rPr>
          <w:lang w:val="es-419"/>
        </w:rPr>
        <w:t xml:space="preserve"> </w:t>
      </w:r>
      <w:r w:rsidRPr="00621156">
        <w:rPr>
          <w:lang w:val="es-419"/>
        </w:rPr>
        <w:t>El total de ingresos ascendió a 497 millones de francos suizos y el total de gastos a 430 millones de francos suizos, lo que supone un superávit de explotación de 66 millones de francos suizos.</w:t>
      </w:r>
      <w:r w:rsidR="00837E91" w:rsidRPr="00621156">
        <w:rPr>
          <w:lang w:val="es-419"/>
        </w:rPr>
        <w:t xml:space="preserve"> </w:t>
      </w:r>
      <w:r w:rsidRPr="00621156">
        <w:rPr>
          <w:lang w:val="es-419"/>
        </w:rPr>
        <w:t>También aumentó el valor de mercado de las carteras de inversión de la OMPI, alcanzando la cartera principal los 931 millones de francos suizos y la cartera estratégica los 274 millones de francos suizos.</w:t>
      </w:r>
    </w:p>
    <w:p w14:paraId="47F79871" w14:textId="528FF39D" w:rsidR="008D03C4" w:rsidRPr="00621156" w:rsidRDefault="008D03C4" w:rsidP="008D03C4">
      <w:pPr>
        <w:numPr>
          <w:ilvl w:val="0"/>
          <w:numId w:val="10"/>
        </w:numPr>
        <w:spacing w:after="220"/>
        <w:rPr>
          <w:lang w:val="es-419"/>
        </w:rPr>
      </w:pPr>
      <w:r w:rsidRPr="00621156">
        <w:rPr>
          <w:lang w:val="es-419"/>
        </w:rPr>
        <w:t>La Comisión formuló observaciones sobre la valoración de las inversiones, la estimación del pasivo relativo al seguro médico pagadero tras la separación del servicio y la mejora de las notas de los estados financieros.</w:t>
      </w:r>
      <w:r w:rsidR="00837E91" w:rsidRPr="00621156">
        <w:rPr>
          <w:lang w:val="es-419"/>
        </w:rPr>
        <w:t xml:space="preserve"> </w:t>
      </w:r>
      <w:r w:rsidRPr="00621156">
        <w:rPr>
          <w:lang w:val="es-419"/>
        </w:rPr>
        <w:t>La Comisión examinó con el actuario de la OMPI las hipótesis de base relativas al seguro médico pagadero tras la separación del servicio y recibió las aclaraciones solicitadas.</w:t>
      </w:r>
      <w:r w:rsidR="00837E91" w:rsidRPr="00621156">
        <w:rPr>
          <w:lang w:val="es-419"/>
        </w:rPr>
        <w:t xml:space="preserve"> </w:t>
      </w:r>
      <w:r w:rsidRPr="00621156">
        <w:rPr>
          <w:lang w:val="es-419"/>
        </w:rPr>
        <w:t xml:space="preserve">También se informó a la Comisión que los estados financieros incluirían información sobre un hecho posterior al cierre del balance relacionado con el establecimiento de una entidad separada como plan multiempleador </w:t>
      </w:r>
      <w:r w:rsidR="00CD3682" w:rsidRPr="00621156">
        <w:rPr>
          <w:lang w:val="es-419"/>
        </w:rPr>
        <w:t xml:space="preserve">para la financiación de las prestaciones pagaderas a los empleados, </w:t>
      </w:r>
      <w:r w:rsidRPr="00621156">
        <w:rPr>
          <w:lang w:val="es-419"/>
        </w:rPr>
        <w:t>en el que participarían la OMPI y la Unión Internacional para la Protección de las Obtenciones Vegetales (UPOV).</w:t>
      </w:r>
    </w:p>
    <w:p w14:paraId="15A538A0" w14:textId="77777777" w:rsidR="008D03C4" w:rsidRPr="00621156" w:rsidRDefault="008D03C4" w:rsidP="00380FA6">
      <w:pPr>
        <w:spacing w:after="220"/>
        <w:ind w:left="567"/>
        <w:rPr>
          <w:i/>
          <w:iCs/>
          <w:lang w:val="es-419"/>
        </w:rPr>
      </w:pPr>
      <w:r w:rsidRPr="00621156">
        <w:rPr>
          <w:i/>
          <w:lang w:val="es-419"/>
        </w:rPr>
        <w:t>Cambios en las políticas y normas</w:t>
      </w:r>
    </w:p>
    <w:p w14:paraId="3A633E18" w14:textId="34F8B609" w:rsidR="008D03C4" w:rsidRPr="00621156" w:rsidRDefault="008D03C4" w:rsidP="008D03C4">
      <w:pPr>
        <w:numPr>
          <w:ilvl w:val="0"/>
          <w:numId w:val="10"/>
        </w:numPr>
        <w:spacing w:after="220"/>
        <w:rPr>
          <w:lang w:val="es-419"/>
        </w:rPr>
      </w:pPr>
      <w:r w:rsidRPr="00621156">
        <w:rPr>
          <w:lang w:val="es-419"/>
        </w:rPr>
        <w:t>En su 75.ª sesión ,se informó a la Comisión acerca de las nuevas Normas Internacionales de Contabilidad del Sector Público (IPSAS), que la OMPI está analizando para proceder a su aplicación.</w:t>
      </w:r>
      <w:r w:rsidR="00837E91" w:rsidRPr="00621156">
        <w:rPr>
          <w:lang w:val="es-419"/>
        </w:rPr>
        <w:t xml:space="preserve"> </w:t>
      </w:r>
      <w:r w:rsidRPr="00621156">
        <w:rPr>
          <w:lang w:val="es-419"/>
        </w:rPr>
        <w:t>Se prevé que tendrán repercusión en la OMPI las normas IPSAS 45 (propiedades, planta y equipo), la IPSAS 46 (medición), la IPSAS 47 (ingresos) o la IPSAS 48 (gastos por transferencias).</w:t>
      </w:r>
    </w:p>
    <w:p w14:paraId="40742F37" w14:textId="10AEDF29" w:rsidR="008D03C4" w:rsidRPr="00621156" w:rsidRDefault="008D03C4" w:rsidP="00DB7F02">
      <w:pPr>
        <w:keepNext/>
        <w:keepLines/>
        <w:numPr>
          <w:ilvl w:val="0"/>
          <w:numId w:val="10"/>
        </w:numPr>
        <w:spacing w:after="220"/>
        <w:rPr>
          <w:lang w:val="es-419"/>
        </w:rPr>
      </w:pPr>
      <w:r w:rsidRPr="00621156">
        <w:rPr>
          <w:lang w:val="es-419"/>
        </w:rPr>
        <w:t>Asimismo, se facilitó a la Comisión información actualizada sobre los planes de la OMPI de llevar a cabo una evaluación actuarial del seguro médico pagadero tras la separación del servicio, que incluiría un examen completo de los gastos médicos en 2024.</w:t>
      </w:r>
      <w:r w:rsidR="00837E91" w:rsidRPr="00621156">
        <w:rPr>
          <w:lang w:val="es-419"/>
        </w:rPr>
        <w:t xml:space="preserve"> </w:t>
      </w:r>
      <w:r w:rsidRPr="00621156">
        <w:rPr>
          <w:lang w:val="es-419"/>
        </w:rPr>
        <w:t>También se informó a la Comisión sobre la posibilidad de que se publique, después de la elaboración del balance correspondiente a 2024, divulgación financiera referente a la entidad separada multiempleador.</w:t>
      </w:r>
      <w:r w:rsidR="00837E91" w:rsidRPr="00621156">
        <w:rPr>
          <w:lang w:val="es-419"/>
        </w:rPr>
        <w:t xml:space="preserve"> </w:t>
      </w:r>
      <w:r w:rsidRPr="00621156">
        <w:rPr>
          <w:lang w:val="es-419"/>
        </w:rPr>
        <w:t>La Comisión expresó interés en examinar las hipótesis que utiliza el actuario para determinar el pasivo por seguro médico pagadero tras la separación del servicio, habida cuenta de la gran repercusión de aquellas en este.</w:t>
      </w:r>
    </w:p>
    <w:p w14:paraId="06342B94" w14:textId="77777777" w:rsidR="008D03C4" w:rsidRPr="00621156" w:rsidRDefault="008D03C4" w:rsidP="00380FA6">
      <w:pPr>
        <w:spacing w:after="220"/>
        <w:ind w:left="567"/>
        <w:rPr>
          <w:lang w:val="es-419"/>
        </w:rPr>
      </w:pPr>
      <w:r w:rsidRPr="00621156">
        <w:rPr>
          <w:i/>
          <w:lang w:val="es-419"/>
        </w:rPr>
        <w:t>Marco y políticas de gobernanza en materia de inversiones</w:t>
      </w:r>
    </w:p>
    <w:p w14:paraId="19F11250" w14:textId="7C1590B1" w:rsidR="008D03C4" w:rsidRPr="00621156" w:rsidRDefault="008D03C4" w:rsidP="008D03C4">
      <w:pPr>
        <w:numPr>
          <w:ilvl w:val="0"/>
          <w:numId w:val="10"/>
        </w:numPr>
        <w:spacing w:after="220"/>
        <w:rPr>
          <w:lang w:val="es-419"/>
        </w:rPr>
      </w:pPr>
      <w:r w:rsidRPr="00621156">
        <w:rPr>
          <w:lang w:val="es-419"/>
        </w:rPr>
        <w:t>Se informó a la Comisión, en su 75.ª sesión, sobre las actualizaciones del marco de gobernanza en materia de Inversiones</w:t>
      </w:r>
      <w:r w:rsidR="00837E91" w:rsidRPr="00621156">
        <w:rPr>
          <w:lang w:val="es-419"/>
        </w:rPr>
        <w:t xml:space="preserve"> </w:t>
      </w:r>
      <w:r w:rsidRPr="00621156">
        <w:rPr>
          <w:lang w:val="es-419"/>
        </w:rPr>
        <w:t>y se le refirió que se había designado a un especialista externo en inversiones para integrar la Comisión Asesora sobre Inversiones (CAI) y que se había seleccionado a un segundo especialista que en breve se incorporaría a esta.</w:t>
      </w:r>
      <w:r w:rsidR="00837E91" w:rsidRPr="00621156">
        <w:rPr>
          <w:lang w:val="es-419"/>
        </w:rPr>
        <w:t xml:space="preserve"> </w:t>
      </w:r>
      <w:r w:rsidRPr="00621156">
        <w:rPr>
          <w:lang w:val="es-419"/>
        </w:rPr>
        <w:t>La CCIS observó que se había progresado en la aplicación de las recomendaciones del Banco Mundial.</w:t>
      </w:r>
    </w:p>
    <w:p w14:paraId="65D89A23" w14:textId="77777777" w:rsidR="008D03C4" w:rsidRPr="00621156" w:rsidRDefault="008D03C4" w:rsidP="008D03C4">
      <w:pPr>
        <w:numPr>
          <w:ilvl w:val="0"/>
          <w:numId w:val="10"/>
        </w:numPr>
        <w:spacing w:after="220"/>
        <w:rPr>
          <w:lang w:val="es-419"/>
        </w:rPr>
      </w:pPr>
      <w:r w:rsidRPr="00621156">
        <w:rPr>
          <w:lang w:val="es-419"/>
        </w:rPr>
        <w:t xml:space="preserve">La Comisión recomendó a la Secretaría que actualizara la política de inversiones, incluyendo en ese ejercicio un examen de los objetivos de inversión y las correspondientes </w:t>
      </w:r>
      <w:r w:rsidRPr="00621156">
        <w:rPr>
          <w:lang w:val="es-419"/>
        </w:rPr>
        <w:lastRenderedPageBreak/>
        <w:t>metas de rendimiento a la luz de la situación de los mercados financieros y las perspectivas económicas.</w:t>
      </w:r>
      <w:bookmarkStart w:id="16" w:name="page10"/>
      <w:bookmarkEnd w:id="16"/>
    </w:p>
    <w:p w14:paraId="7B2393E3" w14:textId="77777777" w:rsidR="008D03C4" w:rsidRPr="00621156" w:rsidRDefault="008D03C4" w:rsidP="002735E6">
      <w:pPr>
        <w:pStyle w:val="Heading2"/>
        <w:keepNext w:val="0"/>
        <w:ind w:left="0" w:firstLine="0"/>
        <w:rPr>
          <w:u w:val="single"/>
          <w:lang w:val="es-419"/>
        </w:rPr>
      </w:pPr>
      <w:bookmarkStart w:id="17" w:name="_Toc199343285"/>
      <w:r w:rsidRPr="00621156">
        <w:rPr>
          <w:u w:val="single"/>
          <w:lang w:val="es-419"/>
        </w:rPr>
        <w:t>Gestión de riesgos y controles internos</w:t>
      </w:r>
      <w:bookmarkEnd w:id="17"/>
    </w:p>
    <w:p w14:paraId="2C8133A4" w14:textId="77777777" w:rsidR="00837E91" w:rsidRPr="00621156" w:rsidRDefault="008D03C4" w:rsidP="00380FA6">
      <w:pPr>
        <w:spacing w:after="220"/>
        <w:ind w:left="567"/>
        <w:rPr>
          <w:i/>
          <w:lang w:val="es-419"/>
        </w:rPr>
      </w:pPr>
      <w:r w:rsidRPr="00621156">
        <w:rPr>
          <w:i/>
          <w:lang w:val="es-419"/>
        </w:rPr>
        <w:t>Información actualizada sobre el proceso de gestión de riesgos y control interno</w:t>
      </w:r>
    </w:p>
    <w:p w14:paraId="585D0853" w14:textId="77777777" w:rsidR="00837E91" w:rsidRPr="00621156" w:rsidRDefault="008D03C4" w:rsidP="008D03C4">
      <w:pPr>
        <w:numPr>
          <w:ilvl w:val="0"/>
          <w:numId w:val="10"/>
        </w:numPr>
        <w:spacing w:after="220"/>
        <w:rPr>
          <w:lang w:val="es-419"/>
        </w:rPr>
      </w:pPr>
      <w:r w:rsidRPr="00621156">
        <w:rPr>
          <w:lang w:val="es-419"/>
        </w:rPr>
        <w:t>Durante su 73.ª sesión, la Comisión atendió a la presentación de información sobre cuestiones relativas a la gestión de riesgos y controles internos, el avance del informe de la DCI, nuevos sistemas de planificación de los recursos institucionales (PRI) y asuntos relativos a la lucha contra el fraude.</w:t>
      </w:r>
      <w:r w:rsidR="00837E91" w:rsidRPr="00621156">
        <w:rPr>
          <w:lang w:val="es-419"/>
        </w:rPr>
        <w:t xml:space="preserve"> </w:t>
      </w:r>
      <w:r w:rsidRPr="00621156">
        <w:rPr>
          <w:lang w:val="es-419"/>
        </w:rPr>
        <w:t>La Comisión formuló preguntas sobre varias cuestiones, por ejemplo, los mecanismos de gobernanza de los nuevos sistemas de PRI, y pidió a la Dirección que presente información actualizada adicional sobre la gobernanza en el ámbito de las adquisiciones y la aplicación del nuevo sistema de PRI.</w:t>
      </w:r>
      <w:r w:rsidR="00837E91" w:rsidRPr="00621156">
        <w:rPr>
          <w:lang w:val="es-419"/>
        </w:rPr>
        <w:t xml:space="preserve"> </w:t>
      </w:r>
      <w:r w:rsidRPr="00621156">
        <w:rPr>
          <w:lang w:val="es-419"/>
        </w:rPr>
        <w:t>La Comisión también examinó la evaluación actualizada de los riesgos presentada en el mapa de niveles de riesgo de la Organización y observó que los riesgos relacionados con la ciberseguridad siguen ocupando una posición destacada.</w:t>
      </w:r>
    </w:p>
    <w:p w14:paraId="04A9C2EF" w14:textId="02FB78D7" w:rsidR="008D03C4" w:rsidRPr="00621156" w:rsidRDefault="008D03C4" w:rsidP="008D03C4">
      <w:pPr>
        <w:numPr>
          <w:ilvl w:val="0"/>
          <w:numId w:val="10"/>
        </w:numPr>
        <w:spacing w:after="220"/>
        <w:rPr>
          <w:lang w:val="es-419"/>
        </w:rPr>
      </w:pPr>
      <w:r w:rsidRPr="00621156">
        <w:rPr>
          <w:lang w:val="es-419"/>
        </w:rPr>
        <w:t>Durante su 47.ª sesión, la Comisión recibió información actualizada sobre la gestión de riesgos y los controles internos, incluidos los planes de la DSI de proporcionar una opinión general sobre gobernanza, gestión de riesgos y controles internos.</w:t>
      </w:r>
      <w:r w:rsidR="00837E91" w:rsidRPr="00621156">
        <w:rPr>
          <w:lang w:val="es-419"/>
        </w:rPr>
        <w:t xml:space="preserve"> </w:t>
      </w:r>
      <w:r w:rsidRPr="00621156">
        <w:rPr>
          <w:lang w:val="es-419"/>
        </w:rPr>
        <w:t>Se informó a la Comisión de que se introducirían cambios en el marco de controles internos para reflejar las recomendaciones formuladas por los auditores externos o internos;</w:t>
      </w:r>
      <w:r w:rsidR="00837E91" w:rsidRPr="00621156">
        <w:rPr>
          <w:lang w:val="es-419"/>
        </w:rPr>
        <w:t xml:space="preserve"> </w:t>
      </w:r>
      <w:r w:rsidRPr="00621156">
        <w:rPr>
          <w:lang w:val="es-419"/>
        </w:rPr>
        <w:t>se le aseguró asimismo que los controles internos y los marcos de riesgo utilizados por la Organización están en sintonía con los marcos pertinentes del Comité de Organizaciones Patrocinadoras de la Comisión Treadway.</w:t>
      </w:r>
    </w:p>
    <w:p w14:paraId="6CC4EB45" w14:textId="127C4A31" w:rsidR="008D03C4" w:rsidRPr="00621156" w:rsidRDefault="008D03C4" w:rsidP="008D03C4">
      <w:pPr>
        <w:numPr>
          <w:ilvl w:val="0"/>
          <w:numId w:val="10"/>
        </w:numPr>
        <w:spacing w:after="220"/>
        <w:rPr>
          <w:lang w:val="es-419"/>
        </w:rPr>
      </w:pPr>
      <w:r w:rsidRPr="00621156">
        <w:rPr>
          <w:lang w:val="es-419"/>
        </w:rPr>
        <w:t>Durante su 76.ª sesión, la Comisión examinó una actualización del Manual de gestión de riesgos y controles internos de la OMPI (que incluye los riesgos principales) en la que se describe la evolución al mes de marzo de 2025.</w:t>
      </w:r>
      <w:r w:rsidR="00837E91" w:rsidRPr="00621156">
        <w:rPr>
          <w:lang w:val="es-419"/>
        </w:rPr>
        <w:t xml:space="preserve"> </w:t>
      </w:r>
      <w:r w:rsidRPr="00621156">
        <w:rPr>
          <w:lang w:val="es-419"/>
        </w:rPr>
        <w:t xml:space="preserve">La Comisión recibió información acerca de una política revisada de gestión de los riesgos, la declaración de apetito de riesgo y el mandato de su </w:t>
      </w:r>
      <w:r w:rsidR="00CD3682" w:rsidRPr="00621156">
        <w:rPr>
          <w:lang w:val="es-419"/>
        </w:rPr>
        <w:t xml:space="preserve">Grupo </w:t>
      </w:r>
      <w:r w:rsidRPr="00621156">
        <w:rPr>
          <w:lang w:val="es-419"/>
        </w:rPr>
        <w:t xml:space="preserve">de </w:t>
      </w:r>
      <w:r w:rsidR="00CD3682" w:rsidRPr="00621156">
        <w:rPr>
          <w:lang w:val="es-419"/>
        </w:rPr>
        <w:t xml:space="preserve">Gestión </w:t>
      </w:r>
      <w:r w:rsidRPr="00621156">
        <w:rPr>
          <w:lang w:val="es-419"/>
        </w:rPr>
        <w:t xml:space="preserve">de </w:t>
      </w:r>
      <w:r w:rsidR="00CD3682" w:rsidRPr="00621156">
        <w:rPr>
          <w:lang w:val="es-419"/>
        </w:rPr>
        <w:t>Riesgos</w:t>
      </w:r>
      <w:r w:rsidRPr="00621156">
        <w:rPr>
          <w:lang w:val="es-419"/>
        </w:rPr>
        <w:t>.</w:t>
      </w:r>
      <w:r w:rsidR="00837E91" w:rsidRPr="00621156">
        <w:rPr>
          <w:lang w:val="es-419"/>
        </w:rPr>
        <w:t xml:space="preserve"> </w:t>
      </w:r>
      <w:r w:rsidRPr="00621156">
        <w:rPr>
          <w:lang w:val="es-419"/>
        </w:rPr>
        <w:t>Asimismo, la Comisión examinó los principales diez riesgos en el mapa de niveles de riesgo de la OMPI, junto con las respuestas al riesgo correspondientes.</w:t>
      </w:r>
      <w:r w:rsidR="00837E91" w:rsidRPr="00621156">
        <w:rPr>
          <w:lang w:val="es-419"/>
        </w:rPr>
        <w:t xml:space="preserve"> </w:t>
      </w:r>
      <w:r w:rsidRPr="00621156">
        <w:rPr>
          <w:lang w:val="es-419"/>
        </w:rPr>
        <w:t>Entre esos riesgos cabe señalar: el riesgo geopolítico; la caída del valor de las inversiones; las oportunidades estratégicas de la IA; y la integridad, la privacidad y la gobernanza de los datos de la IA.</w:t>
      </w:r>
      <w:r w:rsidR="00837E91" w:rsidRPr="00621156">
        <w:rPr>
          <w:lang w:val="es-419"/>
        </w:rPr>
        <w:t xml:space="preserve"> </w:t>
      </w:r>
      <w:r w:rsidRPr="00621156">
        <w:rPr>
          <w:lang w:val="es-419"/>
        </w:rPr>
        <w:t>La directora de la DSI indicó también que los resultados de la evaluación de riesgos se utilizan en la planificación de auditoría.</w:t>
      </w:r>
    </w:p>
    <w:p w14:paraId="032D6E22" w14:textId="77777777" w:rsidR="008D03C4" w:rsidRPr="00621156" w:rsidRDefault="008D03C4" w:rsidP="00380FA6">
      <w:pPr>
        <w:spacing w:after="220"/>
        <w:ind w:left="567"/>
        <w:rPr>
          <w:lang w:val="es-419"/>
        </w:rPr>
      </w:pPr>
      <w:r w:rsidRPr="00621156">
        <w:rPr>
          <w:i/>
          <w:lang w:val="es-419"/>
        </w:rPr>
        <w:t>Información actualizada sobre gestión de la ciberseguridad y aseguramiento de la información</w:t>
      </w:r>
    </w:p>
    <w:p w14:paraId="7CDD93C0" w14:textId="74A71FAD" w:rsidR="00837E91" w:rsidRPr="00621156" w:rsidRDefault="008D03C4" w:rsidP="008D03C4">
      <w:pPr>
        <w:numPr>
          <w:ilvl w:val="0"/>
          <w:numId w:val="10"/>
        </w:numPr>
        <w:spacing w:after="220"/>
        <w:rPr>
          <w:lang w:val="es-419"/>
        </w:rPr>
      </w:pPr>
      <w:r w:rsidRPr="00621156">
        <w:rPr>
          <w:lang w:val="es-419"/>
        </w:rPr>
        <w:t>En su 76.ª sesión, la Comisión se reunió con la directora de la DSI, el oficial principal interino de Seguridad y otros altos funcionarios del equipo directivo para examinar el informe definitivo sobre la auditoría de la gestión de la ciberseguridad, realizada entre marzo y mayo de</w:t>
      </w:r>
      <w:r w:rsidR="00907852" w:rsidRPr="00621156">
        <w:rPr>
          <w:lang w:val="es-419"/>
        </w:rPr>
        <w:t> </w:t>
      </w:r>
      <w:r w:rsidRPr="00621156">
        <w:rPr>
          <w:lang w:val="es-419"/>
        </w:rPr>
        <w:t>2024.</w:t>
      </w:r>
      <w:r w:rsidR="00837E91" w:rsidRPr="00621156">
        <w:rPr>
          <w:lang w:val="es-419"/>
        </w:rPr>
        <w:t xml:space="preserve"> </w:t>
      </w:r>
      <w:r w:rsidRPr="00621156">
        <w:rPr>
          <w:lang w:val="es-419"/>
        </w:rPr>
        <w:t>La tarea se llevó a cabo bajo la supervisión de la DSI, y supuso el examen del marco de seguridad de la información con que cuenta la OMPI; se evaluó su grado de desarrollo en lo relativo a la ciberseguridad y se realizaron pruebas de penetración.</w:t>
      </w:r>
    </w:p>
    <w:p w14:paraId="5BAA5BC0" w14:textId="77777777" w:rsidR="00837E91" w:rsidRPr="00621156" w:rsidRDefault="008D03C4" w:rsidP="008D03C4">
      <w:pPr>
        <w:numPr>
          <w:ilvl w:val="0"/>
          <w:numId w:val="10"/>
        </w:numPr>
        <w:spacing w:after="220"/>
        <w:rPr>
          <w:lang w:val="es-419"/>
        </w:rPr>
      </w:pPr>
      <w:r w:rsidRPr="00621156">
        <w:rPr>
          <w:lang w:val="es-419"/>
        </w:rPr>
        <w:t>Se informó a la Comisión que la OMPI se ha dotado de medidas de seguridad que se alinean con las mejores prácticas del sector, en particular las que recoge la Norma ISO 27001 de la Organización Internacional de Normalización.</w:t>
      </w:r>
      <w:r w:rsidR="00837E91" w:rsidRPr="00621156">
        <w:rPr>
          <w:lang w:val="es-419"/>
        </w:rPr>
        <w:t xml:space="preserve"> </w:t>
      </w:r>
      <w:r w:rsidRPr="00621156">
        <w:rPr>
          <w:lang w:val="es-419"/>
        </w:rPr>
        <w:t xml:space="preserve">Se formularon cinco observaciones y ocho recomendaciones, y se identificaron dos áreas de mejora. En general, en la auditoría se clasificó el grado de desarrollo de la ciberseguridad de la OMPI entre los niveles “4 – Gestión cuantitativa” y “5 – Optimización”, con lo que se pone de manifiesto que se ha definido y </w:t>
      </w:r>
      <w:r w:rsidRPr="00621156">
        <w:rPr>
          <w:lang w:val="es-419"/>
        </w:rPr>
        <w:lastRenderedPageBreak/>
        <w:t>aplicado un sólido conjunto de procedimientos y herramientas fundamentales en materia de seguridad. Todas las recomendaciones fueron objeto de deliberación y acuerdo con la Dirección.</w:t>
      </w:r>
    </w:p>
    <w:p w14:paraId="2C67836D" w14:textId="77777777" w:rsidR="00837E91" w:rsidRPr="00621156" w:rsidRDefault="008D03C4" w:rsidP="008D03C4">
      <w:pPr>
        <w:numPr>
          <w:ilvl w:val="0"/>
          <w:numId w:val="10"/>
        </w:numPr>
        <w:spacing w:after="220"/>
        <w:rPr>
          <w:lang w:val="es-419"/>
        </w:rPr>
      </w:pPr>
      <w:r w:rsidRPr="00621156">
        <w:rPr>
          <w:lang w:val="es-419"/>
        </w:rPr>
        <w:t>La Comisión destacó que, en el ámbito de la ciberseguridad, en el que se observa una rápida evolución, es importante realizar un seguimiento, sobre todo teniendo en cuenta la evolución tecnológica externa (impulsada por la IA) e interna (implantación de la planificación de los recursos institucionales), por lo que continuará realizando labores de control.</w:t>
      </w:r>
    </w:p>
    <w:p w14:paraId="38DC2D2E" w14:textId="6D76B3F3" w:rsidR="008D03C4" w:rsidRPr="00621156" w:rsidRDefault="008D03C4" w:rsidP="008D03C4">
      <w:pPr>
        <w:numPr>
          <w:ilvl w:val="0"/>
          <w:numId w:val="10"/>
        </w:numPr>
        <w:spacing w:after="220"/>
        <w:rPr>
          <w:lang w:val="es-419"/>
        </w:rPr>
      </w:pPr>
      <w:r w:rsidRPr="00621156">
        <w:rPr>
          <w:lang w:val="es-419"/>
        </w:rPr>
        <w:t>En la 74.ª sesión, la Comisión recibió información actualizada sobre seguridad de la información en relación con la aplicación de la estrategia, la auditoría de certificación ISO 27001 e incidentes y eventos recientes.</w:t>
      </w:r>
      <w:r w:rsidR="00837E91" w:rsidRPr="00621156">
        <w:rPr>
          <w:lang w:val="es-419"/>
        </w:rPr>
        <w:t xml:space="preserve"> </w:t>
      </w:r>
      <w:r w:rsidRPr="00621156">
        <w:rPr>
          <w:lang w:val="es-419"/>
        </w:rPr>
        <w:t xml:space="preserve">La Comisión formuló comentarios sobre las medidas que se están tomando para afrontar los riesgos relacionados con la interrupción de CrowdStrike de julio de 2024 y el </w:t>
      </w:r>
      <w:r w:rsidRPr="00621156">
        <w:rPr>
          <w:i/>
          <w:iCs/>
          <w:lang w:val="es-419"/>
        </w:rPr>
        <w:t>vishing</w:t>
      </w:r>
      <w:r w:rsidRPr="00621156">
        <w:rPr>
          <w:lang w:val="es-419"/>
        </w:rPr>
        <w:t xml:space="preserve"> y la suplantación de identidad telefónica de agosto de 2024.</w:t>
      </w:r>
      <w:r w:rsidR="00837E91" w:rsidRPr="00621156">
        <w:rPr>
          <w:lang w:val="es-419"/>
        </w:rPr>
        <w:t xml:space="preserve"> </w:t>
      </w:r>
      <w:r w:rsidRPr="00621156">
        <w:rPr>
          <w:lang w:val="es-419"/>
        </w:rPr>
        <w:t>La Comisión espera asimismo recibir más información actualizada en el futuro sobre las enseñanzas extraídas de esos incidentes y las medidas destinadas a mitigar los riesgos conexos.</w:t>
      </w:r>
    </w:p>
    <w:p w14:paraId="2515E856" w14:textId="4CABD846" w:rsidR="008D03C4" w:rsidRPr="00621156" w:rsidRDefault="008D03C4" w:rsidP="008D03C4">
      <w:pPr>
        <w:numPr>
          <w:ilvl w:val="0"/>
          <w:numId w:val="10"/>
        </w:numPr>
        <w:spacing w:after="220"/>
        <w:rPr>
          <w:lang w:val="es-419"/>
        </w:rPr>
      </w:pPr>
      <w:r w:rsidRPr="00621156">
        <w:rPr>
          <w:lang w:val="es-419"/>
        </w:rPr>
        <w:t>Durante su 76.ª sesión, la Comisión examinó información actualizada facilitada por el oficial principal de seguridad acerca de seguridad y aseguramiento de la información.</w:t>
      </w:r>
      <w:r w:rsidR="00837E91" w:rsidRPr="00621156">
        <w:rPr>
          <w:lang w:val="es-419"/>
        </w:rPr>
        <w:t xml:space="preserve"> </w:t>
      </w:r>
      <w:r w:rsidRPr="00621156">
        <w:rPr>
          <w:lang w:val="es-419"/>
        </w:rPr>
        <w:t>Destacó la importancia de este asunto y pidió a la Secretaría que siga presentando periódicamente información exhaustiva actualizada. El oficial principal de seguridad informática indicó que el sistema de la OMPI de gestión de la seguridad se encuentra en una etapa de madurez, como lo confirmaron los expertos externos en 2024.</w:t>
      </w:r>
      <w:r w:rsidR="00837E91" w:rsidRPr="00621156">
        <w:rPr>
          <w:lang w:val="es-419"/>
        </w:rPr>
        <w:t xml:space="preserve"> </w:t>
      </w:r>
      <w:r w:rsidRPr="00621156">
        <w:rPr>
          <w:lang w:val="es-419"/>
        </w:rPr>
        <w:t>La Comisión examinó varias cuestiones conexas, entre ellas, los riesgos críticos, los incidentes de seguridad significativos, la situación en materia de conformidad, los avances en el programa estratégico, la adecuación de los recursos, la seguridad y vigilancia física y la posibilidad de realizar una evaluación externa de la madurez en 2026.</w:t>
      </w:r>
    </w:p>
    <w:p w14:paraId="245531F2" w14:textId="77777777" w:rsidR="008D03C4" w:rsidRPr="00621156" w:rsidRDefault="008D03C4" w:rsidP="00380FA6">
      <w:pPr>
        <w:spacing w:after="220"/>
        <w:ind w:left="567"/>
        <w:rPr>
          <w:i/>
          <w:iCs/>
          <w:lang w:val="es-419"/>
        </w:rPr>
      </w:pPr>
      <w:r w:rsidRPr="00621156">
        <w:rPr>
          <w:i/>
          <w:lang w:val="es-419"/>
        </w:rPr>
        <w:t>Información actualizada sobre la aplicación del nuevo sistema de planificación de los recursos institucionales (PRI)</w:t>
      </w:r>
    </w:p>
    <w:p w14:paraId="3EF2DBB8" w14:textId="7B0C8824" w:rsidR="008D03C4" w:rsidRPr="00621156" w:rsidRDefault="008D03C4" w:rsidP="008D03C4">
      <w:pPr>
        <w:numPr>
          <w:ilvl w:val="0"/>
          <w:numId w:val="10"/>
        </w:numPr>
        <w:spacing w:after="220"/>
        <w:rPr>
          <w:lang w:val="es-419"/>
        </w:rPr>
      </w:pPr>
      <w:r w:rsidRPr="00621156">
        <w:rPr>
          <w:lang w:val="es-419"/>
        </w:rPr>
        <w:t xml:space="preserve">En sus sesiones 74.ª, 75.ª y 76.ª, la Comisión examinó información actualizada sobre la aplicación del nuevo sistema de PRI. En su 74.ª </w:t>
      </w:r>
      <w:r w:rsidR="003E58AE" w:rsidRPr="00621156">
        <w:rPr>
          <w:lang w:val="es-419"/>
        </w:rPr>
        <w:t>sesión</w:t>
      </w:r>
      <w:r w:rsidRPr="00621156">
        <w:rPr>
          <w:lang w:val="es-419"/>
        </w:rPr>
        <w:t>, la Comisión examinó el marco de gobernanza de la aplicación del nuevo sistema.</w:t>
      </w:r>
      <w:r w:rsidR="00837E91" w:rsidRPr="00621156">
        <w:rPr>
          <w:lang w:val="es-419"/>
        </w:rPr>
        <w:t xml:space="preserve"> </w:t>
      </w:r>
      <w:r w:rsidRPr="00621156">
        <w:rPr>
          <w:lang w:val="es-419"/>
        </w:rPr>
        <w:t>La Secretaría informó que se gastaron aproximadamente 1,7 millones de francos suizos del presupuesto total de 2,9 millones, cerca del 60 % del presupuesto de la fase preparatoria I, y que no se habían realizado gastos con cargo al presupuesto de la fase de ejecución II.</w:t>
      </w:r>
      <w:r w:rsidR="00837E91" w:rsidRPr="00621156">
        <w:rPr>
          <w:lang w:val="es-419"/>
        </w:rPr>
        <w:t xml:space="preserve"> </w:t>
      </w:r>
      <w:r w:rsidRPr="00621156">
        <w:rPr>
          <w:lang w:val="es-419"/>
        </w:rPr>
        <w:t>La Comisión dijo apreciar que las funciones de las líneas de la Organización participaran en la etapa de conceptualización del proyecto.</w:t>
      </w:r>
      <w:r w:rsidR="00837E91" w:rsidRPr="00621156">
        <w:rPr>
          <w:lang w:val="es-419"/>
        </w:rPr>
        <w:t xml:space="preserve"> </w:t>
      </w:r>
      <w:r w:rsidRPr="00621156">
        <w:rPr>
          <w:lang w:val="es-419"/>
        </w:rPr>
        <w:t>El calendario de aplicación cumplía en general con los objetivos y se esperaba su puesta en marcha para enero de 2025.</w:t>
      </w:r>
      <w:r w:rsidR="00837E91" w:rsidRPr="00621156">
        <w:rPr>
          <w:lang w:val="es-419"/>
        </w:rPr>
        <w:t xml:space="preserve"> </w:t>
      </w:r>
      <w:r w:rsidRPr="00621156">
        <w:rPr>
          <w:lang w:val="es-419"/>
        </w:rPr>
        <w:t>El marco de gobernanza estaba en vigor, y la Comisión formuló sugerencias para que las aportaciones de los consultores y los órganos de supervisión queden reflejadas en el marco.</w:t>
      </w:r>
    </w:p>
    <w:p w14:paraId="0CB7B959" w14:textId="3E32651E" w:rsidR="008D03C4" w:rsidRPr="00621156" w:rsidRDefault="008D03C4" w:rsidP="008D03C4">
      <w:pPr>
        <w:numPr>
          <w:ilvl w:val="0"/>
          <w:numId w:val="10"/>
        </w:numPr>
        <w:spacing w:after="220"/>
        <w:rPr>
          <w:lang w:val="es-419"/>
        </w:rPr>
      </w:pPr>
      <w:r w:rsidRPr="00621156">
        <w:rPr>
          <w:lang w:val="es-419"/>
        </w:rPr>
        <w:t>Durante la 75.ª sesión de la Comisión, la Secretaría indicó que se había completado la selección del proveedor y que se estaban ultimando las negociaciones previas a la firma del contrato.</w:t>
      </w:r>
      <w:r w:rsidR="00837E91" w:rsidRPr="00621156">
        <w:rPr>
          <w:lang w:val="es-419"/>
        </w:rPr>
        <w:t xml:space="preserve"> </w:t>
      </w:r>
      <w:r w:rsidRPr="00621156">
        <w:rPr>
          <w:lang w:val="es-419"/>
        </w:rPr>
        <w:t>La ejecución, cuyo comienzo estaba previsto para el primer trimestre de 2025, comprendía una fase de diseño, planificación detallada de recursos y definición de procesos, de seis meses de duración, por lo cual el nuevo sistema comenzaría a estar operativo en el cuarto trimestre de 2025, e iniciaría su funcionamiento con el elemento de evaluación del desempeño de los empleados.</w:t>
      </w:r>
      <w:r w:rsidR="00837E91" w:rsidRPr="00621156">
        <w:rPr>
          <w:lang w:val="es-419"/>
        </w:rPr>
        <w:t xml:space="preserve"> </w:t>
      </w:r>
      <w:r w:rsidRPr="00621156">
        <w:rPr>
          <w:lang w:val="es-419"/>
        </w:rPr>
        <w:t>La Comisión manifestó ser consciente de los numerosos</w:t>
      </w:r>
      <w:r w:rsidR="00C82558" w:rsidRPr="00621156">
        <w:rPr>
          <w:lang w:val="es-419"/>
        </w:rPr>
        <w:t xml:space="preserve"> </w:t>
      </w:r>
      <w:r w:rsidRPr="00621156">
        <w:rPr>
          <w:lang w:val="es-419"/>
        </w:rPr>
        <w:t>desafíos que plantea un proyecto de esa índole.</w:t>
      </w:r>
      <w:r w:rsidR="00837E91" w:rsidRPr="00621156">
        <w:rPr>
          <w:lang w:val="es-419"/>
        </w:rPr>
        <w:t xml:space="preserve"> </w:t>
      </w:r>
      <w:r w:rsidRPr="00621156">
        <w:rPr>
          <w:lang w:val="es-419"/>
        </w:rPr>
        <w:t>La Secretaría señaló que las disposiciones que se habían adoptado en materia de organización son apropiadas para hacer frente a cualquier problema.</w:t>
      </w:r>
    </w:p>
    <w:p w14:paraId="75EC5277" w14:textId="2BAA6115" w:rsidR="008D03C4" w:rsidRPr="00621156" w:rsidRDefault="008D03C4" w:rsidP="008D03C4">
      <w:pPr>
        <w:numPr>
          <w:ilvl w:val="0"/>
          <w:numId w:val="10"/>
        </w:numPr>
        <w:spacing w:after="220"/>
        <w:rPr>
          <w:lang w:val="es-419"/>
        </w:rPr>
      </w:pPr>
      <w:r w:rsidRPr="00621156">
        <w:rPr>
          <w:lang w:val="es-419"/>
        </w:rPr>
        <w:lastRenderedPageBreak/>
        <w:t>Durante su 76.ª sesión, la Comisión examinó una descripción actualizada de los avances en la aplicación al mes de marzo de 2025.</w:t>
      </w:r>
      <w:r w:rsidR="00837E91" w:rsidRPr="00621156">
        <w:rPr>
          <w:lang w:val="es-419"/>
        </w:rPr>
        <w:t xml:space="preserve"> </w:t>
      </w:r>
      <w:r w:rsidRPr="00621156">
        <w:rPr>
          <w:lang w:val="es-419"/>
        </w:rPr>
        <w:t>En esa descripción actualizada se indica que la iniciativa avanza conforme al calendario y se encuentra en la etapa de diseño.</w:t>
      </w:r>
      <w:r w:rsidR="00837E91" w:rsidRPr="00621156">
        <w:rPr>
          <w:lang w:val="es-419"/>
        </w:rPr>
        <w:t xml:space="preserve"> </w:t>
      </w:r>
      <w:r w:rsidRPr="00621156">
        <w:rPr>
          <w:lang w:val="es-419"/>
        </w:rPr>
        <w:t>La Comisión examinó varias cuestiones, entre ellas la necesidad de un plan maestro integral con plazos, actualizaciones periódicas y la evaluación de los riesgos, junto con planes de acción previstos para mitigarlos.</w:t>
      </w:r>
      <w:r w:rsidR="00837E91" w:rsidRPr="00621156">
        <w:rPr>
          <w:lang w:val="es-419"/>
        </w:rPr>
        <w:t xml:space="preserve"> </w:t>
      </w:r>
      <w:r w:rsidRPr="00621156">
        <w:rPr>
          <w:lang w:val="es-419"/>
        </w:rPr>
        <w:t>La Comisión espera con interés recibir más información sobre las etapas siguientes del proyecto.</w:t>
      </w:r>
    </w:p>
    <w:p w14:paraId="459DBBBA" w14:textId="77777777" w:rsidR="008D03C4" w:rsidRPr="00621156" w:rsidRDefault="008D03C4" w:rsidP="00380FA6">
      <w:pPr>
        <w:spacing w:after="220"/>
        <w:ind w:left="567"/>
        <w:rPr>
          <w:lang w:val="es-419"/>
        </w:rPr>
      </w:pPr>
      <w:r w:rsidRPr="00621156">
        <w:rPr>
          <w:i/>
          <w:lang w:val="es-419"/>
        </w:rPr>
        <w:t>Información actualizada sobre adquisiciones</w:t>
      </w:r>
    </w:p>
    <w:p w14:paraId="3B43B341" w14:textId="77777777" w:rsidR="00837E91" w:rsidRPr="00621156" w:rsidRDefault="008D03C4" w:rsidP="008D03C4">
      <w:pPr>
        <w:numPr>
          <w:ilvl w:val="0"/>
          <w:numId w:val="10"/>
        </w:numPr>
        <w:spacing w:after="220"/>
        <w:rPr>
          <w:lang w:val="es-419"/>
        </w:rPr>
      </w:pPr>
      <w:r w:rsidRPr="00621156">
        <w:rPr>
          <w:lang w:val="es-419"/>
        </w:rPr>
        <w:t>Durante su 74. sesión, la Comisión recibió información actualizada sobre adquisiciones que incluyó elementos del debate sobre la sostenibilidad mantenido por los Estados miembros en el PBC.</w:t>
      </w:r>
      <w:r w:rsidR="00837E91" w:rsidRPr="00621156">
        <w:rPr>
          <w:lang w:val="es-419"/>
        </w:rPr>
        <w:t xml:space="preserve"> </w:t>
      </w:r>
      <w:r w:rsidRPr="00621156">
        <w:rPr>
          <w:lang w:val="es-419"/>
        </w:rPr>
        <w:t>El PBC convino en que aplicar la sostenibilidad en las adquisiciones no debería ir en desventaja de los países en desarrollo, los países menos adelantados o las economías en transición.</w:t>
      </w:r>
      <w:r w:rsidR="00837E91" w:rsidRPr="00621156">
        <w:rPr>
          <w:lang w:val="es-419"/>
        </w:rPr>
        <w:t xml:space="preserve"> </w:t>
      </w:r>
      <w:r w:rsidRPr="00621156">
        <w:rPr>
          <w:lang w:val="es-419"/>
        </w:rPr>
        <w:t>Se informó a la Comisión que el requisito ya se aplica y que se está revisando el Manual de Adquisiciones para reflejar ese hecho.</w:t>
      </w:r>
    </w:p>
    <w:p w14:paraId="570A8181" w14:textId="77777777" w:rsidR="008D03C4" w:rsidRPr="00621156" w:rsidRDefault="008D03C4" w:rsidP="00380FA6">
      <w:pPr>
        <w:spacing w:after="220"/>
        <w:ind w:left="567"/>
        <w:rPr>
          <w:lang w:val="es-419"/>
        </w:rPr>
      </w:pPr>
      <w:r w:rsidRPr="00621156">
        <w:rPr>
          <w:i/>
          <w:lang w:val="es-419"/>
        </w:rPr>
        <w:t>Información actualizada sobre la eficacia de las actividades de lucha contra el fraude</w:t>
      </w:r>
    </w:p>
    <w:p w14:paraId="13850871" w14:textId="28F05C9E" w:rsidR="008D03C4" w:rsidRPr="00621156" w:rsidRDefault="008D03C4" w:rsidP="008D03C4">
      <w:pPr>
        <w:numPr>
          <w:ilvl w:val="0"/>
          <w:numId w:val="10"/>
        </w:numPr>
        <w:spacing w:after="220"/>
        <w:rPr>
          <w:lang w:val="es-419"/>
        </w:rPr>
      </w:pPr>
      <w:r w:rsidRPr="00621156">
        <w:rPr>
          <w:lang w:val="es-419"/>
        </w:rPr>
        <w:t>En su 76.ª sesión, la comisión examinó información actualizada sobre las actividades de lucha contra el fraude que incluyó detalles del marco de la Organización de lucha contra el fraude, las políticas de la OMPI sobre prevención y detección del fraude y una evaluación del riesgo de fraude que está llevando a cabo un experto externo.</w:t>
      </w:r>
      <w:r w:rsidR="00837E91" w:rsidRPr="00621156">
        <w:rPr>
          <w:lang w:val="es-419"/>
        </w:rPr>
        <w:t xml:space="preserve"> </w:t>
      </w:r>
      <w:r w:rsidRPr="00621156">
        <w:rPr>
          <w:lang w:val="es-419"/>
        </w:rPr>
        <w:t>La Comisión aconsejó a la dirección que buscara herramientas digitales mejoradas de lucha contra el fraude, reforzara la comunicaci</w:t>
      </w:r>
      <w:r w:rsidR="0005734F" w:rsidRPr="00621156">
        <w:rPr>
          <w:lang w:val="es-419"/>
        </w:rPr>
        <w:t xml:space="preserve">ón </w:t>
      </w:r>
      <w:r w:rsidRPr="00621156">
        <w:rPr>
          <w:lang w:val="es-419"/>
        </w:rPr>
        <w:t>interna y evaluara la eficacia de las actividades de lucha contra el fraude.</w:t>
      </w:r>
    </w:p>
    <w:p w14:paraId="5C9436FE" w14:textId="77777777" w:rsidR="008D03C4" w:rsidRPr="00621156" w:rsidRDefault="008D03C4" w:rsidP="00380FA6">
      <w:pPr>
        <w:spacing w:after="220"/>
        <w:ind w:left="567"/>
        <w:rPr>
          <w:lang w:val="es-419"/>
        </w:rPr>
      </w:pPr>
      <w:r w:rsidRPr="00621156">
        <w:rPr>
          <w:i/>
          <w:lang w:val="es-419"/>
        </w:rPr>
        <w:t>Información actualizada sobre gobernanza de datos</w:t>
      </w:r>
    </w:p>
    <w:p w14:paraId="70C51B00" w14:textId="76B9F421" w:rsidR="008D03C4" w:rsidRPr="00621156" w:rsidRDefault="008D03C4" w:rsidP="008D03C4">
      <w:pPr>
        <w:numPr>
          <w:ilvl w:val="0"/>
          <w:numId w:val="10"/>
        </w:numPr>
        <w:spacing w:after="220"/>
        <w:rPr>
          <w:lang w:val="es-419"/>
        </w:rPr>
      </w:pPr>
      <w:r w:rsidRPr="00621156">
        <w:rPr>
          <w:lang w:val="es-419"/>
        </w:rPr>
        <w:t>Durante su 75.ª sesión, la Comisión examinó información actualizada facilitada por el oficial principal de seguridad acerca de seguridad y aseguramiento de la información.</w:t>
      </w:r>
      <w:r w:rsidR="00837E91" w:rsidRPr="00621156">
        <w:rPr>
          <w:lang w:val="es-419"/>
        </w:rPr>
        <w:t xml:space="preserve"> </w:t>
      </w:r>
      <w:r w:rsidRPr="00621156">
        <w:rPr>
          <w:lang w:val="es-419"/>
        </w:rPr>
        <w:t>Señaló que la gobernanza de datos es una cuestión emergente que se está abordando mediante la contratación de un oficial jefe de datos, la elaboración de una estrategia de gobernanza de datos y prestando más atención a la seguridad y privacidad de los datos.</w:t>
      </w:r>
      <w:r w:rsidR="00837E91" w:rsidRPr="00621156">
        <w:rPr>
          <w:lang w:val="es-419"/>
        </w:rPr>
        <w:t xml:space="preserve"> </w:t>
      </w:r>
      <w:r w:rsidRPr="00621156">
        <w:rPr>
          <w:lang w:val="es-419"/>
        </w:rPr>
        <w:t>Estos representan activos y recursos fundamentales para la Organización, por lo que la Comisión entiende que merecen ser priorizados por los altos directivos de la OMPI.</w:t>
      </w:r>
      <w:r w:rsidR="00837E91" w:rsidRPr="00621156">
        <w:rPr>
          <w:lang w:val="es-419"/>
        </w:rPr>
        <w:t xml:space="preserve"> </w:t>
      </w:r>
      <w:r w:rsidRPr="00621156">
        <w:rPr>
          <w:lang w:val="es-419"/>
        </w:rPr>
        <w:t>La Comisión aguarda con interés recibir información adicional cuando la nueva estrategia de datos haya sido finalizada.</w:t>
      </w:r>
    </w:p>
    <w:p w14:paraId="0D6E3E75" w14:textId="77777777" w:rsidR="008D03C4" w:rsidRPr="00621156" w:rsidRDefault="008D03C4" w:rsidP="00380FA6">
      <w:pPr>
        <w:spacing w:after="220"/>
        <w:ind w:left="567"/>
        <w:rPr>
          <w:i/>
          <w:iCs/>
          <w:lang w:val="es-419"/>
        </w:rPr>
      </w:pPr>
      <w:r w:rsidRPr="00621156">
        <w:rPr>
          <w:i/>
          <w:lang w:val="es-419"/>
        </w:rPr>
        <w:t>Información actualizada sobre la postura de la OMPI acerca de la interdependencia y la interacción entre la IA y la PI, así como de su ejecución y aplicación en el ámbito interno</w:t>
      </w:r>
    </w:p>
    <w:p w14:paraId="2397E81B" w14:textId="3DFC9277" w:rsidR="008D03C4" w:rsidRPr="00621156" w:rsidRDefault="008D03C4" w:rsidP="002735E6">
      <w:pPr>
        <w:numPr>
          <w:ilvl w:val="0"/>
          <w:numId w:val="10"/>
        </w:numPr>
        <w:spacing w:after="220"/>
        <w:rPr>
          <w:lang w:val="es-419"/>
        </w:rPr>
      </w:pPr>
      <w:r w:rsidRPr="00621156">
        <w:rPr>
          <w:lang w:val="es-419"/>
        </w:rPr>
        <w:t>En su 74.ª sesión, la Comisión recibió información actualizada acerca de la interdependencia e interacción entre la IA y la PI, así como de su aplicación en el ámbito interno y de la puesta en marcha de iniciativas. La OMPI ha desarrollado varias herramientas, ha establecido un grupo de trabajo para abordar las cuestiones que plantea la IA y ha publicado orientaciones para el personal sobre el uso responsable de la IA en la Organización.</w:t>
      </w:r>
      <w:r w:rsidR="00837E91" w:rsidRPr="00621156">
        <w:rPr>
          <w:lang w:val="es-419"/>
        </w:rPr>
        <w:t xml:space="preserve"> </w:t>
      </w:r>
      <w:r w:rsidRPr="00621156">
        <w:rPr>
          <w:lang w:val="es-419"/>
        </w:rPr>
        <w:t>La Comisión dijo que valora en suma medida el destacado papel que desempeña la OMPI a ese respecto y alentó a que se siga prestando atención y apoyo a la cuestión dentro de la Organización.</w:t>
      </w:r>
    </w:p>
    <w:p w14:paraId="3BD50F51" w14:textId="77777777" w:rsidR="008D03C4" w:rsidRPr="00621156" w:rsidRDefault="008D03C4" w:rsidP="002735E6">
      <w:pPr>
        <w:pStyle w:val="Heading2"/>
        <w:keepNext w:val="0"/>
        <w:ind w:left="0" w:firstLine="0"/>
        <w:rPr>
          <w:u w:val="single"/>
          <w:lang w:val="es-419"/>
        </w:rPr>
      </w:pPr>
      <w:bookmarkStart w:id="18" w:name="_Toc199343286"/>
      <w:r w:rsidRPr="00621156">
        <w:rPr>
          <w:u w:val="single"/>
          <w:lang w:val="es-419"/>
        </w:rPr>
        <w:t>Aplicación de las recomendaciones de supervisión</w:t>
      </w:r>
      <w:bookmarkEnd w:id="18"/>
    </w:p>
    <w:p w14:paraId="1DD922EB" w14:textId="2BCFD1F0" w:rsidR="008D03C4" w:rsidRPr="00621156" w:rsidRDefault="008D03C4" w:rsidP="008D03C4">
      <w:pPr>
        <w:numPr>
          <w:ilvl w:val="0"/>
          <w:numId w:val="10"/>
        </w:numPr>
        <w:spacing w:after="220"/>
        <w:rPr>
          <w:lang w:val="es-419"/>
        </w:rPr>
      </w:pPr>
      <w:r w:rsidRPr="00621156">
        <w:rPr>
          <w:lang w:val="es-419"/>
        </w:rPr>
        <w:t>Durante cada una de sus sesiones, la Comisión examinó la situación de las recomendaciones de supervisión pendientes formuladas por la DSI, el auditor externo y la DCI.</w:t>
      </w:r>
      <w:r w:rsidR="00837E91" w:rsidRPr="00621156">
        <w:rPr>
          <w:lang w:val="es-419"/>
        </w:rPr>
        <w:t xml:space="preserve"> </w:t>
      </w:r>
      <w:r w:rsidRPr="00621156">
        <w:rPr>
          <w:lang w:val="es-419"/>
        </w:rPr>
        <w:t>La</w:t>
      </w:r>
      <w:r w:rsidR="00C82558" w:rsidRPr="00621156">
        <w:rPr>
          <w:lang w:val="es-419"/>
        </w:rPr>
        <w:t xml:space="preserve"> </w:t>
      </w:r>
      <w:r w:rsidRPr="00621156">
        <w:rPr>
          <w:lang w:val="es-419"/>
        </w:rPr>
        <w:t xml:space="preserve">Comisión tomó nota de las recomendaciones añadidas y </w:t>
      </w:r>
      <w:r w:rsidR="00C82558" w:rsidRPr="00621156">
        <w:rPr>
          <w:lang w:val="es-419"/>
        </w:rPr>
        <w:t xml:space="preserve">las </w:t>
      </w:r>
      <w:r w:rsidRPr="00621156">
        <w:rPr>
          <w:lang w:val="es-419"/>
        </w:rPr>
        <w:t xml:space="preserve">cerradas y centró también su </w:t>
      </w:r>
      <w:r w:rsidRPr="00621156">
        <w:rPr>
          <w:lang w:val="es-419"/>
        </w:rPr>
        <w:lastRenderedPageBreak/>
        <w:t>atención en las recomendaciones de alta prioridad que permanecieron pendientes durante períodos prolongados.</w:t>
      </w:r>
    </w:p>
    <w:p w14:paraId="360C11CE" w14:textId="4C17BA96" w:rsidR="008D03C4" w:rsidRPr="00621156" w:rsidRDefault="008D03C4" w:rsidP="008D03C4">
      <w:pPr>
        <w:numPr>
          <w:ilvl w:val="0"/>
          <w:numId w:val="10"/>
        </w:numPr>
        <w:spacing w:after="220"/>
        <w:rPr>
          <w:lang w:val="es-419"/>
        </w:rPr>
      </w:pPr>
      <w:r w:rsidRPr="00621156">
        <w:rPr>
          <w:lang w:val="es-419"/>
        </w:rPr>
        <w:t>En su 74.ª sesión, la Comisión tomó nota del interés expresado en proporcionar información a los Estados miembros sobre los progresos realizados en la aplicación de todas las recomendaciones pendientes en un formato que sea accesible para los Estados miembros.</w:t>
      </w:r>
      <w:r w:rsidR="00837E91" w:rsidRPr="00621156">
        <w:rPr>
          <w:lang w:val="es-419"/>
        </w:rPr>
        <w:t xml:space="preserve"> </w:t>
      </w:r>
      <w:r w:rsidRPr="00621156">
        <w:rPr>
          <w:lang w:val="es-419"/>
        </w:rPr>
        <w:t>Durante su 76.ª sesión, la Comisión examinó un informe de la DSI sobre la situación de las recomendaciones de supervisión al 14 de marzo de 2025.</w:t>
      </w:r>
      <w:r w:rsidR="00837E91" w:rsidRPr="00621156">
        <w:rPr>
          <w:lang w:val="es-419"/>
        </w:rPr>
        <w:t xml:space="preserve"> </w:t>
      </w:r>
      <w:r w:rsidRPr="00621156">
        <w:rPr>
          <w:lang w:val="es-419"/>
        </w:rPr>
        <w:t>En total, 23 recomendaciones permanecen abiertas, lo que representa una notable reducción respecto de las 30, al mes de diciembre de 2024.</w:t>
      </w:r>
      <w:r w:rsidR="00837E91" w:rsidRPr="00621156">
        <w:rPr>
          <w:lang w:val="es-419"/>
        </w:rPr>
        <w:t xml:space="preserve"> </w:t>
      </w:r>
      <w:r w:rsidRPr="00621156">
        <w:rPr>
          <w:lang w:val="es-419"/>
        </w:rPr>
        <w:t>Desde la última actualización, se cerraron 15 recomendaciones, incluidas dos de alta prioridad, 10 de prioridad media y tres de baja prioridad, algunas de las cuales estaban pendientes desde 2023.</w:t>
      </w:r>
      <w:r w:rsidR="00837E91" w:rsidRPr="00621156">
        <w:rPr>
          <w:lang w:val="es-419"/>
        </w:rPr>
        <w:t xml:space="preserve"> </w:t>
      </w:r>
      <w:r w:rsidRPr="00621156">
        <w:rPr>
          <w:lang w:val="es-419"/>
        </w:rPr>
        <w:t>En promedio, la antigüedad de las recomendaciones abiertas ha mejorado y el diálogo continuo con los autores de las recomendaciones contribuye a avanzar sin pausa hacia la aplicación y el cierre.</w:t>
      </w:r>
    </w:p>
    <w:p w14:paraId="7B53F290" w14:textId="3DB0842E" w:rsidR="008D03C4" w:rsidRPr="00621156" w:rsidRDefault="008D03C4" w:rsidP="008D03C4">
      <w:pPr>
        <w:numPr>
          <w:ilvl w:val="0"/>
          <w:numId w:val="10"/>
        </w:numPr>
        <w:spacing w:after="220"/>
        <w:rPr>
          <w:lang w:val="es-419"/>
        </w:rPr>
      </w:pPr>
      <w:r w:rsidRPr="00621156">
        <w:rPr>
          <w:lang w:val="es-419"/>
        </w:rPr>
        <w:t>El estado de las recomendaciones pendientes representa un avance considerable en comparación con períodos anteriores; por ejemplo, en noviembre de 2022, el número de recomendaciones pendientes ascendía a 97.</w:t>
      </w:r>
      <w:r w:rsidR="00837E91" w:rsidRPr="00621156">
        <w:rPr>
          <w:lang w:val="es-419"/>
        </w:rPr>
        <w:t xml:space="preserve"> </w:t>
      </w:r>
      <w:r w:rsidRPr="00621156">
        <w:rPr>
          <w:lang w:val="es-419"/>
        </w:rPr>
        <w:t>La Comisión tomó nota de que las recomendaciones de la DCI no están incluidas en el análisis sometido a la 76.ª sesión y pidió que se incluyan en los informes en el futuro.</w:t>
      </w:r>
    </w:p>
    <w:p w14:paraId="113148E7" w14:textId="77777777" w:rsidR="00837E91" w:rsidRPr="00621156" w:rsidRDefault="008D03C4" w:rsidP="002735E6">
      <w:pPr>
        <w:pStyle w:val="Heading2"/>
        <w:keepNext w:val="0"/>
        <w:ind w:left="0" w:firstLine="0"/>
        <w:rPr>
          <w:u w:val="single"/>
          <w:lang w:val="es-419"/>
        </w:rPr>
      </w:pPr>
      <w:bookmarkStart w:id="19" w:name="_Toc199343287"/>
      <w:r w:rsidRPr="00621156">
        <w:rPr>
          <w:u w:val="single"/>
          <w:lang w:val="es-419"/>
        </w:rPr>
        <w:t>Oficina de Ética Profesional y Oficina de Mediación.</w:t>
      </w:r>
      <w:bookmarkEnd w:id="19"/>
    </w:p>
    <w:p w14:paraId="0AE8FC82" w14:textId="77777777" w:rsidR="008D03C4" w:rsidRPr="00621156" w:rsidRDefault="008D03C4" w:rsidP="00380FA6">
      <w:pPr>
        <w:spacing w:after="220"/>
        <w:ind w:left="567"/>
        <w:rPr>
          <w:lang w:val="es-419"/>
        </w:rPr>
      </w:pPr>
      <w:r w:rsidRPr="00621156">
        <w:rPr>
          <w:i/>
          <w:lang w:val="es-419"/>
        </w:rPr>
        <w:t>Oficina de Ética Profesional</w:t>
      </w:r>
    </w:p>
    <w:p w14:paraId="53D17B1F" w14:textId="77777777" w:rsidR="008D03C4" w:rsidRPr="00621156" w:rsidRDefault="008D03C4" w:rsidP="008D03C4">
      <w:pPr>
        <w:numPr>
          <w:ilvl w:val="0"/>
          <w:numId w:val="10"/>
        </w:numPr>
        <w:spacing w:after="220"/>
        <w:rPr>
          <w:lang w:val="es-419"/>
        </w:rPr>
      </w:pPr>
      <w:r w:rsidRPr="00621156">
        <w:rPr>
          <w:lang w:val="es-419"/>
        </w:rPr>
        <w:t>En su 73.ª sesión, la Comisión se reunió con el oficial jefe interino de Ética Profesional para examinar las actividades que está realizando, y expresó su agradecimiento por el continuo apoyo prestado a esa importante función durante el período de transición.</w:t>
      </w:r>
    </w:p>
    <w:p w14:paraId="47B93428" w14:textId="69606CD8" w:rsidR="008D03C4" w:rsidRPr="00621156" w:rsidRDefault="008D03C4" w:rsidP="008D03C4">
      <w:pPr>
        <w:numPr>
          <w:ilvl w:val="0"/>
          <w:numId w:val="10"/>
        </w:numPr>
        <w:spacing w:after="220"/>
        <w:rPr>
          <w:lang w:val="es-419"/>
        </w:rPr>
      </w:pPr>
      <w:r w:rsidRPr="00621156">
        <w:rPr>
          <w:lang w:val="es-419"/>
        </w:rPr>
        <w:t>Durante la 74.ª sesión, la nueva oficial jefa de Ética Profesional informó a la Comisión sobre los avances en la aplicación del plan de trabajo de la Oficina a principios de 2024, y sobre su propio plan de trabajo individual para el período de agosto a diciembre de 2024.</w:t>
      </w:r>
      <w:r w:rsidR="00837E91" w:rsidRPr="00621156">
        <w:rPr>
          <w:lang w:val="es-419"/>
        </w:rPr>
        <w:t xml:space="preserve"> </w:t>
      </w:r>
      <w:r w:rsidRPr="00621156">
        <w:rPr>
          <w:lang w:val="es-419"/>
        </w:rPr>
        <w:t>La Comisión tomó nota de que la atención se centraba en cuatro objetivos principales:</w:t>
      </w:r>
      <w:r w:rsidR="00837E91" w:rsidRPr="00621156">
        <w:rPr>
          <w:lang w:val="es-419"/>
        </w:rPr>
        <w:t xml:space="preserve"> </w:t>
      </w:r>
      <w:r w:rsidRPr="00621156">
        <w:rPr>
          <w:lang w:val="es-419"/>
        </w:rPr>
        <w:t>proporcionar asesoramiento y orientación sobre cuestiones éticas al personal de la OMPI, aumentar la conciencia ética, supervisar las políticas de ética y establecer normas, y gestionar las actividades y recursos de la Oficina de Ética Profesional.</w:t>
      </w:r>
      <w:r w:rsidR="00837E91" w:rsidRPr="00621156">
        <w:rPr>
          <w:lang w:val="es-419"/>
        </w:rPr>
        <w:t xml:space="preserve"> </w:t>
      </w:r>
      <w:r w:rsidRPr="00621156">
        <w:rPr>
          <w:lang w:val="es-419"/>
        </w:rPr>
        <w:t>Los planes de trabajo pusieron aún más de relieve la colaboración con las partes interesadas internas y el estudio de las recomendaciones de los órganos de supervisión.</w:t>
      </w:r>
      <w:r w:rsidR="00837E91" w:rsidRPr="00621156">
        <w:rPr>
          <w:lang w:val="es-419"/>
        </w:rPr>
        <w:t xml:space="preserve"> </w:t>
      </w:r>
      <w:r w:rsidRPr="00621156">
        <w:rPr>
          <w:lang w:val="es-419"/>
        </w:rPr>
        <w:t>Se aseguró a la Comisión que la transición había facilitado de manera efectiva un traspaso fluido entre el oficial jefe interino de Ética Profesional y la nueva oficial jefa de Ética Profesional.</w:t>
      </w:r>
      <w:r w:rsidR="00837E91" w:rsidRPr="00621156">
        <w:rPr>
          <w:lang w:val="es-419"/>
        </w:rPr>
        <w:t xml:space="preserve"> </w:t>
      </w:r>
      <w:r w:rsidRPr="00621156">
        <w:rPr>
          <w:lang w:val="es-419"/>
        </w:rPr>
        <w:t>La Comisión acogió con agrado el funcionamiento de la Oficina y respaldó la mejora continua de la función.</w:t>
      </w:r>
    </w:p>
    <w:p w14:paraId="79FE2225" w14:textId="77777777" w:rsidR="00837E91" w:rsidRPr="00621156" w:rsidRDefault="008D03C4" w:rsidP="008D03C4">
      <w:pPr>
        <w:numPr>
          <w:ilvl w:val="0"/>
          <w:numId w:val="10"/>
        </w:numPr>
        <w:spacing w:after="220"/>
        <w:rPr>
          <w:lang w:val="es-419"/>
        </w:rPr>
      </w:pPr>
      <w:r w:rsidRPr="00621156">
        <w:rPr>
          <w:lang w:val="es-419"/>
        </w:rPr>
        <w:t>Durante su 75.ª sesión, la Comisión examinó información actualizada sobre las actividades de la Oficina de Ética Profesional en 2024.</w:t>
      </w:r>
      <w:r w:rsidR="00837E91" w:rsidRPr="00621156">
        <w:rPr>
          <w:lang w:val="es-419"/>
        </w:rPr>
        <w:t xml:space="preserve"> </w:t>
      </w:r>
      <w:r w:rsidRPr="00621156">
        <w:rPr>
          <w:lang w:val="es-419"/>
        </w:rPr>
        <w:t>En esa información, se indicaba que la Oficina recibió un total de 164 solicitudes de asesoramiento en 2024, lo cual representó un aumento considerable desde la llegada de la nueva oficial jefa de Ética Profesional, el 1 de agosto de 2024.</w:t>
      </w:r>
      <w:r w:rsidR="00837E91" w:rsidRPr="00621156">
        <w:rPr>
          <w:lang w:val="es-419"/>
        </w:rPr>
        <w:t xml:space="preserve"> </w:t>
      </w:r>
      <w:r w:rsidRPr="00621156">
        <w:rPr>
          <w:lang w:val="es-419"/>
        </w:rPr>
        <w:t>La mayoría de ellas guardaba relación con actividades externas, represalias, normas de conducta y asesoramiento de otra índole sobre ética profesional.</w:t>
      </w:r>
      <w:r w:rsidR="00837E91" w:rsidRPr="00621156">
        <w:rPr>
          <w:lang w:val="es-419"/>
        </w:rPr>
        <w:t xml:space="preserve"> </w:t>
      </w:r>
      <w:r w:rsidRPr="00621156">
        <w:rPr>
          <w:lang w:val="es-419"/>
        </w:rPr>
        <w:t>La oficial jefa llevó a cabo una serie de actividades de formación y eventos de divulgación, y continuó con la elaboración de un plan de trabajo anual para 2025, que la Comisión examinó.</w:t>
      </w:r>
      <w:r w:rsidR="00837E91" w:rsidRPr="00621156">
        <w:rPr>
          <w:lang w:val="es-419"/>
        </w:rPr>
        <w:t xml:space="preserve"> </w:t>
      </w:r>
      <w:r w:rsidRPr="00621156">
        <w:rPr>
          <w:lang w:val="es-419"/>
        </w:rPr>
        <w:t>En este se incluyó la revisión de la política sobre las actividades externas y de las Directrices sobre divulgación financiera y declaración de intereses</w:t>
      </w:r>
      <w:r w:rsidR="00837E91" w:rsidRPr="00621156">
        <w:rPr>
          <w:lang w:val="es-419"/>
        </w:rPr>
        <w:t xml:space="preserve"> </w:t>
      </w:r>
      <w:r w:rsidRPr="00621156">
        <w:rPr>
          <w:lang w:val="es-419"/>
        </w:rPr>
        <w:t>así como del mandato de la Oficina de Ética Profesional.</w:t>
      </w:r>
      <w:r w:rsidR="00837E91" w:rsidRPr="00621156">
        <w:rPr>
          <w:lang w:val="es-419"/>
        </w:rPr>
        <w:t xml:space="preserve"> </w:t>
      </w:r>
      <w:r w:rsidRPr="00621156">
        <w:rPr>
          <w:lang w:val="es-419"/>
        </w:rPr>
        <w:t>También se examinó el plan bienal a más largo plazo, para los años 2026 y 2027.</w:t>
      </w:r>
    </w:p>
    <w:p w14:paraId="18188699" w14:textId="460D484D" w:rsidR="008D03C4" w:rsidRPr="00621156" w:rsidRDefault="008D03C4" w:rsidP="008D03C4">
      <w:pPr>
        <w:numPr>
          <w:ilvl w:val="0"/>
          <w:numId w:val="10"/>
        </w:numPr>
        <w:spacing w:after="220"/>
        <w:rPr>
          <w:lang w:val="es-419"/>
        </w:rPr>
      </w:pPr>
      <w:r w:rsidRPr="00621156">
        <w:rPr>
          <w:lang w:val="es-419"/>
        </w:rPr>
        <w:lastRenderedPageBreak/>
        <w:t>Durante su 76.ª sesión, la Comisión examinó información actualizada de la oficial jefa de Ética Profesional en la que se destacó el aumento de las actividades de asesoramiento en relación con 74 peticiones de asesoramiento recibidas entre diciembre de 2024 y febrero de 2025.</w:t>
      </w:r>
      <w:r w:rsidR="00837E91" w:rsidRPr="00621156">
        <w:rPr>
          <w:lang w:val="es-419"/>
        </w:rPr>
        <w:t xml:space="preserve"> </w:t>
      </w:r>
      <w:r w:rsidRPr="00621156">
        <w:rPr>
          <w:lang w:val="es-419"/>
        </w:rPr>
        <w:t>Entre los temas más comunes que abarcaron esas peticiones, cabe señalar las actividades externas, conflictos en el lugar de trabajo y otras cuestiones de ética profesional.</w:t>
      </w:r>
      <w:r w:rsidR="00837E91" w:rsidRPr="00621156">
        <w:rPr>
          <w:lang w:val="es-419"/>
        </w:rPr>
        <w:t xml:space="preserve"> </w:t>
      </w:r>
      <w:r w:rsidRPr="00621156">
        <w:rPr>
          <w:lang w:val="es-419"/>
        </w:rPr>
        <w:t>La Comisión examinó el seguimiento de las recomendaciones pendientes, la introducción de nuevos requisitos de divulgación relacionados con la PI, los avances en la aplicación del plan de trabajo, las modalidades de los exámenes periódicos independientes de garantía de la calidad de la Oficina de Ética Profesional y la situación de los casos de represalias.</w:t>
      </w:r>
      <w:r w:rsidR="00837E91" w:rsidRPr="00621156">
        <w:rPr>
          <w:lang w:val="es-419"/>
        </w:rPr>
        <w:t xml:space="preserve"> </w:t>
      </w:r>
      <w:r w:rsidRPr="00621156">
        <w:rPr>
          <w:lang w:val="es-419"/>
        </w:rPr>
        <w:t xml:space="preserve">La Comisión espera con interés examinar en su </w:t>
      </w:r>
      <w:r w:rsidR="0007307F" w:rsidRPr="00621156">
        <w:rPr>
          <w:lang w:val="es-419"/>
        </w:rPr>
        <w:t>próxima</w:t>
      </w:r>
      <w:r w:rsidRPr="00621156">
        <w:rPr>
          <w:lang w:val="es-419"/>
        </w:rPr>
        <w:t xml:space="preserve"> sesión el informe anual de 2024 de la Oficina de Ética Profesional.</w:t>
      </w:r>
      <w:r w:rsidR="00837E91" w:rsidRPr="00621156">
        <w:rPr>
          <w:lang w:val="es-419"/>
        </w:rPr>
        <w:t xml:space="preserve"> </w:t>
      </w:r>
      <w:r w:rsidRPr="00621156">
        <w:rPr>
          <w:lang w:val="es-419"/>
        </w:rPr>
        <w:t xml:space="preserve">Agradeció también la </w:t>
      </w:r>
      <w:r w:rsidR="0007307F" w:rsidRPr="00621156">
        <w:rPr>
          <w:lang w:val="es-419"/>
        </w:rPr>
        <w:t>contribución</w:t>
      </w:r>
      <w:r w:rsidRPr="00621156">
        <w:rPr>
          <w:lang w:val="es-419"/>
        </w:rPr>
        <w:t xml:space="preserve"> de la Oficina de Ética Profesional y dijo ver con buenos ojos su funcionamiento, eficaz y eficiente.</w:t>
      </w:r>
    </w:p>
    <w:p w14:paraId="42ADF1C2" w14:textId="1AF5DDB7" w:rsidR="008D03C4" w:rsidRPr="00621156" w:rsidRDefault="008D03C4" w:rsidP="00380FA6">
      <w:pPr>
        <w:spacing w:after="220"/>
        <w:ind w:left="567"/>
        <w:rPr>
          <w:lang w:val="es-419"/>
        </w:rPr>
      </w:pPr>
      <w:r w:rsidRPr="00621156">
        <w:rPr>
          <w:i/>
          <w:lang w:val="es-419"/>
        </w:rPr>
        <w:t xml:space="preserve">Oficina de </w:t>
      </w:r>
      <w:r w:rsidR="00C82558" w:rsidRPr="00621156">
        <w:rPr>
          <w:i/>
          <w:lang w:val="es-419"/>
        </w:rPr>
        <w:t>Mediación</w:t>
      </w:r>
    </w:p>
    <w:p w14:paraId="4553FBB0" w14:textId="112225C2" w:rsidR="008D03C4" w:rsidRPr="00621156" w:rsidRDefault="008D03C4" w:rsidP="008D03C4">
      <w:pPr>
        <w:numPr>
          <w:ilvl w:val="0"/>
          <w:numId w:val="10"/>
        </w:numPr>
        <w:spacing w:after="220"/>
        <w:rPr>
          <w:lang w:val="es-419"/>
        </w:rPr>
      </w:pPr>
      <w:r w:rsidRPr="00621156">
        <w:rPr>
          <w:lang w:val="es-419"/>
        </w:rPr>
        <w:t>Durante su 73.ª sesión, la Comisión examinó el proyecto de informe anual preparado por la mediadora interina.</w:t>
      </w:r>
      <w:r w:rsidR="00837E91" w:rsidRPr="00621156">
        <w:rPr>
          <w:lang w:val="es-419"/>
        </w:rPr>
        <w:t xml:space="preserve"> </w:t>
      </w:r>
      <w:r w:rsidRPr="00621156">
        <w:rPr>
          <w:lang w:val="es-419"/>
        </w:rPr>
        <w:t xml:space="preserve">Acogió con beneplácito la labor realizada por la Oficina y sigue opinando que sería conveniente que la OMPI dedique tiempo suficiente a la Oficina, de conformidad con los criterios que se aplican en el sistema de </w:t>
      </w:r>
      <w:r w:rsidR="0059207C" w:rsidRPr="00621156">
        <w:rPr>
          <w:lang w:val="es-419"/>
        </w:rPr>
        <w:t>las Naciones Unidas</w:t>
      </w:r>
      <w:r w:rsidRPr="00621156">
        <w:rPr>
          <w:lang w:val="es-419"/>
        </w:rPr>
        <w:t>.</w:t>
      </w:r>
    </w:p>
    <w:p w14:paraId="7CCF469A" w14:textId="2319AABF" w:rsidR="008D03C4" w:rsidRPr="00621156" w:rsidRDefault="0007307F" w:rsidP="008D03C4">
      <w:pPr>
        <w:numPr>
          <w:ilvl w:val="0"/>
          <w:numId w:val="10"/>
        </w:numPr>
        <w:spacing w:after="220"/>
        <w:rPr>
          <w:lang w:val="es-419"/>
        </w:rPr>
      </w:pPr>
      <w:r w:rsidRPr="00621156">
        <w:rPr>
          <w:lang w:val="es-419"/>
        </w:rPr>
        <w:t>Durante</w:t>
      </w:r>
      <w:r w:rsidR="008D03C4" w:rsidRPr="00621156">
        <w:rPr>
          <w:lang w:val="es-419"/>
        </w:rPr>
        <w:t xml:space="preserve"> su 74:ª sesión, la Comisión examinó un tablero proporcionado por la mediadora interina en que se resumían las actividades de la Oficina de Mediación.</w:t>
      </w:r>
      <w:r w:rsidR="00837E91" w:rsidRPr="00621156">
        <w:rPr>
          <w:lang w:val="es-419"/>
        </w:rPr>
        <w:t xml:space="preserve"> </w:t>
      </w:r>
      <w:r w:rsidR="008D03C4" w:rsidRPr="00621156">
        <w:rPr>
          <w:lang w:val="es-419"/>
        </w:rPr>
        <w:t>Tomó nota de la importancia de la función y del aumento de la demanda del servicio.</w:t>
      </w:r>
      <w:r w:rsidR="00837E91" w:rsidRPr="00621156">
        <w:rPr>
          <w:lang w:val="es-419"/>
        </w:rPr>
        <w:t xml:space="preserve"> </w:t>
      </w:r>
      <w:r w:rsidR="008D03C4" w:rsidRPr="00621156">
        <w:rPr>
          <w:lang w:val="es-419"/>
        </w:rPr>
        <w:t>Acogió con satisfacción la prórroga de tres meses de la dotación de personal de la Oficina hasta que se llegara a un arreglo diferente con la Oficina de la Ómbudsman y de Servicios de Mediación de las Naciones Unidas.</w:t>
      </w:r>
      <w:r w:rsidR="00837E91" w:rsidRPr="00621156">
        <w:rPr>
          <w:lang w:val="es-419"/>
        </w:rPr>
        <w:t xml:space="preserve"> </w:t>
      </w:r>
      <w:r w:rsidR="008D03C4" w:rsidRPr="00621156">
        <w:rPr>
          <w:lang w:val="es-419"/>
        </w:rPr>
        <w:t>La Comisión expresó su reconocimiento a la labor realizada por la mediadora interina.</w:t>
      </w:r>
    </w:p>
    <w:p w14:paraId="123E35CC" w14:textId="2AB81D55" w:rsidR="008D03C4" w:rsidRPr="00621156" w:rsidRDefault="008D03C4" w:rsidP="008D03C4">
      <w:pPr>
        <w:numPr>
          <w:ilvl w:val="0"/>
          <w:numId w:val="10"/>
        </w:numPr>
        <w:spacing w:after="220"/>
        <w:rPr>
          <w:lang w:val="es-419"/>
        </w:rPr>
      </w:pPr>
      <w:r w:rsidRPr="00621156">
        <w:rPr>
          <w:lang w:val="es-419"/>
        </w:rPr>
        <w:t>Durante su 75.ª sesión, la Comisión examinó una lista de verificación proporcionada por la titular de la Oficina de Mediación, en la que se referían las actividades de esta dependencia.</w:t>
      </w:r>
      <w:r w:rsidR="00837E91" w:rsidRPr="00621156">
        <w:rPr>
          <w:lang w:val="es-419"/>
        </w:rPr>
        <w:t xml:space="preserve"> </w:t>
      </w:r>
      <w:r w:rsidRPr="00621156">
        <w:rPr>
          <w:lang w:val="es-419"/>
        </w:rPr>
        <w:t>En ese documento se indicaba que en los primeros 11 meses de 2024, la Oficina de Mediación había tramitado 54 casos, la mayoría referidos a relaciones jerárquicas, conductas prohibidas e incumplimientos de las disposiciones en vigor, y problemas de carácter laboral o profesional.</w:t>
      </w:r>
      <w:r w:rsidR="00837E91" w:rsidRPr="00621156">
        <w:rPr>
          <w:lang w:val="es-419"/>
        </w:rPr>
        <w:t xml:space="preserve"> </w:t>
      </w:r>
      <w:r w:rsidRPr="00621156">
        <w:rPr>
          <w:lang w:val="es-419"/>
        </w:rPr>
        <w:t>Tomó nota de la importancia de la función y del aumento de la demanda del servicio.</w:t>
      </w:r>
      <w:r w:rsidR="00837E91" w:rsidRPr="00621156">
        <w:rPr>
          <w:lang w:val="es-419"/>
        </w:rPr>
        <w:t xml:space="preserve"> </w:t>
      </w:r>
      <w:r w:rsidRPr="00621156">
        <w:rPr>
          <w:lang w:val="es-419"/>
        </w:rPr>
        <w:t>Acogió con satisfacción la prórroga de seis meses de la dotación de personal de la Oficina hasta que se acordara un arreglo diferente con la Oficina de la Ómbudsman y de Servicios de Mediación de las Naciones Unidas.</w:t>
      </w:r>
      <w:r w:rsidR="00837E91" w:rsidRPr="00621156">
        <w:rPr>
          <w:lang w:val="es-419"/>
        </w:rPr>
        <w:t xml:space="preserve"> </w:t>
      </w:r>
      <w:r w:rsidRPr="00621156">
        <w:rPr>
          <w:lang w:val="es-419"/>
        </w:rPr>
        <w:t>La Comisión manifestó su interés en evaluar la eficacia de esta nueva solución, que se había retrasado y que ahora estaba prevista para mediados de 2025.</w:t>
      </w:r>
      <w:r w:rsidR="00837E91" w:rsidRPr="00621156">
        <w:rPr>
          <w:lang w:val="es-419"/>
        </w:rPr>
        <w:t xml:space="preserve"> </w:t>
      </w:r>
      <w:r w:rsidRPr="00621156">
        <w:rPr>
          <w:lang w:val="es-419"/>
        </w:rPr>
        <w:t>La mediadora interina prestó asesoramiento sobre:</w:t>
      </w:r>
      <w:r w:rsidR="00837E91" w:rsidRPr="00621156">
        <w:rPr>
          <w:lang w:val="es-419"/>
        </w:rPr>
        <w:t xml:space="preserve"> </w:t>
      </w:r>
      <w:r w:rsidRPr="00621156">
        <w:rPr>
          <w:lang w:val="es-419"/>
        </w:rPr>
        <w:t>i) la necesidad de reforzar el papel de los superiores jerárquicos directos en la mitigación de conflictos, a través de medidas como la capacitación de personal directivo; ii) la importancia de prestar atención al espíritu de equipo y a la motivación de estos; y iii) la conveniencia de reforzar la ética, los valores y las normas de la Organización.</w:t>
      </w:r>
      <w:r w:rsidR="00837E91" w:rsidRPr="00621156">
        <w:rPr>
          <w:lang w:val="es-419"/>
        </w:rPr>
        <w:t xml:space="preserve"> </w:t>
      </w:r>
      <w:r w:rsidRPr="00621156">
        <w:rPr>
          <w:lang w:val="es-419"/>
        </w:rPr>
        <w:t>La Comisión expresó su reconocimiento a la labor realizada por la mediadora interina.</w:t>
      </w:r>
    </w:p>
    <w:p w14:paraId="2F7CAC66" w14:textId="3138F357" w:rsidR="008D03C4" w:rsidRPr="00621156" w:rsidRDefault="008D03C4" w:rsidP="008D03C4">
      <w:pPr>
        <w:numPr>
          <w:ilvl w:val="0"/>
          <w:numId w:val="10"/>
        </w:numPr>
        <w:spacing w:after="220"/>
        <w:rPr>
          <w:lang w:val="es-419"/>
        </w:rPr>
      </w:pPr>
      <w:r w:rsidRPr="00621156">
        <w:rPr>
          <w:lang w:val="es-419"/>
        </w:rPr>
        <w:t>Durante su 76.ª sesión, la Comisión examinó información actualizada proporcionada por la mediadora respecto del primer trimestre de 2025.</w:t>
      </w:r>
      <w:r w:rsidR="00837E91" w:rsidRPr="00621156">
        <w:rPr>
          <w:lang w:val="es-419"/>
        </w:rPr>
        <w:t xml:space="preserve"> </w:t>
      </w:r>
      <w:r w:rsidRPr="00621156">
        <w:rPr>
          <w:lang w:val="es-419"/>
        </w:rPr>
        <w:t>La mediadora indicó haber tratado 15 casos relativos a 16 visitantes y un total de 29 visitas de enero a marzo.</w:t>
      </w:r>
      <w:r w:rsidR="00837E91" w:rsidRPr="00621156">
        <w:rPr>
          <w:lang w:val="es-419"/>
        </w:rPr>
        <w:t xml:space="preserve"> </w:t>
      </w:r>
      <w:r w:rsidRPr="00621156">
        <w:rPr>
          <w:lang w:val="es-419"/>
        </w:rPr>
        <w:t>Las relaciones de supervisión se plantearon como la principal inquietud y correspondieron a 11 casos relativos a cuestiones específicas respecto de evaluación de la actuación profesional, el estado de ánimo de un equipo y eficacia de la supervisión.</w:t>
      </w:r>
      <w:r w:rsidR="00837E91" w:rsidRPr="00621156">
        <w:rPr>
          <w:lang w:val="es-419"/>
        </w:rPr>
        <w:t xml:space="preserve"> </w:t>
      </w:r>
      <w:r w:rsidRPr="00621156">
        <w:rPr>
          <w:lang w:val="es-419"/>
        </w:rPr>
        <w:t>La Comisión examinó las posibles disposiciones de transición y tomó nota de que el mandato de la actual mediadora se ha prorrogado hasta junio de 2025.</w:t>
      </w:r>
      <w:r w:rsidR="00837E91" w:rsidRPr="00621156">
        <w:rPr>
          <w:lang w:val="es-419"/>
        </w:rPr>
        <w:t xml:space="preserve"> </w:t>
      </w:r>
      <w:r w:rsidRPr="00621156">
        <w:rPr>
          <w:lang w:val="es-419"/>
        </w:rPr>
        <w:t>Apoyó la iniciativa de la mediadora de preparar y publicar un informe anual en línea.</w:t>
      </w:r>
      <w:r w:rsidR="00837E91" w:rsidRPr="00621156">
        <w:rPr>
          <w:lang w:val="es-419"/>
        </w:rPr>
        <w:t xml:space="preserve"> </w:t>
      </w:r>
      <w:r w:rsidRPr="00621156">
        <w:rPr>
          <w:lang w:val="es-419"/>
        </w:rPr>
        <w:t>La Oficina de la Mediadora siguió funcionando con eficacia en los procesos de solución informal de conflictos, en consulta con otras entidades de la Organización, cuando fue necesario.</w:t>
      </w:r>
    </w:p>
    <w:p w14:paraId="259A5406" w14:textId="77777777" w:rsidR="008D03C4" w:rsidRPr="00621156" w:rsidRDefault="008D03C4" w:rsidP="002735E6">
      <w:pPr>
        <w:pStyle w:val="Heading2"/>
        <w:keepNext w:val="0"/>
        <w:ind w:left="0" w:firstLine="0"/>
        <w:rPr>
          <w:u w:val="single"/>
          <w:lang w:val="es-419"/>
        </w:rPr>
      </w:pPr>
      <w:bookmarkStart w:id="20" w:name="_Toc199343288"/>
      <w:r w:rsidRPr="00621156">
        <w:rPr>
          <w:u w:val="single"/>
          <w:lang w:val="es-419"/>
        </w:rPr>
        <w:lastRenderedPageBreak/>
        <w:t>Información actualizada sobre gestión de los recursos humanos</w:t>
      </w:r>
      <w:bookmarkEnd w:id="20"/>
    </w:p>
    <w:p w14:paraId="13918676" w14:textId="3EF5E33F" w:rsidR="008D03C4" w:rsidRPr="00621156" w:rsidRDefault="008D03C4" w:rsidP="008D03C4">
      <w:pPr>
        <w:numPr>
          <w:ilvl w:val="0"/>
          <w:numId w:val="10"/>
        </w:numPr>
        <w:spacing w:after="220"/>
        <w:rPr>
          <w:lang w:val="es-419"/>
        </w:rPr>
      </w:pPr>
      <w:r w:rsidRPr="00621156">
        <w:rPr>
          <w:lang w:val="es-419"/>
        </w:rPr>
        <w:t>Durante la 74.ª sesión, la directora del Departamento de Gestión de los Recursos Humanos (DGRRHH) proporcionó a la Comisión información actualizada sobre movilidad, planificación estratégica de los recursos de personal, reestructuración de las operaciones de recursos humanos, plan de acción de diversidad geográfica y salud y seguridad en el trabajo, así como los resultados de la encuesta sobre la implicación de los empleados.</w:t>
      </w:r>
      <w:r w:rsidR="00837E91" w:rsidRPr="00621156">
        <w:rPr>
          <w:lang w:val="es-419"/>
        </w:rPr>
        <w:t xml:space="preserve"> </w:t>
      </w:r>
      <w:r w:rsidRPr="00621156">
        <w:rPr>
          <w:lang w:val="es-419"/>
        </w:rPr>
        <w:t>La directora proporcionó más información actualizada sobre las actividades de contratación relacionadas con los puestos de oficial jefe de Ética Profesional y asesor médico</w:t>
      </w:r>
      <w:r w:rsidR="00D86DF9" w:rsidRPr="00621156">
        <w:rPr>
          <w:lang w:val="es-419"/>
        </w:rPr>
        <w:t xml:space="preserve"> </w:t>
      </w:r>
      <w:r w:rsidRPr="00621156">
        <w:rPr>
          <w:lang w:val="es-419"/>
        </w:rPr>
        <w:t>principal y con la dotación de personal de la Oficina de Mediación y la DSI.</w:t>
      </w:r>
      <w:r w:rsidR="00837E91" w:rsidRPr="00621156">
        <w:rPr>
          <w:lang w:val="es-419"/>
        </w:rPr>
        <w:t xml:space="preserve"> </w:t>
      </w:r>
      <w:r w:rsidRPr="00621156">
        <w:rPr>
          <w:lang w:val="es-419"/>
        </w:rPr>
        <w:t>La Comisión tomó nota de las iniciativas que están en curso en el ámbito de los recursos humanos.</w:t>
      </w:r>
    </w:p>
    <w:p w14:paraId="425529CF" w14:textId="65E436D2" w:rsidR="008D03C4" w:rsidRPr="00621156" w:rsidRDefault="008D03C4" w:rsidP="008D03C4">
      <w:pPr>
        <w:numPr>
          <w:ilvl w:val="0"/>
          <w:numId w:val="10"/>
        </w:numPr>
        <w:spacing w:after="220"/>
        <w:rPr>
          <w:lang w:val="es-419"/>
        </w:rPr>
      </w:pPr>
      <w:r w:rsidRPr="00621156">
        <w:rPr>
          <w:lang w:val="es-419"/>
        </w:rPr>
        <w:t xml:space="preserve">Durante su 75ª sesión, la Comisión examinó información actualizada proporcionada por </w:t>
      </w:r>
      <w:r w:rsidR="008C106F" w:rsidRPr="00621156">
        <w:rPr>
          <w:lang w:val="es-419"/>
        </w:rPr>
        <w:t>la</w:t>
      </w:r>
      <w:r w:rsidRPr="00621156">
        <w:rPr>
          <w:lang w:val="es-419"/>
        </w:rPr>
        <w:t xml:space="preserve"> </w:t>
      </w:r>
      <w:r w:rsidR="008C106F" w:rsidRPr="00621156">
        <w:rPr>
          <w:lang w:val="es-419"/>
        </w:rPr>
        <w:t xml:space="preserve">directora </w:t>
      </w:r>
      <w:r w:rsidRPr="00621156">
        <w:rPr>
          <w:lang w:val="es-419"/>
        </w:rPr>
        <w:t>del DGRRHH sobre la situación de las contrataciones en la DSI y las disposiciones relativas a los servicios de mediación y del consejero del personal.</w:t>
      </w:r>
      <w:r w:rsidR="00837E91" w:rsidRPr="00621156">
        <w:rPr>
          <w:lang w:val="es-419"/>
        </w:rPr>
        <w:t xml:space="preserve"> </w:t>
      </w:r>
      <w:r w:rsidRPr="00621156">
        <w:rPr>
          <w:lang w:val="es-419"/>
        </w:rPr>
        <w:t>La información actualizada también incluyó detalles sobre iniciativas clave en el ámbito de la gestión de los recursos humanos, entre ellas, la planificación de los recursos de personal, los servicios de salud y seguridad en el trabajo, la movilidad del personal, la aplicación del sistema de PRI y las principales prioridades del DGRRHH para 2025.</w:t>
      </w:r>
      <w:r w:rsidR="00837E91" w:rsidRPr="00621156">
        <w:rPr>
          <w:lang w:val="es-419"/>
        </w:rPr>
        <w:t xml:space="preserve"> </w:t>
      </w:r>
      <w:r w:rsidRPr="00621156">
        <w:rPr>
          <w:lang w:val="es-419"/>
        </w:rPr>
        <w:t>La Comisión examinó con la directora del DGRRHH la necesidad de contar con indicadores clave de rendimiento adecuados, una vez que esté en marcha en nuevo sistema de PRI.</w:t>
      </w:r>
    </w:p>
    <w:p w14:paraId="3E582C31" w14:textId="77777777" w:rsidR="008D03C4" w:rsidRPr="00621156" w:rsidRDefault="008D03C4" w:rsidP="002735E6">
      <w:pPr>
        <w:pStyle w:val="Heading2"/>
        <w:keepNext w:val="0"/>
        <w:ind w:left="0" w:firstLine="0"/>
        <w:rPr>
          <w:u w:val="single"/>
          <w:lang w:val="es-419"/>
        </w:rPr>
      </w:pPr>
      <w:bookmarkStart w:id="21" w:name="_Toc199343289"/>
      <w:r w:rsidRPr="00621156">
        <w:rPr>
          <w:u w:val="single"/>
          <w:lang w:val="es-419"/>
        </w:rPr>
        <w:t>Otros asuntos</w:t>
      </w:r>
      <w:bookmarkEnd w:id="21"/>
    </w:p>
    <w:p w14:paraId="51AB5069" w14:textId="77777777" w:rsidR="008D03C4" w:rsidRPr="00621156" w:rsidRDefault="008D03C4" w:rsidP="002735E6">
      <w:pPr>
        <w:spacing w:after="220"/>
        <w:ind w:left="567"/>
        <w:rPr>
          <w:lang w:val="es-419"/>
        </w:rPr>
      </w:pPr>
      <w:r w:rsidRPr="00621156">
        <w:rPr>
          <w:i/>
          <w:lang w:val="es-419"/>
        </w:rPr>
        <w:t>Informes de la OMPI relativos a las inversiones</w:t>
      </w:r>
    </w:p>
    <w:p w14:paraId="7F1BC57F" w14:textId="6E0322A5" w:rsidR="008D03C4" w:rsidRPr="00621156" w:rsidRDefault="008D03C4" w:rsidP="008D03C4">
      <w:pPr>
        <w:numPr>
          <w:ilvl w:val="0"/>
          <w:numId w:val="10"/>
        </w:numPr>
        <w:spacing w:after="220"/>
        <w:rPr>
          <w:lang w:val="es-419"/>
        </w:rPr>
      </w:pPr>
      <w:r w:rsidRPr="00621156">
        <w:rPr>
          <w:lang w:val="es-419"/>
        </w:rPr>
        <w:t>Por petición de los Estados miembros, la Secretaría presentó a la Comisión, en cada una de sus sesiones, los informes mensuales disponibles sobre el rendimiento de las inversiones y sobre el seguimiento de las inversiones, preparados por los asesores en materia de inversión y por el depositario, respectivamente.</w:t>
      </w:r>
      <w:r w:rsidR="00837E91" w:rsidRPr="00621156">
        <w:rPr>
          <w:lang w:val="es-419"/>
        </w:rPr>
        <w:t xml:space="preserve"> </w:t>
      </w:r>
      <w:r w:rsidRPr="00621156">
        <w:rPr>
          <w:lang w:val="es-419"/>
        </w:rPr>
        <w:t>La Comisión aclaró que su función se limita a trasmitir a los Estados miembros la información contenida en los mencionados informes y que no puede ofrecer garantías al respecto.</w:t>
      </w:r>
    </w:p>
    <w:p w14:paraId="7E149CF8" w14:textId="1B720084" w:rsidR="008D03C4" w:rsidRPr="00621156" w:rsidRDefault="008D03C4" w:rsidP="008D03C4">
      <w:pPr>
        <w:numPr>
          <w:ilvl w:val="0"/>
          <w:numId w:val="10"/>
        </w:numPr>
        <w:spacing w:after="220"/>
        <w:rPr>
          <w:lang w:val="es-419"/>
        </w:rPr>
      </w:pPr>
      <w:r w:rsidRPr="00621156">
        <w:rPr>
          <w:lang w:val="es-419"/>
        </w:rPr>
        <w:t>En cuanto al examen periódico de los informes mensuales de inversión para el período entre marzo de 2024 y febrero de 2025, la Comisión confirmó que la información facilitada durante el período de referencia mostró que, frente a la referencia del mercado de inversiones, todos los instrumentos de la cartera de inversiones de la OMPI se gestionan de conformidad con la estrategia de inversión establecida.</w:t>
      </w:r>
      <w:r w:rsidR="00837E91" w:rsidRPr="00621156">
        <w:rPr>
          <w:lang w:val="es-419"/>
        </w:rPr>
        <w:t xml:space="preserve"> </w:t>
      </w:r>
      <w:r w:rsidRPr="00621156">
        <w:rPr>
          <w:lang w:val="es-419"/>
        </w:rPr>
        <w:t>Además, la Comisión confirmó que el depositario no ha notificado ninguna infracción, ni activa ni pasiva, ni excepciones justificadas.</w:t>
      </w:r>
    </w:p>
    <w:p w14:paraId="0697A291" w14:textId="1379C2E6" w:rsidR="008D03C4" w:rsidRPr="00621156" w:rsidRDefault="008D03C4" w:rsidP="00257FF1">
      <w:pPr>
        <w:pStyle w:val="Heading1"/>
        <w:keepNext w:val="0"/>
        <w:ind w:left="0" w:firstLine="0"/>
        <w:rPr>
          <w:lang w:val="es-419"/>
        </w:rPr>
      </w:pPr>
      <w:bookmarkStart w:id="22" w:name="_Toc199343290"/>
      <w:r w:rsidRPr="00621156">
        <w:rPr>
          <w:lang w:val="es-419"/>
        </w:rPr>
        <w:t>OBSERVACIONES FINALES</w:t>
      </w:r>
      <w:bookmarkEnd w:id="22"/>
    </w:p>
    <w:p w14:paraId="63CE72DE" w14:textId="25EE613A" w:rsidR="008D03C4" w:rsidRPr="00621156" w:rsidRDefault="008D03C4" w:rsidP="00D86DF9">
      <w:pPr>
        <w:numPr>
          <w:ilvl w:val="0"/>
          <w:numId w:val="10"/>
        </w:numPr>
        <w:spacing w:after="840"/>
        <w:rPr>
          <w:lang w:val="es-419"/>
        </w:rPr>
      </w:pPr>
      <w:r w:rsidRPr="00621156">
        <w:rPr>
          <w:lang w:val="es-419"/>
        </w:rPr>
        <w:t>La Comisión agradece al director general, al</w:t>
      </w:r>
      <w:r w:rsidR="00D86DF9" w:rsidRPr="00621156">
        <w:rPr>
          <w:lang w:val="es-419"/>
        </w:rPr>
        <w:t xml:space="preserve"> </w:t>
      </w:r>
      <w:r w:rsidRPr="00621156">
        <w:rPr>
          <w:lang w:val="es-419"/>
        </w:rPr>
        <w:t>personal de la Secretaría y al auditor externo su disponibilidad, claridad y apertura en sus interacciones periódicas con la Comisión, así como la información proporcionada.</w:t>
      </w:r>
    </w:p>
    <w:p w14:paraId="4365A2B3" w14:textId="7B87ED49" w:rsidR="00152CEA" w:rsidRPr="00621156" w:rsidRDefault="008D03C4" w:rsidP="008D03C4">
      <w:pPr>
        <w:pStyle w:val="Endofdocument-Annex"/>
        <w:rPr>
          <w:lang w:val="es-419"/>
        </w:rPr>
      </w:pPr>
      <w:r w:rsidRPr="00621156">
        <w:rPr>
          <w:lang w:val="es-419"/>
        </w:rPr>
        <w:t>[Fin del documento]</w:t>
      </w:r>
    </w:p>
    <w:sectPr w:rsidR="00152CEA" w:rsidRPr="00621156" w:rsidSect="00257FF1">
      <w:headerReference w:type="default" r:id="rId13"/>
      <w:headerReference w:type="first" r:id="rId14"/>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F025" w14:textId="77777777" w:rsidR="00CB6BCF" w:rsidRDefault="00CB6BCF">
      <w:r>
        <w:separator/>
      </w:r>
    </w:p>
  </w:endnote>
  <w:endnote w:type="continuationSeparator" w:id="0">
    <w:p w14:paraId="460547A3" w14:textId="77777777" w:rsidR="00CB6BCF" w:rsidRPr="009D30E6" w:rsidRDefault="00CB6BCF" w:rsidP="007E663E">
      <w:pPr>
        <w:rPr>
          <w:sz w:val="17"/>
          <w:szCs w:val="17"/>
        </w:rPr>
      </w:pPr>
      <w:r w:rsidRPr="009D30E6">
        <w:rPr>
          <w:sz w:val="17"/>
          <w:szCs w:val="17"/>
        </w:rPr>
        <w:separator/>
      </w:r>
    </w:p>
    <w:p w14:paraId="539A0098" w14:textId="77777777" w:rsidR="00CB6BCF" w:rsidRPr="007E663E" w:rsidRDefault="00CB6BCF" w:rsidP="007E663E">
      <w:pPr>
        <w:spacing w:after="60"/>
        <w:rPr>
          <w:sz w:val="17"/>
          <w:szCs w:val="17"/>
        </w:rPr>
      </w:pPr>
      <w:r>
        <w:rPr>
          <w:sz w:val="17"/>
        </w:rPr>
        <w:t>[Continuación de la nota de la página anterior]</w:t>
      </w:r>
    </w:p>
  </w:endnote>
  <w:endnote w:type="continuationNotice" w:id="1">
    <w:p w14:paraId="197CAF58" w14:textId="77777777" w:rsidR="00CB6BCF" w:rsidRPr="007E663E" w:rsidRDefault="00CB6BC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FD7F" w14:textId="77777777" w:rsidR="008D03C4" w:rsidRDefault="008D03C4">
    <w:pPr>
      <w:pStyle w:val="Footer"/>
    </w:pPr>
    <w:r>
      <w:rPr>
        <w:noProof/>
      </w:rPr>
      <mc:AlternateContent>
        <mc:Choice Requires="wps">
          <w:drawing>
            <wp:anchor distT="0" distB="0" distL="0" distR="0" simplePos="0" relativeHeight="251660288" behindDoc="0" locked="0" layoutInCell="1" allowOverlap="1" wp14:anchorId="43EEB940" wp14:editId="3845AE8F">
              <wp:simplePos x="635" y="635"/>
              <wp:positionH relativeFrom="page">
                <wp:align>center</wp:align>
              </wp:positionH>
              <wp:positionV relativeFrom="page">
                <wp:align>bottom</wp:align>
              </wp:positionV>
              <wp:extent cx="1564005" cy="345440"/>
              <wp:effectExtent l="0" t="0" r="17145" b="0"/>
              <wp:wrapNone/>
              <wp:docPr id="2039709361" name="Text Box 4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A756301" w14:textId="77777777" w:rsidR="00837E91" w:rsidRPr="00257FF1" w:rsidRDefault="008D03C4" w:rsidP="00497FAB">
                          <w:pPr>
                            <w:rPr>
                              <w:rFonts w:ascii="Calibri" w:hAnsi="Calibri"/>
                              <w:color w:val="000000"/>
                              <w:sz w:val="20"/>
                              <w:lang w:val="en-US"/>
                            </w:rPr>
                          </w:pPr>
                          <w:r w:rsidRPr="00257FF1">
                            <w:rPr>
                              <w:rFonts w:ascii="Calibri" w:hAnsi="Calibri"/>
                              <w:color w:val="000000"/>
                              <w:sz w:val="20"/>
                              <w:lang w:val="en-US"/>
                            </w:rPr>
                            <w:t>WIPO FOR OFFICIAL USE ONLY</w:t>
                          </w:r>
                        </w:p>
                        <w:p w14:paraId="2D3EF577" w14:textId="0BA0FF78" w:rsidR="008D03C4" w:rsidRPr="00257FF1" w:rsidRDefault="008D03C4" w:rsidP="00497FAB">
                          <w:pPr>
                            <w:rPr>
                              <w:rFonts w:ascii="Calibri" w:eastAsia="Calibri" w:hAnsi="Calibri" w:cs="Calibri"/>
                              <w:noProof/>
                              <w:color w:val="000000"/>
                              <w:sz w:val="20"/>
                              <w:lang w:val="en-US"/>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EB940" id="_x0000_t202" coordsize="21600,21600" o:spt="202" path="m,l,21600r21600,l21600,xe">
              <v:stroke joinstyle="miter"/>
              <v:path gradientshapeok="t" o:connecttype="rect"/>
            </v:shapetype>
            <v:shape id="Text Box 44" o:spid="_x0000_s1026"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3A756301" w14:textId="77777777" w:rsidR="00837E91" w:rsidRPr="00257FF1" w:rsidRDefault="008D03C4" w:rsidP="00497FAB">
                    <w:pPr>
                      <w:rPr>
                        <w:rFonts w:ascii="Calibri" w:hAnsi="Calibri"/>
                        <w:color w:val="000000"/>
                        <w:sz w:val="20"/>
                        <w:lang w:val="en-US"/>
                      </w:rPr>
                    </w:pPr>
                    <w:r w:rsidRPr="00257FF1">
                      <w:rPr>
                        <w:rFonts w:ascii="Calibri" w:hAnsi="Calibri"/>
                        <w:color w:val="000000"/>
                        <w:sz w:val="20"/>
                        <w:lang w:val="en-US"/>
                      </w:rPr>
                      <w:t>WIPO FOR OFFICIAL USE ONLY</w:t>
                    </w:r>
                  </w:p>
                  <w:p w14:paraId="2D3EF577" w14:textId="0BA0FF78" w:rsidR="008D03C4" w:rsidRPr="00257FF1" w:rsidRDefault="008D03C4" w:rsidP="00497FAB">
                    <w:pPr>
                      <w:rPr>
                        <w:rFonts w:ascii="Calibri" w:eastAsia="Calibri" w:hAnsi="Calibri" w:cs="Calibri"/>
                        <w:noProof/>
                        <w:color w:val="000000"/>
                        <w:sz w:val="20"/>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749E" w14:textId="77777777" w:rsidR="00CB6BCF" w:rsidRDefault="00CB6BCF">
      <w:r>
        <w:separator/>
      </w:r>
    </w:p>
  </w:footnote>
  <w:footnote w:type="continuationSeparator" w:id="0">
    <w:p w14:paraId="113CFD0A" w14:textId="77777777" w:rsidR="00CB6BCF" w:rsidRPr="009D30E6" w:rsidRDefault="00CB6BCF" w:rsidP="007E663E">
      <w:pPr>
        <w:rPr>
          <w:sz w:val="17"/>
          <w:szCs w:val="17"/>
        </w:rPr>
      </w:pPr>
      <w:r w:rsidRPr="009D30E6">
        <w:rPr>
          <w:sz w:val="17"/>
          <w:szCs w:val="17"/>
        </w:rPr>
        <w:separator/>
      </w:r>
    </w:p>
    <w:p w14:paraId="6BC424CC" w14:textId="77777777" w:rsidR="00CB6BCF" w:rsidRPr="007E663E" w:rsidRDefault="00CB6BCF" w:rsidP="007E663E">
      <w:pPr>
        <w:spacing w:after="60"/>
        <w:rPr>
          <w:sz w:val="17"/>
          <w:szCs w:val="17"/>
        </w:rPr>
      </w:pPr>
      <w:r>
        <w:rPr>
          <w:sz w:val="17"/>
        </w:rPr>
        <w:t>[Continuación de la nota de la página anterior]</w:t>
      </w:r>
    </w:p>
  </w:footnote>
  <w:footnote w:type="continuationNotice" w:id="1">
    <w:p w14:paraId="385B4653" w14:textId="77777777" w:rsidR="00CB6BCF" w:rsidRPr="007E663E" w:rsidRDefault="00CB6BC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62DD" w14:textId="3902A32D" w:rsidR="00F84474" w:rsidRDefault="008D03C4" w:rsidP="00477D6B">
    <w:pPr>
      <w:jc w:val="right"/>
    </w:pPr>
    <w:bookmarkStart w:id="23" w:name="Code2"/>
    <w:bookmarkEnd w:id="23"/>
    <w:r>
      <w:t>WO/</w:t>
    </w:r>
    <w:r w:rsidR="00257FF1">
      <w:t>PBC/39</w:t>
    </w:r>
    <w:r>
      <w:t>/2</w:t>
    </w:r>
  </w:p>
  <w:p w14:paraId="6702FD04" w14:textId="2B8FFD18" w:rsidR="004F7418" w:rsidRDefault="00F84474" w:rsidP="00257FF1">
    <w:pPr>
      <w:spacing w:after="480"/>
      <w:jc w:val="right"/>
    </w:pPr>
    <w:r>
      <w:t xml:space="preserve">página </w:t>
    </w:r>
    <w:r>
      <w:fldChar w:fldCharType="begin"/>
    </w:r>
    <w:r>
      <w:instrText xml:space="preserve"> PAGE  \* MERGEFORMAT </w:instrText>
    </w:r>
    <w:r>
      <w:fldChar w:fldCharType="separate"/>
    </w:r>
    <w:r w:rsidR="008B14EA">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13E0" w14:textId="047CB154" w:rsidR="00257FF1" w:rsidRDefault="00257FF1" w:rsidP="00257FF1">
    <w:pPr>
      <w:pStyle w:val="Header"/>
      <w:spacing w:before="240"/>
      <w:jc w:val="right"/>
    </w:pPr>
    <w:r>
      <w:t>WO/PBC/39/2</w:t>
    </w:r>
  </w:p>
  <w:p w14:paraId="571D07D5" w14:textId="61C9F26E" w:rsidR="00257FF1" w:rsidRDefault="00257FF1" w:rsidP="00257FF1">
    <w:pPr>
      <w:pStyle w:val="Header"/>
      <w:spacing w:after="480"/>
      <w:jc w:val="right"/>
    </w:pPr>
    <w:r>
      <w:t xml:space="preserve">página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EDBDAB"/>
    <w:multiLevelType w:val="hybridMultilevel"/>
    <w:tmpl w:val="17A6AEA6"/>
    <w:lvl w:ilvl="0" w:tplc="BAE2F634">
      <w:start w:val="12"/>
      <w:numFmt w:val="decimal"/>
      <w:lvlText w:val="%1."/>
      <w:lvlJc w:val="left"/>
    </w:lvl>
    <w:lvl w:ilvl="1" w:tplc="B76654D6">
      <w:start w:val="1"/>
      <w:numFmt w:val="bullet"/>
      <w:lvlText w:val="•"/>
      <w:lvlJc w:val="left"/>
      <w:pPr>
        <w:ind w:left="360" w:hanging="360"/>
      </w:pPr>
    </w:lvl>
    <w:lvl w:ilvl="2" w:tplc="F8B60570">
      <w:numFmt w:val="decimal"/>
      <w:lvlText w:val=""/>
      <w:lvlJc w:val="left"/>
    </w:lvl>
    <w:lvl w:ilvl="3" w:tplc="0D26BC6C">
      <w:numFmt w:val="decimal"/>
      <w:lvlText w:val=""/>
      <w:lvlJc w:val="left"/>
    </w:lvl>
    <w:lvl w:ilvl="4" w:tplc="ECE83F18">
      <w:numFmt w:val="decimal"/>
      <w:lvlText w:val=""/>
      <w:lvlJc w:val="left"/>
    </w:lvl>
    <w:lvl w:ilvl="5" w:tplc="DEFAAB8A">
      <w:numFmt w:val="decimal"/>
      <w:lvlText w:val=""/>
      <w:lvlJc w:val="left"/>
    </w:lvl>
    <w:lvl w:ilvl="6" w:tplc="7F3C8F2A">
      <w:numFmt w:val="decimal"/>
      <w:lvlText w:val=""/>
      <w:lvlJc w:val="left"/>
    </w:lvl>
    <w:lvl w:ilvl="7" w:tplc="DBE0B980">
      <w:numFmt w:val="decimal"/>
      <w:lvlText w:val=""/>
      <w:lvlJc w:val="left"/>
    </w:lvl>
    <w:lvl w:ilvl="8" w:tplc="1BCE35E2">
      <w:numFmt w:val="decimal"/>
      <w:lvlText w:val=""/>
      <w:lvlJc w:val="left"/>
    </w:lvl>
  </w:abstractNum>
  <w:abstractNum w:abstractNumId="3" w15:restartNumberingAfterBreak="0">
    <w:nsid w:val="13C23ED3"/>
    <w:multiLevelType w:val="hybridMultilevel"/>
    <w:tmpl w:val="8026C952"/>
    <w:lvl w:ilvl="0" w:tplc="0CE885C0">
      <w:start w:val="1"/>
      <w:numFmt w:val="upperLetter"/>
      <w:pStyle w:val="Heading2"/>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9A769B"/>
    <w:multiLevelType w:val="hybridMultilevel"/>
    <w:tmpl w:val="E0360E44"/>
    <w:lvl w:ilvl="0" w:tplc="96F84B78">
      <w:start w:val="2"/>
      <w:numFmt w:val="upperLetter"/>
      <w:lvlText w:val="%1."/>
      <w:lvlJc w:val="left"/>
    </w:lvl>
    <w:lvl w:ilvl="1" w:tplc="9A9AB2D8">
      <w:numFmt w:val="decimal"/>
      <w:lvlText w:val=""/>
      <w:lvlJc w:val="left"/>
    </w:lvl>
    <w:lvl w:ilvl="2" w:tplc="9ABEFB9C">
      <w:numFmt w:val="decimal"/>
      <w:lvlText w:val=""/>
      <w:lvlJc w:val="left"/>
    </w:lvl>
    <w:lvl w:ilvl="3" w:tplc="3B80EF5A">
      <w:numFmt w:val="decimal"/>
      <w:lvlText w:val=""/>
      <w:lvlJc w:val="left"/>
    </w:lvl>
    <w:lvl w:ilvl="4" w:tplc="CFDA9798">
      <w:numFmt w:val="decimal"/>
      <w:lvlText w:val=""/>
      <w:lvlJc w:val="left"/>
    </w:lvl>
    <w:lvl w:ilvl="5" w:tplc="2ACE8B1A">
      <w:numFmt w:val="decimal"/>
      <w:lvlText w:val=""/>
      <w:lvlJc w:val="left"/>
    </w:lvl>
    <w:lvl w:ilvl="6" w:tplc="E7B47334">
      <w:numFmt w:val="decimal"/>
      <w:lvlText w:val=""/>
      <w:lvlJc w:val="left"/>
    </w:lvl>
    <w:lvl w:ilvl="7" w:tplc="1980A7D6">
      <w:numFmt w:val="decimal"/>
      <w:lvlText w:val=""/>
      <w:lvlJc w:val="left"/>
    </w:lvl>
    <w:lvl w:ilvl="8" w:tplc="53C88514">
      <w:numFmt w:val="decimal"/>
      <w:lvlText w:val=""/>
      <w:lvlJc w:val="left"/>
    </w:lvl>
  </w:abstractNum>
  <w:abstractNum w:abstractNumId="6" w15:restartNumberingAfterBreak="0">
    <w:nsid w:val="1E7FF521"/>
    <w:multiLevelType w:val="hybridMultilevel"/>
    <w:tmpl w:val="153E31FE"/>
    <w:lvl w:ilvl="0" w:tplc="5D8A0BEC">
      <w:start w:val="4"/>
      <w:numFmt w:val="upperLetter"/>
      <w:lvlText w:val="%1."/>
      <w:lvlJc w:val="left"/>
    </w:lvl>
    <w:lvl w:ilvl="1" w:tplc="B7FAAB6A">
      <w:numFmt w:val="decimal"/>
      <w:lvlText w:val=""/>
      <w:lvlJc w:val="left"/>
    </w:lvl>
    <w:lvl w:ilvl="2" w:tplc="7C82EA42">
      <w:numFmt w:val="decimal"/>
      <w:lvlText w:val=""/>
      <w:lvlJc w:val="left"/>
    </w:lvl>
    <w:lvl w:ilvl="3" w:tplc="89589ABE">
      <w:numFmt w:val="decimal"/>
      <w:lvlText w:val=""/>
      <w:lvlJc w:val="left"/>
    </w:lvl>
    <w:lvl w:ilvl="4" w:tplc="10CE1C70">
      <w:numFmt w:val="decimal"/>
      <w:lvlText w:val=""/>
      <w:lvlJc w:val="left"/>
    </w:lvl>
    <w:lvl w:ilvl="5" w:tplc="6EC64092">
      <w:numFmt w:val="decimal"/>
      <w:lvlText w:val=""/>
      <w:lvlJc w:val="left"/>
    </w:lvl>
    <w:lvl w:ilvl="6" w:tplc="A5C4C3BC">
      <w:numFmt w:val="decimal"/>
      <w:lvlText w:val=""/>
      <w:lvlJc w:val="left"/>
    </w:lvl>
    <w:lvl w:ilvl="7" w:tplc="817014A4">
      <w:numFmt w:val="decimal"/>
      <w:lvlText w:val=""/>
      <w:lvlJc w:val="left"/>
    </w:lvl>
    <w:lvl w:ilvl="8" w:tplc="4B849592">
      <w:numFmt w:val="decimal"/>
      <w:lvlText w:val=""/>
      <w:lvlJc w:val="left"/>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CA88611"/>
    <w:multiLevelType w:val="hybridMultilevel"/>
    <w:tmpl w:val="F15853C6"/>
    <w:lvl w:ilvl="0" w:tplc="6E6EF1DC">
      <w:start w:val="3"/>
      <w:numFmt w:val="upperLetter"/>
      <w:lvlText w:val="%1."/>
      <w:lvlJc w:val="left"/>
    </w:lvl>
    <w:lvl w:ilvl="1" w:tplc="420078F4">
      <w:start w:val="23"/>
      <w:numFmt w:val="decimal"/>
      <w:lvlText w:val="%2."/>
      <w:lvlJc w:val="left"/>
    </w:lvl>
    <w:lvl w:ilvl="2" w:tplc="BB0A0E9E">
      <w:numFmt w:val="decimal"/>
      <w:lvlText w:val=""/>
      <w:lvlJc w:val="left"/>
    </w:lvl>
    <w:lvl w:ilvl="3" w:tplc="2EFE2258">
      <w:numFmt w:val="decimal"/>
      <w:lvlText w:val=""/>
      <w:lvlJc w:val="left"/>
    </w:lvl>
    <w:lvl w:ilvl="4" w:tplc="0C4E80A0">
      <w:numFmt w:val="decimal"/>
      <w:lvlText w:val=""/>
      <w:lvlJc w:val="left"/>
    </w:lvl>
    <w:lvl w:ilvl="5" w:tplc="EFA2B0E6">
      <w:numFmt w:val="decimal"/>
      <w:lvlText w:val=""/>
      <w:lvlJc w:val="left"/>
    </w:lvl>
    <w:lvl w:ilvl="6" w:tplc="E1168988">
      <w:numFmt w:val="decimal"/>
      <w:lvlText w:val=""/>
      <w:lvlJc w:val="left"/>
    </w:lvl>
    <w:lvl w:ilvl="7" w:tplc="B2A28826">
      <w:numFmt w:val="decimal"/>
      <w:lvlText w:val=""/>
      <w:lvlJc w:val="left"/>
    </w:lvl>
    <w:lvl w:ilvl="8" w:tplc="A0C2CD2A">
      <w:numFmt w:val="decimal"/>
      <w:lvlText w:val=""/>
      <w:lvlJc w:val="left"/>
    </w:lvl>
  </w:abstractNum>
  <w:abstractNum w:abstractNumId="9" w15:restartNumberingAfterBreak="0">
    <w:nsid w:val="2D1D5AE9"/>
    <w:multiLevelType w:val="hybridMultilevel"/>
    <w:tmpl w:val="E54C22E4"/>
    <w:lvl w:ilvl="0" w:tplc="03008B16">
      <w:start w:val="1"/>
      <w:numFmt w:val="upperLetter"/>
      <w:lvlText w:val="%1."/>
      <w:lvlJc w:val="left"/>
      <w:rPr>
        <w:b w:val="0"/>
        <w:bCs w:val="0"/>
        <w:i w:val="0"/>
        <w:iCs w:val="0"/>
      </w:rPr>
    </w:lvl>
    <w:lvl w:ilvl="1" w:tplc="5A3E672C">
      <w:numFmt w:val="decimal"/>
      <w:lvlText w:val=""/>
      <w:lvlJc w:val="left"/>
    </w:lvl>
    <w:lvl w:ilvl="2" w:tplc="69323816">
      <w:numFmt w:val="decimal"/>
      <w:lvlText w:val=""/>
      <w:lvlJc w:val="left"/>
    </w:lvl>
    <w:lvl w:ilvl="3" w:tplc="34481856">
      <w:numFmt w:val="decimal"/>
      <w:lvlText w:val=""/>
      <w:lvlJc w:val="left"/>
    </w:lvl>
    <w:lvl w:ilvl="4" w:tplc="053C1510">
      <w:numFmt w:val="decimal"/>
      <w:lvlText w:val=""/>
      <w:lvlJc w:val="left"/>
    </w:lvl>
    <w:lvl w:ilvl="5" w:tplc="8E7C965A">
      <w:numFmt w:val="decimal"/>
      <w:lvlText w:val=""/>
      <w:lvlJc w:val="left"/>
    </w:lvl>
    <w:lvl w:ilvl="6" w:tplc="7E90D1AE">
      <w:numFmt w:val="decimal"/>
      <w:lvlText w:val=""/>
      <w:lvlJc w:val="left"/>
    </w:lvl>
    <w:lvl w:ilvl="7" w:tplc="B0124E50">
      <w:numFmt w:val="decimal"/>
      <w:lvlText w:val=""/>
      <w:lvlJc w:val="left"/>
    </w:lvl>
    <w:lvl w:ilvl="8" w:tplc="DBEA3102">
      <w:numFmt w:val="decimal"/>
      <w:lvlText w:val=""/>
      <w:lvlJc w:val="left"/>
    </w:lvl>
  </w:abstractNum>
  <w:abstractNum w:abstractNumId="10" w15:restartNumberingAfterBreak="0">
    <w:nsid w:val="333AB105"/>
    <w:multiLevelType w:val="hybridMultilevel"/>
    <w:tmpl w:val="EAAEC708"/>
    <w:lvl w:ilvl="0" w:tplc="1E1EDA9C">
      <w:start w:val="5"/>
      <w:numFmt w:val="decimal"/>
      <w:lvlText w:val="%1."/>
      <w:lvlJc w:val="left"/>
    </w:lvl>
    <w:lvl w:ilvl="1" w:tplc="44E6B93C">
      <w:start w:val="1"/>
      <w:numFmt w:val="bullet"/>
      <w:lvlText w:val="-"/>
      <w:lvlJc w:val="left"/>
    </w:lvl>
    <w:lvl w:ilvl="2" w:tplc="DE38B896">
      <w:numFmt w:val="decimal"/>
      <w:lvlText w:val=""/>
      <w:lvlJc w:val="left"/>
    </w:lvl>
    <w:lvl w:ilvl="3" w:tplc="E9842F32">
      <w:numFmt w:val="decimal"/>
      <w:lvlText w:val=""/>
      <w:lvlJc w:val="left"/>
    </w:lvl>
    <w:lvl w:ilvl="4" w:tplc="14EE64C0">
      <w:numFmt w:val="decimal"/>
      <w:lvlText w:val=""/>
      <w:lvlJc w:val="left"/>
    </w:lvl>
    <w:lvl w:ilvl="5" w:tplc="A05C5154">
      <w:numFmt w:val="decimal"/>
      <w:lvlText w:val=""/>
      <w:lvlJc w:val="left"/>
    </w:lvl>
    <w:lvl w:ilvl="6" w:tplc="7BA4DB0E">
      <w:numFmt w:val="decimal"/>
      <w:lvlText w:val=""/>
      <w:lvlJc w:val="left"/>
    </w:lvl>
    <w:lvl w:ilvl="7" w:tplc="524A3522">
      <w:numFmt w:val="decimal"/>
      <w:lvlText w:val=""/>
      <w:lvlJc w:val="left"/>
    </w:lvl>
    <w:lvl w:ilvl="8" w:tplc="E916ABD8">
      <w:numFmt w:val="decimal"/>
      <w:lvlText w:val=""/>
      <w:lvlJc w:val="left"/>
    </w:lvl>
  </w:abstractNum>
  <w:abstractNum w:abstractNumId="11" w15:restartNumberingAfterBreak="0">
    <w:nsid w:val="3804823E"/>
    <w:multiLevelType w:val="hybridMultilevel"/>
    <w:tmpl w:val="7D68765C"/>
    <w:lvl w:ilvl="0" w:tplc="1548DDFE">
      <w:start w:val="6"/>
      <w:numFmt w:val="upperLetter"/>
      <w:lvlText w:val="%1."/>
      <w:lvlJc w:val="left"/>
    </w:lvl>
    <w:lvl w:ilvl="1" w:tplc="FE107A36">
      <w:start w:val="43"/>
      <w:numFmt w:val="decimal"/>
      <w:lvlText w:val="%2."/>
      <w:lvlJc w:val="left"/>
    </w:lvl>
    <w:lvl w:ilvl="2" w:tplc="D25CB68C">
      <w:numFmt w:val="decimal"/>
      <w:lvlText w:val=""/>
      <w:lvlJc w:val="left"/>
    </w:lvl>
    <w:lvl w:ilvl="3" w:tplc="AF84CE82">
      <w:numFmt w:val="decimal"/>
      <w:lvlText w:val=""/>
      <w:lvlJc w:val="left"/>
    </w:lvl>
    <w:lvl w:ilvl="4" w:tplc="F30CDA18">
      <w:numFmt w:val="decimal"/>
      <w:lvlText w:val=""/>
      <w:lvlJc w:val="left"/>
    </w:lvl>
    <w:lvl w:ilvl="5" w:tplc="8DA6ACEE">
      <w:numFmt w:val="decimal"/>
      <w:lvlText w:val=""/>
      <w:lvlJc w:val="left"/>
    </w:lvl>
    <w:lvl w:ilvl="6" w:tplc="939E9604">
      <w:numFmt w:val="decimal"/>
      <w:lvlText w:val=""/>
      <w:lvlJc w:val="left"/>
    </w:lvl>
    <w:lvl w:ilvl="7" w:tplc="9670B684">
      <w:numFmt w:val="decimal"/>
      <w:lvlText w:val=""/>
      <w:lvlJc w:val="left"/>
    </w:lvl>
    <w:lvl w:ilvl="8" w:tplc="85D6DA56">
      <w:numFmt w:val="decimal"/>
      <w:lvlText w:val=""/>
      <w:lvlJc w:val="left"/>
    </w:lvl>
  </w:abstractNum>
  <w:abstractNum w:abstractNumId="12" w15:restartNumberingAfterBreak="0">
    <w:nsid w:val="436C6125"/>
    <w:multiLevelType w:val="hybridMultilevel"/>
    <w:tmpl w:val="B2562B06"/>
    <w:lvl w:ilvl="0" w:tplc="FD08DE00">
      <w:start w:val="9"/>
      <w:numFmt w:val="upperLetter"/>
      <w:lvlText w:val="%1."/>
      <w:lvlJc w:val="left"/>
    </w:lvl>
    <w:lvl w:ilvl="1" w:tplc="27D2205A">
      <w:numFmt w:val="decimal"/>
      <w:lvlText w:val=""/>
      <w:lvlJc w:val="left"/>
    </w:lvl>
    <w:lvl w:ilvl="2" w:tplc="8636348C">
      <w:numFmt w:val="decimal"/>
      <w:lvlText w:val=""/>
      <w:lvlJc w:val="left"/>
    </w:lvl>
    <w:lvl w:ilvl="3" w:tplc="49745A00">
      <w:numFmt w:val="decimal"/>
      <w:lvlText w:val=""/>
      <w:lvlJc w:val="left"/>
    </w:lvl>
    <w:lvl w:ilvl="4" w:tplc="40FA16F6">
      <w:numFmt w:val="decimal"/>
      <w:lvlText w:val=""/>
      <w:lvlJc w:val="left"/>
    </w:lvl>
    <w:lvl w:ilvl="5" w:tplc="2DCEC5BE">
      <w:numFmt w:val="decimal"/>
      <w:lvlText w:val=""/>
      <w:lvlJc w:val="left"/>
    </w:lvl>
    <w:lvl w:ilvl="6" w:tplc="7F9C17A0">
      <w:numFmt w:val="decimal"/>
      <w:lvlText w:val=""/>
      <w:lvlJc w:val="left"/>
    </w:lvl>
    <w:lvl w:ilvl="7" w:tplc="99B2D06A">
      <w:numFmt w:val="decimal"/>
      <w:lvlText w:val=""/>
      <w:lvlJc w:val="left"/>
    </w:lvl>
    <w:lvl w:ilvl="8" w:tplc="F1829306">
      <w:numFmt w:val="decimal"/>
      <w:lvlText w:val=""/>
      <w:lvlJc w:val="left"/>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C21C68"/>
    <w:multiLevelType w:val="hybridMultilevel"/>
    <w:tmpl w:val="F4F6372E"/>
    <w:lvl w:ilvl="0" w:tplc="4CE2DC3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7F8E1"/>
    <w:multiLevelType w:val="hybridMultilevel"/>
    <w:tmpl w:val="1286DC64"/>
    <w:lvl w:ilvl="0" w:tplc="6472BF9A">
      <w:start w:val="5"/>
      <w:numFmt w:val="upperLetter"/>
      <w:lvlText w:val="%1."/>
      <w:lvlJc w:val="left"/>
    </w:lvl>
    <w:lvl w:ilvl="1" w:tplc="2B5CF390">
      <w:numFmt w:val="decimal"/>
      <w:lvlText w:val=""/>
      <w:lvlJc w:val="left"/>
    </w:lvl>
    <w:lvl w:ilvl="2" w:tplc="7F4E7746">
      <w:numFmt w:val="decimal"/>
      <w:lvlText w:val=""/>
      <w:lvlJc w:val="left"/>
    </w:lvl>
    <w:lvl w:ilvl="3" w:tplc="21B2EE9E">
      <w:numFmt w:val="decimal"/>
      <w:lvlText w:val=""/>
      <w:lvlJc w:val="left"/>
    </w:lvl>
    <w:lvl w:ilvl="4" w:tplc="E8360B82">
      <w:numFmt w:val="decimal"/>
      <w:lvlText w:val=""/>
      <w:lvlJc w:val="left"/>
    </w:lvl>
    <w:lvl w:ilvl="5" w:tplc="B6964C7A">
      <w:numFmt w:val="decimal"/>
      <w:lvlText w:val=""/>
      <w:lvlJc w:val="left"/>
    </w:lvl>
    <w:lvl w:ilvl="6" w:tplc="54A224B0">
      <w:numFmt w:val="decimal"/>
      <w:lvlText w:val=""/>
      <w:lvlJc w:val="left"/>
    </w:lvl>
    <w:lvl w:ilvl="7" w:tplc="DD442D12">
      <w:numFmt w:val="decimal"/>
      <w:lvlText w:val=""/>
      <w:lvlJc w:val="left"/>
    </w:lvl>
    <w:lvl w:ilvl="8" w:tplc="63AC35DC">
      <w:numFmt w:val="decimal"/>
      <w:lvlText w:val=""/>
      <w:lvlJc w:val="left"/>
    </w:lvl>
  </w:abstractNum>
  <w:abstractNum w:abstractNumId="17" w15:restartNumberingAfterBreak="0">
    <w:nsid w:val="5C482A97"/>
    <w:multiLevelType w:val="hybridMultilevel"/>
    <w:tmpl w:val="C778DD1E"/>
    <w:lvl w:ilvl="0" w:tplc="754A1056">
      <w:start w:val="7"/>
      <w:numFmt w:val="upperLetter"/>
      <w:lvlText w:val="%1."/>
      <w:lvlJc w:val="left"/>
    </w:lvl>
    <w:lvl w:ilvl="1" w:tplc="37D8D9E0">
      <w:start w:val="49"/>
      <w:numFmt w:val="decimal"/>
      <w:lvlText w:val="%2."/>
      <w:lvlJc w:val="left"/>
    </w:lvl>
    <w:lvl w:ilvl="2" w:tplc="23E8CE22">
      <w:numFmt w:val="decimal"/>
      <w:lvlText w:val=""/>
      <w:lvlJc w:val="left"/>
    </w:lvl>
    <w:lvl w:ilvl="3" w:tplc="817290B4">
      <w:numFmt w:val="decimal"/>
      <w:lvlText w:val=""/>
      <w:lvlJc w:val="left"/>
    </w:lvl>
    <w:lvl w:ilvl="4" w:tplc="C25E382A">
      <w:numFmt w:val="decimal"/>
      <w:lvlText w:val=""/>
      <w:lvlJc w:val="left"/>
    </w:lvl>
    <w:lvl w:ilvl="5" w:tplc="F8740A6E">
      <w:numFmt w:val="decimal"/>
      <w:lvlText w:val=""/>
      <w:lvlJc w:val="left"/>
    </w:lvl>
    <w:lvl w:ilvl="6" w:tplc="8D6AAC5C">
      <w:numFmt w:val="decimal"/>
      <w:lvlText w:val=""/>
      <w:lvlJc w:val="left"/>
    </w:lvl>
    <w:lvl w:ilvl="7" w:tplc="DE76DF64">
      <w:numFmt w:val="decimal"/>
      <w:lvlText w:val=""/>
      <w:lvlJc w:val="left"/>
    </w:lvl>
    <w:lvl w:ilvl="8" w:tplc="B888CA52">
      <w:numFmt w:val="decimal"/>
      <w:lvlText w:val=""/>
      <w:lvlJc w:val="left"/>
    </w:lvl>
  </w:abstractNum>
  <w:abstractNum w:abstractNumId="18" w15:restartNumberingAfterBreak="0">
    <w:nsid w:val="628C895D"/>
    <w:multiLevelType w:val="hybridMultilevel"/>
    <w:tmpl w:val="D562937E"/>
    <w:lvl w:ilvl="0" w:tplc="B0C89636">
      <w:start w:val="1"/>
      <w:numFmt w:val="decimal"/>
      <w:lvlText w:val="%1."/>
      <w:lvlJc w:val="left"/>
    </w:lvl>
    <w:lvl w:ilvl="1" w:tplc="2CF63C1C">
      <w:start w:val="35"/>
      <w:numFmt w:val="upperLetter"/>
      <w:lvlText w:val="%2."/>
      <w:lvlJc w:val="left"/>
    </w:lvl>
    <w:lvl w:ilvl="2" w:tplc="78EC80B4">
      <w:numFmt w:val="decimal"/>
      <w:lvlText w:val=""/>
      <w:lvlJc w:val="left"/>
    </w:lvl>
    <w:lvl w:ilvl="3" w:tplc="F336193A">
      <w:numFmt w:val="decimal"/>
      <w:lvlText w:val=""/>
      <w:lvlJc w:val="left"/>
    </w:lvl>
    <w:lvl w:ilvl="4" w:tplc="4566EED0">
      <w:numFmt w:val="decimal"/>
      <w:lvlText w:val=""/>
      <w:lvlJc w:val="left"/>
    </w:lvl>
    <w:lvl w:ilvl="5" w:tplc="5C548C8E">
      <w:numFmt w:val="decimal"/>
      <w:lvlText w:val=""/>
      <w:lvlJc w:val="left"/>
    </w:lvl>
    <w:lvl w:ilvl="6" w:tplc="C1208D5E">
      <w:numFmt w:val="decimal"/>
      <w:lvlText w:val=""/>
      <w:lvlJc w:val="left"/>
    </w:lvl>
    <w:lvl w:ilvl="7" w:tplc="C4384D12">
      <w:numFmt w:val="decimal"/>
      <w:lvlText w:val=""/>
      <w:lvlJc w:val="left"/>
    </w:lvl>
    <w:lvl w:ilvl="8" w:tplc="24289050">
      <w:numFmt w:val="decimal"/>
      <w:lvlText w:val=""/>
      <w:lvlJc w:val="left"/>
    </w:lvl>
  </w:abstractNum>
  <w:abstractNum w:abstractNumId="19" w15:restartNumberingAfterBreak="0">
    <w:nsid w:val="62BBD95A"/>
    <w:multiLevelType w:val="hybridMultilevel"/>
    <w:tmpl w:val="18AE3E98"/>
    <w:lvl w:ilvl="0" w:tplc="D75C5ECE">
      <w:start w:val="1"/>
      <w:numFmt w:val="decimal"/>
      <w:lvlText w:val="%1."/>
      <w:lvlJc w:val="left"/>
    </w:lvl>
    <w:lvl w:ilvl="1" w:tplc="64C2F0DA">
      <w:start w:val="3"/>
      <w:numFmt w:val="decimal"/>
      <w:lvlText w:val="%2."/>
      <w:lvlJc w:val="left"/>
    </w:lvl>
    <w:lvl w:ilvl="2" w:tplc="5B426394">
      <w:numFmt w:val="decimal"/>
      <w:lvlText w:val=""/>
      <w:lvlJc w:val="left"/>
    </w:lvl>
    <w:lvl w:ilvl="3" w:tplc="850479AC">
      <w:numFmt w:val="decimal"/>
      <w:lvlText w:val=""/>
      <w:lvlJc w:val="left"/>
    </w:lvl>
    <w:lvl w:ilvl="4" w:tplc="5096EA90">
      <w:numFmt w:val="decimal"/>
      <w:lvlText w:val=""/>
      <w:lvlJc w:val="left"/>
    </w:lvl>
    <w:lvl w:ilvl="5" w:tplc="4E1C0332">
      <w:numFmt w:val="decimal"/>
      <w:lvlText w:val=""/>
      <w:lvlJc w:val="left"/>
    </w:lvl>
    <w:lvl w:ilvl="6" w:tplc="0022839A">
      <w:numFmt w:val="decimal"/>
      <w:lvlText w:val=""/>
      <w:lvlJc w:val="left"/>
    </w:lvl>
    <w:lvl w:ilvl="7" w:tplc="3F8E7A6E">
      <w:numFmt w:val="decimal"/>
      <w:lvlText w:val=""/>
      <w:lvlJc w:val="left"/>
    </w:lvl>
    <w:lvl w:ilvl="8" w:tplc="65D2B664">
      <w:numFmt w:val="decimal"/>
      <w:lvlText w:val=""/>
      <w:lvlJc w:val="left"/>
    </w:lvl>
  </w:abstractNum>
  <w:abstractNum w:abstractNumId="20"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75A2A8D4"/>
    <w:multiLevelType w:val="hybridMultilevel"/>
    <w:tmpl w:val="0D980386"/>
    <w:lvl w:ilvl="0" w:tplc="65A87CD6">
      <w:start w:val="11"/>
      <w:numFmt w:val="decimal"/>
      <w:lvlText w:val="%1."/>
      <w:lvlJc w:val="left"/>
    </w:lvl>
    <w:lvl w:ilvl="1" w:tplc="C04CC12C">
      <w:start w:val="1"/>
      <w:numFmt w:val="bullet"/>
      <w:lvlText w:val="•"/>
      <w:lvlJc w:val="left"/>
    </w:lvl>
    <w:lvl w:ilvl="2" w:tplc="6928B372">
      <w:numFmt w:val="decimal"/>
      <w:lvlText w:val=""/>
      <w:lvlJc w:val="left"/>
    </w:lvl>
    <w:lvl w:ilvl="3" w:tplc="CBCCEE30">
      <w:numFmt w:val="decimal"/>
      <w:lvlText w:val=""/>
      <w:lvlJc w:val="left"/>
    </w:lvl>
    <w:lvl w:ilvl="4" w:tplc="2FA076C6">
      <w:numFmt w:val="decimal"/>
      <w:lvlText w:val=""/>
      <w:lvlJc w:val="left"/>
    </w:lvl>
    <w:lvl w:ilvl="5" w:tplc="236AE38E">
      <w:numFmt w:val="decimal"/>
      <w:lvlText w:val=""/>
      <w:lvlJc w:val="left"/>
    </w:lvl>
    <w:lvl w:ilvl="6" w:tplc="604C9E3A">
      <w:numFmt w:val="decimal"/>
      <w:lvlText w:val=""/>
      <w:lvlJc w:val="left"/>
    </w:lvl>
    <w:lvl w:ilvl="7" w:tplc="B16C29AA">
      <w:numFmt w:val="decimal"/>
      <w:lvlText w:val=""/>
      <w:lvlJc w:val="left"/>
    </w:lvl>
    <w:lvl w:ilvl="8" w:tplc="E7D43DE0">
      <w:numFmt w:val="decimal"/>
      <w:lvlText w:val=""/>
      <w:lvlJc w:val="left"/>
    </w:lvl>
  </w:abstractNum>
  <w:abstractNum w:abstractNumId="22" w15:restartNumberingAfterBreak="0">
    <w:nsid w:val="7DD35E3E"/>
    <w:multiLevelType w:val="hybridMultilevel"/>
    <w:tmpl w:val="31224FA8"/>
    <w:lvl w:ilvl="0" w:tplc="C89A5EA4">
      <w:start w:val="2024"/>
      <w:numFmt w:val="decimal"/>
      <w:lvlText w:val="%1"/>
      <w:lvlJc w:val="left"/>
      <w:pPr>
        <w:ind w:left="1220" w:hanging="480"/>
      </w:pPr>
      <w:rPr>
        <w:rFonts w:hint="default"/>
        <w:i/>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16cid:durableId="126900844">
    <w:abstractNumId w:val="4"/>
  </w:num>
  <w:num w:numId="2" w16cid:durableId="309794587">
    <w:abstractNumId w:val="13"/>
  </w:num>
  <w:num w:numId="3" w16cid:durableId="1968076723">
    <w:abstractNumId w:val="0"/>
  </w:num>
  <w:num w:numId="4" w16cid:durableId="1656638925">
    <w:abstractNumId w:val="14"/>
  </w:num>
  <w:num w:numId="5" w16cid:durableId="244077344">
    <w:abstractNumId w:val="1"/>
  </w:num>
  <w:num w:numId="6" w16cid:durableId="720789353">
    <w:abstractNumId w:val="7"/>
  </w:num>
  <w:num w:numId="7" w16cid:durableId="602224601">
    <w:abstractNumId w:val="19"/>
  </w:num>
  <w:num w:numId="8" w16cid:durableId="914898795">
    <w:abstractNumId w:val="12"/>
  </w:num>
  <w:num w:numId="9" w16cid:durableId="971911210">
    <w:abstractNumId w:val="18"/>
  </w:num>
  <w:num w:numId="10" w16cid:durableId="825559544">
    <w:abstractNumId w:val="10"/>
  </w:num>
  <w:num w:numId="11" w16cid:durableId="399640097">
    <w:abstractNumId w:val="9"/>
  </w:num>
  <w:num w:numId="12" w16cid:durableId="2013875049">
    <w:abstractNumId w:val="21"/>
  </w:num>
  <w:num w:numId="13" w16cid:durableId="2044355459">
    <w:abstractNumId w:val="2"/>
  </w:num>
  <w:num w:numId="14" w16cid:durableId="1561288656">
    <w:abstractNumId w:val="5"/>
  </w:num>
  <w:num w:numId="15" w16cid:durableId="1366952734">
    <w:abstractNumId w:val="8"/>
  </w:num>
  <w:num w:numId="16" w16cid:durableId="581305613">
    <w:abstractNumId w:val="6"/>
  </w:num>
  <w:num w:numId="17" w16cid:durableId="967778536">
    <w:abstractNumId w:val="16"/>
  </w:num>
  <w:num w:numId="18" w16cid:durableId="1957561892">
    <w:abstractNumId w:val="11"/>
  </w:num>
  <w:num w:numId="19" w16cid:durableId="1735394045">
    <w:abstractNumId w:val="17"/>
  </w:num>
  <w:num w:numId="20" w16cid:durableId="1582980058">
    <w:abstractNumId w:val="22"/>
  </w:num>
  <w:num w:numId="21" w16cid:durableId="1356345718">
    <w:abstractNumId w:val="20"/>
  </w:num>
  <w:num w:numId="22" w16cid:durableId="1311321462">
    <w:abstractNumId w:val="15"/>
  </w:num>
  <w:num w:numId="23" w16cid:durableId="861016115">
    <w:abstractNumId w:val="15"/>
  </w:num>
  <w:num w:numId="24" w16cid:durableId="1707178566">
    <w:abstractNumId w:val="15"/>
  </w:num>
  <w:num w:numId="25" w16cid:durableId="104272573">
    <w:abstractNumId w:val="15"/>
  </w:num>
  <w:num w:numId="26" w16cid:durableId="1548295803">
    <w:abstractNumId w:val="3"/>
  </w:num>
  <w:num w:numId="27" w16cid:durableId="820585757">
    <w:abstractNumId w:val="3"/>
  </w:num>
  <w:num w:numId="28" w16cid:durableId="2145809635">
    <w:abstractNumId w:val="3"/>
  </w:num>
  <w:num w:numId="29" w16cid:durableId="1476558026">
    <w:abstractNumId w:val="3"/>
  </w:num>
  <w:num w:numId="30" w16cid:durableId="501505363">
    <w:abstractNumId w:val="3"/>
  </w:num>
  <w:num w:numId="31" w16cid:durableId="107897268">
    <w:abstractNumId w:val="3"/>
  </w:num>
  <w:num w:numId="32" w16cid:durableId="1874419450">
    <w:abstractNumId w:val="3"/>
  </w:num>
  <w:num w:numId="33" w16cid:durableId="1700425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C4"/>
    <w:rsid w:val="00013039"/>
    <w:rsid w:val="000257E7"/>
    <w:rsid w:val="00046C3F"/>
    <w:rsid w:val="0005734F"/>
    <w:rsid w:val="0007307F"/>
    <w:rsid w:val="000E09FD"/>
    <w:rsid w:val="000E3BB3"/>
    <w:rsid w:val="000F3E7D"/>
    <w:rsid w:val="000F5E56"/>
    <w:rsid w:val="00104C13"/>
    <w:rsid w:val="0012589E"/>
    <w:rsid w:val="001362EE"/>
    <w:rsid w:val="00137CC4"/>
    <w:rsid w:val="00146355"/>
    <w:rsid w:val="00152CEA"/>
    <w:rsid w:val="0017278B"/>
    <w:rsid w:val="001832A6"/>
    <w:rsid w:val="00187743"/>
    <w:rsid w:val="001B6F31"/>
    <w:rsid w:val="001C4DD3"/>
    <w:rsid w:val="001C7EDE"/>
    <w:rsid w:val="0021004D"/>
    <w:rsid w:val="00245222"/>
    <w:rsid w:val="00257FF1"/>
    <w:rsid w:val="002634C4"/>
    <w:rsid w:val="002735E6"/>
    <w:rsid w:val="002758D6"/>
    <w:rsid w:val="002849F7"/>
    <w:rsid w:val="002C2B0F"/>
    <w:rsid w:val="002D3A9C"/>
    <w:rsid w:val="002F4E68"/>
    <w:rsid w:val="00307787"/>
    <w:rsid w:val="00323EB5"/>
    <w:rsid w:val="00354647"/>
    <w:rsid w:val="00377273"/>
    <w:rsid w:val="00380FA6"/>
    <w:rsid w:val="003845C1"/>
    <w:rsid w:val="00387287"/>
    <w:rsid w:val="003970B2"/>
    <w:rsid w:val="003A4DAD"/>
    <w:rsid w:val="003C1127"/>
    <w:rsid w:val="003D41D4"/>
    <w:rsid w:val="003E58AE"/>
    <w:rsid w:val="00420953"/>
    <w:rsid w:val="00423E3E"/>
    <w:rsid w:val="00427AF4"/>
    <w:rsid w:val="00440E3F"/>
    <w:rsid w:val="0045231F"/>
    <w:rsid w:val="004647DA"/>
    <w:rsid w:val="00477D6B"/>
    <w:rsid w:val="004A607E"/>
    <w:rsid w:val="004A6C37"/>
    <w:rsid w:val="004C5D71"/>
    <w:rsid w:val="004F7418"/>
    <w:rsid w:val="00522018"/>
    <w:rsid w:val="0055013B"/>
    <w:rsid w:val="0056224D"/>
    <w:rsid w:val="00563D80"/>
    <w:rsid w:val="00564065"/>
    <w:rsid w:val="00571B99"/>
    <w:rsid w:val="00573A38"/>
    <w:rsid w:val="00582668"/>
    <w:rsid w:val="00583260"/>
    <w:rsid w:val="00590114"/>
    <w:rsid w:val="0059207C"/>
    <w:rsid w:val="005D64EC"/>
    <w:rsid w:val="00605827"/>
    <w:rsid w:val="00621156"/>
    <w:rsid w:val="00635813"/>
    <w:rsid w:val="006425F0"/>
    <w:rsid w:val="006641BB"/>
    <w:rsid w:val="00675021"/>
    <w:rsid w:val="00691C06"/>
    <w:rsid w:val="006A04BB"/>
    <w:rsid w:val="006A06C6"/>
    <w:rsid w:val="006B33DA"/>
    <w:rsid w:val="006C0B5B"/>
    <w:rsid w:val="006F1DB4"/>
    <w:rsid w:val="00797552"/>
    <w:rsid w:val="007C517C"/>
    <w:rsid w:val="007D4DFC"/>
    <w:rsid w:val="007E63AC"/>
    <w:rsid w:val="007E663E"/>
    <w:rsid w:val="007E758E"/>
    <w:rsid w:val="00815082"/>
    <w:rsid w:val="00837E91"/>
    <w:rsid w:val="00843582"/>
    <w:rsid w:val="008A1608"/>
    <w:rsid w:val="008B14EA"/>
    <w:rsid w:val="008B2CC1"/>
    <w:rsid w:val="008C106F"/>
    <w:rsid w:val="008D03C4"/>
    <w:rsid w:val="008E6C23"/>
    <w:rsid w:val="0090731E"/>
    <w:rsid w:val="00907852"/>
    <w:rsid w:val="00915003"/>
    <w:rsid w:val="009201F8"/>
    <w:rsid w:val="00966A22"/>
    <w:rsid w:val="00972F03"/>
    <w:rsid w:val="00995D29"/>
    <w:rsid w:val="009A0C8B"/>
    <w:rsid w:val="009A278A"/>
    <w:rsid w:val="009A7C53"/>
    <w:rsid w:val="009B6241"/>
    <w:rsid w:val="00A16FC0"/>
    <w:rsid w:val="00A216EC"/>
    <w:rsid w:val="00A32C9E"/>
    <w:rsid w:val="00A7453D"/>
    <w:rsid w:val="00A848B4"/>
    <w:rsid w:val="00AB613D"/>
    <w:rsid w:val="00AD6B7B"/>
    <w:rsid w:val="00B65A0A"/>
    <w:rsid w:val="00B72D36"/>
    <w:rsid w:val="00BA1B0B"/>
    <w:rsid w:val="00BC4164"/>
    <w:rsid w:val="00BD2DCC"/>
    <w:rsid w:val="00BE1A8C"/>
    <w:rsid w:val="00BE57EE"/>
    <w:rsid w:val="00C06472"/>
    <w:rsid w:val="00C07DBB"/>
    <w:rsid w:val="00C309D5"/>
    <w:rsid w:val="00C42646"/>
    <w:rsid w:val="00C82558"/>
    <w:rsid w:val="00C90559"/>
    <w:rsid w:val="00CB6BCF"/>
    <w:rsid w:val="00CC6A25"/>
    <w:rsid w:val="00CD3682"/>
    <w:rsid w:val="00CD40F8"/>
    <w:rsid w:val="00D14224"/>
    <w:rsid w:val="00D20B6E"/>
    <w:rsid w:val="00D36B79"/>
    <w:rsid w:val="00D40CF0"/>
    <w:rsid w:val="00D52052"/>
    <w:rsid w:val="00D56C7C"/>
    <w:rsid w:val="00D71B4D"/>
    <w:rsid w:val="00D745AA"/>
    <w:rsid w:val="00D77CBB"/>
    <w:rsid w:val="00D86DF9"/>
    <w:rsid w:val="00D90289"/>
    <w:rsid w:val="00D93D55"/>
    <w:rsid w:val="00D93FAC"/>
    <w:rsid w:val="00DB041F"/>
    <w:rsid w:val="00DB1696"/>
    <w:rsid w:val="00DB43B5"/>
    <w:rsid w:val="00DB7B3D"/>
    <w:rsid w:val="00DB7F02"/>
    <w:rsid w:val="00DE636E"/>
    <w:rsid w:val="00DE7380"/>
    <w:rsid w:val="00DF644A"/>
    <w:rsid w:val="00E377AB"/>
    <w:rsid w:val="00E45C84"/>
    <w:rsid w:val="00E504E5"/>
    <w:rsid w:val="00E537DB"/>
    <w:rsid w:val="00E73ABF"/>
    <w:rsid w:val="00E95054"/>
    <w:rsid w:val="00EA4D08"/>
    <w:rsid w:val="00EB7A3E"/>
    <w:rsid w:val="00EC401A"/>
    <w:rsid w:val="00EF13F5"/>
    <w:rsid w:val="00EF468B"/>
    <w:rsid w:val="00EF530A"/>
    <w:rsid w:val="00EF6622"/>
    <w:rsid w:val="00F46A71"/>
    <w:rsid w:val="00F55408"/>
    <w:rsid w:val="00F66152"/>
    <w:rsid w:val="00F80845"/>
    <w:rsid w:val="00F84474"/>
    <w:rsid w:val="00FB0614"/>
    <w:rsid w:val="00FF7EC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D67C1"/>
  <w15:docId w15:val="{5FDCB860-34DF-4B3A-BA8C-42078CA0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257FF1"/>
    <w:pPr>
      <w:keepNext/>
      <w:numPr>
        <w:numId w:val="22"/>
      </w:numPr>
      <w:spacing w:before="480" w:after="240"/>
      <w:outlineLvl w:val="0"/>
    </w:pPr>
    <w:rPr>
      <w:b/>
      <w:bCs/>
      <w:caps/>
      <w:kern w:val="32"/>
      <w:szCs w:val="32"/>
    </w:rPr>
  </w:style>
  <w:style w:type="paragraph" w:styleId="Heading2">
    <w:name w:val="heading 2"/>
    <w:basedOn w:val="Normal"/>
    <w:next w:val="Normal"/>
    <w:qFormat/>
    <w:rsid w:val="002735E6"/>
    <w:pPr>
      <w:keepNext/>
      <w:numPr>
        <w:numId w:val="26"/>
      </w:numPr>
      <w:spacing w:before="480" w:after="240"/>
      <w:outlineLvl w:val="1"/>
    </w:pPr>
    <w:rPr>
      <w:bCs/>
      <w:iC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8D03C4"/>
    <w:rPr>
      <w:color w:val="0000FF" w:themeColor="hyperlink"/>
      <w:u w:val="single"/>
    </w:rPr>
  </w:style>
  <w:style w:type="character" w:styleId="UnresolvedMention">
    <w:name w:val="Unresolved Mention"/>
    <w:basedOn w:val="DefaultParagraphFont"/>
    <w:uiPriority w:val="99"/>
    <w:semiHidden/>
    <w:unhideWhenUsed/>
    <w:rsid w:val="008D03C4"/>
    <w:rPr>
      <w:color w:val="605E5C"/>
      <w:shd w:val="clear" w:color="auto" w:fill="E1DFDD"/>
    </w:rPr>
  </w:style>
  <w:style w:type="paragraph" w:styleId="ListParagraph">
    <w:name w:val="List Paragraph"/>
    <w:basedOn w:val="Normal"/>
    <w:uiPriority w:val="34"/>
    <w:qFormat/>
    <w:rsid w:val="00257FF1"/>
    <w:pPr>
      <w:ind w:left="720"/>
      <w:contextualSpacing/>
    </w:pPr>
  </w:style>
  <w:style w:type="character" w:styleId="FollowedHyperlink">
    <w:name w:val="FollowedHyperlink"/>
    <w:basedOn w:val="DefaultParagraphFont"/>
    <w:semiHidden/>
    <w:unhideWhenUsed/>
    <w:rsid w:val="002735E6"/>
    <w:rPr>
      <w:color w:val="800080" w:themeColor="followedHyperlink"/>
      <w:u w:val="single"/>
    </w:rPr>
  </w:style>
  <w:style w:type="paragraph" w:styleId="TOC1">
    <w:name w:val="toc 1"/>
    <w:basedOn w:val="Normal"/>
    <w:next w:val="Normal"/>
    <w:autoRedefine/>
    <w:uiPriority w:val="39"/>
    <w:unhideWhenUsed/>
    <w:rsid w:val="003A4DAD"/>
    <w:pPr>
      <w:tabs>
        <w:tab w:val="left" w:pos="567"/>
        <w:tab w:val="right" w:leader="dot" w:pos="9345"/>
      </w:tabs>
      <w:spacing w:after="100"/>
    </w:pPr>
  </w:style>
  <w:style w:type="paragraph" w:styleId="TOC2">
    <w:name w:val="toc 2"/>
    <w:basedOn w:val="Normal"/>
    <w:next w:val="Normal"/>
    <w:autoRedefine/>
    <w:uiPriority w:val="39"/>
    <w:unhideWhenUsed/>
    <w:rsid w:val="002735E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104F8B-0C77-47F9-BC8F-706BAF1A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79B9F-F71D-4F50-BCC2-585040D230C0}">
  <ds:schemaRefs>
    <ds:schemaRef ds:uri="http://schemas.openxmlformats.org/officeDocument/2006/bibliography"/>
  </ds:schemaRefs>
</ds:datastoreItem>
</file>

<file path=customXml/itemProps3.xml><?xml version="1.0" encoding="utf-8"?>
<ds:datastoreItem xmlns:ds="http://schemas.openxmlformats.org/officeDocument/2006/customXml" ds:itemID="{7D3E1137-DB2F-465F-BD14-3C92C8B0A98A}">
  <ds:schemaRefs>
    <ds:schemaRef ds:uri="http://schemas.microsoft.com/sharepoint/v3/contenttype/forms"/>
  </ds:schemaRefs>
</ds:datastoreItem>
</file>

<file path=customXml/itemProps4.xml><?xml version="1.0" encoding="utf-8"?>
<ds:datastoreItem xmlns:ds="http://schemas.openxmlformats.org/officeDocument/2006/customXml" ds:itemID="{FE1C76D2-131C-4353-B4FF-741C414D01D6}">
  <ds:schemaRefs>
    <ds:schemaRef ds:uri="b1a73aef-ce8f-442d-a5fc-a13bc475f3fd"/>
    <ds:schemaRef ds:uri="http://purl.org/dc/dcmitype/"/>
    <ds:schemaRef ds:uri="http://schemas.openxmlformats.org/package/2006/metadata/core-properties"/>
    <ds:schemaRef ds:uri="http://www.w3.org/XML/1998/namespace"/>
    <ds:schemaRef ds:uri="781c9f64-295c-457e-9e5f-c4eb841d6909"/>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WO_GA_58 (S)</Template>
  <TotalTime>2</TotalTime>
  <Pages>17</Pages>
  <Words>7886</Words>
  <Characters>41424</Characters>
  <Application>Microsoft Office Word</Application>
  <DocSecurity>0</DocSecurity>
  <Lines>345</Lines>
  <Paragraphs>98</Paragraphs>
  <ScaleCrop>false</ScaleCrop>
  <HeadingPairs>
    <vt:vector size="2" baseType="variant">
      <vt:variant>
        <vt:lpstr>Title</vt:lpstr>
      </vt:variant>
      <vt:variant>
        <vt:i4>1</vt:i4>
      </vt:variant>
    </vt:vector>
  </HeadingPairs>
  <TitlesOfParts>
    <vt:vector size="1" baseType="lpstr">
      <vt:lpstr>WO/GA/58/2</vt:lpstr>
    </vt:vector>
  </TitlesOfParts>
  <Company>WIPO</Company>
  <LinksUpToDate>false</LinksUpToDate>
  <CharactersWithSpaces>49212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WO/GA/58/2</dc:title>
  <dc:creator>MIGLIORE Liliana</dc:creator>
  <cp:keywords>FOR OFFICIAL USE ONLY</cp:keywords>
  <cp:lastModifiedBy>SAMUELS Frederick Anthony</cp:lastModifiedBy>
  <cp:revision>3</cp:revision>
  <dcterms:created xsi:type="dcterms:W3CDTF">2025-05-28T18:14:00Z</dcterms:created>
  <dcterms:modified xsi:type="dcterms:W3CDTF">2025-05-30T07:25:00Z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2025-02-18T10:25:36Z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ed34074f-d083-4d05-adfc-1237999e79e9</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