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3E4" w:rsidRPr="004854BC" w:rsidRDefault="00BE13E4" w:rsidP="00BE13E4">
      <w:pPr>
        <w:spacing w:before="360" w:after="240"/>
        <w:ind w:right="-57"/>
        <w:jc w:val="right"/>
        <w:rPr>
          <w:lang w:val="es-ES_tradnl"/>
        </w:rPr>
      </w:pPr>
      <w:r w:rsidRPr="004854BC">
        <w:rPr>
          <w:noProof/>
          <w:lang w:val="en-US" w:eastAsia="en-US"/>
        </w:rPr>
        <w:drawing>
          <wp:inline distT="0" distB="0" distL="0" distR="0" wp14:anchorId="4484EBC7" wp14:editId="3A560849">
            <wp:extent cx="3147729" cy="1353054"/>
            <wp:effectExtent l="0" t="0" r="0" b="0"/>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BE13E4" w:rsidRPr="004854BC" w:rsidRDefault="00BE13E4" w:rsidP="00BE13E4">
      <w:pPr>
        <w:pBdr>
          <w:top w:val="single" w:sz="4" w:space="16" w:color="auto"/>
        </w:pBdr>
        <w:jc w:val="right"/>
        <w:rPr>
          <w:rFonts w:ascii="Arial Black" w:hAnsi="Arial Black"/>
          <w:caps/>
          <w:sz w:val="15"/>
          <w:lang w:val="es-ES_tradnl"/>
        </w:rPr>
      </w:pPr>
      <w:r w:rsidRPr="004854BC">
        <w:rPr>
          <w:rFonts w:ascii="Arial Black" w:hAnsi="Arial Black"/>
          <w:caps/>
          <w:sz w:val="15"/>
          <w:lang w:val="es-ES_tradnl"/>
        </w:rPr>
        <w:t>WO/GA/54/2</w:t>
      </w:r>
    </w:p>
    <w:p w:rsidR="00BE13E4" w:rsidRPr="004854BC" w:rsidRDefault="00BE13E4" w:rsidP="00BE13E4">
      <w:pPr>
        <w:jc w:val="right"/>
        <w:rPr>
          <w:lang w:val="es-ES_tradnl"/>
        </w:rPr>
      </w:pPr>
      <w:r w:rsidRPr="004854BC">
        <w:rPr>
          <w:rFonts w:ascii="Arial Black" w:hAnsi="Arial Black"/>
          <w:caps/>
          <w:sz w:val="15"/>
          <w:lang w:val="es-ES_tradnl"/>
        </w:rPr>
        <w:t>ORIGINAL: INGLÉS</w:t>
      </w:r>
    </w:p>
    <w:p w:rsidR="00BE13E4" w:rsidRPr="004854BC" w:rsidRDefault="00BE13E4" w:rsidP="00BE13E4">
      <w:pPr>
        <w:spacing w:after="1200"/>
        <w:jc w:val="right"/>
        <w:rPr>
          <w:lang w:val="es-ES_tradnl"/>
        </w:rPr>
      </w:pPr>
      <w:r w:rsidRPr="004854BC">
        <w:rPr>
          <w:rFonts w:ascii="Arial Black" w:hAnsi="Arial Black"/>
          <w:caps/>
          <w:sz w:val="15"/>
          <w:lang w:val="es-ES_tradnl"/>
        </w:rPr>
        <w:t>fecha</w:t>
      </w:r>
      <w:r w:rsidRPr="00E058D4">
        <w:rPr>
          <w:rFonts w:ascii="Arial Black" w:hAnsi="Arial Black"/>
          <w:caps/>
          <w:sz w:val="15"/>
          <w:lang w:val="es-ES_tradnl"/>
        </w:rPr>
        <w:t xml:space="preserve">: </w:t>
      </w:r>
      <w:r w:rsidR="00983751">
        <w:rPr>
          <w:rFonts w:ascii="Arial Black" w:hAnsi="Arial Black"/>
          <w:caps/>
          <w:sz w:val="15"/>
          <w:lang w:val="es-ES_tradnl"/>
        </w:rPr>
        <w:t>6</w:t>
      </w:r>
      <w:r w:rsidR="002240D8" w:rsidRPr="00E058D4">
        <w:rPr>
          <w:rFonts w:ascii="Arial Black" w:hAnsi="Arial Black"/>
          <w:caps/>
          <w:sz w:val="15"/>
          <w:lang w:val="es-ES_tradnl"/>
        </w:rPr>
        <w:t xml:space="preserve"> </w:t>
      </w:r>
      <w:r w:rsidRPr="00E058D4">
        <w:rPr>
          <w:rFonts w:ascii="Arial Black" w:hAnsi="Arial Black"/>
          <w:caps/>
          <w:sz w:val="15"/>
          <w:lang w:val="es-ES_tradnl"/>
        </w:rPr>
        <w:t xml:space="preserve">DE </w:t>
      </w:r>
      <w:r w:rsidR="002240D8" w:rsidRPr="00E058D4">
        <w:rPr>
          <w:rFonts w:ascii="Arial Black" w:hAnsi="Arial Black"/>
          <w:caps/>
          <w:sz w:val="15"/>
          <w:lang w:val="es-ES_tradnl"/>
        </w:rPr>
        <w:t xml:space="preserve">agosto </w:t>
      </w:r>
      <w:r w:rsidRPr="004854BC">
        <w:rPr>
          <w:rFonts w:ascii="Arial Black" w:hAnsi="Arial Black"/>
          <w:caps/>
          <w:sz w:val="15"/>
          <w:lang w:val="es-ES_tradnl"/>
        </w:rPr>
        <w:t>DE 2021</w:t>
      </w:r>
    </w:p>
    <w:p w:rsidR="00BE13E4" w:rsidRPr="00A33DCA" w:rsidRDefault="00BE13E4" w:rsidP="00A33DCA">
      <w:pPr>
        <w:spacing w:after="600"/>
        <w:rPr>
          <w:b/>
          <w:sz w:val="28"/>
          <w:szCs w:val="28"/>
          <w:lang w:val="es-ES_tradnl"/>
        </w:rPr>
      </w:pPr>
      <w:r w:rsidRPr="00A33DCA">
        <w:rPr>
          <w:b/>
          <w:sz w:val="28"/>
          <w:szCs w:val="28"/>
          <w:lang w:val="es-ES_tradnl"/>
        </w:rPr>
        <w:t>Asamblea General de la OMPI</w:t>
      </w:r>
    </w:p>
    <w:p w:rsidR="00BE13E4" w:rsidRPr="00A33DCA" w:rsidRDefault="00BE13E4" w:rsidP="00A33DCA">
      <w:pPr>
        <w:spacing w:after="720"/>
        <w:rPr>
          <w:b/>
          <w:sz w:val="24"/>
          <w:szCs w:val="24"/>
          <w:lang w:val="es-ES_tradnl"/>
        </w:rPr>
      </w:pPr>
      <w:r w:rsidRPr="00A33DCA">
        <w:rPr>
          <w:b/>
          <w:sz w:val="24"/>
          <w:szCs w:val="24"/>
          <w:lang w:val="es-ES_tradnl"/>
        </w:rPr>
        <w:t>Quincuagésimo cuarto período de sesiones (25.º ordinario)</w:t>
      </w:r>
      <w:r w:rsidRPr="00A33DCA">
        <w:rPr>
          <w:b/>
          <w:sz w:val="24"/>
          <w:szCs w:val="24"/>
          <w:lang w:val="es-ES_tradnl"/>
        </w:rPr>
        <w:br/>
        <w:t>Ginebra, 4 a 8 de octubre de 2021</w:t>
      </w:r>
    </w:p>
    <w:p w:rsidR="00BE13E4" w:rsidRPr="00A33DCA" w:rsidRDefault="00B906F2" w:rsidP="00A33DCA">
      <w:pPr>
        <w:spacing w:after="360"/>
        <w:rPr>
          <w:sz w:val="24"/>
          <w:szCs w:val="24"/>
          <w:lang w:val="es-ES_tradnl"/>
        </w:rPr>
      </w:pPr>
      <w:r w:rsidRPr="00A33DCA">
        <w:rPr>
          <w:sz w:val="24"/>
          <w:szCs w:val="24"/>
          <w:lang w:val="es-ES_tradnl"/>
        </w:rPr>
        <w:t>INFORME DE LA COMISIÓN CONSULTIVA INDEPENDIENTE DE SUPERVISIÓN</w:t>
      </w:r>
      <w:r w:rsidR="00BE13E4" w:rsidRPr="00A33DCA">
        <w:rPr>
          <w:sz w:val="24"/>
          <w:szCs w:val="24"/>
          <w:lang w:val="es-ES_tradnl"/>
        </w:rPr>
        <w:t> (</w:t>
      </w:r>
      <w:r w:rsidRPr="00A33DCA">
        <w:rPr>
          <w:sz w:val="24"/>
          <w:szCs w:val="24"/>
          <w:lang w:val="es-ES_tradnl"/>
        </w:rPr>
        <w:t>CCIS</w:t>
      </w:r>
      <w:r w:rsidR="00BE13E4" w:rsidRPr="00A33DCA">
        <w:rPr>
          <w:sz w:val="24"/>
          <w:szCs w:val="24"/>
          <w:lang w:val="es-ES_tradnl"/>
        </w:rPr>
        <w:t>)</w:t>
      </w:r>
    </w:p>
    <w:p w:rsidR="00BE13E4" w:rsidRPr="004854BC" w:rsidRDefault="00B906F2" w:rsidP="00BE13E4">
      <w:pPr>
        <w:spacing w:after="960"/>
        <w:rPr>
          <w:i/>
          <w:lang w:val="es-ES_tradnl"/>
        </w:rPr>
      </w:pPr>
      <w:bookmarkStart w:id="0" w:name="_GoBack"/>
      <w:r w:rsidRPr="004854BC">
        <w:rPr>
          <w:i/>
          <w:lang w:val="es-ES_tradnl"/>
        </w:rPr>
        <w:t>preparado por la Comisión Consultiva Independiente de Supervisión</w:t>
      </w:r>
      <w:r w:rsidR="00BE13E4" w:rsidRPr="004854BC">
        <w:rPr>
          <w:i/>
          <w:lang w:val="es-ES_tradnl"/>
        </w:rPr>
        <w:t xml:space="preserve"> (</w:t>
      </w:r>
      <w:r w:rsidRPr="004854BC">
        <w:rPr>
          <w:i/>
          <w:lang w:val="es-ES_tradnl"/>
        </w:rPr>
        <w:t>CCIS</w:t>
      </w:r>
      <w:r w:rsidR="00BE13E4" w:rsidRPr="004854BC">
        <w:rPr>
          <w:i/>
          <w:lang w:val="es-ES_tradnl"/>
        </w:rPr>
        <w:t>)</w:t>
      </w:r>
    </w:p>
    <w:bookmarkEnd w:id="0"/>
    <w:p w:rsidR="00BE13E4" w:rsidRPr="004854BC" w:rsidRDefault="00B906F2" w:rsidP="00B906F2">
      <w:pPr>
        <w:tabs>
          <w:tab w:val="num" w:pos="567"/>
        </w:tabs>
        <w:spacing w:after="220"/>
        <w:rPr>
          <w:lang w:val="es-ES_tradnl"/>
        </w:rPr>
      </w:pPr>
      <w:r w:rsidRPr="004854BC">
        <w:rPr>
          <w:lang w:val="es-ES_tradnl"/>
        </w:rPr>
        <w:t xml:space="preserve">El presente documento contiene el “Informe de la Comisión Consultiva Independiente de </w:t>
      </w:r>
      <w:r w:rsidR="004854BC" w:rsidRPr="004854BC">
        <w:rPr>
          <w:lang w:val="es-ES_tradnl"/>
        </w:rPr>
        <w:t>Supervisión</w:t>
      </w:r>
      <w:r w:rsidRPr="004854BC">
        <w:rPr>
          <w:lang w:val="es-ES_tradnl"/>
        </w:rPr>
        <w:t xml:space="preserve"> (CCIS)”, que se presenta en la trigésima tercera sesión del Comité del Programa y Presupuesto (PBC) de la OMPI (13 a 17 de septiembre de 2021)</w:t>
      </w:r>
      <w:r w:rsidR="00BE13E4" w:rsidRPr="004854BC">
        <w:rPr>
          <w:lang w:val="es-ES_tradnl"/>
        </w:rPr>
        <w:t>.</w:t>
      </w:r>
    </w:p>
    <w:p w:rsidR="00BE13E4" w:rsidRPr="004854BC" w:rsidRDefault="00B906F2" w:rsidP="00B906F2">
      <w:pPr>
        <w:tabs>
          <w:tab w:val="num" w:pos="567"/>
        </w:tabs>
        <w:spacing w:after="600"/>
        <w:rPr>
          <w:lang w:val="es-ES_tradnl"/>
        </w:rPr>
      </w:pPr>
      <w:r w:rsidRPr="004854BC">
        <w:rPr>
          <w:lang w:val="es-ES_tradnl"/>
        </w:rPr>
        <w:t xml:space="preserve">Toda decisión que tome el PBC con respecto a dicho documento constará en la “Lista de decisiones adoptadas por el Comité del Programa y Presupuesto” (documento </w:t>
      </w:r>
      <w:r w:rsidR="002240D8" w:rsidRPr="004854BC">
        <w:rPr>
          <w:lang w:val="es-ES_tradnl"/>
        </w:rPr>
        <w:t>A</w:t>
      </w:r>
      <w:r w:rsidR="00BE13E4" w:rsidRPr="004854BC">
        <w:rPr>
          <w:lang w:val="es-ES_tradnl"/>
        </w:rPr>
        <w:t>/</w:t>
      </w:r>
      <w:r w:rsidR="002240D8" w:rsidRPr="004854BC">
        <w:rPr>
          <w:lang w:val="es-ES_tradnl"/>
        </w:rPr>
        <w:t>62</w:t>
      </w:r>
      <w:r w:rsidR="00BE13E4" w:rsidRPr="004854BC">
        <w:rPr>
          <w:lang w:val="es-ES_tradnl"/>
        </w:rPr>
        <w:t xml:space="preserve">/7). </w:t>
      </w:r>
    </w:p>
    <w:p w:rsidR="00BE13E4" w:rsidRPr="004854BC" w:rsidRDefault="00BE13E4" w:rsidP="006D3FAA">
      <w:pPr>
        <w:pStyle w:val="Endofdocument-Annex"/>
        <w:ind w:left="5310"/>
        <w:rPr>
          <w:lang w:val="es-ES_tradnl"/>
        </w:rPr>
      </w:pPr>
      <w:r w:rsidRPr="004854BC">
        <w:rPr>
          <w:lang w:val="es-ES_tradnl"/>
        </w:rPr>
        <w:t>[</w:t>
      </w:r>
      <w:r w:rsidR="00B906F2" w:rsidRPr="004854BC">
        <w:rPr>
          <w:lang w:val="es-ES_tradnl"/>
        </w:rPr>
        <w:t>Sigue el documento</w:t>
      </w:r>
      <w:r w:rsidRPr="004854BC">
        <w:rPr>
          <w:lang w:val="es-ES_tradnl"/>
        </w:rPr>
        <w:t xml:space="preserve"> WO/PBC/33/2</w:t>
      </w:r>
      <w:r w:rsidR="006D3FAA">
        <w:rPr>
          <w:lang w:val="es-ES_tradnl"/>
        </w:rPr>
        <w:t xml:space="preserve"> Rev.</w:t>
      </w:r>
      <w:r w:rsidRPr="004854BC">
        <w:rPr>
          <w:lang w:val="es-ES_tradnl"/>
        </w:rPr>
        <w:t>]</w:t>
      </w:r>
    </w:p>
    <w:p w:rsidR="00BE13E4" w:rsidRPr="004854BC" w:rsidRDefault="00BE13E4">
      <w:pPr>
        <w:rPr>
          <w:lang w:val="es-ES_tradnl"/>
        </w:rPr>
      </w:pPr>
      <w:r w:rsidRPr="004854BC">
        <w:rPr>
          <w:lang w:val="es-ES_tradnl"/>
        </w:rPr>
        <w:br w:type="page"/>
      </w:r>
    </w:p>
    <w:p w:rsidR="00BE13E4" w:rsidRPr="004854BC" w:rsidRDefault="00BE13E4" w:rsidP="00BE13E4">
      <w:pPr>
        <w:pStyle w:val="Endofdocument-Annex"/>
        <w:ind w:left="0"/>
        <w:rPr>
          <w:lang w:val="es-ES_tradnl"/>
        </w:rPr>
      </w:pPr>
    </w:p>
    <w:p w:rsidR="00BE13E4" w:rsidRPr="004854BC" w:rsidRDefault="00BE13E4" w:rsidP="008B14EA">
      <w:pPr>
        <w:spacing w:after="120"/>
        <w:jc w:val="right"/>
        <w:rPr>
          <w:lang w:val="es-ES_tradnl"/>
        </w:rPr>
        <w:sectPr w:rsidR="00BE13E4" w:rsidRPr="004854BC" w:rsidSect="003C7612">
          <w:footerReference w:type="default" r:id="rId9"/>
          <w:pgSz w:w="11907" w:h="16840" w:code="9"/>
          <w:pgMar w:top="567" w:right="1134" w:bottom="1418" w:left="1418" w:header="510" w:footer="1021" w:gutter="0"/>
          <w:cols w:space="720"/>
          <w:titlePg/>
          <w:docGrid w:linePitch="299"/>
        </w:sectPr>
      </w:pPr>
    </w:p>
    <w:p w:rsidR="008B2CC1" w:rsidRPr="004854BC" w:rsidRDefault="008B14EA" w:rsidP="008B14EA">
      <w:pPr>
        <w:spacing w:after="120"/>
        <w:jc w:val="right"/>
        <w:rPr>
          <w:lang w:val="es-ES_tradnl"/>
        </w:rPr>
      </w:pPr>
      <w:r w:rsidRPr="004854BC">
        <w:rPr>
          <w:noProof/>
          <w:lang w:val="en-US" w:eastAsia="en-US"/>
        </w:rPr>
        <w:lastRenderedPageBreak/>
        <w:drawing>
          <wp:inline distT="0" distB="0" distL="0" distR="0" wp14:anchorId="2435781C" wp14:editId="324D848B">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10">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4854BC">
        <w:rPr>
          <w:rFonts w:ascii="Arial Black" w:hAnsi="Arial Black"/>
          <w:caps/>
          <w:noProof/>
          <w:sz w:val="15"/>
          <w:szCs w:val="15"/>
          <w:lang w:val="en-US" w:eastAsia="en-US"/>
        </w:rPr>
        <mc:AlternateContent>
          <mc:Choice Requires="wps">
            <w:drawing>
              <wp:inline distT="0" distB="0" distL="0" distR="0" wp14:anchorId="62E28F14" wp14:editId="2897D027">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24871EF"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8B2CC1" w:rsidRPr="004854BC" w:rsidRDefault="0005571A" w:rsidP="008B14EA">
      <w:pPr>
        <w:jc w:val="right"/>
        <w:rPr>
          <w:rFonts w:ascii="Arial Black" w:hAnsi="Arial Black"/>
          <w:caps/>
          <w:sz w:val="15"/>
          <w:lang w:val="es-ES_tradnl"/>
        </w:rPr>
      </w:pPr>
      <w:r w:rsidRPr="004854BC">
        <w:rPr>
          <w:rFonts w:ascii="Arial Black" w:hAnsi="Arial Black"/>
          <w:caps/>
          <w:sz w:val="15"/>
          <w:lang w:val="es-ES_tradnl"/>
        </w:rPr>
        <w:t>WO/PBC/33/</w:t>
      </w:r>
      <w:bookmarkStart w:id="1" w:name="Code"/>
      <w:r w:rsidR="00BE13E4" w:rsidRPr="004854BC">
        <w:rPr>
          <w:rFonts w:ascii="Arial Black" w:hAnsi="Arial Black"/>
          <w:caps/>
          <w:sz w:val="15"/>
          <w:lang w:val="es-ES_tradnl"/>
        </w:rPr>
        <w:t>2</w:t>
      </w:r>
      <w:r w:rsidR="00F63C91">
        <w:rPr>
          <w:rFonts w:ascii="Arial Black" w:hAnsi="Arial Black"/>
          <w:caps/>
          <w:sz w:val="15"/>
          <w:lang w:val="es-ES_tradnl"/>
        </w:rPr>
        <w:t xml:space="preserve"> REV.</w:t>
      </w:r>
    </w:p>
    <w:bookmarkEnd w:id="1"/>
    <w:p w:rsidR="008B2CC1" w:rsidRPr="004854BC" w:rsidRDefault="008B14EA" w:rsidP="008B14EA">
      <w:pPr>
        <w:jc w:val="right"/>
        <w:rPr>
          <w:rFonts w:ascii="Arial Black" w:hAnsi="Arial Black"/>
          <w:caps/>
          <w:sz w:val="15"/>
          <w:lang w:val="es-ES_tradnl"/>
        </w:rPr>
      </w:pPr>
      <w:r w:rsidRPr="004854BC">
        <w:rPr>
          <w:rFonts w:ascii="Arial Black" w:hAnsi="Arial Black"/>
          <w:caps/>
          <w:sz w:val="15"/>
          <w:lang w:val="es-ES_tradnl"/>
        </w:rPr>
        <w:t xml:space="preserve">ORIGINAL: </w:t>
      </w:r>
      <w:bookmarkStart w:id="2" w:name="Original"/>
      <w:r w:rsidR="00BE13E4" w:rsidRPr="004854BC">
        <w:rPr>
          <w:rFonts w:ascii="Arial Black" w:hAnsi="Arial Black"/>
          <w:caps/>
          <w:sz w:val="15"/>
          <w:lang w:val="es-ES_tradnl"/>
        </w:rPr>
        <w:t>INGLÉS</w:t>
      </w:r>
    </w:p>
    <w:bookmarkEnd w:id="2"/>
    <w:p w:rsidR="008B2CC1" w:rsidRPr="004854BC" w:rsidRDefault="008B14EA" w:rsidP="008B14EA">
      <w:pPr>
        <w:spacing w:after="1200"/>
        <w:jc w:val="right"/>
        <w:rPr>
          <w:rFonts w:ascii="Arial Black" w:hAnsi="Arial Black"/>
          <w:caps/>
          <w:sz w:val="15"/>
          <w:lang w:val="es-ES_tradnl"/>
        </w:rPr>
      </w:pPr>
      <w:r w:rsidRPr="004854BC">
        <w:rPr>
          <w:rFonts w:ascii="Arial Black" w:hAnsi="Arial Black"/>
          <w:caps/>
          <w:sz w:val="15"/>
          <w:lang w:val="es-ES_tradnl"/>
        </w:rPr>
        <w:t xml:space="preserve">FECHA: </w:t>
      </w:r>
      <w:bookmarkStart w:id="3" w:name="Date"/>
      <w:r w:rsidR="009454F3">
        <w:rPr>
          <w:rFonts w:ascii="Arial Black" w:hAnsi="Arial Black"/>
          <w:caps/>
          <w:sz w:val="15"/>
          <w:lang w:val="es-ES_tradnl"/>
        </w:rPr>
        <w:t>6</w:t>
      </w:r>
      <w:r w:rsidR="00BE13E4" w:rsidRPr="00F63C91">
        <w:rPr>
          <w:rFonts w:ascii="Arial Black" w:hAnsi="Arial Black"/>
          <w:caps/>
          <w:sz w:val="15"/>
          <w:lang w:val="es-ES_tradnl"/>
        </w:rPr>
        <w:t xml:space="preserve"> DE </w:t>
      </w:r>
      <w:r w:rsidR="00F63C91" w:rsidRPr="00F63C91">
        <w:rPr>
          <w:rFonts w:ascii="Arial Black" w:hAnsi="Arial Black"/>
          <w:caps/>
          <w:sz w:val="15"/>
          <w:lang w:val="es-ES_tradnl"/>
        </w:rPr>
        <w:t>AGOSTO</w:t>
      </w:r>
      <w:r w:rsidR="00BE13E4" w:rsidRPr="004854BC">
        <w:rPr>
          <w:rFonts w:ascii="Arial Black" w:hAnsi="Arial Black"/>
          <w:caps/>
          <w:sz w:val="15"/>
          <w:lang w:val="es-ES_tradnl"/>
        </w:rPr>
        <w:t xml:space="preserve"> DE 2021</w:t>
      </w:r>
    </w:p>
    <w:bookmarkEnd w:id="3"/>
    <w:p w:rsidR="0005571A" w:rsidRPr="00A33DCA" w:rsidRDefault="00187B91" w:rsidP="00A33DCA">
      <w:pPr>
        <w:spacing w:after="600"/>
        <w:rPr>
          <w:b/>
          <w:sz w:val="28"/>
          <w:szCs w:val="28"/>
          <w:lang w:val="es-ES_tradnl"/>
        </w:rPr>
      </w:pPr>
      <w:r w:rsidRPr="00A33DCA">
        <w:rPr>
          <w:b/>
          <w:sz w:val="28"/>
          <w:szCs w:val="28"/>
          <w:lang w:val="es-ES_tradnl"/>
        </w:rPr>
        <w:t>Comité del Programa y</w:t>
      </w:r>
      <w:r w:rsidR="0005571A" w:rsidRPr="00A33DCA">
        <w:rPr>
          <w:b/>
          <w:sz w:val="28"/>
          <w:szCs w:val="28"/>
          <w:lang w:val="es-ES_tradnl"/>
        </w:rPr>
        <w:t xml:space="preserve"> Presupuesto</w:t>
      </w:r>
    </w:p>
    <w:p w:rsidR="0005571A" w:rsidRPr="004854BC" w:rsidRDefault="0005571A" w:rsidP="0005571A">
      <w:pPr>
        <w:rPr>
          <w:b/>
          <w:sz w:val="24"/>
          <w:lang w:val="es-ES_tradnl"/>
        </w:rPr>
      </w:pPr>
      <w:r w:rsidRPr="004854BC">
        <w:rPr>
          <w:b/>
          <w:sz w:val="24"/>
          <w:lang w:val="es-ES_tradnl"/>
        </w:rPr>
        <w:t>Trigésima tercera sesión</w:t>
      </w:r>
    </w:p>
    <w:p w:rsidR="0005571A" w:rsidRPr="004854BC" w:rsidRDefault="0005571A" w:rsidP="0005571A">
      <w:pPr>
        <w:spacing w:after="720"/>
        <w:rPr>
          <w:b/>
          <w:sz w:val="24"/>
          <w:lang w:val="es-ES_tradnl"/>
        </w:rPr>
      </w:pPr>
      <w:r w:rsidRPr="004854BC">
        <w:rPr>
          <w:b/>
          <w:sz w:val="24"/>
          <w:lang w:val="es-ES_tradnl"/>
        </w:rPr>
        <w:t>Ginebra, 13 a 17 de septiembre de 2021</w:t>
      </w:r>
    </w:p>
    <w:p w:rsidR="008B2CC1" w:rsidRPr="004854BC" w:rsidRDefault="00B906F2" w:rsidP="008B14EA">
      <w:pPr>
        <w:spacing w:after="360"/>
        <w:rPr>
          <w:caps/>
          <w:sz w:val="24"/>
          <w:lang w:val="es-ES_tradnl"/>
        </w:rPr>
      </w:pPr>
      <w:bookmarkStart w:id="4" w:name="TitleOfDoc"/>
      <w:bookmarkEnd w:id="4"/>
      <w:r w:rsidRPr="004854BC">
        <w:rPr>
          <w:lang w:val="es-ES_tradnl"/>
        </w:rPr>
        <w:t>INFORME DE LA COMISIÓN CONSULTIVA INDEPENDIENTE DE SUPERVISIÓN (CCIS)</w:t>
      </w:r>
      <w:r w:rsidR="00C56BD1">
        <w:rPr>
          <w:lang w:val="es-ES_tradnl"/>
        </w:rPr>
        <w:t>DE LA OMPI</w:t>
      </w:r>
    </w:p>
    <w:p w:rsidR="008B2CC1" w:rsidRPr="004854BC" w:rsidRDefault="00B906F2" w:rsidP="008B14EA">
      <w:pPr>
        <w:spacing w:after="960"/>
        <w:rPr>
          <w:i/>
          <w:lang w:val="es-ES_tradnl"/>
        </w:rPr>
      </w:pPr>
      <w:bookmarkStart w:id="5" w:name="Prepared"/>
      <w:bookmarkEnd w:id="5"/>
      <w:r w:rsidRPr="004854BC">
        <w:rPr>
          <w:i/>
          <w:lang w:val="es-ES_tradnl"/>
        </w:rPr>
        <w:t>preparado por la Comisión Consultiva Independiente de Supervisión (CCIS)</w:t>
      </w:r>
      <w:r w:rsidR="00C56BD1">
        <w:rPr>
          <w:i/>
          <w:lang w:val="es-ES_tradnl"/>
        </w:rPr>
        <w:t xml:space="preserve"> de la OMPI</w:t>
      </w:r>
    </w:p>
    <w:p w:rsidR="00BE13E4" w:rsidRPr="004854BC" w:rsidRDefault="00BE13E4" w:rsidP="00152B24">
      <w:pPr>
        <w:tabs>
          <w:tab w:val="left" w:pos="567"/>
        </w:tabs>
        <w:autoSpaceDE w:val="0"/>
        <w:autoSpaceDN w:val="0"/>
        <w:adjustRightInd w:val="0"/>
        <w:rPr>
          <w:szCs w:val="22"/>
          <w:lang w:val="es-ES_tradnl"/>
        </w:rPr>
      </w:pPr>
      <w:r w:rsidRPr="004854BC">
        <w:rPr>
          <w:lang w:val="es-ES_tradnl"/>
        </w:rPr>
        <w:t>1.</w:t>
      </w:r>
      <w:r w:rsidRPr="004854BC">
        <w:rPr>
          <w:lang w:val="es-ES_tradnl"/>
        </w:rPr>
        <w:tab/>
      </w:r>
      <w:r w:rsidR="00152B24" w:rsidRPr="004854BC">
        <w:rPr>
          <w:lang w:val="es-ES_tradnl"/>
        </w:rPr>
        <w:t>El presente documento contiene el informe de la Comisión Consultiva Independiente de Supervisión (CCIS)</w:t>
      </w:r>
      <w:r w:rsidR="00C56BD1">
        <w:rPr>
          <w:lang w:val="es-ES_tradnl"/>
        </w:rPr>
        <w:t xml:space="preserve"> de la OMPI</w:t>
      </w:r>
      <w:r w:rsidR="00152B24" w:rsidRPr="004854BC">
        <w:rPr>
          <w:lang w:val="es-ES_tradnl"/>
        </w:rPr>
        <w:t>, preparado por la CCIS y que abarca el período comprendido entre el 24 de abril de 2020 y el 9 de julio de 2021</w:t>
      </w:r>
      <w:r w:rsidRPr="004854BC">
        <w:rPr>
          <w:lang w:val="es-ES_tradnl"/>
        </w:rPr>
        <w:t>.</w:t>
      </w:r>
    </w:p>
    <w:p w:rsidR="00BE13E4" w:rsidRPr="004854BC" w:rsidRDefault="00BE13E4" w:rsidP="00BE13E4">
      <w:pPr>
        <w:autoSpaceDE w:val="0"/>
        <w:autoSpaceDN w:val="0"/>
        <w:adjustRightInd w:val="0"/>
        <w:rPr>
          <w:szCs w:val="22"/>
          <w:lang w:val="es-ES_tradnl"/>
        </w:rPr>
      </w:pPr>
    </w:p>
    <w:p w:rsidR="00BE13E4" w:rsidRPr="004854BC" w:rsidRDefault="00BE13E4" w:rsidP="00BE13E4">
      <w:pPr>
        <w:autoSpaceDE w:val="0"/>
        <w:autoSpaceDN w:val="0"/>
        <w:adjustRightInd w:val="0"/>
        <w:rPr>
          <w:szCs w:val="22"/>
          <w:lang w:val="es-ES_tradnl"/>
        </w:rPr>
      </w:pPr>
      <w:r w:rsidRPr="004854BC">
        <w:rPr>
          <w:szCs w:val="22"/>
          <w:lang w:val="es-ES_tradnl"/>
        </w:rPr>
        <w:t>2.</w:t>
      </w:r>
      <w:r w:rsidRPr="004854BC">
        <w:rPr>
          <w:szCs w:val="22"/>
          <w:lang w:val="es-ES_tradnl"/>
        </w:rPr>
        <w:tab/>
      </w:r>
      <w:r w:rsidR="00152B24" w:rsidRPr="004854BC">
        <w:rPr>
          <w:szCs w:val="22"/>
          <w:lang w:val="es-ES_tradnl"/>
        </w:rPr>
        <w:t>Se propone el siguiente párrafo de decisión</w:t>
      </w:r>
      <w:r w:rsidRPr="004854BC">
        <w:rPr>
          <w:szCs w:val="22"/>
          <w:lang w:val="es-ES_tradnl"/>
        </w:rPr>
        <w:t>:</w:t>
      </w:r>
    </w:p>
    <w:p w:rsidR="00BE13E4" w:rsidRPr="004854BC" w:rsidRDefault="00BE13E4" w:rsidP="00BE13E4">
      <w:pPr>
        <w:autoSpaceDE w:val="0"/>
        <w:autoSpaceDN w:val="0"/>
        <w:adjustRightInd w:val="0"/>
        <w:rPr>
          <w:szCs w:val="22"/>
          <w:lang w:val="es-ES_tradnl"/>
        </w:rPr>
      </w:pPr>
    </w:p>
    <w:p w:rsidR="00BE13E4" w:rsidRPr="004854BC" w:rsidRDefault="00BE13E4" w:rsidP="00BE13E4">
      <w:pPr>
        <w:tabs>
          <w:tab w:val="left" w:pos="6096"/>
        </w:tabs>
        <w:ind w:left="5534"/>
        <w:rPr>
          <w:i/>
          <w:lang w:val="es-ES_tradnl"/>
        </w:rPr>
      </w:pPr>
      <w:r w:rsidRPr="004854BC">
        <w:rPr>
          <w:i/>
          <w:lang w:val="es-ES_tradnl"/>
        </w:rPr>
        <w:t>3.</w:t>
      </w:r>
      <w:r w:rsidRPr="004854BC">
        <w:rPr>
          <w:i/>
          <w:lang w:val="es-ES_tradnl"/>
        </w:rPr>
        <w:tab/>
      </w:r>
      <w:r w:rsidR="00152B24" w:rsidRPr="004854BC">
        <w:rPr>
          <w:i/>
          <w:lang w:val="es-ES_tradnl"/>
        </w:rPr>
        <w:t xml:space="preserve">El Comité del Programa y Presupuesto </w:t>
      </w:r>
      <w:r w:rsidRPr="004854BC">
        <w:rPr>
          <w:i/>
          <w:lang w:val="es-ES_tradnl"/>
        </w:rPr>
        <w:t>(PBC) recom</w:t>
      </w:r>
      <w:r w:rsidR="00152B24" w:rsidRPr="004854BC">
        <w:rPr>
          <w:i/>
          <w:lang w:val="es-ES_tradnl"/>
        </w:rPr>
        <w:t>endó a la Asamblea General de la OMPI que tome nota del “Informe de la Comisión Consultiva Independiente de Supervisión (CCIS) de la OMPI</w:t>
      </w:r>
      <w:r w:rsidRPr="004854BC">
        <w:rPr>
          <w:i/>
          <w:lang w:val="es-ES_tradnl"/>
        </w:rPr>
        <w:t>” (document</w:t>
      </w:r>
      <w:r w:rsidR="00152B24" w:rsidRPr="004854BC">
        <w:rPr>
          <w:i/>
          <w:lang w:val="es-ES_tradnl"/>
        </w:rPr>
        <w:t>o</w:t>
      </w:r>
      <w:r w:rsidRPr="004854BC">
        <w:rPr>
          <w:i/>
          <w:lang w:val="es-ES_tradnl"/>
        </w:rPr>
        <w:t> WO/PBC/33/2</w:t>
      </w:r>
      <w:r w:rsidR="009454F3">
        <w:rPr>
          <w:i/>
          <w:lang w:val="es-ES_tradnl"/>
        </w:rPr>
        <w:t xml:space="preserve"> Rev.</w:t>
      </w:r>
      <w:r w:rsidRPr="004854BC">
        <w:rPr>
          <w:i/>
          <w:lang w:val="es-ES_tradnl"/>
        </w:rPr>
        <w:t>).</w:t>
      </w:r>
    </w:p>
    <w:p w:rsidR="00BE13E4" w:rsidRPr="004854BC" w:rsidRDefault="00BE13E4" w:rsidP="00BE13E4">
      <w:pPr>
        <w:tabs>
          <w:tab w:val="left" w:pos="5940"/>
        </w:tabs>
        <w:ind w:left="5534"/>
        <w:rPr>
          <w:i/>
          <w:lang w:val="es-ES_tradnl"/>
        </w:rPr>
      </w:pPr>
    </w:p>
    <w:p w:rsidR="00BE13E4" w:rsidRPr="004854BC" w:rsidRDefault="00BE13E4" w:rsidP="00BE13E4">
      <w:pPr>
        <w:tabs>
          <w:tab w:val="left" w:pos="5940"/>
        </w:tabs>
        <w:rPr>
          <w:i/>
          <w:lang w:val="es-ES_tradnl"/>
        </w:rPr>
      </w:pPr>
    </w:p>
    <w:p w:rsidR="00BE13E4" w:rsidRPr="004854BC" w:rsidRDefault="00BE13E4" w:rsidP="00BE13E4">
      <w:pPr>
        <w:pStyle w:val="Endofdocument-Annex"/>
        <w:rPr>
          <w:lang w:val="es-ES_tradnl"/>
        </w:rPr>
      </w:pPr>
      <w:r w:rsidRPr="004854BC">
        <w:rPr>
          <w:lang w:val="es-ES_tradnl"/>
        </w:rPr>
        <w:t>[</w:t>
      </w:r>
      <w:r w:rsidR="00152B24" w:rsidRPr="004854BC">
        <w:rPr>
          <w:lang w:val="es-ES_tradnl"/>
        </w:rPr>
        <w:t>Sigue el informe de la Comisión Consultiva Independiente de Supervisión de la OMPI</w:t>
      </w:r>
      <w:r w:rsidRPr="004854BC">
        <w:rPr>
          <w:lang w:val="es-ES_tradnl"/>
        </w:rPr>
        <w:t>]</w:t>
      </w:r>
    </w:p>
    <w:p w:rsidR="00BE13E4" w:rsidRPr="004854BC" w:rsidRDefault="00BE13E4" w:rsidP="00BE13E4">
      <w:pPr>
        <w:pStyle w:val="Endofdocument-Annex"/>
        <w:rPr>
          <w:lang w:val="es-ES_tradnl"/>
        </w:rPr>
      </w:pPr>
    </w:p>
    <w:p w:rsidR="00BE13E4" w:rsidRPr="004854BC" w:rsidRDefault="00BE13E4" w:rsidP="00BE13E4">
      <w:pPr>
        <w:pStyle w:val="Endofdocument-Annex"/>
        <w:rPr>
          <w:lang w:val="es-ES_tradnl"/>
        </w:rPr>
        <w:sectPr w:rsidR="00BE13E4" w:rsidRPr="004854BC" w:rsidSect="00BE13E4">
          <w:headerReference w:type="even" r:id="rId11"/>
          <w:headerReference w:type="default" r:id="rId12"/>
          <w:footerReference w:type="even" r:id="rId13"/>
          <w:footerReference w:type="default" r:id="rId14"/>
          <w:headerReference w:type="first" r:id="rId15"/>
          <w:footerReference w:type="first" r:id="rId16"/>
          <w:pgSz w:w="11907" w:h="16840" w:code="9"/>
          <w:pgMar w:top="567" w:right="1134" w:bottom="1418" w:left="1418" w:header="510" w:footer="1021" w:gutter="0"/>
          <w:cols w:space="720"/>
          <w:titlePg/>
          <w:docGrid w:linePitch="299"/>
        </w:sectPr>
      </w:pPr>
    </w:p>
    <w:p w:rsidR="00BE13E4" w:rsidRPr="004854BC" w:rsidRDefault="00152B24" w:rsidP="00BE13E4">
      <w:pPr>
        <w:jc w:val="center"/>
        <w:rPr>
          <w:lang w:val="es-ES_tradnl"/>
        </w:rPr>
      </w:pPr>
      <w:r w:rsidRPr="004854BC">
        <w:rPr>
          <w:lang w:val="es-ES_tradnl"/>
        </w:rPr>
        <w:lastRenderedPageBreak/>
        <w:t xml:space="preserve">INFORME ANNUAL DE LA COMISIÓN CONSULTIVA INDEPENDIENTE DE SUPERVISIÓN (CCIS) DE LA OMPI CORRESPONDIENTE AL PERÍODO COMPRENDIDO ENTRE EL 24 DE ABRIL </w:t>
      </w:r>
      <w:r w:rsidR="000922AF">
        <w:rPr>
          <w:lang w:val="es-ES_tradnl"/>
        </w:rPr>
        <w:t xml:space="preserve">DE 2020 </w:t>
      </w:r>
      <w:r w:rsidRPr="004854BC">
        <w:rPr>
          <w:lang w:val="es-ES_tradnl"/>
        </w:rPr>
        <w:t>Y EL 9 DE JULIO DE 2021</w:t>
      </w:r>
    </w:p>
    <w:p w:rsidR="00BE13E4" w:rsidRPr="004854BC" w:rsidRDefault="00BE13E4" w:rsidP="00BE13E4">
      <w:pPr>
        <w:rPr>
          <w:rStyle w:val="Endofdocument-AnnexChar"/>
          <w:sz w:val="18"/>
          <w:szCs w:val="18"/>
          <w:lang w:val="es-ES_tradnl"/>
        </w:rPr>
      </w:pPr>
    </w:p>
    <w:p w:rsidR="00BE13E4" w:rsidRPr="004854BC" w:rsidRDefault="00BE13E4" w:rsidP="00BE13E4">
      <w:pPr>
        <w:jc w:val="center"/>
        <w:rPr>
          <w:rStyle w:val="Endofdocument-AnnexChar"/>
          <w:szCs w:val="22"/>
          <w:lang w:val="es-ES_tradnl"/>
        </w:rPr>
      </w:pPr>
      <w:r w:rsidRPr="004854BC">
        <w:rPr>
          <w:rStyle w:val="Endofdocument-AnnexChar"/>
          <w:szCs w:val="22"/>
          <w:lang w:val="es-ES_tradnl"/>
        </w:rPr>
        <w:t>[</w:t>
      </w:r>
      <w:r w:rsidR="00F63C91" w:rsidRPr="00F63C91">
        <w:rPr>
          <w:rStyle w:val="Endofdocument-AnnexChar"/>
          <w:szCs w:val="22"/>
          <w:lang w:val="es-ES_tradnl"/>
        </w:rPr>
        <w:t>28</w:t>
      </w:r>
      <w:r w:rsidR="00152B24" w:rsidRPr="00F63C91">
        <w:rPr>
          <w:rStyle w:val="Endofdocument-AnnexChar"/>
          <w:szCs w:val="22"/>
          <w:lang w:val="es-ES_tradnl"/>
        </w:rPr>
        <w:t xml:space="preserve"> de julio</w:t>
      </w:r>
      <w:r w:rsidR="00152B24" w:rsidRPr="004854BC">
        <w:rPr>
          <w:rStyle w:val="Endofdocument-AnnexChar"/>
          <w:szCs w:val="22"/>
          <w:lang w:val="es-ES_tradnl"/>
        </w:rPr>
        <w:t xml:space="preserve"> de</w:t>
      </w:r>
      <w:r w:rsidRPr="004854BC">
        <w:rPr>
          <w:rStyle w:val="Endofdocument-AnnexChar"/>
          <w:szCs w:val="22"/>
          <w:lang w:val="es-ES_tradnl"/>
        </w:rPr>
        <w:t xml:space="preserve"> 2021]</w:t>
      </w:r>
    </w:p>
    <w:p w:rsidR="00BE13E4" w:rsidRPr="004854BC" w:rsidRDefault="00BE13E4" w:rsidP="00BE13E4">
      <w:pPr>
        <w:jc w:val="center"/>
        <w:rPr>
          <w:rStyle w:val="Endofdocument-AnnexChar"/>
          <w:lang w:val="es-ES_tradnl"/>
        </w:rPr>
      </w:pPr>
    </w:p>
    <w:p w:rsidR="00BE13E4" w:rsidRPr="004854BC" w:rsidRDefault="00BE13E4" w:rsidP="00BE13E4">
      <w:pPr>
        <w:jc w:val="center"/>
        <w:rPr>
          <w:rStyle w:val="Endofdocument-AnnexChar"/>
          <w:lang w:val="es-ES_tradnl"/>
        </w:rPr>
      </w:pPr>
    </w:p>
    <w:p w:rsidR="00BE13E4" w:rsidRPr="004854BC" w:rsidRDefault="00BE13E4" w:rsidP="00BE13E4">
      <w:pPr>
        <w:rPr>
          <w:rStyle w:val="Endofdocument-AnnexChar"/>
          <w:sz w:val="16"/>
          <w:szCs w:val="16"/>
          <w:lang w:val="es-ES_tradnl"/>
        </w:rPr>
      </w:pPr>
    </w:p>
    <w:p w:rsidR="00BE13E4" w:rsidRPr="004854BC" w:rsidRDefault="00BE13E4" w:rsidP="00BE13E4">
      <w:pPr>
        <w:rPr>
          <w:rStyle w:val="Endofdocument-AnnexChar"/>
          <w:sz w:val="16"/>
          <w:szCs w:val="16"/>
          <w:lang w:val="es-ES_tradnl"/>
        </w:rPr>
      </w:pPr>
      <w:r w:rsidRPr="004854BC">
        <w:rPr>
          <w:rStyle w:val="Endofdocument-AnnexChar"/>
          <w:sz w:val="16"/>
          <w:szCs w:val="16"/>
          <w:lang w:val="es-ES_tradnl"/>
        </w:rPr>
        <w:br w:type="page"/>
      </w:r>
    </w:p>
    <w:p w:rsidR="00BE13E4" w:rsidRPr="004854BC" w:rsidRDefault="00BB7CDA" w:rsidP="00BB7CDA">
      <w:pPr>
        <w:pStyle w:val="TOCHeading"/>
        <w:tabs>
          <w:tab w:val="center" w:pos="4677"/>
          <w:tab w:val="right" w:pos="9355"/>
        </w:tabs>
        <w:rPr>
          <w:rFonts w:ascii="Arial" w:hAnsi="Arial" w:cs="Arial"/>
          <w:color w:val="auto"/>
          <w:sz w:val="24"/>
          <w:lang w:val="es-ES_tradnl"/>
        </w:rPr>
      </w:pPr>
      <w:r w:rsidRPr="004854BC">
        <w:rPr>
          <w:rFonts w:ascii="Arial" w:hAnsi="Arial" w:cs="Arial"/>
          <w:color w:val="auto"/>
          <w:sz w:val="24"/>
          <w:lang w:val="es-ES_tradnl"/>
        </w:rPr>
        <w:lastRenderedPageBreak/>
        <w:tab/>
      </w:r>
      <w:r w:rsidR="00152B24" w:rsidRPr="0017411D">
        <w:rPr>
          <w:rFonts w:ascii="Arial" w:hAnsi="Arial" w:cs="Arial"/>
          <w:color w:val="auto"/>
          <w:sz w:val="24"/>
          <w:lang w:val="es-ES_tradnl"/>
        </w:rPr>
        <w:t>Índice</w:t>
      </w:r>
      <w:r w:rsidRPr="004854BC">
        <w:rPr>
          <w:rFonts w:ascii="Arial" w:hAnsi="Arial" w:cs="Arial"/>
          <w:color w:val="auto"/>
          <w:sz w:val="24"/>
          <w:lang w:val="es-ES_tradnl"/>
        </w:rPr>
        <w:tab/>
      </w:r>
    </w:p>
    <w:sdt>
      <w:sdtPr>
        <w:rPr>
          <w:rFonts w:eastAsia="SimSun" w:cs="Arial"/>
          <w:b/>
          <w:bCs/>
          <w:lang w:val="es-ES_tradnl" w:eastAsia="zh-CN"/>
        </w:rPr>
        <w:id w:val="92830025"/>
        <w:docPartObj>
          <w:docPartGallery w:val="Table of Contents"/>
          <w:docPartUnique/>
        </w:docPartObj>
      </w:sdtPr>
      <w:sdtEndPr>
        <w:rPr>
          <w:b w:val="0"/>
          <w:bCs w:val="0"/>
        </w:rPr>
      </w:sdtEndPr>
      <w:sdtContent>
        <w:p w:rsidR="00A33DCA" w:rsidRDefault="00BE13E4">
          <w:pPr>
            <w:pStyle w:val="TOC1"/>
            <w:rPr>
              <w:rFonts w:asciiTheme="minorHAnsi" w:eastAsiaTheme="minorEastAsia" w:hAnsiTheme="minorHAnsi" w:cstheme="minorBidi"/>
              <w:noProof/>
              <w:szCs w:val="22"/>
              <w:lang w:val="en-US"/>
            </w:rPr>
          </w:pPr>
          <w:r w:rsidRPr="00A33DCA">
            <w:rPr>
              <w:rFonts w:ascii="Cambria" w:eastAsia="MS Gothic" w:hAnsi="Cambria"/>
              <w:sz w:val="28"/>
              <w:szCs w:val="28"/>
              <w:lang w:val="es-ES_tradnl" w:eastAsia="ja-JP"/>
            </w:rPr>
            <w:fldChar w:fldCharType="begin"/>
          </w:r>
          <w:r w:rsidRPr="00A33DCA">
            <w:rPr>
              <w:lang w:val="es-ES_tradnl"/>
            </w:rPr>
            <w:instrText xml:space="preserve"> TOC \o "1-3" \h \z \u </w:instrText>
          </w:r>
          <w:r w:rsidRPr="00A33DCA">
            <w:rPr>
              <w:rFonts w:ascii="Cambria" w:eastAsia="MS Gothic" w:hAnsi="Cambria"/>
              <w:sz w:val="28"/>
              <w:szCs w:val="28"/>
              <w:lang w:val="es-ES_tradnl" w:eastAsia="ja-JP"/>
            </w:rPr>
            <w:fldChar w:fldCharType="separate"/>
          </w:r>
          <w:hyperlink w:anchor="_Toc78467002" w:history="1">
            <w:r w:rsidR="00A33DCA" w:rsidRPr="00D210B5">
              <w:rPr>
                <w:rStyle w:val="Hyperlink"/>
                <w:iCs/>
                <w:noProof/>
                <w:lang w:val="es-ES_tradnl"/>
              </w:rPr>
              <w:t>I.</w:t>
            </w:r>
            <w:r w:rsidR="00A33DCA">
              <w:rPr>
                <w:rFonts w:asciiTheme="minorHAnsi" w:eastAsiaTheme="minorEastAsia" w:hAnsiTheme="minorHAnsi" w:cstheme="minorBidi"/>
                <w:noProof/>
                <w:szCs w:val="22"/>
                <w:lang w:val="en-US"/>
              </w:rPr>
              <w:tab/>
            </w:r>
            <w:r w:rsidR="00A33DCA" w:rsidRPr="00D210B5">
              <w:rPr>
                <w:rStyle w:val="Hyperlink"/>
                <w:noProof/>
                <w:lang w:val="es-ES_tradnl"/>
              </w:rPr>
              <w:t>INTRODUCCIÓN</w:t>
            </w:r>
            <w:r w:rsidR="00A33DCA">
              <w:rPr>
                <w:noProof/>
                <w:webHidden/>
              </w:rPr>
              <w:tab/>
            </w:r>
            <w:r w:rsidR="00A33DCA">
              <w:rPr>
                <w:noProof/>
                <w:webHidden/>
              </w:rPr>
              <w:fldChar w:fldCharType="begin"/>
            </w:r>
            <w:r w:rsidR="00A33DCA">
              <w:rPr>
                <w:noProof/>
                <w:webHidden/>
              </w:rPr>
              <w:instrText xml:space="preserve"> PAGEREF _Toc78467002 \h </w:instrText>
            </w:r>
            <w:r w:rsidR="00A33DCA">
              <w:rPr>
                <w:noProof/>
                <w:webHidden/>
              </w:rPr>
            </w:r>
            <w:r w:rsidR="00A33DCA">
              <w:rPr>
                <w:noProof/>
                <w:webHidden/>
              </w:rPr>
              <w:fldChar w:fldCharType="separate"/>
            </w:r>
            <w:r w:rsidR="00A33DCA">
              <w:rPr>
                <w:noProof/>
                <w:webHidden/>
              </w:rPr>
              <w:t>3</w:t>
            </w:r>
            <w:r w:rsidR="00A33DCA">
              <w:rPr>
                <w:noProof/>
                <w:webHidden/>
              </w:rPr>
              <w:fldChar w:fldCharType="end"/>
            </w:r>
          </w:hyperlink>
        </w:p>
        <w:p w:rsidR="00A33DCA" w:rsidRDefault="00CF1729">
          <w:pPr>
            <w:pStyle w:val="TOC1"/>
            <w:rPr>
              <w:rFonts w:asciiTheme="minorHAnsi" w:eastAsiaTheme="minorEastAsia" w:hAnsiTheme="minorHAnsi" w:cstheme="minorBidi"/>
              <w:noProof/>
              <w:szCs w:val="22"/>
              <w:lang w:val="en-US"/>
            </w:rPr>
          </w:pPr>
          <w:hyperlink w:anchor="_Toc78467003" w:history="1">
            <w:r w:rsidR="00A33DCA" w:rsidRPr="00D210B5">
              <w:rPr>
                <w:rStyle w:val="Hyperlink"/>
                <w:noProof/>
                <w:lang w:val="es-ES_tradnl"/>
              </w:rPr>
              <w:t>II.</w:t>
            </w:r>
            <w:r w:rsidR="00A33DCA">
              <w:rPr>
                <w:rFonts w:asciiTheme="minorHAnsi" w:eastAsiaTheme="minorEastAsia" w:hAnsiTheme="minorHAnsi" w:cstheme="minorBidi"/>
                <w:noProof/>
                <w:szCs w:val="22"/>
                <w:lang w:val="en-US"/>
              </w:rPr>
              <w:tab/>
            </w:r>
            <w:r w:rsidR="00A33DCA" w:rsidRPr="00D210B5">
              <w:rPr>
                <w:rStyle w:val="Hyperlink"/>
                <w:noProof/>
                <w:lang w:val="es-ES_tradnl"/>
              </w:rPr>
              <w:t>SESIONES TRIMESTRALES, COMPOSICIÓN Y METODOLOGÍA</w:t>
            </w:r>
            <w:r w:rsidR="00A33DCA">
              <w:rPr>
                <w:noProof/>
                <w:webHidden/>
              </w:rPr>
              <w:tab/>
            </w:r>
            <w:r w:rsidR="00A33DCA">
              <w:rPr>
                <w:noProof/>
                <w:webHidden/>
              </w:rPr>
              <w:fldChar w:fldCharType="begin"/>
            </w:r>
            <w:r w:rsidR="00A33DCA">
              <w:rPr>
                <w:noProof/>
                <w:webHidden/>
              </w:rPr>
              <w:instrText xml:space="preserve"> PAGEREF _Toc78467003 \h </w:instrText>
            </w:r>
            <w:r w:rsidR="00A33DCA">
              <w:rPr>
                <w:noProof/>
                <w:webHidden/>
              </w:rPr>
            </w:r>
            <w:r w:rsidR="00A33DCA">
              <w:rPr>
                <w:noProof/>
                <w:webHidden/>
              </w:rPr>
              <w:fldChar w:fldCharType="separate"/>
            </w:r>
            <w:r w:rsidR="00A33DCA">
              <w:rPr>
                <w:noProof/>
                <w:webHidden/>
              </w:rPr>
              <w:t>3</w:t>
            </w:r>
            <w:r w:rsidR="00A33DCA">
              <w:rPr>
                <w:noProof/>
                <w:webHidden/>
              </w:rPr>
              <w:fldChar w:fldCharType="end"/>
            </w:r>
          </w:hyperlink>
        </w:p>
        <w:p w:rsidR="00A33DCA" w:rsidRDefault="00CF1729">
          <w:pPr>
            <w:pStyle w:val="TOC1"/>
            <w:rPr>
              <w:rFonts w:asciiTheme="minorHAnsi" w:eastAsiaTheme="minorEastAsia" w:hAnsiTheme="minorHAnsi" w:cstheme="minorBidi"/>
              <w:noProof/>
              <w:szCs w:val="22"/>
              <w:lang w:val="en-US"/>
            </w:rPr>
          </w:pPr>
          <w:hyperlink w:anchor="_Toc78467004" w:history="1">
            <w:r w:rsidR="00A33DCA" w:rsidRPr="00D210B5">
              <w:rPr>
                <w:rStyle w:val="Hyperlink"/>
                <w:noProof/>
                <w:lang w:val="es-ES_tradnl"/>
              </w:rPr>
              <w:t>III.</w:t>
            </w:r>
            <w:r w:rsidR="00A33DCA">
              <w:rPr>
                <w:rFonts w:asciiTheme="minorHAnsi" w:eastAsiaTheme="minorEastAsia" w:hAnsiTheme="minorHAnsi" w:cstheme="minorBidi"/>
                <w:noProof/>
                <w:szCs w:val="22"/>
                <w:lang w:val="en-US"/>
              </w:rPr>
              <w:tab/>
            </w:r>
            <w:r w:rsidR="00A33DCA" w:rsidRPr="00D210B5">
              <w:rPr>
                <w:rStyle w:val="Hyperlink"/>
                <w:noProof/>
                <w:lang w:val="es-ES_tradnl"/>
              </w:rPr>
              <w:t>ASUNTOS DEBATIDOS Y EXAMINADOS</w:t>
            </w:r>
            <w:r w:rsidR="00A33DCA">
              <w:rPr>
                <w:noProof/>
                <w:webHidden/>
              </w:rPr>
              <w:tab/>
            </w:r>
            <w:r w:rsidR="00A33DCA">
              <w:rPr>
                <w:noProof/>
                <w:webHidden/>
              </w:rPr>
              <w:fldChar w:fldCharType="begin"/>
            </w:r>
            <w:r w:rsidR="00A33DCA">
              <w:rPr>
                <w:noProof/>
                <w:webHidden/>
              </w:rPr>
              <w:instrText xml:space="preserve"> PAGEREF _Toc78467004 \h </w:instrText>
            </w:r>
            <w:r w:rsidR="00A33DCA">
              <w:rPr>
                <w:noProof/>
                <w:webHidden/>
              </w:rPr>
            </w:r>
            <w:r w:rsidR="00A33DCA">
              <w:rPr>
                <w:noProof/>
                <w:webHidden/>
              </w:rPr>
              <w:fldChar w:fldCharType="separate"/>
            </w:r>
            <w:r w:rsidR="00A33DCA">
              <w:rPr>
                <w:noProof/>
                <w:webHidden/>
              </w:rPr>
              <w:t>4</w:t>
            </w:r>
            <w:r w:rsidR="00A33DCA">
              <w:rPr>
                <w:noProof/>
                <w:webHidden/>
              </w:rPr>
              <w:fldChar w:fldCharType="end"/>
            </w:r>
          </w:hyperlink>
        </w:p>
        <w:p w:rsidR="00A33DCA" w:rsidRDefault="00CF1729">
          <w:pPr>
            <w:pStyle w:val="TOC3"/>
            <w:rPr>
              <w:rFonts w:asciiTheme="minorHAnsi" w:eastAsiaTheme="minorEastAsia" w:hAnsiTheme="minorHAnsi" w:cstheme="minorBidi"/>
              <w:color w:val="auto"/>
              <w:lang w:val="en-US"/>
            </w:rPr>
          </w:pPr>
          <w:hyperlink w:anchor="_Toc78467005" w:history="1">
            <w:r w:rsidR="00A33DCA" w:rsidRPr="00D210B5">
              <w:rPr>
                <w:rStyle w:val="Hyperlink"/>
                <w:lang w:val="es-ES_tradnl"/>
              </w:rPr>
              <w:t>A.</w:t>
            </w:r>
            <w:r w:rsidR="00A33DCA">
              <w:rPr>
                <w:rFonts w:asciiTheme="minorHAnsi" w:eastAsiaTheme="minorEastAsia" w:hAnsiTheme="minorHAnsi" w:cstheme="minorBidi"/>
                <w:color w:val="auto"/>
                <w:lang w:val="en-US"/>
              </w:rPr>
              <w:tab/>
            </w:r>
            <w:r w:rsidR="00A33DCA" w:rsidRPr="00D210B5">
              <w:rPr>
                <w:rStyle w:val="Hyperlink"/>
                <w:lang w:val="es-ES_tradnl"/>
              </w:rPr>
              <w:t>Supervisión interna</w:t>
            </w:r>
            <w:r w:rsidR="00A33DCA">
              <w:rPr>
                <w:webHidden/>
              </w:rPr>
              <w:tab/>
            </w:r>
            <w:r w:rsidR="00A33DCA">
              <w:rPr>
                <w:webHidden/>
              </w:rPr>
              <w:fldChar w:fldCharType="begin"/>
            </w:r>
            <w:r w:rsidR="00A33DCA">
              <w:rPr>
                <w:webHidden/>
              </w:rPr>
              <w:instrText xml:space="preserve"> PAGEREF _Toc78467005 \h </w:instrText>
            </w:r>
            <w:r w:rsidR="00A33DCA">
              <w:rPr>
                <w:webHidden/>
              </w:rPr>
            </w:r>
            <w:r w:rsidR="00A33DCA">
              <w:rPr>
                <w:webHidden/>
              </w:rPr>
              <w:fldChar w:fldCharType="separate"/>
            </w:r>
            <w:r w:rsidR="00A33DCA">
              <w:rPr>
                <w:webHidden/>
              </w:rPr>
              <w:t>4</w:t>
            </w:r>
            <w:r w:rsidR="00A33DCA">
              <w:rPr>
                <w:webHidden/>
              </w:rPr>
              <w:fldChar w:fldCharType="end"/>
            </w:r>
          </w:hyperlink>
        </w:p>
        <w:p w:rsidR="00A33DCA" w:rsidRDefault="00CF1729">
          <w:pPr>
            <w:pStyle w:val="TOC3"/>
            <w:rPr>
              <w:rFonts w:asciiTheme="minorHAnsi" w:eastAsiaTheme="minorEastAsia" w:hAnsiTheme="minorHAnsi" w:cstheme="minorBidi"/>
              <w:color w:val="auto"/>
              <w:lang w:val="en-US"/>
            </w:rPr>
          </w:pPr>
          <w:hyperlink w:anchor="_Toc78467006" w:history="1">
            <w:r w:rsidR="00A33DCA" w:rsidRPr="00D210B5">
              <w:rPr>
                <w:rStyle w:val="Hyperlink"/>
                <w:lang w:val="es-ES_tradnl"/>
              </w:rPr>
              <w:t>B.</w:t>
            </w:r>
            <w:r w:rsidR="00A33DCA">
              <w:rPr>
                <w:rFonts w:asciiTheme="minorHAnsi" w:eastAsiaTheme="minorEastAsia" w:hAnsiTheme="minorHAnsi" w:cstheme="minorBidi"/>
                <w:color w:val="auto"/>
                <w:lang w:val="en-US"/>
              </w:rPr>
              <w:tab/>
            </w:r>
            <w:r w:rsidR="00A33DCA" w:rsidRPr="00D210B5">
              <w:rPr>
                <w:rStyle w:val="Hyperlink"/>
                <w:lang w:val="es-ES_tradnl"/>
              </w:rPr>
              <w:t>Auditoría externa</w:t>
            </w:r>
            <w:r w:rsidR="00A33DCA">
              <w:rPr>
                <w:webHidden/>
              </w:rPr>
              <w:tab/>
            </w:r>
            <w:r w:rsidR="00A33DCA">
              <w:rPr>
                <w:webHidden/>
              </w:rPr>
              <w:fldChar w:fldCharType="begin"/>
            </w:r>
            <w:r w:rsidR="00A33DCA">
              <w:rPr>
                <w:webHidden/>
              </w:rPr>
              <w:instrText xml:space="preserve"> PAGEREF _Toc78467006 \h </w:instrText>
            </w:r>
            <w:r w:rsidR="00A33DCA">
              <w:rPr>
                <w:webHidden/>
              </w:rPr>
            </w:r>
            <w:r w:rsidR="00A33DCA">
              <w:rPr>
                <w:webHidden/>
              </w:rPr>
              <w:fldChar w:fldCharType="separate"/>
            </w:r>
            <w:r w:rsidR="00A33DCA">
              <w:rPr>
                <w:webHidden/>
              </w:rPr>
              <w:t>7</w:t>
            </w:r>
            <w:r w:rsidR="00A33DCA">
              <w:rPr>
                <w:webHidden/>
              </w:rPr>
              <w:fldChar w:fldCharType="end"/>
            </w:r>
          </w:hyperlink>
        </w:p>
        <w:p w:rsidR="00A33DCA" w:rsidRDefault="00CF1729">
          <w:pPr>
            <w:pStyle w:val="TOC3"/>
            <w:rPr>
              <w:rFonts w:asciiTheme="minorHAnsi" w:eastAsiaTheme="minorEastAsia" w:hAnsiTheme="minorHAnsi" w:cstheme="minorBidi"/>
              <w:color w:val="auto"/>
              <w:lang w:val="en-US"/>
            </w:rPr>
          </w:pPr>
          <w:hyperlink w:anchor="_Toc78467007" w:history="1">
            <w:r w:rsidR="00A33DCA" w:rsidRPr="00D210B5">
              <w:rPr>
                <w:rStyle w:val="Hyperlink"/>
                <w:lang w:val="es-ES_tradnl"/>
              </w:rPr>
              <w:t>C.</w:t>
            </w:r>
            <w:r w:rsidR="00A33DCA">
              <w:rPr>
                <w:rFonts w:asciiTheme="minorHAnsi" w:eastAsiaTheme="minorEastAsia" w:hAnsiTheme="minorHAnsi" w:cstheme="minorBidi"/>
                <w:color w:val="auto"/>
                <w:lang w:val="en-US"/>
              </w:rPr>
              <w:tab/>
            </w:r>
            <w:r w:rsidR="00A33DCA" w:rsidRPr="00D210B5">
              <w:rPr>
                <w:rStyle w:val="Hyperlink"/>
                <w:lang w:val="es-ES_tradnl"/>
              </w:rPr>
              <w:t>Informes financieros</w:t>
            </w:r>
            <w:r w:rsidR="00A33DCA">
              <w:rPr>
                <w:webHidden/>
              </w:rPr>
              <w:tab/>
            </w:r>
            <w:r w:rsidR="00A33DCA">
              <w:rPr>
                <w:webHidden/>
              </w:rPr>
              <w:fldChar w:fldCharType="begin"/>
            </w:r>
            <w:r w:rsidR="00A33DCA">
              <w:rPr>
                <w:webHidden/>
              </w:rPr>
              <w:instrText xml:space="preserve"> PAGEREF _Toc78467007 \h </w:instrText>
            </w:r>
            <w:r w:rsidR="00A33DCA">
              <w:rPr>
                <w:webHidden/>
              </w:rPr>
            </w:r>
            <w:r w:rsidR="00A33DCA">
              <w:rPr>
                <w:webHidden/>
              </w:rPr>
              <w:fldChar w:fldCharType="separate"/>
            </w:r>
            <w:r w:rsidR="00A33DCA">
              <w:rPr>
                <w:webHidden/>
              </w:rPr>
              <w:t>8</w:t>
            </w:r>
            <w:r w:rsidR="00A33DCA">
              <w:rPr>
                <w:webHidden/>
              </w:rPr>
              <w:fldChar w:fldCharType="end"/>
            </w:r>
          </w:hyperlink>
        </w:p>
        <w:p w:rsidR="00A33DCA" w:rsidRDefault="00CF1729">
          <w:pPr>
            <w:pStyle w:val="TOC3"/>
            <w:rPr>
              <w:rFonts w:asciiTheme="minorHAnsi" w:eastAsiaTheme="minorEastAsia" w:hAnsiTheme="minorHAnsi" w:cstheme="minorBidi"/>
              <w:color w:val="auto"/>
              <w:lang w:val="en-US"/>
            </w:rPr>
          </w:pPr>
          <w:hyperlink w:anchor="_Toc78467008" w:history="1">
            <w:r w:rsidR="00A33DCA" w:rsidRPr="00D210B5">
              <w:rPr>
                <w:rStyle w:val="Hyperlink"/>
                <w:lang w:val="es-ES_tradnl"/>
              </w:rPr>
              <w:t>D.</w:t>
            </w:r>
            <w:r w:rsidR="00A33DCA">
              <w:rPr>
                <w:rFonts w:asciiTheme="minorHAnsi" w:eastAsiaTheme="minorEastAsia" w:hAnsiTheme="minorHAnsi" w:cstheme="minorBidi"/>
                <w:color w:val="auto"/>
                <w:lang w:val="en-US"/>
              </w:rPr>
              <w:tab/>
            </w:r>
            <w:r w:rsidR="00A33DCA" w:rsidRPr="00D210B5">
              <w:rPr>
                <w:rStyle w:val="Hyperlink"/>
                <w:lang w:val="es-ES_tradnl"/>
              </w:rPr>
              <w:t>Gestión de riesgos y controles internos</w:t>
            </w:r>
            <w:r w:rsidR="00A33DCA">
              <w:rPr>
                <w:webHidden/>
              </w:rPr>
              <w:tab/>
            </w:r>
            <w:r w:rsidR="00A33DCA">
              <w:rPr>
                <w:webHidden/>
              </w:rPr>
              <w:fldChar w:fldCharType="begin"/>
            </w:r>
            <w:r w:rsidR="00A33DCA">
              <w:rPr>
                <w:webHidden/>
              </w:rPr>
              <w:instrText xml:space="preserve"> PAGEREF _Toc78467008 \h </w:instrText>
            </w:r>
            <w:r w:rsidR="00A33DCA">
              <w:rPr>
                <w:webHidden/>
              </w:rPr>
            </w:r>
            <w:r w:rsidR="00A33DCA">
              <w:rPr>
                <w:webHidden/>
              </w:rPr>
              <w:fldChar w:fldCharType="separate"/>
            </w:r>
            <w:r w:rsidR="00A33DCA">
              <w:rPr>
                <w:webHidden/>
              </w:rPr>
              <w:t>9</w:t>
            </w:r>
            <w:r w:rsidR="00A33DCA">
              <w:rPr>
                <w:webHidden/>
              </w:rPr>
              <w:fldChar w:fldCharType="end"/>
            </w:r>
          </w:hyperlink>
        </w:p>
        <w:p w:rsidR="00A33DCA" w:rsidRDefault="00CF1729">
          <w:pPr>
            <w:pStyle w:val="TOC3"/>
            <w:rPr>
              <w:rFonts w:asciiTheme="minorHAnsi" w:eastAsiaTheme="minorEastAsia" w:hAnsiTheme="minorHAnsi" w:cstheme="minorBidi"/>
              <w:color w:val="auto"/>
              <w:lang w:val="en-US"/>
            </w:rPr>
          </w:pPr>
          <w:hyperlink w:anchor="_Toc78467009" w:history="1">
            <w:r w:rsidR="00A33DCA" w:rsidRPr="00D210B5">
              <w:rPr>
                <w:rStyle w:val="Hyperlink"/>
                <w:lang w:val="es-ES_tradnl"/>
              </w:rPr>
              <w:t>E.</w:t>
            </w:r>
            <w:r w:rsidR="00A33DCA">
              <w:rPr>
                <w:rFonts w:asciiTheme="minorHAnsi" w:eastAsiaTheme="minorEastAsia" w:hAnsiTheme="minorHAnsi" w:cstheme="minorBidi"/>
                <w:color w:val="auto"/>
                <w:lang w:val="en-US"/>
              </w:rPr>
              <w:tab/>
            </w:r>
            <w:r w:rsidR="00A33DCA" w:rsidRPr="00D210B5">
              <w:rPr>
                <w:rStyle w:val="Hyperlink"/>
                <w:lang w:val="es-ES_tradnl"/>
              </w:rPr>
              <w:t>Aplicación de las recomendaciones de supervisión</w:t>
            </w:r>
            <w:r w:rsidR="00A33DCA">
              <w:rPr>
                <w:webHidden/>
              </w:rPr>
              <w:tab/>
            </w:r>
            <w:r w:rsidR="00A33DCA">
              <w:rPr>
                <w:webHidden/>
              </w:rPr>
              <w:fldChar w:fldCharType="begin"/>
            </w:r>
            <w:r w:rsidR="00A33DCA">
              <w:rPr>
                <w:webHidden/>
              </w:rPr>
              <w:instrText xml:space="preserve"> PAGEREF _Toc78467009 \h </w:instrText>
            </w:r>
            <w:r w:rsidR="00A33DCA">
              <w:rPr>
                <w:webHidden/>
              </w:rPr>
            </w:r>
            <w:r w:rsidR="00A33DCA">
              <w:rPr>
                <w:webHidden/>
              </w:rPr>
              <w:fldChar w:fldCharType="separate"/>
            </w:r>
            <w:r w:rsidR="00A33DCA">
              <w:rPr>
                <w:webHidden/>
              </w:rPr>
              <w:t>11</w:t>
            </w:r>
            <w:r w:rsidR="00A33DCA">
              <w:rPr>
                <w:webHidden/>
              </w:rPr>
              <w:fldChar w:fldCharType="end"/>
            </w:r>
          </w:hyperlink>
        </w:p>
        <w:p w:rsidR="00A33DCA" w:rsidRDefault="00CF1729">
          <w:pPr>
            <w:pStyle w:val="TOC3"/>
            <w:rPr>
              <w:rFonts w:asciiTheme="minorHAnsi" w:eastAsiaTheme="minorEastAsia" w:hAnsiTheme="minorHAnsi" w:cstheme="minorBidi"/>
              <w:color w:val="auto"/>
              <w:lang w:val="en-US"/>
            </w:rPr>
          </w:pPr>
          <w:hyperlink w:anchor="_Toc78467010" w:history="1">
            <w:r w:rsidR="00A33DCA" w:rsidRPr="00D210B5">
              <w:rPr>
                <w:rStyle w:val="Hyperlink"/>
                <w:lang w:val="es-ES_tradnl"/>
              </w:rPr>
              <w:t>F.</w:t>
            </w:r>
            <w:r w:rsidR="00A33DCA">
              <w:rPr>
                <w:rFonts w:asciiTheme="minorHAnsi" w:eastAsiaTheme="minorEastAsia" w:hAnsiTheme="minorHAnsi" w:cstheme="minorBidi"/>
                <w:color w:val="auto"/>
                <w:lang w:val="en-US"/>
              </w:rPr>
              <w:tab/>
            </w:r>
            <w:r w:rsidR="00A33DCA" w:rsidRPr="00D210B5">
              <w:rPr>
                <w:rStyle w:val="Hyperlink"/>
                <w:lang w:val="es-ES_tradnl"/>
              </w:rPr>
              <w:t xml:space="preserve">Ética </w:t>
            </w:r>
            <w:r w:rsidR="00FF510F">
              <w:rPr>
                <w:rStyle w:val="Hyperlink"/>
                <w:lang w:val="es-ES_tradnl"/>
              </w:rPr>
              <w:t>P</w:t>
            </w:r>
            <w:r w:rsidR="00A33DCA" w:rsidRPr="00D210B5">
              <w:rPr>
                <w:rStyle w:val="Hyperlink"/>
                <w:lang w:val="es-ES_tradnl"/>
              </w:rPr>
              <w:t>rofesional y mediador</w:t>
            </w:r>
            <w:r w:rsidR="00A33DCA">
              <w:rPr>
                <w:webHidden/>
              </w:rPr>
              <w:tab/>
            </w:r>
            <w:r w:rsidR="00A33DCA">
              <w:rPr>
                <w:webHidden/>
              </w:rPr>
              <w:fldChar w:fldCharType="begin"/>
            </w:r>
            <w:r w:rsidR="00A33DCA">
              <w:rPr>
                <w:webHidden/>
              </w:rPr>
              <w:instrText xml:space="preserve"> PAGEREF _Toc78467010 \h </w:instrText>
            </w:r>
            <w:r w:rsidR="00A33DCA">
              <w:rPr>
                <w:webHidden/>
              </w:rPr>
            </w:r>
            <w:r w:rsidR="00A33DCA">
              <w:rPr>
                <w:webHidden/>
              </w:rPr>
              <w:fldChar w:fldCharType="separate"/>
            </w:r>
            <w:r w:rsidR="00A33DCA">
              <w:rPr>
                <w:webHidden/>
              </w:rPr>
              <w:t>12</w:t>
            </w:r>
            <w:r w:rsidR="00A33DCA">
              <w:rPr>
                <w:webHidden/>
              </w:rPr>
              <w:fldChar w:fldCharType="end"/>
            </w:r>
          </w:hyperlink>
        </w:p>
        <w:p w:rsidR="00A33DCA" w:rsidRDefault="00CF1729">
          <w:pPr>
            <w:pStyle w:val="TOC3"/>
            <w:rPr>
              <w:rFonts w:asciiTheme="minorHAnsi" w:eastAsiaTheme="minorEastAsia" w:hAnsiTheme="minorHAnsi" w:cstheme="minorBidi"/>
              <w:color w:val="auto"/>
              <w:lang w:val="en-US"/>
            </w:rPr>
          </w:pPr>
          <w:hyperlink w:anchor="_Toc78467011" w:history="1">
            <w:r w:rsidR="00A33DCA" w:rsidRPr="00D210B5">
              <w:rPr>
                <w:rStyle w:val="Hyperlink"/>
                <w:lang w:val="es-ES_tradnl"/>
              </w:rPr>
              <w:t>G.</w:t>
            </w:r>
            <w:r w:rsidR="00A33DCA">
              <w:rPr>
                <w:rFonts w:asciiTheme="minorHAnsi" w:eastAsiaTheme="minorEastAsia" w:hAnsiTheme="minorHAnsi" w:cstheme="minorBidi"/>
                <w:color w:val="auto"/>
                <w:lang w:val="en-US"/>
              </w:rPr>
              <w:tab/>
            </w:r>
            <w:r w:rsidR="00A33DCA" w:rsidRPr="00D210B5">
              <w:rPr>
                <w:rStyle w:val="Hyperlink"/>
                <w:lang w:val="es-ES_tradnl"/>
              </w:rPr>
              <w:t>Otros asuntos</w:t>
            </w:r>
            <w:r w:rsidR="00A33DCA">
              <w:rPr>
                <w:webHidden/>
              </w:rPr>
              <w:tab/>
            </w:r>
            <w:r w:rsidR="00A33DCA">
              <w:rPr>
                <w:webHidden/>
              </w:rPr>
              <w:fldChar w:fldCharType="begin"/>
            </w:r>
            <w:r w:rsidR="00A33DCA">
              <w:rPr>
                <w:webHidden/>
              </w:rPr>
              <w:instrText xml:space="preserve"> PAGEREF _Toc78467011 \h </w:instrText>
            </w:r>
            <w:r w:rsidR="00A33DCA">
              <w:rPr>
                <w:webHidden/>
              </w:rPr>
            </w:r>
            <w:r w:rsidR="00A33DCA">
              <w:rPr>
                <w:webHidden/>
              </w:rPr>
              <w:fldChar w:fldCharType="separate"/>
            </w:r>
            <w:r w:rsidR="00A33DCA">
              <w:rPr>
                <w:webHidden/>
              </w:rPr>
              <w:t>13</w:t>
            </w:r>
            <w:r w:rsidR="00A33DCA">
              <w:rPr>
                <w:webHidden/>
              </w:rPr>
              <w:fldChar w:fldCharType="end"/>
            </w:r>
          </w:hyperlink>
        </w:p>
        <w:p w:rsidR="00A33DCA" w:rsidRDefault="00CF1729">
          <w:pPr>
            <w:pStyle w:val="TOC2"/>
            <w:rPr>
              <w:rFonts w:asciiTheme="minorHAnsi" w:eastAsiaTheme="minorEastAsia" w:hAnsiTheme="minorHAnsi" w:cstheme="minorBidi"/>
              <w:noProof/>
              <w:szCs w:val="22"/>
              <w:lang w:val="en-US"/>
            </w:rPr>
          </w:pPr>
          <w:hyperlink w:anchor="_Toc78467012" w:history="1">
            <w:r w:rsidR="00A33DCA" w:rsidRPr="00A33DCA">
              <w:rPr>
                <w:rStyle w:val="Hyperlink"/>
                <w:noProof/>
                <w:lang w:val="es-ES_tradnl"/>
              </w:rPr>
              <w:t>IV.</w:t>
            </w:r>
            <w:r w:rsidR="00A33DCA" w:rsidRPr="00A33DCA">
              <w:rPr>
                <w:rFonts w:asciiTheme="minorHAnsi" w:eastAsiaTheme="minorEastAsia" w:hAnsiTheme="minorHAnsi" w:cstheme="minorBidi"/>
                <w:noProof/>
                <w:szCs w:val="22"/>
                <w:lang w:val="en-US"/>
              </w:rPr>
              <w:tab/>
            </w:r>
            <w:r w:rsidR="00A33DCA" w:rsidRPr="00A33DCA">
              <w:rPr>
                <w:rStyle w:val="Hyperlink"/>
                <w:noProof/>
                <w:lang w:val="es-ES_tradnl"/>
              </w:rPr>
              <w:t>OBSERVACIONES FINALES</w:t>
            </w:r>
            <w:r w:rsidR="00A33DCA">
              <w:rPr>
                <w:noProof/>
                <w:webHidden/>
              </w:rPr>
              <w:tab/>
            </w:r>
            <w:r w:rsidR="00A33DCA">
              <w:rPr>
                <w:noProof/>
                <w:webHidden/>
              </w:rPr>
              <w:fldChar w:fldCharType="begin"/>
            </w:r>
            <w:r w:rsidR="00A33DCA">
              <w:rPr>
                <w:noProof/>
                <w:webHidden/>
              </w:rPr>
              <w:instrText xml:space="preserve"> PAGEREF _Toc78467012 \h </w:instrText>
            </w:r>
            <w:r w:rsidR="00A33DCA">
              <w:rPr>
                <w:noProof/>
                <w:webHidden/>
              </w:rPr>
            </w:r>
            <w:r w:rsidR="00A33DCA">
              <w:rPr>
                <w:noProof/>
                <w:webHidden/>
              </w:rPr>
              <w:fldChar w:fldCharType="separate"/>
            </w:r>
            <w:r w:rsidR="00A33DCA">
              <w:rPr>
                <w:noProof/>
                <w:webHidden/>
              </w:rPr>
              <w:t>15</w:t>
            </w:r>
            <w:r w:rsidR="00A33DCA">
              <w:rPr>
                <w:noProof/>
                <w:webHidden/>
              </w:rPr>
              <w:fldChar w:fldCharType="end"/>
            </w:r>
          </w:hyperlink>
        </w:p>
        <w:p w:rsidR="00BE13E4" w:rsidRPr="004854BC" w:rsidRDefault="00BE13E4" w:rsidP="00BE13E4">
          <w:pPr>
            <w:rPr>
              <w:lang w:val="es-ES_tradnl"/>
            </w:rPr>
          </w:pPr>
          <w:r w:rsidRPr="00A33DCA">
            <w:rPr>
              <w:bCs/>
              <w:lang w:val="es-ES_tradnl"/>
            </w:rPr>
            <w:fldChar w:fldCharType="end"/>
          </w:r>
        </w:p>
      </w:sdtContent>
    </w:sdt>
    <w:p w:rsidR="00BE13E4" w:rsidRPr="004854BC" w:rsidRDefault="00BE13E4" w:rsidP="00BE13E4">
      <w:pPr>
        <w:spacing w:after="120"/>
        <w:rPr>
          <w:lang w:val="es-ES_tradnl"/>
        </w:rPr>
      </w:pPr>
    </w:p>
    <w:p w:rsidR="00BE13E4" w:rsidRPr="004854BC" w:rsidRDefault="00BE13E4" w:rsidP="00BE13E4">
      <w:pPr>
        <w:jc w:val="both"/>
        <w:rPr>
          <w:lang w:val="es-ES_tradnl"/>
        </w:rPr>
      </w:pPr>
    </w:p>
    <w:p w:rsidR="00BE13E4" w:rsidRPr="004854BC" w:rsidRDefault="00BE13E4" w:rsidP="00BE13E4">
      <w:pPr>
        <w:jc w:val="both"/>
        <w:rPr>
          <w:lang w:val="es-ES_tradnl"/>
        </w:rPr>
      </w:pPr>
    </w:p>
    <w:p w:rsidR="00BE13E4" w:rsidRPr="004854BC" w:rsidRDefault="00BE13E4" w:rsidP="00BE13E4">
      <w:pPr>
        <w:jc w:val="both"/>
        <w:rPr>
          <w:lang w:val="es-ES_tradnl"/>
        </w:rPr>
      </w:pPr>
    </w:p>
    <w:p w:rsidR="00BE13E4" w:rsidRPr="004854BC" w:rsidRDefault="00BE13E4" w:rsidP="00BE13E4">
      <w:pPr>
        <w:jc w:val="both"/>
        <w:rPr>
          <w:lang w:val="es-ES_tradnl"/>
        </w:rPr>
      </w:pPr>
    </w:p>
    <w:p w:rsidR="00BE13E4" w:rsidRPr="004854BC" w:rsidRDefault="00BE13E4" w:rsidP="00BE13E4">
      <w:pPr>
        <w:jc w:val="both"/>
        <w:rPr>
          <w:lang w:val="es-ES_tradnl"/>
        </w:rPr>
      </w:pPr>
    </w:p>
    <w:p w:rsidR="00BE13E4" w:rsidRPr="004854BC" w:rsidRDefault="00BE13E4" w:rsidP="00BE13E4">
      <w:pPr>
        <w:jc w:val="both"/>
        <w:rPr>
          <w:lang w:val="es-ES_tradnl"/>
        </w:rPr>
      </w:pPr>
    </w:p>
    <w:p w:rsidR="00BE13E4" w:rsidRPr="004854BC" w:rsidRDefault="00BE13E4" w:rsidP="00BE13E4">
      <w:pPr>
        <w:pStyle w:val="Heading2"/>
        <w:rPr>
          <w:rStyle w:val="Endofdocument-AnnexChar"/>
          <w:b/>
          <w:lang w:val="es-ES_tradnl"/>
        </w:rPr>
        <w:sectPr w:rsidR="00BE13E4" w:rsidRPr="004854BC" w:rsidSect="00C23628">
          <w:headerReference w:type="even" r:id="rId17"/>
          <w:headerReference w:type="default" r:id="rId18"/>
          <w:footerReference w:type="even" r:id="rId19"/>
          <w:footerReference w:type="default" r:id="rId20"/>
          <w:headerReference w:type="first" r:id="rId21"/>
          <w:footerReference w:type="first" r:id="rId22"/>
          <w:endnotePr>
            <w:numFmt w:val="decimal"/>
          </w:endnotePr>
          <w:pgSz w:w="11907" w:h="16840" w:code="9"/>
          <w:pgMar w:top="567" w:right="1134" w:bottom="1134" w:left="1418" w:header="567" w:footer="1021" w:gutter="0"/>
          <w:pgNumType w:start="1"/>
          <w:cols w:space="720"/>
          <w:titlePg/>
          <w:docGrid w:linePitch="299"/>
        </w:sectPr>
      </w:pPr>
    </w:p>
    <w:p w:rsidR="00BE13E4" w:rsidRPr="004854BC" w:rsidRDefault="00BE13E4" w:rsidP="00BE13E4">
      <w:pPr>
        <w:pStyle w:val="Heading1"/>
        <w:numPr>
          <w:ilvl w:val="0"/>
          <w:numId w:val="10"/>
        </w:numPr>
        <w:spacing w:before="0" w:after="0"/>
        <w:ind w:left="567" w:hanging="567"/>
        <w:rPr>
          <w:rStyle w:val="Endofdocument-AnnexChar"/>
          <w:b w:val="0"/>
          <w:iCs/>
          <w:caps w:val="0"/>
          <w:kern w:val="0"/>
          <w:szCs w:val="22"/>
          <w:lang w:val="es-ES_tradnl"/>
        </w:rPr>
      </w:pPr>
      <w:bookmarkStart w:id="6" w:name="_Toc395336849"/>
      <w:bookmarkStart w:id="7" w:name="_Toc453591207"/>
      <w:bookmarkStart w:id="8" w:name="_Toc40372249"/>
      <w:bookmarkStart w:id="9" w:name="_Toc78467002"/>
      <w:r w:rsidRPr="004854BC">
        <w:rPr>
          <w:rStyle w:val="Endofdocument-AnnexChar"/>
          <w:szCs w:val="22"/>
          <w:lang w:val="es-ES_tradnl"/>
        </w:rPr>
        <w:lastRenderedPageBreak/>
        <w:t>INTRODUC</w:t>
      </w:r>
      <w:r w:rsidR="00152B24" w:rsidRPr="004854BC">
        <w:rPr>
          <w:rStyle w:val="Endofdocument-AnnexChar"/>
          <w:szCs w:val="22"/>
          <w:lang w:val="es-ES_tradnl"/>
        </w:rPr>
        <w:t>CIÓN</w:t>
      </w:r>
      <w:bookmarkEnd w:id="6"/>
      <w:bookmarkEnd w:id="7"/>
      <w:bookmarkEnd w:id="8"/>
      <w:bookmarkEnd w:id="9"/>
    </w:p>
    <w:p w:rsidR="00BE13E4" w:rsidRPr="004854BC" w:rsidRDefault="00BE13E4" w:rsidP="00BE13E4">
      <w:pPr>
        <w:rPr>
          <w:lang w:val="es-ES_tradnl"/>
        </w:rPr>
      </w:pPr>
    </w:p>
    <w:p w:rsidR="00BE13E4" w:rsidRPr="004854BC" w:rsidRDefault="00AE5FBD" w:rsidP="00AE5FBD">
      <w:pPr>
        <w:pStyle w:val="ONUME"/>
        <w:tabs>
          <w:tab w:val="left" w:pos="0"/>
        </w:tabs>
        <w:spacing w:after="0"/>
        <w:rPr>
          <w:lang w:val="es-ES_tradnl"/>
        </w:rPr>
      </w:pPr>
      <w:r w:rsidRPr="004854BC">
        <w:rPr>
          <w:lang w:val="es-ES_tradnl"/>
        </w:rPr>
        <w:t>De conformidad con su mandato, la Comisión Consultiva Independiente de Supervisión (CCIS) de la OMPI presenta un informe anual al Comité del Programa y Presupuesto (PBC) y a la Asamblea General de la OMPI</w:t>
      </w:r>
      <w:r w:rsidR="00BE13E4" w:rsidRPr="004854BC">
        <w:rPr>
          <w:lang w:val="es-ES_tradnl"/>
        </w:rPr>
        <w:t>.</w:t>
      </w:r>
    </w:p>
    <w:p w:rsidR="00BE13E4" w:rsidRPr="004854BC" w:rsidRDefault="00BE13E4" w:rsidP="00BE13E4">
      <w:pPr>
        <w:pStyle w:val="ONUME"/>
        <w:numPr>
          <w:ilvl w:val="0"/>
          <w:numId w:val="0"/>
        </w:numPr>
        <w:tabs>
          <w:tab w:val="left" w:pos="0"/>
        </w:tabs>
        <w:spacing w:after="0"/>
        <w:rPr>
          <w:lang w:val="es-ES_tradnl"/>
        </w:rPr>
      </w:pPr>
    </w:p>
    <w:p w:rsidR="00BE13E4" w:rsidRPr="004854BC" w:rsidRDefault="00AE5FBD" w:rsidP="00AE5FBD">
      <w:pPr>
        <w:pStyle w:val="ONUME"/>
        <w:tabs>
          <w:tab w:val="left" w:pos="0"/>
        </w:tabs>
        <w:spacing w:after="0"/>
        <w:rPr>
          <w:lang w:val="es-ES_tradnl"/>
        </w:rPr>
      </w:pPr>
      <w:r w:rsidRPr="004854BC">
        <w:rPr>
          <w:lang w:val="es-ES_tradnl"/>
        </w:rPr>
        <w:t>La CCIS (en lo sucesivo llamada también “la Comisión”) se creó en 2005. Es un órgano subsidiario de la Asamblea General de la OMPI y del PBC. Presta servicios de asesoramiento especializado independiente y asiste a la Asamblea General de la OMPI y al PBC en el desempeño de sus funciones de supervisión</w:t>
      </w:r>
      <w:r w:rsidR="00BE13E4" w:rsidRPr="004854BC">
        <w:rPr>
          <w:lang w:val="es-ES_tradnl"/>
        </w:rPr>
        <w:t>.</w:t>
      </w:r>
    </w:p>
    <w:p w:rsidR="00BE13E4" w:rsidRPr="004854BC" w:rsidRDefault="00BE13E4" w:rsidP="00BE13E4">
      <w:pPr>
        <w:rPr>
          <w:lang w:val="es-ES_tradnl"/>
        </w:rPr>
      </w:pPr>
    </w:p>
    <w:p w:rsidR="00BE13E4" w:rsidRPr="004854BC" w:rsidRDefault="00EF2874" w:rsidP="006C6503">
      <w:pPr>
        <w:pStyle w:val="ONUME"/>
        <w:tabs>
          <w:tab w:val="left" w:pos="0"/>
        </w:tabs>
        <w:spacing w:after="0"/>
        <w:rPr>
          <w:lang w:val="es-ES_tradnl"/>
        </w:rPr>
      </w:pPr>
      <w:r w:rsidRPr="004854BC">
        <w:rPr>
          <w:lang w:val="es-ES_tradnl"/>
        </w:rPr>
        <w:t>El presente informe abarca el período comprendido entre el 24 de abril de 2020 y el 9 de julio de 2021. En la sección II del informe figura una reseña de las sesiones trimestrales de la Comisión, su composición y metodología. En la sección III se detallan las cuestiones debatidas y examinadas por la Comisión durante el período que abarca el informe</w:t>
      </w:r>
      <w:r w:rsidR="00BE13E4" w:rsidRPr="004854BC">
        <w:rPr>
          <w:lang w:val="es-ES_tradnl"/>
        </w:rPr>
        <w:t>.</w:t>
      </w:r>
    </w:p>
    <w:p w:rsidR="00BE13E4" w:rsidRPr="004854BC" w:rsidRDefault="00BE13E4" w:rsidP="00BE13E4">
      <w:pPr>
        <w:pStyle w:val="ONUME"/>
        <w:numPr>
          <w:ilvl w:val="0"/>
          <w:numId w:val="0"/>
        </w:numPr>
        <w:tabs>
          <w:tab w:val="left" w:pos="0"/>
        </w:tabs>
        <w:spacing w:after="0"/>
        <w:rPr>
          <w:lang w:val="es-ES_tradnl"/>
        </w:rPr>
      </w:pPr>
    </w:p>
    <w:p w:rsidR="00BE13E4" w:rsidRPr="004854BC" w:rsidRDefault="00EF2874" w:rsidP="00BE13E4">
      <w:pPr>
        <w:pStyle w:val="Heading1"/>
        <w:numPr>
          <w:ilvl w:val="0"/>
          <w:numId w:val="10"/>
        </w:numPr>
        <w:spacing w:before="0" w:after="0"/>
        <w:ind w:left="567" w:hanging="567"/>
        <w:rPr>
          <w:szCs w:val="22"/>
          <w:lang w:val="es-ES_tradnl"/>
        </w:rPr>
      </w:pPr>
      <w:bookmarkStart w:id="10" w:name="_Toc395336850"/>
      <w:bookmarkStart w:id="11" w:name="_Toc453591208"/>
      <w:bookmarkStart w:id="12" w:name="_Toc40372250"/>
      <w:bookmarkStart w:id="13" w:name="_Toc78467003"/>
      <w:r w:rsidRPr="004854BC">
        <w:rPr>
          <w:rStyle w:val="Endofdocument-AnnexChar"/>
          <w:lang w:val="es-ES_tradnl"/>
        </w:rPr>
        <w:t>SESIONES TRIMESTRALES, COMPOSICIÓN Y METODOLOGÍA</w:t>
      </w:r>
      <w:bookmarkEnd w:id="10"/>
      <w:bookmarkEnd w:id="11"/>
      <w:bookmarkEnd w:id="12"/>
      <w:bookmarkEnd w:id="13"/>
    </w:p>
    <w:p w:rsidR="00BE13E4" w:rsidRPr="004854BC" w:rsidRDefault="00BE13E4" w:rsidP="00BE13E4">
      <w:pPr>
        <w:rPr>
          <w:szCs w:val="22"/>
          <w:lang w:val="es-ES_tradnl"/>
        </w:rPr>
      </w:pPr>
    </w:p>
    <w:p w:rsidR="00BE13E4" w:rsidRPr="004854BC" w:rsidRDefault="00EF2874" w:rsidP="00EF2874">
      <w:pPr>
        <w:tabs>
          <w:tab w:val="left" w:pos="567"/>
        </w:tabs>
        <w:ind w:left="567"/>
        <w:rPr>
          <w:i/>
          <w:szCs w:val="22"/>
          <w:lang w:val="es-ES_tradnl"/>
        </w:rPr>
      </w:pPr>
      <w:r w:rsidRPr="004854BC">
        <w:rPr>
          <w:i/>
          <w:szCs w:val="22"/>
          <w:lang w:val="es-ES_tradnl"/>
        </w:rPr>
        <w:t>Sesiones trimestrales</w:t>
      </w:r>
    </w:p>
    <w:p w:rsidR="00BE13E4" w:rsidRPr="004854BC" w:rsidRDefault="00BE13E4" w:rsidP="00BE13E4">
      <w:pPr>
        <w:pStyle w:val="ONUME"/>
        <w:numPr>
          <w:ilvl w:val="0"/>
          <w:numId w:val="0"/>
        </w:numPr>
        <w:tabs>
          <w:tab w:val="left" w:pos="0"/>
        </w:tabs>
        <w:spacing w:after="0"/>
        <w:rPr>
          <w:szCs w:val="22"/>
          <w:lang w:val="es-ES_tradnl"/>
        </w:rPr>
      </w:pPr>
    </w:p>
    <w:p w:rsidR="00BE13E4" w:rsidRPr="004854BC" w:rsidRDefault="00EF2874" w:rsidP="00CB4EB9">
      <w:pPr>
        <w:pStyle w:val="ONUME"/>
        <w:tabs>
          <w:tab w:val="left" w:pos="0"/>
        </w:tabs>
        <w:spacing w:after="0"/>
        <w:rPr>
          <w:szCs w:val="22"/>
          <w:lang w:val="es-ES_tradnl"/>
        </w:rPr>
      </w:pPr>
      <w:r w:rsidRPr="004854BC">
        <w:rPr>
          <w:szCs w:val="22"/>
          <w:lang w:val="es-ES_tradnl"/>
        </w:rPr>
        <w:t>Durante el período que abarca el informe, la Comisión celebró cinco sesiones trimestrales: del 29 de junio al 3 de julio de 2020 (57.ª sesión); del 1 al 4 de septiembre de 2020 (58.ª sesión); del 7 al 11 de diciembre de 2020 (59.ª sesión); del 22 al 26 de marzo de 2021 (60.ª sesión), y del 5</w:t>
      </w:r>
      <w:r w:rsidR="000922AF">
        <w:rPr>
          <w:szCs w:val="22"/>
          <w:lang w:val="es-ES_tradnl"/>
        </w:rPr>
        <w:t xml:space="preserve"> </w:t>
      </w:r>
      <w:r w:rsidRPr="004854BC">
        <w:rPr>
          <w:szCs w:val="22"/>
          <w:lang w:val="es-ES_tradnl"/>
        </w:rPr>
        <w:t xml:space="preserve">al 9 de julio de 2021 (61.ª sesión). Todas las sesiones se celebraron en formato virtual debido a la pandemia de COVID-19. De conformidad con su mandato, </w:t>
      </w:r>
      <w:r w:rsidR="00CB4EB9" w:rsidRPr="004854BC">
        <w:rPr>
          <w:szCs w:val="22"/>
          <w:lang w:val="es-ES_tradnl"/>
        </w:rPr>
        <w:t xml:space="preserve">la Comisión celebró reuniones informativas con los representantes de los Estados miembros después de todas las sesiones, salvo en el caso de la 58.ª sesión, por problemas de </w:t>
      </w:r>
      <w:r w:rsidR="004854BC" w:rsidRPr="004854BC">
        <w:rPr>
          <w:szCs w:val="22"/>
          <w:lang w:val="es-ES_tradnl"/>
        </w:rPr>
        <w:t>calendario</w:t>
      </w:r>
      <w:r w:rsidR="00CB4EB9" w:rsidRPr="004854BC">
        <w:rPr>
          <w:szCs w:val="22"/>
          <w:lang w:val="es-ES_tradnl"/>
        </w:rPr>
        <w:t>. Todos los informes de las sesiones se publican en el sitio web de la OMPI.</w:t>
      </w:r>
    </w:p>
    <w:p w:rsidR="00BE13E4" w:rsidRPr="004854BC" w:rsidRDefault="00BE13E4" w:rsidP="00BE13E4">
      <w:pPr>
        <w:pStyle w:val="ONUME"/>
        <w:numPr>
          <w:ilvl w:val="0"/>
          <w:numId w:val="0"/>
        </w:numPr>
        <w:tabs>
          <w:tab w:val="left" w:pos="0"/>
        </w:tabs>
        <w:spacing w:after="0"/>
        <w:rPr>
          <w:szCs w:val="22"/>
          <w:lang w:val="es-ES_tradnl"/>
        </w:rPr>
      </w:pPr>
    </w:p>
    <w:p w:rsidR="00BE13E4" w:rsidRPr="004854BC" w:rsidRDefault="00BE13E4" w:rsidP="00BE13E4">
      <w:pPr>
        <w:pStyle w:val="ONUME"/>
        <w:numPr>
          <w:ilvl w:val="0"/>
          <w:numId w:val="0"/>
        </w:numPr>
        <w:tabs>
          <w:tab w:val="left" w:pos="0"/>
        </w:tabs>
        <w:spacing w:after="0"/>
        <w:rPr>
          <w:i/>
          <w:szCs w:val="22"/>
          <w:lang w:val="es-ES_tradnl"/>
        </w:rPr>
      </w:pPr>
      <w:r w:rsidRPr="004854BC">
        <w:rPr>
          <w:szCs w:val="22"/>
          <w:lang w:val="es-ES_tradnl"/>
        </w:rPr>
        <w:tab/>
      </w:r>
      <w:r w:rsidRPr="004854BC">
        <w:rPr>
          <w:i/>
          <w:szCs w:val="22"/>
          <w:lang w:val="es-ES_tradnl"/>
        </w:rPr>
        <w:t>Composi</w:t>
      </w:r>
      <w:r w:rsidR="00EF2874" w:rsidRPr="004854BC">
        <w:rPr>
          <w:i/>
          <w:szCs w:val="22"/>
          <w:lang w:val="es-ES_tradnl"/>
        </w:rPr>
        <w:t>ción y proceso de selección para el nombramiento de nuevos miembros</w:t>
      </w:r>
    </w:p>
    <w:p w:rsidR="00BE13E4" w:rsidRPr="004854BC" w:rsidRDefault="00BE13E4" w:rsidP="00BE13E4">
      <w:pPr>
        <w:pStyle w:val="ONUME"/>
        <w:numPr>
          <w:ilvl w:val="0"/>
          <w:numId w:val="0"/>
        </w:numPr>
        <w:tabs>
          <w:tab w:val="left" w:pos="0"/>
        </w:tabs>
        <w:spacing w:after="0"/>
        <w:rPr>
          <w:szCs w:val="22"/>
          <w:lang w:val="es-ES_tradnl"/>
        </w:rPr>
      </w:pPr>
    </w:p>
    <w:p w:rsidR="00BE13E4" w:rsidRPr="004854BC" w:rsidRDefault="009A083E" w:rsidP="00066EAB">
      <w:pPr>
        <w:pStyle w:val="ONUME"/>
        <w:tabs>
          <w:tab w:val="left" w:pos="0"/>
        </w:tabs>
        <w:spacing w:after="0"/>
        <w:rPr>
          <w:szCs w:val="22"/>
          <w:lang w:val="es-ES_tradnl"/>
        </w:rPr>
      </w:pPr>
      <w:r w:rsidRPr="004854BC">
        <w:rPr>
          <w:szCs w:val="22"/>
          <w:lang w:val="es-ES_tradnl"/>
        </w:rPr>
        <w:t xml:space="preserve">La Comisión está integrada por siete miembros procedentes de distintos grupos regionales de la OMPI, que actúan a título personal y con independencia de los Estados miembros. De conformidad con su mandato y su Reglamento interno, en su 59.ª sesión, celebrada en diciembre de 2020, la Comisión eligió </w:t>
      </w:r>
      <w:r w:rsidR="000922AF">
        <w:rPr>
          <w:szCs w:val="22"/>
          <w:lang w:val="es-ES_tradnl"/>
        </w:rPr>
        <w:t>p</w:t>
      </w:r>
      <w:r w:rsidRPr="004854BC">
        <w:rPr>
          <w:szCs w:val="22"/>
          <w:lang w:val="es-ES_tradnl"/>
        </w:rPr>
        <w:t xml:space="preserve">residenta a la Sra. Tatiana Vasileva y </w:t>
      </w:r>
      <w:r w:rsidR="000922AF">
        <w:rPr>
          <w:szCs w:val="22"/>
          <w:lang w:val="es-ES_tradnl"/>
        </w:rPr>
        <w:t>v</w:t>
      </w:r>
      <w:r w:rsidR="00066EAB" w:rsidRPr="004854BC">
        <w:rPr>
          <w:szCs w:val="22"/>
          <w:lang w:val="es-ES_tradnl"/>
        </w:rPr>
        <w:t>icep</w:t>
      </w:r>
      <w:r w:rsidRPr="004854BC">
        <w:rPr>
          <w:szCs w:val="22"/>
          <w:lang w:val="es-ES_tradnl"/>
        </w:rPr>
        <w:t>residente al Sr. </w:t>
      </w:r>
      <w:r w:rsidR="00066EAB" w:rsidRPr="004854BC">
        <w:rPr>
          <w:szCs w:val="22"/>
          <w:lang w:val="es-ES_tradnl"/>
        </w:rPr>
        <w:t xml:space="preserve">Bert Keuppens. El Sr. Mukesh Arya ejerció las funciones de </w:t>
      </w:r>
      <w:r w:rsidR="000922AF">
        <w:rPr>
          <w:szCs w:val="22"/>
          <w:lang w:val="es-ES_tradnl"/>
        </w:rPr>
        <w:t>p</w:t>
      </w:r>
      <w:r w:rsidR="00066EAB" w:rsidRPr="004854BC">
        <w:rPr>
          <w:szCs w:val="22"/>
          <w:lang w:val="es-ES_tradnl"/>
        </w:rPr>
        <w:t>residente durante la</w:t>
      </w:r>
      <w:r w:rsidR="00E41317">
        <w:rPr>
          <w:szCs w:val="22"/>
          <w:lang w:val="es-ES_tradnl"/>
        </w:rPr>
        <w:t>s</w:t>
      </w:r>
      <w:r w:rsidR="00066EAB" w:rsidRPr="004854BC">
        <w:rPr>
          <w:szCs w:val="22"/>
          <w:lang w:val="es-ES_tradnl"/>
        </w:rPr>
        <w:t xml:space="preserve"> </w:t>
      </w:r>
      <w:r w:rsidR="00E41317" w:rsidRPr="004854BC">
        <w:rPr>
          <w:szCs w:val="22"/>
          <w:lang w:val="es-ES_tradnl"/>
        </w:rPr>
        <w:t xml:space="preserve">sesiones </w:t>
      </w:r>
      <w:r w:rsidR="00066EAB" w:rsidRPr="004854BC">
        <w:rPr>
          <w:szCs w:val="22"/>
          <w:lang w:val="es-ES_tradnl"/>
        </w:rPr>
        <w:t>57.ª, 58.ª y 59.ª</w:t>
      </w:r>
    </w:p>
    <w:p w:rsidR="00BE13E4" w:rsidRPr="004854BC" w:rsidRDefault="00BE13E4" w:rsidP="00BE13E4">
      <w:pPr>
        <w:pStyle w:val="ONUME"/>
        <w:numPr>
          <w:ilvl w:val="0"/>
          <w:numId w:val="0"/>
        </w:numPr>
        <w:tabs>
          <w:tab w:val="left" w:pos="0"/>
        </w:tabs>
        <w:spacing w:after="0"/>
        <w:rPr>
          <w:szCs w:val="22"/>
          <w:lang w:val="es-ES_tradnl"/>
        </w:rPr>
      </w:pPr>
    </w:p>
    <w:p w:rsidR="00BE13E4" w:rsidRPr="004854BC" w:rsidRDefault="00066EAB" w:rsidP="00BE13E4">
      <w:pPr>
        <w:pStyle w:val="ONUME"/>
        <w:tabs>
          <w:tab w:val="left" w:pos="0"/>
        </w:tabs>
        <w:spacing w:after="0"/>
        <w:rPr>
          <w:szCs w:val="22"/>
          <w:lang w:val="es-ES_tradnl"/>
        </w:rPr>
      </w:pPr>
      <w:r w:rsidRPr="004854BC">
        <w:rPr>
          <w:lang w:val="es-ES_tradnl"/>
        </w:rPr>
        <w:t xml:space="preserve">De conformidad con el proceso de selección descrito en el párrafo 28 del </w:t>
      </w:r>
      <w:r w:rsidR="004854BC" w:rsidRPr="004854BC">
        <w:rPr>
          <w:lang w:val="es-ES_tradnl"/>
        </w:rPr>
        <w:t>documento</w:t>
      </w:r>
      <w:r w:rsidRPr="004854BC">
        <w:rPr>
          <w:lang w:val="es-ES_tradnl"/>
        </w:rPr>
        <w:t xml:space="preserve"> </w:t>
      </w:r>
      <w:r w:rsidR="00BE13E4" w:rsidRPr="004854BC">
        <w:rPr>
          <w:lang w:val="es-ES_tradnl"/>
        </w:rPr>
        <w:t xml:space="preserve">WO/GA/39/13, </w:t>
      </w:r>
      <w:r w:rsidRPr="004854BC">
        <w:rPr>
          <w:lang w:val="es-ES_tradnl"/>
        </w:rPr>
        <w:t>la Comisión está formada actualmente por los siguientes miembros</w:t>
      </w:r>
      <w:r w:rsidR="00BE13E4" w:rsidRPr="004854BC">
        <w:rPr>
          <w:szCs w:val="22"/>
          <w:lang w:val="es-ES_tradnl"/>
        </w:rPr>
        <w:t>:</w:t>
      </w:r>
    </w:p>
    <w:p w:rsidR="00BE13E4" w:rsidRPr="004854BC" w:rsidRDefault="00BE13E4" w:rsidP="00BE13E4">
      <w:pPr>
        <w:rPr>
          <w:szCs w:val="22"/>
          <w:lang w:val="es-ES_tradnl"/>
        </w:rPr>
      </w:pPr>
    </w:p>
    <w:p w:rsidR="00BE13E4" w:rsidRPr="004854BC" w:rsidRDefault="00066EAB" w:rsidP="00BE13E4">
      <w:pPr>
        <w:pStyle w:val="BlockText"/>
        <w:numPr>
          <w:ilvl w:val="0"/>
          <w:numId w:val="7"/>
        </w:numPr>
        <w:tabs>
          <w:tab w:val="left" w:pos="567"/>
        </w:tabs>
        <w:spacing w:after="0"/>
        <w:ind w:left="993" w:right="0" w:hanging="426"/>
        <w:rPr>
          <w:rFonts w:cs="Arial"/>
          <w:szCs w:val="22"/>
          <w:lang w:val="es-ES_tradnl"/>
        </w:rPr>
      </w:pPr>
      <w:r w:rsidRPr="004854BC">
        <w:rPr>
          <w:rFonts w:cs="Arial"/>
          <w:szCs w:val="22"/>
          <w:lang w:val="es-ES_tradnl"/>
        </w:rPr>
        <w:t>Sra</w:t>
      </w:r>
      <w:r w:rsidR="00BE13E4" w:rsidRPr="004854BC">
        <w:rPr>
          <w:rFonts w:cs="Arial"/>
          <w:szCs w:val="22"/>
          <w:lang w:val="es-ES_tradnl"/>
        </w:rPr>
        <w:t xml:space="preserve">. Tatiana Vasileva, </w:t>
      </w:r>
      <w:r w:rsidR="004854BC">
        <w:rPr>
          <w:rFonts w:cs="Arial"/>
          <w:szCs w:val="22"/>
          <w:lang w:val="es-ES_tradnl"/>
        </w:rPr>
        <w:t>presidenta</w:t>
      </w:r>
      <w:r w:rsidR="00BE13E4" w:rsidRPr="004854BC">
        <w:rPr>
          <w:rFonts w:cs="Arial"/>
          <w:szCs w:val="22"/>
          <w:lang w:val="es-ES_tradnl"/>
        </w:rPr>
        <w:t xml:space="preserve"> (</w:t>
      </w:r>
      <w:r w:rsidR="004854BC">
        <w:rPr>
          <w:rFonts w:cs="Arial"/>
          <w:szCs w:val="22"/>
          <w:lang w:val="es-ES_tradnl"/>
        </w:rPr>
        <w:t>Grupo de Países de Asia Central, el Cáucaso y Europa Oriental</w:t>
      </w:r>
      <w:r w:rsidR="00BE13E4" w:rsidRPr="004854BC">
        <w:rPr>
          <w:rFonts w:cs="Arial"/>
          <w:szCs w:val="22"/>
          <w:lang w:val="es-ES_tradnl"/>
        </w:rPr>
        <w:t>);</w:t>
      </w:r>
    </w:p>
    <w:p w:rsidR="00BE13E4" w:rsidRPr="004854BC" w:rsidRDefault="00BE13E4" w:rsidP="00BE13E4">
      <w:pPr>
        <w:rPr>
          <w:szCs w:val="22"/>
          <w:lang w:val="es-ES_tradnl"/>
        </w:rPr>
      </w:pPr>
    </w:p>
    <w:p w:rsidR="00BE13E4" w:rsidRPr="004854BC" w:rsidRDefault="00066EAB" w:rsidP="00BE13E4">
      <w:pPr>
        <w:pStyle w:val="BlockText"/>
        <w:numPr>
          <w:ilvl w:val="0"/>
          <w:numId w:val="7"/>
        </w:numPr>
        <w:tabs>
          <w:tab w:val="left" w:pos="567"/>
        </w:tabs>
        <w:spacing w:after="0"/>
        <w:ind w:left="993" w:right="0" w:hanging="426"/>
        <w:rPr>
          <w:rFonts w:cs="Arial"/>
          <w:szCs w:val="22"/>
          <w:lang w:val="es-ES_tradnl"/>
        </w:rPr>
      </w:pPr>
      <w:r w:rsidRPr="004854BC">
        <w:rPr>
          <w:rFonts w:cs="Arial"/>
          <w:szCs w:val="22"/>
          <w:lang w:val="es-ES_tradnl"/>
        </w:rPr>
        <w:t>S</w:t>
      </w:r>
      <w:r w:rsidR="00BE13E4" w:rsidRPr="004854BC">
        <w:rPr>
          <w:rFonts w:cs="Arial"/>
          <w:szCs w:val="22"/>
          <w:lang w:val="es-ES_tradnl"/>
        </w:rPr>
        <w:t xml:space="preserve">r. Bert Keuppens, </w:t>
      </w:r>
      <w:r w:rsidR="004854BC">
        <w:rPr>
          <w:rFonts w:cs="Arial"/>
          <w:szCs w:val="22"/>
          <w:lang w:val="es-ES_tradnl"/>
        </w:rPr>
        <w:t>v</w:t>
      </w:r>
      <w:r w:rsidR="00BE13E4" w:rsidRPr="004854BC">
        <w:rPr>
          <w:rFonts w:cs="Arial"/>
          <w:szCs w:val="22"/>
          <w:lang w:val="es-ES_tradnl"/>
        </w:rPr>
        <w:t>ice</w:t>
      </w:r>
      <w:r w:rsidRPr="004854BC">
        <w:rPr>
          <w:rFonts w:cs="Arial"/>
          <w:szCs w:val="22"/>
          <w:lang w:val="es-ES_tradnl"/>
        </w:rPr>
        <w:t>presidente</w:t>
      </w:r>
      <w:r w:rsidR="00BE13E4" w:rsidRPr="004854BC">
        <w:rPr>
          <w:rFonts w:cs="Arial"/>
          <w:szCs w:val="22"/>
          <w:lang w:val="es-ES_tradnl"/>
        </w:rPr>
        <w:t xml:space="preserve"> (Gr</w:t>
      </w:r>
      <w:r w:rsidRPr="004854BC">
        <w:rPr>
          <w:rFonts w:cs="Arial"/>
          <w:szCs w:val="22"/>
          <w:lang w:val="es-ES_tradnl"/>
        </w:rPr>
        <w:t>upo</w:t>
      </w:r>
      <w:r w:rsidR="00BE13E4" w:rsidRPr="004854BC">
        <w:rPr>
          <w:rFonts w:cs="Arial"/>
          <w:szCs w:val="22"/>
          <w:lang w:val="es-ES_tradnl"/>
        </w:rPr>
        <w:t xml:space="preserve"> B);</w:t>
      </w:r>
    </w:p>
    <w:p w:rsidR="00BE13E4" w:rsidRPr="004854BC" w:rsidRDefault="00BE13E4" w:rsidP="00BE13E4">
      <w:pPr>
        <w:rPr>
          <w:szCs w:val="22"/>
          <w:lang w:val="es-ES_tradnl"/>
        </w:rPr>
      </w:pPr>
    </w:p>
    <w:p w:rsidR="00BE13E4" w:rsidRPr="004854BC" w:rsidRDefault="00066EAB" w:rsidP="00BE13E4">
      <w:pPr>
        <w:pStyle w:val="BlockText"/>
        <w:numPr>
          <w:ilvl w:val="0"/>
          <w:numId w:val="7"/>
        </w:numPr>
        <w:tabs>
          <w:tab w:val="left" w:pos="567"/>
        </w:tabs>
        <w:spacing w:after="0"/>
        <w:ind w:left="993" w:right="0" w:hanging="426"/>
        <w:rPr>
          <w:rFonts w:cs="Arial"/>
          <w:szCs w:val="22"/>
          <w:lang w:val="es-ES_tradnl"/>
        </w:rPr>
      </w:pPr>
      <w:r w:rsidRPr="004854BC">
        <w:rPr>
          <w:rFonts w:cs="Arial"/>
          <w:szCs w:val="22"/>
          <w:lang w:val="es-ES_tradnl"/>
        </w:rPr>
        <w:t>S</w:t>
      </w:r>
      <w:r w:rsidR="00BE13E4" w:rsidRPr="004854BC">
        <w:rPr>
          <w:rFonts w:cs="Arial"/>
          <w:szCs w:val="22"/>
          <w:lang w:val="es-ES_tradnl"/>
        </w:rPr>
        <w:t>r. Mukesh Arya (</w:t>
      </w:r>
      <w:r w:rsidRPr="004854BC">
        <w:rPr>
          <w:rFonts w:cs="Arial"/>
          <w:szCs w:val="22"/>
          <w:lang w:val="es-ES_tradnl"/>
        </w:rPr>
        <w:t>Grupo de Asia y el Pacífico</w:t>
      </w:r>
      <w:r w:rsidR="00BE13E4" w:rsidRPr="004854BC">
        <w:rPr>
          <w:rFonts w:cs="Arial"/>
          <w:szCs w:val="22"/>
          <w:lang w:val="es-ES_tradnl"/>
        </w:rPr>
        <w:t xml:space="preserve">); </w:t>
      </w:r>
    </w:p>
    <w:p w:rsidR="00BE13E4" w:rsidRPr="004854BC" w:rsidRDefault="00BE13E4" w:rsidP="00BE13E4">
      <w:pPr>
        <w:rPr>
          <w:szCs w:val="22"/>
          <w:lang w:val="es-ES_tradnl"/>
        </w:rPr>
      </w:pPr>
    </w:p>
    <w:p w:rsidR="00BE13E4" w:rsidRPr="004854BC" w:rsidRDefault="00066EAB" w:rsidP="00BE13E4">
      <w:pPr>
        <w:pStyle w:val="BlockText"/>
        <w:numPr>
          <w:ilvl w:val="0"/>
          <w:numId w:val="7"/>
        </w:numPr>
        <w:tabs>
          <w:tab w:val="left" w:pos="567"/>
        </w:tabs>
        <w:spacing w:after="0"/>
        <w:ind w:left="993" w:right="0" w:hanging="426"/>
        <w:rPr>
          <w:rFonts w:cs="Arial"/>
          <w:szCs w:val="22"/>
          <w:lang w:val="es-ES_tradnl"/>
        </w:rPr>
      </w:pPr>
      <w:r w:rsidRPr="004854BC">
        <w:rPr>
          <w:rFonts w:cs="Arial"/>
          <w:szCs w:val="22"/>
          <w:lang w:val="es-ES_tradnl"/>
        </w:rPr>
        <w:t>S</w:t>
      </w:r>
      <w:r w:rsidR="00BE13E4" w:rsidRPr="004854BC">
        <w:rPr>
          <w:rFonts w:cs="Arial"/>
          <w:szCs w:val="22"/>
          <w:lang w:val="es-ES_tradnl"/>
        </w:rPr>
        <w:t>r. Igors Ludboržs (</w:t>
      </w:r>
      <w:r w:rsidRPr="004854BC">
        <w:rPr>
          <w:rFonts w:cs="Arial"/>
          <w:szCs w:val="22"/>
          <w:lang w:val="es-ES_tradnl"/>
        </w:rPr>
        <w:t>Grupo de Estados de Europa Central y el Báltico</w:t>
      </w:r>
      <w:r w:rsidR="00BE13E4" w:rsidRPr="004854BC">
        <w:rPr>
          <w:rFonts w:cs="Arial"/>
          <w:szCs w:val="22"/>
          <w:lang w:val="es-ES_tradnl"/>
        </w:rPr>
        <w:t>;</w:t>
      </w:r>
    </w:p>
    <w:p w:rsidR="00BE13E4" w:rsidRPr="004854BC" w:rsidRDefault="00BE13E4" w:rsidP="00BE13E4">
      <w:pPr>
        <w:rPr>
          <w:szCs w:val="22"/>
          <w:lang w:val="es-ES_tradnl"/>
        </w:rPr>
      </w:pPr>
    </w:p>
    <w:p w:rsidR="00BE13E4" w:rsidRPr="004854BC" w:rsidRDefault="00066EAB" w:rsidP="00BE13E4">
      <w:pPr>
        <w:pStyle w:val="BlockText"/>
        <w:numPr>
          <w:ilvl w:val="0"/>
          <w:numId w:val="7"/>
        </w:numPr>
        <w:tabs>
          <w:tab w:val="left" w:pos="567"/>
        </w:tabs>
        <w:spacing w:after="0"/>
        <w:ind w:left="993" w:right="0" w:hanging="426"/>
        <w:rPr>
          <w:rFonts w:cs="Arial"/>
          <w:szCs w:val="22"/>
          <w:lang w:val="es-ES_tradnl"/>
        </w:rPr>
      </w:pPr>
      <w:r w:rsidRPr="004854BC">
        <w:rPr>
          <w:rFonts w:cs="Arial"/>
          <w:szCs w:val="22"/>
          <w:lang w:val="es-ES_tradnl"/>
        </w:rPr>
        <w:t>Sra</w:t>
      </w:r>
      <w:r w:rsidR="00BE13E4" w:rsidRPr="004854BC">
        <w:rPr>
          <w:rFonts w:cs="Arial"/>
          <w:szCs w:val="22"/>
          <w:lang w:val="es-ES_tradnl"/>
        </w:rPr>
        <w:t>. Maria Vicien-Milburn (</w:t>
      </w:r>
      <w:r w:rsidRPr="004854BC">
        <w:rPr>
          <w:rFonts w:cs="Arial"/>
          <w:szCs w:val="22"/>
          <w:lang w:val="es-ES_tradnl"/>
        </w:rPr>
        <w:t>Grupo de Países de América Latina y el Caribe</w:t>
      </w:r>
      <w:r w:rsidR="00BE13E4" w:rsidRPr="004854BC">
        <w:rPr>
          <w:rFonts w:cs="Arial"/>
          <w:szCs w:val="22"/>
          <w:lang w:val="es-ES_tradnl"/>
        </w:rPr>
        <w:t>);</w:t>
      </w:r>
    </w:p>
    <w:p w:rsidR="00BE13E4" w:rsidRPr="004854BC" w:rsidRDefault="00BE13E4" w:rsidP="00BE13E4">
      <w:pPr>
        <w:rPr>
          <w:szCs w:val="22"/>
          <w:lang w:val="es-ES_tradnl"/>
        </w:rPr>
      </w:pPr>
    </w:p>
    <w:p w:rsidR="00BE13E4" w:rsidRPr="004854BC" w:rsidRDefault="00066EAB" w:rsidP="00BE13E4">
      <w:pPr>
        <w:pStyle w:val="BlockText"/>
        <w:numPr>
          <w:ilvl w:val="0"/>
          <w:numId w:val="7"/>
        </w:numPr>
        <w:tabs>
          <w:tab w:val="left" w:pos="567"/>
        </w:tabs>
        <w:spacing w:after="0"/>
        <w:ind w:left="993" w:right="0" w:hanging="426"/>
        <w:rPr>
          <w:rFonts w:cs="Arial"/>
          <w:szCs w:val="22"/>
          <w:lang w:val="es-ES_tradnl"/>
        </w:rPr>
      </w:pPr>
      <w:r w:rsidRPr="004854BC">
        <w:rPr>
          <w:rFonts w:cs="Arial"/>
          <w:szCs w:val="22"/>
          <w:lang w:val="es-ES_tradnl"/>
        </w:rPr>
        <w:t>S</w:t>
      </w:r>
      <w:r w:rsidR="00BE13E4" w:rsidRPr="004854BC">
        <w:rPr>
          <w:rFonts w:cs="Arial"/>
          <w:szCs w:val="22"/>
          <w:lang w:val="es-ES_tradnl"/>
        </w:rPr>
        <w:t>r. Othman Sharif (</w:t>
      </w:r>
      <w:r w:rsidRPr="004854BC">
        <w:rPr>
          <w:rFonts w:cs="Arial"/>
          <w:szCs w:val="22"/>
          <w:lang w:val="es-ES_tradnl"/>
        </w:rPr>
        <w:t>Grupo Africano</w:t>
      </w:r>
      <w:r w:rsidR="00BE13E4" w:rsidRPr="004854BC">
        <w:rPr>
          <w:rFonts w:cs="Arial"/>
          <w:szCs w:val="22"/>
          <w:lang w:val="es-ES_tradnl"/>
        </w:rPr>
        <w:t>)</w:t>
      </w:r>
      <w:r w:rsidRPr="004854BC">
        <w:rPr>
          <w:rFonts w:cs="Arial"/>
          <w:szCs w:val="22"/>
          <w:lang w:val="es-ES_tradnl"/>
        </w:rPr>
        <w:t>,</w:t>
      </w:r>
      <w:r w:rsidR="00BE13E4" w:rsidRPr="004854BC">
        <w:rPr>
          <w:rFonts w:cs="Arial"/>
          <w:szCs w:val="22"/>
          <w:lang w:val="es-ES_tradnl"/>
        </w:rPr>
        <w:t xml:space="preserve"> </w:t>
      </w:r>
      <w:r w:rsidRPr="004854BC">
        <w:rPr>
          <w:rFonts w:cs="Arial"/>
          <w:szCs w:val="22"/>
          <w:lang w:val="es-ES_tradnl"/>
        </w:rPr>
        <w:t>y</w:t>
      </w:r>
    </w:p>
    <w:p w:rsidR="00BE13E4" w:rsidRPr="004854BC" w:rsidRDefault="00BE13E4" w:rsidP="00BE13E4">
      <w:pPr>
        <w:rPr>
          <w:szCs w:val="22"/>
          <w:lang w:val="es-ES_tradnl"/>
        </w:rPr>
      </w:pPr>
    </w:p>
    <w:p w:rsidR="00BE13E4" w:rsidRPr="004854BC" w:rsidRDefault="00066EAB" w:rsidP="00BE13E4">
      <w:pPr>
        <w:pStyle w:val="BlockText"/>
        <w:numPr>
          <w:ilvl w:val="0"/>
          <w:numId w:val="7"/>
        </w:numPr>
        <w:tabs>
          <w:tab w:val="left" w:pos="567"/>
        </w:tabs>
        <w:spacing w:after="0"/>
        <w:ind w:left="993" w:right="0" w:hanging="426"/>
        <w:rPr>
          <w:rFonts w:cs="Arial"/>
          <w:szCs w:val="22"/>
          <w:lang w:val="es-ES_tradnl"/>
        </w:rPr>
      </w:pPr>
      <w:r w:rsidRPr="004854BC">
        <w:rPr>
          <w:rFonts w:cs="Arial"/>
          <w:szCs w:val="22"/>
          <w:lang w:val="es-ES_tradnl"/>
        </w:rPr>
        <w:t>S</w:t>
      </w:r>
      <w:r w:rsidR="00BE13E4" w:rsidRPr="004854BC">
        <w:rPr>
          <w:rFonts w:cs="Arial"/>
          <w:szCs w:val="22"/>
          <w:lang w:val="es-ES_tradnl"/>
        </w:rPr>
        <w:t>r. Zhang Long (China).</w:t>
      </w:r>
    </w:p>
    <w:p w:rsidR="00BE13E4" w:rsidRPr="004854BC" w:rsidRDefault="00BE13E4" w:rsidP="00BE13E4">
      <w:pPr>
        <w:rPr>
          <w:szCs w:val="22"/>
          <w:lang w:val="es-ES_tradnl"/>
        </w:rPr>
      </w:pPr>
    </w:p>
    <w:p w:rsidR="00BE13E4" w:rsidRPr="004854BC" w:rsidRDefault="00066EAB" w:rsidP="00BE13E4">
      <w:pPr>
        <w:pStyle w:val="ONUME"/>
        <w:numPr>
          <w:ilvl w:val="0"/>
          <w:numId w:val="0"/>
        </w:numPr>
        <w:spacing w:after="0"/>
        <w:rPr>
          <w:lang w:val="es-ES_tradnl"/>
        </w:rPr>
      </w:pPr>
      <w:r w:rsidRPr="004854BC">
        <w:rPr>
          <w:lang w:val="es-ES_tradnl"/>
        </w:rPr>
        <w:lastRenderedPageBreak/>
        <w:t>La Composición de la Comisión refleja una combinación y un equilibrio adecuados de competencias, conocimientos técnicos y experiencia</w:t>
      </w:r>
      <w:r w:rsidR="00BE13E4" w:rsidRPr="004854BC">
        <w:rPr>
          <w:lang w:val="es-ES_tradnl"/>
        </w:rPr>
        <w:t>.</w:t>
      </w:r>
    </w:p>
    <w:p w:rsidR="00BE13E4" w:rsidRPr="004854BC" w:rsidRDefault="00BE13E4" w:rsidP="00BE13E4">
      <w:pPr>
        <w:pStyle w:val="ONUME"/>
        <w:numPr>
          <w:ilvl w:val="0"/>
          <w:numId w:val="0"/>
        </w:numPr>
        <w:spacing w:after="0"/>
        <w:rPr>
          <w:lang w:val="es-ES_tradnl"/>
        </w:rPr>
      </w:pPr>
    </w:p>
    <w:p w:rsidR="00BE13E4" w:rsidRPr="004854BC" w:rsidRDefault="00CC4144" w:rsidP="00CC4144">
      <w:pPr>
        <w:pStyle w:val="ONUME"/>
        <w:spacing w:after="0"/>
        <w:rPr>
          <w:lang w:val="es-ES_tradnl"/>
        </w:rPr>
      </w:pPr>
      <w:r w:rsidRPr="004854BC">
        <w:rPr>
          <w:lang w:val="es-ES_tradnl"/>
        </w:rPr>
        <w:t xml:space="preserve">Antes de la 60.ª sesión, el Sr. Sharif informó a la Comisión de que había sido nombrado primer vicepresidente de Zanzíbar, con efecto a partir del 1 de marzo de 2021. Todavía </w:t>
      </w:r>
      <w:r w:rsidR="002240D8" w:rsidRPr="004854BC">
        <w:rPr>
          <w:lang w:val="es-ES_tradnl"/>
        </w:rPr>
        <w:t>no se ha recibido</w:t>
      </w:r>
      <w:r w:rsidRPr="004854BC">
        <w:rPr>
          <w:lang w:val="es-ES_tradnl"/>
        </w:rPr>
        <w:t xml:space="preserve"> </w:t>
      </w:r>
      <w:r w:rsidR="00792858">
        <w:rPr>
          <w:lang w:val="es-ES_tradnl"/>
        </w:rPr>
        <w:t>la</w:t>
      </w:r>
      <w:r w:rsidRPr="004854BC">
        <w:rPr>
          <w:lang w:val="es-ES_tradnl"/>
        </w:rPr>
        <w:t xml:space="preserve"> renuncia oficial a su cargo en la Comisión</w:t>
      </w:r>
      <w:r w:rsidR="00BE13E4" w:rsidRPr="004854BC">
        <w:rPr>
          <w:lang w:val="es-ES_tradnl"/>
        </w:rPr>
        <w:t>.</w:t>
      </w:r>
    </w:p>
    <w:p w:rsidR="00BE13E4" w:rsidRPr="004854BC" w:rsidRDefault="00BE13E4" w:rsidP="00BE13E4">
      <w:pPr>
        <w:pStyle w:val="ONUME"/>
        <w:numPr>
          <w:ilvl w:val="0"/>
          <w:numId w:val="0"/>
        </w:numPr>
        <w:spacing w:after="0"/>
        <w:rPr>
          <w:lang w:val="es-ES_tradnl"/>
        </w:rPr>
      </w:pPr>
    </w:p>
    <w:p w:rsidR="00BE13E4" w:rsidRPr="004854BC" w:rsidRDefault="00BE13E4" w:rsidP="00BE13E4">
      <w:pPr>
        <w:rPr>
          <w:i/>
          <w:szCs w:val="22"/>
          <w:lang w:val="es-ES_tradnl"/>
        </w:rPr>
      </w:pPr>
      <w:r w:rsidRPr="004854BC">
        <w:rPr>
          <w:i/>
          <w:szCs w:val="22"/>
          <w:lang w:val="es-ES_tradnl"/>
        </w:rPr>
        <w:tab/>
      </w:r>
      <w:r w:rsidR="00CC4144" w:rsidRPr="004854BC">
        <w:rPr>
          <w:i/>
          <w:szCs w:val="22"/>
          <w:lang w:val="es-ES_tradnl"/>
        </w:rPr>
        <w:t>Metodología</w:t>
      </w:r>
    </w:p>
    <w:p w:rsidR="00BE13E4" w:rsidRPr="004854BC" w:rsidRDefault="00BE13E4" w:rsidP="00BE13E4">
      <w:pPr>
        <w:rPr>
          <w:szCs w:val="22"/>
          <w:lang w:val="es-ES_tradnl"/>
        </w:rPr>
      </w:pPr>
    </w:p>
    <w:p w:rsidR="00BE13E4" w:rsidRPr="004854BC" w:rsidRDefault="00CC4144" w:rsidP="00CC4144">
      <w:pPr>
        <w:pStyle w:val="ONUME"/>
        <w:tabs>
          <w:tab w:val="left" w:pos="0"/>
        </w:tabs>
        <w:spacing w:after="0"/>
        <w:rPr>
          <w:szCs w:val="22"/>
          <w:lang w:val="es-ES_tradnl"/>
        </w:rPr>
      </w:pPr>
      <w:r w:rsidRPr="004854BC">
        <w:rPr>
          <w:szCs w:val="22"/>
          <w:lang w:val="es-ES_tradnl"/>
        </w:rPr>
        <w:t xml:space="preserve">La Comisión no es un órgano ejecutivo; su </w:t>
      </w:r>
      <w:r w:rsidR="004854BC" w:rsidRPr="004854BC">
        <w:rPr>
          <w:szCs w:val="22"/>
          <w:lang w:val="es-ES_tradnl"/>
        </w:rPr>
        <w:t>misión</w:t>
      </w:r>
      <w:r w:rsidRPr="004854BC">
        <w:rPr>
          <w:szCs w:val="22"/>
          <w:lang w:val="es-ES_tradnl"/>
        </w:rPr>
        <w:t xml:space="preserve"> es </w:t>
      </w:r>
      <w:r w:rsidR="004854BC" w:rsidRPr="004854BC">
        <w:rPr>
          <w:szCs w:val="22"/>
          <w:lang w:val="es-ES_tradnl"/>
        </w:rPr>
        <w:t>prestar</w:t>
      </w:r>
      <w:r w:rsidRPr="004854BC">
        <w:rPr>
          <w:szCs w:val="22"/>
          <w:lang w:val="es-ES_tradnl"/>
        </w:rPr>
        <w:t xml:space="preserve"> asesoramiento especializado mediante la cooperación con el director general y otros altos funcionarios de la OMPI, el director de la D</w:t>
      </w:r>
      <w:r w:rsidR="00792858">
        <w:rPr>
          <w:szCs w:val="22"/>
          <w:lang w:val="es-ES_tradnl"/>
        </w:rPr>
        <w:t xml:space="preserve">ivisión de </w:t>
      </w:r>
      <w:r w:rsidRPr="004854BC">
        <w:rPr>
          <w:szCs w:val="22"/>
          <w:lang w:val="es-ES_tradnl"/>
        </w:rPr>
        <w:t>S</w:t>
      </w:r>
      <w:r w:rsidR="00792858">
        <w:rPr>
          <w:szCs w:val="22"/>
          <w:lang w:val="es-ES_tradnl"/>
        </w:rPr>
        <w:t xml:space="preserve">upervisión </w:t>
      </w:r>
      <w:r w:rsidRPr="004854BC">
        <w:rPr>
          <w:szCs w:val="22"/>
          <w:lang w:val="es-ES_tradnl"/>
        </w:rPr>
        <w:t>I</w:t>
      </w:r>
      <w:r w:rsidR="00792858">
        <w:rPr>
          <w:szCs w:val="22"/>
          <w:lang w:val="es-ES_tradnl"/>
        </w:rPr>
        <w:t>nterna (DSI)</w:t>
      </w:r>
      <w:r w:rsidRPr="004854BC">
        <w:rPr>
          <w:szCs w:val="22"/>
          <w:lang w:val="es-ES_tradnl"/>
        </w:rPr>
        <w:t xml:space="preserve">, </w:t>
      </w:r>
      <w:r w:rsidR="00792858" w:rsidRPr="00792858">
        <w:rPr>
          <w:szCs w:val="22"/>
          <w:lang w:val="es-ES_tradnl"/>
        </w:rPr>
        <w:t>el</w:t>
      </w:r>
      <w:r w:rsidR="00597BBE" w:rsidRPr="00792858">
        <w:rPr>
          <w:szCs w:val="22"/>
          <w:lang w:val="es-ES_tradnl"/>
        </w:rPr>
        <w:t xml:space="preserve"> oficial j</w:t>
      </w:r>
      <w:r w:rsidRPr="00792858">
        <w:rPr>
          <w:szCs w:val="22"/>
          <w:lang w:val="es-ES_tradnl"/>
        </w:rPr>
        <w:t>ef</w:t>
      </w:r>
      <w:r w:rsidR="00792858" w:rsidRPr="00792858">
        <w:rPr>
          <w:szCs w:val="22"/>
          <w:lang w:val="es-ES_tradnl"/>
        </w:rPr>
        <w:t>e</w:t>
      </w:r>
      <w:r w:rsidRPr="004854BC">
        <w:rPr>
          <w:szCs w:val="22"/>
          <w:lang w:val="es-ES_tradnl"/>
        </w:rPr>
        <w:t xml:space="preserve"> de Ética Profesional, el mediador, </w:t>
      </w:r>
      <w:r w:rsidR="004854BC" w:rsidRPr="004854BC">
        <w:rPr>
          <w:szCs w:val="22"/>
          <w:lang w:val="es-ES_tradnl"/>
        </w:rPr>
        <w:t>la</w:t>
      </w:r>
      <w:r w:rsidRPr="004854BC">
        <w:rPr>
          <w:szCs w:val="22"/>
          <w:lang w:val="es-ES_tradnl"/>
        </w:rPr>
        <w:t xml:space="preserve"> contralor</w:t>
      </w:r>
      <w:r w:rsidR="004854BC" w:rsidRPr="004854BC">
        <w:rPr>
          <w:szCs w:val="22"/>
          <w:lang w:val="es-ES_tradnl"/>
        </w:rPr>
        <w:t>a</w:t>
      </w:r>
      <w:r w:rsidRPr="004854BC">
        <w:rPr>
          <w:szCs w:val="22"/>
          <w:lang w:val="es-ES_tradnl"/>
        </w:rPr>
        <w:t xml:space="preserve"> y el </w:t>
      </w:r>
      <w:r w:rsidR="00792858">
        <w:rPr>
          <w:szCs w:val="22"/>
          <w:lang w:val="es-ES_tradnl"/>
        </w:rPr>
        <w:t>a</w:t>
      </w:r>
      <w:r w:rsidRPr="004854BC">
        <w:rPr>
          <w:szCs w:val="22"/>
          <w:lang w:val="es-ES_tradnl"/>
        </w:rPr>
        <w:t xml:space="preserve">uditor </w:t>
      </w:r>
      <w:r w:rsidR="00792858">
        <w:rPr>
          <w:szCs w:val="22"/>
          <w:lang w:val="es-ES_tradnl"/>
        </w:rPr>
        <w:t>e</w:t>
      </w:r>
      <w:r w:rsidRPr="004854BC">
        <w:rPr>
          <w:szCs w:val="22"/>
          <w:lang w:val="es-ES_tradnl"/>
        </w:rPr>
        <w:t>xterno, principalmente sobre la base de los informes, ponencias e información que se le facilitan. Para elaborar sus evaluaciones y establecer sus conclusiones, lleva a cabo deliberaciones internas sobre cuestiones pertinentes</w:t>
      </w:r>
      <w:r w:rsidR="00BE13E4" w:rsidRPr="004854BC">
        <w:rPr>
          <w:szCs w:val="22"/>
          <w:lang w:val="es-ES_tradnl"/>
        </w:rPr>
        <w:t xml:space="preserve">. </w:t>
      </w:r>
    </w:p>
    <w:p w:rsidR="00BE13E4" w:rsidRPr="004854BC" w:rsidRDefault="00BE13E4" w:rsidP="00BE13E4">
      <w:pPr>
        <w:pStyle w:val="ONUME"/>
        <w:numPr>
          <w:ilvl w:val="0"/>
          <w:numId w:val="0"/>
        </w:numPr>
        <w:tabs>
          <w:tab w:val="left" w:pos="0"/>
        </w:tabs>
        <w:spacing w:after="0"/>
        <w:rPr>
          <w:lang w:val="es-ES_tradnl"/>
        </w:rPr>
      </w:pPr>
    </w:p>
    <w:p w:rsidR="00BE13E4" w:rsidRPr="004854BC" w:rsidRDefault="00CC4144" w:rsidP="006C6503">
      <w:pPr>
        <w:pStyle w:val="ONUME"/>
        <w:tabs>
          <w:tab w:val="left" w:pos="0"/>
        </w:tabs>
        <w:spacing w:after="0"/>
        <w:rPr>
          <w:lang w:val="es-ES_tradnl"/>
        </w:rPr>
      </w:pPr>
      <w:r w:rsidRPr="004854BC">
        <w:rPr>
          <w:lang w:val="es-ES_tradnl"/>
        </w:rPr>
        <w:t xml:space="preserve">Durante el período que abarca el informe, además de los puntos habituales del orden del día, la Comisión recibió sesiones informativas </w:t>
      </w:r>
      <w:r w:rsidR="00792858">
        <w:rPr>
          <w:lang w:val="es-ES_tradnl"/>
        </w:rPr>
        <w:t xml:space="preserve">por parte </w:t>
      </w:r>
      <w:r w:rsidRPr="004854BC">
        <w:rPr>
          <w:lang w:val="es-ES_tradnl"/>
        </w:rPr>
        <w:t>de la Dirección sobre la repercusión de la COVID-19 y la respuesta de la OMPI a la pandemia</w:t>
      </w:r>
      <w:r w:rsidR="00792858">
        <w:rPr>
          <w:lang w:val="es-ES_tradnl"/>
        </w:rPr>
        <w:t>,</w:t>
      </w:r>
      <w:r w:rsidR="00094A53" w:rsidRPr="004854BC">
        <w:rPr>
          <w:lang w:val="es-ES_tradnl"/>
        </w:rPr>
        <w:t xml:space="preserve"> así como información actualizada del</w:t>
      </w:r>
      <w:r w:rsidRPr="004854BC">
        <w:rPr>
          <w:lang w:val="es-ES_tradnl"/>
        </w:rPr>
        <w:t xml:space="preserve"> </w:t>
      </w:r>
      <w:r w:rsidR="00094A53" w:rsidRPr="00792858">
        <w:rPr>
          <w:lang w:val="es-ES_tradnl"/>
        </w:rPr>
        <w:t>oficial</w:t>
      </w:r>
      <w:r w:rsidR="00094A53" w:rsidRPr="004854BC">
        <w:rPr>
          <w:lang w:val="es-ES_tradnl"/>
        </w:rPr>
        <w:t xml:space="preserve"> jefe de Seguridad </w:t>
      </w:r>
      <w:r w:rsidR="00792858">
        <w:rPr>
          <w:lang w:val="es-ES_tradnl"/>
        </w:rPr>
        <w:t>de la División de</w:t>
      </w:r>
      <w:r w:rsidR="00094A53" w:rsidRPr="004854BC">
        <w:rPr>
          <w:lang w:val="es-ES_tradnl"/>
        </w:rPr>
        <w:t xml:space="preserve"> </w:t>
      </w:r>
      <w:r w:rsidR="00792858">
        <w:rPr>
          <w:lang w:val="es-ES_tradnl"/>
        </w:rPr>
        <w:t>S</w:t>
      </w:r>
      <w:r w:rsidR="00094A53" w:rsidRPr="004854BC">
        <w:rPr>
          <w:lang w:val="es-ES_tradnl"/>
        </w:rPr>
        <w:t xml:space="preserve">eguridad y </w:t>
      </w:r>
      <w:r w:rsidR="00792858">
        <w:rPr>
          <w:lang w:val="es-ES_tradnl"/>
        </w:rPr>
        <w:t>A</w:t>
      </w:r>
      <w:r w:rsidR="00094A53" w:rsidRPr="004854BC">
        <w:rPr>
          <w:lang w:val="es-ES_tradnl"/>
        </w:rPr>
        <w:t xml:space="preserve">seguramiento de la </w:t>
      </w:r>
      <w:r w:rsidR="00792858">
        <w:rPr>
          <w:lang w:val="es-ES_tradnl"/>
        </w:rPr>
        <w:t>I</w:t>
      </w:r>
      <w:r w:rsidR="00094A53" w:rsidRPr="004854BC">
        <w:rPr>
          <w:lang w:val="es-ES_tradnl"/>
        </w:rPr>
        <w:t xml:space="preserve">nformación, de la </w:t>
      </w:r>
      <w:r w:rsidR="00792858">
        <w:rPr>
          <w:lang w:val="es-ES_tradnl"/>
        </w:rPr>
        <w:t>directora</w:t>
      </w:r>
      <w:r w:rsidR="00094A53" w:rsidRPr="004854BC">
        <w:rPr>
          <w:lang w:val="es-ES_tradnl"/>
        </w:rPr>
        <w:t xml:space="preserve"> de la División de Adquisiciones y Viajes sobre cuestiones relacionadas con las adquisiciones, y también de la directora</w:t>
      </w:r>
      <w:r w:rsidR="00792858">
        <w:rPr>
          <w:lang w:val="es-ES_tradnl"/>
        </w:rPr>
        <w:t xml:space="preserve"> </w:t>
      </w:r>
      <w:r w:rsidR="00792858" w:rsidRPr="0017411D">
        <w:rPr>
          <w:lang w:val="es-ES_tradnl"/>
        </w:rPr>
        <w:t>interina</w:t>
      </w:r>
      <w:r w:rsidR="00094A53" w:rsidRPr="004854BC">
        <w:rPr>
          <w:lang w:val="es-ES_tradnl"/>
        </w:rPr>
        <w:t xml:space="preserve"> del Departamento de Gestión de los Recursos Humanos (DGRRHH) sobre cuestiones relacionadas con la gestión de los recursos humanos, además de una sesión informativa del economist</w:t>
      </w:r>
      <w:r w:rsidR="0070797D" w:rsidRPr="004854BC">
        <w:rPr>
          <w:lang w:val="es-ES_tradnl"/>
        </w:rPr>
        <w:t>a</w:t>
      </w:r>
      <w:r w:rsidR="00094A53" w:rsidRPr="004854BC">
        <w:rPr>
          <w:lang w:val="es-ES_tradnl"/>
        </w:rPr>
        <w:t xml:space="preserve"> jefe sobre las proyecciones y previsiones de los resultados financieros de la OMPI. En su 61.ª sesión, la Comisión recibió además una sesión informativa del subdirector general encargado del Sector de Administración, Finanzas y Gestión. Dichas sesiones aportaron una síntesis </w:t>
      </w:r>
      <w:r w:rsidR="004854BC" w:rsidRPr="004854BC">
        <w:rPr>
          <w:lang w:val="es-ES_tradnl"/>
        </w:rPr>
        <w:t>instructiva</w:t>
      </w:r>
      <w:r w:rsidR="00094A53" w:rsidRPr="004854BC">
        <w:rPr>
          <w:lang w:val="es-ES_tradnl"/>
        </w:rPr>
        <w:t xml:space="preserve"> y amplia de las funciones y actividades esenciales de la OMPI y ayudaron a la Comisión a comprender mejor el contexto de sus funciones de supervisión y asesoramiento</w:t>
      </w:r>
      <w:r w:rsidR="00BE13E4" w:rsidRPr="004854BC">
        <w:rPr>
          <w:lang w:val="es-ES_tradnl"/>
        </w:rPr>
        <w:t>.</w:t>
      </w:r>
    </w:p>
    <w:p w:rsidR="00BE13E4" w:rsidRPr="004854BC" w:rsidRDefault="00BE13E4" w:rsidP="00BE13E4">
      <w:pPr>
        <w:pStyle w:val="ONUME"/>
        <w:numPr>
          <w:ilvl w:val="0"/>
          <w:numId w:val="0"/>
        </w:numPr>
        <w:tabs>
          <w:tab w:val="left" w:pos="0"/>
        </w:tabs>
        <w:spacing w:after="0"/>
        <w:rPr>
          <w:lang w:val="es-ES_tradnl"/>
        </w:rPr>
      </w:pPr>
    </w:p>
    <w:p w:rsidR="00BE13E4" w:rsidRPr="004854BC" w:rsidRDefault="006C6503" w:rsidP="006C6503">
      <w:pPr>
        <w:pStyle w:val="ONUME"/>
        <w:tabs>
          <w:tab w:val="left" w:pos="0"/>
        </w:tabs>
        <w:spacing w:after="0"/>
        <w:rPr>
          <w:lang w:val="es-ES_tradnl"/>
        </w:rPr>
      </w:pPr>
      <w:r w:rsidRPr="004854BC">
        <w:rPr>
          <w:lang w:val="es-ES_tradnl"/>
        </w:rPr>
        <w:t xml:space="preserve">La transición en el equipo directivo superior se produjo durante el período que abarca el informe. La 58.ª sesión de la Comisión fue la última reunión que se celebró con el director general saliente, quien </w:t>
      </w:r>
      <w:r w:rsidR="004854BC" w:rsidRPr="004854BC">
        <w:rPr>
          <w:lang w:val="es-ES_tradnl"/>
        </w:rPr>
        <w:t>manifestó</w:t>
      </w:r>
      <w:r w:rsidRPr="004854BC">
        <w:rPr>
          <w:lang w:val="es-ES_tradnl"/>
        </w:rPr>
        <w:t xml:space="preserve"> su profundo agradecimiento por el papel y el funcionamiento de la CCIS </w:t>
      </w:r>
      <w:r w:rsidR="00792858">
        <w:rPr>
          <w:lang w:val="es-ES_tradnl"/>
        </w:rPr>
        <w:t>y por</w:t>
      </w:r>
      <w:r w:rsidRPr="004854BC">
        <w:rPr>
          <w:lang w:val="es-ES_tradnl"/>
        </w:rPr>
        <w:t xml:space="preserve"> la inestimable función que la Comisión desempeña en la OMPI. A su vez, la Comisión agradeció al director general su liderazgo y la constructiva relación que ha mantenido con la CCIS durante sus 12 años en el cargo. En su 59.ª sesión, la Comisión se reunió con el actual director general, quien reconoció la importante función que cumple la CCIS a la hora de velar por la buena </w:t>
      </w:r>
      <w:r w:rsidR="004854BC" w:rsidRPr="004854BC">
        <w:rPr>
          <w:lang w:val="es-ES_tradnl"/>
        </w:rPr>
        <w:t>gobernanza</w:t>
      </w:r>
      <w:r w:rsidRPr="004854BC">
        <w:rPr>
          <w:lang w:val="es-ES_tradnl"/>
        </w:rPr>
        <w:t xml:space="preserve"> de la OMPI. Posteriormente, el director general se reunió con la Comisión en su 60.ª y 61.ª sesiones</w:t>
      </w:r>
      <w:r w:rsidR="004339BB">
        <w:rPr>
          <w:lang w:val="es-ES_tradnl"/>
        </w:rPr>
        <w:t>.</w:t>
      </w:r>
    </w:p>
    <w:p w:rsidR="00BE13E4" w:rsidRPr="004854BC" w:rsidRDefault="00BE13E4" w:rsidP="00BE13E4">
      <w:pPr>
        <w:rPr>
          <w:lang w:val="es-ES_tradnl"/>
        </w:rPr>
      </w:pPr>
    </w:p>
    <w:p w:rsidR="00BE13E4" w:rsidRPr="004854BC" w:rsidRDefault="001877B4" w:rsidP="0079411F">
      <w:pPr>
        <w:pStyle w:val="ONUME"/>
        <w:tabs>
          <w:tab w:val="left" w:pos="0"/>
        </w:tabs>
        <w:spacing w:after="0"/>
        <w:rPr>
          <w:lang w:val="es-ES_tradnl"/>
        </w:rPr>
      </w:pPr>
      <w:r w:rsidRPr="004854BC">
        <w:rPr>
          <w:lang w:val="es-ES_tradnl"/>
        </w:rPr>
        <w:t>En su calidad de órgano subsidiario de la Asamblea G</w:t>
      </w:r>
      <w:r w:rsidR="004339BB">
        <w:rPr>
          <w:lang w:val="es-ES_tradnl"/>
        </w:rPr>
        <w:t>eneral de la OMPI y del PBC, la </w:t>
      </w:r>
      <w:r w:rsidRPr="004854BC">
        <w:rPr>
          <w:lang w:val="es-ES_tradnl"/>
        </w:rPr>
        <w:t xml:space="preserve">CCIS reconoció asimismo la importancia </w:t>
      </w:r>
      <w:r w:rsidR="00A13505">
        <w:rPr>
          <w:lang w:val="es-ES_tradnl"/>
        </w:rPr>
        <w:t xml:space="preserve">de </w:t>
      </w:r>
      <w:r w:rsidR="009C1877">
        <w:rPr>
          <w:lang w:val="es-ES_tradnl"/>
        </w:rPr>
        <w:t>mantener una cooperación satisfactoria</w:t>
      </w:r>
      <w:r w:rsidRPr="004854BC">
        <w:rPr>
          <w:lang w:val="es-ES_tradnl"/>
        </w:rPr>
        <w:t xml:space="preserve"> con la Dirección y con el nuevo director general</w:t>
      </w:r>
      <w:r w:rsidR="004339BB">
        <w:rPr>
          <w:lang w:val="es-ES_tradnl"/>
        </w:rPr>
        <w:t>.</w:t>
      </w:r>
    </w:p>
    <w:p w:rsidR="00BE13E4" w:rsidRPr="004854BC" w:rsidRDefault="00BE13E4" w:rsidP="00BE13E4">
      <w:pPr>
        <w:rPr>
          <w:szCs w:val="22"/>
          <w:lang w:val="es-ES_tradnl"/>
        </w:rPr>
      </w:pPr>
    </w:p>
    <w:p w:rsidR="00BE13E4" w:rsidRPr="004854BC" w:rsidRDefault="00BE13E4" w:rsidP="00BE13E4">
      <w:pPr>
        <w:pStyle w:val="ONUME"/>
        <w:numPr>
          <w:ilvl w:val="0"/>
          <w:numId w:val="0"/>
        </w:numPr>
        <w:tabs>
          <w:tab w:val="left" w:pos="0"/>
        </w:tabs>
        <w:spacing w:after="0"/>
        <w:rPr>
          <w:i/>
          <w:szCs w:val="22"/>
          <w:lang w:val="es-ES_tradnl"/>
        </w:rPr>
      </w:pPr>
      <w:r w:rsidRPr="004854BC">
        <w:rPr>
          <w:szCs w:val="22"/>
          <w:lang w:val="es-ES_tradnl"/>
        </w:rPr>
        <w:tab/>
      </w:r>
      <w:r w:rsidR="001877B4" w:rsidRPr="004854BC">
        <w:rPr>
          <w:i/>
          <w:szCs w:val="22"/>
          <w:lang w:val="es-ES_tradnl"/>
        </w:rPr>
        <w:t>Autoevaluación de la CCIS</w:t>
      </w:r>
    </w:p>
    <w:p w:rsidR="00BE13E4" w:rsidRPr="004854BC" w:rsidRDefault="00BE13E4" w:rsidP="00BE13E4">
      <w:pPr>
        <w:rPr>
          <w:lang w:val="es-ES_tradnl"/>
        </w:rPr>
      </w:pPr>
    </w:p>
    <w:p w:rsidR="00BE13E4" w:rsidRPr="004854BC" w:rsidRDefault="00470375" w:rsidP="0079411F">
      <w:pPr>
        <w:pStyle w:val="ONUME"/>
        <w:spacing w:after="0"/>
        <w:rPr>
          <w:lang w:val="es-ES_tradnl"/>
        </w:rPr>
      </w:pPr>
      <w:r w:rsidRPr="004854BC">
        <w:rPr>
          <w:lang w:val="es-ES_tradnl"/>
        </w:rPr>
        <w:t>En su 59.ª sesión, de conformidad con su mandato, la Comisión hizo una autoevaluación de las actividades llevadas a cabo entre enero y diciembre de 2020, y concluyó que est</w:t>
      </w:r>
      <w:r w:rsidR="009C1877">
        <w:rPr>
          <w:lang w:val="es-ES_tradnl"/>
        </w:rPr>
        <w:t>á</w:t>
      </w:r>
      <w:r w:rsidRPr="004854BC">
        <w:rPr>
          <w:lang w:val="es-ES_tradnl"/>
        </w:rPr>
        <w:t xml:space="preserve"> satisfecha con las funciones de asesoramiento y supervisión efectuadas durante el año. La Comisión determinó colectivamente en su evaluación que ha funcionado eficazmente en unas circunstancias sin precedentes.</w:t>
      </w:r>
    </w:p>
    <w:p w:rsidR="00BE13E4" w:rsidRPr="004854BC" w:rsidRDefault="00BE13E4" w:rsidP="00BE13E4">
      <w:pPr>
        <w:pStyle w:val="ONUME"/>
        <w:numPr>
          <w:ilvl w:val="0"/>
          <w:numId w:val="0"/>
        </w:numPr>
        <w:spacing w:after="0"/>
        <w:rPr>
          <w:lang w:val="es-ES_tradnl"/>
        </w:rPr>
      </w:pPr>
    </w:p>
    <w:p w:rsidR="00BE13E4" w:rsidRPr="008A6F6A" w:rsidRDefault="001877B4" w:rsidP="00CB16BD">
      <w:pPr>
        <w:pStyle w:val="Heading1"/>
        <w:numPr>
          <w:ilvl w:val="0"/>
          <w:numId w:val="10"/>
        </w:numPr>
        <w:spacing w:before="0" w:after="0"/>
        <w:ind w:left="567" w:hanging="567"/>
        <w:rPr>
          <w:szCs w:val="22"/>
          <w:lang w:val="es-ES_tradnl"/>
        </w:rPr>
      </w:pPr>
      <w:bookmarkStart w:id="14" w:name="_Toc36236036"/>
      <w:bookmarkStart w:id="15" w:name="_Toc395336851"/>
      <w:bookmarkStart w:id="16" w:name="_Toc453591210"/>
      <w:bookmarkStart w:id="17" w:name="_Toc40372251"/>
      <w:bookmarkStart w:id="18" w:name="_Toc78467004"/>
      <w:bookmarkEnd w:id="14"/>
      <w:r w:rsidRPr="008A6F6A">
        <w:rPr>
          <w:rStyle w:val="Endofdocument-AnnexChar"/>
          <w:lang w:val="es-ES_tradnl"/>
        </w:rPr>
        <w:lastRenderedPageBreak/>
        <w:t>ASUNTOS DEBATIDOS Y EXAMINADOS</w:t>
      </w:r>
      <w:bookmarkEnd w:id="15"/>
      <w:bookmarkEnd w:id="16"/>
      <w:bookmarkEnd w:id="17"/>
      <w:bookmarkEnd w:id="18"/>
    </w:p>
    <w:p w:rsidR="00BE13E4" w:rsidRPr="004854BC" w:rsidRDefault="00BE13E4" w:rsidP="00CB16BD">
      <w:pPr>
        <w:keepNext/>
        <w:rPr>
          <w:lang w:val="es-ES_tradnl"/>
        </w:rPr>
      </w:pPr>
    </w:p>
    <w:p w:rsidR="00BE13E4" w:rsidRPr="004854BC" w:rsidRDefault="00470375" w:rsidP="00CB16BD">
      <w:pPr>
        <w:pStyle w:val="Heading3"/>
        <w:numPr>
          <w:ilvl w:val="0"/>
          <w:numId w:val="36"/>
        </w:numPr>
        <w:tabs>
          <w:tab w:val="left" w:pos="567"/>
        </w:tabs>
        <w:spacing w:before="0" w:after="0"/>
        <w:ind w:hanging="900"/>
        <w:rPr>
          <w:lang w:val="es-ES_tradnl"/>
        </w:rPr>
      </w:pPr>
      <w:bookmarkStart w:id="19" w:name="_Toc429145909"/>
      <w:bookmarkStart w:id="20" w:name="_Toc429147802"/>
      <w:bookmarkStart w:id="21" w:name="_Toc429147820"/>
      <w:bookmarkStart w:id="22" w:name="_Toc429384079"/>
      <w:bookmarkStart w:id="23" w:name="_Toc395336853"/>
      <w:bookmarkStart w:id="24" w:name="_Toc40372252"/>
      <w:bookmarkStart w:id="25" w:name="_Toc78467005"/>
      <w:bookmarkEnd w:id="19"/>
      <w:bookmarkEnd w:id="20"/>
      <w:bookmarkEnd w:id="21"/>
      <w:bookmarkEnd w:id="22"/>
      <w:r w:rsidRPr="004854BC">
        <w:rPr>
          <w:lang w:val="es-ES_tradnl"/>
        </w:rPr>
        <w:t>Supervisión interna</w:t>
      </w:r>
      <w:bookmarkEnd w:id="23"/>
      <w:bookmarkEnd w:id="24"/>
      <w:bookmarkEnd w:id="25"/>
    </w:p>
    <w:p w:rsidR="00BE13E4" w:rsidRPr="004854BC" w:rsidRDefault="00BE13E4" w:rsidP="00CB16BD">
      <w:pPr>
        <w:keepNext/>
        <w:rPr>
          <w:lang w:val="es-ES_tradnl"/>
        </w:rPr>
      </w:pPr>
    </w:p>
    <w:p w:rsidR="00BE13E4" w:rsidRPr="004854BC" w:rsidRDefault="00BE13E4" w:rsidP="00CB16BD">
      <w:pPr>
        <w:keepNext/>
        <w:tabs>
          <w:tab w:val="left" w:pos="567"/>
        </w:tabs>
        <w:rPr>
          <w:i/>
          <w:szCs w:val="22"/>
          <w:lang w:val="es-ES_tradnl"/>
        </w:rPr>
      </w:pPr>
      <w:r w:rsidRPr="004854BC">
        <w:rPr>
          <w:i/>
          <w:szCs w:val="22"/>
          <w:lang w:val="es-ES_tradnl"/>
        </w:rPr>
        <w:tab/>
      </w:r>
      <w:r w:rsidR="00553C7D" w:rsidRPr="004854BC">
        <w:rPr>
          <w:i/>
          <w:szCs w:val="22"/>
          <w:lang w:val="es-ES_tradnl"/>
        </w:rPr>
        <w:t xml:space="preserve">Informes anuales del director de la DSI: </w:t>
      </w:r>
      <w:r w:rsidRPr="004854BC">
        <w:rPr>
          <w:i/>
          <w:szCs w:val="22"/>
          <w:lang w:val="es-ES_tradnl"/>
        </w:rPr>
        <w:t xml:space="preserve">2019 </w:t>
      </w:r>
      <w:r w:rsidR="00553C7D" w:rsidRPr="004854BC">
        <w:rPr>
          <w:i/>
          <w:szCs w:val="22"/>
          <w:lang w:val="es-ES_tradnl"/>
        </w:rPr>
        <w:t>y</w:t>
      </w:r>
      <w:r w:rsidR="00CB16BD">
        <w:rPr>
          <w:i/>
          <w:szCs w:val="22"/>
          <w:lang w:val="es-ES_tradnl"/>
        </w:rPr>
        <w:t xml:space="preserve"> 2020</w:t>
      </w:r>
    </w:p>
    <w:p w:rsidR="00BE13E4" w:rsidRPr="004854BC" w:rsidRDefault="00BE13E4" w:rsidP="00CB16BD">
      <w:pPr>
        <w:keepNext/>
        <w:tabs>
          <w:tab w:val="left" w:pos="567"/>
        </w:tabs>
        <w:rPr>
          <w:i/>
          <w:szCs w:val="22"/>
          <w:lang w:val="es-ES_tradnl"/>
        </w:rPr>
      </w:pPr>
    </w:p>
    <w:p w:rsidR="00BE13E4" w:rsidRPr="004854BC" w:rsidRDefault="00F95DE7" w:rsidP="00F95DE7">
      <w:pPr>
        <w:pStyle w:val="ONUME"/>
        <w:spacing w:after="0"/>
        <w:rPr>
          <w:lang w:val="es-ES_tradnl"/>
        </w:rPr>
      </w:pPr>
      <w:r w:rsidRPr="004854BC">
        <w:rPr>
          <w:lang w:val="es-ES_tradnl"/>
        </w:rPr>
        <w:t xml:space="preserve">Durante el período que abarca el informe, la Comisión examinó los </w:t>
      </w:r>
      <w:r w:rsidR="001555C0">
        <w:rPr>
          <w:lang w:val="es-ES_tradnl"/>
        </w:rPr>
        <w:t>borradores</w:t>
      </w:r>
      <w:r w:rsidRPr="004854BC">
        <w:rPr>
          <w:lang w:val="es-ES_tradnl"/>
        </w:rPr>
        <w:t xml:space="preserve"> de los informes anuales del director de la DSI correspondientes a 2019 y 2020, respectivamente, y formuló comentarios acerca de los mismos, antes de que la DSI</w:t>
      </w:r>
      <w:r w:rsidR="00CB16BD">
        <w:rPr>
          <w:lang w:val="es-ES_tradnl"/>
        </w:rPr>
        <w:t xml:space="preserve"> los finalizara y presentara al </w:t>
      </w:r>
      <w:r w:rsidRPr="004854BC">
        <w:rPr>
          <w:lang w:val="es-ES_tradnl"/>
        </w:rPr>
        <w:t>PBC. Por lo que respecta al proyecto de informe de 2019, la Comi</w:t>
      </w:r>
      <w:r w:rsidR="00CB16BD">
        <w:rPr>
          <w:lang w:val="es-ES_tradnl"/>
        </w:rPr>
        <w:t>sión tomó nota de que la </w:t>
      </w:r>
      <w:r w:rsidRPr="004854BC">
        <w:rPr>
          <w:lang w:val="es-ES_tradnl"/>
        </w:rPr>
        <w:t>DSI ha modificado su período anual de presentación de informes a</w:t>
      </w:r>
      <w:r w:rsidR="004854BC">
        <w:rPr>
          <w:lang w:val="es-ES_tradnl"/>
        </w:rPr>
        <w:t xml:space="preserve"> </w:t>
      </w:r>
      <w:r w:rsidRPr="004854BC">
        <w:rPr>
          <w:lang w:val="es-ES_tradnl"/>
        </w:rPr>
        <w:t>fin de armonizarlo con el ejercicio financiero y la declaración del control interno (de enero a diciembre), siguiendo la recomendación del auditor externo</w:t>
      </w:r>
      <w:r w:rsidR="00BE13E4" w:rsidRPr="004854BC">
        <w:rPr>
          <w:lang w:val="es-ES_tradnl"/>
        </w:rPr>
        <w:t>.</w:t>
      </w:r>
    </w:p>
    <w:p w:rsidR="00BE13E4" w:rsidRPr="004854BC" w:rsidRDefault="00BE13E4" w:rsidP="00BE13E4">
      <w:pPr>
        <w:pStyle w:val="ONUME"/>
        <w:numPr>
          <w:ilvl w:val="0"/>
          <w:numId w:val="0"/>
        </w:numPr>
        <w:spacing w:after="0"/>
        <w:rPr>
          <w:lang w:val="es-ES_tradnl"/>
        </w:rPr>
      </w:pPr>
    </w:p>
    <w:p w:rsidR="00BE13E4" w:rsidRPr="004854BC" w:rsidRDefault="00BE13E4" w:rsidP="00BE13E4">
      <w:pPr>
        <w:tabs>
          <w:tab w:val="left" w:pos="567"/>
        </w:tabs>
        <w:rPr>
          <w:i/>
          <w:szCs w:val="22"/>
          <w:lang w:val="es-ES_tradnl"/>
        </w:rPr>
      </w:pPr>
      <w:r w:rsidRPr="004854BC">
        <w:rPr>
          <w:i/>
          <w:szCs w:val="22"/>
          <w:lang w:val="es-ES_tradnl"/>
        </w:rPr>
        <w:tab/>
      </w:r>
      <w:r w:rsidR="006B684B" w:rsidRPr="004854BC">
        <w:rPr>
          <w:i/>
          <w:szCs w:val="22"/>
          <w:lang w:val="es-ES_tradnl"/>
        </w:rPr>
        <w:t>Plan de supervisión interna y resultados del plan de trabajo</w:t>
      </w:r>
    </w:p>
    <w:p w:rsidR="00BE13E4" w:rsidRPr="004854BC" w:rsidRDefault="00BE13E4" w:rsidP="00BE13E4">
      <w:pPr>
        <w:tabs>
          <w:tab w:val="left" w:pos="567"/>
        </w:tabs>
        <w:rPr>
          <w:i/>
          <w:szCs w:val="22"/>
          <w:lang w:val="es-ES_tradnl"/>
        </w:rPr>
      </w:pPr>
    </w:p>
    <w:p w:rsidR="00BE13E4" w:rsidRPr="004854BC" w:rsidRDefault="0053579F" w:rsidP="0053579F">
      <w:pPr>
        <w:pStyle w:val="ONUME"/>
        <w:tabs>
          <w:tab w:val="left" w:pos="540"/>
          <w:tab w:val="num" w:pos="1170"/>
        </w:tabs>
        <w:spacing w:after="0"/>
        <w:rPr>
          <w:lang w:val="es-ES_tradnl"/>
        </w:rPr>
      </w:pPr>
      <w:r w:rsidRPr="004854BC">
        <w:rPr>
          <w:lang w:val="es-ES_tradnl"/>
        </w:rPr>
        <w:t xml:space="preserve">En lo que respecta al </w:t>
      </w:r>
      <w:r w:rsidR="00826148">
        <w:rPr>
          <w:lang w:val="es-ES_tradnl"/>
        </w:rPr>
        <w:t>p</w:t>
      </w:r>
      <w:r w:rsidRPr="004854BC">
        <w:rPr>
          <w:lang w:val="es-ES_tradnl"/>
        </w:rPr>
        <w:t xml:space="preserve">lan de trabajo anual de supervisión </w:t>
      </w:r>
      <w:r w:rsidR="00501371">
        <w:rPr>
          <w:lang w:val="es-ES_tradnl"/>
        </w:rPr>
        <w:t>de</w:t>
      </w:r>
      <w:r w:rsidRPr="004854BC">
        <w:rPr>
          <w:lang w:val="es-ES_tradnl"/>
        </w:rPr>
        <w:t xml:space="preserve"> 2020, la Comisión examinó la aplicación del </w:t>
      </w:r>
      <w:r w:rsidR="00826148">
        <w:rPr>
          <w:lang w:val="es-ES_tradnl"/>
        </w:rPr>
        <w:t>plan de trabajo</w:t>
      </w:r>
      <w:r w:rsidRPr="004854BC">
        <w:rPr>
          <w:lang w:val="es-ES_tradnl"/>
        </w:rPr>
        <w:t xml:space="preserve"> a partir de los informes trimestrales de actividad de la DSI presentados para cada sesión. En su 58.ª sesión, la Comisión tomó nota de las modificaciones int</w:t>
      </w:r>
      <w:r w:rsidR="00901C46">
        <w:rPr>
          <w:lang w:val="es-ES_tradnl"/>
        </w:rPr>
        <w:t>roducidas en el plan de trabajo</w:t>
      </w:r>
      <w:r w:rsidRPr="004854BC">
        <w:rPr>
          <w:lang w:val="es-ES_tradnl"/>
        </w:rPr>
        <w:t xml:space="preserve"> teniendo en cuenta las limitaciones impuestas por la pandemia de COVID-19. En su 60.ª sesión, la Comisión manifestó preocupación por las consecuencias de la pandemia en la labor de la DSI y la gestión de riesgos. Al parecer, se </w:t>
      </w:r>
      <w:r w:rsidR="00CB16BD">
        <w:rPr>
          <w:lang w:val="es-ES_tradnl"/>
        </w:rPr>
        <w:t>produjeron</w:t>
      </w:r>
      <w:r w:rsidRPr="004854BC">
        <w:rPr>
          <w:lang w:val="es-ES_tradnl"/>
        </w:rPr>
        <w:t xml:space="preserve"> algunos retrasos con respecto a los contratos externalizados y a los que conllevan viajes y entrevistas con los sujetos objeto de investigación. Sin embargo, en general, el plan de trabajo de la DSI para 2020 está avanzando satisfactoriamente</w:t>
      </w:r>
      <w:r w:rsidR="00BE13E4" w:rsidRPr="004854BC">
        <w:rPr>
          <w:lang w:val="es-ES_tradnl"/>
        </w:rPr>
        <w:t>.</w:t>
      </w:r>
    </w:p>
    <w:p w:rsidR="00BE13E4" w:rsidRPr="004854BC" w:rsidRDefault="00BE13E4" w:rsidP="00BE13E4">
      <w:pPr>
        <w:pStyle w:val="ONUME"/>
        <w:numPr>
          <w:ilvl w:val="0"/>
          <w:numId w:val="0"/>
        </w:numPr>
        <w:tabs>
          <w:tab w:val="left" w:pos="540"/>
          <w:tab w:val="num" w:pos="1170"/>
        </w:tabs>
        <w:spacing w:after="0"/>
        <w:rPr>
          <w:rStyle w:val="normalchar1"/>
          <w:rFonts w:cs="Times New Roman"/>
          <w:lang w:val="es-ES_tradnl"/>
        </w:rPr>
      </w:pPr>
    </w:p>
    <w:p w:rsidR="002240D8" w:rsidRPr="004854BC" w:rsidRDefault="00740971" w:rsidP="0079411F">
      <w:pPr>
        <w:pStyle w:val="ONUME"/>
        <w:tabs>
          <w:tab w:val="left" w:pos="540"/>
          <w:tab w:val="num" w:pos="1170"/>
        </w:tabs>
        <w:spacing w:after="0"/>
        <w:rPr>
          <w:rStyle w:val="normalchar1"/>
          <w:rFonts w:ascii="Arial" w:hAnsi="Arial" w:cs="Arial"/>
          <w:szCs w:val="20"/>
          <w:lang w:val="es-ES_tradnl"/>
        </w:rPr>
      </w:pPr>
      <w:r w:rsidRPr="004854BC">
        <w:rPr>
          <w:lang w:val="es-ES_tradnl"/>
        </w:rPr>
        <w:t xml:space="preserve">Por lo que respecta al plan de trabajo anual de supervisión para 2021, la Comisión tomó nota de que sus comentarios y sugerencias han sido tomados en cuenta en la finalización del plan de trabajo. El plan de trabajo se ha elaborado en sintonía con las buenas prácticas, incluida una evaluación de riesgos de la DSI en que se tienen en cuenta </w:t>
      </w:r>
      <w:r w:rsidR="00FA1A1C" w:rsidRPr="004854BC">
        <w:rPr>
          <w:lang w:val="es-ES_tradnl"/>
        </w:rPr>
        <w:t xml:space="preserve">los registros de riesgos institucionales, </w:t>
      </w:r>
      <w:r w:rsidR="00536609">
        <w:rPr>
          <w:lang w:val="es-ES_tradnl"/>
        </w:rPr>
        <w:t>el Grupo de Gestión de riesgos y otras aportaciones valiosas del personal directivo superior, sectores clave interesados</w:t>
      </w:r>
      <w:r w:rsidR="00FA1A1C" w:rsidRPr="004854BC">
        <w:rPr>
          <w:lang w:val="es-ES_tradnl"/>
        </w:rPr>
        <w:t xml:space="preserve"> y los Estados miembros. Asimismo, en el plan de trabajo dela DSI se ha tenido en cuenta el plan de trabajo del auditor externo a fin de evitar la duplicación de esfuerzos de auditoría. La Comisión ha sugerido además que la DSI debe hacer gala de una actitud activa en los debates con otros departamentos y en la formulación de posibles sugerencias al director general sobre las posibles esferas de mejora, teniendo presentes sus planes estratégicos</w:t>
      </w:r>
      <w:r w:rsidR="00BE13E4" w:rsidRPr="004854BC">
        <w:rPr>
          <w:rStyle w:val="normalchar1"/>
          <w:iCs/>
          <w:lang w:val="es-ES_tradnl"/>
        </w:rPr>
        <w:t xml:space="preserve">. </w:t>
      </w:r>
    </w:p>
    <w:p w:rsidR="002240D8" w:rsidRPr="004854BC" w:rsidRDefault="002240D8" w:rsidP="00E058D4">
      <w:pPr>
        <w:pStyle w:val="ListParagraph"/>
        <w:rPr>
          <w:lang w:val="es-ES_tradnl"/>
        </w:rPr>
      </w:pPr>
    </w:p>
    <w:p w:rsidR="00BE13E4" w:rsidRPr="004854BC" w:rsidRDefault="00896679" w:rsidP="0079411F">
      <w:pPr>
        <w:pStyle w:val="ONUME"/>
        <w:tabs>
          <w:tab w:val="left" w:pos="540"/>
          <w:tab w:val="num" w:pos="1170"/>
        </w:tabs>
        <w:spacing w:after="0"/>
        <w:rPr>
          <w:lang w:val="es-ES_tradnl"/>
        </w:rPr>
      </w:pPr>
      <w:r w:rsidRPr="004854BC">
        <w:rPr>
          <w:lang w:val="es-ES_tradnl"/>
        </w:rPr>
        <w:t xml:space="preserve">La Comisión observó la creciente tendencia hacia las actividades de asesoramiento en las tres funciones de la DSI, debido al aumento de la demanda por parte de la Dirección. La DSI dio garantías a la Comisión de que el foco principal, en particular en lo que respecta a la auditoría, </w:t>
      </w:r>
      <w:r w:rsidR="00536609">
        <w:rPr>
          <w:lang w:val="es-ES_tradnl"/>
        </w:rPr>
        <w:t>seguirá</w:t>
      </w:r>
      <w:r w:rsidRPr="004854BC">
        <w:rPr>
          <w:lang w:val="es-ES_tradnl"/>
        </w:rPr>
        <w:t xml:space="preserve"> estando en su función fundamental de velar por la rendición de cuentas, la transparencia y la gobernanza, sin dejar de considerar los recursos generales de que disponga</w:t>
      </w:r>
      <w:r w:rsidR="00BE13E4" w:rsidRPr="004854BC">
        <w:rPr>
          <w:lang w:val="es-ES_tradnl"/>
        </w:rPr>
        <w:t>.</w:t>
      </w:r>
    </w:p>
    <w:p w:rsidR="00BE13E4" w:rsidRPr="004854BC" w:rsidRDefault="00BE13E4" w:rsidP="00BE13E4">
      <w:pPr>
        <w:rPr>
          <w:lang w:val="es-ES_tradnl"/>
        </w:rPr>
      </w:pPr>
    </w:p>
    <w:p w:rsidR="00BE13E4" w:rsidRPr="004854BC" w:rsidRDefault="00EF391F" w:rsidP="0079411F">
      <w:pPr>
        <w:pStyle w:val="ONUME"/>
        <w:tabs>
          <w:tab w:val="left" w:pos="540"/>
          <w:tab w:val="num" w:pos="1170"/>
        </w:tabs>
        <w:spacing w:after="0"/>
        <w:rPr>
          <w:lang w:val="es-ES_tradnl"/>
        </w:rPr>
      </w:pPr>
      <w:r w:rsidRPr="004854BC">
        <w:rPr>
          <w:lang w:val="es-ES_tradnl"/>
        </w:rPr>
        <w:t xml:space="preserve">La Comisión </w:t>
      </w:r>
      <w:r w:rsidR="002240D8" w:rsidRPr="004854BC">
        <w:rPr>
          <w:lang w:val="es-ES_tradnl"/>
        </w:rPr>
        <w:t>tomó nota d</w:t>
      </w:r>
      <w:r w:rsidRPr="004854BC">
        <w:rPr>
          <w:lang w:val="es-ES_tradnl"/>
        </w:rPr>
        <w:t xml:space="preserve">el enfoque de evaluación que ha adoptado la DSI utilizando los </w:t>
      </w:r>
      <w:r w:rsidR="00D52186" w:rsidRPr="004854BC">
        <w:rPr>
          <w:lang w:val="es-ES_tradnl"/>
        </w:rPr>
        <w:t>métodos</w:t>
      </w:r>
      <w:r w:rsidRPr="004854BC">
        <w:rPr>
          <w:lang w:val="es-ES_tradnl"/>
        </w:rPr>
        <w:t xml:space="preserve"> de investigación más novedosos en ciencias del comportamiento</w:t>
      </w:r>
      <w:r w:rsidR="00D52186" w:rsidRPr="004854BC">
        <w:rPr>
          <w:lang w:val="es-ES_tradnl"/>
        </w:rPr>
        <w:t>, como se informó en la 61.ª sesión. La DSI se ofreció a efe</w:t>
      </w:r>
      <w:r w:rsidR="004854BC">
        <w:rPr>
          <w:lang w:val="es-ES_tradnl"/>
        </w:rPr>
        <w:t>ctuar una presentación a la CCIS</w:t>
      </w:r>
      <w:r w:rsidR="00D52186" w:rsidRPr="004854BC">
        <w:rPr>
          <w:lang w:val="es-ES_tradnl"/>
        </w:rPr>
        <w:t xml:space="preserve"> a este respecto en futuras reuniones</w:t>
      </w:r>
      <w:r w:rsidR="00BE13E4" w:rsidRPr="004854BC">
        <w:rPr>
          <w:lang w:val="es-ES_tradnl"/>
        </w:rPr>
        <w:t>.</w:t>
      </w:r>
    </w:p>
    <w:p w:rsidR="00BE13E4" w:rsidRPr="004854BC" w:rsidRDefault="00BE13E4" w:rsidP="00BE13E4">
      <w:pPr>
        <w:rPr>
          <w:lang w:val="es-ES_tradnl"/>
        </w:rPr>
      </w:pPr>
    </w:p>
    <w:p w:rsidR="00BE13E4" w:rsidRPr="004854BC" w:rsidRDefault="0064674D" w:rsidP="00BE13E4">
      <w:pPr>
        <w:pStyle w:val="ONUME"/>
        <w:numPr>
          <w:ilvl w:val="0"/>
          <w:numId w:val="0"/>
        </w:numPr>
        <w:tabs>
          <w:tab w:val="left" w:pos="540"/>
          <w:tab w:val="num" w:pos="4437"/>
        </w:tabs>
        <w:spacing w:after="0"/>
        <w:ind w:left="540"/>
        <w:rPr>
          <w:i/>
          <w:lang w:val="es-ES_tradnl"/>
        </w:rPr>
      </w:pPr>
      <w:r w:rsidRPr="004854BC">
        <w:rPr>
          <w:i/>
          <w:lang w:val="es-ES_tradnl"/>
        </w:rPr>
        <w:t>Carta de Supervisión Interna de la OMPI</w:t>
      </w:r>
    </w:p>
    <w:p w:rsidR="00BE13E4" w:rsidRPr="004854BC" w:rsidRDefault="00BE13E4" w:rsidP="00BE13E4">
      <w:pPr>
        <w:rPr>
          <w:lang w:val="es-ES_tradnl"/>
        </w:rPr>
      </w:pPr>
    </w:p>
    <w:p w:rsidR="00BE13E4" w:rsidRPr="004854BC" w:rsidRDefault="00D52186" w:rsidP="00D52186">
      <w:pPr>
        <w:pStyle w:val="ONUME"/>
        <w:tabs>
          <w:tab w:val="left" w:pos="540"/>
          <w:tab w:val="num" w:pos="1170"/>
        </w:tabs>
        <w:spacing w:after="0"/>
        <w:rPr>
          <w:lang w:val="es-ES_tradnl"/>
        </w:rPr>
      </w:pPr>
      <w:r w:rsidRPr="004854BC">
        <w:rPr>
          <w:lang w:val="es-ES_tradnl"/>
        </w:rPr>
        <w:t xml:space="preserve">La Comisión </w:t>
      </w:r>
      <w:r w:rsidR="002240D8" w:rsidRPr="004854BC">
        <w:rPr>
          <w:lang w:val="es-ES_tradnl"/>
        </w:rPr>
        <w:t xml:space="preserve">examinó </w:t>
      </w:r>
      <w:r w:rsidRPr="004854BC">
        <w:rPr>
          <w:lang w:val="es-ES_tradnl"/>
        </w:rPr>
        <w:t>las propuestas de modificación de la Carta de Supervisió</w:t>
      </w:r>
      <w:r w:rsidR="00AA66E1">
        <w:rPr>
          <w:lang w:val="es-ES_tradnl"/>
        </w:rPr>
        <w:t>n Interna de la OMPI y no señaló</w:t>
      </w:r>
      <w:r w:rsidRPr="004854BC">
        <w:rPr>
          <w:lang w:val="es-ES_tradnl"/>
        </w:rPr>
        <w:t xml:space="preserve"> objeción alguna al respecto. Est</w:t>
      </w:r>
      <w:r w:rsidR="00AA66E1">
        <w:rPr>
          <w:lang w:val="es-ES_tradnl"/>
        </w:rPr>
        <w:t>a labor se acometió</w:t>
      </w:r>
      <w:r w:rsidRPr="004854BC">
        <w:rPr>
          <w:lang w:val="es-ES_tradnl"/>
        </w:rPr>
        <w:t xml:space="preserve"> por correo electrónico antes de la</w:t>
      </w:r>
      <w:r w:rsidR="00AA66E1">
        <w:rPr>
          <w:lang w:val="es-ES_tradnl"/>
        </w:rPr>
        <w:t xml:space="preserve"> celebración de la</w:t>
      </w:r>
      <w:r w:rsidRPr="004854BC">
        <w:rPr>
          <w:lang w:val="es-ES_tradnl"/>
        </w:rPr>
        <w:t xml:space="preserve"> 61.ª </w:t>
      </w:r>
      <w:r w:rsidR="00C23628">
        <w:rPr>
          <w:lang w:val="es-ES_tradnl"/>
        </w:rPr>
        <w:t>sesión</w:t>
      </w:r>
      <w:r w:rsidR="00BE13E4" w:rsidRPr="004854BC">
        <w:rPr>
          <w:bCs/>
          <w:szCs w:val="22"/>
          <w:lang w:val="es-ES_tradnl"/>
        </w:rPr>
        <w:t>.</w:t>
      </w:r>
    </w:p>
    <w:p w:rsidR="00BE13E4" w:rsidRPr="004854BC" w:rsidRDefault="00BE13E4" w:rsidP="00BE13E4">
      <w:pPr>
        <w:rPr>
          <w:lang w:val="es-ES_tradnl"/>
        </w:rPr>
      </w:pPr>
    </w:p>
    <w:p w:rsidR="00BE13E4" w:rsidRPr="004854BC" w:rsidRDefault="0064674D" w:rsidP="00CB16BD">
      <w:pPr>
        <w:keepNext/>
        <w:ind w:firstLine="567"/>
        <w:rPr>
          <w:i/>
          <w:szCs w:val="22"/>
          <w:lang w:val="es-ES_tradnl"/>
        </w:rPr>
      </w:pPr>
      <w:r w:rsidRPr="004854BC">
        <w:rPr>
          <w:i/>
          <w:szCs w:val="22"/>
          <w:lang w:val="es-ES_tradnl"/>
        </w:rPr>
        <w:lastRenderedPageBreak/>
        <w:t>Auditoría interna</w:t>
      </w:r>
    </w:p>
    <w:p w:rsidR="00BE13E4" w:rsidRPr="004854BC" w:rsidRDefault="00BE13E4" w:rsidP="00CB16BD">
      <w:pPr>
        <w:keepNext/>
        <w:rPr>
          <w:szCs w:val="22"/>
          <w:lang w:val="es-ES_tradnl"/>
        </w:rPr>
      </w:pPr>
    </w:p>
    <w:p w:rsidR="00BE13E4" w:rsidRPr="004854BC" w:rsidRDefault="005C6BB3" w:rsidP="00CB16BD">
      <w:pPr>
        <w:pStyle w:val="ONUME"/>
        <w:keepNext/>
        <w:tabs>
          <w:tab w:val="left" w:pos="567"/>
          <w:tab w:val="left" w:pos="720"/>
          <w:tab w:val="left" w:pos="993"/>
        </w:tabs>
        <w:spacing w:after="0"/>
        <w:rPr>
          <w:lang w:val="es-ES_tradnl"/>
        </w:rPr>
      </w:pPr>
      <w:r w:rsidRPr="004854BC">
        <w:rPr>
          <w:lang w:val="es-ES_tradnl"/>
        </w:rPr>
        <w:t>Durante el período que abarca el informe, la Comisión examinó, junto con la DSI y la Dirección, siete informes de auditoría interna. Todos, salvo el Informe de auditoría de la gestión de la ciberseguridad en la OMPI, se habían publicado en formato no expurgado en el sitio web de la OMPI, de conformidad con la política de publicación de informes de la DSI (IOD/PP/2017)</w:t>
      </w:r>
      <w:r w:rsidR="008F7E08">
        <w:rPr>
          <w:lang w:val="es-ES_tradnl"/>
        </w:rPr>
        <w:t>.</w:t>
      </w:r>
    </w:p>
    <w:p w:rsidR="00BE13E4" w:rsidRPr="004854BC" w:rsidRDefault="00BE13E4" w:rsidP="00BE13E4">
      <w:pPr>
        <w:pStyle w:val="ONUME"/>
        <w:numPr>
          <w:ilvl w:val="0"/>
          <w:numId w:val="0"/>
        </w:numPr>
        <w:tabs>
          <w:tab w:val="left" w:pos="720"/>
          <w:tab w:val="left" w:pos="993"/>
        </w:tabs>
        <w:spacing w:after="0"/>
        <w:rPr>
          <w:lang w:val="es-ES_tradnl"/>
        </w:rPr>
      </w:pPr>
      <w:bookmarkStart w:id="26" w:name="_Toc429145911"/>
      <w:bookmarkStart w:id="27" w:name="_Toc429147804"/>
      <w:bookmarkStart w:id="28" w:name="_Toc429147822"/>
      <w:bookmarkStart w:id="29" w:name="_Toc429384081"/>
      <w:bookmarkEnd w:id="26"/>
      <w:bookmarkEnd w:id="27"/>
      <w:bookmarkEnd w:id="28"/>
      <w:bookmarkEnd w:id="29"/>
    </w:p>
    <w:p w:rsidR="00BE13E4" w:rsidRPr="004854BC" w:rsidRDefault="00732B43" w:rsidP="004C7334">
      <w:pPr>
        <w:pStyle w:val="ONUME"/>
        <w:numPr>
          <w:ilvl w:val="1"/>
          <w:numId w:val="5"/>
        </w:numPr>
        <w:tabs>
          <w:tab w:val="left" w:pos="0"/>
        </w:tabs>
        <w:spacing w:after="0"/>
        <w:ind w:left="1170" w:hanging="603"/>
        <w:rPr>
          <w:lang w:val="es-ES_tradnl"/>
        </w:rPr>
      </w:pPr>
      <w:r w:rsidRPr="004854BC">
        <w:rPr>
          <w:szCs w:val="22"/>
          <w:lang w:val="es-ES_tradnl"/>
        </w:rPr>
        <w:t xml:space="preserve">Informe sobre el examen de auditoría </w:t>
      </w:r>
      <w:r w:rsidR="000A3C2C" w:rsidRPr="004854BC">
        <w:rPr>
          <w:szCs w:val="22"/>
          <w:lang w:val="es-ES_tradnl"/>
        </w:rPr>
        <w:t>e</w:t>
      </w:r>
      <w:r w:rsidRPr="004854BC">
        <w:rPr>
          <w:szCs w:val="22"/>
          <w:lang w:val="es-ES_tradnl"/>
        </w:rPr>
        <w:t xml:space="preserve"> integridad de los beneficios y prestaciones del personal</w:t>
      </w:r>
    </w:p>
    <w:p w:rsidR="00BE13E4" w:rsidRPr="004854BC" w:rsidRDefault="00BE13E4" w:rsidP="00BE13E4">
      <w:pPr>
        <w:pStyle w:val="ONUME"/>
        <w:numPr>
          <w:ilvl w:val="0"/>
          <w:numId w:val="0"/>
        </w:numPr>
        <w:tabs>
          <w:tab w:val="left" w:pos="0"/>
        </w:tabs>
        <w:spacing w:after="0"/>
        <w:ind w:left="567"/>
        <w:rPr>
          <w:lang w:val="es-ES_tradnl"/>
        </w:rPr>
      </w:pPr>
      <w:r w:rsidRPr="004854BC">
        <w:rPr>
          <w:szCs w:val="22"/>
          <w:lang w:val="es-ES_tradnl"/>
        </w:rPr>
        <w:tab/>
        <w:t>(IA 2019-04)</w:t>
      </w:r>
    </w:p>
    <w:p w:rsidR="00BE13E4" w:rsidRPr="004854BC" w:rsidRDefault="00732B43" w:rsidP="00BE13E4">
      <w:pPr>
        <w:pStyle w:val="ONUME"/>
        <w:numPr>
          <w:ilvl w:val="1"/>
          <w:numId w:val="5"/>
        </w:numPr>
        <w:tabs>
          <w:tab w:val="left" w:pos="0"/>
        </w:tabs>
        <w:spacing w:after="0"/>
        <w:rPr>
          <w:lang w:val="es-ES_tradnl"/>
        </w:rPr>
      </w:pPr>
      <w:r w:rsidRPr="004854BC">
        <w:rPr>
          <w:szCs w:val="22"/>
          <w:lang w:val="es-ES_tradnl"/>
        </w:rPr>
        <w:t>Informe sobre la auditoría del proceso de cierre del ejercicio financiero</w:t>
      </w:r>
      <w:r w:rsidR="00BE13E4" w:rsidRPr="004854BC">
        <w:rPr>
          <w:szCs w:val="22"/>
          <w:lang w:val="es-ES_tradnl"/>
        </w:rPr>
        <w:t xml:space="preserve"> (IA 2019-03)</w:t>
      </w:r>
    </w:p>
    <w:p w:rsidR="00BE13E4" w:rsidRPr="004854BC" w:rsidRDefault="00BE13E4" w:rsidP="00BE13E4">
      <w:pPr>
        <w:pStyle w:val="ONUME"/>
        <w:numPr>
          <w:ilvl w:val="1"/>
          <w:numId w:val="5"/>
        </w:numPr>
        <w:tabs>
          <w:tab w:val="left" w:pos="0"/>
        </w:tabs>
        <w:spacing w:after="0"/>
        <w:rPr>
          <w:lang w:val="es-ES_tradnl"/>
        </w:rPr>
      </w:pPr>
      <w:r w:rsidRPr="004854BC">
        <w:rPr>
          <w:szCs w:val="22"/>
          <w:lang w:val="es-ES_tradnl"/>
        </w:rPr>
        <w:t>Valida</w:t>
      </w:r>
      <w:r w:rsidR="00732B43" w:rsidRPr="004854BC">
        <w:rPr>
          <w:szCs w:val="22"/>
          <w:lang w:val="es-ES_tradnl"/>
        </w:rPr>
        <w:t xml:space="preserve">ción del </w:t>
      </w:r>
      <w:r w:rsidR="000A3C2C" w:rsidRPr="004854BC">
        <w:rPr>
          <w:szCs w:val="22"/>
          <w:lang w:val="es-ES_tradnl"/>
        </w:rPr>
        <w:t>informe sobre el rendimiento de la OMPI</w:t>
      </w:r>
      <w:r w:rsidRPr="004854BC">
        <w:rPr>
          <w:szCs w:val="22"/>
          <w:lang w:val="es-ES_tradnl"/>
        </w:rPr>
        <w:t xml:space="preserve"> 2018/19 (VALID 2020-21)</w:t>
      </w:r>
    </w:p>
    <w:p w:rsidR="00BE13E4" w:rsidRPr="004854BC" w:rsidRDefault="000A3C2C" w:rsidP="00BE13E4">
      <w:pPr>
        <w:pStyle w:val="ONUME"/>
        <w:numPr>
          <w:ilvl w:val="1"/>
          <w:numId w:val="5"/>
        </w:numPr>
        <w:tabs>
          <w:tab w:val="left" w:pos="0"/>
        </w:tabs>
        <w:spacing w:after="0"/>
        <w:rPr>
          <w:lang w:val="es-ES_tradnl"/>
        </w:rPr>
      </w:pPr>
      <w:r w:rsidRPr="004854BC">
        <w:rPr>
          <w:szCs w:val="22"/>
          <w:lang w:val="es-ES_tradnl"/>
        </w:rPr>
        <w:t>Informe sobre el mapa de aseguramiento de la OMPI</w:t>
      </w:r>
      <w:r w:rsidR="00BE13E4" w:rsidRPr="004854BC">
        <w:rPr>
          <w:szCs w:val="22"/>
          <w:lang w:val="es-ES_tradnl"/>
        </w:rPr>
        <w:t xml:space="preserve"> (IA 2020-01)</w:t>
      </w:r>
    </w:p>
    <w:p w:rsidR="00BE13E4" w:rsidRPr="004854BC" w:rsidRDefault="000A3C2C" w:rsidP="004C7334">
      <w:pPr>
        <w:pStyle w:val="ONUME"/>
        <w:numPr>
          <w:ilvl w:val="1"/>
          <w:numId w:val="5"/>
        </w:numPr>
        <w:tabs>
          <w:tab w:val="left" w:pos="0"/>
        </w:tabs>
        <w:spacing w:after="0"/>
        <w:ind w:left="1170" w:hanging="603"/>
        <w:rPr>
          <w:lang w:val="es-ES_tradnl"/>
        </w:rPr>
      </w:pPr>
      <w:r w:rsidRPr="004854BC">
        <w:rPr>
          <w:szCs w:val="22"/>
          <w:lang w:val="es-ES_tradnl"/>
        </w:rPr>
        <w:t>Informe sobre el examen y la actualización del ciclo de desarrollo de la planificación anual de la DSI</w:t>
      </w:r>
    </w:p>
    <w:p w:rsidR="00BE13E4" w:rsidRPr="004854BC" w:rsidRDefault="00BE13E4" w:rsidP="00BE13E4">
      <w:pPr>
        <w:pStyle w:val="ONUME"/>
        <w:numPr>
          <w:ilvl w:val="0"/>
          <w:numId w:val="0"/>
        </w:numPr>
        <w:tabs>
          <w:tab w:val="left" w:pos="0"/>
        </w:tabs>
        <w:spacing w:after="0"/>
        <w:ind w:left="567"/>
        <w:rPr>
          <w:lang w:val="es-ES_tradnl"/>
        </w:rPr>
      </w:pPr>
      <w:r w:rsidRPr="004854BC">
        <w:rPr>
          <w:szCs w:val="22"/>
          <w:lang w:val="es-ES_tradnl"/>
        </w:rPr>
        <w:tab/>
        <w:t>(IA 2020-03)</w:t>
      </w:r>
    </w:p>
    <w:p w:rsidR="00BE13E4" w:rsidRPr="004854BC" w:rsidRDefault="000A3C2C" w:rsidP="004C7334">
      <w:pPr>
        <w:pStyle w:val="ONUME"/>
        <w:numPr>
          <w:ilvl w:val="1"/>
          <w:numId w:val="5"/>
        </w:numPr>
        <w:tabs>
          <w:tab w:val="left" w:pos="0"/>
        </w:tabs>
        <w:spacing w:after="0"/>
        <w:ind w:left="1170" w:hanging="603"/>
        <w:rPr>
          <w:lang w:val="es-ES_tradnl"/>
        </w:rPr>
      </w:pPr>
      <w:r w:rsidRPr="004854BC">
        <w:rPr>
          <w:szCs w:val="22"/>
          <w:lang w:val="es-ES_tradnl"/>
        </w:rPr>
        <w:t>Informe sobre el examen de auditoría e integridad</w:t>
      </w:r>
      <w:r w:rsidR="00BE13E4" w:rsidRPr="004854BC">
        <w:rPr>
          <w:szCs w:val="22"/>
          <w:lang w:val="es-ES_tradnl"/>
        </w:rPr>
        <w:t xml:space="preserve"> </w:t>
      </w:r>
      <w:r w:rsidRPr="004854BC">
        <w:rPr>
          <w:szCs w:val="22"/>
          <w:lang w:val="es-ES_tradnl"/>
        </w:rPr>
        <w:t>de la gestión de las ausencias</w:t>
      </w:r>
      <w:r w:rsidR="00BE13E4" w:rsidRPr="004854BC">
        <w:rPr>
          <w:szCs w:val="22"/>
          <w:lang w:val="es-ES_tradnl"/>
        </w:rPr>
        <w:t xml:space="preserve"> (IA 2020-02)</w:t>
      </w:r>
    </w:p>
    <w:p w:rsidR="00BE13E4" w:rsidRPr="004854BC" w:rsidRDefault="000A3C2C" w:rsidP="004C7334">
      <w:pPr>
        <w:pStyle w:val="ONUME"/>
        <w:numPr>
          <w:ilvl w:val="1"/>
          <w:numId w:val="5"/>
        </w:numPr>
        <w:tabs>
          <w:tab w:val="left" w:pos="0"/>
        </w:tabs>
        <w:spacing w:after="0"/>
        <w:ind w:left="1170" w:hanging="603"/>
        <w:rPr>
          <w:lang w:val="es-ES_tradnl"/>
        </w:rPr>
      </w:pPr>
      <w:r w:rsidRPr="004854BC">
        <w:rPr>
          <w:lang w:val="es-ES_tradnl"/>
        </w:rPr>
        <w:t>Informe sobre la auditoría de la gestión de la ciberseguridad en la OMPI</w:t>
      </w:r>
      <w:r w:rsidR="00BE13E4" w:rsidRPr="004854BC">
        <w:rPr>
          <w:lang w:val="es-ES_tradnl"/>
        </w:rPr>
        <w:t xml:space="preserve"> (IA 2020-04)</w:t>
      </w:r>
    </w:p>
    <w:p w:rsidR="00BE13E4" w:rsidRPr="004854BC" w:rsidRDefault="00BE13E4" w:rsidP="00BE13E4">
      <w:pPr>
        <w:pStyle w:val="ONUME"/>
        <w:numPr>
          <w:ilvl w:val="0"/>
          <w:numId w:val="0"/>
        </w:numPr>
        <w:tabs>
          <w:tab w:val="left" w:pos="720"/>
          <w:tab w:val="left" w:pos="993"/>
        </w:tabs>
        <w:spacing w:after="0"/>
        <w:rPr>
          <w:lang w:val="es-ES_tradnl"/>
        </w:rPr>
      </w:pPr>
    </w:p>
    <w:p w:rsidR="00BE13E4" w:rsidRPr="004854BC" w:rsidRDefault="00FE2BE0" w:rsidP="00FE2BE0">
      <w:pPr>
        <w:pStyle w:val="ONUME"/>
        <w:tabs>
          <w:tab w:val="left" w:pos="567"/>
          <w:tab w:val="left" w:pos="720"/>
          <w:tab w:val="left" w:pos="993"/>
        </w:tabs>
        <w:spacing w:after="0"/>
        <w:rPr>
          <w:lang w:val="es-ES_tradnl"/>
        </w:rPr>
      </w:pPr>
      <w:r w:rsidRPr="004854BC">
        <w:rPr>
          <w:lang w:val="es-ES_tradnl"/>
        </w:rPr>
        <w:t>Además, la Comisión examinó asimismo el proyecto de política de auditoría interna, el Manual de Auditoría Interna actualizado y la Política de publicación revisada de la División de Supervisión Interna</w:t>
      </w:r>
      <w:r w:rsidR="00BE13E4" w:rsidRPr="004854BC">
        <w:rPr>
          <w:lang w:val="es-ES_tradnl"/>
        </w:rPr>
        <w:t xml:space="preserve">. </w:t>
      </w:r>
    </w:p>
    <w:p w:rsidR="00BE13E4" w:rsidRPr="004854BC" w:rsidRDefault="00BE13E4" w:rsidP="00BE13E4">
      <w:pPr>
        <w:pStyle w:val="ONUME"/>
        <w:numPr>
          <w:ilvl w:val="0"/>
          <w:numId w:val="0"/>
        </w:numPr>
        <w:tabs>
          <w:tab w:val="left" w:pos="720"/>
          <w:tab w:val="left" w:pos="993"/>
        </w:tabs>
        <w:spacing w:after="0"/>
        <w:rPr>
          <w:lang w:val="es-ES_tradnl"/>
        </w:rPr>
      </w:pPr>
    </w:p>
    <w:p w:rsidR="00BE13E4" w:rsidRPr="004854BC" w:rsidRDefault="00BE13E4" w:rsidP="00BE13E4">
      <w:pPr>
        <w:pStyle w:val="ONUME"/>
        <w:numPr>
          <w:ilvl w:val="0"/>
          <w:numId w:val="0"/>
        </w:numPr>
        <w:tabs>
          <w:tab w:val="left" w:pos="540"/>
          <w:tab w:val="left" w:pos="993"/>
        </w:tabs>
        <w:spacing w:after="0"/>
        <w:rPr>
          <w:i/>
          <w:szCs w:val="22"/>
          <w:lang w:val="es-ES_tradnl"/>
        </w:rPr>
      </w:pPr>
      <w:bookmarkStart w:id="30" w:name="_Toc429145913"/>
      <w:bookmarkStart w:id="31" w:name="_Toc429147806"/>
      <w:bookmarkStart w:id="32" w:name="_Toc429147824"/>
      <w:bookmarkStart w:id="33" w:name="_Toc429384083"/>
      <w:bookmarkEnd w:id="30"/>
      <w:bookmarkEnd w:id="31"/>
      <w:bookmarkEnd w:id="32"/>
      <w:bookmarkEnd w:id="33"/>
      <w:r w:rsidRPr="004854BC">
        <w:rPr>
          <w:i/>
          <w:szCs w:val="22"/>
          <w:lang w:val="es-ES_tradnl"/>
        </w:rPr>
        <w:tab/>
        <w:t>Evalua</w:t>
      </w:r>
      <w:r w:rsidR="00FE2BE0" w:rsidRPr="004854BC">
        <w:rPr>
          <w:i/>
          <w:szCs w:val="22"/>
          <w:lang w:val="es-ES_tradnl"/>
        </w:rPr>
        <w:t>ción</w:t>
      </w:r>
    </w:p>
    <w:p w:rsidR="00BE13E4" w:rsidRPr="004854BC" w:rsidRDefault="00BE13E4" w:rsidP="00BE13E4">
      <w:pPr>
        <w:pStyle w:val="ONUME"/>
        <w:numPr>
          <w:ilvl w:val="0"/>
          <w:numId w:val="0"/>
        </w:numPr>
        <w:tabs>
          <w:tab w:val="left" w:pos="540"/>
          <w:tab w:val="left" w:pos="993"/>
        </w:tabs>
        <w:spacing w:after="0"/>
        <w:rPr>
          <w:i/>
          <w:szCs w:val="22"/>
          <w:lang w:val="es-ES_tradnl"/>
        </w:rPr>
      </w:pPr>
    </w:p>
    <w:p w:rsidR="00BE13E4" w:rsidRPr="004854BC" w:rsidRDefault="00BE13E4" w:rsidP="00BE13E4">
      <w:pPr>
        <w:pStyle w:val="ONUME"/>
        <w:tabs>
          <w:tab w:val="left" w:pos="567"/>
          <w:tab w:val="left" w:pos="720"/>
          <w:tab w:val="left" w:pos="993"/>
        </w:tabs>
        <w:spacing w:after="0"/>
        <w:rPr>
          <w:lang w:val="es-ES_tradnl"/>
        </w:rPr>
      </w:pPr>
      <w:r w:rsidRPr="004854BC">
        <w:rPr>
          <w:szCs w:val="22"/>
          <w:lang w:val="es-ES_tradnl"/>
        </w:rPr>
        <w:t>Dur</w:t>
      </w:r>
      <w:r w:rsidR="00FE2BE0" w:rsidRPr="004854BC">
        <w:rPr>
          <w:szCs w:val="22"/>
          <w:lang w:val="es-ES_tradnl"/>
        </w:rPr>
        <w:t>ante el período que abarca el informe</w:t>
      </w:r>
      <w:r w:rsidRPr="004854BC">
        <w:rPr>
          <w:szCs w:val="22"/>
          <w:lang w:val="es-ES_tradnl"/>
        </w:rPr>
        <w:t xml:space="preserve">, </w:t>
      </w:r>
      <w:r w:rsidR="00FE2BE0" w:rsidRPr="004854BC">
        <w:rPr>
          <w:szCs w:val="22"/>
          <w:lang w:val="es-ES_tradnl"/>
        </w:rPr>
        <w:t>la Comisión examin</w:t>
      </w:r>
      <w:r w:rsidR="00AA66E1">
        <w:rPr>
          <w:szCs w:val="22"/>
          <w:lang w:val="es-ES_tradnl"/>
        </w:rPr>
        <w:t>ó</w:t>
      </w:r>
      <w:r w:rsidR="00FE2BE0" w:rsidRPr="004854BC">
        <w:rPr>
          <w:szCs w:val="22"/>
          <w:lang w:val="es-ES_tradnl"/>
        </w:rPr>
        <w:t>, junto con la Dirección y la DSI, seis informes de evaluación</w:t>
      </w:r>
      <w:r w:rsidRPr="004854BC">
        <w:rPr>
          <w:lang w:val="es-ES_tradnl"/>
        </w:rPr>
        <w:t xml:space="preserve">: </w:t>
      </w:r>
    </w:p>
    <w:p w:rsidR="00BE13E4" w:rsidRPr="004854BC" w:rsidRDefault="00BE13E4" w:rsidP="00BE13E4">
      <w:pPr>
        <w:pStyle w:val="ONUME"/>
        <w:numPr>
          <w:ilvl w:val="0"/>
          <w:numId w:val="0"/>
        </w:numPr>
        <w:tabs>
          <w:tab w:val="left" w:pos="720"/>
          <w:tab w:val="left" w:pos="993"/>
        </w:tabs>
        <w:spacing w:after="0"/>
        <w:rPr>
          <w:lang w:val="es-ES_tradnl"/>
        </w:rPr>
      </w:pPr>
    </w:p>
    <w:p w:rsidR="00BE13E4" w:rsidRPr="004854BC" w:rsidRDefault="00FE2BE0" w:rsidP="00BE13E4">
      <w:pPr>
        <w:numPr>
          <w:ilvl w:val="0"/>
          <w:numId w:val="9"/>
        </w:numPr>
        <w:tabs>
          <w:tab w:val="left" w:pos="567"/>
        </w:tabs>
        <w:ind w:left="992" w:hanging="425"/>
        <w:rPr>
          <w:szCs w:val="22"/>
          <w:lang w:val="es-ES_tradnl"/>
        </w:rPr>
      </w:pPr>
      <w:r w:rsidRPr="004854BC">
        <w:rPr>
          <w:rFonts w:cstheme="minorHAnsi"/>
          <w:bCs/>
          <w:lang w:val="es-ES_tradnl"/>
        </w:rPr>
        <w:t xml:space="preserve">Informe sobre la evaluación del programa </w:t>
      </w:r>
      <w:r w:rsidR="00BE13E4" w:rsidRPr="004854BC">
        <w:rPr>
          <w:rFonts w:cstheme="minorHAnsi"/>
          <w:bCs/>
          <w:lang w:val="es-ES_tradnl"/>
        </w:rPr>
        <w:t xml:space="preserve">32, </w:t>
      </w:r>
      <w:r w:rsidRPr="004854BC">
        <w:rPr>
          <w:rFonts w:cstheme="minorHAnsi"/>
          <w:bCs/>
          <w:lang w:val="es-ES_tradnl"/>
        </w:rPr>
        <w:t>el Sistema de Lisboa</w:t>
      </w:r>
      <w:r w:rsidR="00BE13E4" w:rsidRPr="004854BC">
        <w:rPr>
          <w:rFonts w:cstheme="minorHAnsi"/>
          <w:bCs/>
          <w:lang w:val="es-ES_tradnl"/>
        </w:rPr>
        <w:t xml:space="preserve"> (EVAL 2019-05)</w:t>
      </w:r>
    </w:p>
    <w:p w:rsidR="00BE13E4" w:rsidRPr="004854BC" w:rsidRDefault="00FE2BE0" w:rsidP="00BE13E4">
      <w:pPr>
        <w:numPr>
          <w:ilvl w:val="0"/>
          <w:numId w:val="9"/>
        </w:numPr>
        <w:tabs>
          <w:tab w:val="left" w:pos="567"/>
        </w:tabs>
        <w:ind w:left="992" w:hanging="425"/>
        <w:rPr>
          <w:szCs w:val="22"/>
          <w:lang w:val="es-ES_tradnl"/>
        </w:rPr>
      </w:pPr>
      <w:r w:rsidRPr="004854BC">
        <w:rPr>
          <w:bCs/>
          <w:lang w:val="es-ES_tradnl"/>
        </w:rPr>
        <w:t xml:space="preserve">Informe sobre la evaluación del programa </w:t>
      </w:r>
      <w:r w:rsidR="00BE13E4" w:rsidRPr="004854BC">
        <w:rPr>
          <w:bCs/>
          <w:lang w:val="es-ES_tradnl"/>
        </w:rPr>
        <w:t xml:space="preserve">17, </w:t>
      </w:r>
      <w:r w:rsidRPr="004854BC">
        <w:rPr>
          <w:bCs/>
          <w:lang w:val="es-ES_tradnl"/>
        </w:rPr>
        <w:t>Actividades de fortalecimiento de capacidades para fomentar el respeto por la propiedad intelectual</w:t>
      </w:r>
      <w:r w:rsidR="00BE13E4" w:rsidRPr="004854BC">
        <w:rPr>
          <w:bCs/>
          <w:lang w:val="es-ES_tradnl"/>
        </w:rPr>
        <w:t xml:space="preserve"> (EVAL 2019-03)</w:t>
      </w:r>
    </w:p>
    <w:p w:rsidR="00BE13E4" w:rsidRPr="004854BC" w:rsidRDefault="00FE2BE0" w:rsidP="00BE13E4">
      <w:pPr>
        <w:numPr>
          <w:ilvl w:val="0"/>
          <w:numId w:val="9"/>
        </w:numPr>
        <w:tabs>
          <w:tab w:val="left" w:pos="567"/>
        </w:tabs>
        <w:ind w:left="992" w:hanging="425"/>
        <w:rPr>
          <w:szCs w:val="22"/>
          <w:lang w:val="es-ES_tradnl"/>
        </w:rPr>
      </w:pPr>
      <w:r w:rsidRPr="004854BC">
        <w:rPr>
          <w:lang w:val="es-ES_tradnl"/>
        </w:rPr>
        <w:t>Informe sobre la evaluación de la Oficina Regional en la sede para África</w:t>
      </w:r>
      <w:r w:rsidR="00BE13E4" w:rsidRPr="004854BC">
        <w:rPr>
          <w:lang w:val="es-ES_tradnl"/>
        </w:rPr>
        <w:t xml:space="preserve"> (EVAL 2019-01)</w:t>
      </w:r>
    </w:p>
    <w:p w:rsidR="00BE13E4" w:rsidRPr="004854BC" w:rsidRDefault="00FE2BE0" w:rsidP="00BE13E4">
      <w:pPr>
        <w:numPr>
          <w:ilvl w:val="0"/>
          <w:numId w:val="9"/>
        </w:numPr>
        <w:tabs>
          <w:tab w:val="left" w:pos="567"/>
        </w:tabs>
        <w:ind w:left="992" w:hanging="425"/>
        <w:rPr>
          <w:szCs w:val="22"/>
          <w:lang w:val="es-ES_tradnl"/>
        </w:rPr>
      </w:pPr>
      <w:r w:rsidRPr="004854BC">
        <w:rPr>
          <w:lang w:val="es-ES_tradnl"/>
        </w:rPr>
        <w:t>Informe sobre</w:t>
      </w:r>
      <w:r w:rsidR="00BE13E4" w:rsidRPr="004854BC">
        <w:rPr>
          <w:lang w:val="es-ES_tradnl"/>
        </w:rPr>
        <w:t xml:space="preserve"> </w:t>
      </w:r>
      <w:r w:rsidRPr="004854BC">
        <w:rPr>
          <w:lang w:val="es-ES_tradnl"/>
        </w:rPr>
        <w:t xml:space="preserve">la evaluación </w:t>
      </w:r>
      <w:r w:rsidRPr="004854BC">
        <w:rPr>
          <w:i/>
          <w:lang w:val="es-ES_tradnl"/>
        </w:rPr>
        <w:t>ex-ante</w:t>
      </w:r>
      <w:r w:rsidR="004854BC">
        <w:rPr>
          <w:lang w:val="es-ES_tradnl"/>
        </w:rPr>
        <w:t xml:space="preserve"> </w:t>
      </w:r>
      <w:r w:rsidRPr="004854BC">
        <w:rPr>
          <w:lang w:val="es-ES_tradnl"/>
        </w:rPr>
        <w:t>del marco de cooperación técnica de la Oficina Regional en la sede para Asia y el Pacífico</w:t>
      </w:r>
      <w:r w:rsidR="00BE13E4" w:rsidRPr="004854BC">
        <w:rPr>
          <w:lang w:val="es-ES_tradnl"/>
        </w:rPr>
        <w:t xml:space="preserve"> (EVAL 2020-04)</w:t>
      </w:r>
    </w:p>
    <w:p w:rsidR="00BE13E4" w:rsidRPr="004854BC" w:rsidRDefault="00101DAC" w:rsidP="00BE13E4">
      <w:pPr>
        <w:numPr>
          <w:ilvl w:val="0"/>
          <w:numId w:val="9"/>
        </w:numPr>
        <w:tabs>
          <w:tab w:val="left" w:pos="567"/>
        </w:tabs>
        <w:ind w:left="992" w:hanging="425"/>
        <w:rPr>
          <w:szCs w:val="22"/>
          <w:lang w:val="es-ES_tradnl"/>
        </w:rPr>
      </w:pPr>
      <w:r w:rsidRPr="004854BC">
        <w:rPr>
          <w:lang w:val="es-ES_tradnl"/>
        </w:rPr>
        <w:t>Informe sobre la evaluación de la División de la OMPI para los Países Árabes</w:t>
      </w:r>
      <w:r w:rsidR="00BE13E4" w:rsidRPr="004854BC">
        <w:rPr>
          <w:lang w:val="es-ES_tradnl"/>
        </w:rPr>
        <w:t xml:space="preserve"> (EVAL 20-02-01)</w:t>
      </w:r>
    </w:p>
    <w:p w:rsidR="00BE13E4" w:rsidRPr="004854BC" w:rsidRDefault="00101DAC" w:rsidP="00BE13E4">
      <w:pPr>
        <w:numPr>
          <w:ilvl w:val="0"/>
          <w:numId w:val="9"/>
        </w:numPr>
        <w:tabs>
          <w:tab w:val="left" w:pos="567"/>
        </w:tabs>
        <w:ind w:left="992" w:hanging="425"/>
        <w:rPr>
          <w:szCs w:val="22"/>
          <w:lang w:val="es-ES_tradnl"/>
        </w:rPr>
      </w:pPr>
      <w:r w:rsidRPr="004854BC">
        <w:rPr>
          <w:lang w:val="es-ES_tradnl"/>
        </w:rPr>
        <w:t xml:space="preserve">Informe sobre la evaluación de WIPO </w:t>
      </w:r>
      <w:r w:rsidR="00BE13E4" w:rsidRPr="004854BC">
        <w:rPr>
          <w:lang w:val="es-ES_tradnl"/>
        </w:rPr>
        <w:t>Match (EVAL 2020-05)</w:t>
      </w:r>
    </w:p>
    <w:p w:rsidR="00BE13E4" w:rsidRPr="004854BC" w:rsidRDefault="00BE13E4" w:rsidP="00BE13E4">
      <w:pPr>
        <w:tabs>
          <w:tab w:val="left" w:pos="567"/>
        </w:tabs>
        <w:rPr>
          <w:szCs w:val="22"/>
          <w:lang w:val="es-ES_tradnl"/>
        </w:rPr>
      </w:pPr>
    </w:p>
    <w:p w:rsidR="00BE13E4" w:rsidRPr="004854BC" w:rsidRDefault="00BE13E4" w:rsidP="00BE13E4">
      <w:pPr>
        <w:pStyle w:val="Default0"/>
        <w:keepNext/>
        <w:tabs>
          <w:tab w:val="left" w:pos="567"/>
        </w:tabs>
        <w:rPr>
          <w:i/>
          <w:color w:val="auto"/>
          <w:sz w:val="22"/>
          <w:szCs w:val="22"/>
          <w:lang w:val="es-ES_tradnl"/>
        </w:rPr>
      </w:pPr>
      <w:r w:rsidRPr="004854BC">
        <w:rPr>
          <w:i/>
          <w:color w:val="auto"/>
          <w:sz w:val="22"/>
          <w:szCs w:val="22"/>
          <w:lang w:val="es-ES_tradnl"/>
        </w:rPr>
        <w:tab/>
        <w:t>Investiga</w:t>
      </w:r>
      <w:r w:rsidR="00FE2BE0" w:rsidRPr="004854BC">
        <w:rPr>
          <w:i/>
          <w:color w:val="auto"/>
          <w:sz w:val="22"/>
          <w:szCs w:val="22"/>
          <w:lang w:val="es-ES_tradnl"/>
        </w:rPr>
        <w:t>ciones</w:t>
      </w:r>
    </w:p>
    <w:p w:rsidR="00BE13E4" w:rsidRPr="004854BC" w:rsidRDefault="00BE13E4" w:rsidP="00BE13E4">
      <w:pPr>
        <w:pStyle w:val="Default0"/>
        <w:keepNext/>
        <w:tabs>
          <w:tab w:val="left" w:pos="567"/>
        </w:tabs>
        <w:rPr>
          <w:color w:val="auto"/>
          <w:sz w:val="22"/>
          <w:szCs w:val="22"/>
          <w:lang w:val="es-ES_tradnl"/>
        </w:rPr>
      </w:pPr>
    </w:p>
    <w:p w:rsidR="00BE13E4" w:rsidRPr="004854BC" w:rsidRDefault="007E539B" w:rsidP="003C5522">
      <w:pPr>
        <w:pStyle w:val="ONUME"/>
        <w:tabs>
          <w:tab w:val="left" w:pos="0"/>
        </w:tabs>
        <w:spacing w:after="0"/>
        <w:rPr>
          <w:lang w:val="es-ES_tradnl"/>
        </w:rPr>
      </w:pPr>
      <w:r w:rsidRPr="004854BC">
        <w:rPr>
          <w:lang w:val="es-ES_tradnl"/>
        </w:rPr>
        <w:t>De conformidad con la Carta de Supervisión Interna, la Comisión recibió información de parte del director de la DSI, en cada sesión, sobre la situación de los casos objeto de examen y las tendencias en el volumen de casos, y se le presentó un desglose de las reclamaciones recibidas y las reclamaciones fundadas, por categoría de conducta indebida. En todos los casos que entrañaban un posible conflicto de intereses para la DSI, la Comisión volvió a examinar cada caso en detalle y prest</w:t>
      </w:r>
      <w:r w:rsidR="00AA66E1">
        <w:rPr>
          <w:lang w:val="es-ES_tradnl"/>
        </w:rPr>
        <w:t>ó</w:t>
      </w:r>
      <w:r w:rsidRPr="004854BC">
        <w:rPr>
          <w:lang w:val="es-ES_tradnl"/>
        </w:rPr>
        <w:t xml:space="preserve"> asesoramiento al director de la DSI en consecuencia</w:t>
      </w:r>
      <w:r w:rsidR="00BE13E4" w:rsidRPr="004854BC">
        <w:rPr>
          <w:rFonts w:eastAsia="Calibri"/>
          <w:szCs w:val="22"/>
          <w:lang w:val="es-ES_tradnl" w:eastAsia="en-US"/>
        </w:rPr>
        <w:t>.</w:t>
      </w:r>
    </w:p>
    <w:p w:rsidR="00BE13E4" w:rsidRPr="004854BC" w:rsidRDefault="00BE13E4" w:rsidP="00BE13E4">
      <w:pPr>
        <w:pStyle w:val="ONUME"/>
        <w:numPr>
          <w:ilvl w:val="0"/>
          <w:numId w:val="0"/>
        </w:numPr>
        <w:spacing w:after="0"/>
        <w:rPr>
          <w:lang w:val="es-ES_tradnl"/>
        </w:rPr>
      </w:pPr>
    </w:p>
    <w:p w:rsidR="00BE13E4" w:rsidRPr="004854BC" w:rsidRDefault="003C5522" w:rsidP="003C5522">
      <w:pPr>
        <w:pStyle w:val="ONUME"/>
        <w:spacing w:after="0"/>
        <w:rPr>
          <w:lang w:val="es-ES_tradnl"/>
        </w:rPr>
      </w:pPr>
      <w:r w:rsidRPr="004854BC">
        <w:rPr>
          <w:lang w:val="es-ES_tradnl"/>
        </w:rPr>
        <w:t xml:space="preserve">La Comisión observó con agrado que los investigadores de la DSI disponen de un programa de formación pertinente y que el personal de la OMPI también ha participado en </w:t>
      </w:r>
      <w:r w:rsidR="002240D8" w:rsidRPr="004854BC">
        <w:rPr>
          <w:lang w:val="es-ES_tradnl"/>
        </w:rPr>
        <w:t>un programa de formación obligatoria en</w:t>
      </w:r>
      <w:r w:rsidRPr="004854BC">
        <w:rPr>
          <w:lang w:val="es-ES_tradnl"/>
        </w:rPr>
        <w:t xml:space="preserve"> sensibilización sobre el fraude, bajo el liderazgo de la DSI y la Oficina de</w:t>
      </w:r>
      <w:r w:rsidR="004854BC">
        <w:rPr>
          <w:lang w:val="es-ES_tradnl"/>
        </w:rPr>
        <w:t xml:space="preserve"> </w:t>
      </w:r>
      <w:r w:rsidRPr="004854BC">
        <w:rPr>
          <w:lang w:val="es-ES_tradnl"/>
        </w:rPr>
        <w:t>l</w:t>
      </w:r>
      <w:r w:rsidR="004854BC">
        <w:rPr>
          <w:lang w:val="es-ES_tradnl"/>
        </w:rPr>
        <w:t>a</w:t>
      </w:r>
      <w:r w:rsidRPr="004854BC">
        <w:rPr>
          <w:lang w:val="es-ES_tradnl"/>
        </w:rPr>
        <w:t xml:space="preserve"> Contralo</w:t>
      </w:r>
      <w:r w:rsidR="004854BC">
        <w:rPr>
          <w:lang w:val="es-ES_tradnl"/>
        </w:rPr>
        <w:t>ra</w:t>
      </w:r>
      <w:r w:rsidRPr="004854BC">
        <w:rPr>
          <w:lang w:val="es-ES_tradnl"/>
        </w:rPr>
        <w:t>, y en un programa de prevención del acoso sexual, bajo la dirección de la DSI y el Departamento de Gestión de los Recursos Humanos.</w:t>
      </w:r>
      <w:r w:rsidR="00BE13E4" w:rsidRPr="004854BC">
        <w:rPr>
          <w:lang w:val="es-ES_tradnl"/>
        </w:rPr>
        <w:t xml:space="preserve"> </w:t>
      </w:r>
    </w:p>
    <w:p w:rsidR="00BE13E4" w:rsidRPr="004854BC" w:rsidRDefault="00BE13E4" w:rsidP="00BE13E4">
      <w:pPr>
        <w:rPr>
          <w:lang w:val="es-ES_tradnl"/>
        </w:rPr>
      </w:pPr>
    </w:p>
    <w:p w:rsidR="00BE13E4" w:rsidRPr="004854BC" w:rsidRDefault="003C5522" w:rsidP="0079411F">
      <w:pPr>
        <w:pStyle w:val="ONUME"/>
        <w:tabs>
          <w:tab w:val="left" w:pos="0"/>
        </w:tabs>
        <w:spacing w:after="0"/>
        <w:rPr>
          <w:lang w:val="es-ES_tradnl"/>
        </w:rPr>
      </w:pPr>
      <w:r w:rsidRPr="004854BC">
        <w:rPr>
          <w:lang w:val="es-ES_tradnl"/>
        </w:rPr>
        <w:t xml:space="preserve">En la 61.ª sesión, la DSI informó a la Comisión de que, al 15 de junio de 2021, había 13 casos pendientes de investigación, de los cuales uno se </w:t>
      </w:r>
      <w:r w:rsidR="004854BC" w:rsidRPr="004854BC">
        <w:rPr>
          <w:lang w:val="es-ES_tradnl"/>
        </w:rPr>
        <w:t>encontraba</w:t>
      </w:r>
      <w:r w:rsidRPr="004854BC">
        <w:rPr>
          <w:lang w:val="es-ES_tradnl"/>
        </w:rPr>
        <w:t xml:space="preserve"> en fase de evaluación preliminar, ocho eran objeto de una investigación completa y cuatro permanecían en suspenso. La Comisión señaló que</w:t>
      </w:r>
      <w:r w:rsidR="00963A3D">
        <w:rPr>
          <w:lang w:val="es-ES_tradnl"/>
        </w:rPr>
        <w:t>,</w:t>
      </w:r>
      <w:r w:rsidRPr="004854BC">
        <w:rPr>
          <w:lang w:val="es-ES_tradnl"/>
        </w:rPr>
        <w:t xml:space="preserve"> de los 13 casos pendientes de investigación, uno se registró en 2016, dos en 2019, tres en 2020 y siete en 2021. De conformidad con la Carta de Supervisión Interna, en los casos que entrañan un posible conflicto de intereses por parte de la DSI, la Comisión examinó cada caso en detalle y prest</w:t>
      </w:r>
      <w:r w:rsidR="00A55FC0">
        <w:rPr>
          <w:lang w:val="es-ES_tradnl"/>
        </w:rPr>
        <w:t>ó</w:t>
      </w:r>
      <w:r w:rsidRPr="004854BC">
        <w:rPr>
          <w:lang w:val="es-ES_tradnl"/>
        </w:rPr>
        <w:t xml:space="preserve"> asesoramiento al director de la DSI y</w:t>
      </w:r>
      <w:r w:rsidR="00E9404F" w:rsidRPr="004854BC">
        <w:rPr>
          <w:lang w:val="es-ES_tradnl"/>
        </w:rPr>
        <w:t xml:space="preserve"> a otros interesados</w:t>
      </w:r>
      <w:r w:rsidR="00BE13E4" w:rsidRPr="004854BC">
        <w:rPr>
          <w:rFonts w:eastAsia="Calibri"/>
          <w:szCs w:val="22"/>
          <w:lang w:val="es-ES_tradnl" w:eastAsia="en-US"/>
        </w:rPr>
        <w:t>.</w:t>
      </w:r>
    </w:p>
    <w:p w:rsidR="00BE13E4" w:rsidRPr="004854BC" w:rsidRDefault="00BE13E4" w:rsidP="00BE13E4">
      <w:pPr>
        <w:rPr>
          <w:lang w:val="es-ES_tradnl"/>
        </w:rPr>
      </w:pPr>
    </w:p>
    <w:p w:rsidR="00BE13E4" w:rsidRPr="004854BC" w:rsidRDefault="00E9404F" w:rsidP="00BE13E4">
      <w:pPr>
        <w:pStyle w:val="ListParagraph"/>
        <w:rPr>
          <w:i/>
          <w:lang w:val="es-ES_tradnl"/>
        </w:rPr>
      </w:pPr>
      <w:r w:rsidRPr="004854BC">
        <w:rPr>
          <w:i/>
          <w:lang w:val="es-ES_tradnl"/>
        </w:rPr>
        <w:t>Evaluaciones externas de calidad: Funciones de auditoría interna e investigación</w:t>
      </w:r>
    </w:p>
    <w:p w:rsidR="00BE13E4" w:rsidRPr="004854BC" w:rsidRDefault="00BE13E4" w:rsidP="00BE13E4">
      <w:pPr>
        <w:rPr>
          <w:i/>
          <w:lang w:val="es-ES_tradnl"/>
        </w:rPr>
      </w:pPr>
    </w:p>
    <w:p w:rsidR="00BE13E4" w:rsidRPr="004854BC" w:rsidRDefault="00BE13E4" w:rsidP="00565690">
      <w:pPr>
        <w:pStyle w:val="ONUME"/>
        <w:spacing w:after="0"/>
        <w:rPr>
          <w:lang w:val="es-ES_tradnl"/>
        </w:rPr>
      </w:pPr>
      <w:r w:rsidRPr="004854BC">
        <w:rPr>
          <w:lang w:val="es-ES_tradnl"/>
        </w:rPr>
        <w:t xml:space="preserve"> </w:t>
      </w:r>
      <w:r w:rsidR="007E4042" w:rsidRPr="004854BC">
        <w:rPr>
          <w:lang w:val="es-ES_tradnl"/>
        </w:rPr>
        <w:t>La Comisión examin</w:t>
      </w:r>
      <w:r w:rsidR="00A55FC0">
        <w:rPr>
          <w:lang w:val="es-ES_tradnl"/>
        </w:rPr>
        <w:t>ó</w:t>
      </w:r>
      <w:r w:rsidR="007E4042" w:rsidRPr="004854BC">
        <w:rPr>
          <w:lang w:val="es-ES_tradnl"/>
        </w:rPr>
        <w:t xml:space="preserve"> los resultados de las evaluaciones externas de calidad de las funciones de au</w:t>
      </w:r>
      <w:r w:rsidR="00A55FC0">
        <w:rPr>
          <w:lang w:val="es-ES_tradnl"/>
        </w:rPr>
        <w:t>ditoría interna e investigación</w:t>
      </w:r>
      <w:r w:rsidR="007E4042" w:rsidRPr="004854BC">
        <w:rPr>
          <w:lang w:val="es-ES_tradnl"/>
        </w:rPr>
        <w:t xml:space="preserve"> efectuadas en 2020. </w:t>
      </w:r>
      <w:r w:rsidR="00547F38" w:rsidRPr="004854BC">
        <w:rPr>
          <w:lang w:val="es-ES_tradnl"/>
        </w:rPr>
        <w:t>Por lo que respecta a la función de auditoría interna, la Comisión tomó nota de la conclusión general de que la DSI guarda en general conformidad con los elementos obligatorios del Marco Internacional de Prácticas Profesionales</w:t>
      </w:r>
      <w:r w:rsidR="00A55FC0">
        <w:rPr>
          <w:lang w:val="es-ES_tradnl"/>
        </w:rPr>
        <w:t>,</w:t>
      </w:r>
      <w:r w:rsidR="00547F38" w:rsidRPr="004854BC">
        <w:rPr>
          <w:lang w:val="es-ES_tradnl"/>
        </w:rPr>
        <w:t xml:space="preserve"> promulgado por el Instituto de Auditores Internos y la Carta de Supervisión Interna de la OMPI. El informe final, presentado en noviembre de 2020, se publicó en el sitio web de la OMPI. En lo que atañe a la función de investigación, la Comisión tomó nota asimismo de la conclusión</w:t>
      </w:r>
      <w:r w:rsidR="00565690" w:rsidRPr="004854BC">
        <w:rPr>
          <w:lang w:val="es-ES_tradnl"/>
        </w:rPr>
        <w:t>, extraída del informe final presentado en diciembre de 2020, de que la DSI guarda en general conformidad con las normas aplicables. Todas las recomendaciones que se formulan en los dos informes se examinaron en detalle, y la Comisión ofreció asesoramiento y formuló sugerencias en materia de aplicación</w:t>
      </w:r>
      <w:r w:rsidRPr="004854BC">
        <w:rPr>
          <w:lang w:val="es-ES_tradnl"/>
        </w:rPr>
        <w:t>.</w:t>
      </w:r>
    </w:p>
    <w:p w:rsidR="0053579F" w:rsidRPr="004854BC" w:rsidRDefault="0053579F" w:rsidP="0053579F">
      <w:pPr>
        <w:pStyle w:val="ONUME"/>
        <w:numPr>
          <w:ilvl w:val="0"/>
          <w:numId w:val="0"/>
        </w:numPr>
        <w:spacing w:after="0"/>
        <w:rPr>
          <w:lang w:val="es-ES_tradnl"/>
        </w:rPr>
      </w:pPr>
    </w:p>
    <w:p w:rsidR="00BE13E4" w:rsidRPr="004854BC" w:rsidRDefault="003C5522" w:rsidP="00BE13E4">
      <w:pPr>
        <w:pStyle w:val="Heading3"/>
        <w:numPr>
          <w:ilvl w:val="0"/>
          <w:numId w:val="36"/>
        </w:numPr>
        <w:tabs>
          <w:tab w:val="left" w:pos="567"/>
        </w:tabs>
        <w:spacing w:before="0" w:after="0"/>
        <w:ind w:hanging="900"/>
        <w:rPr>
          <w:u w:val="none"/>
          <w:lang w:val="es-ES_tradnl"/>
        </w:rPr>
      </w:pPr>
      <w:bookmarkStart w:id="34" w:name="_Toc78467006"/>
      <w:r w:rsidRPr="004854BC">
        <w:rPr>
          <w:lang w:val="es-ES_tradnl"/>
        </w:rPr>
        <w:t>Auditoría externa</w:t>
      </w:r>
      <w:bookmarkEnd w:id="34"/>
      <w:r w:rsidR="00BE13E4" w:rsidRPr="004854BC">
        <w:rPr>
          <w:u w:val="none"/>
          <w:lang w:val="es-ES_tradnl"/>
        </w:rPr>
        <w:t xml:space="preserve"> </w:t>
      </w:r>
      <w:bookmarkStart w:id="35" w:name="_Toc36156395"/>
      <w:bookmarkStart w:id="36" w:name="_Toc36236039"/>
      <w:bookmarkStart w:id="37" w:name="_Toc36156396"/>
      <w:bookmarkStart w:id="38" w:name="_Toc36236040"/>
      <w:bookmarkEnd w:id="35"/>
      <w:bookmarkEnd w:id="36"/>
      <w:bookmarkEnd w:id="37"/>
      <w:bookmarkEnd w:id="38"/>
    </w:p>
    <w:p w:rsidR="00BE13E4" w:rsidRPr="004854BC" w:rsidRDefault="00BE13E4" w:rsidP="00BE13E4">
      <w:pPr>
        <w:rPr>
          <w:lang w:val="es-ES_tradnl"/>
        </w:rPr>
      </w:pPr>
    </w:p>
    <w:p w:rsidR="00BE13E4" w:rsidRPr="004854BC" w:rsidRDefault="0090461E" w:rsidP="00031B6F">
      <w:pPr>
        <w:pStyle w:val="ONUME"/>
        <w:tabs>
          <w:tab w:val="left" w:pos="0"/>
        </w:tabs>
        <w:spacing w:after="0"/>
        <w:rPr>
          <w:lang w:val="es-ES_tradnl"/>
        </w:rPr>
      </w:pPr>
      <w:r w:rsidRPr="004854BC">
        <w:rPr>
          <w:lang w:val="es-ES_tradnl"/>
        </w:rPr>
        <w:t>La Comisión se reunió con los representantes del auditor externo, esto es, la Oficina Nacional de Auditoría (Reino Unido)</w:t>
      </w:r>
      <w:r w:rsidR="00963A3D">
        <w:rPr>
          <w:lang w:val="es-ES_tradnl"/>
        </w:rPr>
        <w:t>,</w:t>
      </w:r>
      <w:r w:rsidRPr="004854BC">
        <w:rPr>
          <w:lang w:val="es-ES_tradnl"/>
        </w:rPr>
        <w:t xml:space="preserve"> en todas las sesiones que se celebraron durante el período que abarca el informe, </w:t>
      </w:r>
      <w:r w:rsidR="00031B6F" w:rsidRPr="004854BC">
        <w:rPr>
          <w:lang w:val="es-ES_tradnl"/>
        </w:rPr>
        <w:t>y con los miembros de la Dirección presentes. La Comisión celebró además sesiones privadas con dichos representantes</w:t>
      </w:r>
      <w:r w:rsidR="00BE13E4" w:rsidRPr="004854BC">
        <w:rPr>
          <w:lang w:val="es-ES_tradnl"/>
        </w:rPr>
        <w:t>.</w:t>
      </w:r>
    </w:p>
    <w:p w:rsidR="00BE13E4" w:rsidRPr="004854BC" w:rsidRDefault="00BE13E4" w:rsidP="00BE13E4">
      <w:pPr>
        <w:pStyle w:val="ONUME"/>
        <w:numPr>
          <w:ilvl w:val="0"/>
          <w:numId w:val="0"/>
        </w:numPr>
        <w:tabs>
          <w:tab w:val="left" w:pos="0"/>
        </w:tabs>
        <w:spacing w:after="0"/>
        <w:rPr>
          <w:lang w:val="es-ES_tradnl"/>
        </w:rPr>
      </w:pPr>
    </w:p>
    <w:p w:rsidR="00BE13E4" w:rsidRPr="004854BC" w:rsidRDefault="00031B6F" w:rsidP="0079411F">
      <w:pPr>
        <w:pStyle w:val="ONUME"/>
        <w:tabs>
          <w:tab w:val="left" w:pos="0"/>
        </w:tabs>
        <w:spacing w:after="0"/>
        <w:rPr>
          <w:lang w:val="es-ES_tradnl"/>
        </w:rPr>
      </w:pPr>
      <w:r w:rsidRPr="004854BC">
        <w:rPr>
          <w:lang w:val="es-ES_tradnl"/>
        </w:rPr>
        <w:t>Durante el período que abarca el informe, la Comisión examin</w:t>
      </w:r>
      <w:r w:rsidR="00927BEB">
        <w:rPr>
          <w:lang w:val="es-ES_tradnl"/>
        </w:rPr>
        <w:t>ó</w:t>
      </w:r>
      <w:r w:rsidRPr="004854BC">
        <w:rPr>
          <w:lang w:val="es-ES_tradnl"/>
        </w:rPr>
        <w:t xml:space="preserve"> los resultados de la auditoría de los estados financieros de la OMPI de 2019, y tomó nota del dictamen emitido sin reservas sobre los estados financieros y la regularidad. </w:t>
      </w:r>
      <w:r w:rsidR="00AC24E7" w:rsidRPr="004854BC">
        <w:rPr>
          <w:lang w:val="es-ES_tradnl"/>
        </w:rPr>
        <w:t>También examin</w:t>
      </w:r>
      <w:r w:rsidR="006700AE">
        <w:rPr>
          <w:lang w:val="es-ES_tradnl"/>
        </w:rPr>
        <w:t>ó</w:t>
      </w:r>
      <w:r w:rsidR="00AC24E7" w:rsidRPr="004854BC">
        <w:rPr>
          <w:lang w:val="es-ES_tradnl"/>
        </w:rPr>
        <w:t xml:space="preserve"> el plan, los progresos y los resultados de la auditoría de los estados financieros de la OMPI de 2020. En su 61.ª sesión, la </w:t>
      </w:r>
      <w:r w:rsidR="004854BC" w:rsidRPr="004854BC">
        <w:rPr>
          <w:lang w:val="es-ES_tradnl"/>
        </w:rPr>
        <w:t>Comisión</w:t>
      </w:r>
      <w:r w:rsidR="00AC24E7" w:rsidRPr="004854BC">
        <w:rPr>
          <w:lang w:val="es-ES_tradnl"/>
        </w:rPr>
        <w:t xml:space="preserve"> verificó los resultados de la auditoría de los estados financieros de la OMPI de 2020. Tomó nota con satisfacción de que la OMPI había recibido un dictamen sin reservas ni modificaciones sobre los estados financieros correspondientes al ejercicio de 2020. La Comisión tomó nota de la conclusión del auditor externo, a saber, que los estados financieros de la OMPI siguen siendo de alta calidad y se sustentan en unos </w:t>
      </w:r>
      <w:r w:rsidR="007453F9" w:rsidRPr="004854BC">
        <w:rPr>
          <w:lang w:val="es-ES_tradnl"/>
        </w:rPr>
        <w:t xml:space="preserve">sólidos </w:t>
      </w:r>
      <w:r w:rsidR="00AC24E7" w:rsidRPr="004854BC">
        <w:rPr>
          <w:lang w:val="es-ES_tradnl"/>
        </w:rPr>
        <w:t xml:space="preserve">sistemas de control interno y presentación de informes. </w:t>
      </w:r>
      <w:r w:rsidR="007453F9" w:rsidRPr="004854BC">
        <w:rPr>
          <w:lang w:val="es-ES_tradnl"/>
        </w:rPr>
        <w:t xml:space="preserve">La Comisión tomó nota además de los estados financieros adicionales del certificado de auditoría en relación con el </w:t>
      </w:r>
      <w:r w:rsidR="004854BC" w:rsidRPr="004854BC">
        <w:rPr>
          <w:lang w:val="es-ES_tradnl"/>
        </w:rPr>
        <w:t>dictamen</w:t>
      </w:r>
      <w:r w:rsidR="007453F9" w:rsidRPr="004854BC">
        <w:rPr>
          <w:lang w:val="es-ES_tradnl"/>
        </w:rPr>
        <w:t xml:space="preserve"> sobre la regularidad.</w:t>
      </w:r>
    </w:p>
    <w:p w:rsidR="00BE13E4" w:rsidRPr="004854BC" w:rsidRDefault="00BE13E4" w:rsidP="00BE13E4">
      <w:pPr>
        <w:pStyle w:val="ONUME"/>
        <w:numPr>
          <w:ilvl w:val="0"/>
          <w:numId w:val="0"/>
        </w:numPr>
        <w:tabs>
          <w:tab w:val="num" w:pos="567"/>
        </w:tabs>
        <w:spacing w:after="0"/>
        <w:rPr>
          <w:lang w:val="es-ES_tradnl"/>
        </w:rPr>
      </w:pPr>
    </w:p>
    <w:p w:rsidR="00BE13E4" w:rsidRPr="004854BC" w:rsidRDefault="00A22AED" w:rsidP="0079411F">
      <w:pPr>
        <w:pStyle w:val="ONUME"/>
        <w:spacing w:after="0"/>
        <w:rPr>
          <w:lang w:val="es-ES_tradnl"/>
        </w:rPr>
      </w:pPr>
      <w:r w:rsidRPr="004854BC">
        <w:rPr>
          <w:lang w:val="es-ES_tradnl"/>
        </w:rPr>
        <w:t>Entre los asuntos importantes examinados entre la Comisión y el auditor externo cabe citar los siguientes</w:t>
      </w:r>
      <w:r w:rsidR="00BE13E4" w:rsidRPr="004854BC">
        <w:rPr>
          <w:lang w:val="es-ES_tradnl"/>
        </w:rPr>
        <w:t xml:space="preserve">: i) </w:t>
      </w:r>
      <w:r w:rsidRPr="004854BC">
        <w:rPr>
          <w:lang w:val="es-ES_tradnl"/>
        </w:rPr>
        <w:t>en lo que respecta a la evaluación efectuada por el PBC de las oficinas en el exterior (con arreglo a lo dispuesto en la resolución de la Asamblea General de la OMPI en 2015), el auditor externo</w:t>
      </w:r>
      <w:r w:rsidR="006700AE">
        <w:rPr>
          <w:lang w:val="es-ES_tradnl"/>
        </w:rPr>
        <w:t xml:space="preserve"> se</w:t>
      </w:r>
      <w:r w:rsidRPr="004854BC">
        <w:rPr>
          <w:lang w:val="es-ES_tradnl"/>
        </w:rPr>
        <w:t xml:space="preserve"> </w:t>
      </w:r>
      <w:r w:rsidR="00FC4E75" w:rsidRPr="004854BC">
        <w:rPr>
          <w:lang w:val="es-ES_tradnl"/>
        </w:rPr>
        <w:t xml:space="preserve">manifestó </w:t>
      </w:r>
      <w:r w:rsidR="006700AE">
        <w:rPr>
          <w:lang w:val="es-ES_tradnl"/>
        </w:rPr>
        <w:t>dispuesto a</w:t>
      </w:r>
      <w:r w:rsidR="00FC4E75" w:rsidRPr="004854BC">
        <w:rPr>
          <w:lang w:val="es-ES_tradnl"/>
        </w:rPr>
        <w:t xml:space="preserve"> contribuir a examinar el proyecto de mandato con respecto a dicha evaluación, en caso de que el PBC le pidiera al auditor externo llevarla a cabo; ii) en lo que respecta a la sugerencia de la CCIS de que los fundamentos del dictamen en materia de regularidad en relación con el reglamento financiero se enuncie</w:t>
      </w:r>
      <w:r w:rsidR="006700AE">
        <w:rPr>
          <w:lang w:val="es-ES_tradnl"/>
        </w:rPr>
        <w:t>n</w:t>
      </w:r>
      <w:r w:rsidR="00FC4E75" w:rsidRPr="004854BC">
        <w:rPr>
          <w:lang w:val="es-ES_tradnl"/>
        </w:rPr>
        <w:t xml:space="preserve"> más explícita y claramente, el auditor externo le di</w:t>
      </w:r>
      <w:r w:rsidR="00707C26" w:rsidRPr="004854BC">
        <w:rPr>
          <w:lang w:val="es-ES_tradnl"/>
        </w:rPr>
        <w:t xml:space="preserve">o a la CCIS la seguridad de que el dictamen que se emita sobre los estados financieros de 2020 contendrá la formulación apropiada sobre la regularidad de las transacciones financieras, </w:t>
      </w:r>
      <w:r w:rsidR="00742EB3">
        <w:rPr>
          <w:lang w:val="es-ES_tradnl"/>
        </w:rPr>
        <w:t xml:space="preserve">de </w:t>
      </w:r>
      <w:r w:rsidR="00707C26" w:rsidRPr="004854BC">
        <w:rPr>
          <w:lang w:val="es-ES_tradnl"/>
        </w:rPr>
        <w:t xml:space="preserve">lo cual se </w:t>
      </w:r>
      <w:r w:rsidR="00742EB3">
        <w:rPr>
          <w:lang w:val="es-ES_tradnl"/>
        </w:rPr>
        <w:t>tomó nota</w:t>
      </w:r>
      <w:r w:rsidR="00707C26" w:rsidRPr="004854BC">
        <w:rPr>
          <w:lang w:val="es-ES_tradnl"/>
        </w:rPr>
        <w:t xml:space="preserve"> en la 61.ª sesión de la Comisión, y iii) en lo que respecta a las recomendaciones que se formulan en el informe sobre la evaluación de la calidad externa de la función de auditoría interna, el auditor externo manifestó su apoyo, en particular, en lo que respecta a la obligación de emitir un dictamen </w:t>
      </w:r>
      <w:r w:rsidR="00707C26" w:rsidRPr="004854BC">
        <w:rPr>
          <w:lang w:val="es-ES_tradnl"/>
        </w:rPr>
        <w:lastRenderedPageBreak/>
        <w:t>anual de auditoría sobre gobernanza, gestión de riesgos y controles internos, puesto que se trata de una de las recomendaciones formuladas por el auditor externo en ocasiones anteriores</w:t>
      </w:r>
      <w:r w:rsidR="00BE13E4" w:rsidRPr="004854BC">
        <w:rPr>
          <w:lang w:val="es-ES_tradnl"/>
        </w:rPr>
        <w:t>.</w:t>
      </w:r>
    </w:p>
    <w:p w:rsidR="00BE13E4" w:rsidRPr="004854BC" w:rsidRDefault="00BE13E4" w:rsidP="00BE13E4">
      <w:pPr>
        <w:pStyle w:val="ONUME"/>
        <w:numPr>
          <w:ilvl w:val="0"/>
          <w:numId w:val="0"/>
        </w:numPr>
        <w:spacing w:after="0"/>
        <w:rPr>
          <w:lang w:val="es-ES_tradnl"/>
        </w:rPr>
      </w:pPr>
    </w:p>
    <w:p w:rsidR="00BE13E4" w:rsidRPr="004854BC" w:rsidRDefault="004A09AF" w:rsidP="0079411F">
      <w:pPr>
        <w:pStyle w:val="ONUME"/>
        <w:rPr>
          <w:lang w:val="es-ES_tradnl"/>
        </w:rPr>
      </w:pPr>
      <w:r w:rsidRPr="004854BC">
        <w:rPr>
          <w:lang w:val="es-ES_tradnl"/>
        </w:rPr>
        <w:t xml:space="preserve">En su 61.ª sesión, la Comisión </w:t>
      </w:r>
      <w:r w:rsidR="00485A74" w:rsidRPr="004854BC">
        <w:rPr>
          <w:lang w:val="es-ES_tradnl"/>
        </w:rPr>
        <w:t xml:space="preserve">manifestó notable preocupación por la forma de rendir cuentas sobre el pasivo relativo al seguro médico tras la separación del servicio (ASHI) y por el hecho de que el auditor externo no hubiera señalado </w:t>
      </w:r>
      <w:r w:rsidR="004854BC" w:rsidRPr="004854BC">
        <w:rPr>
          <w:lang w:val="es-ES_tradnl"/>
        </w:rPr>
        <w:t>dicha</w:t>
      </w:r>
      <w:r w:rsidR="00485A74" w:rsidRPr="004854BC">
        <w:rPr>
          <w:lang w:val="es-ES_tradnl"/>
        </w:rPr>
        <w:t xml:space="preserve"> cuestión en su dictamen, habida cuenta de que el pasivo ha aumentado en 139,1 millones de francos suizos. Se señaló que dicho aumento se debe principalmente a un cambio en la estimación de</w:t>
      </w:r>
      <w:r w:rsidR="008F7E08">
        <w:rPr>
          <w:lang w:val="es-ES_tradnl"/>
        </w:rPr>
        <w:t xml:space="preserve"> la incidencia de</w:t>
      </w:r>
      <w:r w:rsidR="00485A74" w:rsidRPr="004854BC">
        <w:rPr>
          <w:lang w:val="es-ES_tradnl"/>
        </w:rPr>
        <w:t xml:space="preserve"> los futuros costos </w:t>
      </w:r>
      <w:r w:rsidR="004854BC" w:rsidRPr="004854BC">
        <w:rPr>
          <w:lang w:val="es-ES_tradnl"/>
        </w:rPr>
        <w:t>médicos</w:t>
      </w:r>
      <w:r w:rsidR="00485A74" w:rsidRPr="004854BC">
        <w:rPr>
          <w:lang w:val="es-ES_tradnl"/>
        </w:rPr>
        <w:t xml:space="preserve">. El representante del auditor externo explicó que el umbral </w:t>
      </w:r>
      <w:r w:rsidR="006700AE" w:rsidRPr="004854BC">
        <w:rPr>
          <w:lang w:val="es-ES_tradnl"/>
        </w:rPr>
        <w:t xml:space="preserve">que ellos utilizan </w:t>
      </w:r>
      <w:r w:rsidR="00485A74" w:rsidRPr="004854BC">
        <w:rPr>
          <w:lang w:val="es-ES_tradnl"/>
        </w:rPr>
        <w:t xml:space="preserve">para decidir </w:t>
      </w:r>
      <w:r w:rsidR="004521F8" w:rsidRPr="004854BC">
        <w:rPr>
          <w:lang w:val="es-ES_tradnl"/>
        </w:rPr>
        <w:t xml:space="preserve">si una cuestión debe señalarse es muy alto, y que en el caso de la OMPI, a su juicio, no se </w:t>
      </w:r>
      <w:r w:rsidR="006700AE">
        <w:rPr>
          <w:lang w:val="es-ES_tradnl"/>
        </w:rPr>
        <w:t>alcanza</w:t>
      </w:r>
      <w:r w:rsidR="004521F8" w:rsidRPr="004854BC">
        <w:rPr>
          <w:lang w:val="es-ES_tradnl"/>
        </w:rPr>
        <w:t>.</w:t>
      </w:r>
    </w:p>
    <w:p w:rsidR="00BE13E4" w:rsidRPr="004854BC" w:rsidRDefault="004521F8" w:rsidP="00BE13E4">
      <w:pPr>
        <w:pStyle w:val="Heading3"/>
        <w:numPr>
          <w:ilvl w:val="0"/>
          <w:numId w:val="36"/>
        </w:numPr>
        <w:tabs>
          <w:tab w:val="left" w:pos="567"/>
        </w:tabs>
        <w:spacing w:before="0" w:after="0"/>
        <w:ind w:hanging="900"/>
        <w:rPr>
          <w:lang w:val="es-ES_tradnl"/>
        </w:rPr>
      </w:pPr>
      <w:bookmarkStart w:id="39" w:name="_Toc78467007"/>
      <w:r w:rsidRPr="004854BC">
        <w:rPr>
          <w:lang w:val="es-ES_tradnl"/>
        </w:rPr>
        <w:t>Informes financieros</w:t>
      </w:r>
      <w:bookmarkStart w:id="40" w:name="_Toc40372254"/>
      <w:bookmarkEnd w:id="39"/>
    </w:p>
    <w:bookmarkEnd w:id="40"/>
    <w:p w:rsidR="00BE13E4" w:rsidRPr="004854BC" w:rsidRDefault="00BE13E4" w:rsidP="00BE13E4">
      <w:pPr>
        <w:rPr>
          <w:szCs w:val="22"/>
          <w:lang w:val="es-ES_tradnl"/>
        </w:rPr>
      </w:pPr>
    </w:p>
    <w:p w:rsidR="00BE13E4" w:rsidRPr="004854BC" w:rsidRDefault="004521F8" w:rsidP="00BE13E4">
      <w:pPr>
        <w:ind w:left="567"/>
        <w:rPr>
          <w:i/>
          <w:szCs w:val="22"/>
          <w:lang w:val="es-ES_tradnl"/>
        </w:rPr>
      </w:pPr>
      <w:r w:rsidRPr="004854BC">
        <w:rPr>
          <w:i/>
          <w:szCs w:val="22"/>
          <w:lang w:val="es-ES_tradnl"/>
        </w:rPr>
        <w:t xml:space="preserve">Estados financieros de la OMPI: </w:t>
      </w:r>
      <w:r w:rsidR="00BE13E4" w:rsidRPr="004854BC">
        <w:rPr>
          <w:i/>
          <w:szCs w:val="22"/>
          <w:lang w:val="es-ES_tradnl"/>
        </w:rPr>
        <w:t xml:space="preserve">2019 </w:t>
      </w:r>
      <w:r w:rsidRPr="004854BC">
        <w:rPr>
          <w:i/>
          <w:szCs w:val="22"/>
          <w:lang w:val="es-ES_tradnl"/>
        </w:rPr>
        <w:t>y</w:t>
      </w:r>
      <w:r w:rsidR="00BE13E4" w:rsidRPr="004854BC">
        <w:rPr>
          <w:i/>
          <w:szCs w:val="22"/>
          <w:lang w:val="es-ES_tradnl"/>
        </w:rPr>
        <w:t xml:space="preserve"> 2020</w:t>
      </w:r>
    </w:p>
    <w:p w:rsidR="00BE13E4" w:rsidRPr="004854BC" w:rsidRDefault="00BE13E4" w:rsidP="00BE13E4">
      <w:pPr>
        <w:rPr>
          <w:lang w:val="es-ES_tradnl"/>
        </w:rPr>
      </w:pPr>
    </w:p>
    <w:p w:rsidR="00BE13E4" w:rsidRPr="004854BC" w:rsidRDefault="004521F8" w:rsidP="0079411F">
      <w:pPr>
        <w:pStyle w:val="ONUME"/>
        <w:spacing w:after="0"/>
        <w:rPr>
          <w:lang w:val="es-ES_tradnl"/>
        </w:rPr>
      </w:pPr>
      <w:r w:rsidRPr="004854BC">
        <w:rPr>
          <w:lang w:val="es-ES_tradnl"/>
        </w:rPr>
        <w:t>En todas las sesiones celebradas durante el período que abarca el informe, la Comisión, junto con la Dirección, examin</w:t>
      </w:r>
      <w:r w:rsidR="004A6CDA">
        <w:rPr>
          <w:lang w:val="es-ES_tradnl"/>
        </w:rPr>
        <w:t>ó</w:t>
      </w:r>
      <w:r w:rsidRPr="004854BC">
        <w:rPr>
          <w:lang w:val="es-ES_tradnl"/>
        </w:rPr>
        <w:t xml:space="preserve"> las cuestiones relativas a los informes financieros. En su 57.ª sesión, examinaron los estados financieros de la OMPI de 2019 y tomaron nota de que el ejercicio financiero de la OMPI de 2019 había arrojado buenos resultados. </w:t>
      </w:r>
      <w:r w:rsidR="00F42468" w:rsidRPr="004854BC">
        <w:rPr>
          <w:lang w:val="es-ES_tradnl"/>
        </w:rPr>
        <w:t>La Comisión acogió con agrado toda la información adicional incluida en los estados financieros de 2019, también la relativa a los efectos de la pandemia de COVID-19. La Dirección le dio a la Comisión la seguridad de que la Organización es estable desde el punto de vista financiero y no ha sufrido ninguna disminución durante 2019. En su 60.ª sesión, examin</w:t>
      </w:r>
      <w:r w:rsidR="003B11EB">
        <w:rPr>
          <w:lang w:val="es-ES_tradnl"/>
        </w:rPr>
        <w:t>aron los estados financieros de </w:t>
      </w:r>
      <w:r w:rsidR="00F42468" w:rsidRPr="004854BC">
        <w:rPr>
          <w:lang w:val="es-ES_tradnl"/>
        </w:rPr>
        <w:t>2020 y se señaló con satisfacción que el rendimiento financiero de la OMPI había seguido mejorando en 2020. En general, la Comisión confirmó que, en 2020, la pandemia de COVID-19 no ha tenido un efecto negativo en la situación financiera de la OMPI. La Comisión obtuvo de nuevo la confirmación de la Dirección de que no se han producido cambios en la política de inversión y que no ha habido incidencia alguna en la gestión financiera de la Organización</w:t>
      </w:r>
      <w:r w:rsidR="00BE13E4" w:rsidRPr="004854BC">
        <w:rPr>
          <w:lang w:val="es-ES_tradnl"/>
        </w:rPr>
        <w:t>.</w:t>
      </w:r>
    </w:p>
    <w:p w:rsidR="00BE13E4" w:rsidRPr="004854BC" w:rsidRDefault="00BE13E4" w:rsidP="00BE13E4">
      <w:pPr>
        <w:pStyle w:val="ONUME"/>
        <w:numPr>
          <w:ilvl w:val="0"/>
          <w:numId w:val="0"/>
        </w:numPr>
        <w:spacing w:after="0"/>
        <w:rPr>
          <w:lang w:val="es-ES_tradnl"/>
        </w:rPr>
      </w:pPr>
    </w:p>
    <w:p w:rsidR="00BE13E4" w:rsidRPr="004854BC" w:rsidRDefault="00420DD8" w:rsidP="0079411F">
      <w:pPr>
        <w:pStyle w:val="ONUME"/>
        <w:rPr>
          <w:lang w:val="es-ES_tradnl"/>
        </w:rPr>
      </w:pPr>
      <w:r w:rsidRPr="004854BC">
        <w:rPr>
          <w:lang w:val="es-ES_tradnl"/>
        </w:rPr>
        <w:t xml:space="preserve">En su 61.ª sesión, la Comisión preguntó por las estimaciones de las prestaciones de los empleados después de la separación del servicio, </w:t>
      </w:r>
      <w:r w:rsidR="004A64CB" w:rsidRPr="004854BC">
        <w:rPr>
          <w:lang w:val="es-ES_tradnl"/>
        </w:rPr>
        <w:t>integradas</w:t>
      </w:r>
      <w:r w:rsidRPr="004854BC">
        <w:rPr>
          <w:lang w:val="es-ES_tradnl"/>
        </w:rPr>
        <w:t xml:space="preserve"> principalmente </w:t>
      </w:r>
      <w:r w:rsidR="004A64CB" w:rsidRPr="004854BC">
        <w:rPr>
          <w:lang w:val="es-ES_tradnl"/>
        </w:rPr>
        <w:t>por el</w:t>
      </w:r>
      <w:r w:rsidRPr="004854BC">
        <w:rPr>
          <w:lang w:val="es-ES_tradnl"/>
        </w:rPr>
        <w:t xml:space="preserve"> ASHI.</w:t>
      </w:r>
      <w:r w:rsidR="004A64CB" w:rsidRPr="004854BC">
        <w:rPr>
          <w:lang w:val="es-ES_tradnl"/>
        </w:rPr>
        <w:t xml:space="preserve"> Dichas estimaciones han sido calculadas por un actuario independiente. Entre l</w:t>
      </w:r>
      <w:r w:rsidR="00DC7A42" w:rsidRPr="004854BC">
        <w:rPr>
          <w:lang w:val="es-ES_tradnl"/>
        </w:rPr>
        <w:t>a</w:t>
      </w:r>
      <w:r w:rsidR="004A64CB" w:rsidRPr="004854BC">
        <w:rPr>
          <w:lang w:val="es-ES_tradnl"/>
        </w:rPr>
        <w:t xml:space="preserve">s </w:t>
      </w:r>
      <w:r w:rsidR="00DC7A42" w:rsidRPr="004854BC">
        <w:rPr>
          <w:lang w:val="es-ES_tradnl"/>
        </w:rPr>
        <w:t>hipótesis</w:t>
      </w:r>
      <w:r w:rsidR="004A64CB" w:rsidRPr="004854BC">
        <w:rPr>
          <w:lang w:val="es-ES_tradnl"/>
        </w:rPr>
        <w:t xml:space="preserve"> actuariales figuran</w:t>
      </w:r>
      <w:r w:rsidR="008F7E08">
        <w:rPr>
          <w:lang w:val="es-ES_tradnl"/>
        </w:rPr>
        <w:t>, por ejemplo,</w:t>
      </w:r>
      <w:r w:rsidR="004A64CB" w:rsidRPr="004854BC">
        <w:rPr>
          <w:lang w:val="es-ES_tradnl"/>
        </w:rPr>
        <w:t xml:space="preserve"> la tasa de descuento, la tasa de evolución de los costos </w:t>
      </w:r>
      <w:r w:rsidR="004854BC" w:rsidRPr="004854BC">
        <w:rPr>
          <w:lang w:val="es-ES_tradnl"/>
        </w:rPr>
        <w:t>médicos</w:t>
      </w:r>
      <w:r w:rsidR="004A64CB" w:rsidRPr="004854BC">
        <w:rPr>
          <w:lang w:val="es-ES_tradnl"/>
        </w:rPr>
        <w:t xml:space="preserve">, la clasificación por edades del reembolso de gastos </w:t>
      </w:r>
      <w:r w:rsidR="004854BC" w:rsidRPr="004854BC">
        <w:rPr>
          <w:lang w:val="es-ES_tradnl"/>
        </w:rPr>
        <w:t>médicos</w:t>
      </w:r>
      <w:r w:rsidR="004A64CB" w:rsidRPr="004854BC">
        <w:rPr>
          <w:lang w:val="es-ES_tradnl"/>
        </w:rPr>
        <w:t xml:space="preserve">, el índice de jubilación y la tasa de mortalidad. </w:t>
      </w:r>
      <w:r w:rsidR="008F7E08">
        <w:rPr>
          <w:lang w:val="es-ES_tradnl"/>
        </w:rPr>
        <w:t>El pasivo global incide en grado sumo en las</w:t>
      </w:r>
      <w:r w:rsidR="00DC7A42" w:rsidRPr="004854BC">
        <w:rPr>
          <w:lang w:val="es-ES_tradnl"/>
        </w:rPr>
        <w:t xml:space="preserve"> hipótesis; </w:t>
      </w:r>
      <w:r w:rsidR="007A588C">
        <w:rPr>
          <w:lang w:val="es-ES_tradnl"/>
        </w:rPr>
        <w:t>por ejemplo</w:t>
      </w:r>
      <w:r w:rsidR="00DC7A42" w:rsidRPr="004854BC">
        <w:rPr>
          <w:lang w:val="es-ES_tradnl"/>
        </w:rPr>
        <w:t xml:space="preserve">, los aumentos en las tendencias previstas de los costos </w:t>
      </w:r>
      <w:r w:rsidR="004D20E4" w:rsidRPr="004854BC">
        <w:rPr>
          <w:lang w:val="es-ES_tradnl"/>
        </w:rPr>
        <w:t>médicos</w:t>
      </w:r>
      <w:r w:rsidR="00DC7A42" w:rsidRPr="004854BC">
        <w:rPr>
          <w:lang w:val="es-ES_tradnl"/>
        </w:rPr>
        <w:t xml:space="preserve"> o en la tasa de descuento pueden incidir considerablemente en el pasivo global.</w:t>
      </w:r>
      <w:r w:rsidR="004D20E4" w:rsidRPr="004854BC">
        <w:rPr>
          <w:lang w:val="es-ES_tradnl"/>
        </w:rPr>
        <w:t xml:space="preserve"> El cambio en alguno de los aspectos de los métodos de valoración</w:t>
      </w:r>
      <w:r w:rsidR="00DC7A42" w:rsidRPr="004854BC">
        <w:rPr>
          <w:lang w:val="es-ES_tradnl"/>
        </w:rPr>
        <w:t xml:space="preserve"> </w:t>
      </w:r>
      <w:r w:rsidR="004D20E4" w:rsidRPr="004854BC">
        <w:rPr>
          <w:lang w:val="es-ES_tradnl"/>
        </w:rPr>
        <w:t xml:space="preserve">y las hipótesis subyacentes relativas al ASHI han producido un aumento del pasivo de 139,1 millones de francos suizos. Aunque en las notas se ha incorporado la información apropiada, a juicio de la Comisión, ese cambio en la valoración del pasivo es muy importante. </w:t>
      </w:r>
      <w:r w:rsidR="007A588C" w:rsidRPr="004854BC">
        <w:rPr>
          <w:lang w:val="es-ES_tradnl"/>
        </w:rPr>
        <w:t xml:space="preserve">Preocupa </w:t>
      </w:r>
      <w:r w:rsidR="004D20E4" w:rsidRPr="004854BC">
        <w:rPr>
          <w:lang w:val="es-ES_tradnl"/>
        </w:rPr>
        <w:t xml:space="preserve">además </w:t>
      </w:r>
      <w:r w:rsidR="007A588C" w:rsidRPr="004854BC">
        <w:rPr>
          <w:lang w:val="es-ES_tradnl"/>
        </w:rPr>
        <w:t xml:space="preserve">a la Comisión </w:t>
      </w:r>
      <w:r w:rsidR="004D20E4" w:rsidRPr="004854BC">
        <w:rPr>
          <w:lang w:val="es-ES_tradnl"/>
        </w:rPr>
        <w:t xml:space="preserve">que </w:t>
      </w:r>
      <w:r w:rsidR="007A588C">
        <w:rPr>
          <w:lang w:val="es-ES_tradnl"/>
        </w:rPr>
        <w:t>haya diferentes enfoques para calcular el</w:t>
      </w:r>
      <w:r w:rsidR="004D20E4" w:rsidRPr="004854BC">
        <w:rPr>
          <w:lang w:val="es-ES_tradnl"/>
        </w:rPr>
        <w:t xml:space="preserve"> pasivo en las </w:t>
      </w:r>
      <w:r w:rsidR="007A588C">
        <w:rPr>
          <w:lang w:val="es-ES_tradnl"/>
        </w:rPr>
        <w:t>distintas</w:t>
      </w:r>
      <w:r w:rsidR="004D20E4" w:rsidRPr="004854BC">
        <w:rPr>
          <w:lang w:val="es-ES_tradnl"/>
        </w:rPr>
        <w:t xml:space="preserve"> organizaciones del sistema de las Naciones Unidas.</w:t>
      </w:r>
    </w:p>
    <w:p w:rsidR="00BE13E4" w:rsidRPr="004854BC" w:rsidRDefault="004521F8" w:rsidP="00BE13E4">
      <w:pPr>
        <w:pStyle w:val="ONUME"/>
        <w:numPr>
          <w:ilvl w:val="0"/>
          <w:numId w:val="0"/>
        </w:numPr>
        <w:spacing w:after="0"/>
        <w:ind w:left="567"/>
        <w:rPr>
          <w:i/>
          <w:lang w:val="es-ES_tradnl"/>
        </w:rPr>
      </w:pPr>
      <w:r w:rsidRPr="004854BC">
        <w:rPr>
          <w:i/>
          <w:lang w:val="es-ES_tradnl"/>
        </w:rPr>
        <w:t xml:space="preserve">Actualizaciones de </w:t>
      </w:r>
      <w:r w:rsidR="004D20E4" w:rsidRPr="004854BC">
        <w:rPr>
          <w:i/>
          <w:lang w:val="es-ES_tradnl"/>
        </w:rPr>
        <w:t xml:space="preserve">la </w:t>
      </w:r>
      <w:r w:rsidRPr="004854BC">
        <w:rPr>
          <w:i/>
          <w:lang w:val="es-ES_tradnl"/>
        </w:rPr>
        <w:t>política contable</w:t>
      </w:r>
    </w:p>
    <w:p w:rsidR="00BE13E4" w:rsidRPr="004854BC" w:rsidRDefault="00BE13E4" w:rsidP="00BE13E4">
      <w:pPr>
        <w:pStyle w:val="ONUME"/>
        <w:numPr>
          <w:ilvl w:val="0"/>
          <w:numId w:val="0"/>
        </w:numPr>
        <w:spacing w:after="0"/>
        <w:rPr>
          <w:lang w:val="es-ES_tradnl"/>
        </w:rPr>
      </w:pPr>
    </w:p>
    <w:p w:rsidR="00BE13E4" w:rsidRPr="004854BC" w:rsidRDefault="0079411F" w:rsidP="00D47C0C">
      <w:pPr>
        <w:pStyle w:val="ONUME"/>
        <w:spacing w:after="0"/>
        <w:rPr>
          <w:lang w:val="es-ES_tradnl"/>
        </w:rPr>
      </w:pPr>
      <w:r w:rsidRPr="004854BC">
        <w:rPr>
          <w:lang w:val="es-ES_tradnl"/>
        </w:rPr>
        <w:t xml:space="preserve">La Comisión recibió información acerca de las actualizaciones de la política contable, en que se describen los cambios en los umbrales de capitalización de la propiedad y en </w:t>
      </w:r>
      <w:r w:rsidR="000D3208" w:rsidRPr="004854BC">
        <w:rPr>
          <w:lang w:val="es-ES_tradnl"/>
        </w:rPr>
        <w:t xml:space="preserve">los criterios contables con respecto a nuevos productos de la OMPI, como WIPO Proof, la herramienta de la OMPI de búsqueda de imágenes similares y WIPO Translate, en la medida en que guardan relación con la norma IPSAS 9, sobre “Ingresos de transacciones con contraprestación”. En su 59.ª sesión, la Comisión tomó nota de que todavía no se han concretado las características específicas de estos nuevos productos y de que, hecho eso, se perfeccionarán y finalizarán como corresponda los criterios contables pertinentes. En lo que respecta a los aumentos registrados en los umbrales de capitalización de la propiedad, </w:t>
      </w:r>
      <w:r w:rsidR="00D47C0C" w:rsidRPr="004854BC">
        <w:rPr>
          <w:lang w:val="es-ES_tradnl"/>
        </w:rPr>
        <w:t xml:space="preserve">se </w:t>
      </w:r>
      <w:r w:rsidR="00D47C0C" w:rsidRPr="004854BC">
        <w:rPr>
          <w:lang w:val="es-ES_tradnl"/>
        </w:rPr>
        <w:lastRenderedPageBreak/>
        <w:t xml:space="preserve">aseguró a </w:t>
      </w:r>
      <w:r w:rsidR="000D3208" w:rsidRPr="004854BC">
        <w:rPr>
          <w:lang w:val="es-ES_tradnl"/>
        </w:rPr>
        <w:t xml:space="preserve">la Comisión que dichos aumentos no </w:t>
      </w:r>
      <w:r w:rsidR="00D47C0C" w:rsidRPr="004854BC">
        <w:rPr>
          <w:lang w:val="es-ES_tradnl"/>
        </w:rPr>
        <w:t>entrañaban un aumento de los</w:t>
      </w:r>
      <w:r w:rsidR="003B11EB">
        <w:rPr>
          <w:lang w:val="es-ES_tradnl"/>
        </w:rPr>
        <w:t xml:space="preserve"> riesgos para la </w:t>
      </w:r>
      <w:r w:rsidR="000D3208" w:rsidRPr="004854BC">
        <w:rPr>
          <w:lang w:val="es-ES_tradnl"/>
        </w:rPr>
        <w:t xml:space="preserve">OMPI. </w:t>
      </w:r>
      <w:r w:rsidR="00D47C0C" w:rsidRPr="004854BC">
        <w:rPr>
          <w:lang w:val="es-ES_tradnl"/>
        </w:rPr>
        <w:t>La Comisión valoró los motivos del aumento en los umbrales, por basarse en un análisis de costos-beneficios</w:t>
      </w:r>
      <w:r w:rsidR="003B11EB">
        <w:rPr>
          <w:lang w:val="es-ES_tradnl"/>
        </w:rPr>
        <w:t>.</w:t>
      </w:r>
    </w:p>
    <w:p w:rsidR="00BE13E4" w:rsidRPr="004854BC" w:rsidRDefault="00BE13E4" w:rsidP="00BE13E4">
      <w:pPr>
        <w:rPr>
          <w:lang w:val="es-ES_tradnl"/>
        </w:rPr>
      </w:pPr>
    </w:p>
    <w:p w:rsidR="00BE13E4" w:rsidRPr="004854BC" w:rsidRDefault="0079411F" w:rsidP="00BE13E4">
      <w:pPr>
        <w:pStyle w:val="Heading3"/>
        <w:numPr>
          <w:ilvl w:val="0"/>
          <w:numId w:val="36"/>
        </w:numPr>
        <w:tabs>
          <w:tab w:val="left" w:pos="567"/>
        </w:tabs>
        <w:spacing w:before="0" w:after="0"/>
        <w:ind w:hanging="900"/>
        <w:rPr>
          <w:lang w:val="es-ES_tradnl"/>
        </w:rPr>
      </w:pPr>
      <w:bookmarkStart w:id="41" w:name="_Toc78467008"/>
      <w:r w:rsidRPr="004854BC">
        <w:rPr>
          <w:lang w:val="es-ES_tradnl"/>
        </w:rPr>
        <w:t>Gestión de riesgos y controles internos</w:t>
      </w:r>
      <w:bookmarkEnd w:id="41"/>
    </w:p>
    <w:p w:rsidR="00BE13E4" w:rsidRPr="004854BC" w:rsidRDefault="00BE13E4" w:rsidP="00BE13E4">
      <w:pPr>
        <w:pStyle w:val="ONUME"/>
        <w:numPr>
          <w:ilvl w:val="0"/>
          <w:numId w:val="0"/>
        </w:numPr>
        <w:tabs>
          <w:tab w:val="left" w:pos="0"/>
        </w:tabs>
        <w:spacing w:after="0"/>
        <w:rPr>
          <w:szCs w:val="22"/>
          <w:u w:val="single"/>
          <w:lang w:val="es-ES_tradnl"/>
        </w:rPr>
      </w:pPr>
    </w:p>
    <w:p w:rsidR="00BE13E4" w:rsidRPr="004854BC" w:rsidRDefault="00D47C0C" w:rsidP="00BE13E4">
      <w:pPr>
        <w:pStyle w:val="ONUME"/>
        <w:numPr>
          <w:ilvl w:val="0"/>
          <w:numId w:val="0"/>
        </w:numPr>
        <w:ind w:left="567"/>
        <w:rPr>
          <w:i/>
          <w:lang w:val="es-ES_tradnl"/>
        </w:rPr>
      </w:pPr>
      <w:r w:rsidRPr="004854BC">
        <w:rPr>
          <w:i/>
          <w:lang w:val="es-ES_tradnl"/>
        </w:rPr>
        <w:t>Informes anuales de gestión de riegos:</w:t>
      </w:r>
      <w:r w:rsidR="00BE13E4" w:rsidRPr="004854BC">
        <w:rPr>
          <w:i/>
          <w:lang w:val="es-ES_tradnl"/>
        </w:rPr>
        <w:t xml:space="preserve"> 2019 </w:t>
      </w:r>
      <w:r w:rsidRPr="004854BC">
        <w:rPr>
          <w:i/>
          <w:lang w:val="es-ES_tradnl"/>
        </w:rPr>
        <w:t>y</w:t>
      </w:r>
      <w:r w:rsidR="00BE13E4" w:rsidRPr="004854BC">
        <w:rPr>
          <w:i/>
          <w:lang w:val="es-ES_tradnl"/>
        </w:rPr>
        <w:t xml:space="preserve"> 2020</w:t>
      </w:r>
    </w:p>
    <w:p w:rsidR="00BE13E4" w:rsidRPr="004854BC" w:rsidRDefault="001C555A" w:rsidP="001C555A">
      <w:pPr>
        <w:pStyle w:val="ONUME"/>
        <w:rPr>
          <w:lang w:val="es-ES_tradnl"/>
        </w:rPr>
      </w:pPr>
      <w:r w:rsidRPr="004854BC">
        <w:rPr>
          <w:lang w:val="es-ES_tradnl"/>
        </w:rPr>
        <w:t>La Dirección informó extensamente a la Comisión de las novedades introducidas por la OMPI con respecto a la gestión de riesgos y al control interno. La Comisión valora los pasos que ha dado la Dirección en lo que respecta a la incorporación de las mejores prácticas de gestión de riesgos en las actividades de la OMPI</w:t>
      </w:r>
      <w:r w:rsidR="00BE13E4" w:rsidRPr="004854BC">
        <w:rPr>
          <w:lang w:val="es-ES_tradnl"/>
        </w:rPr>
        <w:t>.</w:t>
      </w:r>
    </w:p>
    <w:p w:rsidR="00BE13E4" w:rsidRPr="004854BC" w:rsidRDefault="001C555A" w:rsidP="00441606">
      <w:pPr>
        <w:pStyle w:val="ONUME"/>
        <w:rPr>
          <w:lang w:val="es-ES_tradnl"/>
        </w:rPr>
      </w:pPr>
      <w:r w:rsidRPr="004854BC">
        <w:rPr>
          <w:lang w:val="es-ES_tradnl"/>
        </w:rPr>
        <w:t>En su 58.ª y 60.ª sesiones, la Comisión examinó con la Dirección los informes anuales de gestión de riesgos de 2019 y 2020, respectivamente. La Dirección describió los logros más importantes alcanzados en 2019 en</w:t>
      </w:r>
      <w:r w:rsidR="0077180F">
        <w:rPr>
          <w:lang w:val="es-ES_tradnl"/>
        </w:rPr>
        <w:t xml:space="preserve"> las</w:t>
      </w:r>
      <w:r w:rsidRPr="004854BC">
        <w:rPr>
          <w:lang w:val="es-ES_tradnl"/>
        </w:rPr>
        <w:t xml:space="preserve"> seis esferas de gestión de riesgos. La Comisión tomó nota </w:t>
      </w:r>
      <w:r w:rsidR="00403D12">
        <w:rPr>
          <w:lang w:val="es-ES_tradnl"/>
        </w:rPr>
        <w:t>d</w:t>
      </w:r>
      <w:r w:rsidRPr="004854BC">
        <w:rPr>
          <w:lang w:val="es-ES_tradnl"/>
        </w:rPr>
        <w:t xml:space="preserve">el refuerzo acometido en los controles internos gracias a la utilización de técnicas analíticas. En lo </w:t>
      </w:r>
      <w:r w:rsidR="008E00DC">
        <w:rPr>
          <w:lang w:val="es-ES_tradnl"/>
        </w:rPr>
        <w:t>tocante</w:t>
      </w:r>
      <w:r w:rsidRPr="004854BC">
        <w:rPr>
          <w:lang w:val="es-ES_tradnl"/>
        </w:rPr>
        <w:t xml:space="preserve"> al informe de 2020, la Comisión tomó nota con satisfacción de que la OMPI se ha autoevaluado en </w:t>
      </w:r>
      <w:r w:rsidR="00862B31" w:rsidRPr="004854BC">
        <w:rPr>
          <w:lang w:val="es-ES_tradnl"/>
        </w:rPr>
        <w:t>“</w:t>
      </w:r>
      <w:r w:rsidRPr="004854BC">
        <w:rPr>
          <w:lang w:val="es-ES_tradnl"/>
        </w:rPr>
        <w:t>Avanzada (Nivel 4)” respect</w:t>
      </w:r>
      <w:r w:rsidR="008E00DC">
        <w:rPr>
          <w:lang w:val="es-ES_tradnl"/>
        </w:rPr>
        <w:t>o</w:t>
      </w:r>
      <w:r w:rsidRPr="004854BC">
        <w:rPr>
          <w:lang w:val="es-ES_tradnl"/>
        </w:rPr>
        <w:t xml:space="preserve"> </w:t>
      </w:r>
      <w:r w:rsidR="008E00DC">
        <w:rPr>
          <w:lang w:val="es-ES_tradnl"/>
        </w:rPr>
        <w:t>de</w:t>
      </w:r>
      <w:r w:rsidRPr="004854BC">
        <w:rPr>
          <w:lang w:val="es-ES_tradnl"/>
        </w:rPr>
        <w:t xml:space="preserve">: i) </w:t>
      </w:r>
      <w:r w:rsidR="00862B31" w:rsidRPr="004854BC">
        <w:rPr>
          <w:lang w:val="es-ES_tradnl"/>
        </w:rPr>
        <w:t>Marco y Política de GRI; ii) Estructura de gobernanza y organización; iii) Procesos e integración; iv) Sistemas y herramientas; “Establecida (Nivel 3,5)” respect</w:t>
      </w:r>
      <w:r w:rsidR="00E70F34">
        <w:rPr>
          <w:lang w:val="es-ES_tradnl"/>
        </w:rPr>
        <w:t>o</w:t>
      </w:r>
      <w:r w:rsidR="00862B31" w:rsidRPr="004854BC">
        <w:rPr>
          <w:lang w:val="es-ES_tradnl"/>
        </w:rPr>
        <w:t xml:space="preserve"> </w:t>
      </w:r>
      <w:r w:rsidR="00E70F34">
        <w:rPr>
          <w:lang w:val="es-ES_tradnl"/>
        </w:rPr>
        <w:t>de</w:t>
      </w:r>
      <w:r w:rsidR="00862B31" w:rsidRPr="004854BC">
        <w:rPr>
          <w:lang w:val="es-ES_tradnl"/>
        </w:rPr>
        <w:t>: v) la capacidad de gestión y riesgo</w:t>
      </w:r>
      <w:r w:rsidR="0077180F">
        <w:rPr>
          <w:lang w:val="es-ES_tradnl"/>
        </w:rPr>
        <w:t>, y</w:t>
      </w:r>
      <w:r w:rsidR="00862B31" w:rsidRPr="004854BC">
        <w:rPr>
          <w:lang w:val="es-ES_tradnl"/>
        </w:rPr>
        <w:t xml:space="preserve"> “Establecida (Nivel 3)” respect</w:t>
      </w:r>
      <w:r w:rsidR="00E70F34">
        <w:rPr>
          <w:lang w:val="es-ES_tradnl"/>
        </w:rPr>
        <w:t>o</w:t>
      </w:r>
      <w:r w:rsidR="00862B31" w:rsidRPr="004854BC">
        <w:rPr>
          <w:lang w:val="es-ES_tradnl"/>
        </w:rPr>
        <w:t xml:space="preserve"> </w:t>
      </w:r>
      <w:r w:rsidR="00E70F34">
        <w:rPr>
          <w:lang w:val="es-ES_tradnl"/>
        </w:rPr>
        <w:t>de</w:t>
      </w:r>
      <w:r w:rsidR="00862B31" w:rsidRPr="004854BC">
        <w:rPr>
          <w:lang w:val="es-ES_tradnl"/>
        </w:rPr>
        <w:t>: vi) cultura del riesgo. En lo que respecta al informe de la Dependencia Común de Inspección (</w:t>
      </w:r>
      <w:r w:rsidR="00BE13E4" w:rsidRPr="004854BC">
        <w:rPr>
          <w:lang w:val="es-ES_tradnl"/>
        </w:rPr>
        <w:t>JIU/REP/2020/5, “</w:t>
      </w:r>
      <w:r w:rsidR="00862B31" w:rsidRPr="004854BC">
        <w:rPr>
          <w:lang w:val="es-ES_tradnl"/>
        </w:rPr>
        <w:t>Gestión de los riesgos institucionales</w:t>
      </w:r>
      <w:r w:rsidR="00BE13E4" w:rsidRPr="004854BC">
        <w:rPr>
          <w:lang w:val="es-ES_tradnl"/>
        </w:rPr>
        <w:t>:</w:t>
      </w:r>
      <w:r w:rsidR="00862B31" w:rsidRPr="004854BC">
        <w:rPr>
          <w:lang w:val="es-ES_tradnl"/>
        </w:rPr>
        <w:t xml:space="preserve"> enfoques y usos en las organizaciones del sistema de las Naciones Unidas</w:t>
      </w:r>
      <w:r w:rsidR="00BE13E4" w:rsidRPr="004854BC">
        <w:rPr>
          <w:lang w:val="es-ES_tradnl"/>
        </w:rPr>
        <w:t xml:space="preserve">”), </w:t>
      </w:r>
      <w:r w:rsidR="00862B31" w:rsidRPr="004854BC">
        <w:rPr>
          <w:lang w:val="es-ES_tradnl"/>
        </w:rPr>
        <w:t xml:space="preserve">la Comisión observó asimismo con satisfacción que, </w:t>
      </w:r>
      <w:r w:rsidR="002B5C7F" w:rsidRPr="00E058D4">
        <w:rPr>
          <w:lang w:val="es-ES_tradnl"/>
        </w:rPr>
        <w:t xml:space="preserve">de aquí al </w:t>
      </w:r>
      <w:r w:rsidR="00862B31" w:rsidRPr="00E058D4">
        <w:rPr>
          <w:lang w:val="es-ES_tradnl"/>
        </w:rPr>
        <w:t>31 de diciembre de 2021, la</w:t>
      </w:r>
      <w:r w:rsidR="00862B31" w:rsidRPr="004854BC">
        <w:rPr>
          <w:lang w:val="es-ES_tradnl"/>
        </w:rPr>
        <w:t xml:space="preserve"> OMPI </w:t>
      </w:r>
      <w:r w:rsidR="002B5C7F" w:rsidRPr="004854BC">
        <w:rPr>
          <w:lang w:val="es-ES_tradnl"/>
        </w:rPr>
        <w:t xml:space="preserve">habrá </w:t>
      </w:r>
      <w:r w:rsidR="00862B31" w:rsidRPr="004854BC">
        <w:rPr>
          <w:lang w:val="es-ES_tradnl"/>
        </w:rPr>
        <w:t>aplicado ya 14 de las recomendaciones informales, que tiene previsto aplicar una más</w:t>
      </w:r>
      <w:r w:rsidR="00E70F34">
        <w:rPr>
          <w:lang w:val="es-ES_tradnl"/>
        </w:rPr>
        <w:t>,</w:t>
      </w:r>
      <w:r w:rsidR="00862B31" w:rsidRPr="004854BC">
        <w:rPr>
          <w:lang w:val="es-ES_tradnl"/>
        </w:rPr>
        <w:t xml:space="preserve"> y que examinará las posibilidades de aplicar otras tres recomendaciones informales más</w:t>
      </w:r>
      <w:r w:rsidR="00DF0CD9">
        <w:rPr>
          <w:lang w:val="es-ES_tradnl"/>
        </w:rPr>
        <w:t>,</w:t>
      </w:r>
      <w:r w:rsidR="00862B31" w:rsidRPr="004854BC">
        <w:rPr>
          <w:lang w:val="es-ES_tradnl"/>
        </w:rPr>
        <w:t xml:space="preserve"> pertinentes para la OMPI</w:t>
      </w:r>
      <w:r w:rsidR="00BE13E4" w:rsidRPr="004854BC">
        <w:rPr>
          <w:lang w:val="es-ES_tradnl"/>
        </w:rPr>
        <w:t>.</w:t>
      </w:r>
    </w:p>
    <w:p w:rsidR="00BE13E4" w:rsidRPr="004854BC" w:rsidRDefault="0070797D" w:rsidP="00BE13E4">
      <w:pPr>
        <w:pStyle w:val="ONUME"/>
        <w:numPr>
          <w:ilvl w:val="0"/>
          <w:numId w:val="0"/>
        </w:numPr>
        <w:spacing w:after="0"/>
        <w:ind w:left="567"/>
        <w:rPr>
          <w:i/>
          <w:lang w:val="es-ES_tradnl"/>
        </w:rPr>
      </w:pPr>
      <w:r w:rsidRPr="004854BC">
        <w:rPr>
          <w:i/>
          <w:lang w:val="es-ES_tradnl"/>
        </w:rPr>
        <w:t>Riesgos mundiales</w:t>
      </w:r>
    </w:p>
    <w:p w:rsidR="00BE13E4" w:rsidRPr="004854BC" w:rsidRDefault="00BE13E4" w:rsidP="00BE13E4">
      <w:pPr>
        <w:rPr>
          <w:i/>
          <w:lang w:val="es-ES_tradnl"/>
        </w:rPr>
      </w:pPr>
    </w:p>
    <w:p w:rsidR="00BE13E4" w:rsidRPr="004854BC" w:rsidRDefault="00AA4C22" w:rsidP="00441606">
      <w:pPr>
        <w:pStyle w:val="ONUME"/>
        <w:rPr>
          <w:lang w:val="es-ES_tradnl"/>
        </w:rPr>
      </w:pPr>
      <w:r w:rsidRPr="004854BC">
        <w:rPr>
          <w:lang w:val="es-ES_tradnl"/>
        </w:rPr>
        <w:t xml:space="preserve">La ponencia a cargo de la Dirección, efectuada en la 60.ª sesión, contenía una sección sobre riesgos mundiales, que fue examinada en la reciente reunión del Equipo Técnico de Gestión de Riesgos de las Naciones Unidas, así como en la reunión del Grupo de Gestión de Riesgos de la OMPI. La contralora señaló que, en la reunión </w:t>
      </w:r>
      <w:r w:rsidR="00D77CD7">
        <w:rPr>
          <w:lang w:val="es-ES_tradnl"/>
        </w:rPr>
        <w:t>de dicho Grupo</w:t>
      </w:r>
      <w:r w:rsidRPr="004854BC">
        <w:rPr>
          <w:lang w:val="es-ES_tradnl"/>
        </w:rPr>
        <w:t xml:space="preserve">, el director general había reconocido y subrayado claramente la imperiosa necesidad de ser prudentes </w:t>
      </w:r>
      <w:r w:rsidR="00B50B18" w:rsidRPr="004854BC">
        <w:rPr>
          <w:lang w:val="es-ES_tradnl"/>
        </w:rPr>
        <w:t>en 2021</w:t>
      </w:r>
      <w:r w:rsidR="00B50B18">
        <w:rPr>
          <w:lang w:val="es-ES_tradnl"/>
        </w:rPr>
        <w:t xml:space="preserve"> </w:t>
      </w:r>
      <w:r w:rsidRPr="004854BC">
        <w:rPr>
          <w:lang w:val="es-ES_tradnl"/>
        </w:rPr>
        <w:t>desde el punto de vista financiero, así como en la planificación del próximo bienio. Aseguró asimismo a la Comisión que ha</w:t>
      </w:r>
      <w:r w:rsidR="00D77CD7">
        <w:rPr>
          <w:lang w:val="es-ES_tradnl"/>
        </w:rPr>
        <w:t>y</w:t>
      </w:r>
      <w:r w:rsidRPr="004854BC">
        <w:rPr>
          <w:lang w:val="es-ES_tradnl"/>
        </w:rPr>
        <w:t xml:space="preserve"> en vigor mecanismos de supervisión y medidas de mitigación de los riesgos</w:t>
      </w:r>
      <w:r w:rsidR="003758BA">
        <w:rPr>
          <w:lang w:val="es-ES_tradnl"/>
        </w:rPr>
        <w:t>.</w:t>
      </w:r>
    </w:p>
    <w:p w:rsidR="00BE13E4" w:rsidRPr="004854BC" w:rsidRDefault="00AA4C22" w:rsidP="00BE13E4">
      <w:pPr>
        <w:pStyle w:val="ONUME"/>
        <w:numPr>
          <w:ilvl w:val="0"/>
          <w:numId w:val="0"/>
        </w:numPr>
        <w:ind w:left="567"/>
        <w:rPr>
          <w:lang w:val="es-ES_tradnl"/>
        </w:rPr>
      </w:pPr>
      <w:r w:rsidRPr="004854BC">
        <w:rPr>
          <w:bCs/>
          <w:i/>
          <w:lang w:val="es-ES_tradnl"/>
        </w:rPr>
        <w:t xml:space="preserve">Examen de los riesgos institucionales en relación con la </w:t>
      </w:r>
      <w:r w:rsidR="00BE13E4" w:rsidRPr="004854BC">
        <w:rPr>
          <w:bCs/>
          <w:i/>
          <w:lang w:val="es-ES_tradnl"/>
        </w:rPr>
        <w:t>COVID-19</w:t>
      </w:r>
      <w:r w:rsidR="00BE13E4" w:rsidRPr="004854BC">
        <w:rPr>
          <w:bCs/>
          <w:lang w:val="es-ES_tradnl"/>
        </w:rPr>
        <w:t xml:space="preserve"> </w:t>
      </w:r>
    </w:p>
    <w:p w:rsidR="00BE13E4" w:rsidRPr="004854BC" w:rsidRDefault="00AA4C22" w:rsidP="00AA4C22">
      <w:pPr>
        <w:pStyle w:val="ONUME"/>
        <w:spacing w:after="0"/>
        <w:ind w:right="46"/>
        <w:rPr>
          <w:lang w:val="es-ES_tradnl"/>
        </w:rPr>
      </w:pPr>
      <w:r w:rsidRPr="004854BC">
        <w:rPr>
          <w:lang w:val="es-ES_tradnl"/>
        </w:rPr>
        <w:t>La Comisión valoró positivamente la detallada ponencia a cargo de la Dirección sobre los resultados del examen de riesgos institucionales relacionados con la COVID-19</w:t>
      </w:r>
      <w:r w:rsidR="00BE13E4" w:rsidRPr="004854BC">
        <w:rPr>
          <w:lang w:val="es-ES_tradnl"/>
        </w:rPr>
        <w:t xml:space="preserve">. </w:t>
      </w:r>
      <w:r w:rsidRPr="004854BC">
        <w:rPr>
          <w:lang w:val="es-ES_tradnl"/>
        </w:rPr>
        <w:t>Se señalaron nueve riesgos para la Organización</w:t>
      </w:r>
      <w:r w:rsidR="00BE13E4" w:rsidRPr="004854BC">
        <w:rPr>
          <w:lang w:val="es-ES_tradnl"/>
        </w:rPr>
        <w:t xml:space="preserve">: i) </w:t>
      </w:r>
      <w:r w:rsidR="00B50B18">
        <w:rPr>
          <w:lang w:val="es-ES_tradnl"/>
        </w:rPr>
        <w:t>p</w:t>
      </w:r>
      <w:r w:rsidR="00996DC8" w:rsidRPr="004854BC">
        <w:rPr>
          <w:lang w:val="es-ES_tradnl"/>
        </w:rPr>
        <w:t>articipación insuficiente de los Estados miembros</w:t>
      </w:r>
      <w:r w:rsidR="00BE13E4" w:rsidRPr="004854BC">
        <w:rPr>
          <w:lang w:val="es-ES_tradnl"/>
        </w:rPr>
        <w:t xml:space="preserve">; ii) </w:t>
      </w:r>
      <w:r w:rsidR="00B50B18">
        <w:rPr>
          <w:lang w:val="es-ES_tradnl"/>
        </w:rPr>
        <w:t>r</w:t>
      </w:r>
      <w:r w:rsidR="00996DC8" w:rsidRPr="004854BC">
        <w:rPr>
          <w:lang w:val="es-ES_tradnl"/>
        </w:rPr>
        <w:t>iesgo de las actividades de los planes de trabajo debido a las restricciones de viajes</w:t>
      </w:r>
      <w:r w:rsidR="00BE13E4" w:rsidRPr="004854BC">
        <w:rPr>
          <w:lang w:val="es-ES_tradnl"/>
        </w:rPr>
        <w:t xml:space="preserve">; iii) </w:t>
      </w:r>
      <w:r w:rsidR="00996DC8" w:rsidRPr="004854BC">
        <w:rPr>
          <w:lang w:val="es-ES_tradnl"/>
        </w:rPr>
        <w:t>disminución considerable de los ingresos</w:t>
      </w:r>
      <w:r w:rsidR="00BE13E4" w:rsidRPr="004854BC">
        <w:rPr>
          <w:lang w:val="es-ES_tradnl"/>
        </w:rPr>
        <w:t xml:space="preserve">; iv) </w:t>
      </w:r>
      <w:r w:rsidR="00996DC8" w:rsidRPr="004854BC">
        <w:rPr>
          <w:lang w:val="es-ES_tradnl"/>
        </w:rPr>
        <w:t>aumento de los ataques informáticos</w:t>
      </w:r>
      <w:r w:rsidR="00BE13E4" w:rsidRPr="004854BC">
        <w:rPr>
          <w:lang w:val="es-ES_tradnl"/>
        </w:rPr>
        <w:t xml:space="preserve">; v) </w:t>
      </w:r>
      <w:r w:rsidR="00996DC8" w:rsidRPr="004854BC">
        <w:rPr>
          <w:lang w:val="es-ES_tradnl"/>
        </w:rPr>
        <w:t>continuidad de las operaciones</w:t>
      </w:r>
      <w:r w:rsidR="00BE13E4" w:rsidRPr="004854BC">
        <w:rPr>
          <w:lang w:val="es-ES_tradnl"/>
        </w:rPr>
        <w:t xml:space="preserve">; vi) </w:t>
      </w:r>
      <w:r w:rsidR="00996DC8" w:rsidRPr="004854BC">
        <w:rPr>
          <w:lang w:val="es-ES_tradnl"/>
        </w:rPr>
        <w:t>operaciones bancarias o disminución del valor de las inversiones</w:t>
      </w:r>
      <w:r w:rsidR="00BE13E4" w:rsidRPr="004854BC">
        <w:rPr>
          <w:lang w:val="es-ES_tradnl"/>
        </w:rPr>
        <w:t>; vii) fa</w:t>
      </w:r>
      <w:r w:rsidR="00996DC8" w:rsidRPr="004854BC">
        <w:rPr>
          <w:lang w:val="es-ES_tradnl"/>
        </w:rPr>
        <w:t>lta de suministro de los principales proveedores</w:t>
      </w:r>
      <w:r w:rsidR="00BE13E4" w:rsidRPr="004854BC">
        <w:rPr>
          <w:lang w:val="es-ES_tradnl"/>
        </w:rPr>
        <w:t xml:space="preserve">; viii) </w:t>
      </w:r>
      <w:r w:rsidR="00996DC8" w:rsidRPr="004854BC">
        <w:rPr>
          <w:lang w:val="es-ES_tradnl"/>
        </w:rPr>
        <w:t>cuest</w:t>
      </w:r>
      <w:r w:rsidR="009015BB">
        <w:rPr>
          <w:lang w:val="es-ES_tradnl"/>
        </w:rPr>
        <w:t>iones relacionadas con la salud</w:t>
      </w:r>
      <w:r w:rsidR="00996DC8" w:rsidRPr="004854BC">
        <w:rPr>
          <w:lang w:val="es-ES_tradnl"/>
        </w:rPr>
        <w:t xml:space="preserve"> y </w:t>
      </w:r>
      <w:r w:rsidR="00BE13E4" w:rsidRPr="004854BC">
        <w:rPr>
          <w:lang w:val="es-ES_tradnl"/>
        </w:rPr>
        <w:t xml:space="preserve">ix) </w:t>
      </w:r>
      <w:r w:rsidR="00996DC8" w:rsidRPr="004854BC">
        <w:rPr>
          <w:lang w:val="es-ES_tradnl"/>
        </w:rPr>
        <w:t>aplazamiento de las iniciativas de transformación</w:t>
      </w:r>
      <w:r w:rsidR="00BE13E4" w:rsidRPr="004854BC">
        <w:rPr>
          <w:lang w:val="es-ES_tradnl"/>
        </w:rPr>
        <w:t xml:space="preserve">. </w:t>
      </w:r>
      <w:r w:rsidR="00996DC8" w:rsidRPr="004854BC">
        <w:rPr>
          <w:lang w:val="es-ES_tradnl"/>
        </w:rPr>
        <w:t>La Dirección aseguró a la Comisión que, en líneas generales, todos esos riesgos se están gestionando correctamente y que no existe ningún motivo importante de preocupación</w:t>
      </w:r>
      <w:r w:rsidR="00BE13E4" w:rsidRPr="004854BC">
        <w:rPr>
          <w:lang w:val="es-ES_tradnl"/>
        </w:rPr>
        <w:t xml:space="preserve">. </w:t>
      </w:r>
      <w:r w:rsidR="00996DC8" w:rsidRPr="004854BC">
        <w:rPr>
          <w:lang w:val="es-ES_tradnl"/>
        </w:rPr>
        <w:t>La Comisión se mostró satisfecha con los procesos de gestión de los riesgos expuestos por la Dirección</w:t>
      </w:r>
      <w:r w:rsidR="00BE13E4" w:rsidRPr="004854BC">
        <w:rPr>
          <w:lang w:val="es-ES_tradnl"/>
        </w:rPr>
        <w:t>.</w:t>
      </w:r>
    </w:p>
    <w:p w:rsidR="00BE13E4" w:rsidRPr="004854BC" w:rsidRDefault="00BE13E4" w:rsidP="00BE13E4">
      <w:pPr>
        <w:pStyle w:val="ONUME"/>
        <w:numPr>
          <w:ilvl w:val="0"/>
          <w:numId w:val="0"/>
        </w:numPr>
        <w:spacing w:after="0"/>
        <w:ind w:right="46"/>
        <w:rPr>
          <w:lang w:val="es-ES_tradnl"/>
        </w:rPr>
      </w:pPr>
    </w:p>
    <w:p w:rsidR="00BE13E4" w:rsidRPr="004854BC" w:rsidRDefault="0070797D" w:rsidP="00BE13E4">
      <w:pPr>
        <w:pStyle w:val="ONUME"/>
        <w:numPr>
          <w:ilvl w:val="0"/>
          <w:numId w:val="0"/>
        </w:numPr>
        <w:spacing w:after="0"/>
        <w:ind w:left="567" w:right="46"/>
        <w:rPr>
          <w:i/>
          <w:lang w:val="es-ES_tradnl"/>
        </w:rPr>
      </w:pPr>
      <w:r w:rsidRPr="004854BC">
        <w:rPr>
          <w:i/>
          <w:lang w:val="es-ES_tradnl"/>
        </w:rPr>
        <w:t>Declaración de apetito de riesgo</w:t>
      </w:r>
    </w:p>
    <w:p w:rsidR="00BE13E4" w:rsidRPr="004854BC" w:rsidRDefault="00BE13E4" w:rsidP="00BE13E4">
      <w:pPr>
        <w:pStyle w:val="ONUME"/>
        <w:numPr>
          <w:ilvl w:val="0"/>
          <w:numId w:val="0"/>
        </w:numPr>
        <w:spacing w:after="0"/>
        <w:ind w:right="46"/>
        <w:rPr>
          <w:lang w:val="es-ES_tradnl"/>
        </w:rPr>
      </w:pPr>
    </w:p>
    <w:p w:rsidR="00BE13E4" w:rsidRPr="004854BC" w:rsidRDefault="004663BE" w:rsidP="004663BE">
      <w:pPr>
        <w:pStyle w:val="ONUME"/>
        <w:spacing w:after="0"/>
        <w:rPr>
          <w:lang w:val="es-ES_tradnl"/>
        </w:rPr>
      </w:pPr>
      <w:r w:rsidRPr="004854BC">
        <w:rPr>
          <w:lang w:val="es-ES_tradnl"/>
        </w:rPr>
        <w:lastRenderedPageBreak/>
        <w:t xml:space="preserve">La Comisión había advertido a la Dirección, en tres sesiones distintas, que </w:t>
      </w:r>
      <w:r w:rsidR="00B50B18" w:rsidRPr="004854BC">
        <w:rPr>
          <w:lang w:val="es-ES_tradnl"/>
        </w:rPr>
        <w:t xml:space="preserve">el apetito de riesgo </w:t>
      </w:r>
      <w:r w:rsidRPr="004854BC">
        <w:rPr>
          <w:lang w:val="es-ES_tradnl"/>
        </w:rPr>
        <w:t xml:space="preserve">debía actualizarse a tenor de las circunstancias </w:t>
      </w:r>
      <w:r w:rsidR="00D77CD7">
        <w:rPr>
          <w:lang w:val="es-ES_tradnl"/>
        </w:rPr>
        <w:t>producidas</w:t>
      </w:r>
      <w:r w:rsidR="009015BB">
        <w:rPr>
          <w:lang w:val="es-ES_tradnl"/>
        </w:rPr>
        <w:t xml:space="preserve"> por la pandemia de COVID</w:t>
      </w:r>
      <w:r w:rsidR="009015BB">
        <w:rPr>
          <w:lang w:val="es-ES_tradnl"/>
        </w:rPr>
        <w:noBreakHyphen/>
      </w:r>
      <w:r w:rsidRPr="004854BC">
        <w:rPr>
          <w:lang w:val="es-ES_tradnl"/>
        </w:rPr>
        <w:t xml:space="preserve">19. Por otra parte, la Comisión señaló que la actualización de la declaración de apetito de riesgo debía efectuarse periódicamente. La Dirección </w:t>
      </w:r>
      <w:r w:rsidR="00302697">
        <w:rPr>
          <w:lang w:val="es-ES_tradnl"/>
        </w:rPr>
        <w:t>manifestó estar de acuerdo</w:t>
      </w:r>
      <w:r w:rsidRPr="004854BC">
        <w:rPr>
          <w:lang w:val="es-ES_tradnl"/>
        </w:rPr>
        <w:t xml:space="preserve"> en esa cuestión. </w:t>
      </w:r>
      <w:r w:rsidR="00302697">
        <w:rPr>
          <w:lang w:val="es-ES_tradnl"/>
        </w:rPr>
        <w:t>También</w:t>
      </w:r>
      <w:r w:rsidRPr="004854BC">
        <w:rPr>
          <w:lang w:val="es-ES_tradnl"/>
        </w:rPr>
        <w:t xml:space="preserve"> señaló que se estaba examinando la posibilidad de examinar la declaración de apetito de riesgo cada cinco años. En su 61.ª sesión, la Dirección señaló que tenía previsto actualizar la declaración de apetito de riesgo con arreglo al nuevo plan estratégico de mediano plazo y presentarla en la 34ª sesión del Comité del Programa y Presupuesto que se celebrará en septiembre de </w:t>
      </w:r>
      <w:r w:rsidR="00BE13E4" w:rsidRPr="004854BC">
        <w:rPr>
          <w:lang w:val="es-ES_tradnl"/>
        </w:rPr>
        <w:t>2022.</w:t>
      </w:r>
    </w:p>
    <w:p w:rsidR="00BE13E4" w:rsidRPr="004854BC" w:rsidRDefault="00BE13E4" w:rsidP="00BE13E4">
      <w:pPr>
        <w:pStyle w:val="ONUME"/>
        <w:numPr>
          <w:ilvl w:val="0"/>
          <w:numId w:val="0"/>
        </w:numPr>
        <w:spacing w:after="0"/>
        <w:rPr>
          <w:lang w:val="es-ES_tradnl"/>
        </w:rPr>
      </w:pPr>
    </w:p>
    <w:p w:rsidR="00BE13E4" w:rsidRPr="004854BC" w:rsidRDefault="004663BE" w:rsidP="00441606">
      <w:pPr>
        <w:pStyle w:val="ONUME"/>
        <w:spacing w:after="0"/>
        <w:rPr>
          <w:lang w:val="es-ES_tradnl"/>
        </w:rPr>
      </w:pPr>
      <w:r w:rsidRPr="004854BC">
        <w:rPr>
          <w:lang w:val="es-ES_tradnl"/>
        </w:rPr>
        <w:t>Se informó a la Comisión de la decisión adoptada por la Dirección de incluir al director de la DSI como observador en las reuniones del Grupo de Gestión de Riesgos</w:t>
      </w:r>
      <w:r w:rsidR="00BE13E4" w:rsidRPr="004854BC">
        <w:rPr>
          <w:lang w:val="es-ES_tradnl"/>
        </w:rPr>
        <w:t xml:space="preserve">. </w:t>
      </w:r>
    </w:p>
    <w:p w:rsidR="00BE13E4" w:rsidRPr="004854BC" w:rsidRDefault="00BE13E4" w:rsidP="00BE13E4">
      <w:pPr>
        <w:ind w:right="110"/>
        <w:rPr>
          <w:bCs/>
          <w:szCs w:val="22"/>
          <w:lang w:val="es-ES_tradnl"/>
        </w:rPr>
      </w:pPr>
    </w:p>
    <w:p w:rsidR="00BE13E4" w:rsidRPr="004854BC" w:rsidRDefault="00C53473" w:rsidP="00441606">
      <w:pPr>
        <w:pStyle w:val="ONUME"/>
        <w:rPr>
          <w:lang w:val="es-ES_tradnl"/>
        </w:rPr>
      </w:pPr>
      <w:r w:rsidRPr="004854BC">
        <w:rPr>
          <w:lang w:val="es-ES_tradnl"/>
        </w:rPr>
        <w:t>En el marco de la ponencia sobre la actualización de los riesgos presentada en la 61.ª sesión, la Comisión sugirió que se examin</w:t>
      </w:r>
      <w:r w:rsidR="00D77CD7">
        <w:rPr>
          <w:lang w:val="es-ES_tradnl"/>
        </w:rPr>
        <w:t>e</w:t>
      </w:r>
      <w:r w:rsidRPr="004854BC">
        <w:rPr>
          <w:lang w:val="es-ES_tradnl"/>
        </w:rPr>
        <w:t xml:space="preserve"> </w:t>
      </w:r>
      <w:r w:rsidR="00B85818">
        <w:rPr>
          <w:lang w:val="es-ES_tradnl"/>
        </w:rPr>
        <w:t>el mapa de</w:t>
      </w:r>
      <w:r w:rsidRPr="004854BC">
        <w:rPr>
          <w:lang w:val="es-ES_tradnl"/>
        </w:rPr>
        <w:t xml:space="preserve"> riesgos en sintonía con los objetivos estratégicos, los programas, los resultados previstos, los indicadores </w:t>
      </w:r>
      <w:r w:rsidR="00B85818">
        <w:rPr>
          <w:lang w:val="es-ES_tradnl"/>
        </w:rPr>
        <w:t>de rendimiento y el rendimiento de los programas</w:t>
      </w:r>
      <w:r w:rsidRPr="004854BC">
        <w:rPr>
          <w:lang w:val="es-ES_tradnl"/>
        </w:rPr>
        <w:t xml:space="preserve">. La Comisión valorará que se garantice que en la actualización de la matriz de riesgos no se omitan o </w:t>
      </w:r>
      <w:r w:rsidR="00D77CD7">
        <w:rPr>
          <w:lang w:val="es-ES_tradnl"/>
        </w:rPr>
        <w:t>no dejen de tenerse</w:t>
      </w:r>
      <w:r w:rsidRPr="004854BC">
        <w:rPr>
          <w:lang w:val="es-ES_tradnl"/>
        </w:rPr>
        <w:t xml:space="preserve"> en cuenta riesgos importantes. </w:t>
      </w:r>
      <w:r w:rsidR="00930551" w:rsidRPr="004854BC">
        <w:rPr>
          <w:lang w:val="es-ES_tradnl"/>
        </w:rPr>
        <w:t xml:space="preserve">La Comisión sugirió además que se pongan en </w:t>
      </w:r>
      <w:r w:rsidR="00C1159E" w:rsidRPr="004854BC">
        <w:rPr>
          <w:lang w:val="es-ES_tradnl"/>
        </w:rPr>
        <w:t>funcionamiento</w:t>
      </w:r>
      <w:r w:rsidR="00930551" w:rsidRPr="004854BC">
        <w:rPr>
          <w:lang w:val="es-ES_tradnl"/>
        </w:rPr>
        <w:t xml:space="preserve"> sistemas de control para mitigar los riesgos en relación con las prestaciones de jubilación, que constituyen un pasivo importante en los estados financieros</w:t>
      </w:r>
      <w:r w:rsidR="00BE13E4" w:rsidRPr="004854BC">
        <w:rPr>
          <w:lang w:val="es-ES_tradnl"/>
        </w:rPr>
        <w:t xml:space="preserve">. </w:t>
      </w:r>
    </w:p>
    <w:p w:rsidR="00BE13E4" w:rsidRPr="004854BC" w:rsidRDefault="00BE13E4" w:rsidP="00BE13E4">
      <w:pPr>
        <w:ind w:left="567"/>
        <w:rPr>
          <w:i/>
          <w:lang w:val="es-ES_tradnl"/>
        </w:rPr>
      </w:pPr>
      <w:r w:rsidRPr="004854BC">
        <w:rPr>
          <w:i/>
          <w:lang w:val="es-ES_tradnl"/>
        </w:rPr>
        <w:t>Se</w:t>
      </w:r>
      <w:r w:rsidR="0070797D" w:rsidRPr="004854BC">
        <w:rPr>
          <w:i/>
          <w:lang w:val="es-ES_tradnl"/>
        </w:rPr>
        <w:t>guridad y aseguramiento de la información</w:t>
      </w:r>
    </w:p>
    <w:p w:rsidR="00BE13E4" w:rsidRPr="004854BC" w:rsidRDefault="00BE13E4" w:rsidP="00BE13E4">
      <w:pPr>
        <w:rPr>
          <w:i/>
          <w:lang w:val="es-ES_tradnl"/>
        </w:rPr>
      </w:pPr>
    </w:p>
    <w:p w:rsidR="00BE13E4" w:rsidRPr="004854BC" w:rsidRDefault="00930551" w:rsidP="00A87883">
      <w:pPr>
        <w:pStyle w:val="ONUME"/>
        <w:spacing w:after="0"/>
        <w:rPr>
          <w:lang w:val="es-ES_tradnl"/>
        </w:rPr>
      </w:pPr>
      <w:r w:rsidRPr="004854BC">
        <w:rPr>
          <w:lang w:val="es-ES_tradnl"/>
        </w:rPr>
        <w:t xml:space="preserve">El oficial jefe de Seguridad de la OMPI presentó a la Comisión información exhaustiva sobre seguridad y aseguramiento de la información. La Comisión quedó impresionada por los logros alcanzados en la aplicación de la estrategia de aseguramiento de la información y el plan estratégico de seguridad para 2016-2021, así como por los sistemas y procesos actualmente en vigor para garantizar </w:t>
      </w:r>
      <w:r w:rsidR="00AB172B" w:rsidRPr="004854BC">
        <w:rPr>
          <w:lang w:val="es-ES_tradnl"/>
        </w:rPr>
        <w:t xml:space="preserve">la continuación de las mejoras. Si bien la Comisión observó que el terrorismo y el acceso indebido a la información siguen ocupando un lugar destacado en el mapa de riesgos de la OMPI, confía en que esos y los demás riesgos se están gestionando adecuadamente y que la seguridad de la información está garantizada. </w:t>
      </w:r>
      <w:r w:rsidR="00A87883" w:rsidRPr="004854BC">
        <w:rPr>
          <w:lang w:val="es-ES_tradnl"/>
        </w:rPr>
        <w:t xml:space="preserve">El oficial jefe de Seguridad confirmó que hasta la fecha no se ha materializado ninguno de los </w:t>
      </w:r>
      <w:r w:rsidR="00BF672C" w:rsidRPr="004854BC">
        <w:rPr>
          <w:lang w:val="es-ES_tradnl"/>
        </w:rPr>
        <w:t xml:space="preserve">riesgos </w:t>
      </w:r>
      <w:r w:rsidR="00A87883" w:rsidRPr="004854BC">
        <w:rPr>
          <w:lang w:val="es-ES_tradnl"/>
        </w:rPr>
        <w:t xml:space="preserve">posibles. También aseguró a la Comisión que ya se están adoptando medidas para hacer frente a ese riesgo mediante la diversificación de los proveedores de servicios y la evaluación del riesgo que entrañan los proveedores de servicios. También ofreció garantías a la Comisión sobre la seguridad del sistema de correo electrónico de la OMPI. En general, la Comisión observó con satisfacción que los sistemas y procesos de la OMPI </w:t>
      </w:r>
      <w:r w:rsidR="00B85818">
        <w:rPr>
          <w:lang w:val="es-ES_tradnl"/>
        </w:rPr>
        <w:t>cuentan con buena protección</w:t>
      </w:r>
      <w:r w:rsidR="00A87883" w:rsidRPr="004854BC">
        <w:rPr>
          <w:lang w:val="es-ES_tradnl"/>
        </w:rPr>
        <w:t xml:space="preserve">, en particular, durante la pandemia de </w:t>
      </w:r>
      <w:r w:rsidR="00BE13E4" w:rsidRPr="004854BC">
        <w:rPr>
          <w:lang w:val="es-ES_tradnl"/>
        </w:rPr>
        <w:t>COVID-19.</w:t>
      </w:r>
    </w:p>
    <w:p w:rsidR="00BE13E4" w:rsidRPr="004854BC" w:rsidRDefault="00BE13E4" w:rsidP="00BE13E4">
      <w:pPr>
        <w:pStyle w:val="ONUME"/>
        <w:numPr>
          <w:ilvl w:val="0"/>
          <w:numId w:val="0"/>
        </w:numPr>
        <w:spacing w:after="0"/>
        <w:rPr>
          <w:lang w:val="es-ES_tradnl"/>
        </w:rPr>
      </w:pPr>
    </w:p>
    <w:p w:rsidR="00BE13E4" w:rsidRPr="004854BC" w:rsidRDefault="0070797D" w:rsidP="00BE13E4">
      <w:pPr>
        <w:ind w:left="567"/>
        <w:rPr>
          <w:i/>
          <w:lang w:val="es-ES_tradnl"/>
        </w:rPr>
      </w:pPr>
      <w:r w:rsidRPr="004854BC">
        <w:rPr>
          <w:i/>
          <w:lang w:val="es-ES_tradnl"/>
        </w:rPr>
        <w:t>Gestión de los recursos humanos</w:t>
      </w:r>
    </w:p>
    <w:p w:rsidR="00BE13E4" w:rsidRPr="004854BC" w:rsidRDefault="00BE13E4" w:rsidP="00BE13E4">
      <w:pPr>
        <w:rPr>
          <w:i/>
          <w:lang w:val="es-ES_tradnl"/>
        </w:rPr>
      </w:pPr>
    </w:p>
    <w:p w:rsidR="00BE13E4" w:rsidRPr="004854BC" w:rsidRDefault="008D37F3" w:rsidP="006F3E7B">
      <w:pPr>
        <w:pStyle w:val="ONUME"/>
        <w:rPr>
          <w:bCs/>
          <w:lang w:val="es-ES_tradnl"/>
        </w:rPr>
      </w:pPr>
      <w:r w:rsidRPr="004854BC">
        <w:rPr>
          <w:bCs/>
          <w:lang w:val="es-ES_tradnl"/>
        </w:rPr>
        <w:t>En sus 57.ª y 61.ª sesiones, la Comisión celebró dos reuniones</w:t>
      </w:r>
      <w:r w:rsidR="009015BB">
        <w:rPr>
          <w:bCs/>
          <w:lang w:val="es-ES_tradnl"/>
        </w:rPr>
        <w:t>, respectivamente</w:t>
      </w:r>
      <w:r w:rsidRPr="004854BC">
        <w:rPr>
          <w:bCs/>
          <w:lang w:val="es-ES_tradnl"/>
        </w:rPr>
        <w:t xml:space="preserve"> con </w:t>
      </w:r>
      <w:r w:rsidR="00194DD2" w:rsidRPr="004854BC">
        <w:rPr>
          <w:bCs/>
          <w:lang w:val="es-ES_tradnl"/>
        </w:rPr>
        <w:t>la directora</w:t>
      </w:r>
      <w:r w:rsidRPr="004854BC">
        <w:rPr>
          <w:bCs/>
          <w:lang w:val="es-ES_tradnl"/>
        </w:rPr>
        <w:t xml:space="preserve"> </w:t>
      </w:r>
      <w:r w:rsidRPr="00753F1E">
        <w:rPr>
          <w:bCs/>
          <w:lang w:val="es-ES_tradnl"/>
        </w:rPr>
        <w:t xml:space="preserve">y </w:t>
      </w:r>
      <w:r w:rsidR="00F90B47" w:rsidRPr="00753F1E">
        <w:rPr>
          <w:bCs/>
          <w:lang w:val="es-ES_tradnl"/>
        </w:rPr>
        <w:t xml:space="preserve">la </w:t>
      </w:r>
      <w:r w:rsidRPr="00753F1E">
        <w:rPr>
          <w:bCs/>
          <w:lang w:val="es-ES_tradnl"/>
        </w:rPr>
        <w:t>director</w:t>
      </w:r>
      <w:r w:rsidR="00F90B47" w:rsidRPr="00753F1E">
        <w:rPr>
          <w:bCs/>
          <w:lang w:val="es-ES_tradnl"/>
        </w:rPr>
        <w:t>a</w:t>
      </w:r>
      <w:r w:rsidRPr="00753F1E">
        <w:rPr>
          <w:bCs/>
          <w:lang w:val="es-ES_tradnl"/>
        </w:rPr>
        <w:t xml:space="preserve"> </w:t>
      </w:r>
      <w:r w:rsidR="002B5C7F" w:rsidRPr="00753F1E">
        <w:rPr>
          <w:bCs/>
          <w:lang w:val="es-ES_tradnl"/>
        </w:rPr>
        <w:t xml:space="preserve">interina </w:t>
      </w:r>
      <w:r w:rsidRPr="00753F1E">
        <w:rPr>
          <w:bCs/>
          <w:lang w:val="es-ES_tradnl"/>
        </w:rPr>
        <w:t>de</w:t>
      </w:r>
      <w:r w:rsidRPr="004854BC">
        <w:rPr>
          <w:bCs/>
          <w:lang w:val="es-ES_tradnl"/>
        </w:rPr>
        <w:t xml:space="preserve">l DGRRHH. En su 57.ª sesión, </w:t>
      </w:r>
      <w:r w:rsidR="00194DD2" w:rsidRPr="004854BC">
        <w:rPr>
          <w:bCs/>
          <w:lang w:val="es-ES_tradnl"/>
        </w:rPr>
        <w:t xml:space="preserve">la directora presentó a la Comisión información actualizada sobre el informe del rendimiento de la OMPI en 2018/19, refiriéndose específicamente al equilibrio en materia de género en el marco de una plantilla de la OMPI diversa, procedente de los 121 Estados miembros de la Organización. La directora señaló además </w:t>
      </w:r>
      <w:r w:rsidR="00F90B47" w:rsidRPr="004854BC">
        <w:rPr>
          <w:bCs/>
          <w:lang w:val="es-ES_tradnl"/>
        </w:rPr>
        <w:t xml:space="preserve">que es necesario que los trabajadores dispongan de las competencias adecuadas para hacer frente a la intensificación de la digitalización, </w:t>
      </w:r>
      <w:r w:rsidR="00734A57">
        <w:rPr>
          <w:bCs/>
          <w:lang w:val="es-ES_tradnl"/>
        </w:rPr>
        <w:t>y</w:t>
      </w:r>
      <w:r w:rsidR="00F90B47" w:rsidRPr="004854BC">
        <w:rPr>
          <w:bCs/>
          <w:lang w:val="es-ES_tradnl"/>
        </w:rPr>
        <w:t xml:space="preserve"> contratar a personal con las competencias lingüísticas adecuadas para hacer frente a la carga de trabajo en la tramitación de los </w:t>
      </w:r>
      <w:r w:rsidR="00C1159E" w:rsidRPr="004854BC">
        <w:rPr>
          <w:bCs/>
          <w:lang w:val="es-ES_tradnl"/>
        </w:rPr>
        <w:t>expedientes</w:t>
      </w:r>
      <w:r w:rsidR="00F90B47" w:rsidRPr="004854BC">
        <w:rPr>
          <w:bCs/>
          <w:lang w:val="es-ES_tradnl"/>
        </w:rPr>
        <w:t xml:space="preserve"> relativos a las patentes proceden</w:t>
      </w:r>
      <w:r w:rsidR="009015BB">
        <w:rPr>
          <w:bCs/>
          <w:lang w:val="es-ES_tradnl"/>
        </w:rPr>
        <w:t>tes de la región de Asia. En su </w:t>
      </w:r>
      <w:r w:rsidR="00F90B47" w:rsidRPr="004854BC">
        <w:rPr>
          <w:bCs/>
          <w:lang w:val="es-ES_tradnl"/>
        </w:rPr>
        <w:t xml:space="preserve">61.ª sesión, la directora interina </w:t>
      </w:r>
      <w:r w:rsidR="00C1159E" w:rsidRPr="004854BC">
        <w:rPr>
          <w:bCs/>
          <w:lang w:val="es-ES_tradnl"/>
        </w:rPr>
        <w:t>present</w:t>
      </w:r>
      <w:r w:rsidR="00753F1E">
        <w:rPr>
          <w:bCs/>
          <w:lang w:val="es-ES_tradnl"/>
        </w:rPr>
        <w:t>ó</w:t>
      </w:r>
      <w:r w:rsidR="00F90B47" w:rsidRPr="004854BC">
        <w:rPr>
          <w:bCs/>
          <w:lang w:val="es-ES_tradnl"/>
        </w:rPr>
        <w:t xml:space="preserve"> a la Comisión información actualizada sobre las principales políticas en materia de recursos humanos y sobre otras importantes actividades e iniciativas, sobre la situación del personal durante la pandemia de COVID-19 y sobre la explotación</w:t>
      </w:r>
      <w:r w:rsidR="00717036" w:rsidRPr="004854BC">
        <w:rPr>
          <w:bCs/>
          <w:lang w:val="es-ES_tradnl"/>
        </w:rPr>
        <w:t xml:space="preserve"> y los abusos sexuales</w:t>
      </w:r>
      <w:r w:rsidR="00753F1E">
        <w:rPr>
          <w:bCs/>
          <w:lang w:val="es-ES_tradnl"/>
        </w:rPr>
        <w:t>,</w:t>
      </w:r>
      <w:r w:rsidR="00717036" w:rsidRPr="004854BC">
        <w:rPr>
          <w:bCs/>
          <w:lang w:val="es-ES_tradnl"/>
        </w:rPr>
        <w:t xml:space="preserve"> </w:t>
      </w:r>
      <w:r w:rsidR="00753F1E">
        <w:rPr>
          <w:bCs/>
          <w:lang w:val="es-ES_tradnl"/>
        </w:rPr>
        <w:t>así como</w:t>
      </w:r>
      <w:r w:rsidR="00717036" w:rsidRPr="004854BC">
        <w:rPr>
          <w:bCs/>
          <w:lang w:val="es-ES_tradnl"/>
        </w:rPr>
        <w:t xml:space="preserve"> el acoso sexual. La Comisión tomó nota de las nuevas </w:t>
      </w:r>
      <w:r w:rsidR="009015BB" w:rsidRPr="004854BC">
        <w:rPr>
          <w:bCs/>
          <w:lang w:val="es-ES_tradnl"/>
        </w:rPr>
        <w:t xml:space="preserve">importantes </w:t>
      </w:r>
      <w:r w:rsidR="00717036" w:rsidRPr="004854BC">
        <w:rPr>
          <w:bCs/>
          <w:lang w:val="es-ES_tradnl"/>
        </w:rPr>
        <w:t xml:space="preserve">políticas sobre modalidades flexibles de trabajo, </w:t>
      </w:r>
      <w:r w:rsidR="006F3E7B" w:rsidRPr="004854BC">
        <w:rPr>
          <w:bCs/>
          <w:lang w:val="es-ES_tradnl"/>
        </w:rPr>
        <w:t xml:space="preserve">licencia parental, igualdad </w:t>
      </w:r>
      <w:r w:rsidR="006F3E7B" w:rsidRPr="004854BC">
        <w:rPr>
          <w:bCs/>
          <w:lang w:val="es-ES_tradnl"/>
        </w:rPr>
        <w:lastRenderedPageBreak/>
        <w:t xml:space="preserve">de género y la </w:t>
      </w:r>
      <w:r w:rsidR="002B5C7F" w:rsidRPr="004854BC">
        <w:rPr>
          <w:bCs/>
          <w:lang w:val="es-ES_tradnl"/>
        </w:rPr>
        <w:t xml:space="preserve">política </w:t>
      </w:r>
      <w:r w:rsidR="006F3E7B" w:rsidRPr="004854BC">
        <w:rPr>
          <w:bCs/>
          <w:lang w:val="es-ES_tradnl"/>
        </w:rPr>
        <w:t>relativa a la Estrategia de las Naciones Unidas para la Inclusión de la Discapacidad</w:t>
      </w:r>
      <w:r w:rsidR="00BE13E4" w:rsidRPr="004854BC">
        <w:rPr>
          <w:bCs/>
          <w:lang w:val="es-ES_tradnl"/>
        </w:rPr>
        <w:t>.</w:t>
      </w:r>
    </w:p>
    <w:p w:rsidR="00BE13E4" w:rsidRPr="004854BC" w:rsidRDefault="006F3E7B" w:rsidP="00441606">
      <w:pPr>
        <w:pStyle w:val="ONUME"/>
        <w:spacing w:after="0"/>
        <w:rPr>
          <w:lang w:val="es-ES_tradnl"/>
        </w:rPr>
      </w:pPr>
      <w:r w:rsidRPr="004854BC">
        <w:rPr>
          <w:lang w:val="es-ES_tradnl"/>
        </w:rPr>
        <w:t xml:space="preserve">En lo que respecta a la respuesta de la OMPI a la pandemia, la Comisión señaló que la estrategia de RRHH de 2017-2021 se ha adaptado a la situación actual, en particular, en lo que respecta a las dos principales políticas sobre la gestión del tiempo y el programa de recompensas y reconocimiento. La Comisión observó con satisfacción que los sistemas de gestión de los RRHH se están utilizando para supervisar las enseñanzas extraídas de las actuales modalidades de trabajo </w:t>
      </w:r>
      <w:r w:rsidR="00C1159E" w:rsidRPr="004854BC">
        <w:rPr>
          <w:lang w:val="es-ES_tradnl"/>
        </w:rPr>
        <w:t>remoto</w:t>
      </w:r>
      <w:r w:rsidRPr="004854BC">
        <w:rPr>
          <w:lang w:val="es-ES_tradnl"/>
        </w:rPr>
        <w:t xml:space="preserve"> a fin de mantener la agilidad de la Organización.</w:t>
      </w:r>
      <w:r w:rsidR="003B1CDD" w:rsidRPr="004854BC">
        <w:rPr>
          <w:lang w:val="es-ES_tradnl"/>
        </w:rPr>
        <w:t xml:space="preserve"> Observó asimismo con satisfacción que todo cambio permanente que se produzca en el entorno de trabajo se aplicará con precaución y se gestionará adecuadamente, y que se está consultando </w:t>
      </w:r>
      <w:r w:rsidR="00A250AD">
        <w:rPr>
          <w:lang w:val="es-ES_tradnl"/>
        </w:rPr>
        <w:t>a</w:t>
      </w:r>
      <w:r w:rsidR="003B1CDD" w:rsidRPr="004854BC">
        <w:rPr>
          <w:lang w:val="es-ES_tradnl"/>
        </w:rPr>
        <w:t>l Consejo del Personal sobre diversas cuestiones de RRHH para asegurar una gestión apropiada de la crisis que ha producido la pandemia</w:t>
      </w:r>
      <w:r w:rsidR="00BE13E4" w:rsidRPr="004854BC">
        <w:rPr>
          <w:lang w:val="es-ES_tradnl"/>
        </w:rPr>
        <w:t>.</w:t>
      </w:r>
    </w:p>
    <w:p w:rsidR="00BE13E4" w:rsidRPr="004854BC" w:rsidRDefault="00BE13E4" w:rsidP="00BE13E4">
      <w:pPr>
        <w:rPr>
          <w:bCs/>
          <w:lang w:val="es-ES_tradnl"/>
        </w:rPr>
      </w:pPr>
    </w:p>
    <w:p w:rsidR="00BE13E4" w:rsidRPr="004854BC" w:rsidRDefault="0060774B" w:rsidP="00441606">
      <w:pPr>
        <w:pStyle w:val="ONUME"/>
        <w:rPr>
          <w:lang w:val="es-ES_tradnl"/>
        </w:rPr>
      </w:pPr>
      <w:r w:rsidRPr="004854BC">
        <w:rPr>
          <w:lang w:val="es-ES_tradnl"/>
        </w:rPr>
        <w:t xml:space="preserve">La Comisión sugirió que en la formulación de las políticas de recursos humanos de la OMPI se tengan en cuenta los intereses de las personas lesbianas, gais, bisexuales, transgénero, </w:t>
      </w:r>
      <w:r w:rsidRPr="004854BC">
        <w:rPr>
          <w:i/>
          <w:lang w:val="es-ES_tradnl"/>
        </w:rPr>
        <w:t>queer</w:t>
      </w:r>
      <w:r w:rsidRPr="004854BC">
        <w:rPr>
          <w:lang w:val="es-ES_tradnl"/>
        </w:rPr>
        <w:t xml:space="preserve"> e intersex</w:t>
      </w:r>
      <w:r w:rsidR="00D00DC1" w:rsidRPr="004854BC">
        <w:rPr>
          <w:lang w:val="es-ES_tradnl"/>
        </w:rPr>
        <w:t xml:space="preserve">uales (LGBTQI). Por lo que respecta a las políticas sobre explotación y abuso sexual y sobre acoso sexual, la Comisión sugirió que debería informarse muy claramente al personal y a los demandantes o posibles víctimas </w:t>
      </w:r>
      <w:r w:rsidR="00264722">
        <w:rPr>
          <w:lang w:val="es-ES_tradnl"/>
        </w:rPr>
        <w:t xml:space="preserve">sobre </w:t>
      </w:r>
      <w:r w:rsidR="00D00DC1" w:rsidRPr="004854BC">
        <w:rPr>
          <w:lang w:val="es-ES_tradnl"/>
        </w:rPr>
        <w:t xml:space="preserve">a quién dirigirse en la Organización </w:t>
      </w:r>
      <w:r w:rsidR="00264722">
        <w:rPr>
          <w:lang w:val="es-ES_tradnl"/>
        </w:rPr>
        <w:t xml:space="preserve">y quiénes son las principales </w:t>
      </w:r>
      <w:r w:rsidR="00D00DC1" w:rsidRPr="004854BC">
        <w:rPr>
          <w:lang w:val="es-ES_tradnl"/>
        </w:rPr>
        <w:t>personas de contacto</w:t>
      </w:r>
      <w:r w:rsidR="00264722">
        <w:rPr>
          <w:lang w:val="es-ES_tradnl"/>
        </w:rPr>
        <w:t xml:space="preserve"> y </w:t>
      </w:r>
      <w:r w:rsidR="00734A57">
        <w:rPr>
          <w:lang w:val="es-ES_tradnl"/>
        </w:rPr>
        <w:t>las</w:t>
      </w:r>
      <w:r w:rsidR="00264722">
        <w:rPr>
          <w:lang w:val="es-ES_tradnl"/>
        </w:rPr>
        <w:t xml:space="preserve"> secundarias</w:t>
      </w:r>
      <w:r w:rsidR="00D00DC1" w:rsidRPr="004854BC">
        <w:rPr>
          <w:lang w:val="es-ES_tradnl"/>
        </w:rPr>
        <w:t xml:space="preserve">. Debería considerarse la </w:t>
      </w:r>
      <w:r w:rsidR="00C1159E" w:rsidRPr="004854BC">
        <w:rPr>
          <w:lang w:val="es-ES_tradnl"/>
        </w:rPr>
        <w:t>posibilidad</w:t>
      </w:r>
      <w:r w:rsidR="00D00DC1" w:rsidRPr="004854BC">
        <w:rPr>
          <w:lang w:val="es-ES_tradnl"/>
        </w:rPr>
        <w:t xml:space="preserve"> de establecer un canal de consultas informales y </w:t>
      </w:r>
      <w:r w:rsidR="00264722">
        <w:rPr>
          <w:lang w:val="es-ES_tradnl"/>
        </w:rPr>
        <w:t xml:space="preserve">de </w:t>
      </w:r>
      <w:r w:rsidR="00D00DC1" w:rsidRPr="004854BC">
        <w:rPr>
          <w:lang w:val="es-ES_tradnl"/>
        </w:rPr>
        <w:t>prestación</w:t>
      </w:r>
      <w:r w:rsidR="00734A57">
        <w:rPr>
          <w:lang w:val="es-ES_tradnl"/>
        </w:rPr>
        <w:t xml:space="preserve"> de apoyo al personal antes de</w:t>
      </w:r>
      <w:r w:rsidR="00D00DC1" w:rsidRPr="004854BC">
        <w:rPr>
          <w:lang w:val="es-ES_tradnl"/>
        </w:rPr>
        <w:t xml:space="preserve"> present</w:t>
      </w:r>
      <w:r w:rsidR="00734A57">
        <w:rPr>
          <w:lang w:val="es-ES_tradnl"/>
        </w:rPr>
        <w:t>ar</w:t>
      </w:r>
      <w:r w:rsidR="00D00DC1" w:rsidRPr="004854BC">
        <w:rPr>
          <w:lang w:val="es-ES_tradnl"/>
        </w:rPr>
        <w:t xml:space="preserve"> formalmente una denuncia ante la DSI. En algunas organizaciones del sistema de las Naciones Unidas, dicha función se atribuye </w:t>
      </w:r>
      <w:r w:rsidR="00264722">
        <w:rPr>
          <w:lang w:val="es-ES_tradnl"/>
        </w:rPr>
        <w:t>al</w:t>
      </w:r>
      <w:r w:rsidR="00D00DC1" w:rsidRPr="004854BC">
        <w:rPr>
          <w:lang w:val="es-ES_tradnl"/>
        </w:rPr>
        <w:t xml:space="preserve"> </w:t>
      </w:r>
      <w:r w:rsidR="00D00DC1" w:rsidRPr="00264722">
        <w:rPr>
          <w:lang w:val="es-ES_tradnl"/>
        </w:rPr>
        <w:t>oficial jef</w:t>
      </w:r>
      <w:r w:rsidR="00264722">
        <w:rPr>
          <w:lang w:val="es-ES_tradnl"/>
        </w:rPr>
        <w:t>e</w:t>
      </w:r>
      <w:r w:rsidR="00D00DC1" w:rsidRPr="00264722">
        <w:rPr>
          <w:lang w:val="es-ES_tradnl"/>
        </w:rPr>
        <w:t xml:space="preserve"> de</w:t>
      </w:r>
      <w:r w:rsidR="00D00DC1" w:rsidRPr="004854BC">
        <w:rPr>
          <w:lang w:val="es-ES_tradnl"/>
        </w:rPr>
        <w:t xml:space="preserve"> Ética Profesional</w:t>
      </w:r>
      <w:r w:rsidR="00BE13E4" w:rsidRPr="004854BC">
        <w:rPr>
          <w:lang w:val="es-ES_tradnl"/>
        </w:rPr>
        <w:t>.</w:t>
      </w:r>
    </w:p>
    <w:p w:rsidR="00BE13E4" w:rsidRPr="004854BC" w:rsidRDefault="0070797D" w:rsidP="00BE13E4">
      <w:pPr>
        <w:pStyle w:val="ONUME"/>
        <w:numPr>
          <w:ilvl w:val="0"/>
          <w:numId w:val="0"/>
        </w:numPr>
        <w:spacing w:after="0"/>
        <w:ind w:left="567"/>
        <w:rPr>
          <w:i/>
          <w:lang w:val="es-ES_tradnl"/>
        </w:rPr>
      </w:pPr>
      <w:r w:rsidRPr="004854BC">
        <w:rPr>
          <w:i/>
          <w:lang w:val="es-ES_tradnl"/>
        </w:rPr>
        <w:t>Gestión de la continuidad de las operaciones</w:t>
      </w:r>
    </w:p>
    <w:p w:rsidR="00BE13E4" w:rsidRPr="004854BC" w:rsidRDefault="00BE13E4" w:rsidP="00BE13E4">
      <w:pPr>
        <w:pStyle w:val="ONUME"/>
        <w:numPr>
          <w:ilvl w:val="0"/>
          <w:numId w:val="0"/>
        </w:numPr>
        <w:spacing w:after="0"/>
        <w:ind w:left="3870"/>
        <w:rPr>
          <w:lang w:val="es-ES_tradnl"/>
        </w:rPr>
      </w:pPr>
    </w:p>
    <w:p w:rsidR="00BE13E4" w:rsidRPr="004854BC" w:rsidRDefault="00CF2233" w:rsidP="00CF2233">
      <w:pPr>
        <w:pStyle w:val="ONUME"/>
        <w:spacing w:after="0"/>
        <w:rPr>
          <w:lang w:val="es-ES_tradnl"/>
        </w:rPr>
      </w:pPr>
      <w:r w:rsidRPr="004854BC">
        <w:rPr>
          <w:lang w:val="es-ES_tradnl"/>
        </w:rPr>
        <w:t>La Comisión valoró positivamente la eficacia del sistema de gestión de la continuidad de las operaciones utilizado durante la pandemia de COVID-19. A ese respecto, la Comisión querría recibir información sobre cómo está previsto aplicar los planes para volver a la oficina.</w:t>
      </w:r>
    </w:p>
    <w:p w:rsidR="00BE13E4" w:rsidRPr="004854BC" w:rsidRDefault="00BE13E4" w:rsidP="00BE13E4">
      <w:pPr>
        <w:pStyle w:val="ONUME"/>
        <w:numPr>
          <w:ilvl w:val="0"/>
          <w:numId w:val="0"/>
        </w:numPr>
        <w:spacing w:after="0"/>
        <w:rPr>
          <w:lang w:val="es-ES_tradnl"/>
        </w:rPr>
      </w:pPr>
    </w:p>
    <w:p w:rsidR="00BE13E4" w:rsidRPr="004854BC" w:rsidRDefault="00BE13E4" w:rsidP="00BE13E4">
      <w:pPr>
        <w:pStyle w:val="ONUME"/>
        <w:numPr>
          <w:ilvl w:val="0"/>
          <w:numId w:val="0"/>
        </w:numPr>
        <w:tabs>
          <w:tab w:val="left" w:pos="0"/>
        </w:tabs>
        <w:spacing w:after="0"/>
        <w:rPr>
          <w:i/>
          <w:lang w:val="es-ES_tradnl"/>
        </w:rPr>
      </w:pPr>
      <w:r w:rsidRPr="004854BC">
        <w:rPr>
          <w:lang w:val="es-ES_tradnl"/>
        </w:rPr>
        <w:tab/>
      </w:r>
      <w:r w:rsidR="0070797D" w:rsidRPr="004854BC">
        <w:rPr>
          <w:i/>
          <w:lang w:val="es-ES_tradnl"/>
        </w:rPr>
        <w:t>Adquisiciones</w:t>
      </w:r>
    </w:p>
    <w:p w:rsidR="00BE13E4" w:rsidRPr="004854BC" w:rsidRDefault="00BE13E4" w:rsidP="00BE13E4">
      <w:pPr>
        <w:pStyle w:val="ONUME"/>
        <w:numPr>
          <w:ilvl w:val="0"/>
          <w:numId w:val="0"/>
        </w:numPr>
        <w:tabs>
          <w:tab w:val="left" w:pos="0"/>
        </w:tabs>
        <w:spacing w:after="0"/>
        <w:rPr>
          <w:i/>
          <w:lang w:val="es-ES_tradnl"/>
        </w:rPr>
      </w:pPr>
    </w:p>
    <w:p w:rsidR="00BE13E4" w:rsidRPr="004854BC" w:rsidRDefault="009E7D60" w:rsidP="00C141E2">
      <w:pPr>
        <w:pStyle w:val="ONUME"/>
        <w:rPr>
          <w:lang w:val="es-ES_tradnl"/>
        </w:rPr>
      </w:pPr>
      <w:r w:rsidRPr="004854BC">
        <w:rPr>
          <w:lang w:val="es-ES_tradnl"/>
        </w:rPr>
        <w:t xml:space="preserve">La directora de la División de Adquisiciones y Viajes proporcionó a la Comisión información actualizada sobre cuestiones relacionadas con las adquisiciones. La Comisión se manifestó satisfecha con los principales logros obtenidos desde la última vez que se le </w:t>
      </w:r>
      <w:r w:rsidR="00C1159E" w:rsidRPr="004854BC">
        <w:rPr>
          <w:lang w:val="es-ES_tradnl"/>
        </w:rPr>
        <w:t>presentó</w:t>
      </w:r>
      <w:r w:rsidR="00716C6F">
        <w:rPr>
          <w:lang w:val="es-ES_tradnl"/>
        </w:rPr>
        <w:t xml:space="preserve"> información actualizada</w:t>
      </w:r>
      <w:r w:rsidRPr="004854BC">
        <w:rPr>
          <w:lang w:val="es-ES_tradnl"/>
        </w:rPr>
        <w:t xml:space="preserve"> en 2016, concretamente, la profesionalización de la función de adquisiciones, la automatización de los sistemas, la revisión y actualización del marco de gobernanza y regulación y la mejora de los procesos. La Comisión preguntó acerca de las situaciones que pueden plantear riesgos, como los procedimientos de compra no normalizados, las negociaciones </w:t>
      </w:r>
      <w:r w:rsidR="00C141E2" w:rsidRPr="004854BC">
        <w:rPr>
          <w:lang w:val="es-ES_tradnl"/>
        </w:rPr>
        <w:t xml:space="preserve">posteriores a la licitación y el exceso de familiarización con los proveedores, y pidió aclaraciones sobre la lista de sanciones a los proveedores, </w:t>
      </w:r>
      <w:r w:rsidR="00716C6F">
        <w:rPr>
          <w:lang w:val="es-ES_tradnl"/>
        </w:rPr>
        <w:t>el proceso de</w:t>
      </w:r>
      <w:r w:rsidR="00C141E2" w:rsidRPr="004854BC">
        <w:rPr>
          <w:lang w:val="es-ES_tradnl"/>
        </w:rPr>
        <w:t xml:space="preserve"> delegación del alto funcionario encargado de las adquisiciones y de subdelegación, y se manifestó satisfecha de que en la OMPI se apliquen los controles pertinentes. Tomó nota además de los proyectos de 2020, como la selección y puesta en marcha de una nueva plataforma de licitación </w:t>
      </w:r>
      <w:r w:rsidR="00C1159E" w:rsidRPr="004854BC">
        <w:rPr>
          <w:lang w:val="es-ES_tradnl"/>
        </w:rPr>
        <w:t>electrónica</w:t>
      </w:r>
      <w:r w:rsidR="00C141E2" w:rsidRPr="004854BC">
        <w:rPr>
          <w:lang w:val="es-ES_tradnl"/>
        </w:rPr>
        <w:t>, la aplicación de una petición de propuestas con negociación en relación con servicios complejos o especializados y la utilización del mercado digital</w:t>
      </w:r>
      <w:r w:rsidR="00BE13E4" w:rsidRPr="004854BC">
        <w:rPr>
          <w:lang w:val="es-ES_tradnl"/>
        </w:rPr>
        <w:t xml:space="preserve">. </w:t>
      </w:r>
    </w:p>
    <w:p w:rsidR="00BE13E4" w:rsidRPr="004854BC" w:rsidRDefault="0070797D" w:rsidP="00BE13E4">
      <w:pPr>
        <w:pStyle w:val="Heading3"/>
        <w:numPr>
          <w:ilvl w:val="0"/>
          <w:numId w:val="36"/>
        </w:numPr>
        <w:tabs>
          <w:tab w:val="left" w:pos="567"/>
        </w:tabs>
        <w:spacing w:before="0" w:after="0"/>
        <w:ind w:hanging="900"/>
        <w:rPr>
          <w:lang w:val="es-ES_tradnl"/>
        </w:rPr>
      </w:pPr>
      <w:bookmarkStart w:id="42" w:name="_Toc78467009"/>
      <w:r w:rsidRPr="004854BC">
        <w:rPr>
          <w:lang w:val="es-ES_tradnl"/>
        </w:rPr>
        <w:t>Aplicación de las recomendaciones de supervisión</w:t>
      </w:r>
      <w:bookmarkEnd w:id="42"/>
    </w:p>
    <w:p w:rsidR="00BE13E4" w:rsidRPr="004854BC" w:rsidRDefault="00BE13E4" w:rsidP="00BE13E4">
      <w:pPr>
        <w:rPr>
          <w:lang w:val="es-ES_tradnl"/>
        </w:rPr>
      </w:pPr>
    </w:p>
    <w:p w:rsidR="00BE13E4" w:rsidRPr="004854BC" w:rsidRDefault="00964A00" w:rsidP="007978DF">
      <w:pPr>
        <w:pStyle w:val="ONUME"/>
        <w:spacing w:after="0"/>
        <w:rPr>
          <w:lang w:val="es-ES_tradnl"/>
        </w:rPr>
      </w:pPr>
      <w:r w:rsidRPr="004854BC">
        <w:rPr>
          <w:lang w:val="es-ES_tradnl"/>
        </w:rPr>
        <w:t xml:space="preserve">En todas las sesiones </w:t>
      </w:r>
      <w:r w:rsidR="00264722">
        <w:rPr>
          <w:lang w:val="es-ES_tradnl"/>
        </w:rPr>
        <w:t xml:space="preserve">celebradas </w:t>
      </w:r>
      <w:r w:rsidRPr="004854BC">
        <w:rPr>
          <w:lang w:val="es-ES_tradnl"/>
        </w:rPr>
        <w:t xml:space="preserve">durante el </w:t>
      </w:r>
      <w:r w:rsidR="00264722">
        <w:rPr>
          <w:lang w:val="es-ES_tradnl"/>
        </w:rPr>
        <w:t>período</w:t>
      </w:r>
      <w:r w:rsidRPr="004854BC">
        <w:rPr>
          <w:lang w:val="es-ES_tradnl"/>
        </w:rPr>
        <w:t xml:space="preserve"> que abarca el informe, la Comisión examin</w:t>
      </w:r>
      <w:r w:rsidR="00264722">
        <w:rPr>
          <w:lang w:val="es-ES_tradnl"/>
        </w:rPr>
        <w:t>ó</w:t>
      </w:r>
      <w:r w:rsidRPr="004854BC">
        <w:rPr>
          <w:lang w:val="es-ES_tradnl"/>
        </w:rPr>
        <w:t xml:space="preserve"> con la DSI </w:t>
      </w:r>
      <w:r w:rsidR="00160D89" w:rsidRPr="004854BC">
        <w:rPr>
          <w:lang w:val="es-ES_tradnl"/>
        </w:rPr>
        <w:t>la situación de la aplicación de las recomendaciones de supervisión de la DSI, el auditor externo y la CCIS. La Comisión tomó nota de las variaciones y finalizaciones, haciend</w:t>
      </w:r>
      <w:r w:rsidR="00264722">
        <w:rPr>
          <w:lang w:val="es-ES_tradnl"/>
        </w:rPr>
        <w:t>o</w:t>
      </w:r>
      <w:r w:rsidR="00160D89" w:rsidRPr="004854BC">
        <w:rPr>
          <w:lang w:val="es-ES_tradnl"/>
        </w:rPr>
        <w:t xml:space="preserve"> especial hincapié en las recomendaciones de alta prioridad y en las que siguen pendientes de aplicación desde hace tiempo. </w:t>
      </w:r>
      <w:r w:rsidR="007978DF" w:rsidRPr="004854BC">
        <w:rPr>
          <w:lang w:val="es-ES_tradnl"/>
        </w:rPr>
        <w:t xml:space="preserve">Como había propuesto la Comisión, se pidió a algunos directores de programas que examinaran las recomendaciones pendientes de </w:t>
      </w:r>
      <w:r w:rsidR="007978DF" w:rsidRPr="004854BC">
        <w:rPr>
          <w:lang w:val="es-ES_tradnl"/>
        </w:rPr>
        <w:lastRenderedPageBreak/>
        <w:t>aplicación, de manera que comprendieran mejor la situación de la aplicación de las recomendaciones y pudieran determinar el número de recomendaciones que podrían darse por finalizadas, a reserv</w:t>
      </w:r>
      <w:r w:rsidR="0070721F">
        <w:rPr>
          <w:lang w:val="es-ES_tradnl"/>
        </w:rPr>
        <w:t>a</w:t>
      </w:r>
      <w:r w:rsidR="007978DF" w:rsidRPr="004854BC">
        <w:rPr>
          <w:lang w:val="es-ES_tradnl"/>
        </w:rPr>
        <w:t xml:space="preserve"> del examen final a cargo de la DSI</w:t>
      </w:r>
      <w:r w:rsidR="00BE13E4" w:rsidRPr="004854BC">
        <w:rPr>
          <w:lang w:val="es-ES_tradnl"/>
        </w:rPr>
        <w:t xml:space="preserve">. </w:t>
      </w:r>
    </w:p>
    <w:p w:rsidR="00BE13E4" w:rsidRPr="004854BC" w:rsidRDefault="00BE13E4" w:rsidP="00BE13E4">
      <w:pPr>
        <w:pStyle w:val="ONUME"/>
        <w:numPr>
          <w:ilvl w:val="0"/>
          <w:numId w:val="0"/>
        </w:numPr>
        <w:spacing w:after="0"/>
        <w:rPr>
          <w:lang w:val="es-ES_tradnl"/>
        </w:rPr>
      </w:pPr>
    </w:p>
    <w:p w:rsidR="00BE13E4" w:rsidRPr="004854BC" w:rsidRDefault="00F46BE9" w:rsidP="002823CF">
      <w:pPr>
        <w:pStyle w:val="ONUME"/>
        <w:spacing w:after="0"/>
        <w:rPr>
          <w:lang w:val="es-ES_tradnl"/>
        </w:rPr>
      </w:pPr>
      <w:r w:rsidRPr="004854BC">
        <w:rPr>
          <w:lang w:val="es-ES_tradnl"/>
        </w:rPr>
        <w:t>La Comisión preguntó también a la DSI si sigue</w:t>
      </w:r>
      <w:r w:rsidR="009D515A">
        <w:rPr>
          <w:lang w:val="es-ES_tradnl"/>
        </w:rPr>
        <w:t>n</w:t>
      </w:r>
      <w:r w:rsidRPr="004854BC">
        <w:rPr>
          <w:lang w:val="es-ES_tradnl"/>
        </w:rPr>
        <w:t xml:space="preserve"> estando vigente</w:t>
      </w:r>
      <w:r w:rsidR="009D515A">
        <w:rPr>
          <w:lang w:val="es-ES_tradnl"/>
        </w:rPr>
        <w:t>s</w:t>
      </w:r>
      <w:r w:rsidRPr="004854BC">
        <w:rPr>
          <w:lang w:val="es-ES_tradnl"/>
        </w:rPr>
        <w:t xml:space="preserve"> la validez </w:t>
      </w:r>
      <w:r w:rsidR="009D515A">
        <w:rPr>
          <w:lang w:val="es-ES_tradnl"/>
        </w:rPr>
        <w:t>y la</w:t>
      </w:r>
      <w:r w:rsidRPr="004854BC">
        <w:rPr>
          <w:lang w:val="es-ES_tradnl"/>
        </w:rPr>
        <w:t xml:space="preserve"> importancia de las antiguas recomendaciones de alta prioridad. A ese respecto, el </w:t>
      </w:r>
      <w:r w:rsidR="00181678" w:rsidRPr="004854BC">
        <w:rPr>
          <w:lang w:val="es-ES_tradnl"/>
        </w:rPr>
        <w:t>antiguo</w:t>
      </w:r>
      <w:r w:rsidRPr="004854BC">
        <w:rPr>
          <w:lang w:val="es-ES_tradnl"/>
        </w:rPr>
        <w:t xml:space="preserve"> subdirector general encargado del Sector de Administración y Gestión se manifestó satisfecho con la intervención de la </w:t>
      </w:r>
      <w:r w:rsidR="00C1159E" w:rsidRPr="004854BC">
        <w:rPr>
          <w:lang w:val="es-ES_tradnl"/>
        </w:rPr>
        <w:t>Comisión</w:t>
      </w:r>
      <w:r w:rsidRPr="004854BC">
        <w:rPr>
          <w:lang w:val="es-ES_tradnl"/>
        </w:rPr>
        <w:t>, e invitó a la DSI a que vuelva a e</w:t>
      </w:r>
      <w:r w:rsidR="00A20CE8" w:rsidRPr="004854BC">
        <w:rPr>
          <w:lang w:val="es-ES_tradnl"/>
        </w:rPr>
        <w:t>v</w:t>
      </w:r>
      <w:r w:rsidRPr="004854BC">
        <w:rPr>
          <w:lang w:val="es-ES_tradnl"/>
        </w:rPr>
        <w:t>aluar el contexto complet</w:t>
      </w:r>
      <w:r w:rsidR="00A20CE8" w:rsidRPr="004854BC">
        <w:rPr>
          <w:lang w:val="es-ES_tradnl"/>
        </w:rPr>
        <w:t>o</w:t>
      </w:r>
      <w:r w:rsidRPr="004854BC">
        <w:rPr>
          <w:lang w:val="es-ES_tradnl"/>
        </w:rPr>
        <w:t xml:space="preserve"> de las recomendaciones pendientes y formule una resolución </w:t>
      </w:r>
      <w:r w:rsidR="00A20CE8" w:rsidRPr="004854BC">
        <w:rPr>
          <w:lang w:val="es-ES_tradnl"/>
        </w:rPr>
        <w:t>para aplicar plenamente las recomendaciones o darlas por concluidas</w:t>
      </w:r>
      <w:r w:rsidRPr="004854BC">
        <w:rPr>
          <w:lang w:val="es-ES_tradnl"/>
        </w:rPr>
        <w:t xml:space="preserve">, en caso de que se decida que ya no son pertinentes o que han quedado obsoletas </w:t>
      </w:r>
      <w:r w:rsidR="00E80A64">
        <w:rPr>
          <w:lang w:val="es-ES_tradnl"/>
        </w:rPr>
        <w:t>por causa de los acontecimientos o los nuevos sistemas</w:t>
      </w:r>
      <w:r w:rsidR="00A20CE8" w:rsidRPr="004854BC">
        <w:rPr>
          <w:lang w:val="es-ES_tradnl"/>
        </w:rPr>
        <w:t>.</w:t>
      </w:r>
      <w:r w:rsidRPr="004854BC">
        <w:rPr>
          <w:lang w:val="es-ES_tradnl"/>
        </w:rPr>
        <w:t xml:space="preserve"> </w:t>
      </w:r>
      <w:r w:rsidR="00181678" w:rsidRPr="004854BC">
        <w:rPr>
          <w:lang w:val="es-ES_tradnl"/>
        </w:rPr>
        <w:t xml:space="preserve">La Comisión examinó </w:t>
      </w:r>
      <w:r w:rsidR="00B40157">
        <w:rPr>
          <w:lang w:val="es-ES_tradnl"/>
        </w:rPr>
        <w:t>los motivos</w:t>
      </w:r>
      <w:r w:rsidR="00181678" w:rsidRPr="004854BC">
        <w:rPr>
          <w:lang w:val="es-ES_tradnl"/>
        </w:rPr>
        <w:t xml:space="preserve"> del retraso en la aplicación de las recomendaciones. Se señaló que algunas dependen de otras circunstancias, como la aprobación ulterior del personal </w:t>
      </w:r>
      <w:r w:rsidR="00C1159E" w:rsidRPr="004854BC">
        <w:rPr>
          <w:lang w:val="es-ES_tradnl"/>
        </w:rPr>
        <w:t>directivo</w:t>
      </w:r>
      <w:r w:rsidR="00181678" w:rsidRPr="004854BC">
        <w:rPr>
          <w:lang w:val="es-ES_tradnl"/>
        </w:rPr>
        <w:t xml:space="preserve"> superior. Otras guardan relación con colaboraciones intersectoriales entre programas. La comisión recomendó a la DSI que vuelva a examinar las recomendaciones pendientes desde hace tiempo para determinar cuáles han quedado obsoletas </w:t>
      </w:r>
      <w:r w:rsidR="00E80A64">
        <w:rPr>
          <w:lang w:val="es-ES_tradnl"/>
        </w:rPr>
        <w:t>por determinados</w:t>
      </w:r>
      <w:r w:rsidR="00181678" w:rsidRPr="004854BC">
        <w:rPr>
          <w:lang w:val="es-ES_tradnl"/>
        </w:rPr>
        <w:t xml:space="preserve"> acontecimientos y darlas por concluidas, en ese caso. La Comisión </w:t>
      </w:r>
      <w:r w:rsidR="002823CF" w:rsidRPr="004854BC">
        <w:rPr>
          <w:lang w:val="es-ES_tradnl"/>
        </w:rPr>
        <w:t>preguntó cuáles son las cuestiones sistémicas que pueden discernirse de la naturaleza de las recomendaciones pendientes</w:t>
      </w:r>
      <w:r w:rsidR="00BE13E4" w:rsidRPr="004854BC">
        <w:rPr>
          <w:lang w:val="es-ES_tradnl"/>
        </w:rPr>
        <w:t xml:space="preserve">. </w:t>
      </w:r>
    </w:p>
    <w:p w:rsidR="00BE13E4" w:rsidRPr="004854BC" w:rsidRDefault="00BE13E4" w:rsidP="00BE13E4">
      <w:pPr>
        <w:rPr>
          <w:lang w:val="es-ES_tradnl"/>
        </w:rPr>
      </w:pPr>
    </w:p>
    <w:p w:rsidR="00BE13E4" w:rsidRPr="004854BC" w:rsidRDefault="002823CF" w:rsidP="00441606">
      <w:pPr>
        <w:pStyle w:val="ONUME"/>
        <w:rPr>
          <w:lang w:val="es-ES_tradnl"/>
        </w:rPr>
      </w:pPr>
      <w:r w:rsidRPr="004854BC">
        <w:rPr>
          <w:lang w:val="es-ES_tradnl"/>
        </w:rPr>
        <w:t>La Comisión preguntó por las posibles deficiencias materiales de los sistemas, en la medida en que la naturaleza de las recomendaciones pendientes no parece tener implicaciones que puedan afectar materialmente a los estados financieros. La DSI convino con la evaluación de la CCI</w:t>
      </w:r>
      <w:r w:rsidR="00C1159E">
        <w:rPr>
          <w:lang w:val="es-ES_tradnl"/>
        </w:rPr>
        <w:t>S</w:t>
      </w:r>
      <w:r w:rsidRPr="004854BC">
        <w:rPr>
          <w:lang w:val="es-ES_tradnl"/>
        </w:rPr>
        <w:t xml:space="preserve"> en que no existen </w:t>
      </w:r>
      <w:r w:rsidR="00C1159E" w:rsidRPr="004854BC">
        <w:rPr>
          <w:lang w:val="es-ES_tradnl"/>
        </w:rPr>
        <w:t>riesgos</w:t>
      </w:r>
      <w:r w:rsidRPr="004854BC">
        <w:rPr>
          <w:lang w:val="es-ES_tradnl"/>
        </w:rPr>
        <w:t xml:space="preserve"> importantes con respecto a la gobernanza y los controles internos, y en que hay esferas con deficiencias</w:t>
      </w:r>
      <w:r w:rsidR="0078381A">
        <w:rPr>
          <w:lang w:val="es-ES_tradnl"/>
        </w:rPr>
        <w:t>,</w:t>
      </w:r>
      <w:r w:rsidRPr="004854BC">
        <w:rPr>
          <w:lang w:val="es-ES_tradnl"/>
        </w:rPr>
        <w:t xml:space="preserve"> que deben mejorarse. </w:t>
      </w:r>
      <w:r w:rsidR="006F5315" w:rsidRPr="004854BC">
        <w:rPr>
          <w:lang w:val="es-ES_tradnl"/>
        </w:rPr>
        <w:t xml:space="preserve">Los criterios de clasificación relativos a la prioridad tienen principalmente por objeto señalar la urgencia de las medidas encaminadas a aplicar las recomendaciones. La Comisión instó a la DSI a que vuelva a examinar si sus auditorías se centran en las </w:t>
      </w:r>
      <w:r w:rsidR="00C1159E" w:rsidRPr="004854BC">
        <w:rPr>
          <w:lang w:val="es-ES_tradnl"/>
        </w:rPr>
        <w:t>esferas</w:t>
      </w:r>
      <w:r w:rsidR="006F5315" w:rsidRPr="004854BC">
        <w:rPr>
          <w:lang w:val="es-ES_tradnl"/>
        </w:rPr>
        <w:t xml:space="preserve"> de alto riesgo</w:t>
      </w:r>
      <w:r w:rsidR="00BE13E4" w:rsidRPr="004854BC">
        <w:rPr>
          <w:rFonts w:eastAsia="Arial"/>
          <w:szCs w:val="22"/>
          <w:lang w:val="es-ES_tradnl"/>
        </w:rPr>
        <w:t>.</w:t>
      </w:r>
    </w:p>
    <w:p w:rsidR="00BE13E4" w:rsidRPr="004854BC" w:rsidRDefault="0070797D" w:rsidP="00BE13E4">
      <w:pPr>
        <w:pStyle w:val="Heading3"/>
        <w:numPr>
          <w:ilvl w:val="0"/>
          <w:numId w:val="36"/>
        </w:numPr>
        <w:tabs>
          <w:tab w:val="left" w:pos="567"/>
        </w:tabs>
        <w:spacing w:before="0" w:after="0"/>
        <w:ind w:hanging="900"/>
        <w:rPr>
          <w:lang w:val="es-ES_tradnl"/>
        </w:rPr>
      </w:pPr>
      <w:bookmarkStart w:id="43" w:name="_Toc36156399"/>
      <w:bookmarkStart w:id="44" w:name="_Toc36236043"/>
      <w:bookmarkStart w:id="45" w:name="_Toc36156400"/>
      <w:bookmarkStart w:id="46" w:name="_Toc36236044"/>
      <w:bookmarkStart w:id="47" w:name="_Toc36156401"/>
      <w:bookmarkStart w:id="48" w:name="_Toc36236045"/>
      <w:bookmarkStart w:id="49" w:name="_Toc36156406"/>
      <w:bookmarkStart w:id="50" w:name="_Toc36236050"/>
      <w:bookmarkStart w:id="51" w:name="_Toc429145915"/>
      <w:bookmarkStart w:id="52" w:name="_Toc429147808"/>
      <w:bookmarkStart w:id="53" w:name="_Toc429147826"/>
      <w:bookmarkStart w:id="54" w:name="_Toc429384085"/>
      <w:bookmarkStart w:id="55" w:name="_Toc36156407"/>
      <w:bookmarkStart w:id="56" w:name="_Toc36236051"/>
      <w:bookmarkStart w:id="57" w:name="_Toc36156408"/>
      <w:bookmarkStart w:id="58" w:name="_Toc36236052"/>
      <w:bookmarkStart w:id="59" w:name="_Toc36156409"/>
      <w:bookmarkStart w:id="60" w:name="_Toc36236053"/>
      <w:bookmarkStart w:id="61" w:name="_Toc395336854"/>
      <w:bookmarkStart w:id="62" w:name="_Toc40372255"/>
      <w:bookmarkStart w:id="63" w:name="_Toc78467010"/>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4854BC">
        <w:rPr>
          <w:bCs w:val="0"/>
          <w:lang w:val="es-ES_tradnl"/>
        </w:rPr>
        <w:t xml:space="preserve">Ética </w:t>
      </w:r>
      <w:r w:rsidR="006B6AD3">
        <w:rPr>
          <w:bCs w:val="0"/>
          <w:lang w:val="es-ES_tradnl"/>
        </w:rPr>
        <w:t>P</w:t>
      </w:r>
      <w:r w:rsidRPr="004854BC">
        <w:rPr>
          <w:bCs w:val="0"/>
          <w:lang w:val="es-ES_tradnl"/>
        </w:rPr>
        <w:t>rofesional y mediador</w:t>
      </w:r>
      <w:bookmarkStart w:id="64" w:name="_Toc36156411"/>
      <w:bookmarkStart w:id="65" w:name="_Toc36236055"/>
      <w:bookmarkStart w:id="66" w:name="_Toc36156412"/>
      <w:bookmarkStart w:id="67" w:name="_Toc36236056"/>
      <w:bookmarkEnd w:id="61"/>
      <w:bookmarkEnd w:id="62"/>
      <w:bookmarkEnd w:id="64"/>
      <w:bookmarkEnd w:id="65"/>
      <w:bookmarkEnd w:id="66"/>
      <w:bookmarkEnd w:id="67"/>
      <w:bookmarkEnd w:id="63"/>
    </w:p>
    <w:p w:rsidR="00BE13E4" w:rsidRPr="004854BC" w:rsidRDefault="00BE13E4" w:rsidP="00BE13E4">
      <w:pPr>
        <w:rPr>
          <w:lang w:val="es-ES_tradnl"/>
        </w:rPr>
      </w:pPr>
    </w:p>
    <w:p w:rsidR="00BE13E4" w:rsidRPr="004854BC" w:rsidRDefault="0070797D" w:rsidP="00BE13E4">
      <w:pPr>
        <w:pStyle w:val="ONUME"/>
        <w:numPr>
          <w:ilvl w:val="0"/>
          <w:numId w:val="0"/>
        </w:numPr>
        <w:spacing w:after="0"/>
        <w:ind w:left="630"/>
        <w:rPr>
          <w:i/>
          <w:szCs w:val="22"/>
          <w:lang w:val="es-ES_tradnl"/>
        </w:rPr>
      </w:pPr>
      <w:r w:rsidRPr="004854BC">
        <w:rPr>
          <w:i/>
          <w:szCs w:val="22"/>
          <w:lang w:val="es-ES_tradnl"/>
        </w:rPr>
        <w:t>Oficina de Ética Profesional</w:t>
      </w:r>
      <w:r w:rsidR="00BE13E4" w:rsidRPr="004854BC">
        <w:rPr>
          <w:i/>
          <w:szCs w:val="22"/>
          <w:lang w:val="es-ES_tradnl"/>
        </w:rPr>
        <w:t xml:space="preserve"> </w:t>
      </w:r>
    </w:p>
    <w:p w:rsidR="00BE13E4" w:rsidRPr="004854BC" w:rsidRDefault="00BE13E4" w:rsidP="00BE13E4">
      <w:pPr>
        <w:pStyle w:val="ONUME"/>
        <w:numPr>
          <w:ilvl w:val="0"/>
          <w:numId w:val="0"/>
        </w:numPr>
        <w:spacing w:after="0"/>
        <w:rPr>
          <w:lang w:val="es-ES_tradnl"/>
        </w:rPr>
      </w:pPr>
    </w:p>
    <w:p w:rsidR="00BE13E4" w:rsidRPr="004854BC" w:rsidRDefault="00D25FCA" w:rsidP="008524F3">
      <w:pPr>
        <w:pStyle w:val="ONUME"/>
        <w:spacing w:after="0"/>
        <w:rPr>
          <w:strike/>
          <w:lang w:val="es-ES_tradnl"/>
        </w:rPr>
      </w:pPr>
      <w:r w:rsidRPr="004854BC">
        <w:rPr>
          <w:lang w:val="es-ES_tradnl"/>
        </w:rPr>
        <w:t xml:space="preserve">La Comisión examinó con </w:t>
      </w:r>
      <w:r w:rsidR="00F039B6">
        <w:rPr>
          <w:lang w:val="es-ES_tradnl"/>
        </w:rPr>
        <w:t>la</w:t>
      </w:r>
      <w:r w:rsidRPr="004854BC">
        <w:rPr>
          <w:lang w:val="es-ES_tradnl"/>
        </w:rPr>
        <w:t xml:space="preserve"> </w:t>
      </w:r>
      <w:r w:rsidRPr="00F039B6">
        <w:rPr>
          <w:lang w:val="es-ES_tradnl"/>
        </w:rPr>
        <w:t>antigu</w:t>
      </w:r>
      <w:r w:rsidR="00F039B6">
        <w:rPr>
          <w:lang w:val="es-ES_tradnl"/>
        </w:rPr>
        <w:t>a</w:t>
      </w:r>
      <w:r w:rsidRPr="00F039B6">
        <w:rPr>
          <w:lang w:val="es-ES_tradnl"/>
        </w:rPr>
        <w:t xml:space="preserve"> oficial jef</w:t>
      </w:r>
      <w:r w:rsidR="00F039B6">
        <w:rPr>
          <w:lang w:val="es-ES_tradnl"/>
        </w:rPr>
        <w:t>a</w:t>
      </w:r>
      <w:r w:rsidRPr="00F039B6">
        <w:rPr>
          <w:lang w:val="es-ES_tradnl"/>
        </w:rPr>
        <w:t xml:space="preserve"> de Ética</w:t>
      </w:r>
      <w:r w:rsidRPr="004854BC">
        <w:rPr>
          <w:lang w:val="es-ES_tradnl"/>
        </w:rPr>
        <w:t xml:space="preserve"> Profesional el informe anual que la Oficina de Ética Profesional presenta ante el Comité de Coordinación de la OMPI</w:t>
      </w:r>
      <w:r w:rsidR="00BE13E4" w:rsidRPr="004854BC">
        <w:rPr>
          <w:lang w:val="es-ES_tradnl"/>
        </w:rPr>
        <w:t xml:space="preserve"> (WO/CC/78/INF/2). </w:t>
      </w:r>
      <w:r w:rsidR="008524F3" w:rsidRPr="004854BC">
        <w:rPr>
          <w:lang w:val="es-ES_tradnl"/>
        </w:rPr>
        <w:t xml:space="preserve">La Comisión tomó nota de las principales actividades, incluidas las relativas a la sensibilización y formación del personal, </w:t>
      </w:r>
      <w:r w:rsidR="00F039B6">
        <w:rPr>
          <w:lang w:val="es-ES_tradnl"/>
        </w:rPr>
        <w:t>la prestación de</w:t>
      </w:r>
      <w:r w:rsidR="008524F3" w:rsidRPr="004854BC">
        <w:rPr>
          <w:lang w:val="es-ES_tradnl"/>
        </w:rPr>
        <w:t xml:space="preserve"> asesoramiento confidencia</w:t>
      </w:r>
      <w:r w:rsidR="00F039B6">
        <w:rPr>
          <w:lang w:val="es-ES_tradnl"/>
        </w:rPr>
        <w:t>l</w:t>
      </w:r>
      <w:r w:rsidR="008524F3" w:rsidRPr="004854BC">
        <w:rPr>
          <w:lang w:val="es-ES_tradnl"/>
        </w:rPr>
        <w:t xml:space="preserve"> al personal, el establecimiento de normas y la elaboración de políticas, así como la aplicación de las políticas atribuidas a la Oficina de Ética Profesional. Por lo que respecta a la encuesta efectuada sobre la sensibilización acerca de los principios éticos de la OMPI, la Comisión sugirió que, en el futuro, en el informe anual se </w:t>
      </w:r>
      <w:r w:rsidR="00F039B6">
        <w:rPr>
          <w:lang w:val="es-ES_tradnl"/>
        </w:rPr>
        <w:t>proporcionen datos sobre</w:t>
      </w:r>
      <w:r w:rsidR="008524F3" w:rsidRPr="004854BC">
        <w:rPr>
          <w:lang w:val="es-ES_tradnl"/>
        </w:rPr>
        <w:t xml:space="preserve"> los encuestados, para que los resultados de la encuesta puedan entenderse en el contexto adecuado</w:t>
      </w:r>
      <w:r w:rsidR="00BE13E4" w:rsidRPr="004854BC">
        <w:rPr>
          <w:lang w:val="es-ES_tradnl"/>
        </w:rPr>
        <w:t>.</w:t>
      </w:r>
    </w:p>
    <w:p w:rsidR="00BE13E4" w:rsidRPr="004854BC" w:rsidRDefault="00BE13E4" w:rsidP="00BE13E4">
      <w:pPr>
        <w:pStyle w:val="ONUME"/>
        <w:numPr>
          <w:ilvl w:val="0"/>
          <w:numId w:val="0"/>
        </w:numPr>
        <w:spacing w:after="0"/>
        <w:rPr>
          <w:strike/>
          <w:lang w:val="es-ES_tradnl"/>
        </w:rPr>
      </w:pPr>
    </w:p>
    <w:p w:rsidR="00BE13E4" w:rsidRPr="004854BC" w:rsidRDefault="008524F3" w:rsidP="00441606">
      <w:pPr>
        <w:pStyle w:val="ONUME"/>
        <w:spacing w:after="0"/>
        <w:rPr>
          <w:i/>
          <w:szCs w:val="22"/>
          <w:lang w:val="es-ES_tradnl"/>
        </w:rPr>
      </w:pPr>
      <w:r w:rsidRPr="004854BC">
        <w:rPr>
          <w:szCs w:val="22"/>
          <w:lang w:val="es-ES_tradnl"/>
        </w:rPr>
        <w:t>La Comisión examinó además</w:t>
      </w:r>
      <w:r w:rsidR="004220B8" w:rsidRPr="004854BC">
        <w:rPr>
          <w:szCs w:val="22"/>
          <w:lang w:val="es-ES_tradnl"/>
        </w:rPr>
        <w:t xml:space="preserve"> la versión final del plan de trabajo para 2020 de la Oficina de Ética Profesional, y tomó nota de la información actualizada que el oficial jefe de dicha oficina presentó oralmente sobre la aplicación del plan en las sesiones ulteriores. </w:t>
      </w:r>
      <w:r w:rsidR="006709CF" w:rsidRPr="004854BC">
        <w:rPr>
          <w:szCs w:val="22"/>
          <w:lang w:val="es-ES_tradnl"/>
        </w:rPr>
        <w:t xml:space="preserve">La Comisión tomó nota de que algunas actividades se han cancelado debido a la pandemia. Tomó nota asimismo de que el plan de trabajo anual para 2021 todavía no se ha llevado a término y, por consiguiente, no podrá presentarse en la 60.ª sesión, como se había previsto inicialmente. También se han detectado </w:t>
      </w:r>
      <w:r w:rsidR="007958FD" w:rsidRPr="004854BC">
        <w:rPr>
          <w:szCs w:val="22"/>
          <w:lang w:val="es-ES_tradnl"/>
        </w:rPr>
        <w:t>retrasos</w:t>
      </w:r>
      <w:r w:rsidR="006709CF" w:rsidRPr="004854BC">
        <w:rPr>
          <w:szCs w:val="22"/>
          <w:lang w:val="es-ES_tradnl"/>
        </w:rPr>
        <w:t xml:space="preserve"> en</w:t>
      </w:r>
      <w:r w:rsidR="00401005" w:rsidRPr="004854BC">
        <w:rPr>
          <w:szCs w:val="22"/>
          <w:lang w:val="es-ES_tradnl"/>
        </w:rPr>
        <w:t xml:space="preserve"> el certificado, por los miembros del personal, del Código de Ética y en la elaboración de la política sobre represalias</w:t>
      </w:r>
      <w:r w:rsidR="00BE13E4" w:rsidRPr="004854BC">
        <w:rPr>
          <w:shd w:val="clear" w:color="auto" w:fill="FFFFFF"/>
          <w:lang w:val="es-ES_tradnl"/>
        </w:rPr>
        <w:t>.</w:t>
      </w:r>
    </w:p>
    <w:p w:rsidR="00BE13E4" w:rsidRPr="004854BC" w:rsidRDefault="00BE13E4" w:rsidP="00BE13E4">
      <w:pPr>
        <w:pStyle w:val="ONUME"/>
        <w:numPr>
          <w:ilvl w:val="0"/>
          <w:numId w:val="0"/>
        </w:numPr>
        <w:spacing w:after="0"/>
        <w:rPr>
          <w:i/>
          <w:szCs w:val="22"/>
          <w:lang w:val="es-ES_tradnl"/>
        </w:rPr>
      </w:pPr>
    </w:p>
    <w:p w:rsidR="00BE13E4" w:rsidRPr="004854BC" w:rsidRDefault="00401005" w:rsidP="00441606">
      <w:pPr>
        <w:pStyle w:val="ONUME"/>
        <w:spacing w:after="0"/>
        <w:rPr>
          <w:i/>
          <w:szCs w:val="22"/>
          <w:lang w:val="es-ES_tradnl"/>
        </w:rPr>
      </w:pPr>
      <w:r w:rsidRPr="004854BC">
        <w:rPr>
          <w:szCs w:val="22"/>
          <w:lang w:val="es-ES_tradnl"/>
        </w:rPr>
        <w:t xml:space="preserve">En su 60.ª sesión, se informó a la Comisión sobre el nombramiento de un oficial </w:t>
      </w:r>
      <w:r w:rsidR="00E32B0E">
        <w:rPr>
          <w:szCs w:val="22"/>
          <w:lang w:val="es-ES_tradnl"/>
        </w:rPr>
        <w:t xml:space="preserve">jefe </w:t>
      </w:r>
      <w:r w:rsidRPr="004854BC">
        <w:rPr>
          <w:szCs w:val="22"/>
          <w:lang w:val="es-ES_tradnl"/>
        </w:rPr>
        <w:t xml:space="preserve">interino de la Oficina de Ética Profesional para </w:t>
      </w:r>
      <w:r w:rsidR="00C1159E" w:rsidRPr="004854BC">
        <w:rPr>
          <w:szCs w:val="22"/>
          <w:lang w:val="es-ES_tradnl"/>
        </w:rPr>
        <w:t>sustituir</w:t>
      </w:r>
      <w:r w:rsidRPr="004854BC">
        <w:rPr>
          <w:szCs w:val="22"/>
          <w:lang w:val="es-ES_tradnl"/>
        </w:rPr>
        <w:t xml:space="preserve"> </w:t>
      </w:r>
      <w:r w:rsidR="00E32B0E">
        <w:rPr>
          <w:szCs w:val="22"/>
          <w:lang w:val="es-ES_tradnl"/>
        </w:rPr>
        <w:t>a la oficial jefa</w:t>
      </w:r>
      <w:r w:rsidRPr="004854BC">
        <w:rPr>
          <w:szCs w:val="22"/>
          <w:lang w:val="es-ES_tradnl"/>
        </w:rPr>
        <w:t xml:space="preserve"> saliente, que se jubila</w:t>
      </w:r>
      <w:r w:rsidR="00901655">
        <w:rPr>
          <w:szCs w:val="22"/>
          <w:lang w:val="es-ES_tradnl"/>
        </w:rPr>
        <w:t>ba</w:t>
      </w:r>
      <w:r w:rsidRPr="004854BC">
        <w:rPr>
          <w:szCs w:val="22"/>
          <w:lang w:val="es-ES_tradnl"/>
        </w:rPr>
        <w:t xml:space="preserve"> el 31 de marzo de 2021. </w:t>
      </w:r>
      <w:r w:rsidR="00E32B0E">
        <w:rPr>
          <w:szCs w:val="22"/>
          <w:lang w:val="es-ES_tradnl"/>
        </w:rPr>
        <w:t>La</w:t>
      </w:r>
      <w:r w:rsidRPr="004854BC">
        <w:rPr>
          <w:szCs w:val="22"/>
          <w:lang w:val="es-ES_tradnl"/>
        </w:rPr>
        <w:t xml:space="preserve"> oficial jef</w:t>
      </w:r>
      <w:r w:rsidR="00E32B0E">
        <w:rPr>
          <w:szCs w:val="22"/>
          <w:lang w:val="es-ES_tradnl"/>
        </w:rPr>
        <w:t>a</w:t>
      </w:r>
      <w:r w:rsidRPr="004854BC">
        <w:rPr>
          <w:szCs w:val="22"/>
          <w:lang w:val="es-ES_tradnl"/>
        </w:rPr>
        <w:t xml:space="preserve"> de Ética Profesional informó a la Comisión de </w:t>
      </w:r>
      <w:r w:rsidR="00597BBE" w:rsidRPr="004854BC">
        <w:rPr>
          <w:szCs w:val="22"/>
          <w:lang w:val="es-ES_tradnl"/>
        </w:rPr>
        <w:t xml:space="preserve">que se </w:t>
      </w:r>
      <w:r w:rsidR="00597BBE" w:rsidRPr="004854BC">
        <w:rPr>
          <w:szCs w:val="22"/>
          <w:lang w:val="es-ES_tradnl"/>
        </w:rPr>
        <w:lastRenderedPageBreak/>
        <w:t>ha</w:t>
      </w:r>
      <w:r w:rsidR="00901655">
        <w:rPr>
          <w:szCs w:val="22"/>
          <w:lang w:val="es-ES_tradnl"/>
        </w:rPr>
        <w:t>bía</w:t>
      </w:r>
      <w:r w:rsidR="00597BBE" w:rsidRPr="004854BC">
        <w:rPr>
          <w:szCs w:val="22"/>
          <w:lang w:val="es-ES_tradnl"/>
        </w:rPr>
        <w:t xml:space="preserve"> centrado en la transición para garantizar que el oficial </w:t>
      </w:r>
      <w:r w:rsidR="00E32B0E">
        <w:rPr>
          <w:szCs w:val="22"/>
          <w:lang w:val="es-ES_tradnl"/>
        </w:rPr>
        <w:t xml:space="preserve">jefe </w:t>
      </w:r>
      <w:r w:rsidR="00597BBE" w:rsidRPr="004854BC">
        <w:rPr>
          <w:szCs w:val="22"/>
          <w:lang w:val="es-ES_tradnl"/>
        </w:rPr>
        <w:t>interino t</w:t>
      </w:r>
      <w:r w:rsidR="00901655">
        <w:rPr>
          <w:szCs w:val="22"/>
          <w:lang w:val="es-ES_tradnl"/>
        </w:rPr>
        <w:t>uviera</w:t>
      </w:r>
      <w:r w:rsidR="00597BBE" w:rsidRPr="004854BC">
        <w:rPr>
          <w:szCs w:val="22"/>
          <w:lang w:val="es-ES_tradnl"/>
        </w:rPr>
        <w:t xml:space="preserve"> acceso a todos los documentos importantes y </w:t>
      </w:r>
      <w:r w:rsidR="00901655">
        <w:rPr>
          <w:szCs w:val="22"/>
          <w:lang w:val="es-ES_tradnl"/>
        </w:rPr>
        <w:t>pudiera</w:t>
      </w:r>
      <w:r w:rsidR="00597BBE" w:rsidRPr="004854BC">
        <w:rPr>
          <w:szCs w:val="22"/>
          <w:lang w:val="es-ES_tradnl"/>
        </w:rPr>
        <w:t xml:space="preserve"> desempeñar sus funciones</w:t>
      </w:r>
      <w:r w:rsidR="00BE13E4" w:rsidRPr="004854BC">
        <w:rPr>
          <w:szCs w:val="22"/>
          <w:lang w:val="es-ES_tradnl"/>
        </w:rPr>
        <w:t xml:space="preserve">. </w:t>
      </w:r>
    </w:p>
    <w:p w:rsidR="00BE13E4" w:rsidRPr="004854BC" w:rsidRDefault="00BE13E4" w:rsidP="00BE13E4">
      <w:pPr>
        <w:rPr>
          <w:i/>
          <w:szCs w:val="22"/>
          <w:lang w:val="es-ES_tradnl"/>
        </w:rPr>
      </w:pPr>
    </w:p>
    <w:p w:rsidR="00BE13E4" w:rsidRPr="004854BC" w:rsidRDefault="00597BBE" w:rsidP="00441606">
      <w:pPr>
        <w:pStyle w:val="ONUME"/>
        <w:spacing w:after="0"/>
        <w:rPr>
          <w:i/>
          <w:szCs w:val="22"/>
          <w:lang w:val="es-ES_tradnl"/>
        </w:rPr>
      </w:pPr>
      <w:r w:rsidRPr="004854BC">
        <w:rPr>
          <w:szCs w:val="22"/>
          <w:lang w:val="es-ES_tradnl"/>
        </w:rPr>
        <w:t xml:space="preserve">En su 61.ª sesión, la Comisión se reunió con el Sr. David Mitchels, el oficial </w:t>
      </w:r>
      <w:r w:rsidR="00C1159E">
        <w:rPr>
          <w:szCs w:val="22"/>
          <w:lang w:val="es-ES_tradnl"/>
        </w:rPr>
        <w:t>jefe</w:t>
      </w:r>
      <w:r w:rsidRPr="004854BC">
        <w:rPr>
          <w:szCs w:val="22"/>
          <w:lang w:val="es-ES_tradnl"/>
        </w:rPr>
        <w:t xml:space="preserve"> </w:t>
      </w:r>
      <w:r w:rsidR="00446BB5">
        <w:rPr>
          <w:szCs w:val="22"/>
          <w:lang w:val="es-ES_tradnl"/>
        </w:rPr>
        <w:t xml:space="preserve">interino </w:t>
      </w:r>
      <w:r w:rsidRPr="004854BC">
        <w:rPr>
          <w:szCs w:val="22"/>
          <w:lang w:val="es-ES_tradnl"/>
        </w:rPr>
        <w:t xml:space="preserve">de la Oficina de Ética Profesional, que entró en funciones el 1 de abril de 2020, tras la jubilación </w:t>
      </w:r>
      <w:r w:rsidR="00C1159E">
        <w:rPr>
          <w:szCs w:val="22"/>
          <w:lang w:val="es-ES_tradnl"/>
        </w:rPr>
        <w:t>de la</w:t>
      </w:r>
      <w:r w:rsidRPr="004854BC">
        <w:rPr>
          <w:szCs w:val="22"/>
          <w:lang w:val="es-ES_tradnl"/>
        </w:rPr>
        <w:t xml:space="preserve"> oficial </w:t>
      </w:r>
      <w:r w:rsidR="00C1159E">
        <w:rPr>
          <w:szCs w:val="22"/>
          <w:lang w:val="es-ES_tradnl"/>
        </w:rPr>
        <w:t xml:space="preserve">jefa </w:t>
      </w:r>
      <w:r w:rsidRPr="004854BC">
        <w:rPr>
          <w:szCs w:val="22"/>
          <w:lang w:val="es-ES_tradnl"/>
        </w:rPr>
        <w:t>saliente. Su contrato duraba hasta el final de septiembre de 2020,</w:t>
      </w:r>
      <w:r w:rsidR="00C1159E">
        <w:rPr>
          <w:szCs w:val="22"/>
          <w:lang w:val="es-ES_tradnl"/>
        </w:rPr>
        <w:t xml:space="preserve"> momento en que se contrataría al nuevo oficial jefe de Ética Profesional</w:t>
      </w:r>
      <w:r w:rsidRPr="004854BC">
        <w:rPr>
          <w:szCs w:val="22"/>
          <w:lang w:val="es-ES_tradnl"/>
        </w:rPr>
        <w:t>.</w:t>
      </w:r>
      <w:r w:rsidR="009A13DE" w:rsidRPr="004854BC">
        <w:rPr>
          <w:szCs w:val="22"/>
          <w:lang w:val="es-ES_tradnl"/>
        </w:rPr>
        <w:t xml:space="preserve"> La Comisión agradeció el proyecto de informe anual de 2020 elaborado por la Oficina de Ética Profesional y la presentación de PowerPoint relativa al programa de iniciación dirigido a los nuevos funcionarios. El oficial </w:t>
      </w:r>
      <w:r w:rsidR="00446BB5">
        <w:rPr>
          <w:szCs w:val="22"/>
          <w:lang w:val="es-ES_tradnl"/>
        </w:rPr>
        <w:t xml:space="preserve">jefe </w:t>
      </w:r>
      <w:r w:rsidR="009A13DE" w:rsidRPr="004854BC">
        <w:rPr>
          <w:szCs w:val="22"/>
          <w:lang w:val="es-ES_tradnl"/>
        </w:rPr>
        <w:t xml:space="preserve">interino </w:t>
      </w:r>
      <w:r w:rsidR="00C1159E" w:rsidRPr="004854BC">
        <w:rPr>
          <w:szCs w:val="22"/>
          <w:lang w:val="es-ES_tradnl"/>
        </w:rPr>
        <w:t>informó</w:t>
      </w:r>
      <w:r w:rsidR="009A13DE" w:rsidRPr="004854BC">
        <w:rPr>
          <w:szCs w:val="22"/>
          <w:lang w:val="es-ES_tradnl"/>
        </w:rPr>
        <w:t xml:space="preserve"> asimismo a la Comisión de lo que se ha llevado a cabo hasta la fecha, como el examen de la divulgación financiera y la declaración de intereses, así como las actividades de formación en línea. La Comisión le transmitió sus mejores deseos para los meses restantes y señaló que espera con interés la entrada en funciones del nuevo oficial jefe de Ética Profesional</w:t>
      </w:r>
      <w:r w:rsidR="00BE13E4" w:rsidRPr="004854BC">
        <w:rPr>
          <w:bCs/>
          <w:szCs w:val="22"/>
          <w:lang w:val="es-ES_tradnl"/>
        </w:rPr>
        <w:t>.</w:t>
      </w:r>
    </w:p>
    <w:p w:rsidR="00BE13E4" w:rsidRPr="004854BC" w:rsidRDefault="00BE13E4" w:rsidP="00BE13E4">
      <w:pPr>
        <w:rPr>
          <w:szCs w:val="22"/>
          <w:lang w:val="es-ES_tradnl"/>
        </w:rPr>
      </w:pPr>
    </w:p>
    <w:p w:rsidR="00BE13E4" w:rsidRPr="004854BC" w:rsidRDefault="0070797D" w:rsidP="00BE13E4">
      <w:pPr>
        <w:ind w:left="567"/>
        <w:rPr>
          <w:szCs w:val="22"/>
          <w:lang w:val="es-ES_tradnl"/>
        </w:rPr>
      </w:pPr>
      <w:r w:rsidRPr="004854BC">
        <w:rPr>
          <w:i/>
          <w:shd w:val="clear" w:color="auto" w:fill="FFFFFF"/>
          <w:lang w:val="es-ES_tradnl"/>
        </w:rPr>
        <w:t>Mediador</w:t>
      </w:r>
    </w:p>
    <w:p w:rsidR="00BE13E4" w:rsidRPr="004854BC" w:rsidRDefault="00BE13E4" w:rsidP="00BE13E4">
      <w:pPr>
        <w:rPr>
          <w:lang w:val="es-ES_tradnl"/>
        </w:rPr>
      </w:pPr>
    </w:p>
    <w:p w:rsidR="00BE13E4" w:rsidRPr="004854BC" w:rsidRDefault="00EA469C" w:rsidP="00EA469C">
      <w:pPr>
        <w:pStyle w:val="ONUME"/>
        <w:spacing w:after="0"/>
        <w:rPr>
          <w:lang w:val="es-ES_tradnl"/>
        </w:rPr>
      </w:pPr>
      <w:r w:rsidRPr="004854BC">
        <w:rPr>
          <w:lang w:val="es-ES_tradnl"/>
        </w:rPr>
        <w:t>El mediador presentó el informe de actividad de 2019, que también contiene un</w:t>
      </w:r>
      <w:r w:rsidR="00B71965">
        <w:rPr>
          <w:lang w:val="es-ES_tradnl"/>
        </w:rPr>
        <w:t>a reseña que abarrca de</w:t>
      </w:r>
      <w:r w:rsidR="00446BB5">
        <w:rPr>
          <w:lang w:val="es-ES_tradnl"/>
        </w:rPr>
        <w:t xml:space="preserve"> 2016 </w:t>
      </w:r>
      <w:r w:rsidR="00B71965">
        <w:rPr>
          <w:lang w:val="es-ES_tradnl"/>
        </w:rPr>
        <w:t>a</w:t>
      </w:r>
      <w:r w:rsidR="00446BB5">
        <w:rPr>
          <w:lang w:val="es-ES_tradnl"/>
        </w:rPr>
        <w:t xml:space="preserve"> 2019. L</w:t>
      </w:r>
      <w:r w:rsidRPr="004854BC">
        <w:rPr>
          <w:lang w:val="es-ES_tradnl"/>
        </w:rPr>
        <w:t xml:space="preserve">a Comisión </w:t>
      </w:r>
      <w:r w:rsidR="00446BB5">
        <w:rPr>
          <w:lang w:val="es-ES_tradnl"/>
        </w:rPr>
        <w:t>observó con agrado</w:t>
      </w:r>
      <w:r w:rsidRPr="004854BC">
        <w:rPr>
          <w:lang w:val="es-ES_tradnl"/>
        </w:rPr>
        <w:t xml:space="preserve"> que las solicitudes de carácter </w:t>
      </w:r>
      <w:r w:rsidR="00C1159E" w:rsidRPr="004854BC">
        <w:rPr>
          <w:lang w:val="es-ES_tradnl"/>
        </w:rPr>
        <w:t>preventivo</w:t>
      </w:r>
      <w:r w:rsidRPr="004854BC">
        <w:rPr>
          <w:lang w:val="es-ES_tradnl"/>
        </w:rPr>
        <w:t xml:space="preserve"> van en aumento, en comparación con las solicitudes de resolución de conflictos abiertos y </w:t>
      </w:r>
      <w:r w:rsidR="00C1159E" w:rsidRPr="004854BC">
        <w:rPr>
          <w:lang w:val="es-ES_tradnl"/>
        </w:rPr>
        <w:t>consolidados</w:t>
      </w:r>
      <w:r w:rsidRPr="004854BC">
        <w:rPr>
          <w:lang w:val="es-ES_tradnl"/>
        </w:rPr>
        <w:t>, y señaló que se trata de una tendencia conveniente que debería potenciarse</w:t>
      </w:r>
      <w:r w:rsidR="00B71965">
        <w:rPr>
          <w:lang w:val="es-ES_tradnl"/>
        </w:rPr>
        <w:t>.</w:t>
      </w:r>
    </w:p>
    <w:p w:rsidR="00BE13E4" w:rsidRPr="004854BC" w:rsidRDefault="00BE13E4" w:rsidP="00BE13E4">
      <w:pPr>
        <w:pStyle w:val="ONUME"/>
        <w:numPr>
          <w:ilvl w:val="0"/>
          <w:numId w:val="0"/>
        </w:numPr>
        <w:spacing w:after="0"/>
        <w:rPr>
          <w:lang w:val="es-ES_tradnl"/>
        </w:rPr>
      </w:pPr>
    </w:p>
    <w:p w:rsidR="00BE13E4" w:rsidRPr="004854BC" w:rsidRDefault="000D79F9" w:rsidP="00441606">
      <w:pPr>
        <w:pStyle w:val="ONUME"/>
        <w:spacing w:after="0"/>
        <w:rPr>
          <w:lang w:val="es-ES_tradnl"/>
        </w:rPr>
      </w:pPr>
      <w:r w:rsidRPr="004854BC">
        <w:rPr>
          <w:lang w:val="es-ES_tradnl"/>
        </w:rPr>
        <w:t xml:space="preserve">La Comisión tomó nota de dos de las cuatro recomendaciones transversales, que se repiten del año anterior, relativas al estudio sobre cuestiones de género y a la necesidad de fomentar la capacidad de diálogo, la colaboración en equipo y la formación destinada a los directivos intermedios. </w:t>
      </w:r>
      <w:r w:rsidR="00FE4A6B" w:rsidRPr="004854BC">
        <w:rPr>
          <w:lang w:val="es-ES_tradnl"/>
        </w:rPr>
        <w:t xml:space="preserve">En lo que respecta a los detalles relativos a la puesta en marcha de la aplicación de las recomendaciones, la Comisión </w:t>
      </w:r>
      <w:r w:rsidR="00446BB5">
        <w:rPr>
          <w:lang w:val="es-ES_tradnl"/>
        </w:rPr>
        <w:t>señaló</w:t>
      </w:r>
      <w:r w:rsidR="00FE4A6B" w:rsidRPr="004854BC">
        <w:rPr>
          <w:lang w:val="es-ES_tradnl"/>
        </w:rPr>
        <w:t xml:space="preserve"> que éstas tienen carácter consultivo </w:t>
      </w:r>
      <w:r w:rsidR="00446BB5">
        <w:rPr>
          <w:lang w:val="es-ES_tradnl"/>
        </w:rPr>
        <w:t xml:space="preserve">y que </w:t>
      </w:r>
      <w:r w:rsidR="00FE4A6B" w:rsidRPr="004854BC">
        <w:rPr>
          <w:lang w:val="es-ES_tradnl"/>
        </w:rPr>
        <w:t xml:space="preserve">pueden considerarse no obligatorias, </w:t>
      </w:r>
      <w:r w:rsidR="00446BB5">
        <w:rPr>
          <w:lang w:val="es-ES_tradnl"/>
        </w:rPr>
        <w:t>y añadió que, no obstante,</w:t>
      </w:r>
      <w:r w:rsidR="00446BB5" w:rsidRPr="004854BC">
        <w:rPr>
          <w:lang w:val="es-ES_tradnl"/>
        </w:rPr>
        <w:t xml:space="preserve"> </w:t>
      </w:r>
      <w:r w:rsidR="00446BB5">
        <w:rPr>
          <w:lang w:val="es-ES_tradnl"/>
        </w:rPr>
        <w:t xml:space="preserve">son </w:t>
      </w:r>
      <w:r w:rsidR="00FE4A6B" w:rsidRPr="004854BC">
        <w:rPr>
          <w:lang w:val="es-ES_tradnl"/>
        </w:rPr>
        <w:t>importantes para el desarrollo de la Organización. La Comisión señaló que espera que se ponga en funcionamiento algún tipo de mecanismo de supervisión para asegurar que las recomendaciones del mediador se examinen y apliquen plenamente. La Comisión señaló que sería conveniente que la función del mediador en la OMPI sea examinada por expertos homólogos</w:t>
      </w:r>
      <w:r w:rsidR="00BE13E4" w:rsidRPr="004854BC">
        <w:rPr>
          <w:lang w:val="es-ES_tradnl"/>
        </w:rPr>
        <w:t>.</w:t>
      </w:r>
    </w:p>
    <w:p w:rsidR="00BE13E4" w:rsidRPr="004854BC" w:rsidRDefault="00BE13E4" w:rsidP="00BE13E4">
      <w:pPr>
        <w:rPr>
          <w:lang w:val="es-ES_tradnl"/>
        </w:rPr>
      </w:pPr>
    </w:p>
    <w:p w:rsidR="00BE13E4" w:rsidRPr="004854BC" w:rsidRDefault="00BE13E4" w:rsidP="00BE13E4">
      <w:pPr>
        <w:pStyle w:val="Heading3"/>
        <w:numPr>
          <w:ilvl w:val="0"/>
          <w:numId w:val="36"/>
        </w:numPr>
        <w:tabs>
          <w:tab w:val="left" w:pos="567"/>
        </w:tabs>
        <w:spacing w:before="0" w:after="0"/>
        <w:ind w:hanging="900"/>
        <w:rPr>
          <w:lang w:val="es-ES_tradnl"/>
        </w:rPr>
      </w:pPr>
      <w:bookmarkStart w:id="68" w:name="_Toc78467011"/>
      <w:r w:rsidRPr="004854BC">
        <w:rPr>
          <w:lang w:val="es-ES_tradnl"/>
        </w:rPr>
        <w:t>Ot</w:t>
      </w:r>
      <w:r w:rsidR="0070797D" w:rsidRPr="004854BC">
        <w:rPr>
          <w:lang w:val="es-ES_tradnl"/>
        </w:rPr>
        <w:t>ros asuntos</w:t>
      </w:r>
      <w:bookmarkStart w:id="69" w:name="_Toc40372257"/>
      <w:bookmarkEnd w:id="68"/>
    </w:p>
    <w:bookmarkEnd w:id="69"/>
    <w:p w:rsidR="00BE13E4" w:rsidRPr="004854BC" w:rsidRDefault="00BE13E4" w:rsidP="00BE13E4">
      <w:pPr>
        <w:rPr>
          <w:lang w:val="es-ES_tradnl"/>
        </w:rPr>
      </w:pPr>
    </w:p>
    <w:p w:rsidR="00BE13E4" w:rsidRPr="004854BC" w:rsidRDefault="00894474" w:rsidP="00BE13E4">
      <w:pPr>
        <w:pStyle w:val="ONUME"/>
        <w:numPr>
          <w:ilvl w:val="0"/>
          <w:numId w:val="0"/>
        </w:numPr>
        <w:spacing w:after="0"/>
        <w:ind w:left="540"/>
        <w:rPr>
          <w:i/>
          <w:szCs w:val="22"/>
          <w:lang w:val="es-ES_tradnl"/>
        </w:rPr>
      </w:pPr>
      <w:bookmarkStart w:id="70" w:name="_Toc429145919"/>
      <w:bookmarkStart w:id="71" w:name="_Toc429147812"/>
      <w:bookmarkStart w:id="72" w:name="_Toc429147830"/>
      <w:bookmarkStart w:id="73" w:name="_Toc429384089"/>
      <w:bookmarkEnd w:id="70"/>
      <w:bookmarkEnd w:id="71"/>
      <w:bookmarkEnd w:id="72"/>
      <w:bookmarkEnd w:id="73"/>
      <w:r w:rsidRPr="004854BC">
        <w:rPr>
          <w:i/>
          <w:szCs w:val="22"/>
          <w:lang w:val="es-ES_tradnl"/>
        </w:rPr>
        <w:t xml:space="preserve">Sesión de información </w:t>
      </w:r>
      <w:r w:rsidR="004854BC" w:rsidRPr="004854BC">
        <w:rPr>
          <w:i/>
          <w:szCs w:val="22"/>
          <w:lang w:val="es-ES_tradnl"/>
        </w:rPr>
        <w:t>proporcionada por el</w:t>
      </w:r>
      <w:r w:rsidRPr="004854BC">
        <w:rPr>
          <w:i/>
          <w:szCs w:val="22"/>
          <w:lang w:val="es-ES_tradnl"/>
        </w:rPr>
        <w:t xml:space="preserve"> subdirector general encargado del Sector de Administración, Finanzas y Gestión</w:t>
      </w:r>
    </w:p>
    <w:p w:rsidR="00BE13E4" w:rsidRPr="004854BC" w:rsidRDefault="00BE13E4" w:rsidP="00BE13E4">
      <w:pPr>
        <w:rPr>
          <w:i/>
          <w:szCs w:val="22"/>
          <w:lang w:val="es-ES_tradnl"/>
        </w:rPr>
      </w:pPr>
    </w:p>
    <w:p w:rsidR="00BE13E4" w:rsidRPr="004854BC" w:rsidRDefault="00894474" w:rsidP="00BA7592">
      <w:pPr>
        <w:pStyle w:val="ONUME"/>
        <w:rPr>
          <w:lang w:val="es-ES_tradnl"/>
        </w:rPr>
      </w:pPr>
      <w:r w:rsidRPr="004854BC">
        <w:rPr>
          <w:lang w:val="es-ES_tradnl"/>
        </w:rPr>
        <w:t xml:space="preserve">El subdirector general encargado del Sector de </w:t>
      </w:r>
      <w:r w:rsidR="00C1159E" w:rsidRPr="004854BC">
        <w:rPr>
          <w:lang w:val="es-ES_tradnl"/>
        </w:rPr>
        <w:t>Administración</w:t>
      </w:r>
      <w:r w:rsidRPr="004854BC">
        <w:rPr>
          <w:lang w:val="es-ES_tradnl"/>
        </w:rPr>
        <w:t xml:space="preserve">, Finanzas y Gestión presentó </w:t>
      </w:r>
      <w:r w:rsidR="007A588C">
        <w:rPr>
          <w:lang w:val="es-ES_tradnl"/>
        </w:rPr>
        <w:t xml:space="preserve">información </w:t>
      </w:r>
      <w:r w:rsidRPr="004854BC">
        <w:rPr>
          <w:lang w:val="es-ES_tradnl"/>
        </w:rPr>
        <w:t xml:space="preserve">a la Comisión </w:t>
      </w:r>
      <w:r w:rsidR="007A588C">
        <w:rPr>
          <w:lang w:val="es-ES_tradnl"/>
        </w:rPr>
        <w:t>acerca de la labor en curso en el Sector</w:t>
      </w:r>
      <w:r w:rsidR="006029B2">
        <w:rPr>
          <w:lang w:val="es-ES_tradnl"/>
        </w:rPr>
        <w:t>, incluyendo los preparativos para la siguiente sesión del Comité del Programa y Presupuesto</w:t>
      </w:r>
      <w:r w:rsidRPr="004854BC">
        <w:rPr>
          <w:lang w:val="es-ES_tradnl"/>
        </w:rPr>
        <w:t xml:space="preserve">. </w:t>
      </w:r>
      <w:r w:rsidR="00BA7592" w:rsidRPr="004854BC">
        <w:rPr>
          <w:lang w:val="es-ES_tradnl"/>
        </w:rPr>
        <w:t>La Comisión agradeció la información presentada por el subdirector general</w:t>
      </w:r>
      <w:r w:rsidR="00BE13E4" w:rsidRPr="004854BC">
        <w:rPr>
          <w:lang w:val="es-ES_tradnl"/>
        </w:rPr>
        <w:t>.</w:t>
      </w:r>
    </w:p>
    <w:p w:rsidR="00BE13E4" w:rsidRPr="004854BC" w:rsidRDefault="0070797D" w:rsidP="00BE13E4">
      <w:pPr>
        <w:pStyle w:val="ONUME"/>
        <w:numPr>
          <w:ilvl w:val="0"/>
          <w:numId w:val="0"/>
        </w:numPr>
        <w:spacing w:after="0"/>
        <w:ind w:left="540"/>
        <w:rPr>
          <w:i/>
          <w:szCs w:val="22"/>
          <w:lang w:val="es-ES_tradnl"/>
        </w:rPr>
      </w:pPr>
      <w:r w:rsidRPr="004854BC">
        <w:rPr>
          <w:i/>
          <w:szCs w:val="22"/>
          <w:lang w:val="es-ES_tradnl"/>
        </w:rPr>
        <w:t xml:space="preserve">Sesión informativa sobre la incidencia de la </w:t>
      </w:r>
      <w:r w:rsidR="00BE13E4" w:rsidRPr="004854BC">
        <w:rPr>
          <w:i/>
          <w:szCs w:val="22"/>
          <w:lang w:val="es-ES_tradnl"/>
        </w:rPr>
        <w:t xml:space="preserve">COVID-19 </w:t>
      </w:r>
      <w:r w:rsidRPr="004854BC">
        <w:rPr>
          <w:i/>
          <w:szCs w:val="22"/>
          <w:lang w:val="es-ES_tradnl"/>
        </w:rPr>
        <w:t>y respuesta de la OMPI</w:t>
      </w:r>
    </w:p>
    <w:p w:rsidR="00BE13E4" w:rsidRPr="004854BC" w:rsidRDefault="00BE13E4" w:rsidP="00BE13E4">
      <w:pPr>
        <w:rPr>
          <w:i/>
          <w:szCs w:val="22"/>
          <w:lang w:val="es-ES_tradnl"/>
        </w:rPr>
      </w:pPr>
    </w:p>
    <w:p w:rsidR="00BE13E4" w:rsidRPr="004854BC" w:rsidRDefault="00142DF5" w:rsidP="00142DF5">
      <w:pPr>
        <w:pStyle w:val="ONUME"/>
        <w:rPr>
          <w:lang w:val="es-ES_tradnl"/>
        </w:rPr>
      </w:pPr>
      <w:r w:rsidRPr="004854BC">
        <w:rPr>
          <w:lang w:val="es-ES_tradnl"/>
        </w:rPr>
        <w:t>En su 59.ª sesión, la contralor</w:t>
      </w:r>
      <w:r w:rsidR="004854BC" w:rsidRPr="004854BC">
        <w:rPr>
          <w:lang w:val="es-ES_tradnl"/>
        </w:rPr>
        <w:t>a</w:t>
      </w:r>
      <w:r w:rsidRPr="004854BC">
        <w:rPr>
          <w:lang w:val="es-ES_tradnl"/>
        </w:rPr>
        <w:t xml:space="preserve"> informó a la Comisión sobre las consecuencias de la pandemia de COVID-19 y la respuesta de la OMPI. La Comisión se mostró satisfecha con la </w:t>
      </w:r>
      <w:r w:rsidR="00C1159E" w:rsidRPr="004854BC">
        <w:rPr>
          <w:lang w:val="es-ES_tradnl"/>
        </w:rPr>
        <w:t>exhaustividad</w:t>
      </w:r>
      <w:r w:rsidRPr="004854BC">
        <w:rPr>
          <w:lang w:val="es-ES_tradnl"/>
        </w:rPr>
        <w:t xml:space="preserve"> de los procesos de evaluación de riesgos, en particular a la hora de evaluar la incidencia y la probabilidad de los riesgos señalados. </w:t>
      </w:r>
      <w:r w:rsidR="00446BB5">
        <w:rPr>
          <w:lang w:val="es-ES_tradnl"/>
        </w:rPr>
        <w:t>S</w:t>
      </w:r>
      <w:r w:rsidRPr="004854BC">
        <w:rPr>
          <w:lang w:val="es-ES_tradnl"/>
        </w:rPr>
        <w:t>e mostró asimismo satisfecha por la eficacia del Grupo de Gestión de Riesgos, y señaló con agrado que el nuevo director general ha hecho gala de una intensa participación</w:t>
      </w:r>
      <w:r w:rsidR="00C77140">
        <w:rPr>
          <w:lang w:val="es-ES_tradnl"/>
        </w:rPr>
        <w:t xml:space="preserve"> </w:t>
      </w:r>
      <w:r w:rsidR="00471FD4">
        <w:rPr>
          <w:lang w:val="es-ES_tradnl"/>
        </w:rPr>
        <w:t>inmediatamente después de haber sido elegido</w:t>
      </w:r>
      <w:r w:rsidRPr="004854BC">
        <w:rPr>
          <w:lang w:val="es-ES_tradnl"/>
        </w:rPr>
        <w:t xml:space="preserve">. Tomó nota asimismo del alto grado de madurez del sistema de gestión de riesgos de la OMPI, que está integrado en sus procesos de gestión y no se considera un ejercicio independiente. Por ese motivo, la OMPI ha podido afrontar adecuadamente los riesgos relacionados con la </w:t>
      </w:r>
      <w:r w:rsidRPr="004854BC">
        <w:rPr>
          <w:lang w:val="es-ES_tradnl"/>
        </w:rPr>
        <w:lastRenderedPageBreak/>
        <w:t>pandemia de COVID-19. La Comisión se manifestó satisfecha con las medidas de mitigación, la frecuencia de la supervisión de riesgos y la participación de la primera línea de defensa</w:t>
      </w:r>
      <w:r w:rsidR="00BE13E4" w:rsidRPr="004854BC">
        <w:rPr>
          <w:lang w:val="es-ES_tradnl"/>
        </w:rPr>
        <w:t xml:space="preserve">. </w:t>
      </w:r>
    </w:p>
    <w:p w:rsidR="00BE13E4" w:rsidRPr="004854BC" w:rsidRDefault="0070797D" w:rsidP="00BE13E4">
      <w:pPr>
        <w:pStyle w:val="ONUME"/>
        <w:numPr>
          <w:ilvl w:val="0"/>
          <w:numId w:val="0"/>
        </w:numPr>
        <w:ind w:left="567"/>
        <w:rPr>
          <w:i/>
          <w:lang w:val="es-ES_tradnl"/>
        </w:rPr>
      </w:pPr>
      <w:r w:rsidRPr="004854BC">
        <w:rPr>
          <w:i/>
          <w:lang w:val="es-ES_tradnl"/>
        </w:rPr>
        <w:t>Sesión informativa sobre las proyecciones y previsiones de los resultados financieros de la OMPI</w:t>
      </w:r>
    </w:p>
    <w:p w:rsidR="00BE13E4" w:rsidRPr="004854BC" w:rsidRDefault="005615D4" w:rsidP="00474787">
      <w:pPr>
        <w:pStyle w:val="ONUME"/>
        <w:rPr>
          <w:lang w:val="es-ES_tradnl"/>
        </w:rPr>
      </w:pPr>
      <w:r w:rsidRPr="004854BC">
        <w:rPr>
          <w:lang w:val="es-ES_tradnl"/>
        </w:rPr>
        <w:t xml:space="preserve">La Comisión invitó al </w:t>
      </w:r>
      <w:r w:rsidR="00C1159E" w:rsidRPr="004854BC">
        <w:rPr>
          <w:lang w:val="es-ES_tradnl"/>
        </w:rPr>
        <w:t>economista</w:t>
      </w:r>
      <w:r w:rsidRPr="004854BC">
        <w:rPr>
          <w:lang w:val="es-ES_tradnl"/>
        </w:rPr>
        <w:t xml:space="preserve"> jefe a</w:t>
      </w:r>
      <w:r w:rsidR="00C77140">
        <w:rPr>
          <w:lang w:val="es-ES_tradnl"/>
        </w:rPr>
        <w:t xml:space="preserve"> asistir a</w:t>
      </w:r>
      <w:r w:rsidRPr="004854BC">
        <w:rPr>
          <w:lang w:val="es-ES_tradnl"/>
        </w:rPr>
        <w:t xml:space="preserve"> su 59.ª sesión para </w:t>
      </w:r>
      <w:r w:rsidR="00483C79">
        <w:rPr>
          <w:lang w:val="es-ES_tradnl"/>
        </w:rPr>
        <w:t xml:space="preserve">presentar </w:t>
      </w:r>
      <w:r w:rsidRPr="004854BC">
        <w:rPr>
          <w:lang w:val="es-ES_tradnl"/>
        </w:rPr>
        <w:t>inform</w:t>
      </w:r>
      <w:r w:rsidR="00483C79">
        <w:rPr>
          <w:lang w:val="es-ES_tradnl"/>
        </w:rPr>
        <w:t>ación</w:t>
      </w:r>
      <w:r w:rsidRPr="004854BC">
        <w:rPr>
          <w:lang w:val="es-ES_tradnl"/>
        </w:rPr>
        <w:t xml:space="preserve"> sobre cómo se llevan a cabo las previsiones en la OMPI, en particular, la </w:t>
      </w:r>
      <w:r w:rsidR="00C1159E" w:rsidRPr="004854BC">
        <w:rPr>
          <w:lang w:val="es-ES_tradnl"/>
        </w:rPr>
        <w:t>previsión</w:t>
      </w:r>
      <w:r w:rsidRPr="004854BC">
        <w:rPr>
          <w:lang w:val="es-ES_tradnl"/>
        </w:rPr>
        <w:t xml:space="preserve"> de ingresos, habida cuenta de las circunstancias de la pandemia. </w:t>
      </w:r>
      <w:r w:rsidR="00483C79">
        <w:rPr>
          <w:lang w:val="es-ES_tradnl"/>
        </w:rPr>
        <w:t>El economista jefe d</w:t>
      </w:r>
      <w:r w:rsidRPr="004854BC">
        <w:rPr>
          <w:lang w:val="es-ES_tradnl"/>
        </w:rPr>
        <w:t xml:space="preserve">escribió el modelo de </w:t>
      </w:r>
      <w:r w:rsidR="00C1159E" w:rsidRPr="004854BC">
        <w:rPr>
          <w:lang w:val="es-ES_tradnl"/>
        </w:rPr>
        <w:t>previsión</w:t>
      </w:r>
      <w:r w:rsidRPr="004854BC">
        <w:rPr>
          <w:lang w:val="es-ES_tradnl"/>
        </w:rPr>
        <w:t xml:space="preserve"> técnica que se </w:t>
      </w:r>
      <w:r w:rsidR="00474787" w:rsidRPr="004854BC">
        <w:rPr>
          <w:lang w:val="es-ES_tradnl"/>
        </w:rPr>
        <w:t>basa</w:t>
      </w:r>
      <w:r w:rsidRPr="004854BC">
        <w:rPr>
          <w:lang w:val="es-ES_tradnl"/>
        </w:rPr>
        <w:t xml:space="preserve"> en una combinación de tendencias de corto y mediano plazo </w:t>
      </w:r>
      <w:r w:rsidR="00474787" w:rsidRPr="004854BC">
        <w:rPr>
          <w:lang w:val="es-ES_tradnl"/>
        </w:rPr>
        <w:t xml:space="preserve">extraídas a partir de datos históricos. Se informó a la Comisión de que, a fin de comprobar la </w:t>
      </w:r>
      <w:r w:rsidR="00C1159E" w:rsidRPr="004854BC">
        <w:rPr>
          <w:lang w:val="es-ES_tradnl"/>
        </w:rPr>
        <w:t>exactitud</w:t>
      </w:r>
      <w:r w:rsidR="00474787" w:rsidRPr="004854BC">
        <w:rPr>
          <w:lang w:val="es-ES_tradnl"/>
        </w:rPr>
        <w:t xml:space="preserve"> de las previsiones, se efectúa un examen a posteriori y, </w:t>
      </w:r>
      <w:r w:rsidR="00471FD4">
        <w:rPr>
          <w:lang w:val="es-ES_tradnl"/>
        </w:rPr>
        <w:t>ulteriormente</w:t>
      </w:r>
      <w:r w:rsidR="00474787" w:rsidRPr="004854BC">
        <w:rPr>
          <w:lang w:val="es-ES_tradnl"/>
        </w:rPr>
        <w:t xml:space="preserve">, </w:t>
      </w:r>
      <w:r w:rsidR="00471FD4">
        <w:rPr>
          <w:lang w:val="es-ES_tradnl"/>
        </w:rPr>
        <w:t>se comparan</w:t>
      </w:r>
      <w:r w:rsidR="00471FD4" w:rsidRPr="004854BC">
        <w:rPr>
          <w:lang w:val="es-ES_tradnl"/>
        </w:rPr>
        <w:t xml:space="preserve"> </w:t>
      </w:r>
      <w:r w:rsidR="00C77140">
        <w:rPr>
          <w:lang w:val="es-ES_tradnl"/>
        </w:rPr>
        <w:t xml:space="preserve">las previsiones </w:t>
      </w:r>
      <w:r w:rsidR="00474787" w:rsidRPr="004854BC">
        <w:rPr>
          <w:lang w:val="es-ES_tradnl"/>
        </w:rPr>
        <w:t>con hechos reales. Como consecuencia de</w:t>
      </w:r>
      <w:r w:rsidR="00C77140">
        <w:rPr>
          <w:lang w:val="es-ES_tradnl"/>
        </w:rPr>
        <w:t xml:space="preserve"> la pandemia de COVID-19 y el alto grado de incertidumbre que ha generado, se ha</w:t>
      </w:r>
      <w:r w:rsidR="00483C79">
        <w:rPr>
          <w:lang w:val="es-ES_tradnl"/>
        </w:rPr>
        <w:t>bía</w:t>
      </w:r>
      <w:r w:rsidR="00474787" w:rsidRPr="004854BC">
        <w:rPr>
          <w:lang w:val="es-ES_tradnl"/>
        </w:rPr>
        <w:t xml:space="preserve"> suspendido </w:t>
      </w:r>
      <w:r w:rsidR="00C77140">
        <w:rPr>
          <w:lang w:val="es-ES_tradnl"/>
        </w:rPr>
        <w:t>la ejecución de</w:t>
      </w:r>
      <w:r w:rsidR="00474787" w:rsidRPr="004854BC">
        <w:rPr>
          <w:lang w:val="es-ES_tradnl"/>
        </w:rPr>
        <w:t xml:space="preserve"> previsiones. En lugar de ello, se ha llevado a cabo una observación y un seguimiento más cercanos, reanudándose las previsiones en octubre de 2020. </w:t>
      </w:r>
      <w:r w:rsidR="00967563">
        <w:rPr>
          <w:lang w:val="es-ES_tradnl"/>
        </w:rPr>
        <w:t xml:space="preserve">Si bien todavía reina la </w:t>
      </w:r>
      <w:r w:rsidR="00474787" w:rsidRPr="004854BC">
        <w:rPr>
          <w:lang w:val="es-ES_tradnl"/>
        </w:rPr>
        <w:t xml:space="preserve">incertidumbre, el </w:t>
      </w:r>
      <w:r w:rsidR="00C1159E" w:rsidRPr="004854BC">
        <w:rPr>
          <w:lang w:val="es-ES_tradnl"/>
        </w:rPr>
        <w:t>economista</w:t>
      </w:r>
      <w:r w:rsidR="00474787" w:rsidRPr="004854BC">
        <w:rPr>
          <w:lang w:val="es-ES_tradnl"/>
        </w:rPr>
        <w:t xml:space="preserve"> jefe dijo que </w:t>
      </w:r>
      <w:r w:rsidR="00C1159E" w:rsidRPr="004854BC">
        <w:rPr>
          <w:lang w:val="es-ES_tradnl"/>
        </w:rPr>
        <w:t>espera</w:t>
      </w:r>
      <w:r w:rsidR="00474787" w:rsidRPr="004854BC">
        <w:rPr>
          <w:lang w:val="es-ES_tradnl"/>
        </w:rPr>
        <w:t xml:space="preserve"> que la crisis de la pandemia se supere con prontitud. E indic</w:t>
      </w:r>
      <w:r w:rsidR="00C77140">
        <w:rPr>
          <w:lang w:val="es-ES_tradnl"/>
        </w:rPr>
        <w:t>ó</w:t>
      </w:r>
      <w:r w:rsidR="00474787" w:rsidRPr="004854BC">
        <w:rPr>
          <w:lang w:val="es-ES_tradnl"/>
        </w:rPr>
        <w:t xml:space="preserve"> que no es descabellado esperar </w:t>
      </w:r>
      <w:r w:rsidR="00C77140">
        <w:rPr>
          <w:lang w:val="es-ES_tradnl"/>
        </w:rPr>
        <w:t xml:space="preserve">que se </w:t>
      </w:r>
      <w:r w:rsidR="00967563">
        <w:rPr>
          <w:lang w:val="es-ES_tradnl"/>
        </w:rPr>
        <w:t xml:space="preserve">produzca </w:t>
      </w:r>
      <w:r w:rsidR="00C77140">
        <w:rPr>
          <w:lang w:val="es-ES_tradnl"/>
        </w:rPr>
        <w:t xml:space="preserve">un crecimiento </w:t>
      </w:r>
      <w:r w:rsidR="00967563">
        <w:rPr>
          <w:lang w:val="es-ES_tradnl"/>
        </w:rPr>
        <w:t xml:space="preserve">a partir </w:t>
      </w:r>
      <w:r w:rsidR="00C77140">
        <w:rPr>
          <w:lang w:val="es-ES_tradnl"/>
        </w:rPr>
        <w:t>del</w:t>
      </w:r>
      <w:r w:rsidR="00483C79">
        <w:rPr>
          <w:lang w:val="es-ES_tradnl"/>
        </w:rPr>
        <w:t xml:space="preserve"> Sistema del </w:t>
      </w:r>
      <w:r w:rsidR="00474787" w:rsidRPr="004854BC">
        <w:rPr>
          <w:lang w:val="es-ES_tradnl"/>
        </w:rPr>
        <w:t>PCT</w:t>
      </w:r>
      <w:r w:rsidR="00967563">
        <w:rPr>
          <w:lang w:val="es-ES_tradnl"/>
        </w:rPr>
        <w:t>.</w:t>
      </w:r>
    </w:p>
    <w:p w:rsidR="00BE13E4" w:rsidRPr="004854BC" w:rsidRDefault="00BE13E4" w:rsidP="00BE13E4">
      <w:pPr>
        <w:pStyle w:val="ONUME"/>
        <w:numPr>
          <w:ilvl w:val="0"/>
          <w:numId w:val="0"/>
        </w:numPr>
        <w:tabs>
          <w:tab w:val="left" w:pos="567"/>
        </w:tabs>
        <w:spacing w:after="0"/>
        <w:rPr>
          <w:i/>
          <w:szCs w:val="22"/>
          <w:lang w:val="es-ES_tradnl"/>
        </w:rPr>
      </w:pPr>
      <w:r w:rsidRPr="004854BC">
        <w:rPr>
          <w:i/>
          <w:szCs w:val="22"/>
          <w:lang w:val="es-ES_tradnl"/>
        </w:rPr>
        <w:tab/>
      </w:r>
      <w:r w:rsidR="0070797D" w:rsidRPr="004854BC">
        <w:rPr>
          <w:i/>
          <w:szCs w:val="22"/>
          <w:lang w:val="es-ES_tradnl"/>
        </w:rPr>
        <w:t>Informes de la OMPI relativos a las inversiones</w:t>
      </w:r>
    </w:p>
    <w:p w:rsidR="00BE13E4" w:rsidRPr="004854BC" w:rsidRDefault="00BE13E4" w:rsidP="00BE13E4">
      <w:pPr>
        <w:pStyle w:val="ONUME"/>
        <w:numPr>
          <w:ilvl w:val="0"/>
          <w:numId w:val="0"/>
        </w:numPr>
        <w:tabs>
          <w:tab w:val="left" w:pos="567"/>
        </w:tabs>
        <w:spacing w:after="0"/>
        <w:rPr>
          <w:i/>
          <w:szCs w:val="22"/>
          <w:lang w:val="es-ES_tradnl"/>
        </w:rPr>
      </w:pPr>
    </w:p>
    <w:p w:rsidR="00BE13E4" w:rsidRPr="004854BC" w:rsidRDefault="00107230" w:rsidP="00107230">
      <w:pPr>
        <w:pStyle w:val="ONUME"/>
        <w:spacing w:after="0"/>
        <w:rPr>
          <w:lang w:val="es-ES_tradnl"/>
        </w:rPr>
      </w:pPr>
      <w:r w:rsidRPr="004854BC">
        <w:rPr>
          <w:lang w:val="es-ES_tradnl"/>
        </w:rPr>
        <w:t>Por petición de los Estados miembros, la Dirección presentó a la Comisión, en cada una de sus sesiones, los informes mensuales sobre el rendimiento de las inversiones y sobre la supervisión de las inversiones, preparados por los asesores en materia de inversión y por el depositario, respectivamente. La Comisión aclaró que su función se limita a transmitir la información contenida en los mencionados informes y que no ofrece garantías al respecto</w:t>
      </w:r>
      <w:r w:rsidR="00BE13E4" w:rsidRPr="004854BC">
        <w:rPr>
          <w:lang w:val="es-ES_tradnl"/>
        </w:rPr>
        <w:t>.</w:t>
      </w:r>
    </w:p>
    <w:p w:rsidR="00BE13E4" w:rsidRPr="004854BC" w:rsidRDefault="00BE13E4" w:rsidP="00BE13E4">
      <w:pPr>
        <w:pStyle w:val="ONUME"/>
        <w:numPr>
          <w:ilvl w:val="0"/>
          <w:numId w:val="0"/>
        </w:numPr>
        <w:spacing w:after="0"/>
        <w:rPr>
          <w:lang w:val="es-ES_tradnl"/>
        </w:rPr>
      </w:pPr>
    </w:p>
    <w:p w:rsidR="00BE13E4" w:rsidRPr="004854BC" w:rsidRDefault="007615A4" w:rsidP="00441606">
      <w:pPr>
        <w:pStyle w:val="ONUME"/>
        <w:tabs>
          <w:tab w:val="clear" w:pos="567"/>
        </w:tabs>
        <w:spacing w:after="0"/>
        <w:rPr>
          <w:szCs w:val="22"/>
          <w:lang w:val="es-ES_tradnl"/>
        </w:rPr>
      </w:pPr>
      <w:r w:rsidRPr="004854BC">
        <w:rPr>
          <w:szCs w:val="22"/>
          <w:lang w:val="es-ES_tradnl"/>
        </w:rPr>
        <w:t xml:space="preserve">Partiendo de los exámenes periódicos de los informes presentados desde abril de 2020 hasta mayo de 2021, la Comisión confirmó que la información presentada durante el ejercicio objeto de informe de la CCIS pone de manifiesto que, sobre la base de los objetivos en materia de rentabilidad de mercado, </w:t>
      </w:r>
      <w:r w:rsidR="001A5A6E">
        <w:rPr>
          <w:szCs w:val="22"/>
          <w:lang w:val="es-ES_tradnl"/>
        </w:rPr>
        <w:t xml:space="preserve">en </w:t>
      </w:r>
      <w:r w:rsidRPr="004854BC">
        <w:rPr>
          <w:szCs w:val="22"/>
          <w:lang w:val="es-ES_tradnl"/>
        </w:rPr>
        <w:t xml:space="preserve">todos los instrumentos de la cartera de inversiones de la OMPI </w:t>
      </w:r>
      <w:r w:rsidR="001A5A6E">
        <w:rPr>
          <w:szCs w:val="22"/>
          <w:lang w:val="es-ES_tradnl"/>
        </w:rPr>
        <w:t xml:space="preserve">se </w:t>
      </w:r>
      <w:r w:rsidRPr="004854BC">
        <w:rPr>
          <w:szCs w:val="22"/>
          <w:lang w:val="es-ES_tradnl"/>
        </w:rPr>
        <w:t xml:space="preserve">han logrado los resultados previstos y se gestionan de conformidad con la estrategia de inversión establecida. Por otra parte, la Comisión </w:t>
      </w:r>
      <w:r w:rsidR="00C1159E" w:rsidRPr="004854BC">
        <w:rPr>
          <w:szCs w:val="22"/>
          <w:lang w:val="es-ES_tradnl"/>
        </w:rPr>
        <w:t>confirmó</w:t>
      </w:r>
      <w:r w:rsidRPr="004854BC">
        <w:rPr>
          <w:szCs w:val="22"/>
          <w:lang w:val="es-ES_tradnl"/>
        </w:rPr>
        <w:t xml:space="preserve"> que el depositario no ha notificado ninguna infracción, ni activa ni pasiva, ni excepciones justificadas. No obstante, en su 58.ª sesión, la Comisión confirmó que el depositario </w:t>
      </w:r>
      <w:r w:rsidR="001A5A6E">
        <w:rPr>
          <w:szCs w:val="22"/>
          <w:lang w:val="es-ES_tradnl"/>
        </w:rPr>
        <w:t>había comunicado</w:t>
      </w:r>
      <w:r w:rsidRPr="004854BC">
        <w:rPr>
          <w:szCs w:val="22"/>
          <w:lang w:val="es-ES_tradnl"/>
        </w:rPr>
        <w:t xml:space="preserve"> algunas excepciones justificadas, aunque de carácter menor, en julio de </w:t>
      </w:r>
      <w:r w:rsidR="00BE13E4" w:rsidRPr="004854BC">
        <w:rPr>
          <w:lang w:val="es-ES_tradnl"/>
        </w:rPr>
        <w:t xml:space="preserve">2020. </w:t>
      </w:r>
    </w:p>
    <w:p w:rsidR="00BE13E4" w:rsidRPr="004854BC" w:rsidRDefault="00BE13E4" w:rsidP="00BE13E4">
      <w:pPr>
        <w:pStyle w:val="ONUME"/>
        <w:numPr>
          <w:ilvl w:val="0"/>
          <w:numId w:val="0"/>
        </w:numPr>
        <w:spacing w:after="0"/>
        <w:rPr>
          <w:lang w:val="es-ES_tradnl"/>
        </w:rPr>
      </w:pPr>
    </w:p>
    <w:p w:rsidR="00BE13E4" w:rsidRPr="004854BC" w:rsidRDefault="00441606" w:rsidP="00441606">
      <w:pPr>
        <w:pStyle w:val="ONUME"/>
        <w:spacing w:after="0"/>
        <w:rPr>
          <w:lang w:val="es-ES_tradnl"/>
        </w:rPr>
      </w:pPr>
      <w:r w:rsidRPr="004854BC">
        <w:rPr>
          <w:lang w:val="es-ES_tradnl"/>
        </w:rPr>
        <w:t>En su 60.ª sesión, la Comisión volvió a recibir la confirmación, por parte de la Dirección, de que la OMPI no ha hecho cambios en la política de inversiones desde el inicio de la pandemia de COVID-19. A la Comisión se le consultó por primera vez sobre este asunto, junto con la Dirección, en su 56.ª sesión (</w:t>
      </w:r>
      <w:r w:rsidR="00BE13E4" w:rsidRPr="004854BC">
        <w:rPr>
          <w:szCs w:val="22"/>
          <w:lang w:val="es-ES_tradnl"/>
        </w:rPr>
        <w:t>WO/IAOC/56/2).</w:t>
      </w:r>
    </w:p>
    <w:p w:rsidR="00BE13E4" w:rsidRPr="004854BC" w:rsidRDefault="00BE13E4" w:rsidP="00BE13E4">
      <w:pPr>
        <w:rPr>
          <w:lang w:val="es-ES_tradnl"/>
        </w:rPr>
      </w:pPr>
    </w:p>
    <w:p w:rsidR="00BE13E4" w:rsidRPr="004854BC" w:rsidRDefault="0070797D" w:rsidP="00BE13E4">
      <w:pPr>
        <w:ind w:left="567"/>
        <w:rPr>
          <w:i/>
          <w:lang w:val="es-ES_tradnl"/>
        </w:rPr>
      </w:pPr>
      <w:r w:rsidRPr="004854BC">
        <w:rPr>
          <w:i/>
          <w:lang w:val="es-ES_tradnl"/>
        </w:rPr>
        <w:t>Aplicación de las recomendaciones de la Dependencia Común de Inspección</w:t>
      </w:r>
    </w:p>
    <w:p w:rsidR="00BE13E4" w:rsidRPr="004854BC" w:rsidRDefault="00BE13E4" w:rsidP="00BE13E4">
      <w:pPr>
        <w:rPr>
          <w:i/>
          <w:lang w:val="es-ES_tradnl"/>
        </w:rPr>
      </w:pPr>
    </w:p>
    <w:p w:rsidR="00BE13E4" w:rsidRPr="004854BC" w:rsidRDefault="009250DE" w:rsidP="00C1159E">
      <w:pPr>
        <w:pStyle w:val="ONUME"/>
        <w:spacing w:after="0"/>
        <w:ind w:left="567" w:hanging="567"/>
        <w:rPr>
          <w:lang w:val="es-ES_tradnl"/>
        </w:rPr>
      </w:pPr>
      <w:r w:rsidRPr="004854BC">
        <w:rPr>
          <w:lang w:val="es-ES_tradnl"/>
        </w:rPr>
        <w:t>La Comisión examinó la situación de la aplicación de 38 recomendaciones de la Dependencia Común de Inspección (DCI) dirigidas a los jefes ejecutivos de las organizaciones que participan en la DCI. Dichas recomendaciones atañen a 11 informes de la DCI (cinco de fecha de 2019, dos de fecha de 2018, tres de fecha de 2016 y una de fecha de 2012). Al final de mayo de 2020, 21 (o el 55 por ciento) de las 38 recomendaciones fueron consideradas “aplicadas”; 10 (o el 27 por ciento) fueron consideradas “en curso”; dos (o el 5 por ciento) fueron consideradas “no iniciadas”, y cinco (o el 13 por ciento) no recibieron clasificación por considerarse no pertinentes para la OMPI. Por otra parte, de las 38 recomendaciones, la Comisión tomó nota del cambio en la situación de la aplicación de seis recomendaciones (que pasaron de la consideración “en curso” a la consideración “aplicadas”</w:t>
      </w:r>
      <w:r w:rsidR="00C1159E">
        <w:rPr>
          <w:lang w:val="es-ES_tradnl"/>
        </w:rPr>
        <w:t>; una pasó de “no iniciada” a “</w:t>
      </w:r>
      <w:r w:rsidRPr="004854BC">
        <w:rPr>
          <w:lang w:val="es-ES_tradnl"/>
        </w:rPr>
        <w:t xml:space="preserve">en curso”, y otra pasó de “no iniciada” a “aplicada”). La Comisión señaló que es necesario </w:t>
      </w:r>
      <w:r w:rsidRPr="004854BC">
        <w:rPr>
          <w:lang w:val="es-ES_tradnl"/>
        </w:rPr>
        <w:lastRenderedPageBreak/>
        <w:t>que la Dirección aclare mejor la situación de la aplicación de ocho de las 38 recomendaciones. La Comisión pedirá información específica acerca de dichas recomendaciones en su debido momento</w:t>
      </w:r>
      <w:r w:rsidR="00BE13E4" w:rsidRPr="004854BC">
        <w:rPr>
          <w:lang w:val="es-ES_tradnl"/>
        </w:rPr>
        <w:t>.</w:t>
      </w:r>
    </w:p>
    <w:p w:rsidR="00BE13E4" w:rsidRPr="004854BC" w:rsidRDefault="00BE13E4" w:rsidP="00BE13E4">
      <w:pPr>
        <w:rPr>
          <w:lang w:val="es-ES_tradnl"/>
        </w:rPr>
      </w:pPr>
    </w:p>
    <w:p w:rsidR="00BE13E4" w:rsidRPr="004854BC" w:rsidRDefault="0070797D" w:rsidP="00BE13E4">
      <w:pPr>
        <w:pStyle w:val="ONUME"/>
        <w:numPr>
          <w:ilvl w:val="0"/>
          <w:numId w:val="0"/>
        </w:numPr>
        <w:spacing w:after="0"/>
        <w:ind w:left="567"/>
        <w:rPr>
          <w:i/>
          <w:lang w:val="es-ES_tradnl"/>
        </w:rPr>
      </w:pPr>
      <w:r w:rsidRPr="004854BC">
        <w:rPr>
          <w:i/>
          <w:lang w:val="es-ES_tradnl"/>
        </w:rPr>
        <w:t>Propuestas de modificación del mandato de la CCIS</w:t>
      </w:r>
    </w:p>
    <w:p w:rsidR="00BE13E4" w:rsidRPr="004854BC" w:rsidRDefault="00BE13E4" w:rsidP="00BE13E4">
      <w:pPr>
        <w:rPr>
          <w:lang w:val="es-ES_tradnl"/>
        </w:rPr>
      </w:pPr>
    </w:p>
    <w:p w:rsidR="00BE13E4" w:rsidRPr="004854BC" w:rsidRDefault="0059391C" w:rsidP="00BF287C">
      <w:pPr>
        <w:pStyle w:val="ONUME"/>
        <w:rPr>
          <w:lang w:val="es-ES_tradnl"/>
        </w:rPr>
      </w:pPr>
      <w:r w:rsidRPr="004854BC">
        <w:rPr>
          <w:lang w:val="es-ES_tradnl"/>
        </w:rPr>
        <w:t xml:space="preserve">Los Estados miembros examinarán, al menos cada tres años, la función y las responsabilidades, el funcionamiento y la composición de la CCIS. Habida cuenta de </w:t>
      </w:r>
      <w:r w:rsidR="00C1159E" w:rsidRPr="004854BC">
        <w:rPr>
          <w:lang w:val="es-ES_tradnl"/>
        </w:rPr>
        <w:t>que</w:t>
      </w:r>
      <w:r w:rsidRPr="004854BC">
        <w:rPr>
          <w:lang w:val="es-ES_tradnl"/>
        </w:rPr>
        <w:t xml:space="preserve"> la </w:t>
      </w:r>
      <w:r w:rsidR="00C1159E" w:rsidRPr="004854BC">
        <w:rPr>
          <w:lang w:val="es-ES_tradnl"/>
        </w:rPr>
        <w:t>última</w:t>
      </w:r>
      <w:r w:rsidRPr="004854BC">
        <w:rPr>
          <w:lang w:val="es-ES_tradnl"/>
        </w:rPr>
        <w:t xml:space="preserve"> revisión fue aprobada por la Asamblea General de la OMPI en octubre de 2018 (documento WO/PBC/28/3), la próxima tendrá lugar en 2021. En su 60.ª sesión, la Comisión inició el examen considerando los resultados de sus autoevaluaciones anuales, las recomendaciones de la DCI (JIU/REP/2019/6, “Examen de los comités de auditoría y supervisión en el sistema de las Naciones Unidas”), y las recomendaciones pertinentes de la evaluación externa de la calidad de la función de auditoría interna, efectuada recientemente. En la 61.ª sesión de la Comisión se decidió aplazar la discusión de las revisiones a una fecha ulterior. En la decisión de la Comisión se tuvo en cuenta asimismo </w:t>
      </w:r>
      <w:r w:rsidR="00BF287C" w:rsidRPr="004854BC">
        <w:rPr>
          <w:lang w:val="es-ES_tradnl"/>
        </w:rPr>
        <w:t>el tiempo necesario para efectuar las consultas con los Estados miembros y con la Oficina del Consejero Jurídico</w:t>
      </w:r>
      <w:r w:rsidR="00BE13E4" w:rsidRPr="004854BC">
        <w:rPr>
          <w:rFonts w:eastAsiaTheme="minorHAnsi"/>
          <w:szCs w:val="22"/>
          <w:lang w:val="es-ES_tradnl" w:eastAsia="en-US" w:bidi="gu-IN"/>
        </w:rPr>
        <w:t>.</w:t>
      </w:r>
    </w:p>
    <w:p w:rsidR="00BE13E4" w:rsidRPr="004854BC" w:rsidRDefault="00501ABB" w:rsidP="00501ABB">
      <w:pPr>
        <w:pStyle w:val="ONUME"/>
        <w:rPr>
          <w:lang w:val="es-ES_tradnl"/>
        </w:rPr>
      </w:pPr>
      <w:r w:rsidRPr="004854BC">
        <w:rPr>
          <w:lang w:val="es-ES_tradnl"/>
        </w:rPr>
        <w:t xml:space="preserve">En su 61.ª sesión, la Comisión se reunió con el antiguo secretario del Comité de Selección, quien </w:t>
      </w:r>
      <w:r w:rsidR="003716B1">
        <w:rPr>
          <w:lang w:val="es-ES_tradnl"/>
        </w:rPr>
        <w:t>había prestado</w:t>
      </w:r>
      <w:r w:rsidRPr="004854BC">
        <w:rPr>
          <w:lang w:val="es-ES_tradnl"/>
        </w:rPr>
        <w:t xml:space="preserve"> asistencia en los anteriores comités en la selección de nuevos miembros de la CCIS. El antiguo secretario presentó una propuesta de documento independiente y autónomo en el que se describe el “</w:t>
      </w:r>
      <w:r w:rsidR="006D7E5D">
        <w:rPr>
          <w:lang w:val="es-ES_tradnl"/>
        </w:rPr>
        <w:t>P</w:t>
      </w:r>
      <w:r w:rsidRPr="004854BC">
        <w:rPr>
          <w:lang w:val="es-ES_tradnl"/>
        </w:rPr>
        <w:t xml:space="preserve">rocedimiento de selección de los miembros de la Comisión Consultiva Independiente de Supervisión”, que se adjuntará como Anexo IV al Reglamento Financiero y la Reglamentación Financiera. Se examinaron las disposiciones específicas y se llegó a un consenso sobre los cambios propuestos. El antiguo secretario tomó nota de que, en caso de que los Estados miembros lo aprueben, el documento sustituirá al documento </w:t>
      </w:r>
      <w:r w:rsidR="00BE13E4" w:rsidRPr="004854BC">
        <w:rPr>
          <w:szCs w:val="22"/>
          <w:lang w:val="es-ES_tradnl"/>
        </w:rPr>
        <w:t xml:space="preserve">WO/GA/39/13, </w:t>
      </w:r>
      <w:r w:rsidR="00B013A2">
        <w:rPr>
          <w:szCs w:val="22"/>
          <w:lang w:val="es-ES_tradnl"/>
        </w:rPr>
        <w:t>pues puede</w:t>
      </w:r>
      <w:r w:rsidRPr="004854BC">
        <w:rPr>
          <w:szCs w:val="22"/>
          <w:lang w:val="es-ES_tradnl"/>
        </w:rPr>
        <w:t xml:space="preserve"> considera</w:t>
      </w:r>
      <w:r w:rsidR="003716B1">
        <w:rPr>
          <w:szCs w:val="22"/>
          <w:lang w:val="es-ES_tradnl"/>
        </w:rPr>
        <w:t>rse</w:t>
      </w:r>
      <w:r w:rsidRPr="004854BC">
        <w:rPr>
          <w:szCs w:val="22"/>
          <w:lang w:val="es-ES_tradnl"/>
        </w:rPr>
        <w:t xml:space="preserve"> </w:t>
      </w:r>
      <w:r w:rsidR="00B013A2">
        <w:rPr>
          <w:szCs w:val="22"/>
          <w:lang w:val="es-ES_tradnl"/>
        </w:rPr>
        <w:t xml:space="preserve">que este ya es </w:t>
      </w:r>
      <w:r w:rsidRPr="004854BC">
        <w:rPr>
          <w:szCs w:val="22"/>
          <w:lang w:val="es-ES_tradnl"/>
        </w:rPr>
        <w:t xml:space="preserve">obsoleto y </w:t>
      </w:r>
      <w:r w:rsidR="00B013A2">
        <w:rPr>
          <w:szCs w:val="22"/>
          <w:lang w:val="es-ES_tradnl"/>
        </w:rPr>
        <w:t>no es pertinente</w:t>
      </w:r>
      <w:r w:rsidRPr="004854BC">
        <w:rPr>
          <w:szCs w:val="22"/>
          <w:lang w:val="es-ES_tradnl"/>
        </w:rPr>
        <w:t xml:space="preserve"> a este respecto</w:t>
      </w:r>
      <w:r w:rsidR="00BE13E4" w:rsidRPr="004854BC">
        <w:rPr>
          <w:szCs w:val="22"/>
          <w:lang w:val="es-ES_tradnl"/>
        </w:rPr>
        <w:t>.</w:t>
      </w:r>
    </w:p>
    <w:p w:rsidR="00BE13E4" w:rsidRPr="004854BC" w:rsidRDefault="00812889" w:rsidP="00BE13E4">
      <w:pPr>
        <w:pStyle w:val="Heading2"/>
        <w:numPr>
          <w:ilvl w:val="0"/>
          <w:numId w:val="10"/>
        </w:numPr>
        <w:spacing w:before="0" w:after="0"/>
        <w:ind w:left="630" w:hanging="630"/>
        <w:rPr>
          <w:lang w:val="es-ES_tradnl"/>
        </w:rPr>
      </w:pPr>
      <w:bookmarkStart w:id="74" w:name="_Toc453591211"/>
      <w:bookmarkStart w:id="75" w:name="_Toc40372258"/>
      <w:bookmarkStart w:id="76" w:name="_Toc78467012"/>
      <w:r w:rsidRPr="004854BC">
        <w:rPr>
          <w:rStyle w:val="Endofdocument-AnnexChar"/>
          <w:b/>
          <w:lang w:val="es-ES_tradnl"/>
        </w:rPr>
        <w:t>OBSERVACIONES FINALES</w:t>
      </w:r>
      <w:bookmarkEnd w:id="74"/>
      <w:bookmarkEnd w:id="75"/>
      <w:bookmarkEnd w:id="76"/>
    </w:p>
    <w:p w:rsidR="00BE13E4" w:rsidRPr="004854BC" w:rsidRDefault="00BE13E4" w:rsidP="00BE13E4">
      <w:pPr>
        <w:rPr>
          <w:lang w:val="es-ES_tradnl"/>
        </w:rPr>
      </w:pPr>
    </w:p>
    <w:p w:rsidR="00BE13E4" w:rsidRPr="004854BC" w:rsidRDefault="009C19A2" w:rsidP="00F63985">
      <w:pPr>
        <w:pStyle w:val="ONUME"/>
        <w:tabs>
          <w:tab w:val="left" w:pos="567"/>
          <w:tab w:val="left" w:pos="720"/>
          <w:tab w:val="left" w:pos="993"/>
        </w:tabs>
        <w:spacing w:after="600"/>
        <w:rPr>
          <w:lang w:val="es-ES_tradnl"/>
        </w:rPr>
      </w:pPr>
      <w:r w:rsidRPr="004854BC">
        <w:rPr>
          <w:lang w:val="es-ES_tradnl"/>
        </w:rPr>
        <w:t xml:space="preserve">La CCIS manifestó su agradecimiento al antiguo director general </w:t>
      </w:r>
      <w:r w:rsidR="009E7628" w:rsidRPr="004854BC">
        <w:rPr>
          <w:lang w:val="es-ES_tradnl"/>
        </w:rPr>
        <w:t>y</w:t>
      </w:r>
      <w:r w:rsidRPr="004854BC">
        <w:rPr>
          <w:lang w:val="es-ES_tradnl"/>
        </w:rPr>
        <w:t xml:space="preserve"> al actual, al antiguo subdirector general encargado del Sector de </w:t>
      </w:r>
      <w:r w:rsidR="009E7628" w:rsidRPr="004854BC">
        <w:rPr>
          <w:lang w:val="es-ES_tradnl"/>
        </w:rPr>
        <w:t>Administración y Gestión y al actual subdirector general encargado del Sector de Administración, Finanzas y Gestión, la contralor</w:t>
      </w:r>
      <w:r w:rsidR="004854BC" w:rsidRPr="004854BC">
        <w:rPr>
          <w:lang w:val="es-ES_tradnl"/>
        </w:rPr>
        <w:t>a</w:t>
      </w:r>
      <w:r w:rsidR="009E7628" w:rsidRPr="004854BC">
        <w:rPr>
          <w:lang w:val="es-ES_tradnl"/>
        </w:rPr>
        <w:t>, los directores de la DSI, el DGRRHH, la División de Adquisiciones y Viajes y la División de Finanzas, la antigu</w:t>
      </w:r>
      <w:r w:rsidR="003716B1">
        <w:rPr>
          <w:lang w:val="es-ES_tradnl"/>
        </w:rPr>
        <w:t>a</w:t>
      </w:r>
      <w:r w:rsidR="009E7628" w:rsidRPr="004854BC">
        <w:rPr>
          <w:lang w:val="es-ES_tradnl"/>
        </w:rPr>
        <w:t xml:space="preserve"> oficial jefa de la Oficina de Ética Profesional y el oficial</w:t>
      </w:r>
      <w:r w:rsidR="003716B1">
        <w:rPr>
          <w:lang w:val="es-ES_tradnl"/>
        </w:rPr>
        <w:t xml:space="preserve"> jefe</w:t>
      </w:r>
      <w:r w:rsidR="009E7628" w:rsidRPr="004854BC">
        <w:rPr>
          <w:lang w:val="es-ES_tradnl"/>
        </w:rPr>
        <w:t xml:space="preserve"> interno</w:t>
      </w:r>
      <w:r w:rsidR="003716B1">
        <w:rPr>
          <w:lang w:val="es-ES_tradnl"/>
        </w:rPr>
        <w:t xml:space="preserve"> de dicha Oficina</w:t>
      </w:r>
      <w:r w:rsidR="009E7628" w:rsidRPr="004854BC">
        <w:rPr>
          <w:lang w:val="es-ES_tradnl"/>
        </w:rPr>
        <w:t xml:space="preserve">, el oficial jefe de </w:t>
      </w:r>
      <w:r w:rsidR="00C1159E" w:rsidRPr="004854BC">
        <w:rPr>
          <w:lang w:val="es-ES_tradnl"/>
        </w:rPr>
        <w:t>Seguridad</w:t>
      </w:r>
      <w:r w:rsidR="009E7628" w:rsidRPr="004854BC">
        <w:rPr>
          <w:lang w:val="es-ES_tradnl"/>
        </w:rPr>
        <w:t>, el economista jefe, el mediador, los directores de programas</w:t>
      </w:r>
      <w:r w:rsidR="003716B1">
        <w:rPr>
          <w:lang w:val="es-ES_tradnl"/>
        </w:rPr>
        <w:t>,</w:t>
      </w:r>
      <w:r w:rsidR="009E7628" w:rsidRPr="004854BC">
        <w:rPr>
          <w:lang w:val="es-ES_tradnl"/>
        </w:rPr>
        <w:t xml:space="preserve"> así como el auditor externo</w:t>
      </w:r>
      <w:r w:rsidR="003716B1">
        <w:rPr>
          <w:lang w:val="es-ES_tradnl"/>
        </w:rPr>
        <w:t>,</w:t>
      </w:r>
      <w:r w:rsidR="009E7628" w:rsidRPr="004854BC">
        <w:rPr>
          <w:lang w:val="es-ES_tradnl"/>
        </w:rPr>
        <w:t xml:space="preserve"> por su disponibilidad, claridad y apertura en </w:t>
      </w:r>
      <w:r w:rsidR="003716B1">
        <w:rPr>
          <w:lang w:val="es-ES_tradnl"/>
        </w:rPr>
        <w:t>la</w:t>
      </w:r>
      <w:r w:rsidR="009E7628" w:rsidRPr="004854BC">
        <w:rPr>
          <w:lang w:val="es-ES_tradnl"/>
        </w:rPr>
        <w:t xml:space="preserve"> comunicación regular con la Comisión y en la información proporcionada</w:t>
      </w:r>
      <w:r w:rsidR="00B013A2">
        <w:rPr>
          <w:lang w:val="es-ES_tradnl"/>
        </w:rPr>
        <w:t>.</w:t>
      </w:r>
    </w:p>
    <w:p w:rsidR="00152CEA" w:rsidRPr="004854BC" w:rsidRDefault="00BE13E4" w:rsidP="00BE13E4">
      <w:pPr>
        <w:pStyle w:val="Endofdocument-Annex"/>
        <w:rPr>
          <w:szCs w:val="22"/>
          <w:lang w:val="es-ES_tradnl"/>
        </w:rPr>
      </w:pPr>
      <w:r w:rsidRPr="004854BC">
        <w:rPr>
          <w:szCs w:val="22"/>
          <w:lang w:val="es-ES_tradnl"/>
        </w:rPr>
        <w:t>[</w:t>
      </w:r>
      <w:r w:rsidR="00812889" w:rsidRPr="004854BC">
        <w:rPr>
          <w:szCs w:val="22"/>
          <w:lang w:val="es-ES_tradnl"/>
        </w:rPr>
        <w:t>Fin del documento</w:t>
      </w:r>
      <w:r w:rsidRPr="004854BC">
        <w:rPr>
          <w:szCs w:val="22"/>
          <w:lang w:val="es-ES_tradnl"/>
        </w:rPr>
        <w:t>]</w:t>
      </w:r>
    </w:p>
    <w:sectPr w:rsidR="00152CEA" w:rsidRPr="004854BC" w:rsidSect="006C6503">
      <w:headerReference w:type="even" r:id="rId23"/>
      <w:headerReference w:type="default" r:id="rId24"/>
      <w:footerReference w:type="even" r:id="rId25"/>
      <w:footerReference w:type="default" r:id="rId26"/>
      <w:headerReference w:type="first" r:id="rId27"/>
      <w:footerReference w:type="first" r:id="rId28"/>
      <w:endnotePr>
        <w:numFmt w:val="decimal"/>
      </w:endnotePr>
      <w:pgSz w:w="11907" w:h="16840" w:code="9"/>
      <w:pgMar w:top="567" w:right="1134" w:bottom="1134" w:left="1418" w:header="567"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555A" w:rsidRDefault="0030555A">
      <w:r>
        <w:separator/>
      </w:r>
    </w:p>
  </w:endnote>
  <w:endnote w:type="continuationSeparator" w:id="0">
    <w:p w:rsidR="0030555A" w:rsidRPr="009D30E6" w:rsidRDefault="0030555A" w:rsidP="007E663E">
      <w:pPr>
        <w:rPr>
          <w:sz w:val="17"/>
          <w:szCs w:val="17"/>
        </w:rPr>
      </w:pPr>
      <w:r w:rsidRPr="009D30E6">
        <w:rPr>
          <w:sz w:val="17"/>
          <w:szCs w:val="17"/>
        </w:rPr>
        <w:separator/>
      </w:r>
    </w:p>
    <w:p w:rsidR="0030555A" w:rsidRPr="007E663E" w:rsidRDefault="0030555A" w:rsidP="007E663E">
      <w:pPr>
        <w:spacing w:after="60"/>
        <w:rPr>
          <w:sz w:val="17"/>
          <w:szCs w:val="17"/>
        </w:rPr>
      </w:pPr>
      <w:r>
        <w:rPr>
          <w:sz w:val="17"/>
        </w:rPr>
        <w:t>[Continuación de la nota de la página anterior]</w:t>
      </w:r>
    </w:p>
  </w:endnote>
  <w:endnote w:type="continuationNotice" w:id="1">
    <w:p w:rsidR="0030555A" w:rsidRPr="007E663E" w:rsidRDefault="0030555A"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612" w:rsidRDefault="003C761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612" w:rsidRPr="00AB5A67" w:rsidRDefault="003C7612" w:rsidP="00AB5A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612" w:rsidRDefault="003C7612" w:rsidP="003C76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612" w:rsidRDefault="003C76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612" w:rsidRPr="00AB5A67" w:rsidRDefault="003C7612" w:rsidP="00AB5A6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612" w:rsidRPr="00AB5A67" w:rsidRDefault="003C7612" w:rsidP="00AB5A6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612" w:rsidRDefault="003C761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612" w:rsidRPr="00AB5A67" w:rsidRDefault="003C7612" w:rsidP="00AB5A6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612" w:rsidRPr="00AB5A67" w:rsidRDefault="003C7612" w:rsidP="00AB5A6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612" w:rsidRDefault="003C7612" w:rsidP="00AB5A67">
    <w:pPr>
      <w:pStyle w:val="Footer"/>
      <w:tabs>
        <w:tab w:val="clear" w:pos="4320"/>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555A" w:rsidRDefault="0030555A">
      <w:r>
        <w:separator/>
      </w:r>
    </w:p>
  </w:footnote>
  <w:footnote w:type="continuationSeparator" w:id="0">
    <w:p w:rsidR="0030555A" w:rsidRPr="009D30E6" w:rsidRDefault="0030555A" w:rsidP="007E663E">
      <w:pPr>
        <w:rPr>
          <w:sz w:val="17"/>
          <w:szCs w:val="17"/>
        </w:rPr>
      </w:pPr>
      <w:r w:rsidRPr="009D30E6">
        <w:rPr>
          <w:sz w:val="17"/>
          <w:szCs w:val="17"/>
        </w:rPr>
        <w:separator/>
      </w:r>
    </w:p>
    <w:p w:rsidR="0030555A" w:rsidRPr="007E663E" w:rsidRDefault="0030555A" w:rsidP="007E663E">
      <w:pPr>
        <w:spacing w:after="60"/>
        <w:rPr>
          <w:sz w:val="17"/>
          <w:szCs w:val="17"/>
        </w:rPr>
      </w:pPr>
      <w:r>
        <w:rPr>
          <w:sz w:val="17"/>
        </w:rPr>
        <w:t>[Continuación de la nota de la página anterior]</w:t>
      </w:r>
    </w:p>
  </w:footnote>
  <w:footnote w:type="continuationNotice" w:id="1">
    <w:p w:rsidR="0030555A" w:rsidRPr="007E663E" w:rsidRDefault="0030555A"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612" w:rsidRDefault="003C7612" w:rsidP="003C76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612" w:rsidRDefault="003C76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612" w:rsidRDefault="003C761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612" w:rsidRDefault="003C7612" w:rsidP="003C7612">
    <w:pPr>
      <w:jc w:val="right"/>
      <w:rPr>
        <w:szCs w:val="22"/>
      </w:rPr>
    </w:pPr>
    <w:r w:rsidRPr="00956E73">
      <w:rPr>
        <w:szCs w:val="22"/>
      </w:rPr>
      <w:t>WO/PBC/</w:t>
    </w:r>
    <w:r w:rsidRPr="005A7257">
      <w:rPr>
        <w:szCs w:val="22"/>
      </w:rPr>
      <w:t>33/2</w:t>
    </w:r>
    <w:r w:rsidR="00F63C91">
      <w:rPr>
        <w:szCs w:val="22"/>
      </w:rPr>
      <w:t xml:space="preserve"> Rev.</w:t>
    </w:r>
  </w:p>
  <w:p w:rsidR="003C7612" w:rsidRDefault="003C7612" w:rsidP="003C7612">
    <w:pPr>
      <w:jc w:val="right"/>
      <w:rPr>
        <w:noProof/>
        <w:szCs w:val="22"/>
      </w:rPr>
    </w:pPr>
    <w:r>
      <w:rPr>
        <w:szCs w:val="22"/>
      </w:rPr>
      <w:t xml:space="preserve">página </w:t>
    </w:r>
    <w:r w:rsidRPr="00B85CAA">
      <w:rPr>
        <w:szCs w:val="22"/>
      </w:rPr>
      <w:fldChar w:fldCharType="begin"/>
    </w:r>
    <w:r w:rsidRPr="00B85CAA">
      <w:rPr>
        <w:szCs w:val="22"/>
      </w:rPr>
      <w:instrText xml:space="preserve"> PAGE   \* MERGEFORMAT </w:instrText>
    </w:r>
    <w:r w:rsidRPr="00B85CAA">
      <w:rPr>
        <w:szCs w:val="22"/>
      </w:rPr>
      <w:fldChar w:fldCharType="separate"/>
    </w:r>
    <w:r w:rsidR="00CF1729">
      <w:rPr>
        <w:noProof/>
        <w:szCs w:val="22"/>
      </w:rPr>
      <w:t>2</w:t>
    </w:r>
    <w:r w:rsidRPr="00B85CAA">
      <w:rPr>
        <w:noProof/>
        <w:szCs w:val="22"/>
      </w:rPr>
      <w:fldChar w:fldCharType="end"/>
    </w:r>
  </w:p>
  <w:p w:rsidR="003C7612" w:rsidRDefault="003C7612" w:rsidP="003C7612">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606" w:rsidRDefault="00441606" w:rsidP="006C6503">
    <w:pPr>
      <w:jc w:val="right"/>
      <w:rPr>
        <w:szCs w:val="22"/>
      </w:rPr>
    </w:pPr>
    <w:r w:rsidRPr="00956E73">
      <w:rPr>
        <w:szCs w:val="22"/>
      </w:rPr>
      <w:t>WO/PBC/</w:t>
    </w:r>
    <w:r w:rsidRPr="005A7257">
      <w:rPr>
        <w:szCs w:val="22"/>
      </w:rPr>
      <w:t>33/2</w:t>
    </w:r>
  </w:p>
  <w:p w:rsidR="00441606" w:rsidRDefault="00441606" w:rsidP="006C6503">
    <w:pPr>
      <w:jc w:val="right"/>
      <w:rPr>
        <w:noProof/>
        <w:szCs w:val="22"/>
      </w:rPr>
    </w:pPr>
    <w:r>
      <w:rPr>
        <w:szCs w:val="22"/>
      </w:rPr>
      <w:t xml:space="preserve">página </w:t>
    </w:r>
    <w:r w:rsidRPr="00B85CAA">
      <w:rPr>
        <w:szCs w:val="22"/>
      </w:rPr>
      <w:fldChar w:fldCharType="begin"/>
    </w:r>
    <w:r w:rsidRPr="00B85CAA">
      <w:rPr>
        <w:szCs w:val="22"/>
      </w:rPr>
      <w:instrText xml:space="preserve"> PAGE   \* MERGEFORMAT </w:instrText>
    </w:r>
    <w:r w:rsidRPr="00B85CAA">
      <w:rPr>
        <w:szCs w:val="22"/>
      </w:rPr>
      <w:fldChar w:fldCharType="separate"/>
    </w:r>
    <w:r w:rsidR="00C23628">
      <w:rPr>
        <w:noProof/>
        <w:szCs w:val="22"/>
      </w:rPr>
      <w:t>1</w:t>
    </w:r>
    <w:r w:rsidRPr="00B85CAA">
      <w:rPr>
        <w:noProof/>
        <w:szCs w:val="22"/>
      </w:rPr>
      <w:fldChar w:fldCharType="end"/>
    </w:r>
  </w:p>
  <w:p w:rsidR="00441606" w:rsidRDefault="00441606" w:rsidP="006C6503">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606" w:rsidRDefault="00441606" w:rsidP="006C6503">
    <w:pPr>
      <w:jc w:val="right"/>
      <w:rPr>
        <w:szCs w:val="22"/>
      </w:rPr>
    </w:pPr>
  </w:p>
  <w:p w:rsidR="00C23628" w:rsidRDefault="00C23628" w:rsidP="006C6503">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612" w:rsidRDefault="003C7612" w:rsidP="003C7612">
    <w:pPr>
      <w:jc w:val="right"/>
    </w:pPr>
    <w:r>
      <w:t>WO/PBC/33/2</w:t>
    </w:r>
    <w:r w:rsidR="00C23628">
      <w:t xml:space="preserve"> </w:t>
    </w:r>
    <w:r w:rsidR="00C23628">
      <w:rPr>
        <w:szCs w:val="22"/>
      </w:rPr>
      <w:t>Rev.</w:t>
    </w:r>
  </w:p>
  <w:p w:rsidR="003C7612" w:rsidRDefault="003C7612" w:rsidP="003C7612">
    <w:pPr>
      <w:jc w:val="right"/>
    </w:pPr>
    <w:r>
      <w:t xml:space="preserve">página </w:t>
    </w:r>
    <w:r>
      <w:fldChar w:fldCharType="begin"/>
    </w:r>
    <w:r>
      <w:instrText xml:space="preserve"> PAGE   \* MERGEFORMAT </w:instrText>
    </w:r>
    <w:r>
      <w:fldChar w:fldCharType="separate"/>
    </w:r>
    <w:r w:rsidR="00CF1729">
      <w:rPr>
        <w:noProof/>
      </w:rPr>
      <w:t>14</w:t>
    </w:r>
    <w:r>
      <w:rPr>
        <w:noProof/>
      </w:rPr>
      <w:fldChar w:fldCharType="end"/>
    </w:r>
  </w:p>
  <w:p w:rsidR="003C7612" w:rsidRDefault="003C7612" w:rsidP="003C7612">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304" w:rsidRDefault="00C23628" w:rsidP="00BE13E4">
    <w:pPr>
      <w:jc w:val="right"/>
    </w:pPr>
    <w:r>
      <w:t xml:space="preserve">WO/PBC/33/2 </w:t>
    </w:r>
    <w:r>
      <w:rPr>
        <w:szCs w:val="22"/>
      </w:rPr>
      <w:t>Rev.</w:t>
    </w:r>
  </w:p>
  <w:p w:rsidR="007E0304" w:rsidRDefault="007E0304" w:rsidP="00BE13E4">
    <w:pPr>
      <w:jc w:val="right"/>
    </w:pPr>
    <w:r>
      <w:t xml:space="preserve">página </w:t>
    </w:r>
    <w:r>
      <w:fldChar w:fldCharType="begin"/>
    </w:r>
    <w:r>
      <w:instrText xml:space="preserve"> PAGE   \* MERGEFORMAT </w:instrText>
    </w:r>
    <w:r>
      <w:fldChar w:fldCharType="separate"/>
    </w:r>
    <w:r w:rsidR="00CF1729">
      <w:rPr>
        <w:noProof/>
      </w:rPr>
      <w:t>15</w:t>
    </w:r>
    <w:r>
      <w:rPr>
        <w:noProof/>
      </w:rPr>
      <w:fldChar w:fldCharType="end"/>
    </w:r>
  </w:p>
  <w:p w:rsidR="007E0304" w:rsidRDefault="007E0304" w:rsidP="00BE13E4">
    <w:pP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304" w:rsidRPr="004D75BB" w:rsidRDefault="007E0304" w:rsidP="006C6503">
    <w:pPr>
      <w:jc w:val="right"/>
      <w:rPr>
        <w:szCs w:val="22"/>
      </w:rPr>
    </w:pPr>
    <w:r w:rsidRPr="00956E73">
      <w:rPr>
        <w:szCs w:val="22"/>
      </w:rPr>
      <w:t>WO/PBC/</w:t>
    </w:r>
    <w:r>
      <w:rPr>
        <w:szCs w:val="22"/>
      </w:rPr>
      <w:t>33</w:t>
    </w:r>
    <w:r w:rsidRPr="00956E73">
      <w:rPr>
        <w:szCs w:val="22"/>
      </w:rPr>
      <w:t>/</w:t>
    </w:r>
    <w:r>
      <w:rPr>
        <w:szCs w:val="22"/>
      </w:rPr>
      <w:t>2</w:t>
    </w:r>
    <w:r w:rsidR="00C23628">
      <w:rPr>
        <w:szCs w:val="22"/>
      </w:rPr>
      <w:t xml:space="preserve"> Rev.</w:t>
    </w:r>
  </w:p>
  <w:p w:rsidR="007E0304" w:rsidRPr="004D75BB" w:rsidRDefault="007E0304" w:rsidP="006C6503">
    <w:pPr>
      <w:jc w:val="right"/>
      <w:rPr>
        <w:noProof/>
        <w:szCs w:val="22"/>
      </w:rPr>
    </w:pPr>
    <w:r w:rsidRPr="004D75BB">
      <w:rPr>
        <w:szCs w:val="22"/>
      </w:rPr>
      <w:t>p</w:t>
    </w:r>
    <w:r>
      <w:rPr>
        <w:szCs w:val="22"/>
      </w:rPr>
      <w:t>ágina</w:t>
    </w:r>
    <w:r w:rsidRPr="004D75BB">
      <w:rPr>
        <w:szCs w:val="22"/>
      </w:rPr>
      <w:t xml:space="preserve"> </w:t>
    </w:r>
    <w:r>
      <w:rPr>
        <w:noProof/>
        <w:szCs w:val="22"/>
      </w:rPr>
      <w:t>3</w:t>
    </w:r>
  </w:p>
  <w:p w:rsidR="007E0304" w:rsidRDefault="007E0304" w:rsidP="006C6503">
    <w:pPr>
      <w:jc w:val="right"/>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1E72004"/>
    <w:multiLevelType w:val="hybridMultilevel"/>
    <w:tmpl w:val="E1C85176"/>
    <w:lvl w:ilvl="0" w:tplc="76EE29F4">
      <w:start w:val="21"/>
      <w:numFmt w:val="decimal"/>
      <w:lvlText w:val="%1."/>
      <w:lvlJc w:val="left"/>
      <w:pPr>
        <w:ind w:left="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76C9C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1D2FF8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FE29A3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5A8E6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CE480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230ED3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32764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8C634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2D304C5"/>
    <w:multiLevelType w:val="hybridMultilevel"/>
    <w:tmpl w:val="6518B120"/>
    <w:lvl w:ilvl="0" w:tplc="9330FB2E">
      <w:start w:val="8"/>
      <w:numFmt w:val="decimal"/>
      <w:lvlText w:val="%1."/>
      <w:lvlJc w:val="left"/>
      <w:pPr>
        <w:ind w:left="1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225B1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D3E5D4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66180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7C9EC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BFEB4B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A46A4F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FC635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50004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6CD29E3"/>
    <w:multiLevelType w:val="multilevel"/>
    <w:tmpl w:val="F5B0213A"/>
    <w:lvl w:ilvl="0">
      <w:start w:val="1"/>
      <w:numFmt w:val="decimal"/>
      <w:lvlRestart w:val="0"/>
      <w:pStyle w:val="ONUME"/>
      <w:lvlText w:val="%1."/>
      <w:lvlJc w:val="left"/>
      <w:pPr>
        <w:tabs>
          <w:tab w:val="num" w:pos="567"/>
        </w:tabs>
        <w:ind w:left="0" w:firstLine="0"/>
      </w:pPr>
      <w:rPr>
        <w:rFonts w:hint="default"/>
        <w:i w:val="0"/>
        <w:strike w:val="0"/>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6E94A41"/>
    <w:multiLevelType w:val="hybridMultilevel"/>
    <w:tmpl w:val="E00019B0"/>
    <w:lvl w:ilvl="0" w:tplc="B784DA54">
      <w:start w:val="39"/>
      <w:numFmt w:val="decimal"/>
      <w:lvlText w:val="%1."/>
      <w:lvlJc w:val="left"/>
      <w:pPr>
        <w:ind w:left="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1A0E0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5465BA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742BAB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FE803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41C8FF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5D2F25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CCA90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F0E19E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937336E"/>
    <w:multiLevelType w:val="hybridMultilevel"/>
    <w:tmpl w:val="7D467430"/>
    <w:lvl w:ilvl="0" w:tplc="C54EE284">
      <w:start w:val="5"/>
      <w:numFmt w:val="decimal"/>
      <w:lvlText w:val="%1."/>
      <w:lvlJc w:val="left"/>
      <w:pPr>
        <w:ind w:left="1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78C7AC">
      <w:start w:val="1"/>
      <w:numFmt w:val="lowerLetter"/>
      <w:lvlText w:val="%2"/>
      <w:lvlJc w:val="left"/>
      <w:pPr>
        <w:ind w:left="2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2DC47FE">
      <w:start w:val="1"/>
      <w:numFmt w:val="lowerRoman"/>
      <w:lvlText w:val="%3"/>
      <w:lvlJc w:val="left"/>
      <w:pPr>
        <w:ind w:left="28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06999C">
      <w:start w:val="1"/>
      <w:numFmt w:val="decimal"/>
      <w:lvlText w:val="%4"/>
      <w:lvlJc w:val="left"/>
      <w:pPr>
        <w:ind w:left="3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96C518">
      <w:start w:val="1"/>
      <w:numFmt w:val="lowerLetter"/>
      <w:lvlText w:val="%5"/>
      <w:lvlJc w:val="left"/>
      <w:pPr>
        <w:ind w:left="4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D24962">
      <w:start w:val="1"/>
      <w:numFmt w:val="lowerRoman"/>
      <w:lvlText w:val="%6"/>
      <w:lvlJc w:val="left"/>
      <w:pPr>
        <w:ind w:left="5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6D00234">
      <w:start w:val="1"/>
      <w:numFmt w:val="decimal"/>
      <w:lvlText w:val="%7"/>
      <w:lvlJc w:val="left"/>
      <w:pPr>
        <w:ind w:left="5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3A7926">
      <w:start w:val="1"/>
      <w:numFmt w:val="lowerLetter"/>
      <w:lvlText w:val="%8"/>
      <w:lvlJc w:val="left"/>
      <w:pPr>
        <w:ind w:left="64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28E034A">
      <w:start w:val="1"/>
      <w:numFmt w:val="lowerRoman"/>
      <w:lvlText w:val="%9"/>
      <w:lvlJc w:val="left"/>
      <w:pPr>
        <w:ind w:left="7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9BD3B3A"/>
    <w:multiLevelType w:val="hybridMultilevel"/>
    <w:tmpl w:val="E4E6DE00"/>
    <w:lvl w:ilvl="0" w:tplc="2222BD66">
      <w:start w:val="14"/>
      <w:numFmt w:val="decimal"/>
      <w:lvlText w:val="%1."/>
      <w:lvlJc w:val="left"/>
      <w:pPr>
        <w:ind w:left="1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68737A">
      <w:start w:val="1"/>
      <w:numFmt w:val="lowerLetter"/>
      <w:lvlText w:val="%2"/>
      <w:lvlJc w:val="left"/>
      <w:pPr>
        <w:ind w:left="11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D08A8FC">
      <w:start w:val="1"/>
      <w:numFmt w:val="lowerRoman"/>
      <w:lvlText w:val="%3"/>
      <w:lvlJc w:val="left"/>
      <w:pPr>
        <w:ind w:left="18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02B9A0">
      <w:start w:val="1"/>
      <w:numFmt w:val="decimal"/>
      <w:lvlText w:val="%4"/>
      <w:lvlJc w:val="left"/>
      <w:pPr>
        <w:ind w:left="25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6CDF82">
      <w:start w:val="1"/>
      <w:numFmt w:val="lowerLetter"/>
      <w:lvlText w:val="%5"/>
      <w:lvlJc w:val="left"/>
      <w:pPr>
        <w:ind w:left="32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88FD42">
      <w:start w:val="1"/>
      <w:numFmt w:val="lowerRoman"/>
      <w:lvlText w:val="%6"/>
      <w:lvlJc w:val="left"/>
      <w:pPr>
        <w:ind w:left="39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C680EA2">
      <w:start w:val="1"/>
      <w:numFmt w:val="decimal"/>
      <w:lvlText w:val="%7"/>
      <w:lvlJc w:val="left"/>
      <w:pPr>
        <w:ind w:left="47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48001C">
      <w:start w:val="1"/>
      <w:numFmt w:val="lowerLetter"/>
      <w:lvlText w:val="%8"/>
      <w:lvlJc w:val="left"/>
      <w:pPr>
        <w:ind w:left="5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AC8791A">
      <w:start w:val="1"/>
      <w:numFmt w:val="lowerRoman"/>
      <w:lvlText w:val="%9"/>
      <w:lvlJc w:val="left"/>
      <w:pPr>
        <w:ind w:left="61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61849E2"/>
    <w:multiLevelType w:val="hybridMultilevel"/>
    <w:tmpl w:val="562427A6"/>
    <w:lvl w:ilvl="0" w:tplc="54C6B50E">
      <w:start w:val="31"/>
      <w:numFmt w:val="decimal"/>
      <w:lvlText w:val="%1."/>
      <w:lvlJc w:val="left"/>
      <w:pPr>
        <w:ind w:left="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C8060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8DE442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7286B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EC496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96062A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3F820D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96671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E42455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43B19FF"/>
    <w:multiLevelType w:val="hybridMultilevel"/>
    <w:tmpl w:val="0476A1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AE533F"/>
    <w:multiLevelType w:val="hybridMultilevel"/>
    <w:tmpl w:val="DF52E306"/>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5978E9"/>
    <w:multiLevelType w:val="hybridMultilevel"/>
    <w:tmpl w:val="730C1940"/>
    <w:lvl w:ilvl="0" w:tplc="2B00E278">
      <w:start w:val="1"/>
      <w:numFmt w:val="decimal"/>
      <w:lvlText w:val="%1."/>
      <w:lvlJc w:val="left"/>
      <w:pPr>
        <w:ind w:left="1920" w:hanging="570"/>
      </w:pPr>
      <w:rPr>
        <w:rFonts w:hint="default"/>
        <w:b w:val="0"/>
        <w:i w:val="0"/>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3" w15:restartNumberingAfterBreak="0">
    <w:nsid w:val="2B8137F4"/>
    <w:multiLevelType w:val="hybridMultilevel"/>
    <w:tmpl w:val="658080B0"/>
    <w:lvl w:ilvl="0" w:tplc="7168FC86">
      <w:start w:val="33"/>
      <w:numFmt w:val="decimal"/>
      <w:lvlText w:val="%1."/>
      <w:lvlJc w:val="left"/>
      <w:pPr>
        <w:ind w:left="1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5E84E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BD657E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06E33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76C8F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A887A9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F2B79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D89CD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F86390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20D6C4C"/>
    <w:multiLevelType w:val="hybridMultilevel"/>
    <w:tmpl w:val="EAA8D22C"/>
    <w:lvl w:ilvl="0" w:tplc="9978FF26">
      <w:start w:val="12"/>
      <w:numFmt w:val="decimal"/>
      <w:lvlText w:val="%1."/>
      <w:lvlJc w:val="left"/>
      <w:pPr>
        <w:ind w:left="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1CBA52">
      <w:start w:val="1"/>
      <w:numFmt w:val="lowerLetter"/>
      <w:lvlText w:val="%2"/>
      <w:lvlJc w:val="left"/>
      <w:pPr>
        <w:ind w:left="1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D5EC738">
      <w:start w:val="1"/>
      <w:numFmt w:val="lowerRoman"/>
      <w:lvlText w:val="%3"/>
      <w:lvlJc w:val="left"/>
      <w:pPr>
        <w:ind w:left="1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D722790">
      <w:start w:val="1"/>
      <w:numFmt w:val="decimal"/>
      <w:lvlText w:val="%4"/>
      <w:lvlJc w:val="left"/>
      <w:pPr>
        <w:ind w:left="2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461EE6">
      <w:start w:val="1"/>
      <w:numFmt w:val="lowerLetter"/>
      <w:lvlText w:val="%5"/>
      <w:lvlJc w:val="left"/>
      <w:pPr>
        <w:ind w:left="3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390E358">
      <w:start w:val="1"/>
      <w:numFmt w:val="lowerRoman"/>
      <w:lvlText w:val="%6"/>
      <w:lvlJc w:val="left"/>
      <w:pPr>
        <w:ind w:left="3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C488DBC">
      <w:start w:val="1"/>
      <w:numFmt w:val="decimal"/>
      <w:lvlText w:val="%7"/>
      <w:lvlJc w:val="left"/>
      <w:pPr>
        <w:ind w:left="4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CEA478">
      <w:start w:val="1"/>
      <w:numFmt w:val="lowerLetter"/>
      <w:lvlText w:val="%8"/>
      <w:lvlJc w:val="left"/>
      <w:pPr>
        <w:ind w:left="5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4C2ACBC">
      <w:start w:val="1"/>
      <w:numFmt w:val="lowerRoman"/>
      <w:lvlText w:val="%9"/>
      <w:lvlJc w:val="left"/>
      <w:pPr>
        <w:ind w:left="6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A4243B1"/>
    <w:multiLevelType w:val="hybridMultilevel"/>
    <w:tmpl w:val="20D4C498"/>
    <w:lvl w:ilvl="0" w:tplc="B1B4FC44">
      <w:start w:val="7"/>
      <w:numFmt w:val="decimal"/>
      <w:lvlText w:val="%1."/>
      <w:lvlJc w:val="left"/>
      <w:pPr>
        <w:ind w:left="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06A3E8">
      <w:start w:val="1"/>
      <w:numFmt w:val="lowerLetter"/>
      <w:lvlText w:val="%2"/>
      <w:lvlJc w:val="left"/>
      <w:pPr>
        <w:ind w:left="2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BAA5F5C">
      <w:start w:val="1"/>
      <w:numFmt w:val="lowerRoman"/>
      <w:lvlText w:val="%3"/>
      <w:lvlJc w:val="left"/>
      <w:pPr>
        <w:ind w:left="28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AEE638">
      <w:start w:val="1"/>
      <w:numFmt w:val="decimal"/>
      <w:lvlText w:val="%4"/>
      <w:lvlJc w:val="left"/>
      <w:pPr>
        <w:ind w:left="3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52B19E">
      <w:start w:val="1"/>
      <w:numFmt w:val="lowerLetter"/>
      <w:lvlText w:val="%5"/>
      <w:lvlJc w:val="left"/>
      <w:pPr>
        <w:ind w:left="4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AAE6202">
      <w:start w:val="1"/>
      <w:numFmt w:val="lowerRoman"/>
      <w:lvlText w:val="%6"/>
      <w:lvlJc w:val="left"/>
      <w:pPr>
        <w:ind w:left="5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576D7DA">
      <w:start w:val="1"/>
      <w:numFmt w:val="decimal"/>
      <w:lvlText w:val="%7"/>
      <w:lvlJc w:val="left"/>
      <w:pPr>
        <w:ind w:left="5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CAE040">
      <w:start w:val="1"/>
      <w:numFmt w:val="lowerLetter"/>
      <w:lvlText w:val="%8"/>
      <w:lvlJc w:val="left"/>
      <w:pPr>
        <w:ind w:left="64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803DB2">
      <w:start w:val="1"/>
      <w:numFmt w:val="lowerRoman"/>
      <w:lvlText w:val="%9"/>
      <w:lvlJc w:val="left"/>
      <w:pPr>
        <w:ind w:left="7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C8924ED"/>
    <w:multiLevelType w:val="hybridMultilevel"/>
    <w:tmpl w:val="3E3268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6A5D5C"/>
    <w:multiLevelType w:val="hybridMultilevel"/>
    <w:tmpl w:val="CB028350"/>
    <w:lvl w:ilvl="0" w:tplc="0A720A36">
      <w:start w:val="5"/>
      <w:numFmt w:val="decimal"/>
      <w:lvlText w:val="%1."/>
      <w:lvlJc w:val="left"/>
      <w:pPr>
        <w:ind w:left="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F8FBBA">
      <w:start w:val="1"/>
      <w:numFmt w:val="lowerLetter"/>
      <w:lvlText w:val="%2"/>
      <w:lvlJc w:val="left"/>
      <w:pPr>
        <w:ind w:left="2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F16B98A">
      <w:start w:val="1"/>
      <w:numFmt w:val="lowerRoman"/>
      <w:lvlText w:val="%3"/>
      <w:lvlJc w:val="left"/>
      <w:pPr>
        <w:ind w:left="28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9BC5836">
      <w:start w:val="1"/>
      <w:numFmt w:val="decimal"/>
      <w:lvlText w:val="%4"/>
      <w:lvlJc w:val="left"/>
      <w:pPr>
        <w:ind w:left="3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90F3DA">
      <w:start w:val="1"/>
      <w:numFmt w:val="lowerLetter"/>
      <w:lvlText w:val="%5"/>
      <w:lvlJc w:val="left"/>
      <w:pPr>
        <w:ind w:left="4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8EEB3E0">
      <w:start w:val="1"/>
      <w:numFmt w:val="lowerRoman"/>
      <w:lvlText w:val="%6"/>
      <w:lvlJc w:val="left"/>
      <w:pPr>
        <w:ind w:left="5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4045050">
      <w:start w:val="1"/>
      <w:numFmt w:val="decimal"/>
      <w:lvlText w:val="%7"/>
      <w:lvlJc w:val="left"/>
      <w:pPr>
        <w:ind w:left="5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DEE4B6">
      <w:start w:val="1"/>
      <w:numFmt w:val="lowerLetter"/>
      <w:lvlText w:val="%8"/>
      <w:lvlJc w:val="left"/>
      <w:pPr>
        <w:ind w:left="64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680BB6E">
      <w:start w:val="1"/>
      <w:numFmt w:val="lowerRoman"/>
      <w:lvlText w:val="%9"/>
      <w:lvlJc w:val="left"/>
      <w:pPr>
        <w:ind w:left="7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F8930F7"/>
    <w:multiLevelType w:val="hybridMultilevel"/>
    <w:tmpl w:val="3B8E2B96"/>
    <w:lvl w:ilvl="0" w:tplc="61009826">
      <w:start w:val="18"/>
      <w:numFmt w:val="decimal"/>
      <w:lvlText w:val="%1."/>
      <w:lvlJc w:val="left"/>
      <w:pPr>
        <w:ind w:left="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1E3B46">
      <w:start w:val="1"/>
      <w:numFmt w:val="lowerLetter"/>
      <w:lvlText w:val="%2"/>
      <w:lvlJc w:val="left"/>
      <w:pPr>
        <w:ind w:left="11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662CCAE">
      <w:start w:val="1"/>
      <w:numFmt w:val="lowerRoman"/>
      <w:lvlText w:val="%3"/>
      <w:lvlJc w:val="left"/>
      <w:pPr>
        <w:ind w:left="1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F708F32">
      <w:start w:val="1"/>
      <w:numFmt w:val="decimal"/>
      <w:lvlText w:val="%4"/>
      <w:lvlJc w:val="left"/>
      <w:pPr>
        <w:ind w:left="2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7CE99C">
      <w:start w:val="1"/>
      <w:numFmt w:val="lowerLetter"/>
      <w:lvlText w:val="%5"/>
      <w:lvlJc w:val="left"/>
      <w:pPr>
        <w:ind w:left="3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4F802AE">
      <w:start w:val="1"/>
      <w:numFmt w:val="lowerRoman"/>
      <w:lvlText w:val="%6"/>
      <w:lvlJc w:val="left"/>
      <w:pPr>
        <w:ind w:left="3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3D64078">
      <w:start w:val="1"/>
      <w:numFmt w:val="decimal"/>
      <w:lvlText w:val="%7"/>
      <w:lvlJc w:val="left"/>
      <w:pPr>
        <w:ind w:left="4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AE12B4">
      <w:start w:val="1"/>
      <w:numFmt w:val="lowerLetter"/>
      <w:lvlText w:val="%8"/>
      <w:lvlJc w:val="left"/>
      <w:pPr>
        <w:ind w:left="5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6C6235C">
      <w:start w:val="1"/>
      <w:numFmt w:val="lowerRoman"/>
      <w:lvlText w:val="%9"/>
      <w:lvlJc w:val="left"/>
      <w:pPr>
        <w:ind w:left="6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7473E99"/>
    <w:multiLevelType w:val="hybridMultilevel"/>
    <w:tmpl w:val="864A429A"/>
    <w:lvl w:ilvl="0" w:tplc="5CBAC388">
      <w:start w:val="29"/>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14DC8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850A3A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838615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3E04D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C0FFD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0C2420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6033D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E3E3DC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21A7B5B"/>
    <w:multiLevelType w:val="hybridMultilevel"/>
    <w:tmpl w:val="4E081F86"/>
    <w:lvl w:ilvl="0" w:tplc="D3CA9C98">
      <w:start w:val="43"/>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A6F82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7C640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E6CC4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6A6C1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2642B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E2180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E8A11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108553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BE65C90"/>
    <w:multiLevelType w:val="hybridMultilevel"/>
    <w:tmpl w:val="BF0A75B6"/>
    <w:lvl w:ilvl="0" w:tplc="04090015">
      <w:start w:val="1"/>
      <w:numFmt w:val="upperLetter"/>
      <w:lvlText w:val="%1."/>
      <w:lvlJc w:val="left"/>
      <w:pPr>
        <w:ind w:left="900" w:hanging="360"/>
      </w:pPr>
      <w:rPr>
        <w:rFonts w:hint="default"/>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63655FDC"/>
    <w:multiLevelType w:val="hybridMultilevel"/>
    <w:tmpl w:val="17D6F33A"/>
    <w:lvl w:ilvl="0" w:tplc="ADEA745E">
      <w:start w:val="1"/>
      <w:numFmt w:val="upperRoman"/>
      <w:lvlText w:val="%1."/>
      <w:lvlJc w:val="left"/>
      <w:pPr>
        <w:ind w:left="2771" w:hanging="360"/>
      </w:pPr>
      <w:rPr>
        <w:rFonts w:hint="default"/>
        <w:b/>
      </w:rPr>
    </w:lvl>
    <w:lvl w:ilvl="1" w:tplc="04090019" w:tentative="1">
      <w:start w:val="1"/>
      <w:numFmt w:val="lowerLetter"/>
      <w:lvlText w:val="%2."/>
      <w:lvlJc w:val="left"/>
      <w:pPr>
        <w:ind w:left="3491" w:hanging="360"/>
      </w:pPr>
    </w:lvl>
    <w:lvl w:ilvl="2" w:tplc="0409001B" w:tentative="1">
      <w:start w:val="1"/>
      <w:numFmt w:val="lowerRoman"/>
      <w:lvlText w:val="%3."/>
      <w:lvlJc w:val="right"/>
      <w:pPr>
        <w:ind w:left="4211" w:hanging="180"/>
      </w:pPr>
    </w:lvl>
    <w:lvl w:ilvl="3" w:tplc="0409000F" w:tentative="1">
      <w:start w:val="1"/>
      <w:numFmt w:val="decimal"/>
      <w:lvlText w:val="%4."/>
      <w:lvlJc w:val="left"/>
      <w:pPr>
        <w:ind w:left="4931" w:hanging="360"/>
      </w:pPr>
    </w:lvl>
    <w:lvl w:ilvl="4" w:tplc="04090019" w:tentative="1">
      <w:start w:val="1"/>
      <w:numFmt w:val="lowerLetter"/>
      <w:lvlText w:val="%5."/>
      <w:lvlJc w:val="left"/>
      <w:pPr>
        <w:ind w:left="5651" w:hanging="360"/>
      </w:pPr>
    </w:lvl>
    <w:lvl w:ilvl="5" w:tplc="0409001B" w:tentative="1">
      <w:start w:val="1"/>
      <w:numFmt w:val="lowerRoman"/>
      <w:lvlText w:val="%6."/>
      <w:lvlJc w:val="right"/>
      <w:pPr>
        <w:ind w:left="6371" w:hanging="180"/>
      </w:pPr>
    </w:lvl>
    <w:lvl w:ilvl="6" w:tplc="0409000F" w:tentative="1">
      <w:start w:val="1"/>
      <w:numFmt w:val="decimal"/>
      <w:lvlText w:val="%7."/>
      <w:lvlJc w:val="left"/>
      <w:pPr>
        <w:ind w:left="7091" w:hanging="360"/>
      </w:pPr>
    </w:lvl>
    <w:lvl w:ilvl="7" w:tplc="04090019" w:tentative="1">
      <w:start w:val="1"/>
      <w:numFmt w:val="lowerLetter"/>
      <w:lvlText w:val="%8."/>
      <w:lvlJc w:val="left"/>
      <w:pPr>
        <w:ind w:left="7811" w:hanging="360"/>
      </w:pPr>
    </w:lvl>
    <w:lvl w:ilvl="8" w:tplc="0409001B" w:tentative="1">
      <w:start w:val="1"/>
      <w:numFmt w:val="lowerRoman"/>
      <w:lvlText w:val="%9."/>
      <w:lvlJc w:val="right"/>
      <w:pPr>
        <w:ind w:left="8531" w:hanging="180"/>
      </w:pPr>
    </w:lvl>
  </w:abstractNum>
  <w:abstractNum w:abstractNumId="25" w15:restartNumberingAfterBreak="0">
    <w:nsid w:val="6686792B"/>
    <w:multiLevelType w:val="hybridMultilevel"/>
    <w:tmpl w:val="7850FA18"/>
    <w:lvl w:ilvl="0" w:tplc="107A9EC0">
      <w:start w:val="33"/>
      <w:numFmt w:val="decimal"/>
      <w:lvlText w:val="%1."/>
      <w:lvlJc w:val="left"/>
      <w:pPr>
        <w:ind w:left="1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666C8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2E44B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10CB8B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56DB1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AA298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8B6C99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9AD7C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2D8DB8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6F62AC6"/>
    <w:multiLevelType w:val="hybridMultilevel"/>
    <w:tmpl w:val="5C50F3B0"/>
    <w:lvl w:ilvl="0" w:tplc="2CBEF9DE">
      <w:start w:val="27"/>
      <w:numFmt w:val="decimal"/>
      <w:lvlText w:val="%1."/>
      <w:lvlJc w:val="left"/>
      <w:pPr>
        <w:ind w:left="1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6EDF9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5CC5EA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9644F2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624E8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AB24CC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E7E336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9CDC6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74E5AF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80A13D6"/>
    <w:multiLevelType w:val="hybridMultilevel"/>
    <w:tmpl w:val="658080B0"/>
    <w:lvl w:ilvl="0" w:tplc="7168FC86">
      <w:start w:val="33"/>
      <w:numFmt w:val="decimal"/>
      <w:lvlText w:val="%1."/>
      <w:lvlJc w:val="left"/>
      <w:pPr>
        <w:ind w:left="1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5E84E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BD657E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06E33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76C8F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A887A9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F2B79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D89CD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F86390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90E7A85"/>
    <w:multiLevelType w:val="hybridMultilevel"/>
    <w:tmpl w:val="63425B66"/>
    <w:lvl w:ilvl="0" w:tplc="04090015">
      <w:start w:val="1"/>
      <w:numFmt w:val="upperLetter"/>
      <w:lvlText w:val="%1."/>
      <w:lvlJc w:val="left"/>
      <w:pPr>
        <w:ind w:left="1080" w:hanging="360"/>
      </w:pPr>
    </w:lvl>
    <w:lvl w:ilvl="1" w:tplc="04090019" w:tentative="1">
      <w:start w:val="1"/>
      <w:numFmt w:val="lowerLetter"/>
      <w:lvlText w:val="%2."/>
      <w:lvlJc w:val="left"/>
      <w:pPr>
        <w:ind w:left="-109" w:hanging="360"/>
      </w:pPr>
    </w:lvl>
    <w:lvl w:ilvl="2" w:tplc="0409001B" w:tentative="1">
      <w:start w:val="1"/>
      <w:numFmt w:val="lowerRoman"/>
      <w:lvlText w:val="%3."/>
      <w:lvlJc w:val="right"/>
      <w:pPr>
        <w:ind w:left="611" w:hanging="180"/>
      </w:pPr>
    </w:lvl>
    <w:lvl w:ilvl="3" w:tplc="0409000F" w:tentative="1">
      <w:start w:val="1"/>
      <w:numFmt w:val="decimal"/>
      <w:lvlText w:val="%4."/>
      <w:lvlJc w:val="left"/>
      <w:pPr>
        <w:ind w:left="1331" w:hanging="360"/>
      </w:pPr>
    </w:lvl>
    <w:lvl w:ilvl="4" w:tplc="04090019" w:tentative="1">
      <w:start w:val="1"/>
      <w:numFmt w:val="lowerLetter"/>
      <w:lvlText w:val="%5."/>
      <w:lvlJc w:val="left"/>
      <w:pPr>
        <w:ind w:left="2051" w:hanging="360"/>
      </w:pPr>
    </w:lvl>
    <w:lvl w:ilvl="5" w:tplc="0409001B" w:tentative="1">
      <w:start w:val="1"/>
      <w:numFmt w:val="lowerRoman"/>
      <w:lvlText w:val="%6."/>
      <w:lvlJc w:val="right"/>
      <w:pPr>
        <w:ind w:left="2771" w:hanging="180"/>
      </w:pPr>
    </w:lvl>
    <w:lvl w:ilvl="6" w:tplc="0409000F" w:tentative="1">
      <w:start w:val="1"/>
      <w:numFmt w:val="decimal"/>
      <w:lvlText w:val="%7."/>
      <w:lvlJc w:val="left"/>
      <w:pPr>
        <w:ind w:left="3491" w:hanging="360"/>
      </w:pPr>
    </w:lvl>
    <w:lvl w:ilvl="7" w:tplc="04090019" w:tentative="1">
      <w:start w:val="1"/>
      <w:numFmt w:val="lowerLetter"/>
      <w:lvlText w:val="%8."/>
      <w:lvlJc w:val="left"/>
      <w:pPr>
        <w:ind w:left="4211" w:hanging="360"/>
      </w:pPr>
    </w:lvl>
    <w:lvl w:ilvl="8" w:tplc="0409001B" w:tentative="1">
      <w:start w:val="1"/>
      <w:numFmt w:val="lowerRoman"/>
      <w:lvlText w:val="%9."/>
      <w:lvlJc w:val="right"/>
      <w:pPr>
        <w:ind w:left="4931" w:hanging="180"/>
      </w:pPr>
    </w:lvl>
  </w:abstractNum>
  <w:abstractNum w:abstractNumId="29" w15:restartNumberingAfterBreak="0">
    <w:nsid w:val="6D896E2E"/>
    <w:multiLevelType w:val="hybridMultilevel"/>
    <w:tmpl w:val="6DD612B6"/>
    <w:lvl w:ilvl="0" w:tplc="4A74A46A">
      <w:start w:val="24"/>
      <w:numFmt w:val="decimal"/>
      <w:lvlText w:val="%1."/>
      <w:lvlJc w:val="left"/>
      <w:pPr>
        <w:ind w:left="1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2E801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12294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BB8834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BE33E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488285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5A8275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94ACC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1A6610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F0A2EFE"/>
    <w:multiLevelType w:val="hybridMultilevel"/>
    <w:tmpl w:val="3E3268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491F36"/>
    <w:multiLevelType w:val="hybridMultilevel"/>
    <w:tmpl w:val="27A8A036"/>
    <w:lvl w:ilvl="0" w:tplc="BDFADA92">
      <w:start w:val="35"/>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98DCE2">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B6710A">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848AC5A">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7CE53A">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09644D4">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5A7E36">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10D048">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3E48344">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FB42E89"/>
    <w:multiLevelType w:val="hybridMultilevel"/>
    <w:tmpl w:val="0066C082"/>
    <w:lvl w:ilvl="0" w:tplc="DB7EEBD2">
      <w:start w:val="28"/>
      <w:numFmt w:val="decimal"/>
      <w:lvlText w:val="%1."/>
      <w:lvlJc w:val="left"/>
      <w:pPr>
        <w:ind w:left="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7A263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7A424F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2F8AD1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2088A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8D28F5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AC4F0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74602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2E65CD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0814C21"/>
    <w:multiLevelType w:val="hybridMultilevel"/>
    <w:tmpl w:val="B4F49224"/>
    <w:lvl w:ilvl="0" w:tplc="F8CC6AF8">
      <w:start w:val="35"/>
      <w:numFmt w:val="decimal"/>
      <w:lvlText w:val="%1."/>
      <w:lvlJc w:val="left"/>
      <w:pPr>
        <w:ind w:left="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4688E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148651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C46F09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1E45A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C685F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31E80D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DA945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BAC7D3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49B4120"/>
    <w:multiLevelType w:val="hybridMultilevel"/>
    <w:tmpl w:val="45FA1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7F2CB2"/>
    <w:multiLevelType w:val="hybridMultilevel"/>
    <w:tmpl w:val="B60464D0"/>
    <w:lvl w:ilvl="0" w:tplc="F490E1D0">
      <w:start w:val="32"/>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1A25D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11218D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F28ADA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FE011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824C63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9B2E78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EEC6B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F2836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DCC42C5"/>
    <w:multiLevelType w:val="hybridMultilevel"/>
    <w:tmpl w:val="8B3AD470"/>
    <w:lvl w:ilvl="0" w:tplc="7DACC770">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6C94CA">
      <w:start w:val="1"/>
      <w:numFmt w:val="lowerLetter"/>
      <w:lvlText w:val="%2"/>
      <w:lvlJc w:val="left"/>
      <w:pPr>
        <w:ind w:left="2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3C01F4">
      <w:start w:val="1"/>
      <w:numFmt w:val="lowerRoman"/>
      <w:lvlText w:val="%3"/>
      <w:lvlJc w:val="left"/>
      <w:pPr>
        <w:ind w:left="28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5C6AB0">
      <w:start w:val="1"/>
      <w:numFmt w:val="decimal"/>
      <w:lvlText w:val="%4"/>
      <w:lvlJc w:val="left"/>
      <w:pPr>
        <w:ind w:left="3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787E1E">
      <w:start w:val="1"/>
      <w:numFmt w:val="lowerLetter"/>
      <w:lvlText w:val="%5"/>
      <w:lvlJc w:val="left"/>
      <w:pPr>
        <w:ind w:left="4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4D0277C">
      <w:start w:val="1"/>
      <w:numFmt w:val="lowerRoman"/>
      <w:lvlText w:val="%6"/>
      <w:lvlJc w:val="left"/>
      <w:pPr>
        <w:ind w:left="5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03E921C">
      <w:start w:val="1"/>
      <w:numFmt w:val="decimal"/>
      <w:lvlText w:val="%7"/>
      <w:lvlJc w:val="left"/>
      <w:pPr>
        <w:ind w:left="5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C44880">
      <w:start w:val="1"/>
      <w:numFmt w:val="lowerLetter"/>
      <w:lvlText w:val="%8"/>
      <w:lvlJc w:val="left"/>
      <w:pPr>
        <w:ind w:left="64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EECB652">
      <w:start w:val="1"/>
      <w:numFmt w:val="lowerRoman"/>
      <w:lvlText w:val="%9"/>
      <w:lvlJc w:val="left"/>
      <w:pPr>
        <w:ind w:left="7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8"/>
  </w:num>
  <w:num w:numId="2">
    <w:abstractNumId w:val="19"/>
  </w:num>
  <w:num w:numId="3">
    <w:abstractNumId w:val="0"/>
  </w:num>
  <w:num w:numId="4">
    <w:abstractNumId w:val="21"/>
  </w:num>
  <w:num w:numId="5">
    <w:abstractNumId w:val="3"/>
  </w:num>
  <w:num w:numId="6">
    <w:abstractNumId w:val="9"/>
  </w:num>
  <w:num w:numId="7">
    <w:abstractNumId w:val="11"/>
  </w:num>
  <w:num w:numId="8">
    <w:abstractNumId w:val="28"/>
  </w:num>
  <w:num w:numId="9">
    <w:abstractNumId w:val="34"/>
  </w:num>
  <w:num w:numId="10">
    <w:abstractNumId w:val="24"/>
  </w:num>
  <w:num w:numId="11">
    <w:abstractNumId w:val="1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16"/>
  </w:num>
  <w:num w:numId="15">
    <w:abstractNumId w:val="5"/>
  </w:num>
  <w:num w:numId="16">
    <w:abstractNumId w:val="27"/>
  </w:num>
  <w:num w:numId="17">
    <w:abstractNumId w:val="13"/>
  </w:num>
  <w:num w:numId="18">
    <w:abstractNumId w:val="31"/>
  </w:num>
  <w:num w:numId="19">
    <w:abstractNumId w:val="17"/>
  </w:num>
  <w:num w:numId="20">
    <w:abstractNumId w:val="2"/>
  </w:num>
  <w:num w:numId="21">
    <w:abstractNumId w:val="14"/>
  </w:num>
  <w:num w:numId="22">
    <w:abstractNumId w:val="6"/>
  </w:num>
  <w:num w:numId="23">
    <w:abstractNumId w:val="18"/>
  </w:num>
  <w:num w:numId="24">
    <w:abstractNumId w:val="1"/>
  </w:num>
  <w:num w:numId="25">
    <w:abstractNumId w:val="29"/>
  </w:num>
  <w:num w:numId="26">
    <w:abstractNumId w:val="32"/>
  </w:num>
  <w:num w:numId="27">
    <w:abstractNumId w:val="7"/>
  </w:num>
  <w:num w:numId="28">
    <w:abstractNumId w:val="25"/>
  </w:num>
  <w:num w:numId="29">
    <w:abstractNumId w:val="33"/>
  </w:num>
  <w:num w:numId="30">
    <w:abstractNumId w:val="4"/>
  </w:num>
  <w:num w:numId="31">
    <w:abstractNumId w:val="15"/>
  </w:num>
  <w:num w:numId="32">
    <w:abstractNumId w:val="22"/>
  </w:num>
  <w:num w:numId="33">
    <w:abstractNumId w:val="35"/>
  </w:num>
  <w:num w:numId="34">
    <w:abstractNumId w:val="26"/>
  </w:num>
  <w:num w:numId="35">
    <w:abstractNumId w:val="20"/>
  </w:num>
  <w:num w:numId="36">
    <w:abstractNumId w:val="23"/>
  </w:num>
  <w:num w:numId="37">
    <w:abstractNumId w:val="36"/>
  </w:num>
  <w:num w:numId="38">
    <w:abstractNumId w:val="10"/>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9"/>
  <w:hideSpellingErrors/>
  <w:activeWritingStyle w:appName="MSWord" w:lang="es-ES_tradnl" w:vendorID="64" w:dllVersion="131078" w:nlCheck="1" w:checkStyle="0"/>
  <w:activeWritingStyle w:appName="MSWord" w:lang="es-ES"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3E4"/>
    <w:rsid w:val="000211AA"/>
    <w:rsid w:val="00031B6F"/>
    <w:rsid w:val="0005571A"/>
    <w:rsid w:val="00066471"/>
    <w:rsid w:val="00066EAB"/>
    <w:rsid w:val="000922AF"/>
    <w:rsid w:val="00094A53"/>
    <w:rsid w:val="00097CD1"/>
    <w:rsid w:val="000A3C2C"/>
    <w:rsid w:val="000D3208"/>
    <w:rsid w:val="000D545B"/>
    <w:rsid w:val="000D79F9"/>
    <w:rsid w:val="000E3BB3"/>
    <w:rsid w:val="000F5E56"/>
    <w:rsid w:val="00101DAC"/>
    <w:rsid w:val="001036F7"/>
    <w:rsid w:val="001071E0"/>
    <w:rsid w:val="00107230"/>
    <w:rsid w:val="001362EE"/>
    <w:rsid w:val="00142DF5"/>
    <w:rsid w:val="00152B24"/>
    <w:rsid w:val="00152CEA"/>
    <w:rsid w:val="001555C0"/>
    <w:rsid w:val="00160D89"/>
    <w:rsid w:val="0017411D"/>
    <w:rsid w:val="00181678"/>
    <w:rsid w:val="001832A6"/>
    <w:rsid w:val="001877B4"/>
    <w:rsid w:val="00187B91"/>
    <w:rsid w:val="00194DD2"/>
    <w:rsid w:val="001A1D3C"/>
    <w:rsid w:val="001A5A6E"/>
    <w:rsid w:val="001C4DD3"/>
    <w:rsid w:val="001C555A"/>
    <w:rsid w:val="00205525"/>
    <w:rsid w:val="002060DE"/>
    <w:rsid w:val="002240D8"/>
    <w:rsid w:val="00230B28"/>
    <w:rsid w:val="0024710F"/>
    <w:rsid w:val="00256C46"/>
    <w:rsid w:val="002634C4"/>
    <w:rsid w:val="00264722"/>
    <w:rsid w:val="002816D6"/>
    <w:rsid w:val="002823CF"/>
    <w:rsid w:val="002926FF"/>
    <w:rsid w:val="002B5C7F"/>
    <w:rsid w:val="002B6BC5"/>
    <w:rsid w:val="002D09B3"/>
    <w:rsid w:val="002D1940"/>
    <w:rsid w:val="002E67B3"/>
    <w:rsid w:val="002F4E68"/>
    <w:rsid w:val="00302697"/>
    <w:rsid w:val="0030555A"/>
    <w:rsid w:val="00307787"/>
    <w:rsid w:val="00330C4E"/>
    <w:rsid w:val="00352ABA"/>
    <w:rsid w:val="00354647"/>
    <w:rsid w:val="003716B1"/>
    <w:rsid w:val="003758BA"/>
    <w:rsid w:val="00377273"/>
    <w:rsid w:val="00377717"/>
    <w:rsid w:val="003845C1"/>
    <w:rsid w:val="00387287"/>
    <w:rsid w:val="0038741C"/>
    <w:rsid w:val="003A3A14"/>
    <w:rsid w:val="003B11EB"/>
    <w:rsid w:val="003B1CDD"/>
    <w:rsid w:val="003C2F48"/>
    <w:rsid w:val="003C4CFD"/>
    <w:rsid w:val="003C5522"/>
    <w:rsid w:val="003C7612"/>
    <w:rsid w:val="003D41D4"/>
    <w:rsid w:val="003F3C03"/>
    <w:rsid w:val="00401005"/>
    <w:rsid w:val="00403D12"/>
    <w:rsid w:val="00420DD8"/>
    <w:rsid w:val="004220B8"/>
    <w:rsid w:val="00423E3E"/>
    <w:rsid w:val="00427AF4"/>
    <w:rsid w:val="0043113F"/>
    <w:rsid w:val="004339BB"/>
    <w:rsid w:val="00441606"/>
    <w:rsid w:val="00446BB5"/>
    <w:rsid w:val="00451579"/>
    <w:rsid w:val="004521F8"/>
    <w:rsid w:val="0045231F"/>
    <w:rsid w:val="004647DA"/>
    <w:rsid w:val="004663BE"/>
    <w:rsid w:val="00470375"/>
    <w:rsid w:val="00471FD4"/>
    <w:rsid w:val="00474787"/>
    <w:rsid w:val="00477D6B"/>
    <w:rsid w:val="00483C79"/>
    <w:rsid w:val="004854BC"/>
    <w:rsid w:val="00485A74"/>
    <w:rsid w:val="004A09AF"/>
    <w:rsid w:val="004A64CB"/>
    <w:rsid w:val="004A6C37"/>
    <w:rsid w:val="004A6CDA"/>
    <w:rsid w:val="004C7334"/>
    <w:rsid w:val="004D20E4"/>
    <w:rsid w:val="004D78FF"/>
    <w:rsid w:val="004F7418"/>
    <w:rsid w:val="00501371"/>
    <w:rsid w:val="00501ABB"/>
    <w:rsid w:val="0053579F"/>
    <w:rsid w:val="00536609"/>
    <w:rsid w:val="00547F38"/>
    <w:rsid w:val="0055013B"/>
    <w:rsid w:val="00553C7D"/>
    <w:rsid w:val="005615D4"/>
    <w:rsid w:val="0056224D"/>
    <w:rsid w:val="00565690"/>
    <w:rsid w:val="00571B99"/>
    <w:rsid w:val="00574747"/>
    <w:rsid w:val="0059391C"/>
    <w:rsid w:val="00597BBE"/>
    <w:rsid w:val="005A6BDC"/>
    <w:rsid w:val="005C6BB3"/>
    <w:rsid w:val="005D64EC"/>
    <w:rsid w:val="006029B2"/>
    <w:rsid w:val="00605827"/>
    <w:rsid w:val="0060774B"/>
    <w:rsid w:val="00621668"/>
    <w:rsid w:val="00624602"/>
    <w:rsid w:val="0064674D"/>
    <w:rsid w:val="006700AE"/>
    <w:rsid w:val="006709CF"/>
    <w:rsid w:val="00675021"/>
    <w:rsid w:val="006A06C6"/>
    <w:rsid w:val="006A2158"/>
    <w:rsid w:val="006B684B"/>
    <w:rsid w:val="006B6AD3"/>
    <w:rsid w:val="006C6362"/>
    <w:rsid w:val="006C6503"/>
    <w:rsid w:val="006D3FAA"/>
    <w:rsid w:val="006D7E5D"/>
    <w:rsid w:val="006F3E7B"/>
    <w:rsid w:val="006F5315"/>
    <w:rsid w:val="0070721F"/>
    <w:rsid w:val="0070797D"/>
    <w:rsid w:val="00707C26"/>
    <w:rsid w:val="00716C6F"/>
    <w:rsid w:val="00717036"/>
    <w:rsid w:val="00727FE5"/>
    <w:rsid w:val="00732B43"/>
    <w:rsid w:val="00733531"/>
    <w:rsid w:val="00734A57"/>
    <w:rsid w:val="00740971"/>
    <w:rsid w:val="00742EB3"/>
    <w:rsid w:val="007453F9"/>
    <w:rsid w:val="00753F1E"/>
    <w:rsid w:val="007615A4"/>
    <w:rsid w:val="0077180F"/>
    <w:rsid w:val="0077571F"/>
    <w:rsid w:val="0078381A"/>
    <w:rsid w:val="00792858"/>
    <w:rsid w:val="0079411F"/>
    <w:rsid w:val="007958FD"/>
    <w:rsid w:val="007978DF"/>
    <w:rsid w:val="007A588C"/>
    <w:rsid w:val="007E0304"/>
    <w:rsid w:val="007E4042"/>
    <w:rsid w:val="007E539B"/>
    <w:rsid w:val="007E63AC"/>
    <w:rsid w:val="007E663E"/>
    <w:rsid w:val="00803AB7"/>
    <w:rsid w:val="00812889"/>
    <w:rsid w:val="00815082"/>
    <w:rsid w:val="00817CE7"/>
    <w:rsid w:val="0082306E"/>
    <w:rsid w:val="00826148"/>
    <w:rsid w:val="00843582"/>
    <w:rsid w:val="008524F3"/>
    <w:rsid w:val="00862B31"/>
    <w:rsid w:val="00894474"/>
    <w:rsid w:val="00896679"/>
    <w:rsid w:val="008A6F6A"/>
    <w:rsid w:val="008B14EA"/>
    <w:rsid w:val="008B2CC1"/>
    <w:rsid w:val="008C742F"/>
    <w:rsid w:val="008D2F10"/>
    <w:rsid w:val="008D37F3"/>
    <w:rsid w:val="008D7B24"/>
    <w:rsid w:val="008E00DC"/>
    <w:rsid w:val="008E0F3A"/>
    <w:rsid w:val="008E3E0F"/>
    <w:rsid w:val="008F4C6A"/>
    <w:rsid w:val="008F7E08"/>
    <w:rsid w:val="009015BB"/>
    <w:rsid w:val="00901655"/>
    <w:rsid w:val="00901C46"/>
    <w:rsid w:val="0090461E"/>
    <w:rsid w:val="0090731E"/>
    <w:rsid w:val="009250DE"/>
    <w:rsid w:val="00927BEB"/>
    <w:rsid w:val="00930551"/>
    <w:rsid w:val="009340CC"/>
    <w:rsid w:val="009454F3"/>
    <w:rsid w:val="009561C3"/>
    <w:rsid w:val="00963A3D"/>
    <w:rsid w:val="00964A00"/>
    <w:rsid w:val="00966A22"/>
    <w:rsid w:val="00967563"/>
    <w:rsid w:val="00972F03"/>
    <w:rsid w:val="00973479"/>
    <w:rsid w:val="00974991"/>
    <w:rsid w:val="00983751"/>
    <w:rsid w:val="00983E51"/>
    <w:rsid w:val="00996DC8"/>
    <w:rsid w:val="009A083E"/>
    <w:rsid w:val="009A0C8B"/>
    <w:rsid w:val="009A13DE"/>
    <w:rsid w:val="009A3BD1"/>
    <w:rsid w:val="009B6241"/>
    <w:rsid w:val="009C1877"/>
    <w:rsid w:val="009C19A2"/>
    <w:rsid w:val="009D515A"/>
    <w:rsid w:val="009E7628"/>
    <w:rsid w:val="009E7D60"/>
    <w:rsid w:val="00A13505"/>
    <w:rsid w:val="00A16FC0"/>
    <w:rsid w:val="00A20CE8"/>
    <w:rsid w:val="00A22AED"/>
    <w:rsid w:val="00A250AD"/>
    <w:rsid w:val="00A32C9E"/>
    <w:rsid w:val="00A33DCA"/>
    <w:rsid w:val="00A55FC0"/>
    <w:rsid w:val="00A66652"/>
    <w:rsid w:val="00A7453D"/>
    <w:rsid w:val="00A87883"/>
    <w:rsid w:val="00AA4C22"/>
    <w:rsid w:val="00AA66E1"/>
    <w:rsid w:val="00AB172B"/>
    <w:rsid w:val="00AB5A67"/>
    <w:rsid w:val="00AB613D"/>
    <w:rsid w:val="00AC24E7"/>
    <w:rsid w:val="00AE5FBD"/>
    <w:rsid w:val="00AF1AC6"/>
    <w:rsid w:val="00B013A2"/>
    <w:rsid w:val="00B37CE2"/>
    <w:rsid w:val="00B40157"/>
    <w:rsid w:val="00B47A22"/>
    <w:rsid w:val="00B50B18"/>
    <w:rsid w:val="00B65A0A"/>
    <w:rsid w:val="00B71965"/>
    <w:rsid w:val="00B72D36"/>
    <w:rsid w:val="00B82DE8"/>
    <w:rsid w:val="00B85818"/>
    <w:rsid w:val="00B906F2"/>
    <w:rsid w:val="00BA3322"/>
    <w:rsid w:val="00BA7592"/>
    <w:rsid w:val="00BB7CDA"/>
    <w:rsid w:val="00BC4164"/>
    <w:rsid w:val="00BC7363"/>
    <w:rsid w:val="00BD2DCC"/>
    <w:rsid w:val="00BE13E4"/>
    <w:rsid w:val="00BE1A8C"/>
    <w:rsid w:val="00BF1656"/>
    <w:rsid w:val="00BF287C"/>
    <w:rsid w:val="00BF5010"/>
    <w:rsid w:val="00BF672C"/>
    <w:rsid w:val="00C06472"/>
    <w:rsid w:val="00C077FD"/>
    <w:rsid w:val="00C1159E"/>
    <w:rsid w:val="00C141E2"/>
    <w:rsid w:val="00C23628"/>
    <w:rsid w:val="00C53473"/>
    <w:rsid w:val="00C56BD1"/>
    <w:rsid w:val="00C665FA"/>
    <w:rsid w:val="00C77140"/>
    <w:rsid w:val="00C90559"/>
    <w:rsid w:val="00C95686"/>
    <w:rsid w:val="00CB0EF2"/>
    <w:rsid w:val="00CB16BD"/>
    <w:rsid w:val="00CB4EB9"/>
    <w:rsid w:val="00CC4144"/>
    <w:rsid w:val="00CE7251"/>
    <w:rsid w:val="00CF1729"/>
    <w:rsid w:val="00CF2233"/>
    <w:rsid w:val="00D00DC1"/>
    <w:rsid w:val="00D25FCA"/>
    <w:rsid w:val="00D351D7"/>
    <w:rsid w:val="00D36B79"/>
    <w:rsid w:val="00D40CF0"/>
    <w:rsid w:val="00D47C0C"/>
    <w:rsid w:val="00D52186"/>
    <w:rsid w:val="00D531DB"/>
    <w:rsid w:val="00D56C7C"/>
    <w:rsid w:val="00D71B4D"/>
    <w:rsid w:val="00D77CD7"/>
    <w:rsid w:val="00D90289"/>
    <w:rsid w:val="00D93D55"/>
    <w:rsid w:val="00DC7A42"/>
    <w:rsid w:val="00DF0CD9"/>
    <w:rsid w:val="00DF6FE2"/>
    <w:rsid w:val="00E02241"/>
    <w:rsid w:val="00E058D4"/>
    <w:rsid w:val="00E13760"/>
    <w:rsid w:val="00E32B0E"/>
    <w:rsid w:val="00E41317"/>
    <w:rsid w:val="00E45C84"/>
    <w:rsid w:val="00E472DB"/>
    <w:rsid w:val="00E504E5"/>
    <w:rsid w:val="00E70204"/>
    <w:rsid w:val="00E70F34"/>
    <w:rsid w:val="00E72674"/>
    <w:rsid w:val="00E73ABF"/>
    <w:rsid w:val="00E73E7F"/>
    <w:rsid w:val="00E80A64"/>
    <w:rsid w:val="00E9404F"/>
    <w:rsid w:val="00EA4564"/>
    <w:rsid w:val="00EA469C"/>
    <w:rsid w:val="00EB7A3E"/>
    <w:rsid w:val="00EC401A"/>
    <w:rsid w:val="00ED522A"/>
    <w:rsid w:val="00EE0701"/>
    <w:rsid w:val="00EF2874"/>
    <w:rsid w:val="00EF3306"/>
    <w:rsid w:val="00EF391F"/>
    <w:rsid w:val="00EF530A"/>
    <w:rsid w:val="00EF6622"/>
    <w:rsid w:val="00F039B6"/>
    <w:rsid w:val="00F10012"/>
    <w:rsid w:val="00F341B3"/>
    <w:rsid w:val="00F362FA"/>
    <w:rsid w:val="00F414B6"/>
    <w:rsid w:val="00F42468"/>
    <w:rsid w:val="00F46BE9"/>
    <w:rsid w:val="00F55408"/>
    <w:rsid w:val="00F63985"/>
    <w:rsid w:val="00F63C91"/>
    <w:rsid w:val="00F66152"/>
    <w:rsid w:val="00F80845"/>
    <w:rsid w:val="00F84474"/>
    <w:rsid w:val="00F86B6E"/>
    <w:rsid w:val="00F90B47"/>
    <w:rsid w:val="00F95DE7"/>
    <w:rsid w:val="00FA1A1C"/>
    <w:rsid w:val="00FB6640"/>
    <w:rsid w:val="00FC4E75"/>
    <w:rsid w:val="00FC671E"/>
    <w:rsid w:val="00FE1311"/>
    <w:rsid w:val="00FE2BE0"/>
    <w:rsid w:val="00FE3E6C"/>
    <w:rsid w:val="00FE4A6B"/>
    <w:rsid w:val="00FF510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19863B34-56A8-45F2-8EA2-1E428F36E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aliases w:val="Char"/>
    <w:basedOn w:val="Normal"/>
    <w:link w:val="FootnoteTextChar"/>
    <w:semiHidden/>
    <w:rsid w:val="00A32C9E"/>
    <w:rPr>
      <w:sz w:val="18"/>
    </w:rPr>
  </w:style>
  <w:style w:type="paragraph" w:customStyle="1" w:styleId="Endofdocument-Annex">
    <w:name w:val="[End of document - Annex]"/>
    <w:basedOn w:val="Normal"/>
    <w:link w:val="Endofdocument-AnnexChar"/>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EndnoteReference">
    <w:name w:val="endnote reference"/>
    <w:semiHidden/>
    <w:rsid w:val="00BE13E4"/>
    <w:rPr>
      <w:vertAlign w:val="superscript"/>
    </w:rPr>
  </w:style>
  <w:style w:type="character" w:styleId="FootnoteReference">
    <w:name w:val="footnote reference"/>
    <w:semiHidden/>
    <w:rsid w:val="00BE13E4"/>
    <w:rPr>
      <w:vertAlign w:val="superscript"/>
    </w:rPr>
  </w:style>
  <w:style w:type="paragraph" w:customStyle="1" w:styleId="DecisionInvitationPara">
    <w:name w:val="Decision Invitation Para."/>
    <w:basedOn w:val="Normal"/>
    <w:rsid w:val="00BE13E4"/>
    <w:pPr>
      <w:ind w:left="5534"/>
    </w:pPr>
    <w:rPr>
      <w:rFonts w:eastAsia="Times New Roman" w:cs="Times New Roman"/>
      <w:i/>
      <w:lang w:val="en-GB" w:eastAsia="en-US"/>
    </w:rPr>
  </w:style>
  <w:style w:type="paragraph" w:customStyle="1" w:styleId="default">
    <w:name w:val="default"/>
    <w:basedOn w:val="Normal"/>
    <w:rsid w:val="00BE13E4"/>
    <w:pPr>
      <w:autoSpaceDE w:val="0"/>
      <w:autoSpaceDN w:val="0"/>
    </w:pPr>
    <w:rPr>
      <w:rFonts w:eastAsia="Times New Roman"/>
      <w:color w:val="000000"/>
      <w:sz w:val="24"/>
      <w:szCs w:val="24"/>
      <w:lang w:val="en-GB" w:eastAsia="en-US"/>
    </w:rPr>
  </w:style>
  <w:style w:type="paragraph" w:customStyle="1" w:styleId="CharCharCharChar">
    <w:name w:val="Char Char Char Char"/>
    <w:basedOn w:val="Normal"/>
    <w:rsid w:val="00BE13E4"/>
    <w:pPr>
      <w:spacing w:after="160" w:line="240" w:lineRule="exact"/>
    </w:pPr>
    <w:rPr>
      <w:rFonts w:ascii="Verdana" w:eastAsia="Times New Roman" w:hAnsi="Verdana" w:cs="Times New Roman"/>
      <w:sz w:val="20"/>
      <w:lang w:val="en-GB" w:eastAsia="en-US"/>
    </w:rPr>
  </w:style>
  <w:style w:type="paragraph" w:customStyle="1" w:styleId="Default0">
    <w:name w:val="Default"/>
    <w:rsid w:val="00BE13E4"/>
    <w:pPr>
      <w:autoSpaceDE w:val="0"/>
      <w:autoSpaceDN w:val="0"/>
      <w:adjustRightInd w:val="0"/>
    </w:pPr>
    <w:rPr>
      <w:rFonts w:ascii="Arial" w:hAnsi="Arial" w:cs="Arial"/>
      <w:color w:val="000000"/>
      <w:sz w:val="24"/>
      <w:szCs w:val="24"/>
      <w:lang w:val="en-US" w:eastAsia="en-US"/>
    </w:rPr>
  </w:style>
  <w:style w:type="paragraph" w:customStyle="1" w:styleId="Style1">
    <w:name w:val="Style1"/>
    <w:basedOn w:val="Heading1"/>
    <w:rsid w:val="00BE13E4"/>
    <w:rPr>
      <w:rFonts w:eastAsia="Times New Roman"/>
      <w:caps w:val="0"/>
      <w:sz w:val="32"/>
      <w:szCs w:val="22"/>
      <w:lang w:val="en-GB" w:eastAsia="en-US"/>
    </w:rPr>
  </w:style>
  <w:style w:type="paragraph" w:customStyle="1" w:styleId="Style2">
    <w:name w:val="Style2"/>
    <w:basedOn w:val="Heading1"/>
    <w:rsid w:val="00BE13E4"/>
    <w:rPr>
      <w:rFonts w:eastAsia="Times New Roman"/>
      <w:caps w:val="0"/>
      <w:sz w:val="32"/>
      <w:szCs w:val="22"/>
      <w:lang w:val="en-GB" w:eastAsia="en-US"/>
    </w:rPr>
  </w:style>
  <w:style w:type="character" w:styleId="Hyperlink">
    <w:name w:val="Hyperlink"/>
    <w:uiPriority w:val="99"/>
    <w:rsid w:val="00BE13E4"/>
    <w:rPr>
      <w:color w:val="003399"/>
      <w:u w:val="single"/>
    </w:rPr>
  </w:style>
  <w:style w:type="paragraph" w:styleId="NormalWeb">
    <w:name w:val="Normal (Web)"/>
    <w:basedOn w:val="Normal"/>
    <w:rsid w:val="00BE13E4"/>
    <w:pPr>
      <w:spacing w:before="100" w:beforeAutospacing="1" w:after="100" w:afterAutospacing="1"/>
    </w:pPr>
    <w:rPr>
      <w:rFonts w:eastAsia="Times New Roman"/>
      <w:sz w:val="18"/>
      <w:szCs w:val="18"/>
      <w:lang w:val="en-GB" w:eastAsia="en-US"/>
    </w:rPr>
  </w:style>
  <w:style w:type="paragraph" w:styleId="BlockText">
    <w:name w:val="Block Text"/>
    <w:basedOn w:val="Normal"/>
    <w:rsid w:val="00BE13E4"/>
    <w:pPr>
      <w:spacing w:after="120"/>
      <w:ind w:left="1440" w:right="1440"/>
    </w:pPr>
    <w:rPr>
      <w:rFonts w:eastAsia="Times New Roman" w:cs="Times New Roman"/>
      <w:lang w:val="en-GB" w:eastAsia="en-US"/>
    </w:rPr>
  </w:style>
  <w:style w:type="paragraph" w:styleId="BalloonText">
    <w:name w:val="Balloon Text"/>
    <w:basedOn w:val="Normal"/>
    <w:link w:val="BalloonTextChar"/>
    <w:rsid w:val="00BE13E4"/>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BE13E4"/>
    <w:rPr>
      <w:rFonts w:ascii="Tahoma" w:hAnsi="Tahoma"/>
      <w:sz w:val="16"/>
      <w:szCs w:val="16"/>
      <w:lang w:val="x-none" w:eastAsia="x-none"/>
    </w:rPr>
  </w:style>
  <w:style w:type="table" w:styleId="TableGrid">
    <w:name w:val="Table Grid"/>
    <w:basedOn w:val="TableNormal"/>
    <w:rsid w:val="00BE13E4"/>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13E4"/>
    <w:pPr>
      <w:ind w:left="720"/>
    </w:pPr>
    <w:rPr>
      <w:rFonts w:eastAsia="Times New Roman" w:cs="Times New Roman"/>
      <w:lang w:val="en-GB" w:eastAsia="en-US"/>
    </w:rPr>
  </w:style>
  <w:style w:type="character" w:customStyle="1" w:styleId="FootnoteTextChar">
    <w:name w:val="Footnote Text Char"/>
    <w:aliases w:val="Char Char"/>
    <w:link w:val="FootnoteText"/>
    <w:semiHidden/>
    <w:locked/>
    <w:rsid w:val="00BE13E4"/>
    <w:rPr>
      <w:rFonts w:ascii="Arial" w:eastAsia="SimSun" w:hAnsi="Arial" w:cs="Arial"/>
      <w:sz w:val="18"/>
      <w:lang w:val="es-ES" w:eastAsia="zh-CN"/>
    </w:rPr>
  </w:style>
  <w:style w:type="character" w:customStyle="1" w:styleId="Endofdocument-AnnexChar">
    <w:name w:val="[End of document - Annex] Char"/>
    <w:link w:val="Endofdocument-Annex"/>
    <w:rsid w:val="00BE13E4"/>
    <w:rPr>
      <w:rFonts w:ascii="Arial" w:eastAsia="SimSun" w:hAnsi="Arial" w:cs="Arial"/>
      <w:sz w:val="22"/>
      <w:lang w:val="en-US" w:eastAsia="zh-CN"/>
    </w:rPr>
  </w:style>
  <w:style w:type="character" w:styleId="CommentReference">
    <w:name w:val="annotation reference"/>
    <w:semiHidden/>
    <w:rsid w:val="00BE13E4"/>
    <w:rPr>
      <w:sz w:val="16"/>
      <w:szCs w:val="16"/>
    </w:rPr>
  </w:style>
  <w:style w:type="paragraph" w:styleId="CommentSubject">
    <w:name w:val="annotation subject"/>
    <w:basedOn w:val="CommentText"/>
    <w:next w:val="CommentText"/>
    <w:link w:val="CommentSubjectChar"/>
    <w:semiHidden/>
    <w:rsid w:val="00BE13E4"/>
    <w:rPr>
      <w:rFonts w:eastAsia="Times New Roman" w:cs="Times New Roman"/>
      <w:b/>
      <w:bCs/>
      <w:sz w:val="20"/>
      <w:lang w:val="en-GB" w:eastAsia="en-US"/>
    </w:rPr>
  </w:style>
  <w:style w:type="character" w:customStyle="1" w:styleId="CommentTextChar">
    <w:name w:val="Comment Text Char"/>
    <w:basedOn w:val="DefaultParagraphFont"/>
    <w:link w:val="CommentText"/>
    <w:rsid w:val="00BE13E4"/>
    <w:rPr>
      <w:rFonts w:ascii="Arial" w:eastAsia="SimSun" w:hAnsi="Arial" w:cs="Arial"/>
      <w:sz w:val="18"/>
      <w:lang w:val="es-ES" w:eastAsia="zh-CN"/>
    </w:rPr>
  </w:style>
  <w:style w:type="character" w:customStyle="1" w:styleId="CommentSubjectChar">
    <w:name w:val="Comment Subject Char"/>
    <w:basedOn w:val="CommentTextChar"/>
    <w:link w:val="CommentSubject"/>
    <w:semiHidden/>
    <w:rsid w:val="00BE13E4"/>
    <w:rPr>
      <w:rFonts w:ascii="Arial" w:eastAsia="SimSun" w:hAnsi="Arial" w:cs="Arial"/>
      <w:b/>
      <w:bCs/>
      <w:sz w:val="18"/>
      <w:lang w:val="en-GB" w:eastAsia="en-US"/>
    </w:rPr>
  </w:style>
  <w:style w:type="character" w:customStyle="1" w:styleId="BodyTextChar">
    <w:name w:val="Body Text Char"/>
    <w:link w:val="BodyText"/>
    <w:rsid w:val="00BE13E4"/>
    <w:rPr>
      <w:rFonts w:ascii="Arial" w:eastAsia="SimSun" w:hAnsi="Arial" w:cs="Arial"/>
      <w:sz w:val="22"/>
      <w:lang w:val="es-ES" w:eastAsia="zh-CN"/>
    </w:rPr>
  </w:style>
  <w:style w:type="character" w:customStyle="1" w:styleId="ONUMEChar">
    <w:name w:val="ONUM E Char"/>
    <w:link w:val="ONUME"/>
    <w:rsid w:val="00BE13E4"/>
    <w:rPr>
      <w:rFonts w:ascii="Arial" w:eastAsia="SimSun" w:hAnsi="Arial" w:cs="Arial"/>
      <w:sz w:val="22"/>
      <w:lang w:val="es-ES" w:eastAsia="zh-CN"/>
    </w:rPr>
  </w:style>
  <w:style w:type="paragraph" w:styleId="TOCHeading">
    <w:name w:val="TOC Heading"/>
    <w:basedOn w:val="Heading1"/>
    <w:next w:val="Normal"/>
    <w:uiPriority w:val="39"/>
    <w:unhideWhenUsed/>
    <w:qFormat/>
    <w:rsid w:val="00BE13E4"/>
    <w:pPr>
      <w:keepLines/>
      <w:spacing w:before="480" w:after="0" w:line="276" w:lineRule="auto"/>
      <w:outlineLvl w:val="9"/>
    </w:pPr>
    <w:rPr>
      <w:rFonts w:ascii="Cambria" w:eastAsia="MS Gothic" w:hAnsi="Cambria" w:cs="Times New Roman"/>
      <w:caps w:val="0"/>
      <w:color w:val="365F91"/>
      <w:kern w:val="0"/>
      <w:sz w:val="28"/>
      <w:szCs w:val="28"/>
      <w:lang w:val="en-GB" w:eastAsia="ja-JP"/>
    </w:rPr>
  </w:style>
  <w:style w:type="paragraph" w:styleId="TOC2">
    <w:name w:val="toc 2"/>
    <w:basedOn w:val="Normal"/>
    <w:next w:val="Normal"/>
    <w:autoRedefine/>
    <w:uiPriority w:val="39"/>
    <w:rsid w:val="00BE13E4"/>
    <w:pPr>
      <w:tabs>
        <w:tab w:val="left" w:pos="425"/>
        <w:tab w:val="right" w:leader="dot" w:pos="9356"/>
      </w:tabs>
      <w:spacing w:before="120" w:after="120"/>
    </w:pPr>
    <w:rPr>
      <w:rFonts w:eastAsia="Times New Roman" w:cs="Times New Roman"/>
      <w:lang w:val="en-GB" w:eastAsia="en-US"/>
    </w:rPr>
  </w:style>
  <w:style w:type="paragraph" w:styleId="TOC3">
    <w:name w:val="toc 3"/>
    <w:basedOn w:val="Normal"/>
    <w:next w:val="Normal"/>
    <w:autoRedefine/>
    <w:uiPriority w:val="39"/>
    <w:rsid w:val="00BE13E4"/>
    <w:pPr>
      <w:tabs>
        <w:tab w:val="left" w:pos="1134"/>
        <w:tab w:val="right" w:leader="dot" w:pos="9356"/>
      </w:tabs>
      <w:spacing w:before="60" w:after="60"/>
      <w:ind w:left="567"/>
    </w:pPr>
    <w:rPr>
      <w:rFonts w:eastAsia="Times New Roman"/>
      <w:noProof/>
      <w:color w:val="000000"/>
      <w:szCs w:val="22"/>
      <w:lang w:val="en-GB" w:eastAsia="en-US"/>
    </w:rPr>
  </w:style>
  <w:style w:type="paragraph" w:customStyle="1" w:styleId="Title1">
    <w:name w:val="Title1"/>
    <w:basedOn w:val="Normal"/>
    <w:rsid w:val="00BE13E4"/>
    <w:pPr>
      <w:spacing w:before="100" w:beforeAutospacing="1" w:after="100" w:afterAutospacing="1"/>
    </w:pPr>
    <w:rPr>
      <w:rFonts w:ascii="Times New Roman" w:eastAsia="Times New Roman" w:hAnsi="Times New Roman" w:cs="Times New Roman"/>
      <w:sz w:val="24"/>
      <w:szCs w:val="24"/>
      <w:lang w:val="en-GB" w:eastAsia="en-US"/>
    </w:rPr>
  </w:style>
  <w:style w:type="character" w:styleId="Emphasis">
    <w:name w:val="Emphasis"/>
    <w:uiPriority w:val="20"/>
    <w:qFormat/>
    <w:rsid w:val="00BE13E4"/>
    <w:rPr>
      <w:b/>
      <w:bCs/>
      <w:i w:val="0"/>
      <w:iCs w:val="0"/>
    </w:rPr>
  </w:style>
  <w:style w:type="paragraph" w:styleId="TOC1">
    <w:name w:val="toc 1"/>
    <w:basedOn w:val="Normal"/>
    <w:next w:val="Normal"/>
    <w:autoRedefine/>
    <w:uiPriority w:val="39"/>
    <w:rsid w:val="00BE13E4"/>
    <w:pPr>
      <w:tabs>
        <w:tab w:val="left" w:pos="567"/>
        <w:tab w:val="right" w:leader="dot" w:pos="9345"/>
      </w:tabs>
      <w:spacing w:after="60"/>
    </w:pPr>
    <w:rPr>
      <w:rFonts w:eastAsia="Times New Roman" w:cs="Times New Roman"/>
      <w:lang w:val="en-GB" w:eastAsia="en-US"/>
    </w:rPr>
  </w:style>
  <w:style w:type="paragraph" w:styleId="Revision">
    <w:name w:val="Revision"/>
    <w:hidden/>
    <w:uiPriority w:val="99"/>
    <w:semiHidden/>
    <w:rsid w:val="00BE13E4"/>
    <w:rPr>
      <w:rFonts w:ascii="Arial" w:hAnsi="Arial"/>
      <w:sz w:val="22"/>
      <w:lang w:val="en-US" w:eastAsia="en-US"/>
    </w:rPr>
  </w:style>
  <w:style w:type="paragraph" w:customStyle="1" w:styleId="Normal1">
    <w:name w:val="Normal1"/>
    <w:basedOn w:val="Normal"/>
    <w:rsid w:val="00BE13E4"/>
    <w:pPr>
      <w:spacing w:after="160" w:line="240" w:lineRule="atLeast"/>
    </w:pPr>
    <w:rPr>
      <w:rFonts w:ascii="Calibri" w:eastAsia="Times New Roman" w:hAnsi="Calibri" w:cs="Calibri"/>
      <w:szCs w:val="22"/>
      <w:lang w:val="en-GB" w:eastAsia="en-US"/>
    </w:rPr>
  </w:style>
  <w:style w:type="character" w:customStyle="1" w:styleId="normalchar1">
    <w:name w:val="normal__char1"/>
    <w:rsid w:val="00BE13E4"/>
    <w:rPr>
      <w:rFonts w:ascii="Calibri" w:hAnsi="Calibri" w:cs="Calibri" w:hint="default"/>
      <w:sz w:val="22"/>
      <w:szCs w:val="22"/>
    </w:rPr>
  </w:style>
  <w:style w:type="character" w:customStyle="1" w:styleId="HeaderChar">
    <w:name w:val="Header Char"/>
    <w:basedOn w:val="DefaultParagraphFont"/>
    <w:link w:val="Header"/>
    <w:uiPriority w:val="99"/>
    <w:rsid w:val="00BE13E4"/>
    <w:rPr>
      <w:rFonts w:ascii="Arial" w:eastAsia="SimSun" w:hAnsi="Arial" w:cs="Arial"/>
      <w:sz w:val="22"/>
      <w:lang w:val="es-ES" w:eastAsia="zh-CN"/>
    </w:rPr>
  </w:style>
  <w:style w:type="character" w:styleId="FollowedHyperlink">
    <w:name w:val="FollowedHyperlink"/>
    <w:basedOn w:val="DefaultParagraphFont"/>
    <w:rsid w:val="00BE13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10.xml"/><Relationship Id="rId10" Type="http://schemas.openxmlformats.org/officeDocument/2006/relationships/image" Target="media/image2.png"/><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675A3-0560-4F55-A1F1-55F6F0395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19</Pages>
  <Words>8140</Words>
  <Characters>42022</Characters>
  <Application>Microsoft Office Word</Application>
  <DocSecurity>0</DocSecurity>
  <Lines>766</Lines>
  <Paragraphs>164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WO/GA/54/2</vt:lpstr>
      <vt:lpstr>PBC/33/2</vt:lpstr>
    </vt:vector>
  </TitlesOfParts>
  <Company>WIPO</Company>
  <LinksUpToDate>false</LinksUpToDate>
  <CharactersWithSpaces>50040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WO/GA/54/2</dc:title>
  <dc:subject>Sixty-Second Series of Meetings</dc:subject>
  <dc:creator>WIPO</dc:creator>
  <cp:keywords>PUBLIC</cp:keywords>
  <cp:lastModifiedBy>MARIN-CUDRAZ DAVI Nicoletta</cp:lastModifiedBy>
  <cp:revision>6</cp:revision>
  <dcterms:created xsi:type="dcterms:W3CDTF">2021-08-06T06:50:00Z</dcterms:created>
  <dcterms:modified xsi:type="dcterms:W3CDTF">2021-08-06T09:18:00Z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