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AC4" w:rsidRPr="00332957" w:rsidRDefault="00FC20EC" w:rsidP="00A33915">
      <w:pPr>
        <w:pStyle w:val="Heading1"/>
        <w:jc w:val="right"/>
        <w:rPr>
          <w:rFonts w:eastAsia="SimSun"/>
          <w:sz w:val="40"/>
          <w:szCs w:val="40"/>
          <w:lang w:val="es-ES" w:eastAsia="zh-CN"/>
        </w:rPr>
      </w:pPr>
      <w:bookmarkStart w:id="0" w:name="_Toc12889925"/>
      <w:bookmarkStart w:id="1" w:name="_GoBack"/>
      <w:bookmarkEnd w:id="1"/>
      <w:r w:rsidRPr="00332957">
        <w:rPr>
          <w:rFonts w:eastAsia="SimSun"/>
          <w:sz w:val="40"/>
          <w:szCs w:val="40"/>
          <w:lang w:val="es-ES" w:eastAsia="zh-CN"/>
        </w:rPr>
        <w:t>S</w:t>
      </w:r>
      <w:bookmarkEnd w:id="0"/>
    </w:p>
    <w:p w:rsidR="001B6AC4" w:rsidRPr="00684475" w:rsidRDefault="00FC20EC" w:rsidP="00D77B1D">
      <w:pPr>
        <w:spacing w:line="360" w:lineRule="auto"/>
        <w:ind w:left="4592"/>
        <w:rPr>
          <w:rFonts w:ascii="Arial Black" w:eastAsia="SimSun" w:hAnsi="Arial Black" w:cs="Arial"/>
          <w:caps/>
          <w:sz w:val="15"/>
          <w:lang w:val="es-ES" w:eastAsia="zh-CN"/>
        </w:rPr>
      </w:pPr>
      <w:r w:rsidRPr="00684475">
        <w:rPr>
          <w:noProof/>
        </w:rPr>
        <w:drawing>
          <wp:inline distT="0" distB="0" distL="0" distR="0" wp14:anchorId="25DD91DF" wp14:editId="4031E3C4">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1B6AC4" w:rsidRPr="00684475" w:rsidRDefault="00D77B1D" w:rsidP="00D77B1D">
      <w:pPr>
        <w:pBdr>
          <w:top w:val="single" w:sz="4" w:space="10" w:color="auto"/>
        </w:pBdr>
        <w:spacing w:before="120"/>
        <w:jc w:val="right"/>
        <w:rPr>
          <w:rFonts w:ascii="Arial Black" w:eastAsia="SimSun" w:hAnsi="Arial Black" w:cs="Arial"/>
          <w:b/>
          <w:caps/>
          <w:sz w:val="15"/>
          <w:lang w:val="es-ES" w:eastAsia="zh-CN"/>
        </w:rPr>
      </w:pPr>
      <w:r w:rsidRPr="00684475">
        <w:rPr>
          <w:rFonts w:ascii="Arial Black" w:eastAsia="SimSun" w:hAnsi="Arial Black" w:cs="Arial"/>
          <w:b/>
          <w:caps/>
          <w:sz w:val="15"/>
          <w:lang w:val="es-ES" w:eastAsia="zh-CN"/>
        </w:rPr>
        <w:t>WO/GA/5</w:t>
      </w:r>
      <w:r w:rsidR="003D474C" w:rsidRPr="00684475">
        <w:rPr>
          <w:rFonts w:ascii="Arial Black" w:eastAsia="SimSun" w:hAnsi="Arial Black" w:cs="Arial"/>
          <w:b/>
          <w:caps/>
          <w:sz w:val="15"/>
          <w:lang w:val="es-ES" w:eastAsia="zh-CN"/>
        </w:rPr>
        <w:t>1</w:t>
      </w:r>
      <w:r w:rsidRPr="00684475">
        <w:rPr>
          <w:rFonts w:ascii="Arial Black" w:eastAsia="SimSun" w:hAnsi="Arial Black" w:cs="Arial"/>
          <w:b/>
          <w:caps/>
          <w:sz w:val="15"/>
          <w:lang w:val="es-ES" w:eastAsia="zh-CN"/>
        </w:rPr>
        <w:t>/</w:t>
      </w:r>
      <w:bookmarkStart w:id="2" w:name="Code"/>
      <w:bookmarkEnd w:id="2"/>
      <w:r w:rsidR="004C3C61" w:rsidRPr="00684475">
        <w:rPr>
          <w:rFonts w:ascii="Arial Black" w:eastAsia="SimSun" w:hAnsi="Arial Black" w:cs="Arial"/>
          <w:b/>
          <w:caps/>
          <w:sz w:val="15"/>
          <w:lang w:val="es-ES" w:eastAsia="zh-CN"/>
        </w:rPr>
        <w:t>2</w:t>
      </w:r>
    </w:p>
    <w:p w:rsidR="001B6AC4" w:rsidRPr="00684475" w:rsidRDefault="00D77B1D" w:rsidP="00D77B1D">
      <w:pPr>
        <w:jc w:val="right"/>
        <w:rPr>
          <w:rFonts w:ascii="Arial Black" w:eastAsia="SimSun" w:hAnsi="Arial Black" w:cs="Arial"/>
          <w:b/>
          <w:caps/>
          <w:sz w:val="15"/>
          <w:lang w:val="es-ES" w:eastAsia="zh-CN"/>
        </w:rPr>
      </w:pPr>
      <w:r w:rsidRPr="00684475">
        <w:rPr>
          <w:rFonts w:ascii="Arial Black" w:eastAsia="SimSun" w:hAnsi="Arial Black" w:cs="Arial"/>
          <w:b/>
          <w:caps/>
          <w:sz w:val="15"/>
          <w:lang w:val="es-ES" w:eastAsia="zh-CN"/>
        </w:rPr>
        <w:t xml:space="preserve">ORIGINAL: </w:t>
      </w:r>
      <w:bookmarkStart w:id="3" w:name="Original"/>
      <w:bookmarkEnd w:id="3"/>
      <w:r w:rsidR="00FC20EC" w:rsidRPr="00684475">
        <w:rPr>
          <w:rFonts w:ascii="Arial Black" w:eastAsia="SimSun" w:hAnsi="Arial Black" w:cs="Arial"/>
          <w:b/>
          <w:caps/>
          <w:sz w:val="15"/>
          <w:lang w:val="es-ES" w:eastAsia="zh-CN"/>
        </w:rPr>
        <w:t>INGLÉS</w:t>
      </w:r>
    </w:p>
    <w:p w:rsidR="001B6AC4" w:rsidRPr="00684475" w:rsidRDefault="00D77B1D" w:rsidP="00D77B1D">
      <w:pPr>
        <w:spacing w:line="1680" w:lineRule="auto"/>
        <w:jc w:val="right"/>
        <w:rPr>
          <w:rFonts w:ascii="Arial Black" w:eastAsia="SimSun" w:hAnsi="Arial Black" w:cs="Arial"/>
          <w:b/>
          <w:caps/>
          <w:sz w:val="15"/>
          <w:lang w:val="es-ES" w:eastAsia="zh-CN"/>
        </w:rPr>
      </w:pPr>
      <w:r w:rsidRPr="00684475">
        <w:rPr>
          <w:rFonts w:ascii="Arial Black" w:eastAsia="SimSun" w:hAnsi="Arial Black" w:cs="Arial"/>
          <w:b/>
          <w:caps/>
          <w:sz w:val="15"/>
          <w:lang w:val="es-ES" w:eastAsia="zh-CN"/>
        </w:rPr>
        <w:t xml:space="preserve">DATE: </w:t>
      </w:r>
      <w:bookmarkStart w:id="4" w:name="Date"/>
      <w:bookmarkEnd w:id="4"/>
      <w:r w:rsidR="0046498F">
        <w:rPr>
          <w:rFonts w:ascii="Arial Black" w:eastAsia="SimSun" w:hAnsi="Arial Black" w:cs="Arial"/>
          <w:b/>
          <w:caps/>
          <w:sz w:val="15"/>
          <w:lang w:val="es-ES" w:eastAsia="zh-CN"/>
        </w:rPr>
        <w:t>30</w:t>
      </w:r>
      <w:r w:rsidRPr="00684475">
        <w:rPr>
          <w:rFonts w:ascii="Arial Black" w:eastAsia="SimSun" w:hAnsi="Arial Black" w:cs="Arial"/>
          <w:b/>
          <w:caps/>
          <w:sz w:val="15"/>
          <w:lang w:val="es-ES" w:eastAsia="zh-CN"/>
        </w:rPr>
        <w:t xml:space="preserve"> </w:t>
      </w:r>
      <w:r w:rsidR="00FC20EC" w:rsidRPr="00684475">
        <w:rPr>
          <w:rFonts w:ascii="Arial Black" w:eastAsia="SimSun" w:hAnsi="Arial Black" w:cs="Arial"/>
          <w:b/>
          <w:caps/>
          <w:sz w:val="15"/>
          <w:lang w:val="es-ES" w:eastAsia="zh-CN"/>
        </w:rPr>
        <w:t xml:space="preserve">DE JULIO DE </w:t>
      </w:r>
      <w:r w:rsidRPr="00684475">
        <w:rPr>
          <w:rFonts w:ascii="Arial Black" w:eastAsia="SimSun" w:hAnsi="Arial Black" w:cs="Arial"/>
          <w:b/>
          <w:caps/>
          <w:sz w:val="15"/>
          <w:lang w:val="es-ES" w:eastAsia="zh-CN"/>
        </w:rPr>
        <w:t>201</w:t>
      </w:r>
      <w:r w:rsidR="003D474C" w:rsidRPr="00684475">
        <w:rPr>
          <w:rFonts w:ascii="Arial Black" w:eastAsia="SimSun" w:hAnsi="Arial Black" w:cs="Arial"/>
          <w:b/>
          <w:caps/>
          <w:sz w:val="15"/>
          <w:lang w:val="es-ES" w:eastAsia="zh-CN"/>
        </w:rPr>
        <w:t>9</w:t>
      </w:r>
    </w:p>
    <w:p w:rsidR="001B6AC4" w:rsidRPr="00684475" w:rsidRDefault="00FC20EC" w:rsidP="00D77B1D">
      <w:pPr>
        <w:keepNext/>
        <w:spacing w:after="600"/>
        <w:outlineLvl w:val="0"/>
        <w:rPr>
          <w:rFonts w:eastAsia="SimSun" w:cs="Arial"/>
          <w:b/>
          <w:bCs/>
          <w:kern w:val="32"/>
          <w:sz w:val="28"/>
          <w:szCs w:val="32"/>
          <w:lang w:val="es-ES" w:eastAsia="zh-CN"/>
        </w:rPr>
      </w:pPr>
      <w:bookmarkStart w:id="5" w:name="_Toc12889926"/>
      <w:r w:rsidRPr="00684475">
        <w:rPr>
          <w:rFonts w:eastAsia="SimSun" w:cs="Arial"/>
          <w:b/>
          <w:bCs/>
          <w:kern w:val="32"/>
          <w:sz w:val="28"/>
          <w:szCs w:val="32"/>
          <w:lang w:val="es-ES" w:eastAsia="zh-CN"/>
        </w:rPr>
        <w:t>Asamblea General de la OMPI</w:t>
      </w:r>
      <w:bookmarkEnd w:id="5"/>
    </w:p>
    <w:p w:rsidR="001B6AC4" w:rsidRPr="00684475" w:rsidRDefault="00FC20EC" w:rsidP="00D77B1D">
      <w:pPr>
        <w:spacing w:after="720"/>
        <w:rPr>
          <w:rFonts w:eastAsia="SimSun" w:cs="Arial"/>
          <w:b/>
          <w:sz w:val="24"/>
          <w:lang w:val="es-ES" w:eastAsia="zh-CN"/>
        </w:rPr>
      </w:pPr>
      <w:r w:rsidRPr="00684475">
        <w:rPr>
          <w:rFonts w:eastAsia="SimSun" w:cs="Arial"/>
          <w:b/>
          <w:sz w:val="24"/>
          <w:lang w:val="es-ES" w:eastAsia="zh-CN"/>
        </w:rPr>
        <w:t>Quincuagésimo primer período de sesiones</w:t>
      </w:r>
      <w:r w:rsidR="003D474C" w:rsidRPr="00684475">
        <w:rPr>
          <w:rFonts w:eastAsia="SimSun" w:cs="Arial"/>
          <w:b/>
          <w:sz w:val="24"/>
          <w:lang w:val="es-ES" w:eastAsia="zh-CN"/>
        </w:rPr>
        <w:t xml:space="preserve"> </w:t>
      </w:r>
      <w:r w:rsidR="00D77B1D" w:rsidRPr="00684475">
        <w:rPr>
          <w:rFonts w:eastAsia="SimSun" w:cs="Arial"/>
          <w:b/>
          <w:sz w:val="24"/>
          <w:lang w:val="es-ES" w:eastAsia="zh-CN"/>
        </w:rPr>
        <w:t>(2</w:t>
      </w:r>
      <w:r w:rsidR="00D72554">
        <w:rPr>
          <w:rFonts w:eastAsia="SimSun" w:cs="Arial"/>
          <w:b/>
          <w:sz w:val="24"/>
          <w:lang w:val="es-ES" w:eastAsia="zh-CN"/>
        </w:rPr>
        <w:t>4.</w:t>
      </w:r>
      <w:r w:rsidRPr="00684475">
        <w:rPr>
          <w:b/>
          <w:sz w:val="24"/>
          <w:szCs w:val="24"/>
          <w:lang w:val="es-ES"/>
        </w:rPr>
        <w:t>º</w:t>
      </w:r>
      <w:r w:rsidR="00D72554">
        <w:rPr>
          <w:rFonts w:eastAsia="SimSun" w:cs="Arial"/>
          <w:b/>
          <w:sz w:val="24"/>
          <w:lang w:val="es-ES" w:eastAsia="zh-CN"/>
        </w:rPr>
        <w:t xml:space="preserve"> </w:t>
      </w:r>
      <w:r w:rsidR="00D77B1D" w:rsidRPr="00684475">
        <w:rPr>
          <w:rFonts w:eastAsia="SimSun" w:cs="Arial"/>
          <w:b/>
          <w:sz w:val="24"/>
          <w:lang w:val="es-ES" w:eastAsia="zh-CN"/>
        </w:rPr>
        <w:t>ordinar</w:t>
      </w:r>
      <w:r w:rsidRPr="00684475">
        <w:rPr>
          <w:rFonts w:eastAsia="SimSun" w:cs="Arial"/>
          <w:b/>
          <w:sz w:val="24"/>
          <w:lang w:val="es-ES" w:eastAsia="zh-CN"/>
        </w:rPr>
        <w:t>io</w:t>
      </w:r>
      <w:r w:rsidR="00D77B1D" w:rsidRPr="00684475">
        <w:rPr>
          <w:rFonts w:eastAsia="SimSun" w:cs="Arial"/>
          <w:b/>
          <w:sz w:val="24"/>
          <w:lang w:val="es-ES" w:eastAsia="zh-CN"/>
        </w:rPr>
        <w:t xml:space="preserve">) </w:t>
      </w:r>
      <w:r w:rsidR="00D77B1D" w:rsidRPr="00684475">
        <w:rPr>
          <w:rFonts w:eastAsia="SimSun" w:cs="Arial"/>
          <w:b/>
          <w:sz w:val="24"/>
          <w:lang w:val="es-ES" w:eastAsia="zh-CN"/>
        </w:rPr>
        <w:br/>
      </w:r>
      <w:r w:rsidRPr="00684475">
        <w:rPr>
          <w:rFonts w:eastAsia="SimSun" w:cs="Arial"/>
          <w:b/>
          <w:sz w:val="24"/>
          <w:lang w:val="es-ES" w:eastAsia="zh-CN"/>
        </w:rPr>
        <w:t>Ginebra, 30 de septiembre a 9 de octubre de</w:t>
      </w:r>
      <w:r w:rsidR="00D77B1D" w:rsidRPr="00684475">
        <w:rPr>
          <w:rFonts w:eastAsia="SimSun" w:cs="Arial"/>
          <w:b/>
          <w:sz w:val="24"/>
          <w:lang w:val="es-ES" w:eastAsia="zh-CN"/>
        </w:rPr>
        <w:t xml:space="preserve"> 201</w:t>
      </w:r>
      <w:r w:rsidR="003D474C" w:rsidRPr="00684475">
        <w:rPr>
          <w:rFonts w:eastAsia="SimSun" w:cs="Arial"/>
          <w:b/>
          <w:sz w:val="24"/>
          <w:lang w:val="es-ES" w:eastAsia="zh-CN"/>
        </w:rPr>
        <w:t>9</w:t>
      </w:r>
    </w:p>
    <w:p w:rsidR="001B6AC4" w:rsidRPr="00684475" w:rsidRDefault="00FC20EC" w:rsidP="00D77B1D">
      <w:pPr>
        <w:spacing w:after="360"/>
        <w:rPr>
          <w:rFonts w:eastAsia="SimSun" w:cs="Arial"/>
          <w:caps/>
          <w:sz w:val="24"/>
          <w:lang w:val="es-ES" w:eastAsia="zh-CN"/>
        </w:rPr>
      </w:pPr>
      <w:r w:rsidRPr="00684475">
        <w:rPr>
          <w:caps/>
          <w:sz w:val="24"/>
          <w:lang w:val="es-ES"/>
        </w:rPr>
        <w:t>Informe de la Comisión Consultiva Independiente de Supervisión (CCIS) de la OMPI</w:t>
      </w:r>
      <w:r w:rsidR="00D77B1D" w:rsidRPr="00684475">
        <w:rPr>
          <w:rFonts w:eastAsia="SimSun" w:cs="Arial"/>
          <w:caps/>
          <w:sz w:val="24"/>
          <w:lang w:val="es-ES" w:eastAsia="zh-CN"/>
        </w:rPr>
        <w:t xml:space="preserve"> </w:t>
      </w:r>
    </w:p>
    <w:p w:rsidR="001B6AC4" w:rsidRPr="00684475" w:rsidRDefault="00FC20EC" w:rsidP="00D77B1D">
      <w:pPr>
        <w:spacing w:after="960"/>
        <w:rPr>
          <w:rFonts w:eastAsia="SimSun" w:cs="Arial"/>
          <w:i/>
          <w:lang w:val="es-ES" w:eastAsia="zh-CN"/>
        </w:rPr>
      </w:pPr>
      <w:r w:rsidRPr="00684475">
        <w:rPr>
          <w:i/>
          <w:lang w:val="es-ES"/>
        </w:rPr>
        <w:t>preparado por la Comisión Consultiva Independiente de Supervisión (CCIS) de la OMPI</w:t>
      </w:r>
    </w:p>
    <w:p w:rsidR="001B6AC4" w:rsidRPr="00684475" w:rsidRDefault="0046498F" w:rsidP="00D77B1D">
      <w:pPr>
        <w:tabs>
          <w:tab w:val="num" w:pos="567"/>
        </w:tabs>
        <w:spacing w:after="220"/>
        <w:rPr>
          <w:rFonts w:eastAsia="SimSun" w:cs="Arial"/>
          <w:lang w:val="es-ES" w:eastAsia="zh-CN"/>
        </w:rPr>
      </w:pPr>
      <w:r>
        <w:rPr>
          <w:lang w:val="es-ES"/>
        </w:rPr>
        <w:t>1.</w:t>
      </w:r>
      <w:r>
        <w:rPr>
          <w:lang w:val="es-ES"/>
        </w:rPr>
        <w:tab/>
      </w:r>
      <w:r w:rsidR="00AD7608" w:rsidRPr="00684475">
        <w:rPr>
          <w:lang w:val="es-ES"/>
        </w:rPr>
        <w:t xml:space="preserve">El presente documento contiene el </w:t>
      </w:r>
      <w:r w:rsidR="00587E53" w:rsidRPr="00684475">
        <w:rPr>
          <w:lang w:val="es-ES"/>
        </w:rPr>
        <w:t>“I</w:t>
      </w:r>
      <w:r w:rsidR="00AD7608" w:rsidRPr="00684475">
        <w:rPr>
          <w:lang w:val="es-ES"/>
        </w:rPr>
        <w:t xml:space="preserve">nforme de la Comisión Consultiva Independiente de Supervisión </w:t>
      </w:r>
      <w:r w:rsidR="00F30DFD" w:rsidRPr="00684475">
        <w:rPr>
          <w:lang w:val="es-ES"/>
        </w:rPr>
        <w:t>(CCIS)</w:t>
      </w:r>
      <w:r w:rsidR="00F30DFD">
        <w:rPr>
          <w:lang w:val="es-ES"/>
        </w:rPr>
        <w:t xml:space="preserve"> </w:t>
      </w:r>
      <w:r w:rsidR="00AD7608" w:rsidRPr="00684475">
        <w:rPr>
          <w:lang w:val="es-ES"/>
        </w:rPr>
        <w:t>de la OMPI</w:t>
      </w:r>
      <w:r w:rsidR="00587E53" w:rsidRPr="00684475">
        <w:rPr>
          <w:lang w:val="es-ES"/>
        </w:rPr>
        <w:t>”</w:t>
      </w:r>
      <w:r w:rsidR="00AD7608" w:rsidRPr="00684475">
        <w:rPr>
          <w:lang w:val="es-ES"/>
        </w:rPr>
        <w:t>, presenta</w:t>
      </w:r>
      <w:r>
        <w:rPr>
          <w:lang w:val="es-ES"/>
        </w:rPr>
        <w:t>do</w:t>
      </w:r>
      <w:r w:rsidR="00AD7608" w:rsidRPr="00684475">
        <w:rPr>
          <w:lang w:val="es-ES"/>
        </w:rPr>
        <w:t xml:space="preserve"> en la trigésima sesión del Comité del Programa y Presupuesto (PBC) de la OMPI </w:t>
      </w:r>
      <w:r w:rsidR="00D77B1D" w:rsidRPr="00684475">
        <w:rPr>
          <w:rFonts w:eastAsia="SimSun" w:cs="Arial"/>
          <w:lang w:val="es-ES" w:eastAsia="zh-CN"/>
        </w:rPr>
        <w:t>(</w:t>
      </w:r>
      <w:r w:rsidR="00AD7608" w:rsidRPr="00684475">
        <w:rPr>
          <w:rFonts w:eastAsia="SimSun" w:cs="Arial"/>
          <w:lang w:val="es-ES" w:eastAsia="zh-CN"/>
        </w:rPr>
        <w:t>8 a 12 de julio de</w:t>
      </w:r>
      <w:r w:rsidR="00D77B1D" w:rsidRPr="00684475">
        <w:rPr>
          <w:rFonts w:eastAsia="SimSun" w:cs="Arial"/>
          <w:lang w:val="es-ES" w:eastAsia="zh-CN"/>
        </w:rPr>
        <w:t xml:space="preserve"> 201</w:t>
      </w:r>
      <w:r w:rsidR="003D474C" w:rsidRPr="00684475">
        <w:rPr>
          <w:rFonts w:eastAsia="SimSun" w:cs="Arial"/>
          <w:lang w:val="es-ES" w:eastAsia="zh-CN"/>
        </w:rPr>
        <w:t>9</w:t>
      </w:r>
      <w:r w:rsidR="00D77B1D" w:rsidRPr="00684475">
        <w:rPr>
          <w:rFonts w:eastAsia="SimSun" w:cs="Arial"/>
          <w:lang w:val="es-ES" w:eastAsia="zh-CN"/>
        </w:rPr>
        <w:t>).</w:t>
      </w:r>
    </w:p>
    <w:p w:rsidR="001B6AC4" w:rsidRPr="00684475" w:rsidRDefault="0046498F" w:rsidP="00D77B1D">
      <w:pPr>
        <w:tabs>
          <w:tab w:val="num" w:pos="567"/>
        </w:tabs>
        <w:spacing w:after="600"/>
        <w:rPr>
          <w:rFonts w:eastAsia="SimSun" w:cs="Arial"/>
          <w:i/>
          <w:lang w:val="es-ES" w:eastAsia="zh-CN"/>
        </w:rPr>
      </w:pPr>
      <w:r>
        <w:rPr>
          <w:iCs/>
          <w:lang w:val="es-ES"/>
        </w:rPr>
        <w:t>2.</w:t>
      </w:r>
      <w:r>
        <w:rPr>
          <w:iCs/>
          <w:lang w:val="es-ES"/>
        </w:rPr>
        <w:tab/>
      </w:r>
      <w:r w:rsidR="00AD7608" w:rsidRPr="00684475">
        <w:rPr>
          <w:iCs/>
          <w:lang w:val="es-ES"/>
        </w:rPr>
        <w:t xml:space="preserve">Toda decisión que tome el PBC con respecto a </w:t>
      </w:r>
      <w:r w:rsidR="00F30DFD">
        <w:rPr>
          <w:iCs/>
          <w:lang w:val="es-ES"/>
        </w:rPr>
        <w:t>dicho documento</w:t>
      </w:r>
      <w:r w:rsidR="00AD7608" w:rsidRPr="00684475">
        <w:rPr>
          <w:iCs/>
          <w:lang w:val="es-ES"/>
        </w:rPr>
        <w:t xml:space="preserve"> constará en la </w:t>
      </w:r>
      <w:r w:rsidR="00587E53" w:rsidRPr="00684475">
        <w:rPr>
          <w:iCs/>
          <w:lang w:val="es-ES"/>
        </w:rPr>
        <w:t>“L</w:t>
      </w:r>
      <w:r w:rsidR="00AD7608" w:rsidRPr="00684475">
        <w:rPr>
          <w:iCs/>
          <w:lang w:val="es-ES"/>
        </w:rPr>
        <w:t>ista de decisiones adoptadas por el Comité del Programa y Presupuesto</w:t>
      </w:r>
      <w:r w:rsidR="00587E53" w:rsidRPr="00684475">
        <w:rPr>
          <w:iCs/>
          <w:lang w:val="es-ES"/>
        </w:rPr>
        <w:t>”</w:t>
      </w:r>
      <w:r w:rsidR="00D77B1D" w:rsidRPr="00684475">
        <w:rPr>
          <w:rFonts w:eastAsia="SimSun" w:cs="Arial"/>
          <w:lang w:val="es-ES" w:eastAsia="zh-CN"/>
        </w:rPr>
        <w:t xml:space="preserve"> (document</w:t>
      </w:r>
      <w:r w:rsidR="00AD7608" w:rsidRPr="00684475">
        <w:rPr>
          <w:rFonts w:eastAsia="SimSun" w:cs="Arial"/>
          <w:lang w:val="es-ES" w:eastAsia="zh-CN"/>
        </w:rPr>
        <w:t>o</w:t>
      </w:r>
      <w:r w:rsidR="00D77B1D" w:rsidRPr="00684475">
        <w:rPr>
          <w:rFonts w:eastAsia="SimSun" w:cs="Arial"/>
          <w:lang w:val="es-ES" w:eastAsia="zh-CN"/>
        </w:rPr>
        <w:t xml:space="preserve"> A/5</w:t>
      </w:r>
      <w:r w:rsidR="003D474C" w:rsidRPr="00684475">
        <w:rPr>
          <w:rFonts w:eastAsia="SimSun" w:cs="Arial"/>
          <w:lang w:val="es-ES" w:eastAsia="zh-CN"/>
        </w:rPr>
        <w:t>9</w:t>
      </w:r>
      <w:r w:rsidR="00D77B1D" w:rsidRPr="00684475">
        <w:rPr>
          <w:rFonts w:eastAsia="SimSun" w:cs="Arial"/>
          <w:lang w:val="es-ES" w:eastAsia="zh-CN"/>
        </w:rPr>
        <w:t>/</w:t>
      </w:r>
      <w:r w:rsidR="004C3C61" w:rsidRPr="00684475">
        <w:rPr>
          <w:rFonts w:eastAsia="SimSun" w:cs="Arial"/>
          <w:lang w:val="es-ES" w:eastAsia="zh-CN"/>
        </w:rPr>
        <w:t>7</w:t>
      </w:r>
      <w:r w:rsidR="00D77B1D" w:rsidRPr="00684475">
        <w:rPr>
          <w:rFonts w:eastAsia="SimSun" w:cs="Arial"/>
          <w:lang w:val="es-ES" w:eastAsia="zh-CN"/>
        </w:rPr>
        <w:t>).</w:t>
      </w:r>
      <w:r w:rsidR="00D77B1D" w:rsidRPr="00684475">
        <w:rPr>
          <w:rFonts w:eastAsia="SimSun" w:cs="Arial"/>
          <w:i/>
          <w:lang w:val="es-ES" w:eastAsia="zh-CN"/>
        </w:rPr>
        <w:t xml:space="preserve"> </w:t>
      </w:r>
    </w:p>
    <w:p w:rsidR="001B6AC4" w:rsidRPr="00684475" w:rsidRDefault="00D77B1D" w:rsidP="00D77B1D">
      <w:pPr>
        <w:keepLines/>
        <w:ind w:left="5528"/>
        <w:rPr>
          <w:color w:val="000000"/>
          <w:lang w:val="es-ES"/>
        </w:rPr>
      </w:pPr>
      <w:r w:rsidRPr="00684475">
        <w:rPr>
          <w:rFonts w:eastAsia="SimSun" w:cs="Arial"/>
          <w:color w:val="000000"/>
          <w:lang w:val="es-ES" w:eastAsia="zh-CN"/>
        </w:rPr>
        <w:t>[</w:t>
      </w:r>
      <w:r w:rsidR="00AD7608" w:rsidRPr="00684475">
        <w:rPr>
          <w:rFonts w:eastAsia="SimSun" w:cs="Arial"/>
          <w:color w:val="000000"/>
          <w:lang w:val="es-ES" w:eastAsia="zh-CN"/>
        </w:rPr>
        <w:t>Sigue el documento</w:t>
      </w:r>
      <w:r w:rsidRPr="00684475">
        <w:rPr>
          <w:rFonts w:eastAsia="SimSun" w:cs="Arial"/>
          <w:color w:val="000000"/>
          <w:lang w:val="es-ES" w:eastAsia="zh-CN"/>
        </w:rPr>
        <w:t xml:space="preserve"> WO/PBC/</w:t>
      </w:r>
      <w:r w:rsidR="003D474C" w:rsidRPr="00684475">
        <w:rPr>
          <w:rFonts w:eastAsia="SimSun" w:cs="Arial"/>
          <w:color w:val="000000"/>
          <w:lang w:val="es-ES" w:eastAsia="zh-CN"/>
        </w:rPr>
        <w:t>30</w:t>
      </w:r>
      <w:r w:rsidRPr="00684475">
        <w:rPr>
          <w:rFonts w:eastAsia="SimSun" w:cs="Arial"/>
          <w:color w:val="000000"/>
          <w:lang w:val="es-ES" w:eastAsia="zh-CN"/>
        </w:rPr>
        <w:t>/</w:t>
      </w:r>
      <w:r w:rsidR="005C615D" w:rsidRPr="00684475">
        <w:rPr>
          <w:rFonts w:eastAsia="SimSun" w:cs="Arial"/>
          <w:color w:val="000000"/>
          <w:lang w:val="es-ES" w:eastAsia="zh-CN"/>
        </w:rPr>
        <w:t>2</w:t>
      </w:r>
      <w:r w:rsidR="002704E1" w:rsidRPr="00684475">
        <w:rPr>
          <w:rFonts w:eastAsia="SimSun" w:cs="Arial"/>
          <w:color w:val="000000"/>
          <w:lang w:val="es-ES" w:eastAsia="zh-CN"/>
        </w:rPr>
        <w:t>]</w:t>
      </w:r>
    </w:p>
    <w:p w:rsidR="00F3034E" w:rsidRPr="00684475" w:rsidRDefault="009036CE" w:rsidP="004E04E9">
      <w:pPr>
        <w:keepLines/>
        <w:ind w:left="5528"/>
        <w:rPr>
          <w:lang w:val="es-ES"/>
        </w:rPr>
        <w:sectPr w:rsidR="00F3034E" w:rsidRPr="00684475" w:rsidSect="00586D01">
          <w:footerReference w:type="even" r:id="rId9"/>
          <w:footerReference w:type="default" r:id="rId10"/>
          <w:headerReference w:type="first" r:id="rId11"/>
          <w:endnotePr>
            <w:numFmt w:val="decimal"/>
          </w:endnotePr>
          <w:pgSz w:w="11907" w:h="16840" w:code="9"/>
          <w:pgMar w:top="567" w:right="1134" w:bottom="1134" w:left="1418" w:header="567" w:footer="1021" w:gutter="0"/>
          <w:pgNumType w:start="0"/>
          <w:cols w:space="720"/>
          <w:titlePg/>
          <w:docGrid w:linePitch="299"/>
        </w:sectPr>
      </w:pPr>
      <w:r w:rsidRPr="00684475">
        <w:rPr>
          <w:lang w:val="es-ES"/>
        </w:rPr>
        <w:br w:type="page"/>
      </w:r>
    </w:p>
    <w:tbl>
      <w:tblPr>
        <w:tblW w:w="9356" w:type="dxa"/>
        <w:tblInd w:w="108" w:type="dxa"/>
        <w:tblLayout w:type="fixed"/>
        <w:tblLook w:val="01E0" w:firstRow="1" w:lastRow="1" w:firstColumn="1" w:lastColumn="1" w:noHBand="0" w:noVBand="0"/>
      </w:tblPr>
      <w:tblGrid>
        <w:gridCol w:w="4513"/>
        <w:gridCol w:w="4337"/>
        <w:gridCol w:w="506"/>
      </w:tblGrid>
      <w:tr w:rsidR="009354F4" w:rsidRPr="00684475" w:rsidTr="00A525D7">
        <w:tc>
          <w:tcPr>
            <w:tcW w:w="4513" w:type="dxa"/>
            <w:tcBorders>
              <w:bottom w:val="single" w:sz="4" w:space="0" w:color="auto"/>
            </w:tcBorders>
            <w:tcMar>
              <w:bottom w:w="170" w:type="dxa"/>
            </w:tcMar>
          </w:tcPr>
          <w:p w:rsidR="009354F4" w:rsidRPr="00684475" w:rsidRDefault="009354F4" w:rsidP="00A525D7">
            <w:pPr>
              <w:pStyle w:val="Heading1"/>
              <w:rPr>
                <w:lang w:val="es-ES"/>
              </w:rPr>
            </w:pPr>
          </w:p>
        </w:tc>
        <w:tc>
          <w:tcPr>
            <w:tcW w:w="4337" w:type="dxa"/>
            <w:tcBorders>
              <w:bottom w:val="single" w:sz="4" w:space="0" w:color="auto"/>
            </w:tcBorders>
            <w:tcMar>
              <w:left w:w="0" w:type="dxa"/>
              <w:right w:w="0" w:type="dxa"/>
            </w:tcMar>
          </w:tcPr>
          <w:p w:rsidR="009354F4" w:rsidRPr="00684475" w:rsidRDefault="00AD7608" w:rsidP="00A525D7">
            <w:pPr>
              <w:rPr>
                <w:lang w:val="es-ES"/>
              </w:rPr>
            </w:pPr>
            <w:r w:rsidRPr="00684475">
              <w:rPr>
                <w:noProof/>
              </w:rPr>
              <w:drawing>
                <wp:inline distT="0" distB="0" distL="0" distR="0" wp14:anchorId="72892D08" wp14:editId="13918CC9">
                  <wp:extent cx="1857375" cy="1323975"/>
                  <wp:effectExtent l="0" t="0" r="9525" b="9525"/>
                  <wp:docPr id="6" name="Picture 6"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354F4" w:rsidRPr="00684475" w:rsidRDefault="00AD7608" w:rsidP="00A525D7">
            <w:pPr>
              <w:jc w:val="right"/>
              <w:rPr>
                <w:lang w:val="es-ES"/>
              </w:rPr>
            </w:pPr>
            <w:r w:rsidRPr="00684475">
              <w:rPr>
                <w:b/>
                <w:sz w:val="40"/>
                <w:szCs w:val="40"/>
                <w:lang w:val="es-ES"/>
              </w:rPr>
              <w:t>S</w:t>
            </w:r>
          </w:p>
        </w:tc>
      </w:tr>
      <w:tr w:rsidR="00F84E0D" w:rsidRPr="00684475" w:rsidTr="00F84E0D">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9354F4" w:rsidRPr="00684475" w:rsidRDefault="009354F4" w:rsidP="005C615D">
            <w:pPr>
              <w:jc w:val="right"/>
              <w:rPr>
                <w:rFonts w:ascii="Arial Black" w:hAnsi="Arial Black"/>
                <w:caps/>
                <w:color w:val="000000"/>
                <w:sz w:val="15"/>
                <w:lang w:val="es-ES"/>
              </w:rPr>
            </w:pPr>
            <w:r w:rsidRPr="00684475">
              <w:rPr>
                <w:rFonts w:ascii="Arial Black" w:hAnsi="Arial Black"/>
                <w:caps/>
                <w:color w:val="000000"/>
                <w:sz w:val="15"/>
                <w:lang w:val="es-ES"/>
              </w:rPr>
              <w:t>WO/PBC/</w:t>
            </w:r>
            <w:r w:rsidR="003D474C" w:rsidRPr="00684475">
              <w:rPr>
                <w:rFonts w:ascii="Arial Black" w:hAnsi="Arial Black"/>
                <w:caps/>
                <w:color w:val="000000"/>
                <w:sz w:val="15"/>
                <w:lang w:val="es-ES"/>
              </w:rPr>
              <w:t>30</w:t>
            </w:r>
            <w:r w:rsidRPr="00684475">
              <w:rPr>
                <w:rFonts w:ascii="Arial Black" w:hAnsi="Arial Black"/>
                <w:caps/>
                <w:color w:val="000000"/>
                <w:sz w:val="15"/>
                <w:lang w:val="es-ES"/>
              </w:rPr>
              <w:t>/</w:t>
            </w:r>
            <w:r w:rsidR="005C615D" w:rsidRPr="00684475">
              <w:rPr>
                <w:rFonts w:ascii="Arial Black" w:hAnsi="Arial Black"/>
                <w:caps/>
                <w:color w:val="000000"/>
                <w:sz w:val="15"/>
                <w:lang w:val="es-ES"/>
              </w:rPr>
              <w:t>2</w:t>
            </w:r>
            <w:r w:rsidR="004062F0" w:rsidRPr="00684475">
              <w:rPr>
                <w:rFonts w:ascii="Arial Black" w:hAnsi="Arial Black"/>
                <w:caps/>
                <w:color w:val="000000"/>
                <w:sz w:val="15"/>
                <w:lang w:val="es-ES"/>
              </w:rPr>
              <w:t xml:space="preserve"> </w:t>
            </w:r>
          </w:p>
        </w:tc>
      </w:tr>
      <w:tr w:rsidR="00AA75C2" w:rsidRPr="00684475" w:rsidTr="00A525D7">
        <w:trPr>
          <w:trHeight w:hRule="exact" w:val="170"/>
        </w:trPr>
        <w:tc>
          <w:tcPr>
            <w:tcW w:w="9356" w:type="dxa"/>
            <w:gridSpan w:val="3"/>
            <w:noWrap/>
            <w:tcMar>
              <w:left w:w="0" w:type="dxa"/>
              <w:right w:w="0" w:type="dxa"/>
            </w:tcMar>
            <w:vAlign w:val="bottom"/>
          </w:tcPr>
          <w:p w:rsidR="009354F4" w:rsidRPr="00684475" w:rsidRDefault="00AD7608" w:rsidP="00AD7608">
            <w:pPr>
              <w:jc w:val="right"/>
              <w:rPr>
                <w:rFonts w:ascii="Arial Black" w:hAnsi="Arial Black"/>
                <w:caps/>
                <w:color w:val="000000"/>
                <w:sz w:val="15"/>
                <w:lang w:val="es-ES"/>
              </w:rPr>
            </w:pPr>
            <w:r w:rsidRPr="00684475">
              <w:rPr>
                <w:rFonts w:ascii="Arial Black" w:hAnsi="Arial Black"/>
                <w:caps/>
                <w:color w:val="000000"/>
                <w:sz w:val="15"/>
                <w:lang w:val="es-ES"/>
              </w:rPr>
              <w:t>ORIGINAL: Inglés</w:t>
            </w:r>
          </w:p>
        </w:tc>
      </w:tr>
      <w:tr w:rsidR="00AA75C2" w:rsidRPr="00684475" w:rsidTr="00A525D7">
        <w:trPr>
          <w:trHeight w:hRule="exact" w:val="198"/>
        </w:trPr>
        <w:tc>
          <w:tcPr>
            <w:tcW w:w="9356" w:type="dxa"/>
            <w:gridSpan w:val="3"/>
            <w:tcMar>
              <w:left w:w="0" w:type="dxa"/>
              <w:right w:w="0" w:type="dxa"/>
            </w:tcMar>
            <w:vAlign w:val="bottom"/>
          </w:tcPr>
          <w:p w:rsidR="009354F4" w:rsidRPr="00684475" w:rsidRDefault="0061560C" w:rsidP="00DA4261">
            <w:pPr>
              <w:jc w:val="right"/>
              <w:rPr>
                <w:rFonts w:ascii="Arial Black" w:hAnsi="Arial Black"/>
                <w:caps/>
                <w:color w:val="000000"/>
                <w:sz w:val="15"/>
                <w:lang w:val="es-ES"/>
              </w:rPr>
            </w:pPr>
            <w:r w:rsidRPr="00684475">
              <w:rPr>
                <w:rFonts w:ascii="Arial Black" w:hAnsi="Arial Black"/>
                <w:caps/>
                <w:color w:val="000000"/>
                <w:sz w:val="15"/>
                <w:lang w:val="es-ES"/>
              </w:rPr>
              <w:t xml:space="preserve">date: </w:t>
            </w:r>
            <w:r w:rsidR="0044448E" w:rsidRPr="00684475">
              <w:rPr>
                <w:rFonts w:ascii="Arial Black" w:hAnsi="Arial Black"/>
                <w:caps/>
                <w:sz w:val="15"/>
                <w:lang w:val="es-ES"/>
              </w:rPr>
              <w:t>2</w:t>
            </w:r>
            <w:r w:rsidRPr="00684475">
              <w:rPr>
                <w:rFonts w:ascii="Arial Black" w:hAnsi="Arial Black"/>
                <w:caps/>
                <w:color w:val="000000"/>
                <w:sz w:val="15"/>
                <w:lang w:val="es-ES"/>
              </w:rPr>
              <w:t xml:space="preserve"> </w:t>
            </w:r>
            <w:r w:rsidR="00AD7608" w:rsidRPr="00684475">
              <w:rPr>
                <w:rFonts w:ascii="Arial Black" w:hAnsi="Arial Black"/>
                <w:caps/>
                <w:color w:val="000000"/>
                <w:sz w:val="15"/>
                <w:lang w:val="es-ES"/>
              </w:rPr>
              <w:t>de ju</w:t>
            </w:r>
            <w:r w:rsidR="00DA4261">
              <w:rPr>
                <w:rFonts w:ascii="Arial Black" w:hAnsi="Arial Black"/>
                <w:caps/>
                <w:color w:val="000000"/>
                <w:sz w:val="15"/>
                <w:lang w:val="es-ES"/>
              </w:rPr>
              <w:t>l</w:t>
            </w:r>
            <w:r w:rsidR="00AD7608" w:rsidRPr="00684475">
              <w:rPr>
                <w:rFonts w:ascii="Arial Black" w:hAnsi="Arial Black"/>
                <w:caps/>
                <w:color w:val="000000"/>
                <w:sz w:val="15"/>
                <w:lang w:val="es-ES"/>
              </w:rPr>
              <w:t xml:space="preserve">io de </w:t>
            </w:r>
            <w:r w:rsidRPr="00684475">
              <w:rPr>
                <w:rFonts w:ascii="Arial Black" w:hAnsi="Arial Black"/>
                <w:caps/>
                <w:color w:val="000000"/>
                <w:sz w:val="15"/>
                <w:lang w:val="es-ES"/>
              </w:rPr>
              <w:t>201</w:t>
            </w:r>
            <w:r w:rsidR="003D474C" w:rsidRPr="00684475">
              <w:rPr>
                <w:rFonts w:ascii="Arial Black" w:hAnsi="Arial Black"/>
                <w:caps/>
                <w:color w:val="000000"/>
                <w:sz w:val="15"/>
                <w:lang w:val="es-ES"/>
              </w:rPr>
              <w:t>9</w:t>
            </w:r>
            <w:r w:rsidR="004062F0" w:rsidRPr="00684475">
              <w:rPr>
                <w:rFonts w:ascii="Arial Black" w:hAnsi="Arial Black"/>
                <w:caps/>
                <w:color w:val="000000"/>
                <w:sz w:val="15"/>
                <w:lang w:val="es-ES"/>
              </w:rPr>
              <w:t xml:space="preserve"> </w:t>
            </w:r>
          </w:p>
        </w:tc>
      </w:tr>
    </w:tbl>
    <w:p w:rsidR="001B6AC4" w:rsidRPr="00684475" w:rsidRDefault="001B6AC4" w:rsidP="00D84B33">
      <w:pPr>
        <w:rPr>
          <w:color w:val="000000"/>
          <w:lang w:val="es-ES"/>
        </w:rPr>
      </w:pPr>
    </w:p>
    <w:p w:rsidR="001B6AC4" w:rsidRPr="00684475" w:rsidRDefault="001B6AC4" w:rsidP="00D84B33">
      <w:pPr>
        <w:rPr>
          <w:color w:val="000000"/>
          <w:lang w:val="es-ES"/>
        </w:rPr>
      </w:pPr>
    </w:p>
    <w:p w:rsidR="001B6AC4" w:rsidRPr="00684475" w:rsidRDefault="001B6AC4" w:rsidP="00D84B33">
      <w:pPr>
        <w:rPr>
          <w:color w:val="000000"/>
          <w:lang w:val="es-ES"/>
        </w:rPr>
      </w:pPr>
    </w:p>
    <w:p w:rsidR="001B6AC4" w:rsidRPr="00684475" w:rsidRDefault="001B6AC4" w:rsidP="00D84B33">
      <w:pPr>
        <w:rPr>
          <w:color w:val="000000"/>
          <w:lang w:val="es-ES"/>
        </w:rPr>
      </w:pPr>
    </w:p>
    <w:p w:rsidR="001B6AC4" w:rsidRPr="00684475" w:rsidRDefault="001B6AC4" w:rsidP="00D84B33">
      <w:pPr>
        <w:rPr>
          <w:color w:val="000000"/>
          <w:lang w:val="es-ES"/>
        </w:rPr>
      </w:pPr>
    </w:p>
    <w:p w:rsidR="001B6AC4" w:rsidRPr="00684475" w:rsidRDefault="00AD7608" w:rsidP="003A540B">
      <w:pPr>
        <w:rPr>
          <w:rFonts w:eastAsia="SimSun" w:cs="Arial"/>
          <w:b/>
          <w:color w:val="000000"/>
          <w:sz w:val="28"/>
          <w:szCs w:val="28"/>
          <w:lang w:val="es-ES" w:eastAsia="zh-CN"/>
        </w:rPr>
      </w:pPr>
      <w:r w:rsidRPr="00684475">
        <w:rPr>
          <w:rFonts w:eastAsia="SimSun" w:cs="Arial"/>
          <w:b/>
          <w:color w:val="000000"/>
          <w:sz w:val="28"/>
          <w:szCs w:val="28"/>
          <w:lang w:val="es-ES" w:eastAsia="zh-CN"/>
        </w:rPr>
        <w:t>Comité del Programa y Presupuesto</w:t>
      </w:r>
    </w:p>
    <w:p w:rsidR="001B6AC4" w:rsidRPr="00684475" w:rsidRDefault="001B6AC4" w:rsidP="003A540B">
      <w:pPr>
        <w:rPr>
          <w:rFonts w:eastAsia="SimSun" w:cs="Arial"/>
          <w:color w:val="000000"/>
          <w:lang w:val="es-ES" w:eastAsia="zh-CN"/>
        </w:rPr>
      </w:pPr>
    </w:p>
    <w:p w:rsidR="001B6AC4" w:rsidRPr="00684475" w:rsidRDefault="001B6AC4" w:rsidP="003A540B">
      <w:pPr>
        <w:rPr>
          <w:rFonts w:eastAsia="SimSun" w:cs="Arial"/>
          <w:color w:val="000000"/>
          <w:lang w:val="es-ES" w:eastAsia="zh-CN"/>
        </w:rPr>
      </w:pPr>
    </w:p>
    <w:p w:rsidR="001B6AC4" w:rsidRPr="00684475" w:rsidRDefault="00AD7608" w:rsidP="003A540B">
      <w:pPr>
        <w:rPr>
          <w:rFonts w:eastAsia="SimSun" w:cs="Arial"/>
          <w:b/>
          <w:color w:val="000000"/>
          <w:sz w:val="24"/>
          <w:szCs w:val="24"/>
          <w:lang w:val="es-ES" w:eastAsia="zh-CN"/>
        </w:rPr>
      </w:pPr>
      <w:r w:rsidRPr="00684475">
        <w:rPr>
          <w:rFonts w:eastAsia="SimSun" w:cs="Arial"/>
          <w:b/>
          <w:color w:val="000000"/>
          <w:sz w:val="24"/>
          <w:szCs w:val="24"/>
          <w:lang w:val="es-ES" w:eastAsia="zh-CN"/>
        </w:rPr>
        <w:t>Trigésima sesión</w:t>
      </w:r>
    </w:p>
    <w:p w:rsidR="001B6AC4" w:rsidRPr="00684475" w:rsidRDefault="00AD7608" w:rsidP="003A540B">
      <w:pPr>
        <w:rPr>
          <w:rFonts w:eastAsia="SimSun" w:cs="Arial"/>
          <w:b/>
          <w:color w:val="000000"/>
          <w:sz w:val="24"/>
          <w:szCs w:val="24"/>
          <w:lang w:val="es-ES" w:eastAsia="zh-CN"/>
        </w:rPr>
      </w:pPr>
      <w:r w:rsidRPr="00684475">
        <w:rPr>
          <w:rFonts w:eastAsia="SimSun" w:cs="Arial"/>
          <w:b/>
          <w:color w:val="000000"/>
          <w:sz w:val="24"/>
          <w:szCs w:val="24"/>
          <w:lang w:val="es-ES" w:eastAsia="zh-CN"/>
        </w:rPr>
        <w:t>Ginebra, 8 a 12 de julio de</w:t>
      </w:r>
      <w:r w:rsidR="002E5E60" w:rsidRPr="00684475">
        <w:rPr>
          <w:rFonts w:eastAsia="SimSun" w:cs="Arial"/>
          <w:b/>
          <w:color w:val="000000"/>
          <w:sz w:val="24"/>
          <w:szCs w:val="24"/>
          <w:lang w:val="es-ES" w:eastAsia="zh-CN"/>
        </w:rPr>
        <w:t xml:space="preserve"> 201</w:t>
      </w:r>
      <w:r w:rsidR="003D474C" w:rsidRPr="00684475">
        <w:rPr>
          <w:rFonts w:eastAsia="SimSun" w:cs="Arial"/>
          <w:b/>
          <w:color w:val="000000"/>
          <w:sz w:val="24"/>
          <w:szCs w:val="24"/>
          <w:lang w:val="es-ES" w:eastAsia="zh-CN"/>
        </w:rPr>
        <w:t>9</w:t>
      </w:r>
    </w:p>
    <w:p w:rsidR="001B6AC4" w:rsidRPr="00684475" w:rsidRDefault="001B6AC4" w:rsidP="008B2CC1">
      <w:pPr>
        <w:rPr>
          <w:color w:val="000000"/>
          <w:lang w:val="es-ES"/>
        </w:rPr>
      </w:pPr>
    </w:p>
    <w:p w:rsidR="001B6AC4" w:rsidRPr="00684475" w:rsidRDefault="001B6AC4" w:rsidP="008B2CC1">
      <w:pPr>
        <w:rPr>
          <w:color w:val="000000"/>
          <w:lang w:val="es-ES"/>
        </w:rPr>
      </w:pPr>
    </w:p>
    <w:p w:rsidR="001B6AC4" w:rsidRPr="00684475" w:rsidRDefault="001B6AC4" w:rsidP="008B2CC1">
      <w:pPr>
        <w:rPr>
          <w:color w:val="000000"/>
          <w:lang w:val="es-ES"/>
        </w:rPr>
      </w:pPr>
    </w:p>
    <w:p w:rsidR="001B6AC4" w:rsidRPr="00684475" w:rsidRDefault="00AD7608" w:rsidP="008B2CC1">
      <w:pPr>
        <w:rPr>
          <w:color w:val="000000"/>
          <w:lang w:val="es-ES"/>
        </w:rPr>
      </w:pPr>
      <w:bookmarkStart w:id="6" w:name="TitleOfDoc"/>
      <w:bookmarkEnd w:id="6"/>
      <w:r w:rsidRPr="00684475">
        <w:rPr>
          <w:lang w:val="es-ES"/>
        </w:rPr>
        <w:t>INFORME DE LA COMISIÓN CONSULTIVA INDEPENDIENTE DE SUPERVISIÓN (CCIS) DE LA OMPI</w:t>
      </w:r>
    </w:p>
    <w:p w:rsidR="001B6AC4" w:rsidRPr="00684475" w:rsidRDefault="001B6AC4">
      <w:pPr>
        <w:rPr>
          <w:i/>
          <w:color w:val="000000"/>
          <w:lang w:val="es-ES"/>
        </w:rPr>
      </w:pPr>
      <w:bookmarkStart w:id="7" w:name="Prepared"/>
      <w:bookmarkEnd w:id="7"/>
    </w:p>
    <w:p w:rsidR="001B6AC4" w:rsidRPr="00684475" w:rsidRDefault="00AD7608" w:rsidP="00AD7608">
      <w:pPr>
        <w:rPr>
          <w:i/>
          <w:lang w:val="es-ES"/>
        </w:rPr>
      </w:pPr>
      <w:r w:rsidRPr="00684475">
        <w:rPr>
          <w:i/>
          <w:lang w:val="es-ES"/>
        </w:rPr>
        <w:t>preparado por la Comisión Consultiva Independiente de Supervisión (CCIS) de la OMPI</w:t>
      </w:r>
    </w:p>
    <w:p w:rsidR="001B6AC4" w:rsidRPr="00684475" w:rsidRDefault="001B6AC4">
      <w:pPr>
        <w:rPr>
          <w:i/>
          <w:color w:val="000000"/>
          <w:lang w:val="es-ES"/>
        </w:rPr>
      </w:pPr>
    </w:p>
    <w:p w:rsidR="001B6AC4" w:rsidRPr="00684475" w:rsidRDefault="001B6AC4">
      <w:pPr>
        <w:rPr>
          <w:color w:val="000000"/>
          <w:lang w:val="es-ES"/>
        </w:rPr>
      </w:pPr>
    </w:p>
    <w:p w:rsidR="001B6AC4" w:rsidRPr="00684475" w:rsidRDefault="00E409FD" w:rsidP="00F564E9">
      <w:pPr>
        <w:tabs>
          <w:tab w:val="left" w:pos="567"/>
        </w:tabs>
        <w:autoSpaceDE w:val="0"/>
        <w:autoSpaceDN w:val="0"/>
        <w:adjustRightInd w:val="0"/>
        <w:rPr>
          <w:rFonts w:cs="Arial"/>
          <w:color w:val="000000"/>
          <w:szCs w:val="22"/>
          <w:lang w:val="es-ES"/>
        </w:rPr>
      </w:pPr>
      <w:r w:rsidRPr="00684475">
        <w:rPr>
          <w:color w:val="000000"/>
          <w:lang w:val="es-ES"/>
        </w:rPr>
        <w:t>1.</w:t>
      </w:r>
      <w:r w:rsidRPr="00684475">
        <w:rPr>
          <w:color w:val="000000"/>
          <w:lang w:val="es-ES"/>
        </w:rPr>
        <w:tab/>
      </w:r>
      <w:r w:rsidR="00AD7608" w:rsidRPr="00684475">
        <w:rPr>
          <w:szCs w:val="22"/>
          <w:lang w:val="es-ES"/>
        </w:rPr>
        <w:t>El presente documento contiene el informe de la Comisión Consultiva Independiente de Supervisión (CCIS) de la OMPI, preparado por la CCIS y que abarca el período comprendido entre el </w:t>
      </w:r>
      <w:r w:rsidR="003D474C" w:rsidRPr="00684475">
        <w:rPr>
          <w:color w:val="000000"/>
          <w:lang w:val="es-ES"/>
        </w:rPr>
        <w:t>6</w:t>
      </w:r>
      <w:r w:rsidR="00AD7608" w:rsidRPr="00684475">
        <w:rPr>
          <w:color w:val="000000"/>
          <w:lang w:val="es-ES"/>
        </w:rPr>
        <w:t xml:space="preserve"> de julio de</w:t>
      </w:r>
      <w:r w:rsidR="003A540B" w:rsidRPr="00684475">
        <w:rPr>
          <w:color w:val="000000"/>
          <w:lang w:val="es-ES"/>
        </w:rPr>
        <w:t xml:space="preserve"> </w:t>
      </w:r>
      <w:r w:rsidR="002E5E60" w:rsidRPr="00684475">
        <w:rPr>
          <w:color w:val="000000"/>
          <w:lang w:val="es-ES"/>
        </w:rPr>
        <w:t>201</w:t>
      </w:r>
      <w:r w:rsidR="003D474C" w:rsidRPr="00684475">
        <w:rPr>
          <w:color w:val="000000"/>
          <w:lang w:val="es-ES"/>
        </w:rPr>
        <w:t>8</w:t>
      </w:r>
      <w:r w:rsidR="003A540B" w:rsidRPr="00684475">
        <w:rPr>
          <w:color w:val="000000"/>
          <w:lang w:val="es-ES"/>
        </w:rPr>
        <w:t xml:space="preserve"> </w:t>
      </w:r>
      <w:r w:rsidR="00AD7608" w:rsidRPr="00684475">
        <w:rPr>
          <w:color w:val="000000"/>
          <w:lang w:val="es-ES"/>
        </w:rPr>
        <w:t>y el 14 de junio de</w:t>
      </w:r>
      <w:r w:rsidR="00F84E0D" w:rsidRPr="00684475">
        <w:rPr>
          <w:color w:val="000000"/>
          <w:lang w:val="es-ES"/>
        </w:rPr>
        <w:t> </w:t>
      </w:r>
      <w:r w:rsidR="002E5E60" w:rsidRPr="00684475">
        <w:rPr>
          <w:color w:val="000000"/>
          <w:lang w:val="es-ES"/>
        </w:rPr>
        <w:t>201</w:t>
      </w:r>
      <w:r w:rsidR="003D474C" w:rsidRPr="00684475">
        <w:rPr>
          <w:color w:val="000000"/>
          <w:lang w:val="es-ES"/>
        </w:rPr>
        <w:t>9</w:t>
      </w:r>
      <w:r w:rsidR="003A540B" w:rsidRPr="00684475">
        <w:rPr>
          <w:color w:val="000000"/>
          <w:lang w:val="es-ES"/>
        </w:rPr>
        <w:t>.</w:t>
      </w:r>
      <w:r w:rsidR="003A540B" w:rsidRPr="00684475">
        <w:rPr>
          <w:rFonts w:cs="Arial"/>
          <w:color w:val="000000"/>
          <w:szCs w:val="22"/>
          <w:lang w:val="es-ES"/>
        </w:rPr>
        <w:t xml:space="preserve"> </w:t>
      </w:r>
    </w:p>
    <w:p w:rsidR="001B6AC4" w:rsidRPr="00684475" w:rsidRDefault="001B6AC4" w:rsidP="003A540B">
      <w:pPr>
        <w:autoSpaceDE w:val="0"/>
        <w:autoSpaceDN w:val="0"/>
        <w:adjustRightInd w:val="0"/>
        <w:rPr>
          <w:rFonts w:cs="Arial"/>
          <w:szCs w:val="22"/>
          <w:lang w:val="es-ES"/>
        </w:rPr>
      </w:pPr>
    </w:p>
    <w:p w:rsidR="001B6AC4" w:rsidRPr="00684475" w:rsidRDefault="00EF18E4" w:rsidP="003A540B">
      <w:pPr>
        <w:autoSpaceDE w:val="0"/>
        <w:autoSpaceDN w:val="0"/>
        <w:adjustRightInd w:val="0"/>
        <w:rPr>
          <w:rFonts w:cs="Arial"/>
          <w:szCs w:val="22"/>
          <w:lang w:val="es-ES"/>
        </w:rPr>
      </w:pPr>
      <w:r w:rsidRPr="00684475">
        <w:rPr>
          <w:rFonts w:cs="Arial"/>
          <w:szCs w:val="22"/>
          <w:lang w:val="es-ES"/>
        </w:rPr>
        <w:t>2.</w:t>
      </w:r>
      <w:r w:rsidRPr="00684475">
        <w:rPr>
          <w:rFonts w:cs="Arial"/>
          <w:szCs w:val="22"/>
          <w:lang w:val="es-ES"/>
        </w:rPr>
        <w:tab/>
      </w:r>
      <w:r w:rsidR="00AD7608" w:rsidRPr="00684475">
        <w:rPr>
          <w:rFonts w:cs="Arial"/>
          <w:szCs w:val="22"/>
          <w:lang w:val="es-ES"/>
        </w:rPr>
        <w:t>Se propone el siguiente párrafo de decisión</w:t>
      </w:r>
      <w:r w:rsidRPr="00684475">
        <w:rPr>
          <w:rFonts w:cs="Arial"/>
          <w:szCs w:val="22"/>
          <w:lang w:val="es-ES"/>
        </w:rPr>
        <w:t>:</w:t>
      </w:r>
    </w:p>
    <w:p w:rsidR="001B6AC4" w:rsidRPr="00684475" w:rsidRDefault="001B6AC4" w:rsidP="003A540B">
      <w:pPr>
        <w:autoSpaceDE w:val="0"/>
        <w:autoSpaceDN w:val="0"/>
        <w:adjustRightInd w:val="0"/>
        <w:rPr>
          <w:rFonts w:cs="Arial"/>
          <w:szCs w:val="22"/>
          <w:lang w:val="es-ES"/>
        </w:rPr>
      </w:pPr>
    </w:p>
    <w:p w:rsidR="001B6AC4" w:rsidRPr="00684475" w:rsidRDefault="00EF18E4" w:rsidP="00F564E9">
      <w:pPr>
        <w:tabs>
          <w:tab w:val="left" w:pos="6096"/>
        </w:tabs>
        <w:ind w:left="5534"/>
        <w:rPr>
          <w:i/>
          <w:color w:val="000000"/>
          <w:lang w:val="es-ES"/>
        </w:rPr>
      </w:pPr>
      <w:r w:rsidRPr="00684475">
        <w:rPr>
          <w:i/>
          <w:lang w:val="es-ES"/>
        </w:rPr>
        <w:t>3</w:t>
      </w:r>
      <w:r w:rsidR="003A540B" w:rsidRPr="00684475">
        <w:rPr>
          <w:i/>
          <w:lang w:val="es-ES"/>
        </w:rPr>
        <w:t>.</w:t>
      </w:r>
      <w:r w:rsidR="003A540B" w:rsidRPr="00684475">
        <w:rPr>
          <w:i/>
          <w:lang w:val="es-ES"/>
        </w:rPr>
        <w:tab/>
      </w:r>
      <w:r w:rsidR="00AD7608" w:rsidRPr="00684475">
        <w:rPr>
          <w:i/>
          <w:lang w:val="es-ES"/>
        </w:rPr>
        <w:t>El Comité del Programa y Presupuesto (PBC) recomendó a la Asamblea General de la OMPI que tome nota del informe de la Comisión Consultiva Independiente de Supervisión (CCIS) de la OMPI (documento </w:t>
      </w:r>
      <w:r w:rsidRPr="00684475">
        <w:rPr>
          <w:i/>
          <w:color w:val="000000"/>
          <w:lang w:val="es-ES"/>
        </w:rPr>
        <w:t>WO/PBC/</w:t>
      </w:r>
      <w:r w:rsidR="003D474C" w:rsidRPr="00684475">
        <w:rPr>
          <w:i/>
          <w:color w:val="000000"/>
          <w:lang w:val="es-ES"/>
        </w:rPr>
        <w:t>30</w:t>
      </w:r>
      <w:r w:rsidR="002E5E60" w:rsidRPr="00684475">
        <w:rPr>
          <w:i/>
          <w:color w:val="000000"/>
          <w:lang w:val="es-ES"/>
        </w:rPr>
        <w:t>/</w:t>
      </w:r>
      <w:r w:rsidR="005C615D" w:rsidRPr="00684475">
        <w:rPr>
          <w:i/>
          <w:color w:val="000000"/>
          <w:lang w:val="es-ES"/>
        </w:rPr>
        <w:t>2</w:t>
      </w:r>
      <w:r w:rsidRPr="00684475">
        <w:rPr>
          <w:i/>
          <w:color w:val="000000"/>
          <w:lang w:val="es-ES"/>
        </w:rPr>
        <w:t>)</w:t>
      </w:r>
      <w:r w:rsidR="003A540B" w:rsidRPr="00684475">
        <w:rPr>
          <w:i/>
          <w:color w:val="000000"/>
          <w:lang w:val="es-ES"/>
        </w:rPr>
        <w:t>.</w:t>
      </w:r>
    </w:p>
    <w:p w:rsidR="001B6AC4" w:rsidRPr="00684475" w:rsidRDefault="001B6AC4" w:rsidP="003A540B">
      <w:pPr>
        <w:tabs>
          <w:tab w:val="left" w:pos="5940"/>
        </w:tabs>
        <w:ind w:left="5534"/>
        <w:rPr>
          <w:i/>
          <w:color w:val="000000"/>
          <w:lang w:val="es-ES"/>
        </w:rPr>
      </w:pPr>
    </w:p>
    <w:p w:rsidR="001B6AC4" w:rsidRPr="00684475" w:rsidRDefault="001B6AC4" w:rsidP="003A540B">
      <w:pPr>
        <w:tabs>
          <w:tab w:val="left" w:pos="5940"/>
        </w:tabs>
        <w:rPr>
          <w:i/>
          <w:color w:val="000000"/>
          <w:lang w:val="es-ES"/>
        </w:rPr>
      </w:pPr>
    </w:p>
    <w:p w:rsidR="001B6AC4" w:rsidRPr="00684475" w:rsidRDefault="003A540B" w:rsidP="003A540B">
      <w:pPr>
        <w:ind w:left="5534"/>
        <w:rPr>
          <w:lang w:val="es-ES"/>
        </w:rPr>
      </w:pPr>
      <w:r w:rsidRPr="00684475">
        <w:rPr>
          <w:lang w:val="es-ES"/>
        </w:rPr>
        <w:t>[</w:t>
      </w:r>
      <w:r w:rsidR="00AD7608" w:rsidRPr="00684475">
        <w:rPr>
          <w:lang w:val="es-ES"/>
        </w:rPr>
        <w:t>Sigue el Informe de la Comisión Consultiva Independiente de Supervisión de la OMPI</w:t>
      </w:r>
      <w:r w:rsidRPr="00684475">
        <w:rPr>
          <w:lang w:val="es-ES"/>
        </w:rPr>
        <w:t>]</w:t>
      </w:r>
    </w:p>
    <w:p w:rsidR="001B6AC4" w:rsidRPr="00684475" w:rsidRDefault="001B6AC4" w:rsidP="003A540B">
      <w:pP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612E73" w:rsidRPr="00684475" w:rsidRDefault="0054662E" w:rsidP="003A540B">
      <w:pPr>
        <w:jc w:val="center"/>
        <w:rPr>
          <w:lang w:val="es-ES"/>
        </w:rPr>
        <w:sectPr w:rsidR="00612E73" w:rsidRPr="00684475" w:rsidSect="00F3034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134" w:left="1418" w:header="567" w:footer="1021" w:gutter="0"/>
          <w:pgNumType w:start="1"/>
          <w:cols w:space="720"/>
          <w:titlePg/>
          <w:docGrid w:linePitch="299"/>
        </w:sectPr>
      </w:pPr>
      <w:r w:rsidRPr="00684475">
        <w:rPr>
          <w:lang w:val="es-ES"/>
        </w:rPr>
        <w:br w:type="page"/>
      </w: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474767">
      <w:pPr>
        <w:tabs>
          <w:tab w:val="left" w:pos="8340"/>
        </w:tabs>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1B6AC4" w:rsidP="003A540B">
      <w:pPr>
        <w:jc w:val="center"/>
        <w:rPr>
          <w:lang w:val="es-ES"/>
        </w:rPr>
      </w:pPr>
    </w:p>
    <w:p w:rsidR="001B6AC4" w:rsidRPr="00684475" w:rsidRDefault="00AD7608" w:rsidP="003A540B">
      <w:pPr>
        <w:jc w:val="center"/>
        <w:rPr>
          <w:color w:val="000000"/>
          <w:lang w:val="es-ES"/>
        </w:rPr>
      </w:pPr>
      <w:r w:rsidRPr="00684475">
        <w:rPr>
          <w:lang w:val="es-ES"/>
        </w:rPr>
        <w:t>INFORME ANUAL DE LA COMISIÓN CONSULTIVA INDEPENDIENTE DE SUPERVISIÓN DE LA OMPI CORRESPONDIENTE AL PERÍODO COMPRENDIDO ENTRE EL</w:t>
      </w:r>
      <w:r w:rsidRPr="00684475">
        <w:rPr>
          <w:color w:val="000000"/>
          <w:lang w:val="es-ES"/>
        </w:rPr>
        <w:t xml:space="preserve"> 6 DE JULIO DE</w:t>
      </w:r>
      <w:r w:rsidR="00DA4261">
        <w:rPr>
          <w:color w:val="000000"/>
          <w:lang w:val="es-ES"/>
        </w:rPr>
        <w:t> </w:t>
      </w:r>
      <w:r w:rsidRPr="00684475">
        <w:rPr>
          <w:color w:val="000000"/>
          <w:lang w:val="es-ES"/>
        </w:rPr>
        <w:t>2018 Y EL 14 DE JUNIO DE</w:t>
      </w:r>
      <w:r w:rsidR="003A540B" w:rsidRPr="00684475">
        <w:rPr>
          <w:color w:val="000000"/>
          <w:lang w:val="es-ES"/>
        </w:rPr>
        <w:t xml:space="preserve"> </w:t>
      </w:r>
      <w:r w:rsidR="002E5E60" w:rsidRPr="00684475">
        <w:rPr>
          <w:color w:val="000000"/>
          <w:lang w:val="es-ES"/>
        </w:rPr>
        <w:t>201</w:t>
      </w:r>
      <w:r w:rsidR="00E51E3C" w:rsidRPr="00684475">
        <w:rPr>
          <w:color w:val="000000"/>
          <w:lang w:val="es-ES"/>
        </w:rPr>
        <w:t>9</w:t>
      </w:r>
    </w:p>
    <w:p w:rsidR="001B6AC4" w:rsidRPr="00684475" w:rsidRDefault="001B6AC4" w:rsidP="003A540B">
      <w:pPr>
        <w:rPr>
          <w:rStyle w:val="Endofdocument-AnnexChar"/>
          <w:sz w:val="18"/>
          <w:szCs w:val="18"/>
          <w:lang w:val="es-ES"/>
        </w:rPr>
      </w:pPr>
    </w:p>
    <w:p w:rsidR="001B6AC4" w:rsidRPr="00684475" w:rsidRDefault="00EF4CBE" w:rsidP="00637D3F">
      <w:pPr>
        <w:jc w:val="center"/>
        <w:rPr>
          <w:rStyle w:val="Endofdocument-AnnexChar"/>
          <w:szCs w:val="22"/>
          <w:lang w:val="es-ES"/>
        </w:rPr>
      </w:pPr>
      <w:r w:rsidRPr="00EA5EDB">
        <w:rPr>
          <w:rStyle w:val="Endofdocument-AnnexChar"/>
          <w:rFonts w:cs="Arial"/>
          <w:szCs w:val="22"/>
          <w:lang w:val="es-ES"/>
        </w:rPr>
        <w:t>[</w:t>
      </w:r>
      <w:r w:rsidR="0044448E" w:rsidRPr="00EA5EDB">
        <w:rPr>
          <w:rStyle w:val="Endofdocument-AnnexChar"/>
          <w:szCs w:val="22"/>
          <w:lang w:val="es-ES"/>
        </w:rPr>
        <w:t>2</w:t>
      </w:r>
      <w:r w:rsidR="00AD7608" w:rsidRPr="00EA5EDB">
        <w:rPr>
          <w:rStyle w:val="Endofdocument-AnnexChar"/>
          <w:rFonts w:cs="Arial"/>
          <w:szCs w:val="22"/>
          <w:lang w:val="es-ES"/>
        </w:rPr>
        <w:t xml:space="preserve"> de ju</w:t>
      </w:r>
      <w:r w:rsidR="0044448E" w:rsidRPr="00EA5EDB">
        <w:rPr>
          <w:rStyle w:val="Endofdocument-AnnexChar"/>
          <w:rFonts w:cs="Arial"/>
          <w:szCs w:val="22"/>
          <w:lang w:val="es-ES"/>
        </w:rPr>
        <w:t>l</w:t>
      </w:r>
      <w:r w:rsidR="00AD7608" w:rsidRPr="00EA5EDB">
        <w:rPr>
          <w:rStyle w:val="Endofdocument-AnnexChar"/>
          <w:rFonts w:cs="Arial"/>
          <w:szCs w:val="22"/>
          <w:lang w:val="es-ES"/>
        </w:rPr>
        <w:t>io de</w:t>
      </w:r>
      <w:r w:rsidR="00637D3F" w:rsidRPr="00EA5EDB">
        <w:rPr>
          <w:rStyle w:val="Endofdocument-AnnexChar"/>
          <w:szCs w:val="22"/>
          <w:lang w:val="es-ES"/>
        </w:rPr>
        <w:t xml:space="preserve"> 201</w:t>
      </w:r>
      <w:r w:rsidR="00E51E3C" w:rsidRPr="00EA5EDB">
        <w:rPr>
          <w:rStyle w:val="Endofdocument-AnnexChar"/>
          <w:szCs w:val="22"/>
          <w:lang w:val="es-ES"/>
        </w:rPr>
        <w:t>9</w:t>
      </w:r>
      <w:r w:rsidRPr="00EA5EDB">
        <w:rPr>
          <w:rStyle w:val="Endofdocument-AnnexChar"/>
          <w:rFonts w:cs="Arial"/>
          <w:szCs w:val="22"/>
          <w:lang w:val="es-ES"/>
        </w:rPr>
        <w:t>]</w:t>
      </w:r>
    </w:p>
    <w:p w:rsidR="001B6AC4" w:rsidRPr="00684475" w:rsidRDefault="001B6AC4" w:rsidP="003A540B">
      <w:pPr>
        <w:jc w:val="center"/>
        <w:rPr>
          <w:rStyle w:val="Endofdocument-AnnexChar"/>
          <w:lang w:val="es-ES"/>
        </w:rPr>
      </w:pPr>
    </w:p>
    <w:p w:rsidR="001B6AC4" w:rsidRPr="00684475" w:rsidRDefault="001B6AC4" w:rsidP="003A540B">
      <w:pPr>
        <w:jc w:val="center"/>
        <w:rPr>
          <w:rStyle w:val="Endofdocument-AnnexChar"/>
          <w:lang w:val="es-ES"/>
        </w:rPr>
      </w:pPr>
    </w:p>
    <w:p w:rsidR="001B6AC4" w:rsidRPr="00684475" w:rsidRDefault="001B6AC4" w:rsidP="003A540B">
      <w:pPr>
        <w:rPr>
          <w:rStyle w:val="Endofdocument-AnnexChar"/>
          <w:sz w:val="16"/>
          <w:szCs w:val="16"/>
          <w:lang w:val="es-ES"/>
        </w:rPr>
      </w:pPr>
    </w:p>
    <w:p w:rsidR="001B6AC4" w:rsidRPr="00684475" w:rsidRDefault="00FB505A" w:rsidP="003A540B">
      <w:pPr>
        <w:rPr>
          <w:rStyle w:val="Endofdocument-AnnexChar"/>
          <w:sz w:val="16"/>
          <w:szCs w:val="16"/>
          <w:lang w:val="es-ES"/>
        </w:rPr>
      </w:pPr>
      <w:r w:rsidRPr="00684475">
        <w:rPr>
          <w:rStyle w:val="Endofdocument-AnnexChar"/>
          <w:sz w:val="16"/>
          <w:szCs w:val="16"/>
          <w:lang w:val="es-ES"/>
        </w:rPr>
        <w:br w:type="page"/>
      </w:r>
    </w:p>
    <w:p w:rsidR="001B6AC4" w:rsidRPr="00684475" w:rsidRDefault="00AD7608" w:rsidP="00332957">
      <w:pPr>
        <w:pStyle w:val="TOCHeading"/>
        <w:tabs>
          <w:tab w:val="center" w:pos="4677"/>
          <w:tab w:val="right" w:pos="9355"/>
        </w:tabs>
        <w:jc w:val="center"/>
        <w:rPr>
          <w:rFonts w:ascii="Arial" w:hAnsi="Arial" w:cs="Arial"/>
          <w:color w:val="000000"/>
          <w:sz w:val="24"/>
          <w:lang w:val="es-ES"/>
        </w:rPr>
      </w:pPr>
      <w:r w:rsidRPr="00684475">
        <w:rPr>
          <w:rFonts w:ascii="Arial" w:hAnsi="Arial" w:cs="Arial"/>
          <w:color w:val="000000"/>
          <w:sz w:val="24"/>
          <w:lang w:val="es-ES"/>
        </w:rPr>
        <w:lastRenderedPageBreak/>
        <w:t>Índice</w:t>
      </w:r>
    </w:p>
    <w:p w:rsidR="001B6AC4" w:rsidRPr="00684475" w:rsidRDefault="001B6AC4" w:rsidP="00844EA1">
      <w:pPr>
        <w:spacing w:after="120"/>
        <w:rPr>
          <w:lang w:val="es-ES" w:eastAsia="ja-JP"/>
        </w:rPr>
      </w:pPr>
    </w:p>
    <w:p w:rsidR="00587E53" w:rsidRPr="00684475" w:rsidRDefault="002B0787">
      <w:pPr>
        <w:pStyle w:val="TOC1"/>
        <w:rPr>
          <w:rFonts w:asciiTheme="minorHAnsi" w:eastAsiaTheme="minorEastAsia" w:hAnsiTheme="minorHAnsi" w:cstheme="minorBidi"/>
          <w:noProof/>
          <w:szCs w:val="22"/>
          <w:lang w:val="es-ES"/>
        </w:rPr>
      </w:pPr>
      <w:r w:rsidRPr="00684475">
        <w:rPr>
          <w:lang w:val="es-ES"/>
        </w:rPr>
        <w:fldChar w:fldCharType="begin"/>
      </w:r>
      <w:r w:rsidRPr="00684475">
        <w:rPr>
          <w:lang w:val="es-ES"/>
        </w:rPr>
        <w:instrText xml:space="preserve"> TOC \o "1-3" \h \z \u </w:instrText>
      </w:r>
      <w:r w:rsidRPr="00684475">
        <w:rPr>
          <w:lang w:val="es-ES"/>
        </w:rPr>
        <w:fldChar w:fldCharType="separate"/>
      </w:r>
    </w:p>
    <w:p w:rsidR="00587E53" w:rsidRPr="00684475" w:rsidRDefault="00925A44">
      <w:pPr>
        <w:pStyle w:val="TOC1"/>
        <w:rPr>
          <w:rFonts w:asciiTheme="minorHAnsi" w:eastAsiaTheme="minorEastAsia" w:hAnsiTheme="minorHAnsi" w:cstheme="minorBidi"/>
          <w:noProof/>
          <w:szCs w:val="22"/>
          <w:lang w:val="es-ES"/>
        </w:rPr>
      </w:pPr>
      <w:hyperlink w:anchor="_Toc12889926" w:history="1">
        <w:r w:rsidR="00587E53" w:rsidRPr="00684475">
          <w:rPr>
            <w:rStyle w:val="Hyperlink"/>
            <w:rFonts w:eastAsia="SimSun" w:cs="Arial"/>
            <w:b/>
            <w:bCs/>
            <w:noProof/>
            <w:kern w:val="32"/>
            <w:lang w:val="es-ES" w:eastAsia="zh-CN"/>
          </w:rPr>
          <w:t>Asamblea General de la OMPI</w:t>
        </w:r>
        <w:r w:rsidR="00587E53" w:rsidRPr="00684475">
          <w:rPr>
            <w:noProof/>
            <w:webHidden/>
            <w:lang w:val="es-ES"/>
          </w:rPr>
          <w:tab/>
        </w:r>
        <w:r w:rsidR="00587E53" w:rsidRPr="00684475">
          <w:rPr>
            <w:noProof/>
            <w:webHidden/>
            <w:lang w:val="es-ES"/>
          </w:rPr>
          <w:fldChar w:fldCharType="begin"/>
        </w:r>
        <w:r w:rsidR="00587E53" w:rsidRPr="00684475">
          <w:rPr>
            <w:noProof/>
            <w:webHidden/>
            <w:lang w:val="es-ES"/>
          </w:rPr>
          <w:instrText xml:space="preserve"> PAGEREF _Toc12889926 \h </w:instrText>
        </w:r>
        <w:r w:rsidR="00587E53" w:rsidRPr="00684475">
          <w:rPr>
            <w:noProof/>
            <w:webHidden/>
            <w:lang w:val="es-ES"/>
          </w:rPr>
        </w:r>
        <w:r w:rsidR="00587E53" w:rsidRPr="00684475">
          <w:rPr>
            <w:noProof/>
            <w:webHidden/>
            <w:lang w:val="es-ES"/>
          </w:rPr>
          <w:fldChar w:fldCharType="separate"/>
        </w:r>
        <w:r w:rsidR="007041AB">
          <w:rPr>
            <w:noProof/>
            <w:webHidden/>
            <w:lang w:val="es-ES"/>
          </w:rPr>
          <w:t>0</w:t>
        </w:r>
        <w:r w:rsidR="00587E53" w:rsidRPr="00684475">
          <w:rPr>
            <w:noProof/>
            <w:webHidden/>
            <w:lang w:val="es-ES"/>
          </w:rPr>
          <w:fldChar w:fldCharType="end"/>
        </w:r>
      </w:hyperlink>
    </w:p>
    <w:p w:rsidR="00587E53" w:rsidRPr="00684475" w:rsidRDefault="00925A44">
      <w:pPr>
        <w:pStyle w:val="TOC1"/>
        <w:rPr>
          <w:rFonts w:asciiTheme="minorHAnsi" w:eastAsiaTheme="minorEastAsia" w:hAnsiTheme="minorHAnsi" w:cstheme="minorBidi"/>
          <w:noProof/>
          <w:szCs w:val="22"/>
          <w:lang w:val="es-ES"/>
        </w:rPr>
      </w:pPr>
      <w:hyperlink w:anchor="_Toc12889927" w:history="1">
        <w:r w:rsidR="00587E53" w:rsidRPr="00684475">
          <w:rPr>
            <w:rStyle w:val="Hyperlink"/>
            <w:noProof/>
            <w:lang w:val="es-ES"/>
          </w:rPr>
          <w:t>I.</w:t>
        </w:r>
        <w:r w:rsidR="00587E53" w:rsidRPr="00684475">
          <w:rPr>
            <w:rFonts w:asciiTheme="minorHAnsi" w:eastAsiaTheme="minorEastAsia" w:hAnsiTheme="minorHAnsi" w:cstheme="minorBidi"/>
            <w:noProof/>
            <w:szCs w:val="22"/>
            <w:lang w:val="es-ES"/>
          </w:rPr>
          <w:tab/>
        </w:r>
        <w:r w:rsidR="00587E53" w:rsidRPr="00684475">
          <w:rPr>
            <w:rStyle w:val="Hyperlink"/>
            <w:noProof/>
            <w:lang w:val="es-ES"/>
          </w:rPr>
          <w:t>INTRODUCCIÓN</w:t>
        </w:r>
        <w:r w:rsidR="00587E53" w:rsidRPr="00684475">
          <w:rPr>
            <w:noProof/>
            <w:webHidden/>
            <w:lang w:val="es-ES"/>
          </w:rPr>
          <w:tab/>
        </w:r>
        <w:r w:rsidR="00587E53" w:rsidRPr="00684475">
          <w:rPr>
            <w:noProof/>
            <w:webHidden/>
            <w:lang w:val="es-ES"/>
          </w:rPr>
          <w:fldChar w:fldCharType="begin"/>
        </w:r>
        <w:r w:rsidR="00587E53" w:rsidRPr="00684475">
          <w:rPr>
            <w:noProof/>
            <w:webHidden/>
            <w:lang w:val="es-ES"/>
          </w:rPr>
          <w:instrText xml:space="preserve"> PAGEREF _Toc12889927 \h </w:instrText>
        </w:r>
        <w:r w:rsidR="00587E53" w:rsidRPr="00684475">
          <w:rPr>
            <w:noProof/>
            <w:webHidden/>
            <w:lang w:val="es-ES"/>
          </w:rPr>
        </w:r>
        <w:r w:rsidR="00587E53" w:rsidRPr="00684475">
          <w:rPr>
            <w:noProof/>
            <w:webHidden/>
            <w:lang w:val="es-ES"/>
          </w:rPr>
          <w:fldChar w:fldCharType="separate"/>
        </w:r>
        <w:r w:rsidR="007041AB">
          <w:rPr>
            <w:noProof/>
            <w:webHidden/>
            <w:lang w:val="es-ES"/>
          </w:rPr>
          <w:t>3</w:t>
        </w:r>
        <w:r w:rsidR="00587E53" w:rsidRPr="00684475">
          <w:rPr>
            <w:noProof/>
            <w:webHidden/>
            <w:lang w:val="es-ES"/>
          </w:rPr>
          <w:fldChar w:fldCharType="end"/>
        </w:r>
      </w:hyperlink>
    </w:p>
    <w:p w:rsidR="00587E53" w:rsidRPr="00684475" w:rsidRDefault="00925A44">
      <w:pPr>
        <w:pStyle w:val="TOC1"/>
        <w:rPr>
          <w:rFonts w:asciiTheme="minorHAnsi" w:eastAsiaTheme="minorEastAsia" w:hAnsiTheme="minorHAnsi" w:cstheme="minorBidi"/>
          <w:noProof/>
          <w:szCs w:val="22"/>
          <w:lang w:val="es-ES"/>
        </w:rPr>
      </w:pPr>
      <w:hyperlink w:anchor="_Toc12889928" w:history="1">
        <w:r w:rsidR="00587E53" w:rsidRPr="00684475">
          <w:rPr>
            <w:rStyle w:val="Hyperlink"/>
            <w:noProof/>
            <w:lang w:val="es-ES"/>
          </w:rPr>
          <w:t>II.</w:t>
        </w:r>
        <w:r w:rsidR="00587E53" w:rsidRPr="00684475">
          <w:rPr>
            <w:rFonts w:asciiTheme="minorHAnsi" w:eastAsiaTheme="minorEastAsia" w:hAnsiTheme="minorHAnsi" w:cstheme="minorBidi"/>
            <w:noProof/>
            <w:szCs w:val="22"/>
            <w:lang w:val="es-ES"/>
          </w:rPr>
          <w:tab/>
        </w:r>
        <w:r w:rsidR="00587E53" w:rsidRPr="00684475">
          <w:rPr>
            <w:rStyle w:val="Hyperlink"/>
            <w:noProof/>
            <w:lang w:val="es-ES"/>
          </w:rPr>
          <w:t>SESIONES TRIMESTRALES, COMPOSICIÓN Y METODOLOGÍA</w:t>
        </w:r>
        <w:r w:rsidR="00587E53" w:rsidRPr="00684475">
          <w:rPr>
            <w:noProof/>
            <w:webHidden/>
            <w:lang w:val="es-ES"/>
          </w:rPr>
          <w:tab/>
        </w:r>
        <w:r w:rsidR="00587E53" w:rsidRPr="00684475">
          <w:rPr>
            <w:noProof/>
            <w:webHidden/>
            <w:lang w:val="es-ES"/>
          </w:rPr>
          <w:fldChar w:fldCharType="begin"/>
        </w:r>
        <w:r w:rsidR="00587E53" w:rsidRPr="00684475">
          <w:rPr>
            <w:noProof/>
            <w:webHidden/>
            <w:lang w:val="es-ES"/>
          </w:rPr>
          <w:instrText xml:space="preserve"> PAGEREF _Toc12889928 \h </w:instrText>
        </w:r>
        <w:r w:rsidR="00587E53" w:rsidRPr="00684475">
          <w:rPr>
            <w:noProof/>
            <w:webHidden/>
            <w:lang w:val="es-ES"/>
          </w:rPr>
        </w:r>
        <w:r w:rsidR="00587E53" w:rsidRPr="00684475">
          <w:rPr>
            <w:noProof/>
            <w:webHidden/>
            <w:lang w:val="es-ES"/>
          </w:rPr>
          <w:fldChar w:fldCharType="separate"/>
        </w:r>
        <w:r w:rsidR="007041AB">
          <w:rPr>
            <w:noProof/>
            <w:webHidden/>
            <w:lang w:val="es-ES"/>
          </w:rPr>
          <w:t>3</w:t>
        </w:r>
        <w:r w:rsidR="00587E53" w:rsidRPr="00684475">
          <w:rPr>
            <w:noProof/>
            <w:webHidden/>
            <w:lang w:val="es-ES"/>
          </w:rPr>
          <w:fldChar w:fldCharType="end"/>
        </w:r>
      </w:hyperlink>
    </w:p>
    <w:p w:rsidR="00587E53" w:rsidRPr="00684475" w:rsidRDefault="00925A44">
      <w:pPr>
        <w:pStyle w:val="TOC1"/>
        <w:rPr>
          <w:rFonts w:asciiTheme="minorHAnsi" w:eastAsiaTheme="minorEastAsia" w:hAnsiTheme="minorHAnsi" w:cstheme="minorBidi"/>
          <w:noProof/>
          <w:szCs w:val="22"/>
          <w:lang w:val="es-ES"/>
        </w:rPr>
      </w:pPr>
      <w:hyperlink w:anchor="_Toc12889929" w:history="1">
        <w:r w:rsidR="00587E53" w:rsidRPr="00684475">
          <w:rPr>
            <w:rStyle w:val="Hyperlink"/>
            <w:noProof/>
            <w:lang w:val="es-ES"/>
          </w:rPr>
          <w:t>III.</w:t>
        </w:r>
        <w:r w:rsidR="00587E53" w:rsidRPr="00684475">
          <w:rPr>
            <w:rFonts w:asciiTheme="minorHAnsi" w:eastAsiaTheme="minorEastAsia" w:hAnsiTheme="minorHAnsi" w:cstheme="minorBidi"/>
            <w:noProof/>
            <w:szCs w:val="22"/>
            <w:lang w:val="es-ES"/>
          </w:rPr>
          <w:tab/>
        </w:r>
        <w:r w:rsidR="00587E53" w:rsidRPr="00684475">
          <w:rPr>
            <w:rStyle w:val="Hyperlink"/>
            <w:noProof/>
            <w:lang w:val="es-ES"/>
          </w:rPr>
          <w:t>ASUNTOS EXAMINADOS</w:t>
        </w:r>
        <w:r w:rsidR="00587E53" w:rsidRPr="00684475">
          <w:rPr>
            <w:noProof/>
            <w:webHidden/>
            <w:lang w:val="es-ES"/>
          </w:rPr>
          <w:tab/>
        </w:r>
        <w:r w:rsidR="00587E53" w:rsidRPr="00684475">
          <w:rPr>
            <w:noProof/>
            <w:webHidden/>
            <w:lang w:val="es-ES"/>
          </w:rPr>
          <w:fldChar w:fldCharType="begin"/>
        </w:r>
        <w:r w:rsidR="00587E53" w:rsidRPr="00684475">
          <w:rPr>
            <w:noProof/>
            <w:webHidden/>
            <w:lang w:val="es-ES"/>
          </w:rPr>
          <w:instrText xml:space="preserve"> PAGEREF _Toc12889929 \h </w:instrText>
        </w:r>
        <w:r w:rsidR="00587E53" w:rsidRPr="00684475">
          <w:rPr>
            <w:noProof/>
            <w:webHidden/>
            <w:lang w:val="es-ES"/>
          </w:rPr>
        </w:r>
        <w:r w:rsidR="00587E53" w:rsidRPr="00684475">
          <w:rPr>
            <w:noProof/>
            <w:webHidden/>
            <w:lang w:val="es-ES"/>
          </w:rPr>
          <w:fldChar w:fldCharType="separate"/>
        </w:r>
        <w:r w:rsidR="007041AB">
          <w:rPr>
            <w:noProof/>
            <w:webHidden/>
            <w:lang w:val="es-ES"/>
          </w:rPr>
          <w:t>4</w:t>
        </w:r>
        <w:r w:rsidR="00587E53" w:rsidRPr="00684475">
          <w:rPr>
            <w:noProof/>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0" w:history="1">
        <w:r w:rsidR="00587E53" w:rsidRPr="00684475">
          <w:rPr>
            <w:rStyle w:val="Hyperlink"/>
            <w:lang w:val="es-ES"/>
          </w:rPr>
          <w:t>A.</w:t>
        </w:r>
        <w:r w:rsidR="00587E53" w:rsidRPr="00684475">
          <w:rPr>
            <w:rFonts w:asciiTheme="minorHAnsi" w:eastAsiaTheme="minorEastAsia" w:hAnsiTheme="minorHAnsi" w:cstheme="minorBidi"/>
            <w:color w:val="auto"/>
            <w:lang w:val="es-ES"/>
          </w:rPr>
          <w:tab/>
        </w:r>
        <w:r w:rsidR="00587E53" w:rsidRPr="00684475">
          <w:rPr>
            <w:rStyle w:val="Hyperlink"/>
            <w:lang w:val="es-ES"/>
          </w:rPr>
          <w:t>Supervisión interna</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_Toc12889930 \h </w:instrText>
        </w:r>
        <w:r w:rsidR="00587E53" w:rsidRPr="00684475">
          <w:rPr>
            <w:webHidden/>
            <w:lang w:val="es-ES"/>
          </w:rPr>
        </w:r>
        <w:r w:rsidR="00587E53" w:rsidRPr="00684475">
          <w:rPr>
            <w:webHidden/>
            <w:lang w:val="es-ES"/>
          </w:rPr>
          <w:fldChar w:fldCharType="separate"/>
        </w:r>
        <w:r w:rsidR="007041AB">
          <w:rPr>
            <w:webHidden/>
            <w:lang w:val="es-ES"/>
          </w:rPr>
          <w:t>4</w:t>
        </w:r>
        <w:r w:rsidR="00587E53" w:rsidRPr="00684475">
          <w:rPr>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1" w:history="1">
        <w:r w:rsidR="00587E53" w:rsidRPr="00684475">
          <w:rPr>
            <w:rStyle w:val="Hyperlink"/>
            <w:lang w:val="es-ES"/>
          </w:rPr>
          <w:t>B.</w:t>
        </w:r>
        <w:r w:rsidR="00587E53" w:rsidRPr="00684475">
          <w:rPr>
            <w:rFonts w:asciiTheme="minorHAnsi" w:eastAsiaTheme="minorEastAsia" w:hAnsiTheme="minorHAnsi" w:cstheme="minorBidi"/>
            <w:color w:val="auto"/>
            <w:lang w:val="es-ES"/>
          </w:rPr>
          <w:tab/>
        </w:r>
        <w:r w:rsidR="00587E53" w:rsidRPr="00684475">
          <w:rPr>
            <w:rStyle w:val="Hyperlink"/>
            <w:lang w:val="es-ES"/>
          </w:rPr>
          <w:t>Auditoría externa</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_Toc12889931 \h </w:instrText>
        </w:r>
        <w:r w:rsidR="00587E53" w:rsidRPr="00684475">
          <w:rPr>
            <w:webHidden/>
            <w:lang w:val="es-ES"/>
          </w:rPr>
        </w:r>
        <w:r w:rsidR="00587E53" w:rsidRPr="00684475">
          <w:rPr>
            <w:webHidden/>
            <w:lang w:val="es-ES"/>
          </w:rPr>
          <w:fldChar w:fldCharType="separate"/>
        </w:r>
        <w:r w:rsidR="007041AB">
          <w:rPr>
            <w:webHidden/>
            <w:lang w:val="es-ES"/>
          </w:rPr>
          <w:t>6</w:t>
        </w:r>
        <w:r w:rsidR="00587E53" w:rsidRPr="00684475">
          <w:rPr>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2" w:history="1">
        <w:r w:rsidR="00587E53" w:rsidRPr="00684475">
          <w:rPr>
            <w:rStyle w:val="Hyperlink"/>
            <w:lang w:val="es-ES"/>
          </w:rPr>
          <w:t>C.</w:t>
        </w:r>
        <w:r w:rsidR="00587E53" w:rsidRPr="00684475">
          <w:rPr>
            <w:rFonts w:asciiTheme="minorHAnsi" w:eastAsiaTheme="minorEastAsia" w:hAnsiTheme="minorHAnsi" w:cstheme="minorBidi"/>
            <w:color w:val="auto"/>
            <w:lang w:val="es-ES"/>
          </w:rPr>
          <w:tab/>
        </w:r>
        <w:r w:rsidR="00587E53" w:rsidRPr="00684475">
          <w:rPr>
            <w:rStyle w:val="Hyperlink"/>
            <w:lang w:val="es-ES"/>
          </w:rPr>
          <w:t>Información financiera</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_Toc12889932 \h </w:instrText>
        </w:r>
        <w:r w:rsidR="00587E53" w:rsidRPr="00684475">
          <w:rPr>
            <w:webHidden/>
            <w:lang w:val="es-ES"/>
          </w:rPr>
        </w:r>
        <w:r w:rsidR="00587E53" w:rsidRPr="00684475">
          <w:rPr>
            <w:webHidden/>
            <w:lang w:val="es-ES"/>
          </w:rPr>
          <w:fldChar w:fldCharType="separate"/>
        </w:r>
        <w:r w:rsidR="007041AB">
          <w:rPr>
            <w:webHidden/>
            <w:lang w:val="es-ES"/>
          </w:rPr>
          <w:t>7</w:t>
        </w:r>
        <w:r w:rsidR="00587E53" w:rsidRPr="00684475">
          <w:rPr>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3" w:history="1">
        <w:r w:rsidR="00587E53" w:rsidRPr="00684475">
          <w:rPr>
            <w:rStyle w:val="Hyperlink"/>
            <w:lang w:val="es-ES"/>
          </w:rPr>
          <w:t>D.</w:t>
        </w:r>
        <w:r w:rsidR="00587E53" w:rsidRPr="00684475">
          <w:rPr>
            <w:rFonts w:asciiTheme="minorHAnsi" w:eastAsiaTheme="minorEastAsia" w:hAnsiTheme="minorHAnsi" w:cstheme="minorBidi"/>
            <w:color w:val="auto"/>
            <w:lang w:val="es-ES"/>
          </w:rPr>
          <w:tab/>
        </w:r>
        <w:r w:rsidR="00587E53" w:rsidRPr="00684475">
          <w:rPr>
            <w:rStyle w:val="Hyperlink"/>
            <w:lang w:val="es-ES"/>
          </w:rPr>
          <w:t>Gestión de riesgos y controles internos</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_Toc12889933 \h </w:instrText>
        </w:r>
        <w:r w:rsidR="00587E53" w:rsidRPr="00684475">
          <w:rPr>
            <w:webHidden/>
            <w:lang w:val="es-ES"/>
          </w:rPr>
        </w:r>
        <w:r w:rsidR="00587E53" w:rsidRPr="00684475">
          <w:rPr>
            <w:webHidden/>
            <w:lang w:val="es-ES"/>
          </w:rPr>
          <w:fldChar w:fldCharType="separate"/>
        </w:r>
        <w:r w:rsidR="007041AB">
          <w:rPr>
            <w:webHidden/>
            <w:lang w:val="es-ES"/>
          </w:rPr>
          <w:t>7</w:t>
        </w:r>
        <w:r w:rsidR="00587E53" w:rsidRPr="00684475">
          <w:rPr>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4" w:history="1">
        <w:r w:rsidR="00587E53" w:rsidRPr="00684475">
          <w:rPr>
            <w:rStyle w:val="Hyperlink"/>
            <w:lang w:val="es-ES"/>
          </w:rPr>
          <w:t>E.</w:t>
        </w:r>
        <w:r w:rsidR="00587E53" w:rsidRPr="00684475">
          <w:rPr>
            <w:rFonts w:asciiTheme="minorHAnsi" w:eastAsiaTheme="minorEastAsia" w:hAnsiTheme="minorHAnsi" w:cstheme="minorBidi"/>
            <w:color w:val="auto"/>
            <w:lang w:val="es-ES"/>
          </w:rPr>
          <w:tab/>
        </w:r>
        <w:r w:rsidR="00587E53" w:rsidRPr="00684475">
          <w:rPr>
            <w:rStyle w:val="Hyperlink"/>
            <w:lang w:val="es-ES"/>
          </w:rPr>
          <w:t>Aplicación de las recomendaciones en materia de supervisión</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_Toc12889934 \h </w:instrText>
        </w:r>
        <w:r w:rsidR="00587E53" w:rsidRPr="00684475">
          <w:rPr>
            <w:webHidden/>
            <w:lang w:val="es-ES"/>
          </w:rPr>
        </w:r>
        <w:r w:rsidR="00587E53" w:rsidRPr="00684475">
          <w:rPr>
            <w:webHidden/>
            <w:lang w:val="es-ES"/>
          </w:rPr>
          <w:fldChar w:fldCharType="separate"/>
        </w:r>
        <w:r w:rsidR="007041AB">
          <w:rPr>
            <w:webHidden/>
            <w:lang w:val="es-ES"/>
          </w:rPr>
          <w:t>8</w:t>
        </w:r>
        <w:r w:rsidR="00587E53" w:rsidRPr="00684475">
          <w:rPr>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5" w:history="1">
        <w:r w:rsidR="00587E53" w:rsidRPr="00684475">
          <w:rPr>
            <w:rStyle w:val="Hyperlink"/>
            <w:lang w:val="es-ES"/>
          </w:rPr>
          <w:t>F.</w:t>
        </w:r>
        <w:r w:rsidR="00587E53" w:rsidRPr="00684475">
          <w:rPr>
            <w:rFonts w:asciiTheme="minorHAnsi" w:eastAsiaTheme="minorEastAsia" w:hAnsiTheme="minorHAnsi" w:cstheme="minorBidi"/>
            <w:color w:val="auto"/>
            <w:lang w:val="es-ES"/>
          </w:rPr>
          <w:tab/>
        </w:r>
        <w:r w:rsidR="00587E53" w:rsidRPr="00684475">
          <w:rPr>
            <w:rStyle w:val="Hyperlink"/>
            <w:lang w:val="es-ES"/>
          </w:rPr>
          <w:t>Ética profesional y mediador</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_Toc12889935 \h </w:instrText>
        </w:r>
        <w:r w:rsidR="00587E53" w:rsidRPr="00684475">
          <w:rPr>
            <w:webHidden/>
            <w:lang w:val="es-ES"/>
          </w:rPr>
        </w:r>
        <w:r w:rsidR="00587E53" w:rsidRPr="00684475">
          <w:rPr>
            <w:webHidden/>
            <w:lang w:val="es-ES"/>
          </w:rPr>
          <w:fldChar w:fldCharType="separate"/>
        </w:r>
        <w:r w:rsidR="007041AB">
          <w:rPr>
            <w:webHidden/>
            <w:lang w:val="es-ES"/>
          </w:rPr>
          <w:t>9</w:t>
        </w:r>
        <w:r w:rsidR="00587E53" w:rsidRPr="00684475">
          <w:rPr>
            <w:webHidden/>
            <w:lang w:val="es-ES"/>
          </w:rPr>
          <w:fldChar w:fldCharType="end"/>
        </w:r>
      </w:hyperlink>
    </w:p>
    <w:p w:rsidR="00587E53" w:rsidRPr="00684475" w:rsidRDefault="00925A44">
      <w:pPr>
        <w:pStyle w:val="TOC3"/>
        <w:rPr>
          <w:rFonts w:asciiTheme="minorHAnsi" w:eastAsiaTheme="minorEastAsia" w:hAnsiTheme="minorHAnsi" w:cstheme="minorBidi"/>
          <w:color w:val="auto"/>
          <w:lang w:val="es-ES"/>
        </w:rPr>
      </w:pPr>
      <w:hyperlink w:anchor="_Toc12889936" w:history="1">
        <w:r w:rsidR="00587E53" w:rsidRPr="00684475">
          <w:rPr>
            <w:rStyle w:val="Hyperlink"/>
            <w:lang w:val="es-ES"/>
          </w:rPr>
          <w:t>G.</w:t>
        </w:r>
        <w:r w:rsidR="00587E53" w:rsidRPr="00684475">
          <w:rPr>
            <w:rFonts w:asciiTheme="minorHAnsi" w:eastAsiaTheme="minorEastAsia" w:hAnsiTheme="minorHAnsi" w:cstheme="minorBidi"/>
            <w:color w:val="auto"/>
            <w:lang w:val="es-ES"/>
          </w:rPr>
          <w:tab/>
        </w:r>
        <w:r w:rsidR="00587E53" w:rsidRPr="00684475">
          <w:rPr>
            <w:rStyle w:val="Hyperlink"/>
            <w:lang w:val="es-ES"/>
          </w:rPr>
          <w:t>Otros asuntos</w:t>
        </w:r>
        <w:r w:rsidR="00587E53" w:rsidRPr="00684475">
          <w:rPr>
            <w:webHidden/>
            <w:lang w:val="es-ES"/>
          </w:rPr>
          <w:tab/>
        </w:r>
        <w:r w:rsidR="00587E53" w:rsidRPr="00684475">
          <w:rPr>
            <w:webHidden/>
            <w:lang w:val="es-ES"/>
          </w:rPr>
          <w:fldChar w:fldCharType="begin"/>
        </w:r>
        <w:r w:rsidR="00587E53" w:rsidRPr="00684475">
          <w:rPr>
            <w:webHidden/>
            <w:lang w:val="es-ES"/>
          </w:rPr>
          <w:instrText xml:space="preserve"> PAGEREF _Toc12889936 \h </w:instrText>
        </w:r>
        <w:r w:rsidR="00587E53" w:rsidRPr="00684475">
          <w:rPr>
            <w:webHidden/>
            <w:lang w:val="es-ES"/>
          </w:rPr>
        </w:r>
        <w:r w:rsidR="00587E53" w:rsidRPr="00684475">
          <w:rPr>
            <w:webHidden/>
            <w:lang w:val="es-ES"/>
          </w:rPr>
          <w:fldChar w:fldCharType="separate"/>
        </w:r>
        <w:r w:rsidR="007041AB">
          <w:rPr>
            <w:webHidden/>
            <w:lang w:val="es-ES"/>
          </w:rPr>
          <w:t>10</w:t>
        </w:r>
        <w:r w:rsidR="00587E53" w:rsidRPr="00684475">
          <w:rPr>
            <w:webHidden/>
            <w:lang w:val="es-ES"/>
          </w:rPr>
          <w:fldChar w:fldCharType="end"/>
        </w:r>
      </w:hyperlink>
    </w:p>
    <w:p w:rsidR="00587E53" w:rsidRPr="00684475" w:rsidRDefault="00925A44">
      <w:pPr>
        <w:pStyle w:val="TOC1"/>
        <w:rPr>
          <w:rFonts w:asciiTheme="minorHAnsi" w:eastAsiaTheme="minorEastAsia" w:hAnsiTheme="minorHAnsi" w:cstheme="minorBidi"/>
          <w:noProof/>
          <w:szCs w:val="22"/>
          <w:lang w:val="es-ES"/>
        </w:rPr>
      </w:pPr>
      <w:hyperlink w:anchor="_Toc12889937" w:history="1">
        <w:r w:rsidR="00587E53" w:rsidRPr="00684475">
          <w:rPr>
            <w:rStyle w:val="Hyperlink"/>
            <w:noProof/>
            <w:lang w:val="es-ES"/>
          </w:rPr>
          <w:t>IV.</w:t>
        </w:r>
        <w:r w:rsidR="00587E53" w:rsidRPr="00684475">
          <w:rPr>
            <w:rFonts w:asciiTheme="minorHAnsi" w:eastAsiaTheme="minorEastAsia" w:hAnsiTheme="minorHAnsi" w:cstheme="minorBidi"/>
            <w:noProof/>
            <w:szCs w:val="22"/>
            <w:lang w:val="es-ES"/>
          </w:rPr>
          <w:tab/>
        </w:r>
        <w:r w:rsidR="00587E53" w:rsidRPr="00684475">
          <w:rPr>
            <w:rStyle w:val="Hyperlink"/>
            <w:noProof/>
            <w:lang w:val="es-ES"/>
          </w:rPr>
          <w:t>OBSERVACIONES FINALES</w:t>
        </w:r>
        <w:r w:rsidR="00587E53" w:rsidRPr="00684475">
          <w:rPr>
            <w:noProof/>
            <w:webHidden/>
            <w:lang w:val="es-ES"/>
          </w:rPr>
          <w:tab/>
        </w:r>
        <w:r w:rsidR="00587E53" w:rsidRPr="00684475">
          <w:rPr>
            <w:noProof/>
            <w:webHidden/>
            <w:lang w:val="es-ES"/>
          </w:rPr>
          <w:fldChar w:fldCharType="begin"/>
        </w:r>
        <w:r w:rsidR="00587E53" w:rsidRPr="00684475">
          <w:rPr>
            <w:noProof/>
            <w:webHidden/>
            <w:lang w:val="es-ES"/>
          </w:rPr>
          <w:instrText xml:space="preserve"> PAGEREF _Toc12889937 \h </w:instrText>
        </w:r>
        <w:r w:rsidR="00587E53" w:rsidRPr="00684475">
          <w:rPr>
            <w:noProof/>
            <w:webHidden/>
            <w:lang w:val="es-ES"/>
          </w:rPr>
        </w:r>
        <w:r w:rsidR="00587E53" w:rsidRPr="00684475">
          <w:rPr>
            <w:noProof/>
            <w:webHidden/>
            <w:lang w:val="es-ES"/>
          </w:rPr>
          <w:fldChar w:fldCharType="separate"/>
        </w:r>
        <w:r w:rsidR="007041AB">
          <w:rPr>
            <w:noProof/>
            <w:webHidden/>
            <w:lang w:val="es-ES"/>
          </w:rPr>
          <w:t>11</w:t>
        </w:r>
        <w:r w:rsidR="00587E53" w:rsidRPr="00684475">
          <w:rPr>
            <w:noProof/>
            <w:webHidden/>
            <w:lang w:val="es-ES"/>
          </w:rPr>
          <w:fldChar w:fldCharType="end"/>
        </w:r>
      </w:hyperlink>
    </w:p>
    <w:p w:rsidR="001B6AC4" w:rsidRPr="00684475" w:rsidRDefault="002B0787" w:rsidP="00F24C7A">
      <w:pPr>
        <w:spacing w:after="120"/>
        <w:rPr>
          <w:lang w:val="es-ES"/>
        </w:rPr>
      </w:pPr>
      <w:r w:rsidRPr="00684475">
        <w:rPr>
          <w:b/>
          <w:bCs/>
          <w:lang w:val="es-ES"/>
        </w:rPr>
        <w:fldChar w:fldCharType="end"/>
      </w:r>
    </w:p>
    <w:p w:rsidR="001B6AC4" w:rsidRPr="00684475" w:rsidRDefault="001B6AC4" w:rsidP="005519BB">
      <w:pPr>
        <w:jc w:val="both"/>
        <w:rPr>
          <w:color w:val="000000"/>
          <w:lang w:val="es-ES"/>
        </w:rPr>
      </w:pPr>
    </w:p>
    <w:p w:rsidR="001B6AC4" w:rsidRPr="00684475" w:rsidRDefault="001B6AC4" w:rsidP="005519BB">
      <w:pPr>
        <w:jc w:val="both"/>
        <w:rPr>
          <w:color w:val="000000"/>
          <w:lang w:val="es-ES"/>
        </w:rPr>
      </w:pPr>
    </w:p>
    <w:p w:rsidR="001B6AC4" w:rsidRPr="00684475" w:rsidRDefault="001B6AC4" w:rsidP="005519BB">
      <w:pPr>
        <w:jc w:val="both"/>
        <w:rPr>
          <w:color w:val="000000"/>
          <w:lang w:val="es-ES"/>
        </w:rPr>
      </w:pPr>
    </w:p>
    <w:p w:rsidR="001B6AC4" w:rsidRPr="00684475" w:rsidRDefault="001B6AC4" w:rsidP="005519BB">
      <w:pPr>
        <w:jc w:val="both"/>
        <w:rPr>
          <w:color w:val="000000"/>
          <w:lang w:val="es-ES"/>
        </w:rPr>
      </w:pPr>
    </w:p>
    <w:p w:rsidR="001B6AC4" w:rsidRPr="00684475" w:rsidRDefault="001B6AC4" w:rsidP="005519BB">
      <w:pPr>
        <w:jc w:val="both"/>
        <w:rPr>
          <w:color w:val="000000"/>
          <w:lang w:val="es-ES"/>
        </w:rPr>
      </w:pPr>
    </w:p>
    <w:p w:rsidR="001B6AC4" w:rsidRPr="00684475" w:rsidRDefault="001B6AC4" w:rsidP="005519BB">
      <w:pPr>
        <w:jc w:val="both"/>
        <w:rPr>
          <w:color w:val="000000"/>
          <w:lang w:val="es-ES"/>
        </w:rPr>
      </w:pPr>
    </w:p>
    <w:p w:rsidR="001B6AC4" w:rsidRPr="00684475" w:rsidRDefault="001B6AC4" w:rsidP="005519BB">
      <w:pPr>
        <w:jc w:val="both"/>
        <w:rPr>
          <w:color w:val="000000"/>
          <w:lang w:val="es-ES"/>
        </w:rPr>
      </w:pPr>
    </w:p>
    <w:p w:rsidR="001B6AC4" w:rsidRPr="00684475" w:rsidRDefault="001B6AC4" w:rsidP="005519BB">
      <w:pPr>
        <w:jc w:val="both"/>
        <w:rPr>
          <w:lang w:val="es-ES"/>
        </w:rPr>
      </w:pPr>
    </w:p>
    <w:p w:rsidR="00C44910" w:rsidRPr="00684475" w:rsidRDefault="00C44910" w:rsidP="005C62F6">
      <w:pPr>
        <w:pStyle w:val="Heading2"/>
        <w:rPr>
          <w:rStyle w:val="Endofdocument-AnnexChar"/>
          <w:b/>
          <w:color w:val="7F7F7F"/>
          <w:lang w:val="es-ES"/>
        </w:rPr>
        <w:sectPr w:rsidR="00C44910" w:rsidRPr="00684475" w:rsidSect="00D77B1D">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134" w:left="1418" w:header="567" w:footer="1021" w:gutter="0"/>
          <w:pgNumType w:start="1"/>
          <w:cols w:space="720"/>
          <w:titlePg/>
          <w:docGrid w:linePitch="299"/>
        </w:sectPr>
      </w:pPr>
    </w:p>
    <w:p w:rsidR="001B6AC4" w:rsidRPr="00684475" w:rsidRDefault="004F0A47" w:rsidP="00A20906">
      <w:pPr>
        <w:pStyle w:val="Heading1"/>
        <w:numPr>
          <w:ilvl w:val="0"/>
          <w:numId w:val="6"/>
        </w:numPr>
        <w:spacing w:before="120" w:after="220"/>
        <w:ind w:left="567" w:hanging="567"/>
        <w:rPr>
          <w:rStyle w:val="Endofdocument-AnnexChar"/>
          <w:color w:val="000000"/>
          <w:szCs w:val="22"/>
          <w:lang w:val="es-ES"/>
        </w:rPr>
      </w:pPr>
      <w:bookmarkStart w:id="8" w:name="_Toc395336849"/>
      <w:bookmarkStart w:id="9" w:name="_Toc453591207"/>
      <w:bookmarkStart w:id="10" w:name="_Toc12889927"/>
      <w:r w:rsidRPr="00684475">
        <w:rPr>
          <w:rStyle w:val="Endofdocument-AnnexChar"/>
          <w:color w:val="000000"/>
          <w:szCs w:val="22"/>
          <w:lang w:val="es-ES"/>
        </w:rPr>
        <w:lastRenderedPageBreak/>
        <w:t>INTRODUC</w:t>
      </w:r>
      <w:r w:rsidR="00AD7608" w:rsidRPr="00684475">
        <w:rPr>
          <w:rStyle w:val="Endofdocument-AnnexChar"/>
          <w:color w:val="000000"/>
          <w:szCs w:val="22"/>
          <w:lang w:val="es-ES"/>
        </w:rPr>
        <w:t>CIÓN</w:t>
      </w:r>
      <w:bookmarkEnd w:id="8"/>
      <w:bookmarkEnd w:id="9"/>
      <w:bookmarkEnd w:id="10"/>
    </w:p>
    <w:p w:rsidR="001B6AC4" w:rsidRPr="00684475" w:rsidRDefault="00114D79" w:rsidP="00114D79">
      <w:pPr>
        <w:pStyle w:val="ONUME"/>
        <w:tabs>
          <w:tab w:val="left" w:pos="0"/>
          <w:tab w:val="num" w:pos="567"/>
        </w:tabs>
        <w:ind w:left="0"/>
        <w:rPr>
          <w:lang w:val="es-ES"/>
        </w:rPr>
      </w:pPr>
      <w:r w:rsidRPr="00684475">
        <w:rPr>
          <w:lang w:val="es-ES"/>
        </w:rPr>
        <w:t>De conformidad con su mandato, la Comisión Consultiva Independiente de Supervisión (CCIS) de la OMPI presenta un informe anual al Comité del Programa y Presupuesto (PBC) y a la Asamblea General de la OMPI.</w:t>
      </w:r>
    </w:p>
    <w:p w:rsidR="001B6AC4" w:rsidRPr="00684475" w:rsidRDefault="00016205" w:rsidP="008C7528">
      <w:pPr>
        <w:pStyle w:val="ONUME"/>
        <w:tabs>
          <w:tab w:val="left" w:pos="0"/>
          <w:tab w:val="num" w:pos="567"/>
        </w:tabs>
        <w:ind w:left="0"/>
        <w:rPr>
          <w:lang w:val="es-ES"/>
        </w:rPr>
      </w:pPr>
      <w:r w:rsidRPr="00684475">
        <w:rPr>
          <w:lang w:val="es-ES"/>
        </w:rPr>
        <w:t>La CCIS</w:t>
      </w:r>
      <w:r w:rsidR="004F0A47" w:rsidRPr="00684475">
        <w:rPr>
          <w:lang w:val="es-ES"/>
        </w:rPr>
        <w:t xml:space="preserve"> </w:t>
      </w:r>
      <w:r w:rsidR="006912A4" w:rsidRPr="00684475">
        <w:rPr>
          <w:lang w:val="es-ES"/>
        </w:rPr>
        <w:t>(</w:t>
      </w:r>
      <w:r w:rsidRPr="00684475">
        <w:rPr>
          <w:lang w:val="es-ES"/>
        </w:rPr>
        <w:t>en lo sucesivo llamada también “la Comisión”</w:t>
      </w:r>
      <w:r w:rsidR="006912A4" w:rsidRPr="00684475">
        <w:rPr>
          <w:lang w:val="es-ES"/>
        </w:rPr>
        <w:t xml:space="preserve">) </w:t>
      </w:r>
      <w:r w:rsidRPr="00684475">
        <w:rPr>
          <w:lang w:val="es-ES"/>
        </w:rPr>
        <w:t>se creó en</w:t>
      </w:r>
      <w:r w:rsidR="004F0A47" w:rsidRPr="00684475">
        <w:rPr>
          <w:lang w:val="es-ES"/>
        </w:rPr>
        <w:t xml:space="preserve"> 2005.</w:t>
      </w:r>
      <w:r w:rsidR="004062F0" w:rsidRPr="00684475">
        <w:rPr>
          <w:lang w:val="es-ES"/>
        </w:rPr>
        <w:t xml:space="preserve"> </w:t>
      </w:r>
      <w:r w:rsidRPr="00684475">
        <w:rPr>
          <w:lang w:val="es-ES"/>
        </w:rPr>
        <w:t>Es un órgano subsidiario de la Asamblea General de la OMPI y del</w:t>
      </w:r>
      <w:r w:rsidR="00587E53" w:rsidRPr="00684475">
        <w:rPr>
          <w:lang w:val="es-ES"/>
        </w:rPr>
        <w:t xml:space="preserve"> PBC</w:t>
      </w:r>
      <w:r w:rsidR="004F0A47" w:rsidRPr="00684475">
        <w:rPr>
          <w:lang w:val="es-ES"/>
        </w:rPr>
        <w:t xml:space="preserve">. </w:t>
      </w:r>
      <w:r w:rsidRPr="00684475">
        <w:rPr>
          <w:lang w:val="es-ES"/>
        </w:rPr>
        <w:t>Presta servicios de asesoramiento especializado independiente y asiste a la Asamblea General de la OMPI y al PBC en el desempeño de sus funciones de supervisión</w:t>
      </w:r>
      <w:r w:rsidR="004F0A47" w:rsidRPr="00684475">
        <w:rPr>
          <w:lang w:val="es-ES"/>
        </w:rPr>
        <w:t>.</w:t>
      </w:r>
    </w:p>
    <w:p w:rsidR="001B6AC4" w:rsidRPr="00684475" w:rsidRDefault="00114D79" w:rsidP="00114D79">
      <w:pPr>
        <w:pStyle w:val="ONUME"/>
        <w:tabs>
          <w:tab w:val="left" w:pos="0"/>
          <w:tab w:val="num" w:pos="567"/>
        </w:tabs>
        <w:ind w:left="0"/>
        <w:rPr>
          <w:lang w:val="es-ES"/>
        </w:rPr>
      </w:pPr>
      <w:r w:rsidRPr="00684475">
        <w:rPr>
          <w:lang w:val="es-ES"/>
        </w:rPr>
        <w:t>El presente informe abarca el período comprendido entre el 6 de julio de 2018 y el 14 de ju</w:t>
      </w:r>
      <w:r w:rsidR="00587E53" w:rsidRPr="00684475">
        <w:rPr>
          <w:lang w:val="es-ES"/>
        </w:rPr>
        <w:t>n</w:t>
      </w:r>
      <w:r w:rsidRPr="00684475">
        <w:rPr>
          <w:lang w:val="es-ES"/>
        </w:rPr>
        <w:t>io de 2019.</w:t>
      </w:r>
      <w:r w:rsidR="004062F0" w:rsidRPr="00684475">
        <w:rPr>
          <w:lang w:val="es-ES"/>
        </w:rPr>
        <w:t xml:space="preserve"> </w:t>
      </w:r>
      <w:r w:rsidRPr="00684475">
        <w:rPr>
          <w:lang w:val="es-ES"/>
        </w:rPr>
        <w:t>En la sección II del informe figura una reseña de las sesiones trimestrales de la CCIS, su composición y metodología.</w:t>
      </w:r>
      <w:r w:rsidR="004062F0" w:rsidRPr="00684475">
        <w:rPr>
          <w:lang w:val="es-ES"/>
        </w:rPr>
        <w:t xml:space="preserve"> </w:t>
      </w:r>
      <w:r w:rsidRPr="00684475">
        <w:rPr>
          <w:lang w:val="es-ES"/>
        </w:rPr>
        <w:t>En la sección III se detallan las cuestiones debatidas y examinadas por la CCIS durante el período que abarca el informe.</w:t>
      </w:r>
    </w:p>
    <w:p w:rsidR="001B6AC4" w:rsidRPr="00684475" w:rsidRDefault="00114D79" w:rsidP="00114D79">
      <w:pPr>
        <w:pStyle w:val="Heading1"/>
        <w:numPr>
          <w:ilvl w:val="0"/>
          <w:numId w:val="6"/>
        </w:numPr>
        <w:spacing w:before="120" w:after="220"/>
        <w:ind w:left="567" w:hanging="567"/>
        <w:rPr>
          <w:sz w:val="22"/>
          <w:szCs w:val="22"/>
          <w:lang w:val="es-ES"/>
        </w:rPr>
      </w:pPr>
      <w:bookmarkStart w:id="11" w:name="_Toc12889928"/>
      <w:r w:rsidRPr="00684475">
        <w:rPr>
          <w:sz w:val="22"/>
          <w:szCs w:val="22"/>
          <w:lang w:val="es-ES"/>
        </w:rPr>
        <w:t>SESIONES TRIMESTRALES, COMPOSICIÓN Y METODOLOGÍA</w:t>
      </w:r>
      <w:bookmarkEnd w:id="11"/>
    </w:p>
    <w:p w:rsidR="001B6AC4" w:rsidRPr="00684475" w:rsidRDefault="004F0A47" w:rsidP="00114D79">
      <w:pPr>
        <w:tabs>
          <w:tab w:val="left" w:pos="567"/>
        </w:tabs>
        <w:spacing w:after="220"/>
        <w:rPr>
          <w:rFonts w:cs="Arial"/>
          <w:i/>
          <w:szCs w:val="22"/>
          <w:lang w:val="es-ES"/>
        </w:rPr>
      </w:pPr>
      <w:r w:rsidRPr="00684475">
        <w:rPr>
          <w:rFonts w:cs="Arial"/>
          <w:szCs w:val="22"/>
          <w:lang w:val="es-ES"/>
        </w:rPr>
        <w:tab/>
      </w:r>
      <w:r w:rsidR="00114D79" w:rsidRPr="00684475">
        <w:rPr>
          <w:rFonts w:cs="Arial"/>
          <w:i/>
          <w:szCs w:val="22"/>
          <w:lang w:val="es-ES"/>
        </w:rPr>
        <w:t>Sesiones trimestrales</w:t>
      </w:r>
    </w:p>
    <w:p w:rsidR="001B6AC4" w:rsidRPr="00684475" w:rsidRDefault="00114D79" w:rsidP="00114D79">
      <w:pPr>
        <w:pStyle w:val="ONUME"/>
        <w:tabs>
          <w:tab w:val="left" w:pos="0"/>
          <w:tab w:val="num" w:pos="567"/>
        </w:tabs>
        <w:ind w:left="0"/>
        <w:rPr>
          <w:rFonts w:cs="Arial"/>
          <w:szCs w:val="22"/>
          <w:lang w:val="es-ES"/>
        </w:rPr>
      </w:pPr>
      <w:r w:rsidRPr="00684475">
        <w:rPr>
          <w:rFonts w:cs="Arial"/>
          <w:szCs w:val="22"/>
          <w:lang w:val="es-ES"/>
        </w:rPr>
        <w:t>Durante el período que abarca el informe, la CCIS celebró cuatro sesiones trimestrales: del 15 al 19 de octubre de 2018 (50ª sesión); del 4 al 7 de diciembre de 2018 (51ª sesión); del 19 al 22 de marzo de 2019 (52ª sesión) y del 11 al 14 de julio de 2019 (53ª sesión).</w:t>
      </w:r>
      <w:r w:rsidR="004062F0" w:rsidRPr="00684475">
        <w:rPr>
          <w:rFonts w:cs="Arial"/>
          <w:szCs w:val="22"/>
          <w:lang w:val="es-ES"/>
        </w:rPr>
        <w:t xml:space="preserve"> </w:t>
      </w:r>
      <w:r w:rsidRPr="00684475">
        <w:rPr>
          <w:rFonts w:cs="Arial"/>
          <w:szCs w:val="22"/>
          <w:lang w:val="es-ES"/>
        </w:rPr>
        <w:t xml:space="preserve">De conformidad con su mandato, la Comisión celebró una reunión informativa con los representantes de los Estados </w:t>
      </w:r>
      <w:r w:rsidR="00836AD5">
        <w:rPr>
          <w:rFonts w:cs="Arial"/>
          <w:szCs w:val="22"/>
          <w:lang w:val="es-ES"/>
        </w:rPr>
        <w:t>miembros después de cada sesión</w:t>
      </w:r>
      <w:r w:rsidRPr="00684475">
        <w:rPr>
          <w:rFonts w:cs="Arial"/>
          <w:szCs w:val="22"/>
          <w:lang w:val="es-ES"/>
        </w:rPr>
        <w:t xml:space="preserve"> y publicó los informes de sus sesiones en el sitio web de la OMPI.</w:t>
      </w:r>
    </w:p>
    <w:p w:rsidR="001B6AC4" w:rsidRPr="00684475" w:rsidRDefault="004F0A47" w:rsidP="00114D79">
      <w:pPr>
        <w:tabs>
          <w:tab w:val="left" w:pos="567"/>
        </w:tabs>
        <w:spacing w:after="220"/>
        <w:rPr>
          <w:rFonts w:cs="Arial"/>
          <w:i/>
          <w:szCs w:val="22"/>
          <w:lang w:val="es-ES"/>
        </w:rPr>
      </w:pPr>
      <w:r w:rsidRPr="00684475">
        <w:rPr>
          <w:rFonts w:cs="Arial"/>
          <w:szCs w:val="22"/>
          <w:lang w:val="es-ES"/>
        </w:rPr>
        <w:tab/>
      </w:r>
      <w:r w:rsidR="00114D79" w:rsidRPr="00684475">
        <w:rPr>
          <w:rFonts w:cs="Arial"/>
          <w:i/>
          <w:szCs w:val="22"/>
          <w:lang w:val="es-ES"/>
        </w:rPr>
        <w:t>Composición y proceso de selección para el nombramiento de nuevos miembros</w:t>
      </w:r>
    </w:p>
    <w:p w:rsidR="001B6AC4" w:rsidRPr="00684475" w:rsidRDefault="00016205" w:rsidP="00016205">
      <w:pPr>
        <w:pStyle w:val="ONUME"/>
        <w:tabs>
          <w:tab w:val="left" w:pos="0"/>
          <w:tab w:val="num" w:pos="567"/>
        </w:tabs>
        <w:ind w:left="0"/>
        <w:rPr>
          <w:rFonts w:cs="Arial"/>
          <w:szCs w:val="22"/>
          <w:lang w:val="es-ES"/>
        </w:rPr>
      </w:pPr>
      <w:r w:rsidRPr="00684475">
        <w:rPr>
          <w:rFonts w:cs="Arial"/>
          <w:szCs w:val="22"/>
          <w:lang w:val="es-ES"/>
        </w:rPr>
        <w:t>La CCIS está integrada por siete miembros procedentes de distintos grupos regionales de la OMPI, que actúan a título personal y con independencia de los Estados miembros. De conformidad con su mandato y su Reglamento interno, en su 51ª sesión, celebrada en diciembre de 2018, la Comisión eligió presidenta a la Sra. María Vicien-Milburn y vicepresidenta a la Sra. </w:t>
      </w:r>
      <w:r w:rsidR="00F24C23" w:rsidRPr="00684475">
        <w:rPr>
          <w:rFonts w:cs="Arial"/>
          <w:szCs w:val="22"/>
          <w:lang w:val="es-ES"/>
        </w:rPr>
        <w:t>Tatiana Vasileva.</w:t>
      </w:r>
    </w:p>
    <w:p w:rsidR="001B6AC4" w:rsidRPr="00684475" w:rsidRDefault="009B1085" w:rsidP="009B1085">
      <w:pPr>
        <w:pStyle w:val="ONUME"/>
        <w:tabs>
          <w:tab w:val="left" w:pos="0"/>
          <w:tab w:val="num" w:pos="567"/>
        </w:tabs>
        <w:ind w:left="0"/>
        <w:rPr>
          <w:rFonts w:cs="Arial"/>
          <w:szCs w:val="22"/>
          <w:lang w:val="es-ES"/>
        </w:rPr>
      </w:pPr>
      <w:r w:rsidRPr="00684475">
        <w:rPr>
          <w:rFonts w:cs="Arial"/>
          <w:szCs w:val="22"/>
          <w:lang w:val="es-ES"/>
        </w:rPr>
        <w:t>De conformidad con el proceso de selección descrito en el párrafo 28 del documento WO/GA/39/13, la CCIS está formada actualmente por los siguientes miembros:</w:t>
      </w:r>
      <w:r w:rsidR="004062F0" w:rsidRPr="00684475">
        <w:rPr>
          <w:rFonts w:cs="Arial"/>
          <w:szCs w:val="22"/>
          <w:lang w:val="es-ES"/>
        </w:rPr>
        <w:t xml:space="preserve"> </w:t>
      </w:r>
    </w:p>
    <w:p w:rsidR="001B6AC4" w:rsidRPr="00684475" w:rsidRDefault="009B1085" w:rsidP="009B1085">
      <w:pPr>
        <w:pStyle w:val="BlockText"/>
        <w:numPr>
          <w:ilvl w:val="0"/>
          <w:numId w:val="2"/>
        </w:numPr>
        <w:tabs>
          <w:tab w:val="left" w:pos="567"/>
        </w:tabs>
        <w:ind w:left="993" w:right="0" w:hanging="426"/>
        <w:rPr>
          <w:rFonts w:cs="Arial"/>
          <w:szCs w:val="22"/>
          <w:lang w:val="es-ES"/>
        </w:rPr>
      </w:pPr>
      <w:r w:rsidRPr="00684475">
        <w:rPr>
          <w:rFonts w:cs="Arial"/>
          <w:szCs w:val="22"/>
          <w:lang w:val="es-ES"/>
        </w:rPr>
        <w:t>Sra. María Vicien-Milburn</w:t>
      </w:r>
      <w:r w:rsidR="00482DA4" w:rsidRPr="00684475">
        <w:rPr>
          <w:rFonts w:cs="Arial"/>
          <w:szCs w:val="22"/>
          <w:lang w:val="es-ES"/>
        </w:rPr>
        <w:t>, presidenta</w:t>
      </w:r>
      <w:r w:rsidRPr="00684475">
        <w:rPr>
          <w:rFonts w:cs="Arial"/>
          <w:szCs w:val="22"/>
          <w:lang w:val="es-ES"/>
        </w:rPr>
        <w:t xml:space="preserve"> (Grupo de Países de América Latina y el Caribe); </w:t>
      </w:r>
    </w:p>
    <w:p w:rsidR="001B6AC4" w:rsidRPr="00684475" w:rsidRDefault="009B1085" w:rsidP="009B1085">
      <w:pPr>
        <w:pStyle w:val="BlockText"/>
        <w:numPr>
          <w:ilvl w:val="0"/>
          <w:numId w:val="2"/>
        </w:numPr>
        <w:tabs>
          <w:tab w:val="left" w:pos="567"/>
        </w:tabs>
        <w:ind w:left="993" w:right="0" w:hanging="426"/>
        <w:rPr>
          <w:rFonts w:cs="Arial"/>
          <w:szCs w:val="22"/>
          <w:lang w:val="es-ES"/>
        </w:rPr>
      </w:pPr>
      <w:r w:rsidRPr="00684475">
        <w:rPr>
          <w:rFonts w:cs="Arial"/>
          <w:szCs w:val="22"/>
          <w:lang w:val="es-ES"/>
        </w:rPr>
        <w:t>Sra. Tatiana Vasileva</w:t>
      </w:r>
      <w:r w:rsidR="00482DA4" w:rsidRPr="00684475">
        <w:rPr>
          <w:rFonts w:cs="Arial"/>
          <w:szCs w:val="22"/>
          <w:lang w:val="es-ES"/>
        </w:rPr>
        <w:t>, vicepresidenta</w:t>
      </w:r>
      <w:r w:rsidRPr="00684475">
        <w:rPr>
          <w:rFonts w:cs="Arial"/>
          <w:szCs w:val="22"/>
          <w:lang w:val="es-ES"/>
        </w:rPr>
        <w:t xml:space="preserve"> (Grupo de Países de Asia Central, el Cáucaso y Europa Oriental);</w:t>
      </w:r>
    </w:p>
    <w:p w:rsidR="001B6AC4" w:rsidRPr="00684475" w:rsidRDefault="009B1085" w:rsidP="009B1085">
      <w:pPr>
        <w:pStyle w:val="BlockText"/>
        <w:numPr>
          <w:ilvl w:val="0"/>
          <w:numId w:val="2"/>
        </w:numPr>
        <w:tabs>
          <w:tab w:val="left" w:pos="567"/>
        </w:tabs>
        <w:ind w:left="993" w:right="0" w:hanging="426"/>
        <w:rPr>
          <w:rFonts w:cs="Arial"/>
          <w:szCs w:val="22"/>
          <w:lang w:val="es-ES"/>
        </w:rPr>
      </w:pPr>
      <w:r w:rsidRPr="00684475">
        <w:rPr>
          <w:rFonts w:cs="Arial"/>
          <w:szCs w:val="22"/>
          <w:lang w:val="es-ES"/>
        </w:rPr>
        <w:t>Sr. Gábor Ámon (Grupo de Estados de Europa Central y el Báltico);</w:t>
      </w:r>
    </w:p>
    <w:p w:rsidR="001B6AC4" w:rsidRPr="00684475" w:rsidRDefault="009B1085" w:rsidP="009B1085">
      <w:pPr>
        <w:pStyle w:val="BlockText"/>
        <w:numPr>
          <w:ilvl w:val="0"/>
          <w:numId w:val="2"/>
        </w:numPr>
        <w:tabs>
          <w:tab w:val="left" w:pos="567"/>
        </w:tabs>
        <w:ind w:left="993" w:right="0" w:hanging="426"/>
        <w:rPr>
          <w:rFonts w:cs="Arial"/>
          <w:szCs w:val="22"/>
          <w:lang w:val="es-ES"/>
        </w:rPr>
      </w:pPr>
      <w:r w:rsidRPr="00684475">
        <w:rPr>
          <w:rFonts w:cs="Arial"/>
          <w:szCs w:val="22"/>
          <w:lang w:val="es-ES"/>
        </w:rPr>
        <w:t>Sr. Mukesh Arya (Grupo Asiático);</w:t>
      </w:r>
    </w:p>
    <w:p w:rsidR="001B6AC4" w:rsidRPr="00DA4261" w:rsidRDefault="009B1085" w:rsidP="009B1085">
      <w:pPr>
        <w:pStyle w:val="BlockText"/>
        <w:numPr>
          <w:ilvl w:val="0"/>
          <w:numId w:val="2"/>
        </w:numPr>
        <w:tabs>
          <w:tab w:val="left" w:pos="567"/>
        </w:tabs>
        <w:ind w:left="993" w:right="0" w:hanging="426"/>
        <w:rPr>
          <w:rFonts w:cs="Arial"/>
          <w:szCs w:val="22"/>
          <w:lang w:val="de-CH"/>
        </w:rPr>
      </w:pPr>
      <w:r w:rsidRPr="00DA4261">
        <w:rPr>
          <w:rFonts w:cs="Arial"/>
          <w:szCs w:val="22"/>
          <w:lang w:val="de-CH"/>
        </w:rPr>
        <w:t>Sr. Egbert Kaltenbach (Grupo B)</w:t>
      </w:r>
    </w:p>
    <w:p w:rsidR="001B6AC4" w:rsidRPr="00684475" w:rsidRDefault="009B1085" w:rsidP="009B1085">
      <w:pPr>
        <w:pStyle w:val="BlockText"/>
        <w:numPr>
          <w:ilvl w:val="0"/>
          <w:numId w:val="2"/>
        </w:numPr>
        <w:tabs>
          <w:tab w:val="left" w:pos="567"/>
        </w:tabs>
        <w:ind w:left="993" w:right="0" w:hanging="426"/>
        <w:rPr>
          <w:rFonts w:cs="Arial"/>
          <w:szCs w:val="22"/>
          <w:lang w:val="es-ES"/>
        </w:rPr>
      </w:pPr>
      <w:r w:rsidRPr="00684475">
        <w:rPr>
          <w:rFonts w:cs="Arial"/>
          <w:szCs w:val="22"/>
          <w:lang w:val="es-ES"/>
        </w:rPr>
        <w:t>Sr. Othman Sharif (Grupo Africano); y</w:t>
      </w:r>
      <w:r w:rsidR="006C5040" w:rsidRPr="00684475">
        <w:rPr>
          <w:rFonts w:cs="Arial"/>
          <w:szCs w:val="22"/>
          <w:lang w:val="es-ES"/>
        </w:rPr>
        <w:t xml:space="preserve"> </w:t>
      </w:r>
    </w:p>
    <w:p w:rsidR="001B6AC4" w:rsidRPr="00684475" w:rsidRDefault="009B1085" w:rsidP="009B1085">
      <w:pPr>
        <w:pStyle w:val="BlockText"/>
        <w:numPr>
          <w:ilvl w:val="0"/>
          <w:numId w:val="2"/>
        </w:numPr>
        <w:tabs>
          <w:tab w:val="left" w:pos="567"/>
        </w:tabs>
        <w:ind w:left="993" w:right="0" w:hanging="426"/>
        <w:rPr>
          <w:rFonts w:cs="Arial"/>
          <w:szCs w:val="22"/>
          <w:lang w:val="es-ES"/>
        </w:rPr>
      </w:pPr>
      <w:r w:rsidRPr="00684475">
        <w:rPr>
          <w:rFonts w:cs="Arial"/>
          <w:szCs w:val="22"/>
          <w:lang w:val="es-ES"/>
        </w:rPr>
        <w:t>Sr. Zhang Long (China).</w:t>
      </w:r>
    </w:p>
    <w:p w:rsidR="001B6AC4" w:rsidRPr="00684475" w:rsidRDefault="009B1085" w:rsidP="009B1085">
      <w:pPr>
        <w:pStyle w:val="ONUME"/>
        <w:numPr>
          <w:ilvl w:val="0"/>
          <w:numId w:val="0"/>
        </w:numPr>
        <w:rPr>
          <w:rFonts w:cs="Arial"/>
          <w:szCs w:val="22"/>
          <w:lang w:val="es-ES"/>
        </w:rPr>
      </w:pPr>
      <w:r w:rsidRPr="00684475">
        <w:rPr>
          <w:rFonts w:cs="Arial"/>
          <w:szCs w:val="22"/>
          <w:lang w:val="es-ES"/>
        </w:rPr>
        <w:t>La composición de la CCIS refleja una combinación y equilibrio adecuados de competencias, conocimientos técnicos y experiencia.</w:t>
      </w:r>
    </w:p>
    <w:p w:rsidR="001B6AC4" w:rsidRPr="00684475" w:rsidRDefault="00016205" w:rsidP="007A7CF0">
      <w:pPr>
        <w:numPr>
          <w:ilvl w:val="0"/>
          <w:numId w:val="1"/>
        </w:numPr>
        <w:tabs>
          <w:tab w:val="left" w:pos="567"/>
        </w:tabs>
        <w:spacing w:after="220"/>
        <w:ind w:left="0"/>
        <w:rPr>
          <w:rFonts w:eastAsia="SimSun"/>
          <w:lang w:val="es-ES" w:eastAsia="zh-CN"/>
        </w:rPr>
      </w:pPr>
      <w:r w:rsidRPr="00684475">
        <w:rPr>
          <w:rFonts w:eastAsia="SimSun"/>
          <w:lang w:val="es-ES" w:eastAsia="zh-CN"/>
        </w:rPr>
        <w:t xml:space="preserve">Habida cuenta de que el mandato de dos miembros, que representan al Grupo de Estados de Europa Central y el Báltico (CEBS) y al Grupo B, vencerá el 31 de enero de 2020, </w:t>
      </w:r>
      <w:r w:rsidRPr="00684475">
        <w:rPr>
          <w:rFonts w:eastAsia="SimSun"/>
          <w:lang w:val="es-ES" w:eastAsia="zh-CN"/>
        </w:rPr>
        <w:lastRenderedPageBreak/>
        <w:t xml:space="preserve">se ha emprendido el proceso de selección que se describe en el párrafo 28 del documento </w:t>
      </w:r>
      <w:r w:rsidR="00F437FB" w:rsidRPr="00684475">
        <w:rPr>
          <w:rFonts w:eastAsia="SimSun"/>
          <w:lang w:val="es-ES" w:eastAsia="zh-CN"/>
        </w:rPr>
        <w:t>WO/GA/39/13.</w:t>
      </w:r>
    </w:p>
    <w:p w:rsidR="001B6AC4" w:rsidRPr="00684475" w:rsidRDefault="00016205" w:rsidP="007A7CF0">
      <w:pPr>
        <w:numPr>
          <w:ilvl w:val="0"/>
          <w:numId w:val="1"/>
        </w:numPr>
        <w:tabs>
          <w:tab w:val="left" w:pos="567"/>
        </w:tabs>
        <w:spacing w:after="220"/>
        <w:ind w:left="0"/>
        <w:rPr>
          <w:i/>
          <w:lang w:val="es-ES"/>
        </w:rPr>
      </w:pPr>
      <w:r w:rsidRPr="00684475">
        <w:rPr>
          <w:lang w:val="es-ES"/>
        </w:rPr>
        <w:t>En su</w:t>
      </w:r>
      <w:r w:rsidR="00F437FB" w:rsidRPr="00684475">
        <w:rPr>
          <w:lang w:val="es-ES"/>
        </w:rPr>
        <w:t xml:space="preserve"> 52</w:t>
      </w:r>
      <w:r w:rsidRPr="00684475">
        <w:rPr>
          <w:vertAlign w:val="superscript"/>
          <w:lang w:val="es-ES"/>
        </w:rPr>
        <w:t>ª</w:t>
      </w:r>
      <w:r w:rsidR="00F437FB" w:rsidRPr="00684475">
        <w:rPr>
          <w:lang w:val="es-ES"/>
        </w:rPr>
        <w:t xml:space="preserve"> </w:t>
      </w:r>
      <w:r w:rsidRPr="00684475">
        <w:rPr>
          <w:lang w:val="es-ES"/>
        </w:rPr>
        <w:t>sesión</w:t>
      </w:r>
      <w:r w:rsidR="00F437FB" w:rsidRPr="00684475">
        <w:rPr>
          <w:lang w:val="es-ES"/>
        </w:rPr>
        <w:t>,</w:t>
      </w:r>
      <w:r w:rsidR="0095405B" w:rsidRPr="00684475">
        <w:rPr>
          <w:lang w:val="es-ES"/>
        </w:rPr>
        <w:t xml:space="preserve"> el secretario del Comité de Selección informó a la Comisión de que el anunci</w:t>
      </w:r>
      <w:r w:rsidR="00887D1B" w:rsidRPr="00684475">
        <w:rPr>
          <w:lang w:val="es-ES"/>
        </w:rPr>
        <w:t>o</w:t>
      </w:r>
      <w:r w:rsidR="0095405B" w:rsidRPr="00684475">
        <w:rPr>
          <w:lang w:val="es-ES"/>
        </w:rPr>
        <w:t xml:space="preserve"> de las vacantes ha generado un total de 157 candidaturas, de las cuales 78 se han considerado admisibles por cumplir los requisitos esenciales. Con arreglo a la matriz previamente acordada con el Comité de Selección, la Comisión examinó y calificó esas 78 candidaturas, y </w:t>
      </w:r>
      <w:r w:rsidR="00887D1B" w:rsidRPr="00684475">
        <w:rPr>
          <w:lang w:val="es-ES"/>
        </w:rPr>
        <w:t>eligió</w:t>
      </w:r>
      <w:r w:rsidR="0095405B" w:rsidRPr="00684475">
        <w:rPr>
          <w:lang w:val="es-ES"/>
        </w:rPr>
        <w:t xml:space="preserve"> a 13 candidatos con la mayor puntuaci</w:t>
      </w:r>
      <w:r w:rsidR="000125D7" w:rsidRPr="00684475">
        <w:rPr>
          <w:lang w:val="es-ES"/>
        </w:rPr>
        <w:t>ón</w:t>
      </w:r>
      <w:r w:rsidR="0015230C" w:rsidRPr="00684475">
        <w:rPr>
          <w:lang w:val="es-ES"/>
        </w:rPr>
        <w:t>.</w:t>
      </w:r>
    </w:p>
    <w:p w:rsidR="001B6AC4" w:rsidRPr="00684475" w:rsidRDefault="008A6DDC" w:rsidP="007A7CF0">
      <w:pPr>
        <w:pStyle w:val="ONUME"/>
        <w:tabs>
          <w:tab w:val="left" w:pos="567"/>
        </w:tabs>
        <w:ind w:left="0"/>
        <w:rPr>
          <w:rFonts w:cs="Arial"/>
          <w:szCs w:val="22"/>
          <w:lang w:val="es-ES"/>
        </w:rPr>
      </w:pPr>
      <w:r w:rsidRPr="00684475">
        <w:rPr>
          <w:rFonts w:cs="Arial"/>
          <w:color w:val="000000"/>
          <w:szCs w:val="22"/>
          <w:lang w:val="es-ES"/>
        </w:rPr>
        <w:t xml:space="preserve">Con arreglo al proceso establecido, las candidaturas sometidas a la evaluación del Comité procedían de candidatos de diferentes grupos regionales ya representados en la Comisión, por lo que es muy improbable que sean seleccionados. </w:t>
      </w:r>
      <w:r w:rsidR="000125D7" w:rsidRPr="00684475">
        <w:rPr>
          <w:rFonts w:cs="Arial"/>
          <w:color w:val="000000"/>
          <w:szCs w:val="22"/>
          <w:lang w:val="es-ES"/>
        </w:rPr>
        <w:t>En opinión de la Comisión</w:t>
      </w:r>
      <w:r w:rsidRPr="00684475">
        <w:rPr>
          <w:rFonts w:cs="Arial"/>
          <w:color w:val="000000"/>
          <w:szCs w:val="22"/>
          <w:lang w:val="es-ES"/>
        </w:rPr>
        <w:t xml:space="preserve">, el proceso resultaría más eficaz si </w:t>
      </w:r>
      <w:r w:rsidR="000125D7" w:rsidRPr="00684475">
        <w:rPr>
          <w:rFonts w:cs="Arial"/>
          <w:color w:val="000000"/>
          <w:szCs w:val="22"/>
          <w:lang w:val="es-ES"/>
        </w:rPr>
        <w:t>se centrara la atención en las candidaturas procedentes de los grupos prioritarios, esto es, los grupos que ya no tienen representación en la Comisión</w:t>
      </w:r>
      <w:r w:rsidR="000125D7" w:rsidRPr="00684475">
        <w:rPr>
          <w:rFonts w:cs="Arial"/>
          <w:szCs w:val="22"/>
          <w:lang w:val="es-ES"/>
        </w:rPr>
        <w:t>.</w:t>
      </w:r>
      <w:r w:rsidR="004062F0" w:rsidRPr="00684475">
        <w:rPr>
          <w:bCs/>
          <w:iCs/>
          <w:szCs w:val="22"/>
          <w:lang w:val="es-ES"/>
        </w:rPr>
        <w:t xml:space="preserve"> </w:t>
      </w:r>
      <w:r w:rsidR="009B1085" w:rsidRPr="00684475">
        <w:rPr>
          <w:bCs/>
          <w:iCs/>
          <w:szCs w:val="22"/>
          <w:lang w:val="es-ES"/>
        </w:rPr>
        <w:t>La Comisión es consciente de que todo cambio de procedimiento requerirá una revisión del proceso de selección y rotación de los miembros de la CCIS que figura en el documento WO/GA/39/13. Por consiguiente, desea señalar este aspecto en una etapa temprana para que los Estados miembros lo tengan en cuenta antes del próximo proceso de selección.</w:t>
      </w:r>
    </w:p>
    <w:p w:rsidR="001B6AC4" w:rsidRPr="00684475" w:rsidRDefault="004F0A47" w:rsidP="009B1085">
      <w:pPr>
        <w:tabs>
          <w:tab w:val="left" w:pos="567"/>
        </w:tabs>
        <w:spacing w:after="220"/>
        <w:rPr>
          <w:rFonts w:cs="Arial"/>
          <w:i/>
          <w:szCs w:val="22"/>
          <w:lang w:val="es-ES"/>
        </w:rPr>
      </w:pPr>
      <w:r w:rsidRPr="00684475">
        <w:rPr>
          <w:rFonts w:cs="Arial"/>
          <w:i/>
          <w:szCs w:val="22"/>
          <w:lang w:val="es-ES"/>
        </w:rPr>
        <w:tab/>
      </w:r>
      <w:r w:rsidR="009B1085" w:rsidRPr="00684475">
        <w:rPr>
          <w:rFonts w:cs="Arial"/>
          <w:i/>
          <w:szCs w:val="22"/>
          <w:lang w:val="es-ES"/>
        </w:rPr>
        <w:t>Metodología</w:t>
      </w:r>
    </w:p>
    <w:p w:rsidR="001B6AC4" w:rsidRPr="00684475" w:rsidRDefault="009B1085" w:rsidP="009B1085">
      <w:pPr>
        <w:pStyle w:val="ONUME"/>
        <w:tabs>
          <w:tab w:val="left" w:pos="0"/>
          <w:tab w:val="num" w:pos="567"/>
        </w:tabs>
        <w:ind w:left="0"/>
        <w:rPr>
          <w:rFonts w:cs="Arial"/>
          <w:szCs w:val="22"/>
          <w:lang w:val="es-ES"/>
        </w:rPr>
      </w:pPr>
      <w:r w:rsidRPr="00684475">
        <w:rPr>
          <w:rFonts w:cs="Arial"/>
          <w:szCs w:val="22"/>
          <w:lang w:val="es-ES"/>
        </w:rPr>
        <w:t xml:space="preserve">La Comisión no es un órgano ejecutivo; su misión es prestar asesoramiento mediante la cooperación con el director general y otros altos funcionarios de la OMPI, el director de la División de Supervisión Interna (DSI), </w:t>
      </w:r>
      <w:r w:rsidR="00887D1B" w:rsidRPr="00684475">
        <w:rPr>
          <w:rFonts w:cs="Arial"/>
          <w:szCs w:val="22"/>
          <w:lang w:val="es-ES"/>
        </w:rPr>
        <w:t>el</w:t>
      </w:r>
      <w:r w:rsidRPr="00684475">
        <w:rPr>
          <w:rFonts w:cs="Arial"/>
          <w:szCs w:val="22"/>
          <w:lang w:val="es-ES"/>
        </w:rPr>
        <w:t xml:space="preserve"> oficial jef</w:t>
      </w:r>
      <w:r w:rsidR="00887D1B" w:rsidRPr="00684475">
        <w:rPr>
          <w:rFonts w:cs="Arial"/>
          <w:szCs w:val="22"/>
          <w:lang w:val="es-ES"/>
        </w:rPr>
        <w:t>e</w:t>
      </w:r>
      <w:r w:rsidRPr="00684475">
        <w:rPr>
          <w:rFonts w:cs="Arial"/>
          <w:szCs w:val="22"/>
          <w:lang w:val="es-ES"/>
        </w:rPr>
        <w:t xml:space="preserve"> de Ética Profesional, el mediador</w:t>
      </w:r>
      <w:r w:rsidR="004610A1">
        <w:rPr>
          <w:rFonts w:cs="Arial"/>
          <w:szCs w:val="22"/>
          <w:lang w:val="es-ES"/>
        </w:rPr>
        <w:t>, el contralor</w:t>
      </w:r>
      <w:r w:rsidRPr="00684475">
        <w:rPr>
          <w:rFonts w:cs="Arial"/>
          <w:szCs w:val="22"/>
          <w:lang w:val="es-ES"/>
        </w:rPr>
        <w:t xml:space="preserve"> y el auditor externo, principalmente sobre la base de los informes e información que se le facilitan.</w:t>
      </w:r>
      <w:r w:rsidR="004062F0" w:rsidRPr="00684475">
        <w:rPr>
          <w:rFonts w:cs="Arial"/>
          <w:szCs w:val="22"/>
          <w:lang w:val="es-ES"/>
        </w:rPr>
        <w:t xml:space="preserve"> </w:t>
      </w:r>
      <w:r w:rsidRPr="00684475">
        <w:rPr>
          <w:rFonts w:cs="Arial"/>
          <w:szCs w:val="22"/>
          <w:lang w:val="es-ES"/>
        </w:rPr>
        <w:t>Para establecer sus conclusiones, lleva a cabo deliberaciones internas sobre cuestiones pertinentes.</w:t>
      </w:r>
    </w:p>
    <w:p w:rsidR="001B6AC4" w:rsidRPr="00684475" w:rsidRDefault="009B1085" w:rsidP="009B1085">
      <w:pPr>
        <w:pStyle w:val="ONUME"/>
        <w:tabs>
          <w:tab w:val="left" w:pos="0"/>
          <w:tab w:val="num" w:pos="567"/>
        </w:tabs>
        <w:ind w:left="0"/>
        <w:rPr>
          <w:lang w:val="es-ES"/>
        </w:rPr>
      </w:pPr>
      <w:r w:rsidRPr="00684475">
        <w:rPr>
          <w:lang w:val="es-ES"/>
        </w:rPr>
        <w:t xml:space="preserve">Durante el período que abarca el informe, </w:t>
      </w:r>
      <w:r w:rsidR="0044448E" w:rsidRPr="00684475">
        <w:rPr>
          <w:lang w:val="es-ES"/>
        </w:rPr>
        <w:t>la Comisión</w:t>
      </w:r>
      <w:r w:rsidRPr="00684475">
        <w:rPr>
          <w:lang w:val="es-ES"/>
        </w:rPr>
        <w:t xml:space="preserve"> recibió sesiones informativas sobre el Sector de Cuestiones Mundiales y sobre el Sector de Desarrollo.</w:t>
      </w:r>
      <w:r w:rsidR="004062F0" w:rsidRPr="00684475">
        <w:rPr>
          <w:lang w:val="es-ES"/>
        </w:rPr>
        <w:t xml:space="preserve"> </w:t>
      </w:r>
      <w:r w:rsidRPr="00684475">
        <w:rPr>
          <w:lang w:val="es-ES"/>
        </w:rPr>
        <w:t>Las reuniones con los directores de programa y los equipos a su cargo aportaron una instructiva y amplia síntesis de las funciones y actividades esenciales de la OMPI y ayudaron a la CCIS a comprender mejor el contexto de sus funciones de supervisión.</w:t>
      </w:r>
    </w:p>
    <w:p w:rsidR="001B6AC4" w:rsidRPr="00684475" w:rsidRDefault="009B1085" w:rsidP="009B1085">
      <w:pPr>
        <w:pStyle w:val="Heading1"/>
        <w:numPr>
          <w:ilvl w:val="0"/>
          <w:numId w:val="6"/>
        </w:numPr>
        <w:spacing w:before="120" w:after="220"/>
        <w:ind w:left="567" w:hanging="567"/>
        <w:rPr>
          <w:sz w:val="22"/>
          <w:szCs w:val="22"/>
          <w:lang w:val="es-ES"/>
        </w:rPr>
      </w:pPr>
      <w:bookmarkStart w:id="12" w:name="_Toc12889929"/>
      <w:r w:rsidRPr="00684475">
        <w:rPr>
          <w:sz w:val="22"/>
          <w:szCs w:val="22"/>
          <w:lang w:val="es-ES"/>
        </w:rPr>
        <w:t>ASUNTOS EXAMINADOS</w:t>
      </w:r>
      <w:bookmarkEnd w:id="12"/>
    </w:p>
    <w:p w:rsidR="001B6AC4" w:rsidRPr="00684475" w:rsidRDefault="009B1085" w:rsidP="009B1085">
      <w:pPr>
        <w:pStyle w:val="Heading3"/>
        <w:spacing w:before="0" w:after="220"/>
        <w:ind w:left="0" w:firstLine="0"/>
        <w:rPr>
          <w:lang w:val="es-ES"/>
        </w:rPr>
      </w:pPr>
      <w:bookmarkStart w:id="13" w:name="_Toc429145909"/>
      <w:bookmarkStart w:id="14" w:name="_Toc429147802"/>
      <w:bookmarkStart w:id="15" w:name="_Toc429147820"/>
      <w:bookmarkStart w:id="16" w:name="_Toc429384079"/>
      <w:bookmarkStart w:id="17" w:name="_Toc12889930"/>
      <w:bookmarkEnd w:id="13"/>
      <w:bookmarkEnd w:id="14"/>
      <w:bookmarkEnd w:id="15"/>
      <w:bookmarkEnd w:id="16"/>
      <w:r w:rsidRPr="00684475">
        <w:rPr>
          <w:lang w:val="es-ES"/>
        </w:rPr>
        <w:t>Supervisión interna</w:t>
      </w:r>
      <w:bookmarkEnd w:id="17"/>
    </w:p>
    <w:p w:rsidR="001B6AC4" w:rsidRPr="00684475" w:rsidRDefault="004F0A47" w:rsidP="009B1085">
      <w:pPr>
        <w:tabs>
          <w:tab w:val="left" w:pos="567"/>
        </w:tabs>
        <w:spacing w:after="220"/>
        <w:rPr>
          <w:rFonts w:cs="Arial"/>
          <w:i/>
          <w:szCs w:val="22"/>
          <w:lang w:val="es-ES"/>
        </w:rPr>
      </w:pPr>
      <w:r w:rsidRPr="00684475">
        <w:rPr>
          <w:rFonts w:cs="Arial"/>
          <w:i/>
          <w:szCs w:val="22"/>
          <w:lang w:val="es-ES"/>
        </w:rPr>
        <w:tab/>
      </w:r>
      <w:r w:rsidR="009B1085" w:rsidRPr="00684475">
        <w:rPr>
          <w:rFonts w:cs="Arial"/>
          <w:i/>
          <w:szCs w:val="22"/>
          <w:lang w:val="es-ES"/>
        </w:rPr>
        <w:t>Plan de supervisión interna y resultados del plan de trabajo</w:t>
      </w:r>
    </w:p>
    <w:p w:rsidR="001B6AC4" w:rsidRPr="00684475" w:rsidRDefault="000125D7" w:rsidP="009C00D3">
      <w:pPr>
        <w:pStyle w:val="ONUME"/>
        <w:tabs>
          <w:tab w:val="left" w:pos="540"/>
          <w:tab w:val="num" w:pos="1170"/>
        </w:tabs>
        <w:ind w:left="0"/>
        <w:rPr>
          <w:rStyle w:val="normalchar1"/>
          <w:rFonts w:ascii="Arial" w:hAnsi="Arial" w:cs="Times New Roman"/>
          <w:szCs w:val="20"/>
          <w:lang w:val="es-ES"/>
        </w:rPr>
      </w:pPr>
      <w:r w:rsidRPr="00684475">
        <w:rPr>
          <w:rStyle w:val="normalchar1"/>
          <w:rFonts w:ascii="Arial" w:hAnsi="Arial" w:cs="Times New Roman"/>
          <w:szCs w:val="20"/>
          <w:lang w:val="es-ES"/>
        </w:rPr>
        <w:t xml:space="preserve">En su 51ª sesión, la Comisión examinó, junto con el director de la DSI, la propuesta de plan de trabajo anual de supervisión de 2019 y se manifestó satisfecha con la metodología de gestión de riesgos aplicada. El plan de trabajo anual de 2019 </w:t>
      </w:r>
      <w:r w:rsidR="009C00D3" w:rsidRPr="00684475">
        <w:rPr>
          <w:rStyle w:val="normalchar1"/>
          <w:rFonts w:ascii="Arial" w:hAnsi="Arial" w:cs="Times New Roman"/>
          <w:szCs w:val="20"/>
          <w:lang w:val="es-ES"/>
        </w:rPr>
        <w:t xml:space="preserve">comprende cinco auditorías internas, tres evaluaciones y dos encargos de auditoría y de evaluación. Durante la 52ª sesión, la DSI informó a la Comisión de que, por petición de la </w:t>
      </w:r>
      <w:r w:rsidR="00464569">
        <w:rPr>
          <w:rStyle w:val="normalchar1"/>
          <w:rFonts w:ascii="Arial" w:hAnsi="Arial" w:cs="Times New Roman"/>
          <w:szCs w:val="20"/>
          <w:lang w:val="es-ES"/>
        </w:rPr>
        <w:t>D</w:t>
      </w:r>
      <w:r w:rsidR="009C00D3" w:rsidRPr="00684475">
        <w:rPr>
          <w:rStyle w:val="normalchar1"/>
          <w:rFonts w:ascii="Arial" w:hAnsi="Arial" w:cs="Times New Roman"/>
          <w:szCs w:val="20"/>
          <w:lang w:val="es-ES"/>
        </w:rPr>
        <w:t>irección, se ha añadido en el plan de trabajo una auditoría del proyecto piloto del PCT de compensación por saldos netos</w:t>
      </w:r>
      <w:r w:rsidR="0044448E" w:rsidRPr="00684475">
        <w:rPr>
          <w:rStyle w:val="normalchar1"/>
          <w:rFonts w:ascii="Arial" w:hAnsi="Arial" w:cs="Times New Roman"/>
          <w:szCs w:val="20"/>
          <w:lang w:val="es-ES"/>
        </w:rPr>
        <w:t>,</w:t>
      </w:r>
      <w:r w:rsidR="009C00D3" w:rsidRPr="00684475">
        <w:rPr>
          <w:rStyle w:val="normalchar1"/>
          <w:rFonts w:ascii="Arial" w:hAnsi="Arial" w:cs="Times New Roman"/>
          <w:szCs w:val="20"/>
          <w:lang w:val="es-ES"/>
        </w:rPr>
        <w:t xml:space="preserve"> en la medida en que dicho proyecto tiene por objeto mejorar la gestión de efectivo y reducir la exposición al riesgo cambiario de las tasas del PCT</w:t>
      </w:r>
      <w:r w:rsidR="0044448E" w:rsidRPr="00684475">
        <w:rPr>
          <w:rStyle w:val="normalchar1"/>
          <w:rFonts w:ascii="Arial" w:hAnsi="Arial" w:cs="Times New Roman"/>
          <w:szCs w:val="20"/>
          <w:lang w:val="es-ES"/>
        </w:rPr>
        <w:t>.</w:t>
      </w:r>
      <w:r w:rsidR="009C00D3" w:rsidRPr="00684475">
        <w:rPr>
          <w:rStyle w:val="normalchar1"/>
          <w:rFonts w:ascii="Arial" w:hAnsi="Arial" w:cs="Times New Roman"/>
          <w:szCs w:val="20"/>
          <w:lang w:val="es-ES"/>
        </w:rPr>
        <w:t xml:space="preserve"> </w:t>
      </w:r>
      <w:r w:rsidR="0044448E" w:rsidRPr="00684475">
        <w:rPr>
          <w:rStyle w:val="normalchar1"/>
          <w:rFonts w:ascii="Arial" w:hAnsi="Arial" w:cs="Times New Roman"/>
          <w:szCs w:val="20"/>
          <w:lang w:val="es-ES"/>
        </w:rPr>
        <w:t>L</w:t>
      </w:r>
      <w:r w:rsidR="009C00D3" w:rsidRPr="00684475">
        <w:rPr>
          <w:rStyle w:val="normalchar1"/>
          <w:rFonts w:ascii="Arial" w:hAnsi="Arial" w:cs="Times New Roman"/>
          <w:szCs w:val="20"/>
          <w:lang w:val="es-ES"/>
        </w:rPr>
        <w:t>a Comisión considera que esta auditoría es sumamente pertinente y acoge con satisfacción que se incorpore en el plan de trabajo</w:t>
      </w:r>
      <w:r w:rsidR="00BB5732" w:rsidRPr="00684475">
        <w:rPr>
          <w:rStyle w:val="normalchar1"/>
          <w:rFonts w:ascii="Arial" w:hAnsi="Arial" w:cs="Arial"/>
          <w:iCs/>
          <w:lang w:val="es-ES"/>
        </w:rPr>
        <w:t>.</w:t>
      </w:r>
    </w:p>
    <w:p w:rsidR="001B6AC4" w:rsidRPr="00684475" w:rsidRDefault="009C00D3" w:rsidP="009C00D3">
      <w:pPr>
        <w:pStyle w:val="ONUME"/>
        <w:tabs>
          <w:tab w:val="left" w:pos="540"/>
          <w:tab w:val="num" w:pos="1170"/>
        </w:tabs>
        <w:ind w:left="0"/>
        <w:rPr>
          <w:lang w:val="es-ES"/>
        </w:rPr>
      </w:pPr>
      <w:r w:rsidRPr="00684475">
        <w:rPr>
          <w:rStyle w:val="normalchar1"/>
          <w:rFonts w:ascii="Arial" w:hAnsi="Arial" w:cs="Times New Roman"/>
          <w:szCs w:val="20"/>
          <w:lang w:val="es-ES"/>
        </w:rPr>
        <w:t>En cada una de sus sesiones, la Comisión examinó con el director de la DSI el informe de actividades de la DSI con respecto al período anterior. La Comisión manifiesta su satisfacción ante los avances logrados por la DSI en la ejecución de sus planes de trabajo.</w:t>
      </w:r>
    </w:p>
    <w:p w:rsidR="001B6AC4" w:rsidRPr="00684475" w:rsidRDefault="000570EF" w:rsidP="00D50E2F">
      <w:pPr>
        <w:pStyle w:val="ONUME"/>
        <w:numPr>
          <w:ilvl w:val="0"/>
          <w:numId w:val="0"/>
        </w:numPr>
        <w:tabs>
          <w:tab w:val="left" w:pos="0"/>
        </w:tabs>
        <w:ind w:left="567"/>
        <w:rPr>
          <w:rStyle w:val="normalchar1"/>
          <w:rFonts w:ascii="Arial" w:hAnsi="Arial" w:cs="Arial"/>
          <w:iCs/>
          <w:lang w:val="es-ES"/>
        </w:rPr>
      </w:pPr>
      <w:r w:rsidRPr="00684475">
        <w:rPr>
          <w:rStyle w:val="normalchar1"/>
          <w:rFonts w:ascii="Arial" w:hAnsi="Arial" w:cs="Arial"/>
          <w:i/>
          <w:iCs/>
          <w:lang w:val="es-ES"/>
        </w:rPr>
        <w:t>Informe anual de la DSI</w:t>
      </w:r>
    </w:p>
    <w:p w:rsidR="001B6AC4" w:rsidRPr="00684475" w:rsidRDefault="00D42A9F" w:rsidP="00C325FE">
      <w:pPr>
        <w:pStyle w:val="ONUME"/>
        <w:tabs>
          <w:tab w:val="left" w:pos="0"/>
          <w:tab w:val="num" w:pos="567"/>
        </w:tabs>
        <w:ind w:left="0"/>
        <w:rPr>
          <w:rStyle w:val="normalchar1"/>
          <w:rFonts w:ascii="Arial" w:eastAsia="Times New Roman" w:hAnsi="Arial" w:cs="Arial"/>
          <w:lang w:val="es-ES" w:eastAsia="en-US"/>
        </w:rPr>
      </w:pPr>
      <w:r w:rsidRPr="00684475">
        <w:rPr>
          <w:rStyle w:val="normalchar1"/>
          <w:rFonts w:ascii="Arial" w:eastAsia="Times New Roman" w:hAnsi="Arial" w:cs="Arial"/>
          <w:lang w:val="es-ES" w:eastAsia="en-US"/>
        </w:rPr>
        <w:lastRenderedPageBreak/>
        <w:t xml:space="preserve">En su 53ª sesión, la Comisión examinó el proyecto de informe anual elaborado por el director de la DSI, que abarca el período comprendido entre el 1 de julio de 2018 y el 30 de junio de 2019. La Comisión comparte la opinión del </w:t>
      </w:r>
      <w:r w:rsidR="00543971" w:rsidRPr="00684475">
        <w:rPr>
          <w:rStyle w:val="normalchar1"/>
          <w:rFonts w:ascii="Arial" w:eastAsia="Times New Roman" w:hAnsi="Arial" w:cs="Arial"/>
          <w:lang w:val="es-ES" w:eastAsia="en-US"/>
        </w:rPr>
        <w:t>a</w:t>
      </w:r>
      <w:r w:rsidRPr="00684475">
        <w:rPr>
          <w:rStyle w:val="normalchar1"/>
          <w:rFonts w:ascii="Arial" w:eastAsia="Times New Roman" w:hAnsi="Arial" w:cs="Arial"/>
          <w:lang w:val="es-ES" w:eastAsia="en-US"/>
        </w:rPr>
        <w:t xml:space="preserve">uditor </w:t>
      </w:r>
      <w:r w:rsidR="00543971" w:rsidRPr="00684475">
        <w:rPr>
          <w:rStyle w:val="normalchar1"/>
          <w:rFonts w:ascii="Arial" w:eastAsia="Times New Roman" w:hAnsi="Arial" w:cs="Arial"/>
          <w:lang w:val="es-ES" w:eastAsia="en-US"/>
        </w:rPr>
        <w:t>e</w:t>
      </w:r>
      <w:r w:rsidRPr="00684475">
        <w:rPr>
          <w:rStyle w:val="normalchar1"/>
          <w:rFonts w:ascii="Arial" w:eastAsia="Times New Roman" w:hAnsi="Arial" w:cs="Arial"/>
          <w:lang w:val="es-ES" w:eastAsia="en-US"/>
        </w:rPr>
        <w:t>xterno</w:t>
      </w:r>
      <w:r w:rsidR="00030BD8" w:rsidRPr="00684475">
        <w:rPr>
          <w:rStyle w:val="normalchar1"/>
          <w:rFonts w:ascii="Arial" w:eastAsia="Times New Roman" w:hAnsi="Arial" w:cs="Arial"/>
          <w:lang w:val="es-ES" w:eastAsia="en-US"/>
        </w:rPr>
        <w:t xml:space="preserve"> de que sería conveniente que la DSI armonizara el período que abarca el informe con el período del plan de trabajo anual de la DSI (1 de enero a 31 de diciembre). De esa manera</w:t>
      </w:r>
      <w:r w:rsidR="00784546">
        <w:rPr>
          <w:rStyle w:val="normalchar1"/>
          <w:rFonts w:ascii="Arial" w:eastAsia="Times New Roman" w:hAnsi="Arial" w:cs="Arial"/>
          <w:lang w:val="es-ES" w:eastAsia="en-US"/>
        </w:rPr>
        <w:t>,</w:t>
      </w:r>
      <w:r w:rsidR="00030BD8" w:rsidRPr="00684475">
        <w:rPr>
          <w:rStyle w:val="normalchar1"/>
          <w:rFonts w:ascii="Arial" w:eastAsia="Times New Roman" w:hAnsi="Arial" w:cs="Arial"/>
          <w:lang w:val="es-ES" w:eastAsia="en-US"/>
        </w:rPr>
        <w:t xml:space="preserve"> no solo se garantizaría la armonización de los períodos del plan de trabajo y del informe, sino que también se</w:t>
      </w:r>
      <w:r w:rsidR="00784546">
        <w:rPr>
          <w:rStyle w:val="normalchar1"/>
          <w:rFonts w:ascii="Arial" w:eastAsia="Times New Roman" w:hAnsi="Arial" w:cs="Arial"/>
          <w:lang w:val="es-ES" w:eastAsia="en-US"/>
        </w:rPr>
        <w:t xml:space="preserve"> se</w:t>
      </w:r>
      <w:r w:rsidR="00030BD8" w:rsidRPr="00684475">
        <w:rPr>
          <w:rStyle w:val="normalchar1"/>
          <w:rFonts w:ascii="Arial" w:eastAsia="Times New Roman" w:hAnsi="Arial" w:cs="Arial"/>
          <w:lang w:val="es-ES" w:eastAsia="en-US"/>
        </w:rPr>
        <w:t>ntaría</w:t>
      </w:r>
      <w:r w:rsidR="00784546">
        <w:rPr>
          <w:rStyle w:val="normalchar1"/>
          <w:rFonts w:ascii="Arial" w:eastAsia="Times New Roman" w:hAnsi="Arial" w:cs="Arial"/>
          <w:lang w:val="es-ES" w:eastAsia="en-US"/>
        </w:rPr>
        <w:t>n</w:t>
      </w:r>
      <w:r w:rsidR="00030BD8" w:rsidRPr="00684475">
        <w:rPr>
          <w:rStyle w:val="normalchar1"/>
          <w:rFonts w:ascii="Arial" w:eastAsia="Times New Roman" w:hAnsi="Arial" w:cs="Arial"/>
          <w:lang w:val="es-ES" w:eastAsia="en-US"/>
        </w:rPr>
        <w:t xml:space="preserve"> las bases para la ejecución de la declaración anual de garantía del control interno</w:t>
      </w:r>
      <w:r w:rsidR="00DE360C" w:rsidRPr="00684475">
        <w:rPr>
          <w:rStyle w:val="normalchar1"/>
          <w:rFonts w:ascii="Arial" w:eastAsia="Times New Roman" w:hAnsi="Arial" w:cs="Arial"/>
          <w:lang w:val="es-ES" w:eastAsia="en-US"/>
        </w:rPr>
        <w:t xml:space="preserve">. </w:t>
      </w:r>
    </w:p>
    <w:p w:rsidR="001B6AC4" w:rsidRPr="00684475" w:rsidRDefault="00B25A49" w:rsidP="00B25A49">
      <w:pPr>
        <w:pStyle w:val="ONUME"/>
        <w:numPr>
          <w:ilvl w:val="0"/>
          <w:numId w:val="0"/>
        </w:numPr>
        <w:ind w:firstLine="567"/>
        <w:rPr>
          <w:i/>
          <w:lang w:val="es-ES"/>
        </w:rPr>
      </w:pPr>
      <w:r w:rsidRPr="00684475">
        <w:rPr>
          <w:i/>
          <w:lang w:val="es-ES"/>
        </w:rPr>
        <w:t>Dotación de personal de la DSI</w:t>
      </w:r>
    </w:p>
    <w:p w:rsidR="001B6AC4" w:rsidRPr="00684475" w:rsidRDefault="00C325FE" w:rsidP="00160A04">
      <w:pPr>
        <w:pStyle w:val="ONUME"/>
        <w:tabs>
          <w:tab w:val="left" w:pos="0"/>
          <w:tab w:val="num" w:pos="567"/>
        </w:tabs>
        <w:ind w:left="0"/>
        <w:rPr>
          <w:strike/>
          <w:lang w:val="es-ES"/>
        </w:rPr>
      </w:pPr>
      <w:r w:rsidRPr="00684475">
        <w:rPr>
          <w:lang w:val="es-ES"/>
        </w:rPr>
        <w:t xml:space="preserve">Durante el período que abarca el informe, la DSI </w:t>
      </w:r>
      <w:r w:rsidR="009655C1" w:rsidRPr="00684475">
        <w:rPr>
          <w:lang w:val="es-ES"/>
        </w:rPr>
        <w:t>tuvo que ocuparse de</w:t>
      </w:r>
      <w:r w:rsidR="00CD4A54" w:rsidRPr="00684475">
        <w:rPr>
          <w:lang w:val="es-ES"/>
        </w:rPr>
        <w:t xml:space="preserve"> diversas vacantes, en ocasiones prolongadas.</w:t>
      </w:r>
      <w:r w:rsidR="009B04F9" w:rsidRPr="00684475">
        <w:rPr>
          <w:lang w:val="es-ES"/>
        </w:rPr>
        <w:t xml:space="preserve"> </w:t>
      </w:r>
      <w:r w:rsidR="00B25A49" w:rsidRPr="00684475">
        <w:rPr>
          <w:lang w:val="es-ES"/>
        </w:rPr>
        <w:t>En julio de 2018 se cubrió el cargo de jefe de la Sección de Auditoría Interna, que había permanecido vacante desde junio de 2017.</w:t>
      </w:r>
      <w:r w:rsidR="00D54FF0" w:rsidRPr="00684475">
        <w:rPr>
          <w:lang w:val="es-ES"/>
        </w:rPr>
        <w:t xml:space="preserve"> </w:t>
      </w:r>
      <w:r w:rsidR="00160A04" w:rsidRPr="00684475">
        <w:rPr>
          <w:lang w:val="es-ES"/>
        </w:rPr>
        <w:t xml:space="preserve">La vacante </w:t>
      </w:r>
      <w:r w:rsidR="009655C1" w:rsidRPr="00684475">
        <w:rPr>
          <w:lang w:val="es-ES"/>
        </w:rPr>
        <w:t>correspondiente al</w:t>
      </w:r>
      <w:r w:rsidR="00160A04" w:rsidRPr="00684475">
        <w:rPr>
          <w:lang w:val="es-ES"/>
        </w:rPr>
        <w:t xml:space="preserve"> cargo del auditor interno superior no se ocupará hasta agosto de 2019. </w:t>
      </w:r>
      <w:r w:rsidR="009655C1" w:rsidRPr="00684475">
        <w:rPr>
          <w:lang w:val="es-ES"/>
        </w:rPr>
        <w:t>La Comisión</w:t>
      </w:r>
      <w:r w:rsidR="00160A04" w:rsidRPr="00684475">
        <w:rPr>
          <w:lang w:val="es-ES"/>
        </w:rPr>
        <w:t xml:space="preserve"> señaló con preocupación la duración del proceso de contratación de esos casos y su incidencia en la capacidad de supervisión. La Comisión reconoció, no obstante, los especiales esfuerzos invertidos por la DSI para lograr los resultados </w:t>
      </w:r>
      <w:r w:rsidR="009655C1" w:rsidRPr="00684475">
        <w:rPr>
          <w:lang w:val="es-ES"/>
        </w:rPr>
        <w:t>previstos</w:t>
      </w:r>
      <w:r w:rsidR="00160A04" w:rsidRPr="00684475">
        <w:rPr>
          <w:lang w:val="es-ES"/>
        </w:rPr>
        <w:t xml:space="preserve"> pese a las limitaciones de personal.</w:t>
      </w:r>
    </w:p>
    <w:p w:rsidR="001B6AC4" w:rsidRPr="00684475" w:rsidRDefault="00F400DF" w:rsidP="00F400DF">
      <w:pPr>
        <w:pStyle w:val="ONUME"/>
        <w:numPr>
          <w:ilvl w:val="0"/>
          <w:numId w:val="0"/>
        </w:numPr>
        <w:tabs>
          <w:tab w:val="left" w:pos="0"/>
        </w:tabs>
        <w:rPr>
          <w:i/>
          <w:strike/>
          <w:color w:val="000000"/>
          <w:lang w:val="es-ES"/>
        </w:rPr>
      </w:pPr>
      <w:r w:rsidRPr="00684475">
        <w:rPr>
          <w:lang w:val="es-ES"/>
        </w:rPr>
        <w:tab/>
      </w:r>
      <w:r w:rsidR="00DE679C" w:rsidRPr="00684475">
        <w:rPr>
          <w:i/>
          <w:lang w:val="es-ES"/>
        </w:rPr>
        <w:t>Secretario de la DSI</w:t>
      </w:r>
    </w:p>
    <w:p w:rsidR="001B6AC4" w:rsidRPr="00684475" w:rsidRDefault="00D52EE6" w:rsidP="00D52EE6">
      <w:pPr>
        <w:pStyle w:val="ONUME"/>
        <w:tabs>
          <w:tab w:val="left" w:pos="0"/>
          <w:tab w:val="num" w:pos="567"/>
        </w:tabs>
        <w:ind w:left="0"/>
        <w:rPr>
          <w:rStyle w:val="normalchar1"/>
          <w:rFonts w:ascii="Arial" w:hAnsi="Arial" w:cs="Arial"/>
          <w:lang w:val="es-ES"/>
        </w:rPr>
      </w:pPr>
      <w:r w:rsidRPr="00684475">
        <w:rPr>
          <w:rStyle w:val="normalchar1"/>
          <w:rFonts w:ascii="Arial" w:hAnsi="Arial" w:cs="Arial"/>
          <w:lang w:val="es-ES"/>
        </w:rPr>
        <w:t xml:space="preserve">El apoyo administrativo a la función de investigación se presta mediante un puesto de secretario de grado G4. El puesto lleva vacante desde diciembre de 2018. La Comisión opina que el grado del puesto actual quizá no sea suficiente para atraer y mantener a personal cualificado para desempeñar </w:t>
      </w:r>
      <w:r w:rsidR="006A0B2C">
        <w:rPr>
          <w:rStyle w:val="normalchar1"/>
          <w:rFonts w:ascii="Arial" w:hAnsi="Arial" w:cs="Arial"/>
          <w:lang w:val="es-ES"/>
        </w:rPr>
        <w:t>un</w:t>
      </w:r>
      <w:r w:rsidRPr="00684475">
        <w:rPr>
          <w:rStyle w:val="normalchar1"/>
          <w:rFonts w:ascii="Arial" w:hAnsi="Arial" w:cs="Arial"/>
          <w:lang w:val="es-ES"/>
        </w:rPr>
        <w:t>a función tan delicada. Por ello, la Comisión apoya la intención del director de la DSI de reasignar las tareas de investigación a otro cargo en el ámbito de la DSI y tratar de elevar el grado del cargo</w:t>
      </w:r>
      <w:r w:rsidR="0044448E" w:rsidRPr="00684475">
        <w:rPr>
          <w:rStyle w:val="normalchar1"/>
          <w:rFonts w:ascii="Arial" w:hAnsi="Arial" w:cs="Arial"/>
          <w:lang w:val="es-ES"/>
        </w:rPr>
        <w:t xml:space="preserve"> en cuestión</w:t>
      </w:r>
      <w:r w:rsidRPr="00684475">
        <w:rPr>
          <w:rStyle w:val="normalchar1"/>
          <w:rFonts w:ascii="Arial" w:hAnsi="Arial" w:cs="Arial"/>
          <w:lang w:val="es-ES"/>
        </w:rPr>
        <w:t xml:space="preserve"> hasta un nivel apropiado</w:t>
      </w:r>
      <w:r w:rsidR="00E80DFC" w:rsidRPr="00684475">
        <w:rPr>
          <w:rStyle w:val="normalchar1"/>
          <w:rFonts w:ascii="Arial" w:hAnsi="Arial" w:cs="Arial"/>
          <w:lang w:val="es-ES"/>
        </w:rPr>
        <w:t>.</w:t>
      </w:r>
    </w:p>
    <w:p w:rsidR="001B6AC4" w:rsidRPr="00684475" w:rsidRDefault="00D52EE6" w:rsidP="007A7CF0">
      <w:pPr>
        <w:pStyle w:val="ONUME"/>
        <w:tabs>
          <w:tab w:val="left" w:pos="0"/>
          <w:tab w:val="num" w:pos="567"/>
        </w:tabs>
        <w:ind w:left="0"/>
        <w:rPr>
          <w:rStyle w:val="normalchar1"/>
          <w:rFonts w:ascii="Arial" w:hAnsi="Arial" w:cs="Arial"/>
          <w:lang w:val="es-ES"/>
        </w:rPr>
      </w:pPr>
      <w:r w:rsidRPr="00684475">
        <w:rPr>
          <w:rStyle w:val="normalchar1"/>
          <w:rFonts w:ascii="Arial" w:hAnsi="Arial" w:cs="Arial"/>
          <w:lang w:val="es-ES"/>
        </w:rPr>
        <w:t xml:space="preserve">La Comisión examinó con el director de la DSI el presupuesto de la División y alentó al director a que tome en consideración </w:t>
      </w:r>
      <w:r w:rsidR="004137BB" w:rsidRPr="00684475">
        <w:rPr>
          <w:rStyle w:val="normalchar1"/>
          <w:rFonts w:ascii="Arial" w:hAnsi="Arial" w:cs="Arial"/>
          <w:lang w:val="es-ES"/>
        </w:rPr>
        <w:t xml:space="preserve">la creciente necesidad de </w:t>
      </w:r>
      <w:r w:rsidR="0044448E" w:rsidRPr="00684475">
        <w:rPr>
          <w:rStyle w:val="normalchar1"/>
          <w:rFonts w:ascii="Arial" w:hAnsi="Arial" w:cs="Arial"/>
          <w:lang w:val="es-ES"/>
        </w:rPr>
        <w:t>contratar</w:t>
      </w:r>
      <w:r w:rsidR="004137BB" w:rsidRPr="00684475">
        <w:rPr>
          <w:rStyle w:val="normalchar1"/>
          <w:rFonts w:ascii="Arial" w:hAnsi="Arial" w:cs="Arial"/>
          <w:lang w:val="es-ES"/>
        </w:rPr>
        <w:t xml:space="preserve"> consultores externos en los casos en que los conflictos de interés impiden a la DSI asumir determinados encargos de investigación</w:t>
      </w:r>
      <w:r w:rsidR="00813C97" w:rsidRPr="00684475">
        <w:rPr>
          <w:rStyle w:val="normalchar1"/>
          <w:rFonts w:ascii="Arial" w:hAnsi="Arial" w:cs="Arial"/>
          <w:lang w:val="es-ES"/>
        </w:rPr>
        <w:t>.</w:t>
      </w:r>
    </w:p>
    <w:p w:rsidR="001B6AC4" w:rsidRPr="00684475" w:rsidRDefault="00B25A49" w:rsidP="00B25A49">
      <w:pPr>
        <w:pStyle w:val="Default0"/>
        <w:tabs>
          <w:tab w:val="left" w:pos="567"/>
        </w:tabs>
        <w:spacing w:after="220"/>
        <w:ind w:firstLine="567"/>
        <w:rPr>
          <w:i/>
          <w:color w:val="auto"/>
          <w:sz w:val="22"/>
          <w:szCs w:val="22"/>
          <w:lang w:val="es-ES"/>
        </w:rPr>
      </w:pPr>
      <w:r w:rsidRPr="00684475">
        <w:rPr>
          <w:i/>
          <w:color w:val="auto"/>
          <w:sz w:val="22"/>
          <w:szCs w:val="22"/>
          <w:lang w:val="es-ES"/>
        </w:rPr>
        <w:t>Auditoría interna</w:t>
      </w:r>
    </w:p>
    <w:p w:rsidR="001B6AC4" w:rsidRPr="00684475" w:rsidRDefault="00B25A49" w:rsidP="00B25A49">
      <w:pPr>
        <w:pStyle w:val="ONUME"/>
        <w:tabs>
          <w:tab w:val="left" w:pos="0"/>
          <w:tab w:val="num" w:pos="567"/>
        </w:tabs>
        <w:ind w:left="0"/>
        <w:rPr>
          <w:lang w:val="es-ES"/>
        </w:rPr>
      </w:pPr>
      <w:r w:rsidRPr="00684475">
        <w:rPr>
          <w:lang w:val="es-ES"/>
        </w:rPr>
        <w:t xml:space="preserve">Durante el período que abarca el informe, la CCIS examinó, junto con la DSI y la </w:t>
      </w:r>
      <w:r w:rsidR="00464569">
        <w:rPr>
          <w:lang w:val="es-ES"/>
        </w:rPr>
        <w:t>D</w:t>
      </w:r>
      <w:r w:rsidRPr="00684475">
        <w:rPr>
          <w:lang w:val="es-ES"/>
        </w:rPr>
        <w:t>irección, cinco informes de auditoría interna:</w:t>
      </w:r>
    </w:p>
    <w:p w:rsidR="001B6AC4" w:rsidRPr="00684475" w:rsidRDefault="004F0A47" w:rsidP="009D0416">
      <w:pPr>
        <w:numPr>
          <w:ilvl w:val="0"/>
          <w:numId w:val="4"/>
        </w:numPr>
        <w:tabs>
          <w:tab w:val="left" w:pos="567"/>
        </w:tabs>
        <w:ind w:left="1124" w:hanging="562"/>
        <w:rPr>
          <w:szCs w:val="22"/>
          <w:lang w:val="es-ES"/>
        </w:rPr>
      </w:pPr>
      <w:bookmarkStart w:id="18" w:name="_Toc429145911"/>
      <w:bookmarkStart w:id="19" w:name="_Toc429147804"/>
      <w:bookmarkStart w:id="20" w:name="_Toc429147822"/>
      <w:bookmarkStart w:id="21" w:name="_Toc429384081"/>
      <w:bookmarkEnd w:id="18"/>
      <w:bookmarkEnd w:id="19"/>
      <w:bookmarkEnd w:id="20"/>
      <w:bookmarkEnd w:id="21"/>
      <w:r w:rsidRPr="00684475">
        <w:rPr>
          <w:spacing w:val="-1"/>
          <w:lang w:val="es-ES"/>
        </w:rPr>
        <w:t>Audit</w:t>
      </w:r>
      <w:r w:rsidR="004137BB" w:rsidRPr="00684475">
        <w:rPr>
          <w:spacing w:val="-1"/>
          <w:lang w:val="es-ES"/>
        </w:rPr>
        <w:t>oría de los sistemas de seguridad de acceso físico</w:t>
      </w:r>
      <w:r w:rsidR="0065506D" w:rsidRPr="00684475">
        <w:rPr>
          <w:szCs w:val="22"/>
          <w:lang w:val="es-ES"/>
        </w:rPr>
        <w:t xml:space="preserve"> </w:t>
      </w:r>
      <w:r w:rsidRPr="00684475">
        <w:rPr>
          <w:szCs w:val="22"/>
          <w:lang w:val="es-ES"/>
        </w:rPr>
        <w:t>(IA 201</w:t>
      </w:r>
      <w:r w:rsidR="0065506D" w:rsidRPr="00684475">
        <w:rPr>
          <w:szCs w:val="22"/>
          <w:lang w:val="es-ES"/>
        </w:rPr>
        <w:t>8-04</w:t>
      </w:r>
      <w:r w:rsidRPr="00684475">
        <w:rPr>
          <w:szCs w:val="22"/>
          <w:lang w:val="es-ES"/>
        </w:rPr>
        <w:t>)</w:t>
      </w:r>
    </w:p>
    <w:p w:rsidR="001B6AC4" w:rsidRPr="00684475" w:rsidRDefault="004F0A47" w:rsidP="009D0416">
      <w:pPr>
        <w:numPr>
          <w:ilvl w:val="0"/>
          <w:numId w:val="4"/>
        </w:numPr>
        <w:tabs>
          <w:tab w:val="left" w:pos="567"/>
        </w:tabs>
        <w:ind w:left="1124" w:hanging="562"/>
        <w:rPr>
          <w:lang w:val="es-ES"/>
        </w:rPr>
      </w:pPr>
      <w:r w:rsidRPr="00684475">
        <w:rPr>
          <w:spacing w:val="-1"/>
          <w:lang w:val="es-ES"/>
        </w:rPr>
        <w:t>A</w:t>
      </w:r>
      <w:r w:rsidRPr="00684475">
        <w:rPr>
          <w:lang w:val="es-ES"/>
        </w:rPr>
        <w:t>ud</w:t>
      </w:r>
      <w:r w:rsidRPr="00684475">
        <w:rPr>
          <w:spacing w:val="-1"/>
          <w:lang w:val="es-ES"/>
        </w:rPr>
        <w:t>i</w:t>
      </w:r>
      <w:r w:rsidRPr="00684475">
        <w:rPr>
          <w:lang w:val="es-ES"/>
        </w:rPr>
        <w:t>t</w:t>
      </w:r>
      <w:r w:rsidR="004137BB" w:rsidRPr="00684475">
        <w:rPr>
          <w:lang w:val="es-ES"/>
        </w:rPr>
        <w:t>oría de la cartera de proyectos de planificación de los recursos institucionales (PRI)</w:t>
      </w:r>
      <w:r w:rsidRPr="00684475">
        <w:rPr>
          <w:lang w:val="es-ES"/>
        </w:rPr>
        <w:t xml:space="preserve"> </w:t>
      </w:r>
      <w:r w:rsidRPr="00684475">
        <w:rPr>
          <w:spacing w:val="1"/>
          <w:lang w:val="es-ES"/>
        </w:rPr>
        <w:t>(I</w:t>
      </w:r>
      <w:r w:rsidRPr="00684475">
        <w:rPr>
          <w:lang w:val="es-ES"/>
        </w:rPr>
        <w:t>A 201</w:t>
      </w:r>
      <w:r w:rsidR="0065506D" w:rsidRPr="00684475">
        <w:rPr>
          <w:spacing w:val="-2"/>
          <w:lang w:val="es-ES"/>
        </w:rPr>
        <w:t>8</w:t>
      </w:r>
      <w:r w:rsidRPr="00684475">
        <w:rPr>
          <w:spacing w:val="1"/>
          <w:lang w:val="es-ES"/>
        </w:rPr>
        <w:t>-</w:t>
      </w:r>
      <w:r w:rsidRPr="00684475">
        <w:rPr>
          <w:lang w:val="es-ES"/>
        </w:rPr>
        <w:t>03)</w:t>
      </w:r>
    </w:p>
    <w:p w:rsidR="001B6AC4" w:rsidRPr="00684475" w:rsidRDefault="004F0A47" w:rsidP="009D0416">
      <w:pPr>
        <w:numPr>
          <w:ilvl w:val="0"/>
          <w:numId w:val="4"/>
        </w:numPr>
        <w:tabs>
          <w:tab w:val="left" w:pos="567"/>
        </w:tabs>
        <w:ind w:left="1124" w:hanging="562"/>
        <w:rPr>
          <w:lang w:val="es-ES"/>
        </w:rPr>
      </w:pPr>
      <w:r w:rsidRPr="00684475">
        <w:rPr>
          <w:spacing w:val="-1"/>
          <w:lang w:val="es-ES"/>
        </w:rPr>
        <w:t>A</w:t>
      </w:r>
      <w:r w:rsidRPr="00684475">
        <w:rPr>
          <w:lang w:val="es-ES"/>
        </w:rPr>
        <w:t>ud</w:t>
      </w:r>
      <w:r w:rsidRPr="00684475">
        <w:rPr>
          <w:spacing w:val="-1"/>
          <w:lang w:val="es-ES"/>
        </w:rPr>
        <w:t>i</w:t>
      </w:r>
      <w:r w:rsidRPr="00684475">
        <w:rPr>
          <w:lang w:val="es-ES"/>
        </w:rPr>
        <w:t>t</w:t>
      </w:r>
      <w:r w:rsidR="004137BB" w:rsidRPr="00684475">
        <w:rPr>
          <w:lang w:val="es-ES"/>
        </w:rPr>
        <w:t>oría de los fondos fiduciarios administrados por la OMPI</w:t>
      </w:r>
      <w:r w:rsidRPr="00684475">
        <w:rPr>
          <w:lang w:val="es-ES"/>
        </w:rPr>
        <w:t xml:space="preserve"> </w:t>
      </w:r>
      <w:r w:rsidRPr="00684475">
        <w:rPr>
          <w:spacing w:val="1"/>
          <w:lang w:val="es-ES"/>
        </w:rPr>
        <w:t>(I</w:t>
      </w:r>
      <w:r w:rsidRPr="00684475">
        <w:rPr>
          <w:lang w:val="es-ES"/>
        </w:rPr>
        <w:t>A 201</w:t>
      </w:r>
      <w:r w:rsidR="0065506D" w:rsidRPr="00684475">
        <w:rPr>
          <w:spacing w:val="-2"/>
          <w:lang w:val="es-ES"/>
        </w:rPr>
        <w:t>8</w:t>
      </w:r>
      <w:r w:rsidRPr="00684475">
        <w:rPr>
          <w:spacing w:val="1"/>
          <w:lang w:val="es-ES"/>
        </w:rPr>
        <w:t>-</w:t>
      </w:r>
      <w:r w:rsidRPr="00684475">
        <w:rPr>
          <w:lang w:val="es-ES"/>
        </w:rPr>
        <w:t>0</w:t>
      </w:r>
      <w:r w:rsidR="0065506D" w:rsidRPr="00684475">
        <w:rPr>
          <w:lang w:val="es-ES"/>
        </w:rPr>
        <w:t>5</w:t>
      </w:r>
      <w:r w:rsidRPr="00684475">
        <w:rPr>
          <w:lang w:val="es-ES"/>
        </w:rPr>
        <w:t>)</w:t>
      </w:r>
    </w:p>
    <w:p w:rsidR="001B6AC4" w:rsidRPr="00684475" w:rsidRDefault="004F0A47" w:rsidP="009D0416">
      <w:pPr>
        <w:numPr>
          <w:ilvl w:val="0"/>
          <w:numId w:val="4"/>
        </w:numPr>
        <w:tabs>
          <w:tab w:val="left" w:pos="567"/>
        </w:tabs>
        <w:ind w:left="1124" w:hanging="562"/>
        <w:rPr>
          <w:lang w:val="es-ES"/>
        </w:rPr>
      </w:pPr>
      <w:r w:rsidRPr="00684475">
        <w:rPr>
          <w:lang w:val="es-ES"/>
        </w:rPr>
        <w:t>Audit</w:t>
      </w:r>
      <w:r w:rsidR="004137BB" w:rsidRPr="00684475">
        <w:rPr>
          <w:lang w:val="es-ES"/>
        </w:rPr>
        <w:t xml:space="preserve">oría del </w:t>
      </w:r>
      <w:r w:rsidR="004C5C34" w:rsidRPr="00684475">
        <w:rPr>
          <w:lang w:val="es-ES"/>
        </w:rPr>
        <w:t>p</w:t>
      </w:r>
      <w:r w:rsidR="004137BB" w:rsidRPr="00684475">
        <w:rPr>
          <w:lang w:val="es-ES"/>
        </w:rPr>
        <w:t>royecto piloto del PCT de compensación por saldos netos</w:t>
      </w:r>
      <w:r w:rsidR="00AD7115" w:rsidRPr="00684475">
        <w:rPr>
          <w:lang w:val="es-ES"/>
        </w:rPr>
        <w:t xml:space="preserve"> </w:t>
      </w:r>
      <w:r w:rsidR="00217C51">
        <w:rPr>
          <w:lang w:val="es-ES"/>
        </w:rPr>
        <w:t>(IA </w:t>
      </w:r>
      <w:r w:rsidRPr="00684475">
        <w:rPr>
          <w:lang w:val="es-ES"/>
        </w:rPr>
        <w:t>201</w:t>
      </w:r>
      <w:r w:rsidR="00AD7115" w:rsidRPr="00684475">
        <w:rPr>
          <w:lang w:val="es-ES"/>
        </w:rPr>
        <w:t>9</w:t>
      </w:r>
      <w:r w:rsidR="00217C51">
        <w:rPr>
          <w:lang w:val="es-ES"/>
        </w:rPr>
        <w:noBreakHyphen/>
      </w:r>
      <w:r w:rsidRPr="00684475">
        <w:rPr>
          <w:lang w:val="es-ES"/>
        </w:rPr>
        <w:t>0</w:t>
      </w:r>
      <w:r w:rsidR="00AD7115" w:rsidRPr="00684475">
        <w:rPr>
          <w:lang w:val="es-ES"/>
        </w:rPr>
        <w:t>6</w:t>
      </w:r>
      <w:r w:rsidRPr="00684475">
        <w:rPr>
          <w:lang w:val="es-ES"/>
        </w:rPr>
        <w:t>)</w:t>
      </w:r>
    </w:p>
    <w:p w:rsidR="001B6AC4" w:rsidRPr="00684475" w:rsidRDefault="006915DC" w:rsidP="009D0416">
      <w:pPr>
        <w:numPr>
          <w:ilvl w:val="0"/>
          <w:numId w:val="4"/>
        </w:numPr>
        <w:tabs>
          <w:tab w:val="left" w:pos="567"/>
        </w:tabs>
        <w:ind w:left="1124" w:hanging="562"/>
        <w:rPr>
          <w:lang w:val="es-ES"/>
        </w:rPr>
      </w:pPr>
      <w:r w:rsidRPr="00684475">
        <w:rPr>
          <w:lang w:val="es-ES"/>
        </w:rPr>
        <w:t>Audit</w:t>
      </w:r>
      <w:r w:rsidR="004137BB" w:rsidRPr="00684475">
        <w:rPr>
          <w:lang w:val="es-ES"/>
        </w:rPr>
        <w:t>oría de la estrategia de aseguramiento de la información de la OMPI</w:t>
      </w:r>
      <w:r w:rsidRPr="00684475">
        <w:rPr>
          <w:lang w:val="es-ES"/>
        </w:rPr>
        <w:t xml:space="preserve"> (IA</w:t>
      </w:r>
      <w:r w:rsidR="009E1BBC">
        <w:rPr>
          <w:lang w:val="es-ES"/>
        </w:rPr>
        <w:t> </w:t>
      </w:r>
      <w:r w:rsidRPr="00684475">
        <w:rPr>
          <w:lang w:val="es-ES"/>
        </w:rPr>
        <w:t>2018</w:t>
      </w:r>
      <w:r w:rsidR="006A0B2C">
        <w:rPr>
          <w:lang w:val="es-ES"/>
        </w:rPr>
        <w:noBreakHyphen/>
      </w:r>
      <w:r w:rsidRPr="00684475">
        <w:rPr>
          <w:lang w:val="es-ES"/>
        </w:rPr>
        <w:t>06)</w:t>
      </w:r>
    </w:p>
    <w:p w:rsidR="001B6AC4" w:rsidRPr="00684475" w:rsidRDefault="001B6AC4" w:rsidP="006915DC">
      <w:pPr>
        <w:tabs>
          <w:tab w:val="left" w:pos="567"/>
          <w:tab w:val="left" w:pos="993"/>
        </w:tabs>
        <w:rPr>
          <w:lang w:val="es-ES"/>
        </w:rPr>
      </w:pPr>
    </w:p>
    <w:p w:rsidR="001B6AC4" w:rsidRPr="00684475" w:rsidRDefault="004137BB" w:rsidP="007A7CF0">
      <w:pPr>
        <w:pStyle w:val="ONUME"/>
        <w:tabs>
          <w:tab w:val="left" w:pos="720"/>
        </w:tabs>
        <w:ind w:left="0"/>
        <w:rPr>
          <w:lang w:val="es-ES"/>
        </w:rPr>
      </w:pPr>
      <w:r w:rsidRPr="00684475">
        <w:rPr>
          <w:lang w:val="es-ES"/>
        </w:rPr>
        <w:t>Los informes de auditoría sobre la cartera de PRI, sobre los fondos fiduciarios administrados por la OMPI y sobre el proyecto piloto del PCT de compensación por saldos netos se publicaron en el sitio web de la OMPI en formato no expurgado</w:t>
      </w:r>
      <w:r w:rsidR="00B8039F" w:rsidRPr="00684475">
        <w:rPr>
          <w:lang w:val="es-ES"/>
        </w:rPr>
        <w:t>.</w:t>
      </w:r>
    </w:p>
    <w:p w:rsidR="001B6AC4" w:rsidRPr="00684475" w:rsidRDefault="001C17D4" w:rsidP="001C17D4">
      <w:pPr>
        <w:pStyle w:val="ONUME"/>
        <w:tabs>
          <w:tab w:val="left" w:pos="567"/>
          <w:tab w:val="left" w:pos="720"/>
          <w:tab w:val="left" w:pos="993"/>
        </w:tabs>
        <w:ind w:left="0"/>
        <w:rPr>
          <w:lang w:val="es-ES"/>
        </w:rPr>
      </w:pPr>
      <w:r w:rsidRPr="00684475">
        <w:rPr>
          <w:lang w:val="es-ES"/>
        </w:rPr>
        <w:t>La Comisión observ</w:t>
      </w:r>
      <w:r w:rsidR="00233321" w:rsidRPr="00684475">
        <w:rPr>
          <w:lang w:val="es-ES"/>
        </w:rPr>
        <w:t>ó</w:t>
      </w:r>
      <w:r w:rsidRPr="00684475">
        <w:rPr>
          <w:lang w:val="es-ES"/>
        </w:rPr>
        <w:t xml:space="preserve"> con satisfacción que, en todos los casos, la </w:t>
      </w:r>
      <w:r w:rsidR="00464569">
        <w:rPr>
          <w:lang w:val="es-ES"/>
        </w:rPr>
        <w:t>D</w:t>
      </w:r>
      <w:r w:rsidRPr="00684475">
        <w:rPr>
          <w:lang w:val="es-ES"/>
        </w:rPr>
        <w:t>irección estuvo de acuerdo con las conclusiones y aceptó las recomendaciones.</w:t>
      </w:r>
    </w:p>
    <w:p w:rsidR="001B6AC4" w:rsidRPr="00684475" w:rsidRDefault="004F0A47" w:rsidP="00B25A49">
      <w:pPr>
        <w:keepNext/>
        <w:keepLines/>
        <w:tabs>
          <w:tab w:val="left" w:pos="567"/>
          <w:tab w:val="left" w:pos="900"/>
          <w:tab w:val="left" w:pos="1134"/>
        </w:tabs>
        <w:autoSpaceDE w:val="0"/>
        <w:autoSpaceDN w:val="0"/>
        <w:adjustRightInd w:val="0"/>
        <w:spacing w:after="220"/>
        <w:ind w:left="1134" w:hanging="1134"/>
        <w:rPr>
          <w:rFonts w:cs="Arial"/>
          <w:i/>
          <w:szCs w:val="22"/>
          <w:lang w:val="es-ES"/>
        </w:rPr>
      </w:pPr>
      <w:bookmarkStart w:id="22" w:name="_Toc429145913"/>
      <w:bookmarkStart w:id="23" w:name="_Toc429147806"/>
      <w:bookmarkStart w:id="24" w:name="_Toc429147824"/>
      <w:bookmarkStart w:id="25" w:name="_Toc429384083"/>
      <w:bookmarkEnd w:id="22"/>
      <w:bookmarkEnd w:id="23"/>
      <w:bookmarkEnd w:id="24"/>
      <w:bookmarkEnd w:id="25"/>
      <w:r w:rsidRPr="00684475">
        <w:rPr>
          <w:rFonts w:cs="Arial"/>
          <w:i/>
          <w:szCs w:val="22"/>
          <w:lang w:val="es-ES"/>
        </w:rPr>
        <w:lastRenderedPageBreak/>
        <w:tab/>
      </w:r>
      <w:r w:rsidR="00B25A49" w:rsidRPr="00684475">
        <w:rPr>
          <w:rFonts w:cs="Arial"/>
          <w:i/>
          <w:szCs w:val="22"/>
          <w:lang w:val="es-ES"/>
        </w:rPr>
        <w:t>Evaluación</w:t>
      </w:r>
    </w:p>
    <w:p w:rsidR="001B6AC4" w:rsidRPr="00684475" w:rsidRDefault="001B3456" w:rsidP="007A7CF0">
      <w:pPr>
        <w:pStyle w:val="ONUME"/>
        <w:tabs>
          <w:tab w:val="left" w:pos="0"/>
          <w:tab w:val="num" w:pos="567"/>
        </w:tabs>
        <w:ind w:left="0"/>
        <w:rPr>
          <w:rFonts w:cs="Arial"/>
          <w:szCs w:val="22"/>
          <w:lang w:val="es-ES"/>
        </w:rPr>
      </w:pPr>
      <w:r w:rsidRPr="00684475">
        <w:rPr>
          <w:rFonts w:cs="Arial"/>
          <w:szCs w:val="22"/>
          <w:lang w:val="es-ES"/>
        </w:rPr>
        <w:t xml:space="preserve">En su </w:t>
      </w:r>
      <w:r w:rsidR="000830E2" w:rsidRPr="00684475">
        <w:rPr>
          <w:rFonts w:cs="Arial"/>
          <w:szCs w:val="22"/>
          <w:lang w:val="es-ES"/>
        </w:rPr>
        <w:t>52</w:t>
      </w:r>
      <w:r w:rsidRPr="00684475">
        <w:rPr>
          <w:rFonts w:cs="Arial"/>
          <w:szCs w:val="22"/>
          <w:lang w:val="es-ES"/>
        </w:rPr>
        <w:t>ª</w:t>
      </w:r>
      <w:r w:rsidR="000830E2" w:rsidRPr="00684475">
        <w:rPr>
          <w:rFonts w:cs="Arial"/>
          <w:szCs w:val="22"/>
          <w:lang w:val="es-ES"/>
        </w:rPr>
        <w:t xml:space="preserve"> ses</w:t>
      </w:r>
      <w:r w:rsidRPr="00684475">
        <w:rPr>
          <w:rFonts w:cs="Arial"/>
          <w:szCs w:val="22"/>
          <w:lang w:val="es-ES"/>
        </w:rPr>
        <w:t>ión</w:t>
      </w:r>
      <w:r w:rsidR="000830E2" w:rsidRPr="00684475">
        <w:rPr>
          <w:rFonts w:cs="Arial"/>
          <w:szCs w:val="22"/>
          <w:lang w:val="es-ES"/>
        </w:rPr>
        <w:t xml:space="preserve">, </w:t>
      </w:r>
      <w:r w:rsidRPr="00684475">
        <w:rPr>
          <w:rFonts w:cs="Arial"/>
          <w:szCs w:val="22"/>
          <w:lang w:val="es-ES"/>
        </w:rPr>
        <w:t xml:space="preserve">la Comisión tomó nota de que se ha </w:t>
      </w:r>
      <w:r w:rsidR="009761BC" w:rsidRPr="00684475">
        <w:rPr>
          <w:rFonts w:cs="Arial"/>
          <w:szCs w:val="22"/>
          <w:lang w:val="es-ES"/>
        </w:rPr>
        <w:t>publicado</w:t>
      </w:r>
      <w:r w:rsidRPr="00684475">
        <w:rPr>
          <w:rFonts w:cs="Arial"/>
          <w:szCs w:val="22"/>
          <w:lang w:val="es-ES"/>
        </w:rPr>
        <w:t xml:space="preserve"> una versión actualizada del Manual de evaluaci</w:t>
      </w:r>
      <w:r w:rsidR="009761BC" w:rsidRPr="00684475">
        <w:rPr>
          <w:rFonts w:cs="Arial"/>
          <w:szCs w:val="22"/>
          <w:lang w:val="es-ES"/>
        </w:rPr>
        <w:t>ón para que sea más accesible al público no especializado</w:t>
      </w:r>
      <w:r w:rsidR="00D037A5" w:rsidRPr="00684475">
        <w:rPr>
          <w:rFonts w:cs="Arial"/>
          <w:szCs w:val="22"/>
          <w:lang w:val="es-ES"/>
        </w:rPr>
        <w:t xml:space="preserve">. </w:t>
      </w:r>
      <w:r w:rsidR="00B25A49" w:rsidRPr="00684475">
        <w:rPr>
          <w:rFonts w:cs="Arial"/>
          <w:szCs w:val="22"/>
          <w:lang w:val="es-ES"/>
        </w:rPr>
        <w:t>La Comisión acogió con satisfacción las revisiones efectuadas, en las que se destaca</w:t>
      </w:r>
      <w:r w:rsidR="006B1274" w:rsidRPr="00684475">
        <w:rPr>
          <w:rFonts w:cs="Arial"/>
          <w:szCs w:val="22"/>
          <w:lang w:val="es-ES"/>
        </w:rPr>
        <w:t>n</w:t>
      </w:r>
      <w:r w:rsidR="00B25A49" w:rsidRPr="00684475">
        <w:rPr>
          <w:rFonts w:cs="Arial"/>
          <w:szCs w:val="22"/>
          <w:lang w:val="es-ES"/>
        </w:rPr>
        <w:t>, entre otras cosas, los principales factores de éxito de las evaluaciones y se profundiza en la utilización de los resultados de esas evaluaciones.</w:t>
      </w:r>
    </w:p>
    <w:p w:rsidR="001B6AC4" w:rsidRPr="00684475" w:rsidRDefault="000B6BD9" w:rsidP="000B6BD9">
      <w:pPr>
        <w:pStyle w:val="ONUME"/>
        <w:tabs>
          <w:tab w:val="left" w:pos="0"/>
          <w:tab w:val="num" w:pos="567"/>
        </w:tabs>
        <w:ind w:left="0"/>
        <w:rPr>
          <w:rFonts w:cs="Arial"/>
          <w:szCs w:val="22"/>
          <w:lang w:val="es-ES"/>
        </w:rPr>
      </w:pPr>
      <w:r w:rsidRPr="00684475">
        <w:rPr>
          <w:rFonts w:cs="Arial"/>
          <w:szCs w:val="22"/>
          <w:lang w:val="es-ES"/>
        </w:rPr>
        <w:t>La Comisión examinó además los aspectos que deberán tenerse en cuenta en la próxima revisión externa de la calidad de la función de evaluación, que, con arreglo a la Carta de Supervisión Interna, debe llevarse a cabo cada cinco años.</w:t>
      </w:r>
      <w:r w:rsidR="00D037A5" w:rsidRPr="00684475">
        <w:rPr>
          <w:rFonts w:cs="Arial"/>
          <w:szCs w:val="22"/>
          <w:lang w:val="es-ES"/>
        </w:rPr>
        <w:t xml:space="preserve"> </w:t>
      </w:r>
      <w:r w:rsidR="00577D86" w:rsidRPr="00684475">
        <w:rPr>
          <w:rFonts w:cs="Arial"/>
          <w:szCs w:val="22"/>
          <w:lang w:val="es-ES"/>
        </w:rPr>
        <w:t>La Comisión sugirió que, entre los aspectos que deben ser examinados, se incluya la facilidad de uso de los productos de evaluación.</w:t>
      </w:r>
    </w:p>
    <w:p w:rsidR="001B6AC4" w:rsidRPr="00684475" w:rsidRDefault="00577D86" w:rsidP="00577D86">
      <w:pPr>
        <w:pStyle w:val="ONUME"/>
        <w:tabs>
          <w:tab w:val="left" w:pos="0"/>
          <w:tab w:val="num" w:pos="567"/>
        </w:tabs>
        <w:ind w:left="0"/>
        <w:rPr>
          <w:lang w:val="es-ES"/>
        </w:rPr>
      </w:pPr>
      <w:r w:rsidRPr="00684475">
        <w:rPr>
          <w:lang w:val="es-ES"/>
        </w:rPr>
        <w:t xml:space="preserve">Durante el período que abarca el informe, la CCIS examinó, junto con la DSI y la </w:t>
      </w:r>
      <w:r w:rsidR="00464569">
        <w:rPr>
          <w:lang w:val="es-ES"/>
        </w:rPr>
        <w:t>D</w:t>
      </w:r>
      <w:r w:rsidRPr="00684475">
        <w:rPr>
          <w:lang w:val="es-ES"/>
        </w:rPr>
        <w:t>irección, cuatro informes de evaluación:</w:t>
      </w:r>
    </w:p>
    <w:p w:rsidR="001B6AC4" w:rsidRPr="00684475" w:rsidRDefault="00577D86" w:rsidP="004E483B">
      <w:pPr>
        <w:numPr>
          <w:ilvl w:val="0"/>
          <w:numId w:val="4"/>
        </w:numPr>
        <w:spacing w:after="120"/>
        <w:ind w:left="1134" w:hanging="567"/>
        <w:rPr>
          <w:rFonts w:cs="Arial"/>
          <w:szCs w:val="22"/>
          <w:lang w:val="es-ES"/>
        </w:rPr>
      </w:pPr>
      <w:r w:rsidRPr="00684475">
        <w:rPr>
          <w:rFonts w:cs="Arial"/>
          <w:szCs w:val="22"/>
          <w:lang w:val="es-ES"/>
        </w:rPr>
        <w:t>Evaluación del programa 18: La PI y los desafíos mundiales (EVAL 2017-03)</w:t>
      </w:r>
    </w:p>
    <w:p w:rsidR="001B6AC4" w:rsidRPr="00684475" w:rsidRDefault="00577D86" w:rsidP="004E483B">
      <w:pPr>
        <w:numPr>
          <w:ilvl w:val="0"/>
          <w:numId w:val="4"/>
        </w:numPr>
        <w:spacing w:after="120"/>
        <w:ind w:left="1134" w:hanging="567"/>
        <w:rPr>
          <w:rFonts w:cs="Arial"/>
          <w:szCs w:val="22"/>
          <w:lang w:val="es-ES"/>
        </w:rPr>
      </w:pPr>
      <w:r w:rsidRPr="00684475">
        <w:rPr>
          <w:rFonts w:cs="Arial"/>
          <w:szCs w:val="22"/>
          <w:lang w:val="es-ES"/>
        </w:rPr>
        <w:t>Evaluación del desarrollo de competencias en materia de propiedad intelectual (EVAL 2017-05)</w:t>
      </w:r>
    </w:p>
    <w:p w:rsidR="001B6AC4" w:rsidRPr="00684475" w:rsidRDefault="00577D86" w:rsidP="004E483B">
      <w:pPr>
        <w:numPr>
          <w:ilvl w:val="0"/>
          <w:numId w:val="4"/>
        </w:numPr>
        <w:spacing w:after="220"/>
        <w:ind w:left="1134" w:hanging="567"/>
        <w:rPr>
          <w:rFonts w:cs="Arial"/>
          <w:szCs w:val="22"/>
          <w:lang w:val="es-ES"/>
        </w:rPr>
      </w:pPr>
      <w:r w:rsidRPr="00684475">
        <w:rPr>
          <w:rFonts w:cs="Arial"/>
          <w:szCs w:val="22"/>
          <w:lang w:val="es-ES"/>
        </w:rPr>
        <w:t xml:space="preserve">Evaluación del </w:t>
      </w:r>
      <w:r w:rsidR="004C5C34" w:rsidRPr="00684475">
        <w:rPr>
          <w:rFonts w:cs="Arial"/>
          <w:szCs w:val="22"/>
          <w:lang w:val="es-ES"/>
        </w:rPr>
        <w:t>p</w:t>
      </w:r>
      <w:r w:rsidRPr="00684475">
        <w:rPr>
          <w:rFonts w:cs="Arial"/>
          <w:szCs w:val="22"/>
          <w:lang w:val="es-ES"/>
        </w:rPr>
        <w:t xml:space="preserve">rograma </w:t>
      </w:r>
      <w:r w:rsidR="004C5C34" w:rsidRPr="00684475">
        <w:rPr>
          <w:rFonts w:cs="Arial"/>
          <w:szCs w:val="22"/>
          <w:lang w:val="es-ES"/>
        </w:rPr>
        <w:t>p</w:t>
      </w:r>
      <w:r w:rsidRPr="00684475">
        <w:rPr>
          <w:rFonts w:cs="Arial"/>
          <w:szCs w:val="22"/>
          <w:lang w:val="es-ES"/>
        </w:rPr>
        <w:t xml:space="preserve">iloto de </w:t>
      </w:r>
      <w:r w:rsidR="004C5C34" w:rsidRPr="00684475">
        <w:rPr>
          <w:rFonts w:cs="Arial"/>
          <w:szCs w:val="22"/>
          <w:lang w:val="es-ES"/>
        </w:rPr>
        <w:t>d</w:t>
      </w:r>
      <w:r w:rsidRPr="00684475">
        <w:rPr>
          <w:rFonts w:cs="Arial"/>
          <w:szCs w:val="22"/>
          <w:lang w:val="es-ES"/>
        </w:rPr>
        <w:t xml:space="preserve">esarrollo </w:t>
      </w:r>
      <w:r w:rsidR="004C5C34" w:rsidRPr="00684475">
        <w:rPr>
          <w:rFonts w:cs="Arial"/>
          <w:szCs w:val="22"/>
          <w:lang w:val="es-ES"/>
        </w:rPr>
        <w:t>p</w:t>
      </w:r>
      <w:r w:rsidRPr="00684475">
        <w:rPr>
          <w:rFonts w:cs="Arial"/>
          <w:szCs w:val="22"/>
          <w:lang w:val="es-ES"/>
        </w:rPr>
        <w:t xml:space="preserve">rofesional y de las </w:t>
      </w:r>
      <w:r w:rsidR="004C5C34" w:rsidRPr="00684475">
        <w:rPr>
          <w:rFonts w:cs="Arial"/>
          <w:szCs w:val="22"/>
          <w:lang w:val="es-ES"/>
        </w:rPr>
        <w:t>p</w:t>
      </w:r>
      <w:r w:rsidRPr="00684475">
        <w:rPr>
          <w:rFonts w:cs="Arial"/>
          <w:szCs w:val="22"/>
          <w:lang w:val="es-ES"/>
        </w:rPr>
        <w:t xml:space="preserve">erspectivas de </w:t>
      </w:r>
      <w:r w:rsidR="004C5C34" w:rsidRPr="00684475">
        <w:rPr>
          <w:rFonts w:cs="Arial"/>
          <w:szCs w:val="22"/>
          <w:lang w:val="es-ES"/>
        </w:rPr>
        <w:t>c</w:t>
      </w:r>
      <w:r w:rsidRPr="00684475">
        <w:rPr>
          <w:rFonts w:cs="Arial"/>
          <w:szCs w:val="22"/>
          <w:lang w:val="es-ES"/>
        </w:rPr>
        <w:t>arrera (fase 2)</w:t>
      </w:r>
      <w:r w:rsidR="00DA4261">
        <w:rPr>
          <w:rFonts w:cs="Arial"/>
          <w:szCs w:val="22"/>
          <w:lang w:val="es-ES"/>
        </w:rPr>
        <w:t xml:space="preserve"> </w:t>
      </w:r>
      <w:r w:rsidR="00DA4261" w:rsidRPr="00DA4261">
        <w:rPr>
          <w:color w:val="000000"/>
          <w:szCs w:val="22"/>
          <w:lang w:val="es-419"/>
        </w:rPr>
        <w:t>(EVAL </w:t>
      </w:r>
      <w:r w:rsidR="00DA4261" w:rsidRPr="00DA4261">
        <w:rPr>
          <w:spacing w:val="-1"/>
          <w:lang w:val="es-419"/>
        </w:rPr>
        <w:t>2018</w:t>
      </w:r>
      <w:r w:rsidR="00DA4261" w:rsidRPr="00DA4261">
        <w:rPr>
          <w:color w:val="000000"/>
          <w:szCs w:val="22"/>
          <w:lang w:val="es-419"/>
        </w:rPr>
        <w:t>-01)</w:t>
      </w:r>
      <w:r w:rsidRPr="00684475">
        <w:rPr>
          <w:rFonts w:cs="Arial"/>
          <w:szCs w:val="22"/>
          <w:lang w:val="es-ES"/>
        </w:rPr>
        <w:t>;</w:t>
      </w:r>
    </w:p>
    <w:p w:rsidR="001B6AC4" w:rsidRPr="00684475" w:rsidRDefault="00577D86" w:rsidP="004E483B">
      <w:pPr>
        <w:numPr>
          <w:ilvl w:val="0"/>
          <w:numId w:val="4"/>
        </w:numPr>
        <w:spacing w:after="220"/>
        <w:ind w:left="1134" w:hanging="567"/>
        <w:rPr>
          <w:rFonts w:cs="Arial"/>
          <w:szCs w:val="22"/>
          <w:lang w:val="es-ES"/>
        </w:rPr>
      </w:pPr>
      <w:r w:rsidRPr="00684475">
        <w:rPr>
          <w:rFonts w:cs="Arial"/>
          <w:szCs w:val="22"/>
          <w:lang w:val="es-ES"/>
        </w:rPr>
        <w:t>Meta-Informe de síntesis de la evaluación de los productos de la OMPI de evaluación (EVAL 2018-03)</w:t>
      </w:r>
    </w:p>
    <w:p w:rsidR="001B6AC4" w:rsidRPr="00684475" w:rsidRDefault="00577D86" w:rsidP="00577D86">
      <w:pPr>
        <w:pStyle w:val="ONUME"/>
        <w:tabs>
          <w:tab w:val="left" w:pos="0"/>
          <w:tab w:val="num" w:pos="567"/>
        </w:tabs>
        <w:ind w:left="0"/>
        <w:rPr>
          <w:szCs w:val="22"/>
          <w:lang w:val="es-ES"/>
        </w:rPr>
      </w:pPr>
      <w:r w:rsidRPr="00684475">
        <w:rPr>
          <w:szCs w:val="22"/>
          <w:lang w:val="es-ES"/>
        </w:rPr>
        <w:t>Todos los informes de evaluación se han publicado en formato no expurgado en el sitio web de la OMPI.</w:t>
      </w:r>
    </w:p>
    <w:p w:rsidR="001B6AC4" w:rsidRPr="00684475" w:rsidRDefault="006D59FA" w:rsidP="00577D86">
      <w:pPr>
        <w:pStyle w:val="Default0"/>
        <w:keepNext/>
        <w:tabs>
          <w:tab w:val="left" w:pos="567"/>
        </w:tabs>
        <w:spacing w:after="220"/>
        <w:rPr>
          <w:i/>
          <w:color w:val="auto"/>
          <w:sz w:val="22"/>
          <w:szCs w:val="22"/>
          <w:lang w:val="es-ES"/>
        </w:rPr>
      </w:pPr>
      <w:r w:rsidRPr="00684475">
        <w:rPr>
          <w:i/>
          <w:color w:val="auto"/>
          <w:sz w:val="22"/>
          <w:szCs w:val="22"/>
          <w:lang w:val="es-ES"/>
        </w:rPr>
        <w:tab/>
      </w:r>
      <w:r w:rsidR="00577D86" w:rsidRPr="00684475">
        <w:rPr>
          <w:i/>
          <w:color w:val="auto"/>
          <w:sz w:val="22"/>
          <w:szCs w:val="22"/>
          <w:lang w:val="es-ES"/>
        </w:rPr>
        <w:t>Investigaciones</w:t>
      </w:r>
    </w:p>
    <w:p w:rsidR="001B6AC4" w:rsidRPr="00684475" w:rsidRDefault="00577D86" w:rsidP="00577D86">
      <w:pPr>
        <w:pStyle w:val="ONUME"/>
        <w:tabs>
          <w:tab w:val="left" w:pos="0"/>
          <w:tab w:val="num" w:pos="567"/>
        </w:tabs>
        <w:ind w:left="0"/>
        <w:rPr>
          <w:lang w:val="es-ES"/>
        </w:rPr>
      </w:pPr>
      <w:r w:rsidRPr="00684475">
        <w:rPr>
          <w:lang w:val="es-ES"/>
        </w:rPr>
        <w:t>De conformidad con la Carta de Supervisión Interna, el director de la DSI informó a la CCIS</w:t>
      </w:r>
      <w:r w:rsidR="00042504" w:rsidRPr="00684475">
        <w:rPr>
          <w:lang w:val="es-ES"/>
        </w:rPr>
        <w:t>,</w:t>
      </w:r>
      <w:r w:rsidRPr="00684475">
        <w:rPr>
          <w:lang w:val="es-ES"/>
        </w:rPr>
        <w:t xml:space="preserve"> </w:t>
      </w:r>
      <w:r w:rsidR="00042504" w:rsidRPr="00684475">
        <w:rPr>
          <w:lang w:val="es-ES"/>
        </w:rPr>
        <w:t xml:space="preserve">en cada una de sus sesiones, </w:t>
      </w:r>
      <w:r w:rsidRPr="00684475">
        <w:rPr>
          <w:lang w:val="es-ES"/>
        </w:rPr>
        <w:t>sobre la situación de los casos de investigación y el volumen de trabajo pendiente, y presentó las reclamaciones recibidas y aquellas cuyo fundamento ha quedado probado, desglosadas por categoría de presunta falta de conducta.</w:t>
      </w:r>
    </w:p>
    <w:p w:rsidR="001B6AC4" w:rsidRPr="00684475" w:rsidRDefault="00577D86" w:rsidP="00577D86">
      <w:pPr>
        <w:pStyle w:val="ONUME"/>
        <w:tabs>
          <w:tab w:val="left" w:pos="0"/>
          <w:tab w:val="num" w:pos="567"/>
        </w:tabs>
        <w:ind w:left="0"/>
        <w:rPr>
          <w:lang w:val="es-ES"/>
        </w:rPr>
      </w:pPr>
      <w:r w:rsidRPr="00684475">
        <w:rPr>
          <w:rFonts w:eastAsia="Calibri"/>
          <w:szCs w:val="22"/>
          <w:lang w:val="es-ES" w:eastAsia="en-US"/>
        </w:rPr>
        <w:t xml:space="preserve">En el momento de redactar el presente informe, había 14 casos abiertos de investigación, tres de los cuales </w:t>
      </w:r>
      <w:r w:rsidR="009E1BBC">
        <w:rPr>
          <w:rFonts w:eastAsia="Calibri"/>
          <w:szCs w:val="22"/>
          <w:lang w:val="es-ES" w:eastAsia="en-US"/>
        </w:rPr>
        <w:t>se encontraban en fase de evaluación</w:t>
      </w:r>
      <w:r w:rsidRPr="00684475">
        <w:rPr>
          <w:rFonts w:eastAsia="Calibri"/>
          <w:szCs w:val="22"/>
          <w:lang w:val="es-ES" w:eastAsia="en-US"/>
        </w:rPr>
        <w:t xml:space="preserve"> preliminar y ocho </w:t>
      </w:r>
      <w:r w:rsidR="009E1BBC">
        <w:rPr>
          <w:rFonts w:eastAsia="Calibri"/>
          <w:szCs w:val="22"/>
          <w:lang w:val="es-ES" w:eastAsia="en-US"/>
        </w:rPr>
        <w:t>eran objeto de una</w:t>
      </w:r>
      <w:r w:rsidRPr="00684475">
        <w:rPr>
          <w:rFonts w:eastAsia="Calibri"/>
          <w:szCs w:val="22"/>
          <w:lang w:val="es-ES" w:eastAsia="en-US"/>
        </w:rPr>
        <w:t xml:space="preserve"> investigación completa.</w:t>
      </w:r>
      <w:r w:rsidR="004062F0" w:rsidRPr="00684475">
        <w:rPr>
          <w:rFonts w:eastAsia="Calibri"/>
          <w:szCs w:val="22"/>
          <w:lang w:val="es-ES" w:eastAsia="en-US"/>
        </w:rPr>
        <w:t xml:space="preserve"> </w:t>
      </w:r>
      <w:r w:rsidRPr="00684475">
        <w:rPr>
          <w:rFonts w:eastAsia="Calibri"/>
          <w:szCs w:val="22"/>
          <w:lang w:val="es-ES" w:eastAsia="en-US"/>
        </w:rPr>
        <w:t>La mayoría de estos casos pendientes se registraron en 2018 y 2019.</w:t>
      </w:r>
      <w:r w:rsidR="004062F0" w:rsidRPr="00684475">
        <w:rPr>
          <w:rFonts w:eastAsia="Calibri"/>
          <w:szCs w:val="22"/>
          <w:lang w:val="es-ES" w:eastAsia="en-US"/>
        </w:rPr>
        <w:t xml:space="preserve"> </w:t>
      </w:r>
      <w:r w:rsidRPr="00684475">
        <w:rPr>
          <w:rFonts w:eastAsia="Calibri"/>
          <w:szCs w:val="22"/>
          <w:lang w:val="es-ES" w:eastAsia="en-US"/>
        </w:rPr>
        <w:t xml:space="preserve">De conformidad con la Carta de Supervisión Interna, en los casos que entrañan un posible conflicto de intereses por parte de la DSI, </w:t>
      </w:r>
      <w:r w:rsidR="0044448E" w:rsidRPr="00684475">
        <w:rPr>
          <w:rFonts w:eastAsia="Calibri"/>
          <w:szCs w:val="22"/>
          <w:lang w:val="es-ES" w:eastAsia="en-US"/>
        </w:rPr>
        <w:t>la Comisión</w:t>
      </w:r>
      <w:r w:rsidRPr="00684475">
        <w:rPr>
          <w:rFonts w:eastAsia="Calibri"/>
          <w:szCs w:val="22"/>
          <w:lang w:val="es-ES" w:eastAsia="en-US"/>
        </w:rPr>
        <w:t xml:space="preserve"> examinó cada caso en detalle y prestó asesoramiento al director de la DSI y a otros interesados.</w:t>
      </w:r>
    </w:p>
    <w:p w:rsidR="001B6AC4" w:rsidRPr="00684475" w:rsidRDefault="001C72F0" w:rsidP="001C72F0">
      <w:pPr>
        <w:pStyle w:val="ONUME"/>
        <w:tabs>
          <w:tab w:val="left" w:pos="0"/>
          <w:tab w:val="num" w:pos="567"/>
        </w:tabs>
        <w:ind w:left="0"/>
        <w:rPr>
          <w:rStyle w:val="normalchar1"/>
          <w:rFonts w:ascii="Arial" w:hAnsi="Arial" w:cs="Arial"/>
          <w:lang w:val="es-ES"/>
        </w:rPr>
      </w:pPr>
      <w:r w:rsidRPr="00684475">
        <w:rPr>
          <w:rFonts w:cs="Arial"/>
          <w:szCs w:val="22"/>
          <w:lang w:val="es-ES"/>
        </w:rPr>
        <w:t>Aunque la Comisión está satisfecha con la puntualidad general con que la DSI tramita las quejas y concluye las investigaciones, la Comisión reiteró su preocupación por los importantes retrasos registrados en determinados casos debido a la falta de cooperación por parte de las personas sometidas a investigación o de los denunciantes durante la investigación</w:t>
      </w:r>
      <w:r w:rsidR="004F0A47" w:rsidRPr="00684475">
        <w:rPr>
          <w:lang w:val="es-ES"/>
        </w:rPr>
        <w:t>.</w:t>
      </w:r>
    </w:p>
    <w:p w:rsidR="001B6AC4" w:rsidRPr="00684475" w:rsidRDefault="00862061" w:rsidP="007A7CF0">
      <w:pPr>
        <w:pStyle w:val="ONUME"/>
        <w:tabs>
          <w:tab w:val="left" w:pos="0"/>
          <w:tab w:val="num" w:pos="567"/>
        </w:tabs>
        <w:ind w:left="0"/>
        <w:rPr>
          <w:i/>
          <w:lang w:val="es-ES"/>
        </w:rPr>
      </w:pPr>
      <w:r w:rsidRPr="00684475">
        <w:rPr>
          <w:rStyle w:val="normalchar1"/>
          <w:rFonts w:ascii="Arial" w:hAnsi="Arial" w:cs="Times New Roman"/>
          <w:szCs w:val="20"/>
          <w:lang w:val="es-ES"/>
        </w:rPr>
        <w:t>También se produjeron retrasos en los casos en que, debido a una situación de conflicto de interés, o por otros motivos, la DSI no pudo llevar a cabo la investigación, de manera que fue necesario contratar a investigadores externos.</w:t>
      </w:r>
      <w:r w:rsidR="00E1479E" w:rsidRPr="00684475">
        <w:rPr>
          <w:rStyle w:val="normalchar1"/>
          <w:rFonts w:ascii="Arial" w:hAnsi="Arial" w:cs="Times New Roman"/>
          <w:szCs w:val="20"/>
          <w:lang w:val="es-ES"/>
        </w:rPr>
        <w:t xml:space="preserve"> Por recomendación de la Comisión, </w:t>
      </w:r>
      <w:r w:rsidR="00042504" w:rsidRPr="00684475">
        <w:rPr>
          <w:rStyle w:val="normalchar1"/>
          <w:rFonts w:ascii="Arial" w:hAnsi="Arial" w:cs="Times New Roman"/>
          <w:szCs w:val="20"/>
          <w:lang w:val="es-ES"/>
        </w:rPr>
        <w:t xml:space="preserve">el director de </w:t>
      </w:r>
      <w:r w:rsidR="00E1479E" w:rsidRPr="00684475">
        <w:rPr>
          <w:rStyle w:val="normalchar1"/>
          <w:rFonts w:ascii="Arial" w:hAnsi="Arial" w:cs="Times New Roman"/>
          <w:szCs w:val="20"/>
          <w:lang w:val="es-ES"/>
        </w:rPr>
        <w:t xml:space="preserve">la DSI está preparando una lista de </w:t>
      </w:r>
      <w:r w:rsidR="00042504" w:rsidRPr="00684475">
        <w:rPr>
          <w:rStyle w:val="normalchar1"/>
          <w:rFonts w:ascii="Arial" w:hAnsi="Arial" w:cs="Times New Roman"/>
          <w:szCs w:val="20"/>
          <w:lang w:val="es-ES"/>
        </w:rPr>
        <w:t>consultores</w:t>
      </w:r>
      <w:r w:rsidR="00E1479E" w:rsidRPr="00684475">
        <w:rPr>
          <w:rStyle w:val="normalchar1"/>
          <w:rFonts w:ascii="Arial" w:hAnsi="Arial" w:cs="Times New Roman"/>
          <w:szCs w:val="20"/>
          <w:lang w:val="es-ES"/>
        </w:rPr>
        <w:t xml:space="preserve"> </w:t>
      </w:r>
      <w:r w:rsidR="00042504" w:rsidRPr="00684475">
        <w:rPr>
          <w:rStyle w:val="normalchar1"/>
          <w:rFonts w:ascii="Arial" w:hAnsi="Arial" w:cs="Times New Roman"/>
          <w:szCs w:val="20"/>
          <w:lang w:val="es-ES"/>
        </w:rPr>
        <w:t>en</w:t>
      </w:r>
      <w:r w:rsidR="00E1479E" w:rsidRPr="00684475">
        <w:rPr>
          <w:rStyle w:val="normalchar1"/>
          <w:rFonts w:ascii="Arial" w:hAnsi="Arial" w:cs="Times New Roman"/>
          <w:szCs w:val="20"/>
          <w:lang w:val="es-ES"/>
        </w:rPr>
        <w:t xml:space="preserve"> investigación preseleccionados que estará a disposición de la Comisión. La Comisión </w:t>
      </w:r>
      <w:r w:rsidR="00042504" w:rsidRPr="00684475">
        <w:rPr>
          <w:rStyle w:val="normalchar1"/>
          <w:rFonts w:ascii="Arial" w:hAnsi="Arial" w:cs="Times New Roman"/>
          <w:szCs w:val="20"/>
          <w:lang w:val="es-ES"/>
        </w:rPr>
        <w:t xml:space="preserve">cree firmemente </w:t>
      </w:r>
      <w:r w:rsidR="00E1479E" w:rsidRPr="00684475">
        <w:rPr>
          <w:rStyle w:val="normalchar1"/>
          <w:rFonts w:ascii="Arial" w:hAnsi="Arial" w:cs="Times New Roman"/>
          <w:szCs w:val="20"/>
          <w:lang w:val="es-ES"/>
        </w:rPr>
        <w:t>que esa lista, una vez que esté operativa, facilitará la contratación de investigadores externos con mayor rapidez</w:t>
      </w:r>
      <w:r w:rsidR="002458AE" w:rsidRPr="00684475">
        <w:rPr>
          <w:rStyle w:val="normalchar1"/>
          <w:rFonts w:ascii="Arial" w:hAnsi="Arial" w:cs="Arial"/>
          <w:lang w:val="es-ES"/>
        </w:rPr>
        <w:t>.</w:t>
      </w:r>
    </w:p>
    <w:p w:rsidR="001B6AC4" w:rsidRPr="00684475" w:rsidRDefault="00577D86" w:rsidP="00577D86">
      <w:pPr>
        <w:pStyle w:val="Heading3"/>
        <w:spacing w:before="0" w:after="220"/>
        <w:ind w:left="0" w:firstLine="0"/>
        <w:rPr>
          <w:szCs w:val="22"/>
          <w:lang w:val="es-ES"/>
        </w:rPr>
      </w:pPr>
      <w:bookmarkStart w:id="26" w:name="_Toc12889931"/>
      <w:r w:rsidRPr="00684475">
        <w:rPr>
          <w:szCs w:val="22"/>
          <w:lang w:val="es-ES"/>
        </w:rPr>
        <w:lastRenderedPageBreak/>
        <w:t>Auditoría externa</w:t>
      </w:r>
      <w:bookmarkEnd w:id="26"/>
    </w:p>
    <w:p w:rsidR="001B6AC4" w:rsidRPr="00684475" w:rsidRDefault="00577D86" w:rsidP="00577D86">
      <w:pPr>
        <w:pStyle w:val="ONUME"/>
        <w:tabs>
          <w:tab w:val="left" w:pos="0"/>
          <w:tab w:val="num" w:pos="567"/>
        </w:tabs>
        <w:ind w:left="0"/>
        <w:rPr>
          <w:lang w:val="es-ES"/>
        </w:rPr>
      </w:pPr>
      <w:r w:rsidRPr="00684475">
        <w:rPr>
          <w:lang w:val="es-ES"/>
        </w:rPr>
        <w:t xml:space="preserve">Durante el período que abarca el informe, </w:t>
      </w:r>
      <w:r w:rsidR="0044448E" w:rsidRPr="00684475">
        <w:rPr>
          <w:lang w:val="es-ES"/>
        </w:rPr>
        <w:t>la Comisión</w:t>
      </w:r>
      <w:r w:rsidRPr="00684475">
        <w:rPr>
          <w:lang w:val="es-ES"/>
        </w:rPr>
        <w:t xml:space="preserve"> ha mantenido comunicación periódicamente con el </w:t>
      </w:r>
      <w:r w:rsidR="00543971" w:rsidRPr="00684475">
        <w:rPr>
          <w:lang w:val="es-ES"/>
        </w:rPr>
        <w:t>a</w:t>
      </w:r>
      <w:r w:rsidRPr="00684475">
        <w:rPr>
          <w:lang w:val="es-ES"/>
        </w:rPr>
        <w:t xml:space="preserve">uditor </w:t>
      </w:r>
      <w:r w:rsidR="00543971" w:rsidRPr="00684475">
        <w:rPr>
          <w:lang w:val="es-ES"/>
        </w:rPr>
        <w:t>e</w:t>
      </w:r>
      <w:r w:rsidRPr="00684475">
        <w:rPr>
          <w:lang w:val="es-ES"/>
        </w:rPr>
        <w:t xml:space="preserve">xterno, </w:t>
      </w:r>
      <w:r w:rsidR="006B1274" w:rsidRPr="00684475">
        <w:rPr>
          <w:lang w:val="es-ES"/>
        </w:rPr>
        <w:t xml:space="preserve">a saber, la </w:t>
      </w:r>
      <w:r w:rsidRPr="00684475">
        <w:rPr>
          <w:lang w:val="es-ES"/>
        </w:rPr>
        <w:t>Oficina Nacional de Auditoría (NAO) del Reino Unido.</w:t>
      </w:r>
      <w:r w:rsidR="004062F0" w:rsidRPr="00684475">
        <w:rPr>
          <w:lang w:val="es-ES"/>
        </w:rPr>
        <w:t xml:space="preserve"> </w:t>
      </w:r>
      <w:r w:rsidR="0044448E" w:rsidRPr="00684475">
        <w:rPr>
          <w:lang w:val="es-ES"/>
        </w:rPr>
        <w:t>La Comisión</w:t>
      </w:r>
      <w:r w:rsidRPr="00684475">
        <w:rPr>
          <w:lang w:val="es-ES"/>
        </w:rPr>
        <w:t xml:space="preserve"> también celebró sesiones privadas con el </w:t>
      </w:r>
      <w:r w:rsidR="00543971" w:rsidRPr="00684475">
        <w:rPr>
          <w:lang w:val="es-ES"/>
        </w:rPr>
        <w:t>a</w:t>
      </w:r>
      <w:r w:rsidRPr="00684475">
        <w:rPr>
          <w:lang w:val="es-ES"/>
        </w:rPr>
        <w:t xml:space="preserve">uditor </w:t>
      </w:r>
      <w:r w:rsidR="00543971" w:rsidRPr="00684475">
        <w:rPr>
          <w:lang w:val="es-ES"/>
        </w:rPr>
        <w:t>e</w:t>
      </w:r>
      <w:r w:rsidRPr="00684475">
        <w:rPr>
          <w:lang w:val="es-ES"/>
        </w:rPr>
        <w:t>xterno.</w:t>
      </w:r>
    </w:p>
    <w:p w:rsidR="001B6AC4" w:rsidRPr="00684475" w:rsidRDefault="00D2712A" w:rsidP="00543971">
      <w:pPr>
        <w:pStyle w:val="ONUME"/>
        <w:tabs>
          <w:tab w:val="left" w:pos="0"/>
          <w:tab w:val="num" w:pos="567"/>
        </w:tabs>
        <w:ind w:left="0"/>
        <w:rPr>
          <w:lang w:val="es-ES"/>
        </w:rPr>
      </w:pPr>
      <w:r w:rsidRPr="00684475">
        <w:rPr>
          <w:lang w:val="es-ES"/>
        </w:rPr>
        <w:t xml:space="preserve"> </w:t>
      </w:r>
      <w:r w:rsidR="00543971" w:rsidRPr="00684475">
        <w:rPr>
          <w:lang w:val="es-ES"/>
        </w:rPr>
        <w:t>En su</w:t>
      </w:r>
      <w:r w:rsidR="001E1C3D" w:rsidRPr="00684475">
        <w:rPr>
          <w:lang w:val="es-ES"/>
        </w:rPr>
        <w:t xml:space="preserve"> 50</w:t>
      </w:r>
      <w:r w:rsidR="00DA4261">
        <w:rPr>
          <w:lang w:val="es-ES"/>
        </w:rPr>
        <w:t>.ª</w:t>
      </w:r>
      <w:r w:rsidR="001E1C3D" w:rsidRPr="00684475">
        <w:rPr>
          <w:lang w:val="es-ES"/>
        </w:rPr>
        <w:t xml:space="preserve"> ses</w:t>
      </w:r>
      <w:r w:rsidR="00543971" w:rsidRPr="00684475">
        <w:rPr>
          <w:lang w:val="es-ES"/>
        </w:rPr>
        <w:t>ió</w:t>
      </w:r>
      <w:r w:rsidR="001E1C3D" w:rsidRPr="00684475">
        <w:rPr>
          <w:lang w:val="es-ES"/>
        </w:rPr>
        <w:t>n,</w:t>
      </w:r>
      <w:r w:rsidR="00543971" w:rsidRPr="00684475">
        <w:rPr>
          <w:lang w:val="es-ES"/>
        </w:rPr>
        <w:t xml:space="preserve"> la Comisión examinó con el auditor externo su informe de planificación de la auditoría de los estados financieros de 2018, en particular, la evaluación de los riesgos y los elementos en los que se prevé centrar la auditoría.</w:t>
      </w:r>
      <w:r w:rsidR="001E1C3D" w:rsidRPr="00684475">
        <w:rPr>
          <w:lang w:val="es-ES"/>
        </w:rPr>
        <w:t xml:space="preserve"> </w:t>
      </w:r>
      <w:r w:rsidR="00577D86" w:rsidRPr="00684475">
        <w:rPr>
          <w:lang w:val="es-ES"/>
        </w:rPr>
        <w:t xml:space="preserve">La Comisión elogió al auditor externo por el análisis presentado y concluyó que el plan de auditoría abarca los sectores de riesgo importantes, </w:t>
      </w:r>
      <w:r w:rsidR="00120306" w:rsidRPr="00684475">
        <w:rPr>
          <w:lang w:val="es-ES"/>
        </w:rPr>
        <w:t>en particular,</w:t>
      </w:r>
      <w:r w:rsidR="00577D86" w:rsidRPr="00684475">
        <w:rPr>
          <w:lang w:val="es-ES"/>
        </w:rPr>
        <w:t xml:space="preserve"> los ámbitos de </w:t>
      </w:r>
      <w:r w:rsidR="00120306" w:rsidRPr="00684475">
        <w:rPr>
          <w:lang w:val="es-ES"/>
        </w:rPr>
        <w:t xml:space="preserve">especial </w:t>
      </w:r>
      <w:r w:rsidR="00577D86" w:rsidRPr="00684475">
        <w:rPr>
          <w:lang w:val="es-ES"/>
        </w:rPr>
        <w:t>interés o de posible preocupación para los Estados miembros.</w:t>
      </w:r>
    </w:p>
    <w:p w:rsidR="001B6AC4" w:rsidRPr="00684475" w:rsidRDefault="00543971" w:rsidP="00543971">
      <w:pPr>
        <w:pStyle w:val="ONUME"/>
        <w:tabs>
          <w:tab w:val="left" w:pos="0"/>
          <w:tab w:val="num" w:pos="567"/>
        </w:tabs>
        <w:ind w:left="0"/>
        <w:rPr>
          <w:lang w:val="es-ES"/>
        </w:rPr>
      </w:pPr>
      <w:r w:rsidRPr="00684475">
        <w:rPr>
          <w:lang w:val="es-ES"/>
        </w:rPr>
        <w:t>En su</w:t>
      </w:r>
      <w:r w:rsidR="00D74FD4" w:rsidRPr="00684475">
        <w:rPr>
          <w:lang w:val="es-ES"/>
        </w:rPr>
        <w:t xml:space="preserve"> 51</w:t>
      </w:r>
      <w:r w:rsidR="00DA4261">
        <w:rPr>
          <w:lang w:val="es-ES"/>
        </w:rPr>
        <w:t>.ª</w:t>
      </w:r>
      <w:r w:rsidR="00837F6B" w:rsidRPr="00684475">
        <w:rPr>
          <w:lang w:val="es-ES"/>
        </w:rPr>
        <w:t xml:space="preserve"> </w:t>
      </w:r>
      <w:r w:rsidRPr="00684475">
        <w:rPr>
          <w:lang w:val="es-ES"/>
        </w:rPr>
        <w:t>sesión</w:t>
      </w:r>
      <w:r w:rsidR="00D74FD4" w:rsidRPr="00684475">
        <w:rPr>
          <w:lang w:val="es-ES"/>
        </w:rPr>
        <w:t>,</w:t>
      </w:r>
      <w:r w:rsidRPr="00684475">
        <w:rPr>
          <w:lang w:val="es-ES"/>
        </w:rPr>
        <w:t xml:space="preserve"> la Comisión examinó con el auditor externo la situación de la auditoría intermedia y las cuestiones que plantea</w:t>
      </w:r>
      <w:r w:rsidR="00D74FD4" w:rsidRPr="00684475">
        <w:rPr>
          <w:lang w:val="es-ES"/>
        </w:rPr>
        <w:t>.</w:t>
      </w:r>
    </w:p>
    <w:p w:rsidR="001B6AC4" w:rsidRPr="00684475" w:rsidRDefault="00543971" w:rsidP="007A7CF0">
      <w:pPr>
        <w:pStyle w:val="ONUME"/>
        <w:tabs>
          <w:tab w:val="left" w:pos="0"/>
          <w:tab w:val="num" w:pos="567"/>
        </w:tabs>
        <w:ind w:left="0"/>
        <w:rPr>
          <w:lang w:val="es-ES"/>
        </w:rPr>
      </w:pPr>
      <w:r w:rsidRPr="00684475">
        <w:rPr>
          <w:lang w:val="es-ES"/>
        </w:rPr>
        <w:t xml:space="preserve">En su </w:t>
      </w:r>
      <w:r w:rsidR="00D74FD4" w:rsidRPr="00684475">
        <w:rPr>
          <w:lang w:val="es-ES"/>
        </w:rPr>
        <w:t>53</w:t>
      </w:r>
      <w:r w:rsidR="00DA4261">
        <w:rPr>
          <w:lang w:val="es-ES"/>
        </w:rPr>
        <w:t>.ª</w:t>
      </w:r>
      <w:r w:rsidRPr="00684475">
        <w:rPr>
          <w:lang w:val="es-ES"/>
        </w:rPr>
        <w:t xml:space="preserve"> sesión</w:t>
      </w:r>
      <w:r w:rsidR="00D74FD4" w:rsidRPr="00684475">
        <w:rPr>
          <w:lang w:val="es-ES"/>
        </w:rPr>
        <w:t>,</w:t>
      </w:r>
      <w:r w:rsidRPr="00684475">
        <w:rPr>
          <w:lang w:val="es-ES"/>
        </w:rPr>
        <w:t xml:space="preserve"> </w:t>
      </w:r>
      <w:r w:rsidR="00933FCA" w:rsidRPr="00684475">
        <w:rPr>
          <w:lang w:val="es-ES"/>
        </w:rPr>
        <w:t xml:space="preserve">la Comisión examinó con el auditor externo y </w:t>
      </w:r>
      <w:r w:rsidR="00C855DF" w:rsidRPr="00684475">
        <w:rPr>
          <w:lang w:val="es-ES"/>
        </w:rPr>
        <w:t xml:space="preserve">la </w:t>
      </w:r>
      <w:r w:rsidR="00933FCA" w:rsidRPr="00684475">
        <w:rPr>
          <w:lang w:val="es-ES"/>
        </w:rPr>
        <w:t>contralor</w:t>
      </w:r>
      <w:r w:rsidR="00C855DF" w:rsidRPr="00684475">
        <w:rPr>
          <w:lang w:val="es-ES"/>
        </w:rPr>
        <w:t>a</w:t>
      </w:r>
      <w:r w:rsidR="00933FCA" w:rsidRPr="00684475">
        <w:rPr>
          <w:lang w:val="es-ES"/>
        </w:rPr>
        <w:t xml:space="preserve"> el informe del auditor externo sobre los estados financieros de la OMPI de 2018 y el correspondiente informe de finalización de la auditoría, en que se detallan las principales conclusiones de auditoría que apoyan el dictamen de auditoría</w:t>
      </w:r>
      <w:r w:rsidR="00D74FD4" w:rsidRPr="00684475">
        <w:rPr>
          <w:lang w:val="es-ES"/>
        </w:rPr>
        <w:t>.</w:t>
      </w:r>
    </w:p>
    <w:p w:rsidR="001B6AC4" w:rsidRPr="00684475" w:rsidRDefault="00150768" w:rsidP="007A7CF0">
      <w:pPr>
        <w:pStyle w:val="ONUME"/>
        <w:tabs>
          <w:tab w:val="left" w:pos="0"/>
          <w:tab w:val="num" w:pos="567"/>
        </w:tabs>
        <w:ind w:left="0"/>
        <w:rPr>
          <w:lang w:val="es-ES"/>
        </w:rPr>
      </w:pPr>
      <w:r w:rsidRPr="00684475">
        <w:rPr>
          <w:lang w:val="es-ES"/>
        </w:rPr>
        <w:t>La Comisión observ</w:t>
      </w:r>
      <w:r w:rsidR="00120306" w:rsidRPr="00684475">
        <w:rPr>
          <w:lang w:val="es-ES"/>
        </w:rPr>
        <w:t>ó</w:t>
      </w:r>
      <w:r w:rsidRPr="00684475">
        <w:rPr>
          <w:lang w:val="es-ES"/>
        </w:rPr>
        <w:t xml:space="preserve"> con satisfacción que la OMPI ha recibido un dictamen de auditoría sin reservas y que el auditor externo ha constatado la alta calidad de los estados financieros de la OMPI. El auditor externo consideró que los estados financieros pueden mejorarse centrando las observaciones financieras en los aspectos materiales fundamentales relativos al rendimiento financiero y la salud financiera. El auditor externo reconoció la alta calidad y madurez del marco de control interno de la OMPI y el sistema de declaración anual </w:t>
      </w:r>
      <w:r w:rsidR="00120306" w:rsidRPr="00684475">
        <w:rPr>
          <w:lang w:val="es-ES"/>
        </w:rPr>
        <w:t>sobre el</w:t>
      </w:r>
      <w:r w:rsidRPr="00684475">
        <w:rPr>
          <w:lang w:val="es-ES"/>
        </w:rPr>
        <w:t xml:space="preserve"> control interno. Tambi</w:t>
      </w:r>
      <w:r w:rsidR="001948EB" w:rsidRPr="00684475">
        <w:rPr>
          <w:lang w:val="es-ES"/>
        </w:rPr>
        <w:t>én recomendaron seguir introduciendo mejoras aprovechando las oportunidades de análisis de datos para automatizar la supervisión de los principales procesos institucionales</w:t>
      </w:r>
      <w:r w:rsidR="00E264A1" w:rsidRPr="00684475">
        <w:rPr>
          <w:lang w:val="es-ES"/>
        </w:rPr>
        <w:t>.</w:t>
      </w:r>
    </w:p>
    <w:p w:rsidR="001B6AC4" w:rsidRPr="00684475" w:rsidRDefault="001948EB" w:rsidP="00A94117">
      <w:pPr>
        <w:pStyle w:val="ONUME"/>
        <w:tabs>
          <w:tab w:val="left" w:pos="0"/>
          <w:tab w:val="num" w:pos="567"/>
        </w:tabs>
        <w:ind w:left="0"/>
        <w:rPr>
          <w:lang w:val="es-ES"/>
        </w:rPr>
      </w:pPr>
      <w:r w:rsidRPr="00684475">
        <w:rPr>
          <w:lang w:val="es-ES"/>
        </w:rPr>
        <w:t xml:space="preserve">Habida cuenta de que la auditoría de resultados de este año se centró en la gestión por resultados y en la gestión de los recursos humanos, la mayoría de las 16 recomendaciones de auditoría formuladas tenían por objeto mejorar esas dos esferas. Una de dichas recomendaciones </w:t>
      </w:r>
      <w:r w:rsidR="00DA4261">
        <w:rPr>
          <w:lang w:val="es-ES"/>
        </w:rPr>
        <w:t>guardaba relación con</w:t>
      </w:r>
      <w:r w:rsidRPr="00684475">
        <w:rPr>
          <w:lang w:val="es-ES"/>
        </w:rPr>
        <w:t xml:space="preserve"> la armonización de los indicadores de rendimiento utilizados en la gestión por resultados y el marco de presentación de informes, a fin de facilitar </w:t>
      </w:r>
      <w:r w:rsidR="00A94117" w:rsidRPr="00684475">
        <w:rPr>
          <w:lang w:val="es-ES"/>
        </w:rPr>
        <w:t xml:space="preserve">la toma de decisiones por parte de la </w:t>
      </w:r>
      <w:r w:rsidR="00464569">
        <w:rPr>
          <w:lang w:val="es-ES"/>
        </w:rPr>
        <w:t>D</w:t>
      </w:r>
      <w:r w:rsidR="00A94117" w:rsidRPr="00684475">
        <w:rPr>
          <w:lang w:val="es-ES"/>
        </w:rPr>
        <w:t>irección</w:t>
      </w:r>
      <w:r w:rsidR="006832A4" w:rsidRPr="00684475">
        <w:rPr>
          <w:lang w:val="es-ES"/>
        </w:rPr>
        <w:t>.</w:t>
      </w:r>
    </w:p>
    <w:p w:rsidR="001B6AC4" w:rsidRPr="00684475" w:rsidRDefault="00A94117" w:rsidP="007A7CF0">
      <w:pPr>
        <w:pStyle w:val="ONUME"/>
        <w:tabs>
          <w:tab w:val="left" w:pos="0"/>
          <w:tab w:val="num" w:pos="567"/>
        </w:tabs>
        <w:ind w:left="0"/>
        <w:rPr>
          <w:i/>
          <w:lang w:val="es-ES"/>
        </w:rPr>
      </w:pPr>
      <w:r w:rsidRPr="00684475">
        <w:rPr>
          <w:lang w:val="es-ES"/>
        </w:rPr>
        <w:t>La Comisión elogia al auditor externo por la calidad, la legibilidad y la puntualidad del informe, y espera con interés que se mantenga la colaboración</w:t>
      </w:r>
      <w:r w:rsidR="00E264A1" w:rsidRPr="00684475">
        <w:rPr>
          <w:lang w:val="es-ES"/>
        </w:rPr>
        <w:t>.</w:t>
      </w:r>
    </w:p>
    <w:p w:rsidR="001B6AC4" w:rsidRPr="00684475" w:rsidRDefault="00CE76ED" w:rsidP="00CE76ED">
      <w:pPr>
        <w:pStyle w:val="Heading3"/>
        <w:spacing w:before="0" w:after="220"/>
        <w:ind w:left="0" w:firstLine="0"/>
        <w:rPr>
          <w:szCs w:val="22"/>
          <w:lang w:val="es-ES"/>
        </w:rPr>
      </w:pPr>
      <w:bookmarkStart w:id="27" w:name="_Toc12889932"/>
      <w:r w:rsidRPr="00684475">
        <w:rPr>
          <w:szCs w:val="22"/>
          <w:lang w:val="es-ES"/>
        </w:rPr>
        <w:t>Información financiera</w:t>
      </w:r>
      <w:bookmarkEnd w:id="27"/>
    </w:p>
    <w:p w:rsidR="001B6AC4" w:rsidRPr="00684475" w:rsidRDefault="00CE76ED" w:rsidP="00BD0351">
      <w:pPr>
        <w:pStyle w:val="ONUME"/>
        <w:tabs>
          <w:tab w:val="left" w:pos="0"/>
          <w:tab w:val="num" w:pos="567"/>
        </w:tabs>
        <w:ind w:left="0"/>
        <w:rPr>
          <w:lang w:val="es-ES"/>
        </w:rPr>
      </w:pPr>
      <w:r w:rsidRPr="00684475">
        <w:rPr>
          <w:lang w:val="es-ES"/>
        </w:rPr>
        <w:t>En la 52</w:t>
      </w:r>
      <w:r w:rsidR="00DA4261">
        <w:rPr>
          <w:lang w:val="es-ES"/>
        </w:rPr>
        <w:t>.ª</w:t>
      </w:r>
      <w:r w:rsidRPr="00684475">
        <w:rPr>
          <w:lang w:val="es-ES"/>
        </w:rPr>
        <w:t xml:space="preserve"> sesión, </w:t>
      </w:r>
      <w:r w:rsidR="00C855DF" w:rsidRPr="00684475">
        <w:rPr>
          <w:lang w:val="es-ES"/>
        </w:rPr>
        <w:t>la</w:t>
      </w:r>
      <w:r w:rsidRPr="00684475">
        <w:rPr>
          <w:lang w:val="es-ES"/>
        </w:rPr>
        <w:t xml:space="preserve"> contralor</w:t>
      </w:r>
      <w:r w:rsidR="00C855DF" w:rsidRPr="00684475">
        <w:rPr>
          <w:lang w:val="es-ES"/>
        </w:rPr>
        <w:t>a</w:t>
      </w:r>
      <w:r w:rsidRPr="00684475">
        <w:rPr>
          <w:lang w:val="es-ES"/>
        </w:rPr>
        <w:t xml:space="preserve"> y </w:t>
      </w:r>
      <w:r w:rsidR="00DA4261">
        <w:rPr>
          <w:lang w:val="es-ES"/>
        </w:rPr>
        <w:t xml:space="preserve">la </w:t>
      </w:r>
      <w:r w:rsidRPr="00684475">
        <w:rPr>
          <w:lang w:val="es-ES"/>
        </w:rPr>
        <w:t>director</w:t>
      </w:r>
      <w:r w:rsidR="00C855DF" w:rsidRPr="00684475">
        <w:rPr>
          <w:lang w:val="es-ES"/>
        </w:rPr>
        <w:t>a</w:t>
      </w:r>
      <w:r w:rsidRPr="00684475">
        <w:rPr>
          <w:lang w:val="es-ES"/>
        </w:rPr>
        <w:t xml:space="preserve"> de la División de Finanzas </w:t>
      </w:r>
      <w:r w:rsidR="00DA4261">
        <w:rPr>
          <w:lang w:val="es-ES"/>
        </w:rPr>
        <w:t>informaron</w:t>
      </w:r>
      <w:r w:rsidRPr="00684475">
        <w:rPr>
          <w:lang w:val="es-ES"/>
        </w:rPr>
        <w:t xml:space="preserve"> a la Comisión sobre el proyecto de estados financieros correspondiente al ejercicio concluido el 31 de diciembre de 2018.</w:t>
      </w:r>
      <w:r w:rsidR="004062F0" w:rsidRPr="00684475">
        <w:rPr>
          <w:lang w:val="es-ES"/>
        </w:rPr>
        <w:t xml:space="preserve"> </w:t>
      </w:r>
      <w:r w:rsidRPr="00684475">
        <w:rPr>
          <w:lang w:val="es-ES"/>
        </w:rPr>
        <w:t>De conformidad con el estado de rendimiento financiero, los ingresos totales aumentaron en 21 millones de francos suizos, debido principalmente a nuevos aumentos sustanciales de las tasas correspondientes a los Sistemas del PCT y de Madrid.</w:t>
      </w:r>
      <w:r w:rsidR="004062F0" w:rsidRPr="00684475">
        <w:rPr>
          <w:lang w:val="es-ES"/>
        </w:rPr>
        <w:t xml:space="preserve"> </w:t>
      </w:r>
      <w:r w:rsidRPr="00684475">
        <w:rPr>
          <w:lang w:val="es-ES"/>
        </w:rPr>
        <w:t>Los gastos disminuyeron en 19 millones de francos suizos, debido principalmente a la reducción de los costos financieros.</w:t>
      </w:r>
      <w:r w:rsidR="005D5182" w:rsidRPr="00684475">
        <w:rPr>
          <w:lang w:val="es-ES"/>
        </w:rPr>
        <w:t xml:space="preserve"> </w:t>
      </w:r>
      <w:r w:rsidR="00BD0351" w:rsidRPr="00684475">
        <w:rPr>
          <w:lang w:val="es-ES"/>
        </w:rPr>
        <w:t>El superávit superó los 42 millones de francos suizos, lo que representa un aumento de casi 24 millones de francos suizos con respecto a 2017. Según el estado de rendimiento financiero, los activos netos de la OMPI al 31 d</w:t>
      </w:r>
      <w:r w:rsidR="00DA4261">
        <w:rPr>
          <w:lang w:val="es-ES"/>
        </w:rPr>
        <w:t>e diciembre de 2018 ascendían a </w:t>
      </w:r>
      <w:r w:rsidR="00BD0351" w:rsidRPr="00684475">
        <w:rPr>
          <w:lang w:val="es-ES"/>
        </w:rPr>
        <w:t xml:space="preserve">261 millones de francos suizos, lo que representa un aumento de 59 millones de francos suizos con respecto a </w:t>
      </w:r>
      <w:r w:rsidR="007C2717" w:rsidRPr="00684475">
        <w:rPr>
          <w:lang w:val="es-ES"/>
        </w:rPr>
        <w:t>2017.</w:t>
      </w:r>
    </w:p>
    <w:p w:rsidR="001B6AC4" w:rsidRPr="00684475" w:rsidRDefault="00BD0351" w:rsidP="007A7CF0">
      <w:pPr>
        <w:pStyle w:val="ONUME"/>
        <w:tabs>
          <w:tab w:val="left" w:pos="0"/>
          <w:tab w:val="num" w:pos="567"/>
        </w:tabs>
        <w:ind w:left="0"/>
        <w:rPr>
          <w:lang w:val="es-ES"/>
        </w:rPr>
      </w:pPr>
      <w:r w:rsidRPr="00684475">
        <w:rPr>
          <w:lang w:val="es-ES"/>
        </w:rPr>
        <w:lastRenderedPageBreak/>
        <w:t>En la</w:t>
      </w:r>
      <w:r w:rsidR="00F3508D" w:rsidRPr="00684475">
        <w:rPr>
          <w:lang w:val="es-ES"/>
        </w:rPr>
        <w:t xml:space="preserve"> </w:t>
      </w:r>
      <w:r w:rsidR="006915DC" w:rsidRPr="00684475">
        <w:rPr>
          <w:lang w:val="es-ES"/>
        </w:rPr>
        <w:t>53</w:t>
      </w:r>
      <w:r w:rsidR="00DA4261">
        <w:rPr>
          <w:lang w:val="es-ES"/>
        </w:rPr>
        <w:t>.ª</w:t>
      </w:r>
      <w:r w:rsidRPr="00684475">
        <w:rPr>
          <w:lang w:val="es-ES"/>
        </w:rPr>
        <w:t xml:space="preserve"> sesión</w:t>
      </w:r>
      <w:r w:rsidR="006915DC" w:rsidRPr="00684475">
        <w:rPr>
          <w:lang w:val="es-ES"/>
        </w:rPr>
        <w:t xml:space="preserve">, </w:t>
      </w:r>
      <w:r w:rsidR="00C855DF" w:rsidRPr="00684475">
        <w:rPr>
          <w:lang w:val="es-ES"/>
        </w:rPr>
        <w:t>la</w:t>
      </w:r>
      <w:r w:rsidR="00F9578B" w:rsidRPr="00684475">
        <w:rPr>
          <w:lang w:val="es-ES"/>
        </w:rPr>
        <w:t xml:space="preserve"> contralor</w:t>
      </w:r>
      <w:r w:rsidR="00C855DF" w:rsidRPr="00684475">
        <w:rPr>
          <w:lang w:val="es-ES"/>
        </w:rPr>
        <w:t>a</w:t>
      </w:r>
      <w:r w:rsidR="00F9578B" w:rsidRPr="00684475">
        <w:rPr>
          <w:lang w:val="es-ES"/>
        </w:rPr>
        <w:t xml:space="preserve"> y </w:t>
      </w:r>
      <w:r w:rsidR="00DA4261">
        <w:rPr>
          <w:lang w:val="es-ES"/>
        </w:rPr>
        <w:t xml:space="preserve">la </w:t>
      </w:r>
      <w:r w:rsidRPr="00684475">
        <w:rPr>
          <w:lang w:val="es-ES"/>
        </w:rPr>
        <w:t>director</w:t>
      </w:r>
      <w:r w:rsidR="00C855DF" w:rsidRPr="00684475">
        <w:rPr>
          <w:lang w:val="es-ES"/>
        </w:rPr>
        <w:t>a</w:t>
      </w:r>
      <w:r w:rsidRPr="00684475">
        <w:rPr>
          <w:lang w:val="es-ES"/>
        </w:rPr>
        <w:t xml:space="preserve"> de la División de Finanzas inform</w:t>
      </w:r>
      <w:r w:rsidR="00DA4261">
        <w:rPr>
          <w:lang w:val="es-ES"/>
        </w:rPr>
        <w:t>aron</w:t>
      </w:r>
      <w:r w:rsidRPr="00684475">
        <w:rPr>
          <w:lang w:val="es-ES"/>
        </w:rPr>
        <w:t xml:space="preserve"> a la Comisión sobre determinados ajustes menores del proyecto de estados financieros en respuesta a las recomendaciones formuladas por el auditor externo</w:t>
      </w:r>
      <w:r w:rsidR="006915DC" w:rsidRPr="00684475">
        <w:rPr>
          <w:lang w:val="es-ES"/>
        </w:rPr>
        <w:t>.</w:t>
      </w:r>
    </w:p>
    <w:p w:rsidR="001B6AC4" w:rsidRPr="00684475" w:rsidRDefault="00CE76ED" w:rsidP="00CE76ED">
      <w:pPr>
        <w:pStyle w:val="Heading3"/>
        <w:spacing w:before="0" w:after="220"/>
        <w:ind w:left="0" w:firstLine="0"/>
        <w:rPr>
          <w:lang w:val="es-ES"/>
        </w:rPr>
      </w:pPr>
      <w:bookmarkStart w:id="28" w:name="_Toc12889933"/>
      <w:r w:rsidRPr="00684475">
        <w:rPr>
          <w:lang w:val="es-ES"/>
        </w:rPr>
        <w:t>Gestión de riesgos y controles internos</w:t>
      </w:r>
      <w:bookmarkEnd w:id="28"/>
    </w:p>
    <w:p w:rsidR="001B6AC4" w:rsidRPr="00684475" w:rsidRDefault="001C72B1" w:rsidP="00CE76ED">
      <w:pPr>
        <w:pStyle w:val="ONUME"/>
        <w:numPr>
          <w:ilvl w:val="0"/>
          <w:numId w:val="0"/>
        </w:numPr>
        <w:tabs>
          <w:tab w:val="left" w:pos="567"/>
        </w:tabs>
        <w:rPr>
          <w:rFonts w:cs="Arial"/>
          <w:i/>
          <w:szCs w:val="22"/>
          <w:lang w:val="es-ES"/>
        </w:rPr>
      </w:pPr>
      <w:r w:rsidRPr="00684475">
        <w:rPr>
          <w:rFonts w:cs="Arial"/>
          <w:i/>
          <w:szCs w:val="22"/>
          <w:lang w:val="es-ES"/>
        </w:rPr>
        <w:tab/>
      </w:r>
      <w:r w:rsidR="00CE76ED" w:rsidRPr="00684475">
        <w:rPr>
          <w:rFonts w:cs="Arial"/>
          <w:i/>
          <w:szCs w:val="22"/>
          <w:lang w:val="es-ES"/>
        </w:rPr>
        <w:t>División de Seguridad y Aseguramiento de la Información</w:t>
      </w:r>
    </w:p>
    <w:p w:rsidR="001B6AC4" w:rsidRPr="00684475" w:rsidRDefault="00BD0351" w:rsidP="003A5199">
      <w:pPr>
        <w:pStyle w:val="ONUME"/>
        <w:tabs>
          <w:tab w:val="left" w:pos="0"/>
          <w:tab w:val="num" w:pos="567"/>
        </w:tabs>
        <w:ind w:left="0"/>
        <w:rPr>
          <w:lang w:val="es-ES"/>
        </w:rPr>
      </w:pPr>
      <w:r w:rsidRPr="00684475">
        <w:rPr>
          <w:lang w:val="es-ES"/>
        </w:rPr>
        <w:t>En la</w:t>
      </w:r>
      <w:r w:rsidR="00F3508D" w:rsidRPr="00684475">
        <w:rPr>
          <w:lang w:val="es-ES"/>
        </w:rPr>
        <w:t xml:space="preserve"> </w:t>
      </w:r>
      <w:r w:rsidR="001C72B1" w:rsidRPr="00684475">
        <w:rPr>
          <w:lang w:val="es-ES"/>
        </w:rPr>
        <w:t>50</w:t>
      </w:r>
      <w:r w:rsidR="00DA4261">
        <w:rPr>
          <w:lang w:val="es-ES"/>
        </w:rPr>
        <w:t>.ª</w:t>
      </w:r>
      <w:r w:rsidR="001C72B1" w:rsidRPr="00684475">
        <w:rPr>
          <w:lang w:val="es-ES"/>
        </w:rPr>
        <w:t xml:space="preserve"> </w:t>
      </w:r>
      <w:r w:rsidRPr="00684475">
        <w:rPr>
          <w:lang w:val="es-ES"/>
        </w:rPr>
        <w:t>sesión</w:t>
      </w:r>
      <w:r w:rsidR="001C72B1" w:rsidRPr="00684475">
        <w:rPr>
          <w:lang w:val="es-ES"/>
        </w:rPr>
        <w:t>,</w:t>
      </w:r>
      <w:r w:rsidR="003A5199" w:rsidRPr="00684475">
        <w:rPr>
          <w:lang w:val="es-ES"/>
        </w:rPr>
        <w:t xml:space="preserve"> el oficial jefe de Seguridad presentó a la Comisión información actualizada de la Estrategia de la OMPI de aseguramiento de la información 2016-2021. La Comisión es consciente de </w:t>
      </w:r>
      <w:r w:rsidR="008F0990">
        <w:rPr>
          <w:lang w:val="es-ES"/>
        </w:rPr>
        <w:t xml:space="preserve">que </w:t>
      </w:r>
      <w:r w:rsidR="003A5199" w:rsidRPr="00684475">
        <w:rPr>
          <w:lang w:val="es-ES"/>
        </w:rPr>
        <w:t xml:space="preserve">la seguridad de la información, </w:t>
      </w:r>
      <w:r w:rsidR="008F0990">
        <w:rPr>
          <w:lang w:val="es-ES"/>
        </w:rPr>
        <w:t xml:space="preserve">esfera </w:t>
      </w:r>
      <w:r w:rsidR="003A5199" w:rsidRPr="00684475">
        <w:rPr>
          <w:lang w:val="es-ES"/>
        </w:rPr>
        <w:t xml:space="preserve">de alto riesgo, es </w:t>
      </w:r>
      <w:r w:rsidR="008F0990">
        <w:rPr>
          <w:lang w:val="es-ES"/>
        </w:rPr>
        <w:t>absolutamente crucial</w:t>
      </w:r>
      <w:r w:rsidR="003A5199" w:rsidRPr="00684475">
        <w:rPr>
          <w:lang w:val="es-ES"/>
        </w:rPr>
        <w:t xml:space="preserve"> para </w:t>
      </w:r>
      <w:r w:rsidR="00A225A4" w:rsidRPr="00684475">
        <w:rPr>
          <w:lang w:val="es-ES"/>
        </w:rPr>
        <w:t>que la</w:t>
      </w:r>
      <w:r w:rsidR="003A5199" w:rsidRPr="00684475">
        <w:rPr>
          <w:lang w:val="es-ES"/>
        </w:rPr>
        <w:t xml:space="preserve"> OMPI</w:t>
      </w:r>
      <w:r w:rsidR="00A225A4" w:rsidRPr="00684475">
        <w:rPr>
          <w:lang w:val="es-ES"/>
        </w:rPr>
        <w:t xml:space="preserve"> siga cumpliendo su labor satisfactoriamente</w:t>
      </w:r>
      <w:r w:rsidR="003A5199" w:rsidRPr="00684475">
        <w:rPr>
          <w:lang w:val="es-ES"/>
        </w:rPr>
        <w:t xml:space="preserve">. La Comisión se manifestó satisfecha con el enfoque estructurado adoptado, el análisis presentado y el continuo avance de la ejecución de los proyectos </w:t>
      </w:r>
      <w:r w:rsidR="0091339D" w:rsidRPr="00684475">
        <w:rPr>
          <w:lang w:val="es-ES"/>
        </w:rPr>
        <w:t>d</w:t>
      </w:r>
      <w:r w:rsidR="003A5199" w:rsidRPr="00684475">
        <w:rPr>
          <w:lang w:val="es-ES"/>
        </w:rPr>
        <w:t>el Plan de aseguramiento de la información institucional 2016-2020</w:t>
      </w:r>
      <w:r w:rsidR="001C72B1" w:rsidRPr="00684475">
        <w:rPr>
          <w:lang w:val="es-ES"/>
        </w:rPr>
        <w:t>.</w:t>
      </w:r>
    </w:p>
    <w:p w:rsidR="001B6AC4" w:rsidRPr="00684475" w:rsidRDefault="003A5199" w:rsidP="00521727">
      <w:pPr>
        <w:pStyle w:val="ONUME"/>
        <w:tabs>
          <w:tab w:val="clear" w:pos="1377"/>
          <w:tab w:val="num" w:pos="540"/>
        </w:tabs>
        <w:ind w:left="0"/>
        <w:rPr>
          <w:lang w:val="es-ES"/>
        </w:rPr>
      </w:pPr>
      <w:r w:rsidRPr="00684475">
        <w:rPr>
          <w:lang w:val="es-ES"/>
        </w:rPr>
        <w:t>La Comisión también recibió información sobre e</w:t>
      </w:r>
      <w:r w:rsidR="00DA4261">
        <w:rPr>
          <w:lang w:val="es-ES"/>
        </w:rPr>
        <w:t>l Plan Estratégico de Seguridad </w:t>
      </w:r>
      <w:r w:rsidRPr="00684475">
        <w:rPr>
          <w:lang w:val="es-ES"/>
        </w:rPr>
        <w:t>2016</w:t>
      </w:r>
      <w:r w:rsidR="0091339D" w:rsidRPr="00684475">
        <w:rPr>
          <w:lang w:val="es-ES"/>
        </w:rPr>
        <w:noBreakHyphen/>
      </w:r>
      <w:r w:rsidRPr="00684475">
        <w:rPr>
          <w:lang w:val="es-ES"/>
        </w:rPr>
        <w:t>2021, así como sobre los resultados previstos y la situación de los distintos proyectos en el marco de ese plan</w:t>
      </w:r>
      <w:r w:rsidR="001C72B1" w:rsidRPr="00684475">
        <w:rPr>
          <w:lang w:val="es-ES"/>
        </w:rPr>
        <w:t>.</w:t>
      </w:r>
    </w:p>
    <w:p w:rsidR="001B6AC4" w:rsidRPr="00684475" w:rsidRDefault="00367E29" w:rsidP="00367E29">
      <w:pPr>
        <w:ind w:left="567"/>
        <w:rPr>
          <w:i/>
          <w:lang w:val="es-ES"/>
        </w:rPr>
      </w:pPr>
      <w:r w:rsidRPr="00684475">
        <w:rPr>
          <w:i/>
          <w:lang w:val="es-ES"/>
        </w:rPr>
        <w:t>Marco de control interno d</w:t>
      </w:r>
      <w:r w:rsidRPr="00684475">
        <w:rPr>
          <w:i/>
          <w:color w:val="000000"/>
          <w:lang w:val="es-ES"/>
        </w:rPr>
        <w:t>e la OMPI</w:t>
      </w:r>
    </w:p>
    <w:p w:rsidR="001B6AC4" w:rsidRPr="00684475" w:rsidRDefault="001B6AC4" w:rsidP="00473633">
      <w:pPr>
        <w:ind w:left="567"/>
        <w:rPr>
          <w:lang w:val="es-ES"/>
        </w:rPr>
      </w:pPr>
    </w:p>
    <w:p w:rsidR="001B6AC4" w:rsidRPr="00684475" w:rsidRDefault="003A5199" w:rsidP="006F707E">
      <w:pPr>
        <w:pStyle w:val="ONUME"/>
        <w:tabs>
          <w:tab w:val="left" w:pos="0"/>
          <w:tab w:val="num" w:pos="567"/>
        </w:tabs>
        <w:ind w:left="0"/>
        <w:rPr>
          <w:lang w:val="es-ES"/>
        </w:rPr>
      </w:pPr>
      <w:r w:rsidRPr="00684475">
        <w:rPr>
          <w:lang w:val="es-ES"/>
        </w:rPr>
        <w:t>En la</w:t>
      </w:r>
      <w:r w:rsidR="00F3508D" w:rsidRPr="00684475">
        <w:rPr>
          <w:lang w:val="es-ES"/>
        </w:rPr>
        <w:t xml:space="preserve"> </w:t>
      </w:r>
      <w:r w:rsidR="005C40ED" w:rsidRPr="00684475">
        <w:rPr>
          <w:lang w:val="es-ES"/>
        </w:rPr>
        <w:t>50</w:t>
      </w:r>
      <w:r w:rsidR="00DA4261">
        <w:rPr>
          <w:lang w:val="es-ES"/>
        </w:rPr>
        <w:t>.ª</w:t>
      </w:r>
      <w:r w:rsidR="005C40ED" w:rsidRPr="00684475">
        <w:rPr>
          <w:lang w:val="es-ES"/>
        </w:rPr>
        <w:t xml:space="preserve"> </w:t>
      </w:r>
      <w:r w:rsidRPr="00684475">
        <w:rPr>
          <w:lang w:val="es-ES"/>
        </w:rPr>
        <w:t>sesión</w:t>
      </w:r>
      <w:r w:rsidR="005C40ED" w:rsidRPr="00684475">
        <w:rPr>
          <w:lang w:val="es-ES"/>
        </w:rPr>
        <w:t xml:space="preserve">, </w:t>
      </w:r>
      <w:r w:rsidR="006F707E" w:rsidRPr="00684475">
        <w:rPr>
          <w:lang w:val="es-ES"/>
        </w:rPr>
        <w:t xml:space="preserve">la directora del Departamento de Planificación de Programas </w:t>
      </w:r>
      <w:r w:rsidR="004610A1">
        <w:rPr>
          <w:lang w:val="es-ES"/>
        </w:rPr>
        <w:t xml:space="preserve">(contralora) </w:t>
      </w:r>
      <w:r w:rsidR="006F707E" w:rsidRPr="00684475">
        <w:rPr>
          <w:lang w:val="es-ES"/>
        </w:rPr>
        <w:t>y Finanzas</w:t>
      </w:r>
      <w:r w:rsidR="004610A1">
        <w:rPr>
          <w:lang w:val="es-ES"/>
        </w:rPr>
        <w:t>,</w:t>
      </w:r>
      <w:r w:rsidR="006F707E" w:rsidRPr="00684475">
        <w:rPr>
          <w:lang w:val="es-ES"/>
        </w:rPr>
        <w:t xml:space="preserve"> y la contralora adjunta</w:t>
      </w:r>
      <w:r w:rsidR="004610A1">
        <w:rPr>
          <w:lang w:val="es-ES"/>
        </w:rPr>
        <w:t>,</w:t>
      </w:r>
      <w:r w:rsidR="006F707E" w:rsidRPr="00684475">
        <w:rPr>
          <w:lang w:val="es-ES"/>
        </w:rPr>
        <w:t xml:space="preserve"> ofrecieron a la Comisión información actualizada sobre las medidas adoptadas, en curso y previstas, para fortalecer el marco de control interno de la OMPI. La Comisión acogió con especial satisfacción la próxima puesta en marcha del programa de enseñanza a distancia acerca de la sensibilización sobre el fraude.</w:t>
      </w:r>
      <w:r w:rsidR="005C40ED" w:rsidRPr="00684475">
        <w:rPr>
          <w:lang w:val="es-ES"/>
        </w:rPr>
        <w:t xml:space="preserve"> </w:t>
      </w:r>
      <w:r w:rsidR="00367E29" w:rsidRPr="00684475">
        <w:rPr>
          <w:lang w:val="es-ES"/>
        </w:rPr>
        <w:t xml:space="preserve">La Comisión también elogió a la </w:t>
      </w:r>
      <w:r w:rsidR="00464569">
        <w:rPr>
          <w:lang w:val="es-ES"/>
        </w:rPr>
        <w:t>D</w:t>
      </w:r>
      <w:r w:rsidR="00367E29" w:rsidRPr="00684475">
        <w:rPr>
          <w:lang w:val="es-ES"/>
        </w:rPr>
        <w:t>irección por el aumento en la utilización del análisis de datos para automatizar el control y la presentación de informes sobre excepciones.</w:t>
      </w:r>
      <w:r w:rsidR="004062F0" w:rsidRPr="00684475">
        <w:rPr>
          <w:lang w:val="es-ES"/>
        </w:rPr>
        <w:t xml:space="preserve"> </w:t>
      </w:r>
      <w:r w:rsidR="006F707E" w:rsidRPr="00684475">
        <w:rPr>
          <w:lang w:val="es-ES"/>
        </w:rPr>
        <w:t>Para evitar la duplicación de tareas con esos controles integrados, la DSI prevé diseñar y centrar nuevamente sus actividades de auditoría continua</w:t>
      </w:r>
      <w:r w:rsidR="005C40ED" w:rsidRPr="00684475">
        <w:rPr>
          <w:lang w:val="es-ES"/>
        </w:rPr>
        <w:t xml:space="preserve">. </w:t>
      </w:r>
      <w:bookmarkStart w:id="29" w:name="_Toc429145915"/>
      <w:bookmarkStart w:id="30" w:name="_Toc429147808"/>
      <w:bookmarkStart w:id="31" w:name="_Toc429147826"/>
      <w:bookmarkStart w:id="32" w:name="_Toc429384085"/>
      <w:bookmarkStart w:id="33" w:name="_Toc395336854"/>
      <w:bookmarkEnd w:id="29"/>
      <w:bookmarkEnd w:id="30"/>
      <w:bookmarkEnd w:id="31"/>
      <w:bookmarkEnd w:id="32"/>
    </w:p>
    <w:p w:rsidR="001B6AC4" w:rsidRPr="00684475" w:rsidRDefault="00837F6B" w:rsidP="00367E29">
      <w:pPr>
        <w:pStyle w:val="ONUME"/>
        <w:numPr>
          <w:ilvl w:val="0"/>
          <w:numId w:val="0"/>
        </w:numPr>
        <w:tabs>
          <w:tab w:val="left" w:pos="0"/>
        </w:tabs>
        <w:rPr>
          <w:i/>
          <w:lang w:val="es-ES"/>
        </w:rPr>
      </w:pPr>
      <w:r w:rsidRPr="00684475">
        <w:rPr>
          <w:lang w:val="es-ES"/>
        </w:rPr>
        <w:tab/>
      </w:r>
      <w:r w:rsidR="00367E29" w:rsidRPr="00684475">
        <w:rPr>
          <w:i/>
          <w:lang w:val="es-ES"/>
        </w:rPr>
        <w:t>Marco de rendición de cuentas de la OMPI</w:t>
      </w:r>
    </w:p>
    <w:p w:rsidR="001B6AC4" w:rsidRPr="00684475" w:rsidRDefault="006F707E" w:rsidP="005343C6">
      <w:pPr>
        <w:pStyle w:val="ONUME"/>
        <w:tabs>
          <w:tab w:val="left" w:pos="0"/>
          <w:tab w:val="num" w:pos="567"/>
        </w:tabs>
        <w:ind w:left="0"/>
        <w:rPr>
          <w:lang w:val="es-ES"/>
        </w:rPr>
      </w:pPr>
      <w:r w:rsidRPr="00684475">
        <w:rPr>
          <w:lang w:val="es-ES"/>
        </w:rPr>
        <w:t>En su</w:t>
      </w:r>
      <w:r w:rsidR="00D74FD4" w:rsidRPr="00684475">
        <w:rPr>
          <w:lang w:val="es-ES"/>
        </w:rPr>
        <w:t xml:space="preserve"> 53</w:t>
      </w:r>
      <w:r w:rsidR="00DA4261">
        <w:rPr>
          <w:lang w:val="es-ES"/>
        </w:rPr>
        <w:t>.ª</w:t>
      </w:r>
      <w:r w:rsidR="00FB2363" w:rsidRPr="00684475">
        <w:rPr>
          <w:lang w:val="es-ES"/>
        </w:rPr>
        <w:t xml:space="preserve"> </w:t>
      </w:r>
      <w:r w:rsidRPr="00684475">
        <w:rPr>
          <w:lang w:val="es-ES"/>
        </w:rPr>
        <w:t>sesión</w:t>
      </w:r>
      <w:r w:rsidR="001A2F76" w:rsidRPr="00684475">
        <w:rPr>
          <w:lang w:val="es-ES"/>
        </w:rPr>
        <w:t xml:space="preserve">, </w:t>
      </w:r>
      <w:r w:rsidRPr="00684475">
        <w:rPr>
          <w:lang w:val="es-ES"/>
        </w:rPr>
        <w:t>la Comisión examinó con la contralora y la contralora adjunta</w:t>
      </w:r>
      <w:r w:rsidR="00567BAE" w:rsidRPr="00684475">
        <w:rPr>
          <w:lang w:val="es-ES"/>
        </w:rPr>
        <w:t xml:space="preserve"> el marco actualizado de rendición de cuentas (WO/PBC/29/4), recientemente publicado.</w:t>
      </w:r>
      <w:r w:rsidR="005343C6" w:rsidRPr="00684475">
        <w:rPr>
          <w:lang w:val="es-ES"/>
        </w:rPr>
        <w:t xml:space="preserve"> La Comisión acogió favorablemente el documento, que reúne los diferentes elementos relativos a la rendición de cuentas </w:t>
      </w:r>
      <w:r w:rsidR="008F0990">
        <w:rPr>
          <w:lang w:val="es-ES"/>
        </w:rPr>
        <w:t>en una estructura clara</w:t>
      </w:r>
      <w:r w:rsidR="005343C6" w:rsidRPr="00684475">
        <w:rPr>
          <w:lang w:val="es-ES"/>
        </w:rPr>
        <w:t xml:space="preserve">. La Comisión tomó nota de que el componente 5: </w:t>
      </w:r>
      <w:r w:rsidR="005343C6" w:rsidRPr="00684475">
        <w:rPr>
          <w:i/>
          <w:lang w:val="es-ES"/>
        </w:rPr>
        <w:t>Información y comunicación</w:t>
      </w:r>
      <w:r w:rsidR="005343C6" w:rsidRPr="00684475">
        <w:rPr>
          <w:lang w:val="es-ES"/>
        </w:rPr>
        <w:t>, se centra en la comunicación con los interlocutores externos</w:t>
      </w:r>
      <w:r w:rsidR="0091339D" w:rsidRPr="00684475">
        <w:rPr>
          <w:lang w:val="es-ES"/>
        </w:rPr>
        <w:t>,</w:t>
      </w:r>
      <w:r w:rsidR="005343C6" w:rsidRPr="00684475">
        <w:rPr>
          <w:lang w:val="es-ES"/>
        </w:rPr>
        <w:t xml:space="preserve"> y señaló que dicho componente refleja además la comunicación con los interlocutores internos. La Comisión propuso además que la </w:t>
      </w:r>
      <w:r w:rsidR="00464569">
        <w:rPr>
          <w:lang w:val="es-ES"/>
        </w:rPr>
        <w:t>D</w:t>
      </w:r>
      <w:r w:rsidR="005343C6" w:rsidRPr="00684475">
        <w:rPr>
          <w:lang w:val="es-ES"/>
        </w:rPr>
        <w:t>irección lleve a cabo una evaluación de la aplicación del marco en el momento oportuno del futuro</w:t>
      </w:r>
      <w:r w:rsidR="001C72B1" w:rsidRPr="00684475">
        <w:rPr>
          <w:lang w:val="es-ES"/>
        </w:rPr>
        <w:t>.</w:t>
      </w:r>
    </w:p>
    <w:p w:rsidR="001B6AC4" w:rsidRPr="00684475" w:rsidRDefault="00367E29" w:rsidP="00367E29">
      <w:pPr>
        <w:pStyle w:val="Heading3"/>
        <w:spacing w:before="0" w:after="220"/>
        <w:ind w:left="0" w:firstLine="0"/>
        <w:rPr>
          <w:szCs w:val="22"/>
          <w:lang w:val="es-ES"/>
        </w:rPr>
      </w:pPr>
      <w:bookmarkStart w:id="34" w:name="_Toc12889934"/>
      <w:bookmarkEnd w:id="33"/>
      <w:r w:rsidRPr="00684475">
        <w:rPr>
          <w:szCs w:val="22"/>
          <w:lang w:val="es-ES"/>
        </w:rPr>
        <w:t>Aplicación de las recomendaciones en materia de supervisión</w:t>
      </w:r>
      <w:bookmarkEnd w:id="34"/>
    </w:p>
    <w:p w:rsidR="001B6AC4" w:rsidRPr="00684475" w:rsidRDefault="00367E29" w:rsidP="0003787A">
      <w:pPr>
        <w:pStyle w:val="ONUME"/>
        <w:tabs>
          <w:tab w:val="left" w:pos="0"/>
          <w:tab w:val="num" w:pos="567"/>
        </w:tabs>
        <w:ind w:left="0"/>
        <w:rPr>
          <w:lang w:val="es-ES"/>
        </w:rPr>
      </w:pPr>
      <w:r w:rsidRPr="00684475">
        <w:rPr>
          <w:lang w:val="es-ES"/>
        </w:rPr>
        <w:t>La Comisión examinó en cada una de sus sesiones la situación de la aplicación de las recomendaciones en materia de supervisión, sobre la base de los datos proporcionados por la base de datos central de la DSI, TeamCentral.</w:t>
      </w:r>
      <w:r w:rsidR="004062F0" w:rsidRPr="00684475">
        <w:rPr>
          <w:lang w:val="es-ES"/>
        </w:rPr>
        <w:t xml:space="preserve"> </w:t>
      </w:r>
      <w:r w:rsidRPr="00684475">
        <w:rPr>
          <w:lang w:val="es-ES"/>
        </w:rPr>
        <w:t>En el momento de redactar el presente informe, se informó a la Comisión de que el número de recomendaciones pendientes de supervisión ascendía a 155, de las cuales 68 (el 44%) fueron clasificadas de alta prioridad.</w:t>
      </w:r>
      <w:r w:rsidR="00AB6DAB" w:rsidRPr="00684475">
        <w:rPr>
          <w:lang w:val="es-ES"/>
        </w:rPr>
        <w:t xml:space="preserve"> </w:t>
      </w:r>
      <w:r w:rsidR="0003787A" w:rsidRPr="00684475">
        <w:rPr>
          <w:lang w:val="es-ES"/>
        </w:rPr>
        <w:t xml:space="preserve">Las recomendaciones formuladas como consecuencia de los encargos de supervisión interna ascendieron </w:t>
      </w:r>
      <w:r w:rsidR="0003787A" w:rsidRPr="00684475">
        <w:rPr>
          <w:color w:val="000000"/>
          <w:lang w:val="es-ES"/>
        </w:rPr>
        <w:t xml:space="preserve">a 132 (el 85%); la CCIS formuló dos recomendaciones. Desde el inicio del período que abarca el informe, el número de recomendaciones </w:t>
      </w:r>
      <w:r w:rsidR="0091339D" w:rsidRPr="00684475">
        <w:rPr>
          <w:color w:val="000000"/>
          <w:lang w:val="es-ES"/>
        </w:rPr>
        <w:t>pendientes</w:t>
      </w:r>
      <w:r w:rsidR="0003787A" w:rsidRPr="00684475">
        <w:rPr>
          <w:color w:val="000000"/>
          <w:lang w:val="es-ES"/>
        </w:rPr>
        <w:t xml:space="preserve"> ha disminuido; la Comisión se manifiesta satisfecha de que tanto la </w:t>
      </w:r>
      <w:r w:rsidR="00464569">
        <w:rPr>
          <w:color w:val="000000"/>
          <w:lang w:val="es-ES"/>
        </w:rPr>
        <w:t>D</w:t>
      </w:r>
      <w:r w:rsidR="0003787A" w:rsidRPr="00684475">
        <w:rPr>
          <w:color w:val="000000"/>
          <w:lang w:val="es-ES"/>
        </w:rPr>
        <w:t>irección como la DSI hayan tenido un activo control de la situación de las recomendaciones de supervisión y estén trabajando con miras a su plena aplicación</w:t>
      </w:r>
      <w:r w:rsidR="006C0F94" w:rsidRPr="00684475">
        <w:rPr>
          <w:color w:val="000000"/>
          <w:lang w:val="es-ES"/>
        </w:rPr>
        <w:t>.</w:t>
      </w:r>
    </w:p>
    <w:p w:rsidR="001B6AC4" w:rsidRPr="00684475" w:rsidRDefault="00466AC5" w:rsidP="00466AC5">
      <w:pPr>
        <w:pStyle w:val="ONUME"/>
        <w:tabs>
          <w:tab w:val="left" w:pos="0"/>
          <w:tab w:val="num" w:pos="567"/>
        </w:tabs>
        <w:ind w:left="0"/>
        <w:rPr>
          <w:color w:val="000000"/>
          <w:szCs w:val="22"/>
          <w:lang w:val="es-ES"/>
        </w:rPr>
      </w:pPr>
      <w:r w:rsidRPr="00684475">
        <w:rPr>
          <w:color w:val="000000"/>
          <w:szCs w:val="22"/>
          <w:lang w:val="es-ES"/>
        </w:rPr>
        <w:lastRenderedPageBreak/>
        <w:t xml:space="preserve">Habida cuenta del elevado número de recomendaciones pendientes </w:t>
      </w:r>
      <w:r w:rsidR="008F0990">
        <w:rPr>
          <w:color w:val="000000"/>
          <w:szCs w:val="22"/>
          <w:lang w:val="es-ES"/>
        </w:rPr>
        <w:t>d</w:t>
      </w:r>
      <w:r w:rsidR="0091339D" w:rsidRPr="00684475">
        <w:rPr>
          <w:color w:val="000000"/>
          <w:szCs w:val="22"/>
          <w:lang w:val="es-ES"/>
        </w:rPr>
        <w:t xml:space="preserve">e aplicación </w:t>
      </w:r>
      <w:r w:rsidR="008F0990">
        <w:rPr>
          <w:color w:val="000000"/>
          <w:szCs w:val="22"/>
          <w:lang w:val="es-ES"/>
        </w:rPr>
        <w:t>desde hace</w:t>
      </w:r>
      <w:r w:rsidRPr="00684475">
        <w:rPr>
          <w:color w:val="000000"/>
          <w:szCs w:val="22"/>
          <w:lang w:val="es-ES"/>
        </w:rPr>
        <w:t xml:space="preserve"> mucho tiempo, la Comisión sugirió que se lleve a cabo un examen periódico para determinar si siguen siendo pertinentes y reevaluar el </w:t>
      </w:r>
      <w:r w:rsidR="003E0CF6">
        <w:rPr>
          <w:color w:val="000000"/>
          <w:szCs w:val="22"/>
          <w:lang w:val="es-ES"/>
        </w:rPr>
        <w:t>nivel</w:t>
      </w:r>
      <w:r w:rsidRPr="00684475">
        <w:rPr>
          <w:color w:val="000000"/>
          <w:szCs w:val="22"/>
          <w:lang w:val="es-ES"/>
        </w:rPr>
        <w:t xml:space="preserve"> de riesgo residual. Se informó a la Comisión de que la Secretaría y la DSI tienen previsto examinar al final del año las recomendaciones que fueron formuladas al menos hace tres años</w:t>
      </w:r>
      <w:r w:rsidR="00393414" w:rsidRPr="00684475">
        <w:rPr>
          <w:lang w:val="es-ES"/>
        </w:rPr>
        <w:t>.</w:t>
      </w:r>
    </w:p>
    <w:p w:rsidR="001B6AC4" w:rsidRPr="00684475" w:rsidRDefault="00914872" w:rsidP="00576148">
      <w:pPr>
        <w:pStyle w:val="ONUME"/>
        <w:tabs>
          <w:tab w:val="clear" w:pos="1377"/>
          <w:tab w:val="num" w:pos="540"/>
        </w:tabs>
        <w:ind w:left="0"/>
        <w:rPr>
          <w:rStyle w:val="normalchar1"/>
          <w:rFonts w:ascii="Arial" w:eastAsia="Times New Roman" w:hAnsi="Arial" w:cs="Arial"/>
          <w:lang w:val="es-ES" w:eastAsia="en-US"/>
        </w:rPr>
      </w:pPr>
      <w:r w:rsidRPr="00684475">
        <w:rPr>
          <w:lang w:val="es-ES"/>
        </w:rPr>
        <w:t>En su</w:t>
      </w:r>
      <w:r w:rsidR="00AB6DAB" w:rsidRPr="00684475">
        <w:rPr>
          <w:lang w:val="es-ES"/>
        </w:rPr>
        <w:t xml:space="preserve"> 51</w:t>
      </w:r>
      <w:r w:rsidR="004610A1">
        <w:rPr>
          <w:lang w:val="es-ES"/>
        </w:rPr>
        <w:t>.ª</w:t>
      </w:r>
      <w:r w:rsidRPr="00684475">
        <w:rPr>
          <w:vertAlign w:val="superscript"/>
          <w:lang w:val="es-ES"/>
        </w:rPr>
        <w:t xml:space="preserve"> </w:t>
      </w:r>
      <w:r w:rsidRPr="00684475">
        <w:rPr>
          <w:lang w:val="es-ES"/>
        </w:rPr>
        <w:t>sesión</w:t>
      </w:r>
      <w:r w:rsidR="00AB6DAB" w:rsidRPr="00684475">
        <w:rPr>
          <w:lang w:val="es-ES"/>
        </w:rPr>
        <w:t xml:space="preserve">, </w:t>
      </w:r>
      <w:r w:rsidR="00576148" w:rsidRPr="00684475">
        <w:rPr>
          <w:lang w:val="es-ES"/>
        </w:rPr>
        <w:t xml:space="preserve">la Comisión tomó nota de que, pese a que la </w:t>
      </w:r>
      <w:r w:rsidR="00464569">
        <w:rPr>
          <w:lang w:val="es-ES"/>
        </w:rPr>
        <w:t>D</w:t>
      </w:r>
      <w:r w:rsidR="00576148" w:rsidRPr="00684475">
        <w:rPr>
          <w:lang w:val="es-ES"/>
        </w:rPr>
        <w:t xml:space="preserve">irección había considerado algunas de las recomendaciones formuladas por el auditor externo anterior como “concluidas”, seguían a la espera </w:t>
      </w:r>
      <w:r w:rsidR="00620B1E">
        <w:rPr>
          <w:lang w:val="es-ES"/>
        </w:rPr>
        <w:t>de recibir el visto bueno</w:t>
      </w:r>
      <w:r w:rsidR="00576148" w:rsidRPr="00684475">
        <w:rPr>
          <w:lang w:val="es-ES"/>
        </w:rPr>
        <w:t xml:space="preserve"> del actual auditor externo. Posteriormente, el auditor externo revisó las recomendaciones de autoría externa pendientes y confirmó que 12 habían sido concluidas, y que quedaban siete en curso de aplicación. La Comisión sugirió que la DSI armonizara sus estadísticas sobre las recomendaciones de auditoría externa con los datos correspondientes del informe del auditor externo </w:t>
      </w:r>
      <w:r w:rsidR="0047105E" w:rsidRPr="00684475">
        <w:rPr>
          <w:lang w:val="es-ES"/>
        </w:rPr>
        <w:t>sobre</w:t>
      </w:r>
      <w:r w:rsidR="00576148" w:rsidRPr="00684475">
        <w:rPr>
          <w:lang w:val="es-ES"/>
        </w:rPr>
        <w:t xml:space="preserve"> los estados financieros de la OMPI de 2018</w:t>
      </w:r>
      <w:r w:rsidR="00D87D47" w:rsidRPr="00684475">
        <w:rPr>
          <w:rStyle w:val="normalchar1"/>
          <w:rFonts w:ascii="Arial" w:eastAsia="Times New Roman" w:hAnsi="Arial" w:cs="Arial"/>
          <w:lang w:val="es-ES" w:eastAsia="en-US"/>
        </w:rPr>
        <w:t>.</w:t>
      </w:r>
    </w:p>
    <w:p w:rsidR="001B6AC4" w:rsidRPr="00684475" w:rsidRDefault="003433CD" w:rsidP="00A718E5">
      <w:pPr>
        <w:pStyle w:val="ONUME"/>
        <w:tabs>
          <w:tab w:val="left" w:pos="0"/>
          <w:tab w:val="num" w:pos="567"/>
        </w:tabs>
        <w:ind w:left="0"/>
        <w:rPr>
          <w:szCs w:val="22"/>
          <w:lang w:val="es-ES"/>
        </w:rPr>
      </w:pPr>
      <w:r w:rsidRPr="00684475">
        <w:rPr>
          <w:color w:val="000000"/>
          <w:lang w:val="es-ES"/>
        </w:rPr>
        <w:t>En su</w:t>
      </w:r>
      <w:r w:rsidR="00BA1538" w:rsidRPr="00684475">
        <w:rPr>
          <w:color w:val="000000"/>
          <w:lang w:val="es-ES"/>
        </w:rPr>
        <w:t xml:space="preserve"> </w:t>
      </w:r>
      <w:r w:rsidR="00A33C4F" w:rsidRPr="00684475">
        <w:rPr>
          <w:color w:val="000000"/>
          <w:lang w:val="es-ES"/>
        </w:rPr>
        <w:t>5</w:t>
      </w:r>
      <w:r w:rsidR="00952087" w:rsidRPr="00684475">
        <w:rPr>
          <w:color w:val="000000"/>
          <w:lang w:val="es-ES"/>
        </w:rPr>
        <w:t>0</w:t>
      </w:r>
      <w:r w:rsidR="004610A1">
        <w:rPr>
          <w:color w:val="000000"/>
          <w:lang w:val="es-ES"/>
        </w:rPr>
        <w:t>.ª</w:t>
      </w:r>
      <w:r w:rsidR="00952087" w:rsidRPr="00684475">
        <w:rPr>
          <w:color w:val="000000"/>
          <w:lang w:val="es-ES"/>
        </w:rPr>
        <w:t xml:space="preserve"> </w:t>
      </w:r>
      <w:r w:rsidRPr="00684475">
        <w:rPr>
          <w:color w:val="000000"/>
          <w:lang w:val="es-ES"/>
        </w:rPr>
        <w:t>sesión, y de nuevo en su</w:t>
      </w:r>
      <w:r w:rsidR="006915DC" w:rsidRPr="00684475">
        <w:rPr>
          <w:color w:val="000000"/>
          <w:lang w:val="es-ES"/>
        </w:rPr>
        <w:t xml:space="preserve"> 53</w:t>
      </w:r>
      <w:r w:rsidR="004610A1">
        <w:rPr>
          <w:color w:val="000000"/>
          <w:lang w:val="es-ES"/>
        </w:rPr>
        <w:t>.ª</w:t>
      </w:r>
      <w:r w:rsidRPr="00684475">
        <w:rPr>
          <w:color w:val="000000"/>
          <w:lang w:val="es-ES"/>
        </w:rPr>
        <w:t xml:space="preserve"> sesión, </w:t>
      </w:r>
      <w:r w:rsidR="00A718E5" w:rsidRPr="00684475">
        <w:rPr>
          <w:color w:val="000000"/>
          <w:lang w:val="es-ES"/>
        </w:rPr>
        <w:t>la Comisión examinó la situación de las recomendaciones formuladas por la Dependencia Común de Inspección (DCI)</w:t>
      </w:r>
      <w:r w:rsidR="00FD3137" w:rsidRPr="00684475">
        <w:rPr>
          <w:color w:val="000000"/>
          <w:lang w:val="es-ES"/>
        </w:rPr>
        <w:t>,</w:t>
      </w:r>
      <w:r w:rsidR="00A718E5" w:rsidRPr="00684475">
        <w:rPr>
          <w:color w:val="000000"/>
          <w:lang w:val="es-ES"/>
        </w:rPr>
        <w:t xml:space="preserve"> dirigidas a los jefes ejecutivos. La Comisión se mostró satisfecha con los avances logrados en la aplicación de dichas recomendaciones y con la forma estructurada en que la Secretaría supervisa la aplicación e informa en consecuencia. </w:t>
      </w:r>
      <w:r w:rsidR="001B6AC4" w:rsidRPr="00684475">
        <w:rPr>
          <w:color w:val="000000"/>
          <w:szCs w:val="22"/>
          <w:lang w:val="es-ES"/>
        </w:rPr>
        <w:t xml:space="preserve">En el momento de </w:t>
      </w:r>
      <w:r w:rsidR="00FD3137" w:rsidRPr="00684475">
        <w:rPr>
          <w:color w:val="000000"/>
          <w:szCs w:val="22"/>
          <w:lang w:val="es-ES"/>
        </w:rPr>
        <w:t>redactar el</w:t>
      </w:r>
      <w:r w:rsidR="001B6AC4" w:rsidRPr="00684475">
        <w:rPr>
          <w:color w:val="000000"/>
          <w:szCs w:val="22"/>
          <w:lang w:val="es-ES"/>
        </w:rPr>
        <w:t xml:space="preserve"> presente informe, </w:t>
      </w:r>
      <w:r w:rsidR="001B6AC4" w:rsidRPr="00684475">
        <w:rPr>
          <w:szCs w:val="22"/>
          <w:lang w:val="es-ES"/>
        </w:rPr>
        <w:t>solo ha</w:t>
      </w:r>
      <w:r w:rsidR="00FD3137" w:rsidRPr="00684475">
        <w:rPr>
          <w:szCs w:val="22"/>
          <w:lang w:val="es-ES"/>
        </w:rPr>
        <w:t>bía</w:t>
      </w:r>
      <w:r w:rsidR="001B6AC4" w:rsidRPr="00684475">
        <w:rPr>
          <w:szCs w:val="22"/>
          <w:lang w:val="es-ES"/>
        </w:rPr>
        <w:t xml:space="preserve"> 14 recomendaciones pendientes de informes de la DCI emitidos en 2018 y años anteriores, la mayoría de las cuales </w:t>
      </w:r>
      <w:r w:rsidR="00FD3137" w:rsidRPr="00684475">
        <w:rPr>
          <w:szCs w:val="22"/>
          <w:lang w:val="es-ES"/>
        </w:rPr>
        <w:t>estaban</w:t>
      </w:r>
      <w:r w:rsidR="001B6AC4" w:rsidRPr="00684475">
        <w:rPr>
          <w:szCs w:val="22"/>
          <w:lang w:val="es-ES"/>
        </w:rPr>
        <w:t xml:space="preserve"> en fase de activa ejecución.</w:t>
      </w:r>
    </w:p>
    <w:p w:rsidR="001B6AC4" w:rsidRPr="00684475" w:rsidRDefault="001B6AC4" w:rsidP="001B6AC4">
      <w:pPr>
        <w:pStyle w:val="Heading3"/>
        <w:spacing w:before="0" w:after="220"/>
        <w:ind w:left="0" w:firstLine="0"/>
        <w:rPr>
          <w:szCs w:val="22"/>
          <w:lang w:val="es-ES"/>
        </w:rPr>
      </w:pPr>
      <w:bookmarkStart w:id="35" w:name="_Toc12889935"/>
      <w:r w:rsidRPr="00684475">
        <w:rPr>
          <w:szCs w:val="22"/>
          <w:lang w:val="es-ES"/>
        </w:rPr>
        <w:t>Ética profesional y mediador</w:t>
      </w:r>
      <w:bookmarkEnd w:id="35"/>
    </w:p>
    <w:p w:rsidR="001B6AC4" w:rsidRPr="00684475" w:rsidRDefault="001B6AC4" w:rsidP="001B6AC4">
      <w:pPr>
        <w:pStyle w:val="Default0"/>
        <w:tabs>
          <w:tab w:val="left" w:pos="567"/>
        </w:tabs>
        <w:spacing w:after="220"/>
        <w:ind w:firstLine="567"/>
        <w:rPr>
          <w:i/>
          <w:color w:val="auto"/>
          <w:sz w:val="22"/>
          <w:szCs w:val="22"/>
          <w:lang w:val="es-ES"/>
        </w:rPr>
      </w:pPr>
      <w:r w:rsidRPr="00684475">
        <w:rPr>
          <w:i/>
          <w:color w:val="auto"/>
          <w:sz w:val="22"/>
          <w:szCs w:val="22"/>
          <w:lang w:val="es-ES"/>
        </w:rPr>
        <w:t>Oficina de Ética Profesional</w:t>
      </w:r>
    </w:p>
    <w:p w:rsidR="001B6AC4" w:rsidRPr="00684475" w:rsidRDefault="00A718E5" w:rsidP="007A7CF0">
      <w:pPr>
        <w:pStyle w:val="ONUME"/>
        <w:tabs>
          <w:tab w:val="left" w:pos="0"/>
          <w:tab w:val="num" w:pos="567"/>
        </w:tabs>
        <w:ind w:left="0"/>
        <w:rPr>
          <w:rFonts w:cs="Arial"/>
          <w:strike/>
          <w:szCs w:val="22"/>
          <w:lang w:val="es-ES"/>
        </w:rPr>
      </w:pPr>
      <w:r w:rsidRPr="00684475">
        <w:rPr>
          <w:rFonts w:cs="Arial"/>
          <w:szCs w:val="22"/>
          <w:lang w:val="es-ES"/>
        </w:rPr>
        <w:t>Con arreglo a su mandato, la Comisión examinará, en su última sesión del año anterior, la propuesta de plan de trabajo</w:t>
      </w:r>
      <w:r w:rsidR="00E872FA" w:rsidRPr="00684475">
        <w:rPr>
          <w:rFonts w:cs="Arial"/>
          <w:szCs w:val="22"/>
          <w:lang w:val="es-ES"/>
        </w:rPr>
        <w:t xml:space="preserve"> anual</w:t>
      </w:r>
      <w:r w:rsidRPr="00684475">
        <w:rPr>
          <w:rFonts w:cs="Arial"/>
          <w:szCs w:val="22"/>
          <w:lang w:val="es-ES"/>
        </w:rPr>
        <w:t xml:space="preserve"> para la Oficina de Ética Profesional, y prestará asesoramiento al respecto. Habida cuenta de que la Comisión no recibió la propuesta de plan de trabajo de 2019 a tiempo para examinarl</w:t>
      </w:r>
      <w:r w:rsidR="00464569">
        <w:rPr>
          <w:rFonts w:cs="Arial"/>
          <w:szCs w:val="22"/>
          <w:lang w:val="es-ES"/>
        </w:rPr>
        <w:t>a</w:t>
      </w:r>
      <w:r w:rsidRPr="00684475">
        <w:rPr>
          <w:rFonts w:cs="Arial"/>
          <w:szCs w:val="22"/>
          <w:lang w:val="es-ES"/>
        </w:rPr>
        <w:t xml:space="preserve">, revisó y tomó nota del plan de trabajo </w:t>
      </w:r>
      <w:r w:rsidR="00AD3FE8" w:rsidRPr="00684475">
        <w:rPr>
          <w:rFonts w:cs="Arial"/>
          <w:szCs w:val="22"/>
          <w:lang w:val="es-ES"/>
        </w:rPr>
        <w:t>para</w:t>
      </w:r>
      <w:r w:rsidRPr="00684475">
        <w:rPr>
          <w:rFonts w:cs="Arial"/>
          <w:szCs w:val="22"/>
          <w:lang w:val="es-ES"/>
        </w:rPr>
        <w:t xml:space="preserve"> 2019 </w:t>
      </w:r>
      <w:r w:rsidR="00AD3FE8" w:rsidRPr="00684475">
        <w:rPr>
          <w:rFonts w:cs="Arial"/>
          <w:szCs w:val="22"/>
          <w:lang w:val="es-ES"/>
        </w:rPr>
        <w:t>a</w:t>
      </w:r>
      <w:r w:rsidRPr="00684475">
        <w:rPr>
          <w:rFonts w:cs="Arial"/>
          <w:szCs w:val="22"/>
          <w:lang w:val="es-ES"/>
        </w:rPr>
        <w:t xml:space="preserve">probado por la </w:t>
      </w:r>
      <w:r w:rsidR="00464569">
        <w:rPr>
          <w:rFonts w:cs="Arial"/>
          <w:szCs w:val="22"/>
          <w:lang w:val="es-ES"/>
        </w:rPr>
        <w:t>D</w:t>
      </w:r>
      <w:r w:rsidRPr="00684475">
        <w:rPr>
          <w:rFonts w:cs="Arial"/>
          <w:szCs w:val="22"/>
          <w:lang w:val="es-ES"/>
        </w:rPr>
        <w:t>irección.</w:t>
      </w:r>
      <w:r w:rsidR="00AD3FE8" w:rsidRPr="00684475">
        <w:rPr>
          <w:rFonts w:cs="Arial"/>
          <w:szCs w:val="22"/>
          <w:lang w:val="es-ES"/>
        </w:rPr>
        <w:t xml:space="preserve"> En el plan de trabajo figuran las diversas actividades previstas en las esferas de responsabilidad asignadas a la Oficina de Ética y se especifican, entre otras cosas, los niveles de prioridad, los resultados previstos y las correspondientes fechas límite, como había sugerido la Comisión</w:t>
      </w:r>
      <w:r w:rsidR="00371C22" w:rsidRPr="00684475">
        <w:rPr>
          <w:lang w:val="es-ES"/>
        </w:rPr>
        <w:t>.</w:t>
      </w:r>
      <w:r w:rsidR="004062F0" w:rsidRPr="00684475">
        <w:rPr>
          <w:lang w:val="es-ES"/>
        </w:rPr>
        <w:t xml:space="preserve"> </w:t>
      </w:r>
      <w:r w:rsidR="001B6AC4" w:rsidRPr="00684475">
        <w:rPr>
          <w:lang w:val="es-ES"/>
        </w:rPr>
        <w:t>La Comisión sugirió que se siga mejorando el formato de los futuros planes de trabajo, por ejemplo, con información sobre el número de casos previstos.</w:t>
      </w:r>
      <w:r w:rsidR="004062F0" w:rsidRPr="00684475">
        <w:rPr>
          <w:lang w:val="es-ES"/>
        </w:rPr>
        <w:t xml:space="preserve"> </w:t>
      </w:r>
      <w:r w:rsidR="001B6AC4" w:rsidRPr="00684475">
        <w:rPr>
          <w:lang w:val="es-ES"/>
        </w:rPr>
        <w:t>La Comisión espera que en el futuro la</w:t>
      </w:r>
      <w:r w:rsidR="00E872FA" w:rsidRPr="00684475">
        <w:rPr>
          <w:lang w:val="es-ES"/>
        </w:rPr>
        <w:t xml:space="preserve"> oficial jefa de</w:t>
      </w:r>
      <w:r w:rsidR="001B6AC4" w:rsidRPr="00684475">
        <w:rPr>
          <w:lang w:val="es-ES"/>
        </w:rPr>
        <w:t xml:space="preserve"> Ética Profesional presente el proyecto de plan de trabajo anual antes de su finalización para que la Comisión lo examine y brinde asesoramiento.</w:t>
      </w:r>
    </w:p>
    <w:p w:rsidR="001B6AC4" w:rsidRPr="00684475" w:rsidRDefault="00643348" w:rsidP="00643348">
      <w:pPr>
        <w:pStyle w:val="ONUME"/>
        <w:tabs>
          <w:tab w:val="left" w:pos="0"/>
          <w:tab w:val="num" w:pos="567"/>
        </w:tabs>
        <w:ind w:left="0"/>
        <w:rPr>
          <w:szCs w:val="22"/>
          <w:lang w:val="es-ES"/>
        </w:rPr>
      </w:pPr>
      <w:r w:rsidRPr="00684475">
        <w:rPr>
          <w:szCs w:val="22"/>
          <w:lang w:val="es-ES"/>
        </w:rPr>
        <w:t xml:space="preserve">En el marco de su mandato, la Comisión debe además examinar las políticas propuestas en materia de ética profesional y prestar asesoramiento al respecto. Actualmente, la labor de la Oficina de Ética Profesional se rige todavía por la orden de servicio relativa a la Oficina de Ética Profesional de la OMPI (OI 25/2010), vigente hasta junio de 2010. En mayo de 2018, la Comisión presentó </w:t>
      </w:r>
      <w:r w:rsidR="00CC7C78" w:rsidRPr="00684475">
        <w:rPr>
          <w:szCs w:val="22"/>
          <w:lang w:val="es-ES"/>
        </w:rPr>
        <w:t>numerosos</w:t>
      </w:r>
      <w:r w:rsidRPr="00684475">
        <w:rPr>
          <w:szCs w:val="22"/>
          <w:lang w:val="es-ES"/>
        </w:rPr>
        <w:t xml:space="preserve"> comentarios sobre una propuesta de nueva orden de servicio relativa a la Oficina de Ética Profesional. Durante el período que abarca el informe, la Comisión no había recibido todavía una versión revisada. </w:t>
      </w:r>
      <w:r w:rsidR="008C4A8D" w:rsidRPr="00684475">
        <w:rPr>
          <w:szCs w:val="22"/>
          <w:lang w:val="es-ES"/>
        </w:rPr>
        <w:t>La</w:t>
      </w:r>
      <w:r w:rsidRPr="00684475">
        <w:rPr>
          <w:szCs w:val="22"/>
          <w:lang w:val="es-ES"/>
        </w:rPr>
        <w:t xml:space="preserve"> oficial jef</w:t>
      </w:r>
      <w:r w:rsidR="008C4A8D" w:rsidRPr="00684475">
        <w:rPr>
          <w:szCs w:val="22"/>
          <w:lang w:val="es-ES"/>
        </w:rPr>
        <w:t>a</w:t>
      </w:r>
      <w:r w:rsidRPr="00684475">
        <w:rPr>
          <w:szCs w:val="22"/>
          <w:lang w:val="es-ES"/>
        </w:rPr>
        <w:t xml:space="preserve"> de la Oficina de Ética P</w:t>
      </w:r>
      <w:r w:rsidR="00883ABE">
        <w:rPr>
          <w:szCs w:val="22"/>
          <w:lang w:val="es-ES"/>
        </w:rPr>
        <w:t>rofesional se ha comprometido a presentar</w:t>
      </w:r>
      <w:r w:rsidRPr="00684475">
        <w:rPr>
          <w:szCs w:val="22"/>
          <w:lang w:val="es-ES"/>
        </w:rPr>
        <w:t xml:space="preserve"> </w:t>
      </w:r>
      <w:r w:rsidR="005D1F78">
        <w:rPr>
          <w:szCs w:val="22"/>
          <w:lang w:val="es-ES"/>
        </w:rPr>
        <w:t>un proyecto</w:t>
      </w:r>
      <w:r w:rsidRPr="00684475">
        <w:rPr>
          <w:szCs w:val="22"/>
          <w:lang w:val="es-ES"/>
        </w:rPr>
        <w:t xml:space="preserve"> revisad</w:t>
      </w:r>
      <w:r w:rsidR="005D1F78">
        <w:rPr>
          <w:szCs w:val="22"/>
          <w:lang w:val="es-ES"/>
        </w:rPr>
        <w:t>o</w:t>
      </w:r>
      <w:r w:rsidRPr="00684475">
        <w:rPr>
          <w:szCs w:val="22"/>
          <w:lang w:val="es-ES"/>
        </w:rPr>
        <w:t xml:space="preserve"> antes de la 54ª sesión de la Comisión a fin de </w:t>
      </w:r>
      <w:r w:rsidR="005D1F78">
        <w:rPr>
          <w:szCs w:val="22"/>
          <w:lang w:val="es-ES"/>
        </w:rPr>
        <w:t>proseguir el examen y los debates</w:t>
      </w:r>
      <w:r w:rsidRPr="00684475">
        <w:rPr>
          <w:szCs w:val="22"/>
          <w:lang w:val="es-ES"/>
        </w:rPr>
        <w:t xml:space="preserve"> al respecto, según proceda</w:t>
      </w:r>
      <w:r w:rsidR="00E24058" w:rsidRPr="00684475">
        <w:rPr>
          <w:color w:val="000000"/>
          <w:szCs w:val="22"/>
          <w:lang w:val="es-ES"/>
        </w:rPr>
        <w:t>.</w:t>
      </w:r>
    </w:p>
    <w:p w:rsidR="001B6AC4" w:rsidRPr="00D72554" w:rsidRDefault="007A7CF0" w:rsidP="00953E52">
      <w:pPr>
        <w:pStyle w:val="ONUME"/>
        <w:tabs>
          <w:tab w:val="left" w:pos="0"/>
          <w:tab w:val="num" w:pos="567"/>
        </w:tabs>
        <w:ind w:left="0"/>
        <w:rPr>
          <w:szCs w:val="22"/>
          <w:lang w:val="es-ES"/>
        </w:rPr>
      </w:pPr>
      <w:r w:rsidRPr="00684475">
        <w:rPr>
          <w:szCs w:val="22"/>
          <w:lang w:val="es-ES"/>
        </w:rPr>
        <w:t xml:space="preserve">En noviembre de 2017, tras mantener consultas con la CCIS, se promulgó la Política de la OMPI </w:t>
      </w:r>
      <w:r w:rsidR="00880AF3" w:rsidRPr="00684475">
        <w:rPr>
          <w:szCs w:val="22"/>
          <w:lang w:val="es-ES"/>
        </w:rPr>
        <w:t>de divulgación</w:t>
      </w:r>
      <w:r w:rsidR="00D27439" w:rsidRPr="00684475">
        <w:rPr>
          <w:szCs w:val="22"/>
          <w:lang w:val="es-ES"/>
        </w:rPr>
        <w:t xml:space="preserve"> financiera y </w:t>
      </w:r>
      <w:r w:rsidR="00880AF3" w:rsidRPr="00684475">
        <w:rPr>
          <w:szCs w:val="22"/>
          <w:lang w:val="es-ES"/>
        </w:rPr>
        <w:t>declaración de intereses</w:t>
      </w:r>
      <w:r w:rsidR="00D27439" w:rsidRPr="00684475">
        <w:rPr>
          <w:szCs w:val="22"/>
          <w:lang w:val="es-ES"/>
        </w:rPr>
        <w:t xml:space="preserve"> (</w:t>
      </w:r>
      <w:r w:rsidR="00D27439" w:rsidRPr="00684475">
        <w:rPr>
          <w:lang w:val="es-ES"/>
        </w:rPr>
        <w:t>OI/</w:t>
      </w:r>
      <w:r w:rsidR="00D27439" w:rsidRPr="00684475">
        <w:rPr>
          <w:szCs w:val="22"/>
          <w:lang w:val="es-ES"/>
        </w:rPr>
        <w:t xml:space="preserve">36/2017). Basándose en la experiencia atesorada hasta el momento, la OMPI preparó un repertorio de propuestas de modificación de la política </w:t>
      </w:r>
      <w:r w:rsidR="00D27439" w:rsidRPr="00D72554">
        <w:rPr>
          <w:szCs w:val="22"/>
          <w:lang w:val="es-ES"/>
        </w:rPr>
        <w:t xml:space="preserve">aplicable al ciclo </w:t>
      </w:r>
      <w:r w:rsidR="00356D1A" w:rsidRPr="00D72554">
        <w:rPr>
          <w:szCs w:val="22"/>
          <w:lang w:val="es-ES"/>
        </w:rPr>
        <w:t>de</w:t>
      </w:r>
      <w:r w:rsidR="00D27439" w:rsidRPr="00D72554">
        <w:rPr>
          <w:szCs w:val="22"/>
          <w:lang w:val="es-ES"/>
        </w:rPr>
        <w:t xml:space="preserve"> presentación de </w:t>
      </w:r>
      <w:r w:rsidR="00D72554" w:rsidRPr="00D72554">
        <w:rPr>
          <w:szCs w:val="22"/>
          <w:lang w:val="es-ES"/>
        </w:rPr>
        <w:t xml:space="preserve">declaraciones de </w:t>
      </w:r>
      <w:r w:rsidR="00D27439" w:rsidRPr="00D72554">
        <w:rPr>
          <w:szCs w:val="22"/>
          <w:lang w:val="es-ES"/>
        </w:rPr>
        <w:t>2018</w:t>
      </w:r>
      <w:r w:rsidR="002D2789" w:rsidRPr="00D72554">
        <w:rPr>
          <w:szCs w:val="22"/>
          <w:lang w:val="es-ES"/>
        </w:rPr>
        <w:t>.</w:t>
      </w:r>
      <w:r w:rsidR="00E33A56" w:rsidRPr="00684475">
        <w:rPr>
          <w:szCs w:val="22"/>
          <w:lang w:val="es-ES"/>
        </w:rPr>
        <w:t xml:space="preserve"> </w:t>
      </w:r>
      <w:r w:rsidR="008C4A8D" w:rsidRPr="00684475">
        <w:rPr>
          <w:szCs w:val="22"/>
          <w:lang w:val="es-ES"/>
        </w:rPr>
        <w:t>En su</w:t>
      </w:r>
      <w:r w:rsidR="006D1684" w:rsidRPr="00684475">
        <w:rPr>
          <w:szCs w:val="22"/>
          <w:lang w:val="es-ES"/>
        </w:rPr>
        <w:t xml:space="preserve"> </w:t>
      </w:r>
      <w:r w:rsidR="009B04F9" w:rsidRPr="00684475">
        <w:rPr>
          <w:lang w:val="es-ES"/>
        </w:rPr>
        <w:t>53</w:t>
      </w:r>
      <w:r w:rsidR="008C4A8D" w:rsidRPr="00684475">
        <w:rPr>
          <w:vertAlign w:val="superscript"/>
          <w:lang w:val="es-ES"/>
        </w:rPr>
        <w:t>ª</w:t>
      </w:r>
      <w:r w:rsidR="006D1684" w:rsidRPr="00684475">
        <w:rPr>
          <w:szCs w:val="22"/>
          <w:lang w:val="es-ES"/>
        </w:rPr>
        <w:t xml:space="preserve"> </w:t>
      </w:r>
      <w:r w:rsidR="008C4A8D" w:rsidRPr="00684475">
        <w:rPr>
          <w:szCs w:val="22"/>
          <w:lang w:val="es-ES"/>
        </w:rPr>
        <w:t>sesión</w:t>
      </w:r>
      <w:r w:rsidR="006D1684" w:rsidRPr="00684475">
        <w:rPr>
          <w:szCs w:val="22"/>
          <w:lang w:val="es-ES"/>
        </w:rPr>
        <w:t xml:space="preserve">, </w:t>
      </w:r>
      <w:r w:rsidR="008C4A8D" w:rsidRPr="00684475">
        <w:rPr>
          <w:szCs w:val="22"/>
          <w:lang w:val="es-ES"/>
        </w:rPr>
        <w:t xml:space="preserve">la Comisión examinó las propuestas de modificación y manifestó satisfacción con las explicaciones suministradas por la oficial jefa de Ética Profesional. La Comisión tomó nota de que el revisor externo seguirá examinando </w:t>
      </w:r>
      <w:r w:rsidR="00880AF3" w:rsidRPr="00D72554">
        <w:rPr>
          <w:szCs w:val="22"/>
          <w:lang w:val="es-ES"/>
        </w:rPr>
        <w:t>las declaraciones de divulgación financiera y</w:t>
      </w:r>
      <w:r w:rsidR="008C4A8D" w:rsidRPr="00D72554">
        <w:rPr>
          <w:szCs w:val="22"/>
          <w:lang w:val="es-ES"/>
        </w:rPr>
        <w:t xml:space="preserve"> </w:t>
      </w:r>
      <w:r w:rsidR="008C4A8D" w:rsidRPr="00D72554">
        <w:rPr>
          <w:szCs w:val="22"/>
          <w:lang w:val="es-ES"/>
        </w:rPr>
        <w:lastRenderedPageBreak/>
        <w:t>declaraci</w:t>
      </w:r>
      <w:r w:rsidR="00D72554" w:rsidRPr="00D72554">
        <w:rPr>
          <w:szCs w:val="22"/>
          <w:lang w:val="es-ES"/>
        </w:rPr>
        <w:t>ones</w:t>
      </w:r>
      <w:r w:rsidR="008C4A8D" w:rsidRPr="00D72554">
        <w:rPr>
          <w:szCs w:val="22"/>
          <w:lang w:val="es-ES"/>
        </w:rPr>
        <w:t xml:space="preserve"> de </w:t>
      </w:r>
      <w:r w:rsidR="00880AF3" w:rsidRPr="00D72554">
        <w:rPr>
          <w:szCs w:val="22"/>
          <w:lang w:val="es-ES"/>
        </w:rPr>
        <w:t>inter</w:t>
      </w:r>
      <w:r w:rsidR="00D72554" w:rsidRPr="00D72554">
        <w:rPr>
          <w:szCs w:val="22"/>
          <w:lang w:val="es-ES"/>
        </w:rPr>
        <w:t>eses</w:t>
      </w:r>
      <w:r w:rsidR="008C4A8D" w:rsidRPr="00D72554">
        <w:rPr>
          <w:szCs w:val="22"/>
          <w:lang w:val="es-ES"/>
        </w:rPr>
        <w:t>; s</w:t>
      </w:r>
      <w:r w:rsidR="008C4A8D" w:rsidRPr="00684475">
        <w:rPr>
          <w:szCs w:val="22"/>
          <w:lang w:val="es-ES"/>
        </w:rPr>
        <w:t xml:space="preserve">in embargo, </w:t>
      </w:r>
      <w:r w:rsidR="00880AF3" w:rsidRPr="00684475">
        <w:rPr>
          <w:szCs w:val="22"/>
          <w:lang w:val="es-ES"/>
        </w:rPr>
        <w:t xml:space="preserve">en el futuro, la oficial jefa de Ética Profesional será quien se encargue </w:t>
      </w:r>
      <w:r w:rsidR="00880AF3" w:rsidRPr="00D72554">
        <w:rPr>
          <w:szCs w:val="22"/>
          <w:lang w:val="es-ES"/>
        </w:rPr>
        <w:t xml:space="preserve">de examinar </w:t>
      </w:r>
      <w:r w:rsidR="00D72554" w:rsidRPr="00D72554">
        <w:rPr>
          <w:szCs w:val="22"/>
          <w:lang w:val="es-ES"/>
        </w:rPr>
        <w:t>las declaraciones</w:t>
      </w:r>
      <w:r w:rsidR="00880AF3" w:rsidRPr="00D72554">
        <w:rPr>
          <w:szCs w:val="22"/>
          <w:lang w:val="es-ES"/>
        </w:rPr>
        <w:t xml:space="preserve"> conforme a las Normas Internacionales de Auditoría del Sector Público, a fin de asegurar que estén </w:t>
      </w:r>
      <w:r w:rsidR="00743F20" w:rsidRPr="00D72554">
        <w:rPr>
          <w:szCs w:val="22"/>
          <w:lang w:val="es-ES"/>
        </w:rPr>
        <w:t>disponibles</w:t>
      </w:r>
      <w:r w:rsidR="00880AF3" w:rsidRPr="00D72554">
        <w:rPr>
          <w:szCs w:val="22"/>
          <w:lang w:val="es-ES"/>
        </w:rPr>
        <w:t xml:space="preserve"> con respecto a los estados financieros anuales</w:t>
      </w:r>
      <w:r w:rsidR="006D1684" w:rsidRPr="00D72554">
        <w:rPr>
          <w:szCs w:val="22"/>
          <w:lang w:val="es-ES"/>
        </w:rPr>
        <w:t>.</w:t>
      </w:r>
    </w:p>
    <w:p w:rsidR="001B6AC4" w:rsidRPr="00684475" w:rsidRDefault="00880AF3" w:rsidP="00695C27">
      <w:pPr>
        <w:pStyle w:val="ONUME"/>
        <w:tabs>
          <w:tab w:val="left" w:pos="0"/>
          <w:tab w:val="num" w:pos="567"/>
        </w:tabs>
        <w:ind w:left="0"/>
        <w:rPr>
          <w:szCs w:val="22"/>
          <w:lang w:val="es-ES"/>
        </w:rPr>
      </w:pPr>
      <w:r w:rsidRPr="00684475">
        <w:rPr>
          <w:szCs w:val="22"/>
          <w:lang w:val="es-ES"/>
        </w:rPr>
        <w:t>En la</w:t>
      </w:r>
      <w:r w:rsidR="001969BD" w:rsidRPr="00684475">
        <w:rPr>
          <w:szCs w:val="22"/>
          <w:lang w:val="es-ES"/>
        </w:rPr>
        <w:t xml:space="preserve"> </w:t>
      </w:r>
      <w:r w:rsidR="009B04F9" w:rsidRPr="00684475">
        <w:rPr>
          <w:lang w:val="es-ES"/>
        </w:rPr>
        <w:t>53</w:t>
      </w:r>
      <w:r w:rsidR="004610A1">
        <w:rPr>
          <w:lang w:val="es-ES"/>
        </w:rPr>
        <w:t>.ª</w:t>
      </w:r>
      <w:r w:rsidR="009B04F9" w:rsidRPr="00684475">
        <w:rPr>
          <w:szCs w:val="22"/>
          <w:lang w:val="es-ES"/>
        </w:rPr>
        <w:t xml:space="preserve"> </w:t>
      </w:r>
      <w:r w:rsidRPr="00684475">
        <w:rPr>
          <w:szCs w:val="22"/>
          <w:lang w:val="es-ES"/>
        </w:rPr>
        <w:t>sesión</w:t>
      </w:r>
      <w:r w:rsidR="001969BD" w:rsidRPr="00684475">
        <w:rPr>
          <w:szCs w:val="22"/>
          <w:lang w:val="es-ES"/>
        </w:rPr>
        <w:t>,</w:t>
      </w:r>
      <w:r w:rsidRPr="00684475">
        <w:rPr>
          <w:szCs w:val="22"/>
          <w:lang w:val="es-ES"/>
        </w:rPr>
        <w:t xml:space="preserve"> </w:t>
      </w:r>
      <w:r w:rsidR="00431DD8" w:rsidRPr="00684475">
        <w:rPr>
          <w:szCs w:val="22"/>
          <w:lang w:val="es-ES"/>
        </w:rPr>
        <w:t xml:space="preserve">la oficial jefa de Ética Profesional presentó </w:t>
      </w:r>
      <w:r w:rsidR="00743F20" w:rsidRPr="00684475">
        <w:rPr>
          <w:szCs w:val="22"/>
          <w:lang w:val="es-ES"/>
        </w:rPr>
        <w:t>oralmente</w:t>
      </w:r>
      <w:r w:rsidR="00431DD8" w:rsidRPr="00684475">
        <w:rPr>
          <w:szCs w:val="22"/>
          <w:lang w:val="es-ES"/>
        </w:rPr>
        <w:t xml:space="preserve"> un informe de </w:t>
      </w:r>
      <w:r w:rsidR="00743F20" w:rsidRPr="00684475">
        <w:rPr>
          <w:szCs w:val="22"/>
          <w:lang w:val="es-ES"/>
        </w:rPr>
        <w:t>situación</w:t>
      </w:r>
      <w:r w:rsidR="00431DD8" w:rsidRPr="00684475">
        <w:rPr>
          <w:szCs w:val="22"/>
          <w:lang w:val="es-ES"/>
        </w:rPr>
        <w:t>. La Comisión tomó nota con satisfacción de que la oficial jefa de Ética Profesional cuenta ahora con un auxiliar administrativo a tiempo parcial</w:t>
      </w:r>
      <w:r w:rsidR="001969BD" w:rsidRPr="00684475">
        <w:rPr>
          <w:szCs w:val="22"/>
          <w:lang w:val="es-ES"/>
        </w:rPr>
        <w:t>.</w:t>
      </w:r>
    </w:p>
    <w:p w:rsidR="001B6AC4" w:rsidRPr="00684475" w:rsidRDefault="004F0A47" w:rsidP="00635E26">
      <w:pPr>
        <w:pStyle w:val="ONUME"/>
        <w:keepNext/>
        <w:keepLines/>
        <w:numPr>
          <w:ilvl w:val="0"/>
          <w:numId w:val="0"/>
        </w:numPr>
        <w:tabs>
          <w:tab w:val="left" w:pos="0"/>
        </w:tabs>
        <w:rPr>
          <w:i/>
          <w:color w:val="000000"/>
          <w:szCs w:val="22"/>
          <w:lang w:val="es-ES"/>
        </w:rPr>
      </w:pPr>
      <w:r w:rsidRPr="00684475">
        <w:rPr>
          <w:i/>
          <w:szCs w:val="22"/>
          <w:lang w:val="es-ES"/>
        </w:rPr>
        <w:tab/>
      </w:r>
      <w:r w:rsidR="001B6AC4" w:rsidRPr="00684475">
        <w:rPr>
          <w:i/>
          <w:szCs w:val="22"/>
          <w:lang w:val="es-ES"/>
        </w:rPr>
        <w:t>Mediador</w:t>
      </w:r>
    </w:p>
    <w:p w:rsidR="001B6AC4" w:rsidRPr="00684475" w:rsidRDefault="001B6AC4" w:rsidP="00635E26">
      <w:pPr>
        <w:pStyle w:val="ONUME"/>
        <w:keepNext/>
        <w:keepLines/>
        <w:tabs>
          <w:tab w:val="left" w:pos="0"/>
          <w:tab w:val="num" w:pos="567"/>
        </w:tabs>
        <w:ind w:left="0"/>
        <w:rPr>
          <w:color w:val="000000"/>
          <w:szCs w:val="22"/>
          <w:lang w:val="es-ES"/>
        </w:rPr>
      </w:pPr>
      <w:r w:rsidRPr="00684475">
        <w:rPr>
          <w:szCs w:val="22"/>
          <w:lang w:val="es-ES"/>
        </w:rPr>
        <w:t>En su 50</w:t>
      </w:r>
      <w:r w:rsidR="004610A1">
        <w:rPr>
          <w:szCs w:val="22"/>
          <w:lang w:val="es-ES"/>
        </w:rPr>
        <w:t>.ª</w:t>
      </w:r>
      <w:r w:rsidRPr="00684475">
        <w:rPr>
          <w:szCs w:val="22"/>
          <w:lang w:val="es-ES"/>
        </w:rPr>
        <w:t xml:space="preserve"> sesión, la Comisión examinó con el mediad</w:t>
      </w:r>
      <w:r w:rsidR="004610A1">
        <w:rPr>
          <w:szCs w:val="22"/>
          <w:lang w:val="es-ES"/>
        </w:rPr>
        <w:t>or su informe de actividades de </w:t>
      </w:r>
      <w:r w:rsidRPr="00684475">
        <w:rPr>
          <w:szCs w:val="22"/>
          <w:lang w:val="es-ES"/>
        </w:rPr>
        <w:t>2017, publicado el 15 de agosto de 2018, así como las principales observaciones y recomendaciones contenidas en ese informe.</w:t>
      </w:r>
      <w:r w:rsidR="004062F0" w:rsidRPr="00684475">
        <w:rPr>
          <w:szCs w:val="22"/>
          <w:lang w:val="es-ES"/>
        </w:rPr>
        <w:t xml:space="preserve"> </w:t>
      </w:r>
      <w:r w:rsidRPr="00684475">
        <w:rPr>
          <w:szCs w:val="22"/>
          <w:lang w:val="es-ES"/>
        </w:rPr>
        <w:t>El mediador informó también a la Comisión acerca de la puesta en marcha de una red de personal de apoyo para la prevención de conflictos</w:t>
      </w:r>
      <w:r w:rsidRPr="00684475">
        <w:rPr>
          <w:color w:val="808080"/>
          <w:szCs w:val="22"/>
          <w:lang w:val="es-ES"/>
        </w:rPr>
        <w:t>.</w:t>
      </w:r>
      <w:r w:rsidR="001A0948" w:rsidRPr="00684475">
        <w:rPr>
          <w:color w:val="000000"/>
          <w:szCs w:val="22"/>
          <w:lang w:val="es-ES"/>
        </w:rPr>
        <w:t xml:space="preserve"> </w:t>
      </w:r>
      <w:r w:rsidR="009152D5" w:rsidRPr="00684475">
        <w:rPr>
          <w:color w:val="000000"/>
          <w:szCs w:val="22"/>
          <w:lang w:val="es-ES"/>
        </w:rPr>
        <w:t>A juicio de la Comisión, a los Estados miembros podría resultarles útil la información contenida en el informe de actividades del mediador, y</w:t>
      </w:r>
      <w:r w:rsidR="005C054E">
        <w:rPr>
          <w:color w:val="000000"/>
          <w:szCs w:val="22"/>
          <w:lang w:val="es-ES"/>
        </w:rPr>
        <w:t>,</w:t>
      </w:r>
      <w:r w:rsidR="009152D5" w:rsidRPr="00684475">
        <w:rPr>
          <w:color w:val="000000"/>
          <w:szCs w:val="22"/>
          <w:lang w:val="es-ES"/>
        </w:rPr>
        <w:t xml:space="preserve"> por ello, </w:t>
      </w:r>
      <w:r w:rsidR="00947909">
        <w:rPr>
          <w:color w:val="000000"/>
          <w:szCs w:val="22"/>
          <w:lang w:val="es-ES"/>
        </w:rPr>
        <w:t xml:space="preserve">quizá convendría que </w:t>
      </w:r>
      <w:r w:rsidR="009152D5" w:rsidRPr="00684475">
        <w:rPr>
          <w:color w:val="000000"/>
          <w:szCs w:val="22"/>
          <w:lang w:val="es-ES"/>
        </w:rPr>
        <w:t>la OMPI presentar</w:t>
      </w:r>
      <w:r w:rsidR="00947909">
        <w:rPr>
          <w:color w:val="000000"/>
          <w:szCs w:val="22"/>
          <w:lang w:val="es-ES"/>
        </w:rPr>
        <w:t>a</w:t>
      </w:r>
      <w:r w:rsidR="009152D5" w:rsidRPr="00684475">
        <w:rPr>
          <w:color w:val="000000"/>
          <w:szCs w:val="22"/>
          <w:lang w:val="es-ES"/>
        </w:rPr>
        <w:t xml:space="preserve"> los informes ulteriores al Comité de Coordinación. En el momento de redactar el presente informe, el informe de actividades del mediador de 2018 no estaba todavía disponible para someterlo al examen y debate de la Comisión</w:t>
      </w:r>
      <w:r w:rsidR="005D4B09" w:rsidRPr="00684475">
        <w:rPr>
          <w:color w:val="000000"/>
          <w:szCs w:val="22"/>
          <w:lang w:val="es-ES"/>
        </w:rPr>
        <w:t>.</w:t>
      </w:r>
    </w:p>
    <w:p w:rsidR="001B6AC4" w:rsidRPr="00684475" w:rsidRDefault="001B6AC4" w:rsidP="001B6AC4">
      <w:pPr>
        <w:pStyle w:val="Heading3"/>
        <w:spacing w:before="0" w:after="220"/>
        <w:ind w:left="0" w:firstLine="0"/>
        <w:rPr>
          <w:szCs w:val="22"/>
          <w:lang w:val="es-ES"/>
        </w:rPr>
      </w:pPr>
      <w:bookmarkStart w:id="36" w:name="_Toc12889936"/>
      <w:r w:rsidRPr="00684475">
        <w:rPr>
          <w:szCs w:val="22"/>
          <w:lang w:val="es-ES"/>
        </w:rPr>
        <w:t>Otros asuntos</w:t>
      </w:r>
      <w:bookmarkEnd w:id="36"/>
    </w:p>
    <w:p w:rsidR="001B6AC4" w:rsidRPr="00684475" w:rsidRDefault="00124F9C" w:rsidP="001B6AC4">
      <w:pPr>
        <w:pStyle w:val="ONUME"/>
        <w:numPr>
          <w:ilvl w:val="0"/>
          <w:numId w:val="0"/>
        </w:numPr>
        <w:tabs>
          <w:tab w:val="left" w:pos="567"/>
        </w:tabs>
        <w:rPr>
          <w:rFonts w:cs="Arial"/>
          <w:i/>
          <w:szCs w:val="22"/>
          <w:lang w:val="es-ES"/>
        </w:rPr>
      </w:pPr>
      <w:bookmarkStart w:id="37" w:name="_Toc429145919"/>
      <w:bookmarkStart w:id="38" w:name="_Toc429147812"/>
      <w:bookmarkStart w:id="39" w:name="_Toc429147830"/>
      <w:bookmarkStart w:id="40" w:name="_Toc429384089"/>
      <w:bookmarkEnd w:id="37"/>
      <w:bookmarkEnd w:id="38"/>
      <w:bookmarkEnd w:id="39"/>
      <w:bookmarkEnd w:id="40"/>
      <w:r w:rsidRPr="00684475">
        <w:rPr>
          <w:rFonts w:cs="Arial"/>
          <w:i/>
          <w:szCs w:val="22"/>
          <w:lang w:val="es-ES"/>
        </w:rPr>
        <w:tab/>
      </w:r>
      <w:r w:rsidR="001B6AC4" w:rsidRPr="00684475">
        <w:rPr>
          <w:rFonts w:cs="Arial"/>
          <w:i/>
          <w:szCs w:val="22"/>
          <w:lang w:val="es-ES"/>
        </w:rPr>
        <w:t>Informes de la OMPI relativos a las inversiones</w:t>
      </w:r>
    </w:p>
    <w:p w:rsidR="001B6AC4" w:rsidRPr="00D72554" w:rsidRDefault="00745B82" w:rsidP="002C58B3">
      <w:pPr>
        <w:pStyle w:val="ONUME"/>
        <w:tabs>
          <w:tab w:val="left" w:pos="0"/>
          <w:tab w:val="num" w:pos="567"/>
        </w:tabs>
        <w:ind w:left="0"/>
        <w:rPr>
          <w:color w:val="000000"/>
          <w:szCs w:val="22"/>
          <w:lang w:val="es-ES"/>
        </w:rPr>
      </w:pPr>
      <w:r w:rsidRPr="00684475">
        <w:rPr>
          <w:color w:val="000000"/>
          <w:szCs w:val="22"/>
          <w:lang w:val="es-ES"/>
        </w:rPr>
        <w:t xml:space="preserve">Con arreglo a la petición de los Estados miembros, la </w:t>
      </w:r>
      <w:r w:rsidR="00464569">
        <w:rPr>
          <w:color w:val="000000"/>
          <w:szCs w:val="22"/>
          <w:lang w:val="es-ES"/>
        </w:rPr>
        <w:t>D</w:t>
      </w:r>
      <w:r w:rsidRPr="00684475">
        <w:rPr>
          <w:color w:val="000000"/>
          <w:szCs w:val="22"/>
          <w:lang w:val="es-ES"/>
        </w:rPr>
        <w:t>irección presentó a la Comisión, en cada una de sus sesiones, los informes mensuales sobre el rendimiento de las inversiones y los informes mensuales sobre la supervisión de las inversiones, elaborados por los asesores en materia de inversión y por el depositario, respectivamente. La Comisión desea aclarar que su función se limita a transmitir la información contenid</w:t>
      </w:r>
      <w:r w:rsidR="00356D1A" w:rsidRPr="00684475">
        <w:rPr>
          <w:color w:val="000000"/>
          <w:szCs w:val="22"/>
          <w:lang w:val="es-ES"/>
        </w:rPr>
        <w:t>a</w:t>
      </w:r>
      <w:r w:rsidRPr="00684475">
        <w:rPr>
          <w:color w:val="000000"/>
          <w:szCs w:val="22"/>
          <w:lang w:val="es-ES"/>
        </w:rPr>
        <w:t xml:space="preserve"> en los informes mencionados anteriormente y </w:t>
      </w:r>
      <w:r w:rsidRPr="00D72554">
        <w:rPr>
          <w:color w:val="000000"/>
          <w:szCs w:val="22"/>
          <w:lang w:val="es-ES"/>
        </w:rPr>
        <w:t>no ofrece garantías a ese respecto</w:t>
      </w:r>
      <w:r w:rsidR="00295525" w:rsidRPr="00D72554">
        <w:rPr>
          <w:rFonts w:cs="Arial"/>
          <w:szCs w:val="22"/>
          <w:lang w:val="es-ES"/>
        </w:rPr>
        <w:t>.</w:t>
      </w:r>
    </w:p>
    <w:p w:rsidR="001B6AC4" w:rsidRPr="00684475" w:rsidRDefault="001B6AC4" w:rsidP="00745B82">
      <w:pPr>
        <w:pStyle w:val="ONUME"/>
        <w:tabs>
          <w:tab w:val="left" w:pos="0"/>
          <w:tab w:val="num" w:pos="567"/>
        </w:tabs>
        <w:ind w:left="0"/>
        <w:rPr>
          <w:szCs w:val="22"/>
          <w:lang w:val="es-ES"/>
        </w:rPr>
      </w:pPr>
      <w:r w:rsidRPr="00684475">
        <w:rPr>
          <w:rFonts w:eastAsia="Times New Roman"/>
          <w:szCs w:val="22"/>
          <w:lang w:val="es-ES"/>
        </w:rPr>
        <w:t>En su 52</w:t>
      </w:r>
      <w:r w:rsidR="004610A1">
        <w:rPr>
          <w:rFonts w:eastAsia="Times New Roman"/>
          <w:szCs w:val="22"/>
          <w:lang w:val="es-ES"/>
        </w:rPr>
        <w:t>.ª</w:t>
      </w:r>
      <w:r w:rsidRPr="00684475">
        <w:rPr>
          <w:rFonts w:eastAsia="Times New Roman"/>
          <w:szCs w:val="22"/>
          <w:lang w:val="es-ES"/>
        </w:rPr>
        <w:t xml:space="preserve"> sesión, </w:t>
      </w:r>
      <w:r w:rsidR="00A66F18" w:rsidRPr="00684475">
        <w:rPr>
          <w:rFonts w:eastAsia="Times New Roman"/>
          <w:szCs w:val="22"/>
          <w:lang w:val="es-ES"/>
        </w:rPr>
        <w:t>la directora</w:t>
      </w:r>
      <w:r w:rsidRPr="00684475">
        <w:rPr>
          <w:rFonts w:eastAsia="Times New Roman"/>
          <w:szCs w:val="22"/>
          <w:lang w:val="es-ES"/>
        </w:rPr>
        <w:t xml:space="preserve"> de la División de Finanzas informó a la Comisión sobre el marco de inversión y la estructura de gobernanza, y ofreció explicaciones sobre los informes de supervisión de las inversiones y los informes sobre el rendimiento de las inversiones.</w:t>
      </w:r>
      <w:r w:rsidR="000C34CE" w:rsidRPr="00684475">
        <w:rPr>
          <w:rFonts w:eastAsia="Times New Roman"/>
          <w:szCs w:val="22"/>
          <w:lang w:val="es-ES"/>
        </w:rPr>
        <w:t xml:space="preserve"> </w:t>
      </w:r>
      <w:r w:rsidR="00745B82" w:rsidRPr="00684475">
        <w:rPr>
          <w:rFonts w:eastAsia="Times New Roman"/>
          <w:szCs w:val="22"/>
          <w:lang w:val="es-ES"/>
        </w:rPr>
        <w:t>La Comisión acogió con satisfacción el marco general y la estructura de gobernanza, y agradeció las explicaciones suministradas, que le facilitan el examen de los informes sobre las inversiones</w:t>
      </w:r>
      <w:r w:rsidR="000C34CE" w:rsidRPr="00684475">
        <w:rPr>
          <w:rFonts w:eastAsia="Times New Roman"/>
          <w:szCs w:val="22"/>
          <w:lang w:val="es-ES"/>
        </w:rPr>
        <w:t>.</w:t>
      </w:r>
    </w:p>
    <w:p w:rsidR="001B6AC4" w:rsidRPr="00684475" w:rsidRDefault="001B6AC4" w:rsidP="001B6AC4">
      <w:pPr>
        <w:pStyle w:val="ONUME"/>
        <w:tabs>
          <w:tab w:val="left" w:pos="0"/>
          <w:tab w:val="num" w:pos="567"/>
        </w:tabs>
        <w:ind w:left="0"/>
        <w:rPr>
          <w:szCs w:val="22"/>
          <w:lang w:val="es-ES"/>
        </w:rPr>
      </w:pPr>
      <w:r w:rsidRPr="00684475">
        <w:rPr>
          <w:szCs w:val="22"/>
          <w:lang w:val="es-ES"/>
        </w:rPr>
        <w:t>Sobre la base de los exámenes periódicos, la Comisión confirm</w:t>
      </w:r>
      <w:r w:rsidR="002D2789" w:rsidRPr="00684475">
        <w:rPr>
          <w:szCs w:val="22"/>
          <w:lang w:val="es-ES"/>
        </w:rPr>
        <w:t>a</w:t>
      </w:r>
      <w:r w:rsidRPr="00684475">
        <w:rPr>
          <w:szCs w:val="22"/>
          <w:lang w:val="es-ES"/>
        </w:rPr>
        <w:t xml:space="preserve"> que la información suministrada durante el período que abarca el informe muestra que durante el período examinado, y sobre la base de los objetivos en materia de rentabilidad de mercado, todos los instrumentos de la cartera de inversiones de la OMPI han logrado los resultados previstos y se han gestionado de conformidad con la estrategia de inversión establecida.</w:t>
      </w:r>
      <w:r w:rsidR="004062F0" w:rsidRPr="00684475">
        <w:rPr>
          <w:szCs w:val="22"/>
          <w:lang w:val="es-ES"/>
        </w:rPr>
        <w:t xml:space="preserve"> </w:t>
      </w:r>
      <w:r w:rsidRPr="00684475">
        <w:rPr>
          <w:szCs w:val="22"/>
          <w:lang w:val="es-ES"/>
        </w:rPr>
        <w:t>La Comisión también confirma que el depositario no ha notificado ninguna infracción, activa o pasiva, ni excepciones justificadas.</w:t>
      </w:r>
    </w:p>
    <w:p w:rsidR="001B6AC4" w:rsidRPr="00684475" w:rsidRDefault="002D2789" w:rsidP="002D2789">
      <w:pPr>
        <w:pStyle w:val="ONUME"/>
        <w:tabs>
          <w:tab w:val="left" w:pos="0"/>
          <w:tab w:val="num" w:pos="567"/>
        </w:tabs>
        <w:ind w:left="0"/>
        <w:rPr>
          <w:color w:val="000000"/>
          <w:szCs w:val="22"/>
          <w:lang w:val="es-ES"/>
        </w:rPr>
      </w:pPr>
      <w:r w:rsidRPr="00684475">
        <w:rPr>
          <w:color w:val="000000"/>
          <w:szCs w:val="22"/>
          <w:lang w:val="es-ES"/>
        </w:rPr>
        <w:t xml:space="preserve">La Comisión comparte la opinión del auditor externo de que sigue habiendo margen para que la </w:t>
      </w:r>
      <w:r w:rsidR="00464569">
        <w:rPr>
          <w:color w:val="000000"/>
          <w:szCs w:val="22"/>
          <w:lang w:val="es-ES"/>
        </w:rPr>
        <w:t>D</w:t>
      </w:r>
      <w:r w:rsidRPr="00684475">
        <w:rPr>
          <w:color w:val="000000"/>
          <w:szCs w:val="22"/>
          <w:lang w:val="es-ES"/>
        </w:rPr>
        <w:t>irección presente con mayor regularidad informes oficiales a fin de informar al PBC sobre las actividades de inversión de la OMPI</w:t>
      </w:r>
      <w:r w:rsidR="003D08ED" w:rsidRPr="00684475">
        <w:rPr>
          <w:rFonts w:cs="Arial"/>
          <w:szCs w:val="22"/>
          <w:lang w:val="es-ES"/>
        </w:rPr>
        <w:t>.</w:t>
      </w:r>
    </w:p>
    <w:p w:rsidR="001B6AC4" w:rsidRPr="00684475" w:rsidRDefault="003662D8" w:rsidP="001B6AC4">
      <w:pPr>
        <w:pStyle w:val="ONUME"/>
        <w:numPr>
          <w:ilvl w:val="0"/>
          <w:numId w:val="0"/>
        </w:numPr>
        <w:tabs>
          <w:tab w:val="left" w:pos="0"/>
        </w:tabs>
        <w:rPr>
          <w:i/>
          <w:lang w:val="es-ES"/>
        </w:rPr>
      </w:pPr>
      <w:r w:rsidRPr="00684475">
        <w:rPr>
          <w:i/>
          <w:lang w:val="es-ES"/>
        </w:rPr>
        <w:tab/>
      </w:r>
      <w:r w:rsidR="001B6AC4" w:rsidRPr="00684475">
        <w:rPr>
          <w:i/>
          <w:lang w:val="es-ES"/>
        </w:rPr>
        <w:t>Investigación y procedimientos conexos</w:t>
      </w:r>
    </w:p>
    <w:p w:rsidR="001B6AC4" w:rsidRPr="00684475" w:rsidRDefault="002D2789" w:rsidP="00B05A71">
      <w:pPr>
        <w:pStyle w:val="ONUME"/>
        <w:tabs>
          <w:tab w:val="left" w:pos="0"/>
          <w:tab w:val="num" w:pos="567"/>
        </w:tabs>
        <w:ind w:left="0"/>
        <w:rPr>
          <w:rFonts w:eastAsia="Times New Roman"/>
          <w:szCs w:val="22"/>
          <w:lang w:val="es-ES" w:eastAsia="en-US"/>
        </w:rPr>
      </w:pPr>
      <w:r w:rsidRPr="00684475">
        <w:rPr>
          <w:szCs w:val="22"/>
          <w:lang w:val="es-ES"/>
        </w:rPr>
        <w:t>En la</w:t>
      </w:r>
      <w:r w:rsidR="00F3508D" w:rsidRPr="00684475">
        <w:rPr>
          <w:szCs w:val="22"/>
          <w:lang w:val="es-ES"/>
        </w:rPr>
        <w:t xml:space="preserve"> </w:t>
      </w:r>
      <w:r w:rsidR="003662D8" w:rsidRPr="00684475">
        <w:rPr>
          <w:szCs w:val="22"/>
          <w:lang w:val="es-ES"/>
        </w:rPr>
        <w:t>28</w:t>
      </w:r>
      <w:r w:rsidR="004610A1">
        <w:rPr>
          <w:szCs w:val="22"/>
          <w:lang w:val="es-ES"/>
        </w:rPr>
        <w:t>.ª</w:t>
      </w:r>
      <w:r w:rsidR="003662D8" w:rsidRPr="00684475">
        <w:rPr>
          <w:szCs w:val="22"/>
          <w:lang w:val="es-ES"/>
        </w:rPr>
        <w:t xml:space="preserve"> </w:t>
      </w:r>
      <w:r w:rsidRPr="00684475">
        <w:rPr>
          <w:szCs w:val="22"/>
          <w:lang w:val="es-ES"/>
        </w:rPr>
        <w:t>sesión</w:t>
      </w:r>
      <w:r w:rsidR="003662D8" w:rsidRPr="00684475">
        <w:rPr>
          <w:szCs w:val="22"/>
          <w:lang w:val="es-ES"/>
        </w:rPr>
        <w:t xml:space="preserve">, </w:t>
      </w:r>
      <w:r w:rsidRPr="00684475">
        <w:rPr>
          <w:szCs w:val="22"/>
          <w:lang w:val="es-ES"/>
        </w:rPr>
        <w:t xml:space="preserve">el Comité del Programa y Presupuesto (PBC) pidió a la CCIS que examinara y propusiera modificaciones en relación con la Carta de Supervisión Interna o la </w:t>
      </w:r>
      <w:r w:rsidR="00CC7C78" w:rsidRPr="00684475">
        <w:rPr>
          <w:szCs w:val="22"/>
          <w:lang w:val="es-ES"/>
        </w:rPr>
        <w:t>P</w:t>
      </w:r>
      <w:r w:rsidRPr="00684475">
        <w:rPr>
          <w:szCs w:val="22"/>
          <w:lang w:val="es-ES"/>
        </w:rPr>
        <w:t xml:space="preserve">olítica de </w:t>
      </w:r>
      <w:r w:rsidR="00CC7C78" w:rsidRPr="00684475">
        <w:rPr>
          <w:szCs w:val="22"/>
          <w:lang w:val="es-ES"/>
        </w:rPr>
        <w:t>I</w:t>
      </w:r>
      <w:r w:rsidRPr="00684475">
        <w:rPr>
          <w:szCs w:val="22"/>
          <w:lang w:val="es-ES"/>
        </w:rPr>
        <w:t>nvestigación de la OMPI para aclarar el calendario a seguir en los procesos de presentación de informes y de investigación</w:t>
      </w:r>
      <w:r w:rsidR="003662D8" w:rsidRPr="00684475">
        <w:rPr>
          <w:szCs w:val="22"/>
          <w:lang w:val="es-ES"/>
        </w:rPr>
        <w:t>.</w:t>
      </w:r>
    </w:p>
    <w:p w:rsidR="001B6AC4" w:rsidRPr="00684475" w:rsidRDefault="00A6127A" w:rsidP="00210B1C">
      <w:pPr>
        <w:pStyle w:val="ONUME"/>
        <w:tabs>
          <w:tab w:val="left" w:pos="0"/>
          <w:tab w:val="num" w:pos="567"/>
        </w:tabs>
        <w:ind w:left="0"/>
        <w:rPr>
          <w:szCs w:val="22"/>
          <w:lang w:val="es-ES"/>
        </w:rPr>
      </w:pPr>
      <w:r w:rsidRPr="00684475">
        <w:rPr>
          <w:szCs w:val="22"/>
          <w:lang w:val="es-ES"/>
        </w:rPr>
        <w:lastRenderedPageBreak/>
        <w:t>En su 51</w:t>
      </w:r>
      <w:r w:rsidR="004610A1">
        <w:rPr>
          <w:szCs w:val="22"/>
          <w:lang w:val="es-ES"/>
        </w:rPr>
        <w:t>.</w:t>
      </w:r>
      <w:r w:rsidRPr="00684475">
        <w:rPr>
          <w:szCs w:val="22"/>
          <w:lang w:val="es-ES"/>
        </w:rPr>
        <w:t xml:space="preserve">ª sesión, la Comisión examinó la Carta de Supervisión Interna de la OMPI, la </w:t>
      </w:r>
      <w:r w:rsidR="00CC7C78" w:rsidRPr="00684475">
        <w:rPr>
          <w:szCs w:val="22"/>
          <w:lang w:val="es-ES"/>
        </w:rPr>
        <w:t>P</w:t>
      </w:r>
      <w:r w:rsidRPr="00684475">
        <w:rPr>
          <w:szCs w:val="22"/>
          <w:lang w:val="es-ES"/>
        </w:rPr>
        <w:t xml:space="preserve">olítica de </w:t>
      </w:r>
      <w:r w:rsidR="00CC7C78" w:rsidRPr="00684475">
        <w:rPr>
          <w:szCs w:val="22"/>
          <w:lang w:val="es-ES"/>
        </w:rPr>
        <w:t>I</w:t>
      </w:r>
      <w:r w:rsidRPr="00684475">
        <w:rPr>
          <w:szCs w:val="22"/>
          <w:lang w:val="es-ES"/>
        </w:rPr>
        <w:t xml:space="preserve">nvestigación de la </w:t>
      </w:r>
      <w:r w:rsidR="00210B1C" w:rsidRPr="00684475">
        <w:rPr>
          <w:szCs w:val="22"/>
          <w:lang w:val="es-ES"/>
        </w:rPr>
        <w:t>OMPI, la política de protección contra las represalias por denunciar faltas de conduct</w:t>
      </w:r>
      <w:r w:rsidR="00A66F18" w:rsidRPr="00684475">
        <w:rPr>
          <w:szCs w:val="22"/>
          <w:lang w:val="es-ES"/>
        </w:rPr>
        <w:t>a</w:t>
      </w:r>
      <w:r w:rsidR="00210B1C" w:rsidRPr="00684475">
        <w:rPr>
          <w:szCs w:val="22"/>
          <w:lang w:val="es-ES"/>
        </w:rPr>
        <w:t xml:space="preserve"> o por cooperar con auditorías o investigaciones debidamente autorizadas y otros documentos pertinentes, teniendo en cuenta los informes pertinentes de la DCI así como las prácticas que se aplican en otras organizaciones del sistema de las Naciones Unidas</w:t>
      </w:r>
      <w:r w:rsidR="00DA2DBB" w:rsidRPr="00684475">
        <w:rPr>
          <w:szCs w:val="22"/>
          <w:lang w:val="es-ES"/>
        </w:rPr>
        <w:t>.</w:t>
      </w:r>
    </w:p>
    <w:p w:rsidR="001B6AC4" w:rsidRPr="00684475" w:rsidRDefault="006A61DC" w:rsidP="001416CE">
      <w:pPr>
        <w:pStyle w:val="ONUME"/>
        <w:tabs>
          <w:tab w:val="left" w:pos="0"/>
          <w:tab w:val="num" w:pos="567"/>
        </w:tabs>
        <w:ind w:left="0"/>
        <w:rPr>
          <w:lang w:val="es-ES"/>
        </w:rPr>
      </w:pPr>
      <w:r w:rsidRPr="00684475">
        <w:rPr>
          <w:lang w:val="es-ES"/>
        </w:rPr>
        <w:t xml:space="preserve">La Comisión concluyó que </w:t>
      </w:r>
      <w:r w:rsidR="006D53AE" w:rsidRPr="00684475">
        <w:rPr>
          <w:lang w:val="es-ES"/>
        </w:rPr>
        <w:t xml:space="preserve">los plazos específicos establecidos en la OMPI son por lo general adecuados y que no es necesario modificar la Carta de </w:t>
      </w:r>
      <w:r w:rsidR="00F0271F">
        <w:rPr>
          <w:lang w:val="es-ES"/>
        </w:rPr>
        <w:t>S</w:t>
      </w:r>
      <w:r w:rsidR="006D53AE" w:rsidRPr="00684475">
        <w:rPr>
          <w:lang w:val="es-ES"/>
        </w:rPr>
        <w:t>upervisión Interna de la OMPI. No obstante, la C</w:t>
      </w:r>
      <w:r w:rsidR="001416CE" w:rsidRPr="00684475">
        <w:rPr>
          <w:lang w:val="es-ES"/>
        </w:rPr>
        <w:t xml:space="preserve">omisión recomendó efectuar ciertas modificaciones en la Política de Investigación y en la política </w:t>
      </w:r>
      <w:r w:rsidR="00A66F18" w:rsidRPr="00684475">
        <w:rPr>
          <w:lang w:val="es-ES"/>
        </w:rPr>
        <w:t xml:space="preserve">de protección </w:t>
      </w:r>
      <w:r w:rsidR="001416CE" w:rsidRPr="00684475">
        <w:rPr>
          <w:lang w:val="es-ES"/>
        </w:rPr>
        <w:t>contra las represalias, a fin de fomentar la claridad y de asegurar la coherencia en la aplicación de los plazos específicos. Con ese fin, la Comisión compartió con la Secretaría el proyecto de informe sobre los “plazos específicos para la investigación y los procesos conexos”, en el que figuran la evaluación de la Comisión y diversas recomendaciones dirigidas al director general y al director de la DSI. Durante la 52</w:t>
      </w:r>
      <w:r w:rsidR="004610A1">
        <w:rPr>
          <w:lang w:val="es-ES"/>
        </w:rPr>
        <w:t>.</w:t>
      </w:r>
      <w:r w:rsidR="001416CE" w:rsidRPr="00684475">
        <w:rPr>
          <w:lang w:val="es-ES"/>
        </w:rPr>
        <w:t>ª sesión, la Comisión finalizó el informe tomando en consideración los comentarios recibidos de la Secretaría. El informe ha sido presentado al Comité del Programa y Presupuesto en su 30</w:t>
      </w:r>
      <w:r w:rsidR="004610A1">
        <w:rPr>
          <w:lang w:val="es-ES"/>
        </w:rPr>
        <w:t>.</w:t>
      </w:r>
      <w:r w:rsidR="001416CE" w:rsidRPr="00684475">
        <w:rPr>
          <w:lang w:val="es-ES"/>
        </w:rPr>
        <w:t xml:space="preserve">ª sesión </w:t>
      </w:r>
      <w:r w:rsidR="00295525" w:rsidRPr="00684475">
        <w:rPr>
          <w:lang w:val="es-ES"/>
        </w:rPr>
        <w:t>(WO/PBC/30/14)</w:t>
      </w:r>
      <w:r w:rsidR="00E546B4" w:rsidRPr="00684475">
        <w:rPr>
          <w:lang w:val="es-ES"/>
        </w:rPr>
        <w:t>.</w:t>
      </w:r>
    </w:p>
    <w:p w:rsidR="001B6AC4" w:rsidRPr="00684475" w:rsidRDefault="00BF7A0A" w:rsidP="006915DC">
      <w:pPr>
        <w:pStyle w:val="ONUME"/>
        <w:numPr>
          <w:ilvl w:val="0"/>
          <w:numId w:val="0"/>
        </w:numPr>
        <w:tabs>
          <w:tab w:val="left" w:pos="0"/>
        </w:tabs>
        <w:ind w:left="567"/>
        <w:rPr>
          <w:i/>
          <w:lang w:val="es-ES"/>
        </w:rPr>
      </w:pPr>
      <w:r w:rsidRPr="00684475">
        <w:rPr>
          <w:i/>
          <w:lang w:val="es-ES"/>
        </w:rPr>
        <w:t>Examen de auditoría de la DCI</w:t>
      </w:r>
      <w:r w:rsidR="00E264A1" w:rsidRPr="00684475">
        <w:rPr>
          <w:i/>
          <w:lang w:val="es-ES"/>
        </w:rPr>
        <w:t>/</w:t>
      </w:r>
      <w:r w:rsidRPr="00684475">
        <w:rPr>
          <w:i/>
          <w:lang w:val="es-ES"/>
        </w:rPr>
        <w:t>Comisiones de supervisión del sistema de las Naciones Unidas</w:t>
      </w:r>
    </w:p>
    <w:p w:rsidR="001B6AC4" w:rsidRPr="00684475" w:rsidRDefault="00E361A8" w:rsidP="00C21F01">
      <w:pPr>
        <w:pStyle w:val="ONUME"/>
        <w:tabs>
          <w:tab w:val="left" w:pos="0"/>
          <w:tab w:val="num" w:pos="567"/>
        </w:tabs>
        <w:ind w:left="0"/>
        <w:rPr>
          <w:lang w:val="es-ES"/>
        </w:rPr>
      </w:pPr>
      <w:r w:rsidRPr="00684475">
        <w:rPr>
          <w:lang w:val="es-ES"/>
        </w:rPr>
        <w:t xml:space="preserve">En su </w:t>
      </w:r>
      <w:r w:rsidR="00E264A1" w:rsidRPr="00684475">
        <w:rPr>
          <w:lang w:val="es-ES"/>
        </w:rPr>
        <w:t>53</w:t>
      </w:r>
      <w:r w:rsidR="004610A1">
        <w:rPr>
          <w:lang w:val="es-ES"/>
        </w:rPr>
        <w:t>.ª</w:t>
      </w:r>
      <w:r w:rsidR="00E264A1" w:rsidRPr="00684475">
        <w:rPr>
          <w:lang w:val="es-ES"/>
        </w:rPr>
        <w:t xml:space="preserve"> </w:t>
      </w:r>
      <w:r w:rsidRPr="00684475">
        <w:rPr>
          <w:lang w:val="es-ES"/>
        </w:rPr>
        <w:t xml:space="preserve">sesión, </w:t>
      </w:r>
      <w:r w:rsidR="00A227CF" w:rsidRPr="00684475">
        <w:rPr>
          <w:lang w:val="es-ES"/>
        </w:rPr>
        <w:t xml:space="preserve">la Comisión examinó el proyecto de informe de la DCI sobre el examen de auditoría y las comisiones de supervisión del sistema de las Naciones Unidas. La Comisión tomó nota con satisfacción de que la OMPI cumple la mayoría de los 13 criterios de referencia de las comisiones de supervisión del sistema de las Naciones Unidas y que la DCI ha </w:t>
      </w:r>
      <w:r w:rsidR="00C21F01" w:rsidRPr="00684475">
        <w:rPr>
          <w:lang w:val="es-ES"/>
        </w:rPr>
        <w:t>destacado</w:t>
      </w:r>
      <w:r w:rsidR="00A227CF" w:rsidRPr="00684475">
        <w:rPr>
          <w:lang w:val="es-ES"/>
        </w:rPr>
        <w:t xml:space="preserve"> algunas de las </w:t>
      </w:r>
      <w:r w:rsidR="00A42A41">
        <w:rPr>
          <w:lang w:val="es-ES"/>
        </w:rPr>
        <w:t>prácticas</w:t>
      </w:r>
      <w:r w:rsidR="00A227CF" w:rsidRPr="00684475">
        <w:rPr>
          <w:lang w:val="es-ES"/>
        </w:rPr>
        <w:t xml:space="preserve"> que aplica la OMPI </w:t>
      </w:r>
      <w:r w:rsidR="00A42A41">
        <w:rPr>
          <w:lang w:val="es-ES"/>
        </w:rPr>
        <w:t>como de “buenas prácticas”</w:t>
      </w:r>
      <w:r w:rsidR="00C21F01" w:rsidRPr="00684475">
        <w:rPr>
          <w:lang w:val="es-ES"/>
        </w:rPr>
        <w:t>.</w:t>
      </w:r>
    </w:p>
    <w:p w:rsidR="001B6AC4" w:rsidRPr="00684475" w:rsidRDefault="009A31A3" w:rsidP="009A31A3">
      <w:pPr>
        <w:pStyle w:val="Heading1"/>
        <w:numPr>
          <w:ilvl w:val="0"/>
          <w:numId w:val="6"/>
        </w:numPr>
        <w:spacing w:before="120" w:after="220"/>
        <w:ind w:left="567" w:hanging="567"/>
        <w:rPr>
          <w:sz w:val="22"/>
          <w:szCs w:val="22"/>
          <w:lang w:val="es-ES"/>
        </w:rPr>
      </w:pPr>
      <w:bookmarkStart w:id="41" w:name="_Toc12889937"/>
      <w:r w:rsidRPr="00684475">
        <w:rPr>
          <w:sz w:val="22"/>
          <w:szCs w:val="22"/>
          <w:lang w:val="es-ES"/>
        </w:rPr>
        <w:t>OBSERVACIONES FINALES</w:t>
      </w:r>
      <w:bookmarkEnd w:id="41"/>
    </w:p>
    <w:p w:rsidR="001B6AC4" w:rsidRPr="00684475" w:rsidRDefault="009A31A3" w:rsidP="009A31A3">
      <w:pPr>
        <w:pStyle w:val="ONUME"/>
        <w:tabs>
          <w:tab w:val="left" w:pos="0"/>
          <w:tab w:val="num" w:pos="567"/>
        </w:tabs>
        <w:ind w:left="0"/>
        <w:rPr>
          <w:lang w:val="es-ES"/>
        </w:rPr>
      </w:pPr>
      <w:r w:rsidRPr="00684475">
        <w:rPr>
          <w:lang w:val="es-ES"/>
        </w:rPr>
        <w:t xml:space="preserve">La CCIS agradece al </w:t>
      </w:r>
      <w:r w:rsidR="00F9578B" w:rsidRPr="00684475">
        <w:rPr>
          <w:lang w:val="es-ES"/>
        </w:rPr>
        <w:t>d</w:t>
      </w:r>
      <w:r w:rsidRPr="00684475">
        <w:rPr>
          <w:lang w:val="es-ES"/>
        </w:rPr>
        <w:t xml:space="preserve">irector </w:t>
      </w:r>
      <w:r w:rsidR="00F9578B" w:rsidRPr="00684475">
        <w:rPr>
          <w:lang w:val="es-ES"/>
        </w:rPr>
        <w:t>g</w:t>
      </w:r>
      <w:r w:rsidRPr="00684475">
        <w:rPr>
          <w:lang w:val="es-ES"/>
        </w:rPr>
        <w:t xml:space="preserve">eneral, al director de la DSI, al consejero jurídico, a la oficial jefa de Ética Profesional y a otros altos funcionarios, así como a los auditores externos, su disponibilidad, claridad y apertura en </w:t>
      </w:r>
      <w:r w:rsidR="00A42A41">
        <w:rPr>
          <w:lang w:val="es-ES"/>
        </w:rPr>
        <w:t>la comunicación</w:t>
      </w:r>
      <w:r w:rsidRPr="00684475">
        <w:rPr>
          <w:lang w:val="es-ES"/>
        </w:rPr>
        <w:t xml:space="preserve"> periódica </w:t>
      </w:r>
      <w:r w:rsidR="00A42A41">
        <w:rPr>
          <w:lang w:val="es-ES"/>
        </w:rPr>
        <w:t xml:space="preserve">mantenida </w:t>
      </w:r>
      <w:r w:rsidRPr="00684475">
        <w:rPr>
          <w:lang w:val="es-ES"/>
        </w:rPr>
        <w:t>con la Comisión, así como la información proporcionada.</w:t>
      </w:r>
    </w:p>
    <w:p w:rsidR="001B6AC4" w:rsidRPr="00684475" w:rsidRDefault="001B6AC4" w:rsidP="004F0A47">
      <w:pPr>
        <w:pStyle w:val="ONUME"/>
        <w:numPr>
          <w:ilvl w:val="0"/>
          <w:numId w:val="0"/>
        </w:numPr>
        <w:spacing w:after="0"/>
        <w:ind w:left="-142"/>
        <w:rPr>
          <w:rFonts w:cs="Arial"/>
          <w:szCs w:val="22"/>
          <w:lang w:val="es-ES"/>
        </w:rPr>
      </w:pPr>
    </w:p>
    <w:p w:rsidR="001B6AC4" w:rsidRPr="00684475" w:rsidRDefault="001B6AC4" w:rsidP="004F0A47">
      <w:pPr>
        <w:pStyle w:val="ONUME"/>
        <w:numPr>
          <w:ilvl w:val="0"/>
          <w:numId w:val="0"/>
        </w:numPr>
        <w:spacing w:after="0"/>
        <w:ind w:left="-142"/>
        <w:rPr>
          <w:rFonts w:cs="Arial"/>
          <w:szCs w:val="22"/>
          <w:lang w:val="es-ES"/>
        </w:rPr>
      </w:pPr>
    </w:p>
    <w:p w:rsidR="001B6AC4" w:rsidRPr="00684475" w:rsidRDefault="009A31A3" w:rsidP="009A31A3">
      <w:pPr>
        <w:pStyle w:val="Endofdocument-Annex"/>
        <w:rPr>
          <w:rStyle w:val="Endofdocument-AnnexChar"/>
          <w:rFonts w:cs="Arial"/>
          <w:szCs w:val="22"/>
          <w:lang w:val="es-ES"/>
        </w:rPr>
      </w:pPr>
      <w:r w:rsidRPr="00684475">
        <w:rPr>
          <w:rStyle w:val="Endofdocument-AnnexChar"/>
          <w:rFonts w:cs="Arial"/>
          <w:szCs w:val="22"/>
          <w:lang w:val="es-ES"/>
        </w:rPr>
        <w:t>[Fin del documento]</w:t>
      </w:r>
    </w:p>
    <w:sectPr w:rsidR="001B6AC4" w:rsidRPr="00684475" w:rsidSect="004C4C7B">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134" w:left="1418" w:header="567"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CF0" w:rsidRDefault="007A7CF0">
      <w:r>
        <w:separator/>
      </w:r>
    </w:p>
  </w:endnote>
  <w:endnote w:type="continuationSeparator" w:id="0">
    <w:p w:rsidR="007A7CF0" w:rsidRDefault="007A7CF0" w:rsidP="003B38C1">
      <w:r>
        <w:separator/>
      </w:r>
    </w:p>
    <w:p w:rsidR="007A7CF0" w:rsidRPr="003B38C1" w:rsidRDefault="007A7CF0" w:rsidP="003B38C1">
      <w:pPr>
        <w:pStyle w:val="Footer"/>
        <w:spacing w:after="60"/>
        <w:rPr>
          <w:sz w:val="17"/>
        </w:rPr>
      </w:pPr>
      <w:r>
        <w:rPr>
          <w:sz w:val="17"/>
        </w:rPr>
        <w:t>[Endnote continued from previous page]</w:t>
      </w:r>
    </w:p>
  </w:endnote>
  <w:endnote w:type="continuationNotice" w:id="1">
    <w:p w:rsidR="007A7CF0" w:rsidRPr="003B38C1" w:rsidRDefault="007A7C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rsidP="00586D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rsidP="00586D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rsidP="00586D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rsidP="0058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CF0" w:rsidRDefault="007A7CF0">
      <w:r>
        <w:separator/>
      </w:r>
    </w:p>
  </w:footnote>
  <w:footnote w:type="continuationSeparator" w:id="0">
    <w:p w:rsidR="007A7CF0" w:rsidRDefault="007A7CF0" w:rsidP="008B60B2">
      <w:r>
        <w:separator/>
      </w:r>
    </w:p>
    <w:p w:rsidR="007A7CF0" w:rsidRPr="00ED77FB" w:rsidRDefault="007A7CF0" w:rsidP="008B60B2">
      <w:pPr>
        <w:pStyle w:val="Footer"/>
        <w:spacing w:after="60"/>
        <w:rPr>
          <w:sz w:val="17"/>
          <w:szCs w:val="17"/>
        </w:rPr>
      </w:pPr>
      <w:r w:rsidRPr="00ED77FB">
        <w:rPr>
          <w:sz w:val="17"/>
          <w:szCs w:val="17"/>
        </w:rPr>
        <w:t>[Footnote continued from previous page]</w:t>
      </w:r>
    </w:p>
  </w:footnote>
  <w:footnote w:type="continuationNotice" w:id="1">
    <w:p w:rsidR="007A7CF0" w:rsidRPr="00ED77FB" w:rsidRDefault="007A7C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0" w:rsidRPr="004D75BB" w:rsidRDefault="007A7CF0" w:rsidP="00C44910">
    <w:pPr>
      <w:jc w:val="right"/>
      <w:rPr>
        <w:rFonts w:cs="Arial"/>
        <w:szCs w:val="22"/>
      </w:rPr>
    </w:pPr>
    <w:r w:rsidRPr="00956E73">
      <w:rPr>
        <w:rFonts w:cs="Arial"/>
        <w:szCs w:val="22"/>
      </w:rPr>
      <w:t>WO/PBC/</w:t>
    </w:r>
    <w:r>
      <w:rPr>
        <w:rFonts w:cs="Arial"/>
        <w:szCs w:val="22"/>
      </w:rPr>
      <w:t>30</w:t>
    </w:r>
    <w:r w:rsidRPr="00956E73">
      <w:rPr>
        <w:rFonts w:cs="Arial"/>
        <w:szCs w:val="22"/>
      </w:rPr>
      <w:t>/</w:t>
    </w:r>
    <w:r>
      <w:rPr>
        <w:rFonts w:cs="Arial"/>
        <w:szCs w:val="22"/>
      </w:rPr>
      <w:t>2</w:t>
    </w:r>
  </w:p>
  <w:p w:rsidR="007A7CF0" w:rsidRPr="00471089" w:rsidRDefault="007A7CF0" w:rsidP="00C44910">
    <w:pPr>
      <w:jc w:val="right"/>
      <w:rPr>
        <w:rFonts w:cs="Arial"/>
        <w:szCs w:val="22"/>
        <w:lang w:val="es-ES"/>
      </w:rPr>
    </w:pPr>
    <w:r w:rsidRPr="00471089">
      <w:rPr>
        <w:rFonts w:cs="Arial"/>
        <w:szCs w:val="22"/>
        <w:lang w:val="es-ES"/>
      </w:rPr>
      <w:t xml:space="preserve">página </w:t>
    </w:r>
    <w:r w:rsidRPr="00471089">
      <w:rPr>
        <w:rFonts w:cs="Arial"/>
        <w:szCs w:val="22"/>
        <w:lang w:val="es-ES"/>
      </w:rPr>
      <w:fldChar w:fldCharType="begin"/>
    </w:r>
    <w:r w:rsidRPr="00471089">
      <w:rPr>
        <w:rFonts w:cs="Arial"/>
        <w:szCs w:val="22"/>
        <w:lang w:val="es-ES"/>
      </w:rPr>
      <w:instrText xml:space="preserve"> PAGE   \* MERGEFORMAT </w:instrText>
    </w:r>
    <w:r w:rsidRPr="00471089">
      <w:rPr>
        <w:rFonts w:cs="Arial"/>
        <w:szCs w:val="22"/>
        <w:lang w:val="es-ES"/>
      </w:rPr>
      <w:fldChar w:fldCharType="separate"/>
    </w:r>
    <w:r w:rsidR="00586D01">
      <w:rPr>
        <w:rFonts w:cs="Arial"/>
        <w:noProof/>
        <w:szCs w:val="22"/>
        <w:lang w:val="es-ES"/>
      </w:rPr>
      <w:t>3</w:t>
    </w:r>
    <w:r w:rsidRPr="00471089">
      <w:rPr>
        <w:rFonts w:cs="Arial"/>
        <w:szCs w:val="22"/>
        <w:lang w:val="es-ES"/>
      </w:rPr>
      <w:fldChar w:fldCharType="end"/>
    </w:r>
  </w:p>
  <w:p w:rsidR="007A7CF0" w:rsidRDefault="007A7CF0" w:rsidP="00C44910">
    <w:pPr>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Pr="00612E73" w:rsidRDefault="00586D01" w:rsidP="0058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0" w:rsidRPr="00612E73" w:rsidRDefault="007A7CF0" w:rsidP="00612E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rsidP="00586D01">
    <w:pPr>
      <w:jc w:val="right"/>
      <w:rPr>
        <w:rFonts w:cs="Arial"/>
        <w:szCs w:val="22"/>
      </w:rPr>
    </w:pPr>
    <w:r w:rsidRPr="00956E73">
      <w:rPr>
        <w:rFonts w:cs="Arial"/>
        <w:szCs w:val="22"/>
      </w:rPr>
      <w:t>WO/PBC/</w:t>
    </w:r>
    <w:r>
      <w:rPr>
        <w:rFonts w:cs="Arial"/>
        <w:szCs w:val="22"/>
      </w:rPr>
      <w:t>30</w:t>
    </w:r>
    <w:r w:rsidRPr="00956E73">
      <w:rPr>
        <w:rFonts w:cs="Arial"/>
        <w:szCs w:val="22"/>
      </w:rPr>
      <w:t>/</w:t>
    </w:r>
    <w:r>
      <w:rPr>
        <w:rFonts w:cs="Arial"/>
        <w:szCs w:val="22"/>
      </w:rPr>
      <w:t>2</w:t>
    </w:r>
  </w:p>
  <w:p w:rsidR="00586D01" w:rsidRDefault="00586D01" w:rsidP="00586D01">
    <w:pPr>
      <w:jc w:val="right"/>
      <w:rPr>
        <w:rFonts w:cs="Arial"/>
        <w:noProof/>
        <w:szCs w:val="22"/>
      </w:rPr>
    </w:pPr>
    <w:r>
      <w:rPr>
        <w:rFonts w:cs="Arial"/>
        <w:szCs w:val="22"/>
      </w:rPr>
      <w:t xml:space="preserve">página </w:t>
    </w:r>
    <w:r>
      <w:fldChar w:fldCharType="begin"/>
    </w:r>
    <w:r>
      <w:instrText xml:space="preserve"> PAGE  \* MERGEFORMAT </w:instrText>
    </w:r>
    <w:r>
      <w:fldChar w:fldCharType="separate"/>
    </w:r>
    <w:r>
      <w:rPr>
        <w:noProof/>
      </w:rPr>
      <w:t>2</w:t>
    </w:r>
    <w:r>
      <w:fldChar w:fldCharType="end"/>
    </w:r>
  </w:p>
  <w:p w:rsidR="00586D01" w:rsidRDefault="00586D01" w:rsidP="00586D01">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0" w:rsidRDefault="007A7CF0" w:rsidP="00612E73">
    <w:pPr>
      <w:jc w:val="right"/>
      <w:rPr>
        <w:rFonts w:cs="Arial"/>
        <w:szCs w:val="22"/>
      </w:rPr>
    </w:pPr>
    <w:r w:rsidRPr="00956E73">
      <w:rPr>
        <w:rFonts w:cs="Arial"/>
        <w:szCs w:val="22"/>
      </w:rPr>
      <w:t>WO/PBC/</w:t>
    </w:r>
    <w:r>
      <w:rPr>
        <w:rFonts w:cs="Arial"/>
        <w:szCs w:val="22"/>
      </w:rPr>
      <w:t>30</w:t>
    </w:r>
    <w:r w:rsidRPr="00956E73">
      <w:rPr>
        <w:rFonts w:cs="Arial"/>
        <w:szCs w:val="22"/>
      </w:rPr>
      <w:t>/</w:t>
    </w:r>
    <w:r>
      <w:rPr>
        <w:rFonts w:cs="Arial"/>
        <w:szCs w:val="22"/>
      </w:rPr>
      <w:t>2</w:t>
    </w:r>
  </w:p>
  <w:p w:rsidR="007A7CF0" w:rsidRDefault="00587E53" w:rsidP="00612E73">
    <w:pPr>
      <w:jc w:val="right"/>
      <w:rPr>
        <w:rFonts w:cs="Arial"/>
        <w:noProof/>
        <w:szCs w:val="22"/>
      </w:rPr>
    </w:pPr>
    <w:r>
      <w:rPr>
        <w:rFonts w:cs="Arial"/>
        <w:szCs w:val="22"/>
      </w:rPr>
      <w:t>página</w:t>
    </w:r>
    <w:r w:rsidR="007A7CF0">
      <w:rPr>
        <w:rFonts w:cs="Arial"/>
        <w:szCs w:val="22"/>
      </w:rPr>
      <w:t xml:space="preserve"> </w:t>
    </w:r>
    <w:r w:rsidR="007A7CF0">
      <w:fldChar w:fldCharType="begin"/>
    </w:r>
    <w:r w:rsidR="007A7CF0">
      <w:instrText xml:space="preserve"> PAGE  \* MERGEFORMAT </w:instrText>
    </w:r>
    <w:r w:rsidR="007A7CF0">
      <w:fldChar w:fldCharType="separate"/>
    </w:r>
    <w:r w:rsidR="0046498F">
      <w:rPr>
        <w:noProof/>
      </w:rPr>
      <w:t>2</w:t>
    </w:r>
    <w:r w:rsidR="007A7CF0">
      <w:fldChar w:fldCharType="end"/>
    </w:r>
  </w:p>
  <w:p w:rsidR="007A7CF0" w:rsidRDefault="007A7CF0" w:rsidP="00612E7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0" w:rsidRDefault="007A7CF0" w:rsidP="00612E73">
    <w:pPr>
      <w:jc w:val="right"/>
      <w:rPr>
        <w:rFonts w:cs="Arial"/>
        <w:szCs w:val="22"/>
      </w:rPr>
    </w:pPr>
    <w:r w:rsidRPr="00956E73">
      <w:rPr>
        <w:rFonts w:cs="Arial"/>
        <w:szCs w:val="22"/>
      </w:rPr>
      <w:t>WO/PBC/</w:t>
    </w:r>
    <w:r>
      <w:rPr>
        <w:rFonts w:cs="Arial"/>
        <w:szCs w:val="22"/>
      </w:rPr>
      <w:t>30</w:t>
    </w:r>
    <w:r w:rsidRPr="00956E73">
      <w:rPr>
        <w:rFonts w:cs="Arial"/>
        <w:szCs w:val="22"/>
      </w:rPr>
      <w:t>/</w:t>
    </w:r>
    <w:r w:rsidR="00332957">
      <w:rPr>
        <w:rFonts w:cs="Arial"/>
        <w:szCs w:val="22"/>
      </w:rPr>
      <w:t>2</w:t>
    </w:r>
  </w:p>
  <w:p w:rsidR="007A7CF0" w:rsidRDefault="007A7CF0" w:rsidP="00612E73">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01" w:rsidRDefault="00586D01" w:rsidP="00586D01">
    <w:pPr>
      <w:jc w:val="right"/>
    </w:pPr>
    <w:r>
      <w:t>WO/PBC/30/2</w:t>
    </w:r>
  </w:p>
  <w:p w:rsidR="00586D01" w:rsidRDefault="00586D01" w:rsidP="00586D01">
    <w:pPr>
      <w:jc w:val="right"/>
    </w:pPr>
    <w:r>
      <w:t xml:space="preserve">página </w:t>
    </w:r>
    <w:r>
      <w:fldChar w:fldCharType="begin"/>
    </w:r>
    <w:r>
      <w:instrText xml:space="preserve"> PAGE   \* MERGEFORMAT </w:instrText>
    </w:r>
    <w:r>
      <w:fldChar w:fldCharType="separate"/>
    </w:r>
    <w:r w:rsidR="00925A44">
      <w:rPr>
        <w:noProof/>
      </w:rPr>
      <w:t>10</w:t>
    </w:r>
    <w:r>
      <w:rPr>
        <w:noProof/>
      </w:rPr>
      <w:fldChar w:fldCharType="end"/>
    </w:r>
  </w:p>
  <w:p w:rsidR="00586D01" w:rsidRDefault="00586D01" w:rsidP="00586D0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0" w:rsidRDefault="007A7CF0" w:rsidP="00477D6B">
    <w:pPr>
      <w:jc w:val="right"/>
    </w:pPr>
    <w:r>
      <w:t>WO/PBC/30/2</w:t>
    </w:r>
  </w:p>
  <w:p w:rsidR="007A7CF0" w:rsidRDefault="007A7CF0" w:rsidP="00477D6B">
    <w:pPr>
      <w:jc w:val="right"/>
    </w:pPr>
    <w:r>
      <w:t xml:space="preserve">página </w:t>
    </w:r>
    <w:r>
      <w:fldChar w:fldCharType="begin"/>
    </w:r>
    <w:r>
      <w:instrText xml:space="preserve"> PAGE   \* MERGEFORMAT </w:instrText>
    </w:r>
    <w:r>
      <w:fldChar w:fldCharType="separate"/>
    </w:r>
    <w:r w:rsidR="00925A44">
      <w:rPr>
        <w:noProof/>
      </w:rPr>
      <w:t>11</w:t>
    </w:r>
    <w:r>
      <w:rPr>
        <w:noProof/>
      </w:rPr>
      <w:fldChar w:fldCharType="end"/>
    </w:r>
  </w:p>
  <w:p w:rsidR="007A7CF0" w:rsidRDefault="007A7CF0" w:rsidP="00C25C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90666B4"/>
    <w:lvl w:ilvl="0">
      <w:start w:val="1"/>
      <w:numFmt w:val="decimal"/>
      <w:pStyle w:val="ONUME"/>
      <w:lvlText w:val="%1."/>
      <w:lvlJc w:val="left"/>
      <w:pPr>
        <w:tabs>
          <w:tab w:val="num" w:pos="1377"/>
        </w:tabs>
        <w:ind w:left="810" w:firstLine="0"/>
      </w:pPr>
      <w:rPr>
        <w:rFonts w:hint="default"/>
        <w:b w:val="0"/>
        <w:i w:val="0"/>
        <w:strike w:val="0"/>
        <w:color w:val="00000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978E9"/>
    <w:multiLevelType w:val="hybridMultilevel"/>
    <w:tmpl w:val="730C1940"/>
    <w:lvl w:ilvl="0" w:tplc="2B00E278">
      <w:start w:val="1"/>
      <w:numFmt w:val="decimal"/>
      <w:lvlText w:val="%1."/>
      <w:lvlJc w:val="left"/>
      <w:pPr>
        <w:ind w:left="1920"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655FDC"/>
    <w:multiLevelType w:val="hybridMultilevel"/>
    <w:tmpl w:val="6EE84B8A"/>
    <w:lvl w:ilvl="0" w:tplc="AA260B3C">
      <w:start w:val="1"/>
      <w:numFmt w:val="upperRoman"/>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5" w15:restartNumberingAfterBreak="0">
    <w:nsid w:val="690E7A85"/>
    <w:multiLevelType w:val="hybridMultilevel"/>
    <w:tmpl w:val="0AAEF466"/>
    <w:lvl w:ilvl="0" w:tplc="686ED9AA">
      <w:start w:val="1"/>
      <w:numFmt w:val="upperLetter"/>
      <w:pStyle w:val="Heading3"/>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1"/>
  <w:activeWritingStyle w:appName="MSWord" w:lang="es-ES" w:vendorID="64" w:dllVersion="131078" w:nlCheck="1" w:checkStyle="0"/>
  <w:activeWritingStyle w:appName="MSWord" w:lang="es-ES_tradnl"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Main|TextBase TMs\WorkspaceSTS\Administration &amp; Finance\FAB Instruments|TextBase TMs\WorkspaceSTS\Administration &amp; Finance\FStatements"/>
    <w:docVar w:name="TextBaseURL" w:val="empty"/>
    <w:docVar w:name="UILng" w:val="en"/>
  </w:docVars>
  <w:rsids>
    <w:rsidRoot w:val="00F76301"/>
    <w:rsid w:val="000002BC"/>
    <w:rsid w:val="00001CF9"/>
    <w:rsid w:val="00002284"/>
    <w:rsid w:val="000022EB"/>
    <w:rsid w:val="0000298E"/>
    <w:rsid w:val="00003042"/>
    <w:rsid w:val="00005AB2"/>
    <w:rsid w:val="00006DF6"/>
    <w:rsid w:val="00006F02"/>
    <w:rsid w:val="0000738F"/>
    <w:rsid w:val="00010A36"/>
    <w:rsid w:val="00010CB0"/>
    <w:rsid w:val="000125D7"/>
    <w:rsid w:val="00014885"/>
    <w:rsid w:val="000161F3"/>
    <w:rsid w:val="00016205"/>
    <w:rsid w:val="00016312"/>
    <w:rsid w:val="00017524"/>
    <w:rsid w:val="000220D6"/>
    <w:rsid w:val="000224DE"/>
    <w:rsid w:val="000229AE"/>
    <w:rsid w:val="000239BF"/>
    <w:rsid w:val="0002444B"/>
    <w:rsid w:val="00024900"/>
    <w:rsid w:val="00024CBD"/>
    <w:rsid w:val="00030215"/>
    <w:rsid w:val="00030A1A"/>
    <w:rsid w:val="00030BD8"/>
    <w:rsid w:val="00030D2F"/>
    <w:rsid w:val="000325DB"/>
    <w:rsid w:val="00033C65"/>
    <w:rsid w:val="000346D1"/>
    <w:rsid w:val="000346D6"/>
    <w:rsid w:val="00035B1D"/>
    <w:rsid w:val="00035B32"/>
    <w:rsid w:val="000366A3"/>
    <w:rsid w:val="00036EA6"/>
    <w:rsid w:val="0003774C"/>
    <w:rsid w:val="0003787A"/>
    <w:rsid w:val="00040B49"/>
    <w:rsid w:val="00042442"/>
    <w:rsid w:val="00042504"/>
    <w:rsid w:val="0004285C"/>
    <w:rsid w:val="00042C03"/>
    <w:rsid w:val="00043478"/>
    <w:rsid w:val="00043CAA"/>
    <w:rsid w:val="00044B2B"/>
    <w:rsid w:val="000465A9"/>
    <w:rsid w:val="000502D3"/>
    <w:rsid w:val="00050723"/>
    <w:rsid w:val="00051692"/>
    <w:rsid w:val="00052969"/>
    <w:rsid w:val="00052E1D"/>
    <w:rsid w:val="00053308"/>
    <w:rsid w:val="0005370A"/>
    <w:rsid w:val="000558A1"/>
    <w:rsid w:val="000567EA"/>
    <w:rsid w:val="000570EF"/>
    <w:rsid w:val="00057583"/>
    <w:rsid w:val="00060075"/>
    <w:rsid w:val="00061662"/>
    <w:rsid w:val="00062280"/>
    <w:rsid w:val="00063044"/>
    <w:rsid w:val="00063C54"/>
    <w:rsid w:val="00065B7F"/>
    <w:rsid w:val="000665F3"/>
    <w:rsid w:val="00067BA2"/>
    <w:rsid w:val="00067F06"/>
    <w:rsid w:val="00067F39"/>
    <w:rsid w:val="00067FBD"/>
    <w:rsid w:val="00070FB8"/>
    <w:rsid w:val="000720FE"/>
    <w:rsid w:val="000728D9"/>
    <w:rsid w:val="00074283"/>
    <w:rsid w:val="00074514"/>
    <w:rsid w:val="00075432"/>
    <w:rsid w:val="00076197"/>
    <w:rsid w:val="0007629D"/>
    <w:rsid w:val="000765FF"/>
    <w:rsid w:val="00076776"/>
    <w:rsid w:val="000777CB"/>
    <w:rsid w:val="000777D4"/>
    <w:rsid w:val="0007782A"/>
    <w:rsid w:val="00080277"/>
    <w:rsid w:val="000820D4"/>
    <w:rsid w:val="00082AF4"/>
    <w:rsid w:val="00082C8A"/>
    <w:rsid w:val="000830E2"/>
    <w:rsid w:val="00084D6A"/>
    <w:rsid w:val="000853E2"/>
    <w:rsid w:val="00085832"/>
    <w:rsid w:val="00085D4B"/>
    <w:rsid w:val="00092A8F"/>
    <w:rsid w:val="000937FC"/>
    <w:rsid w:val="00094777"/>
    <w:rsid w:val="00094903"/>
    <w:rsid w:val="000951BA"/>
    <w:rsid w:val="000956F5"/>
    <w:rsid w:val="00095935"/>
    <w:rsid w:val="000968E7"/>
    <w:rsid w:val="0009795A"/>
    <w:rsid w:val="000A0676"/>
    <w:rsid w:val="000A112D"/>
    <w:rsid w:val="000A13E3"/>
    <w:rsid w:val="000A1B82"/>
    <w:rsid w:val="000A1D4F"/>
    <w:rsid w:val="000A35B2"/>
    <w:rsid w:val="000A35B8"/>
    <w:rsid w:val="000A3E4F"/>
    <w:rsid w:val="000A3F21"/>
    <w:rsid w:val="000A3FC2"/>
    <w:rsid w:val="000A435F"/>
    <w:rsid w:val="000A43CE"/>
    <w:rsid w:val="000A515E"/>
    <w:rsid w:val="000A7191"/>
    <w:rsid w:val="000A76E1"/>
    <w:rsid w:val="000A7A99"/>
    <w:rsid w:val="000B02F1"/>
    <w:rsid w:val="000B035E"/>
    <w:rsid w:val="000B03C5"/>
    <w:rsid w:val="000B2516"/>
    <w:rsid w:val="000B41F9"/>
    <w:rsid w:val="000B44F4"/>
    <w:rsid w:val="000B4F88"/>
    <w:rsid w:val="000B62A2"/>
    <w:rsid w:val="000B6BD9"/>
    <w:rsid w:val="000B7B11"/>
    <w:rsid w:val="000C0ACD"/>
    <w:rsid w:val="000C1789"/>
    <w:rsid w:val="000C34CE"/>
    <w:rsid w:val="000C41FF"/>
    <w:rsid w:val="000C4733"/>
    <w:rsid w:val="000C4BDA"/>
    <w:rsid w:val="000C59C3"/>
    <w:rsid w:val="000C5E48"/>
    <w:rsid w:val="000C6760"/>
    <w:rsid w:val="000C69D5"/>
    <w:rsid w:val="000C6EC0"/>
    <w:rsid w:val="000C724D"/>
    <w:rsid w:val="000C7CCB"/>
    <w:rsid w:val="000D0781"/>
    <w:rsid w:val="000D1D36"/>
    <w:rsid w:val="000D35DB"/>
    <w:rsid w:val="000D4003"/>
    <w:rsid w:val="000D4190"/>
    <w:rsid w:val="000D460E"/>
    <w:rsid w:val="000D5529"/>
    <w:rsid w:val="000D5DCA"/>
    <w:rsid w:val="000D5F72"/>
    <w:rsid w:val="000D618A"/>
    <w:rsid w:val="000D6491"/>
    <w:rsid w:val="000D7E76"/>
    <w:rsid w:val="000E0EE0"/>
    <w:rsid w:val="000E1FA0"/>
    <w:rsid w:val="000E2075"/>
    <w:rsid w:val="000E2E85"/>
    <w:rsid w:val="000E323D"/>
    <w:rsid w:val="000E3A59"/>
    <w:rsid w:val="000E5B6D"/>
    <w:rsid w:val="000E6306"/>
    <w:rsid w:val="000E6A30"/>
    <w:rsid w:val="000E7612"/>
    <w:rsid w:val="000E7860"/>
    <w:rsid w:val="000E7DAD"/>
    <w:rsid w:val="000E7EA4"/>
    <w:rsid w:val="000F1A0F"/>
    <w:rsid w:val="000F53C0"/>
    <w:rsid w:val="000F5D8A"/>
    <w:rsid w:val="000F5E56"/>
    <w:rsid w:val="000F65F7"/>
    <w:rsid w:val="000F6F8E"/>
    <w:rsid w:val="00100583"/>
    <w:rsid w:val="00100996"/>
    <w:rsid w:val="001011E4"/>
    <w:rsid w:val="00101221"/>
    <w:rsid w:val="00101DA3"/>
    <w:rsid w:val="00102D3A"/>
    <w:rsid w:val="00102F11"/>
    <w:rsid w:val="00103DA3"/>
    <w:rsid w:val="001114D0"/>
    <w:rsid w:val="001128F8"/>
    <w:rsid w:val="00112E25"/>
    <w:rsid w:val="00113123"/>
    <w:rsid w:val="0011389B"/>
    <w:rsid w:val="00114321"/>
    <w:rsid w:val="00114D79"/>
    <w:rsid w:val="00114E4B"/>
    <w:rsid w:val="00116681"/>
    <w:rsid w:val="00117627"/>
    <w:rsid w:val="00117E2C"/>
    <w:rsid w:val="00120306"/>
    <w:rsid w:val="00121A8B"/>
    <w:rsid w:val="00121D1B"/>
    <w:rsid w:val="00124257"/>
    <w:rsid w:val="001247F7"/>
    <w:rsid w:val="0012483F"/>
    <w:rsid w:val="00124AB4"/>
    <w:rsid w:val="00124F9C"/>
    <w:rsid w:val="001277A7"/>
    <w:rsid w:val="00127D3B"/>
    <w:rsid w:val="00127F1D"/>
    <w:rsid w:val="00130804"/>
    <w:rsid w:val="00130A86"/>
    <w:rsid w:val="0013101B"/>
    <w:rsid w:val="00131563"/>
    <w:rsid w:val="0013178E"/>
    <w:rsid w:val="001322E2"/>
    <w:rsid w:val="00132A52"/>
    <w:rsid w:val="00133B27"/>
    <w:rsid w:val="001362EE"/>
    <w:rsid w:val="00136BC1"/>
    <w:rsid w:val="00137485"/>
    <w:rsid w:val="001416CE"/>
    <w:rsid w:val="00141E3E"/>
    <w:rsid w:val="001434B5"/>
    <w:rsid w:val="00146AE7"/>
    <w:rsid w:val="001473F0"/>
    <w:rsid w:val="00150768"/>
    <w:rsid w:val="00150FD9"/>
    <w:rsid w:val="00151C01"/>
    <w:rsid w:val="00151E74"/>
    <w:rsid w:val="0015230C"/>
    <w:rsid w:val="00153895"/>
    <w:rsid w:val="00154FD8"/>
    <w:rsid w:val="001557E8"/>
    <w:rsid w:val="00157F38"/>
    <w:rsid w:val="00160774"/>
    <w:rsid w:val="001608C5"/>
    <w:rsid w:val="00160A04"/>
    <w:rsid w:val="001611FD"/>
    <w:rsid w:val="00162808"/>
    <w:rsid w:val="00162899"/>
    <w:rsid w:val="00163119"/>
    <w:rsid w:val="00163479"/>
    <w:rsid w:val="0016474E"/>
    <w:rsid w:val="0016524E"/>
    <w:rsid w:val="00165313"/>
    <w:rsid w:val="00165D07"/>
    <w:rsid w:val="00166404"/>
    <w:rsid w:val="001679C6"/>
    <w:rsid w:val="00167F56"/>
    <w:rsid w:val="001729C9"/>
    <w:rsid w:val="00173BAB"/>
    <w:rsid w:val="00174EEA"/>
    <w:rsid w:val="00174F8A"/>
    <w:rsid w:val="00175BB7"/>
    <w:rsid w:val="00176EE6"/>
    <w:rsid w:val="00176F18"/>
    <w:rsid w:val="0017702F"/>
    <w:rsid w:val="00180246"/>
    <w:rsid w:val="00181690"/>
    <w:rsid w:val="001822B6"/>
    <w:rsid w:val="00182F7C"/>
    <w:rsid w:val="001832A6"/>
    <w:rsid w:val="0018639E"/>
    <w:rsid w:val="00186966"/>
    <w:rsid w:val="00186A58"/>
    <w:rsid w:val="00186FCB"/>
    <w:rsid w:val="00187A1E"/>
    <w:rsid w:val="00187D12"/>
    <w:rsid w:val="0019319D"/>
    <w:rsid w:val="0019326F"/>
    <w:rsid w:val="00193F4C"/>
    <w:rsid w:val="001948EB"/>
    <w:rsid w:val="001949D8"/>
    <w:rsid w:val="001969BD"/>
    <w:rsid w:val="001973D1"/>
    <w:rsid w:val="001A02DB"/>
    <w:rsid w:val="001A0948"/>
    <w:rsid w:val="001A0F3B"/>
    <w:rsid w:val="001A1101"/>
    <w:rsid w:val="001A12B3"/>
    <w:rsid w:val="001A1BE8"/>
    <w:rsid w:val="001A27FC"/>
    <w:rsid w:val="001A2BF7"/>
    <w:rsid w:val="001A2F76"/>
    <w:rsid w:val="001A30C9"/>
    <w:rsid w:val="001A3117"/>
    <w:rsid w:val="001A3CBC"/>
    <w:rsid w:val="001A4571"/>
    <w:rsid w:val="001A4FCA"/>
    <w:rsid w:val="001A51B9"/>
    <w:rsid w:val="001A56E2"/>
    <w:rsid w:val="001A5E4B"/>
    <w:rsid w:val="001A6537"/>
    <w:rsid w:val="001A65B6"/>
    <w:rsid w:val="001A781B"/>
    <w:rsid w:val="001B012C"/>
    <w:rsid w:val="001B06F7"/>
    <w:rsid w:val="001B1C29"/>
    <w:rsid w:val="001B255D"/>
    <w:rsid w:val="001B27B9"/>
    <w:rsid w:val="001B2BAD"/>
    <w:rsid w:val="001B3456"/>
    <w:rsid w:val="001B4D79"/>
    <w:rsid w:val="001B4DC5"/>
    <w:rsid w:val="001B5762"/>
    <w:rsid w:val="001B6AC4"/>
    <w:rsid w:val="001C05B3"/>
    <w:rsid w:val="001C0699"/>
    <w:rsid w:val="001C17D4"/>
    <w:rsid w:val="001C2FBB"/>
    <w:rsid w:val="001C4338"/>
    <w:rsid w:val="001C4442"/>
    <w:rsid w:val="001C521C"/>
    <w:rsid w:val="001C56E5"/>
    <w:rsid w:val="001C695B"/>
    <w:rsid w:val="001C72B1"/>
    <w:rsid w:val="001C72F0"/>
    <w:rsid w:val="001C7F5B"/>
    <w:rsid w:val="001D16CF"/>
    <w:rsid w:val="001D2500"/>
    <w:rsid w:val="001D3C53"/>
    <w:rsid w:val="001D46BC"/>
    <w:rsid w:val="001D4A17"/>
    <w:rsid w:val="001D4C94"/>
    <w:rsid w:val="001D4FF7"/>
    <w:rsid w:val="001D70E5"/>
    <w:rsid w:val="001E1C3D"/>
    <w:rsid w:val="001E48CF"/>
    <w:rsid w:val="001E512B"/>
    <w:rsid w:val="001E7653"/>
    <w:rsid w:val="001F0429"/>
    <w:rsid w:val="001F0FBD"/>
    <w:rsid w:val="001F164D"/>
    <w:rsid w:val="001F2438"/>
    <w:rsid w:val="001F4694"/>
    <w:rsid w:val="001F5FA9"/>
    <w:rsid w:val="001F673D"/>
    <w:rsid w:val="001F7FC0"/>
    <w:rsid w:val="002031EB"/>
    <w:rsid w:val="002036FF"/>
    <w:rsid w:val="00205BED"/>
    <w:rsid w:val="002068B7"/>
    <w:rsid w:val="00207B03"/>
    <w:rsid w:val="002108A0"/>
    <w:rsid w:val="00210B1C"/>
    <w:rsid w:val="0021110D"/>
    <w:rsid w:val="00211B49"/>
    <w:rsid w:val="00217C51"/>
    <w:rsid w:val="00222599"/>
    <w:rsid w:val="00222DBE"/>
    <w:rsid w:val="00222DF6"/>
    <w:rsid w:val="00223311"/>
    <w:rsid w:val="002257C0"/>
    <w:rsid w:val="00225FC1"/>
    <w:rsid w:val="00226F7D"/>
    <w:rsid w:val="00231A7C"/>
    <w:rsid w:val="002321CA"/>
    <w:rsid w:val="00232E59"/>
    <w:rsid w:val="00233321"/>
    <w:rsid w:val="0023646E"/>
    <w:rsid w:val="00236829"/>
    <w:rsid w:val="00240090"/>
    <w:rsid w:val="00240200"/>
    <w:rsid w:val="0024046B"/>
    <w:rsid w:val="002417B7"/>
    <w:rsid w:val="00241814"/>
    <w:rsid w:val="0024293B"/>
    <w:rsid w:val="002449EA"/>
    <w:rsid w:val="002455F6"/>
    <w:rsid w:val="002458AE"/>
    <w:rsid w:val="002475A7"/>
    <w:rsid w:val="00247675"/>
    <w:rsid w:val="002503B7"/>
    <w:rsid w:val="0025202E"/>
    <w:rsid w:val="002542DA"/>
    <w:rsid w:val="00257883"/>
    <w:rsid w:val="00260750"/>
    <w:rsid w:val="00260A43"/>
    <w:rsid w:val="00261298"/>
    <w:rsid w:val="00262D8F"/>
    <w:rsid w:val="002634C4"/>
    <w:rsid w:val="00263778"/>
    <w:rsid w:val="00263D2B"/>
    <w:rsid w:val="002642E5"/>
    <w:rsid w:val="00264CBB"/>
    <w:rsid w:val="0026609D"/>
    <w:rsid w:val="0026627B"/>
    <w:rsid w:val="0026753E"/>
    <w:rsid w:val="002676F8"/>
    <w:rsid w:val="00267C8F"/>
    <w:rsid w:val="002704E1"/>
    <w:rsid w:val="00270A10"/>
    <w:rsid w:val="00270A9E"/>
    <w:rsid w:val="00271124"/>
    <w:rsid w:val="002715E4"/>
    <w:rsid w:val="00271EE1"/>
    <w:rsid w:val="00272A30"/>
    <w:rsid w:val="00272EBC"/>
    <w:rsid w:val="002731D9"/>
    <w:rsid w:val="00274847"/>
    <w:rsid w:val="002749E2"/>
    <w:rsid w:val="00274F9E"/>
    <w:rsid w:val="0027500E"/>
    <w:rsid w:val="00275641"/>
    <w:rsid w:val="002763E8"/>
    <w:rsid w:val="00276633"/>
    <w:rsid w:val="00276A3A"/>
    <w:rsid w:val="00276E1B"/>
    <w:rsid w:val="0027717F"/>
    <w:rsid w:val="00277C86"/>
    <w:rsid w:val="00277F06"/>
    <w:rsid w:val="002814BA"/>
    <w:rsid w:val="0028285A"/>
    <w:rsid w:val="00285309"/>
    <w:rsid w:val="002862C1"/>
    <w:rsid w:val="002862DC"/>
    <w:rsid w:val="00286607"/>
    <w:rsid w:val="0028771D"/>
    <w:rsid w:val="002928D3"/>
    <w:rsid w:val="00293868"/>
    <w:rsid w:val="00293ABB"/>
    <w:rsid w:val="00295525"/>
    <w:rsid w:val="00296190"/>
    <w:rsid w:val="00297041"/>
    <w:rsid w:val="00297CF6"/>
    <w:rsid w:val="002A0160"/>
    <w:rsid w:val="002A0F92"/>
    <w:rsid w:val="002A1598"/>
    <w:rsid w:val="002A1DFE"/>
    <w:rsid w:val="002A1ED6"/>
    <w:rsid w:val="002A244B"/>
    <w:rsid w:val="002A24F0"/>
    <w:rsid w:val="002A46B2"/>
    <w:rsid w:val="002A48DE"/>
    <w:rsid w:val="002A5C1C"/>
    <w:rsid w:val="002A5E00"/>
    <w:rsid w:val="002A690C"/>
    <w:rsid w:val="002A70E1"/>
    <w:rsid w:val="002A72F9"/>
    <w:rsid w:val="002A7D92"/>
    <w:rsid w:val="002B0787"/>
    <w:rsid w:val="002B07EF"/>
    <w:rsid w:val="002B12BD"/>
    <w:rsid w:val="002B19D4"/>
    <w:rsid w:val="002B3986"/>
    <w:rsid w:val="002B4849"/>
    <w:rsid w:val="002B58DC"/>
    <w:rsid w:val="002B5D39"/>
    <w:rsid w:val="002C049F"/>
    <w:rsid w:val="002C1F23"/>
    <w:rsid w:val="002C3B71"/>
    <w:rsid w:val="002C506F"/>
    <w:rsid w:val="002C66BB"/>
    <w:rsid w:val="002C6938"/>
    <w:rsid w:val="002C699A"/>
    <w:rsid w:val="002C7D7F"/>
    <w:rsid w:val="002D07F5"/>
    <w:rsid w:val="002D1945"/>
    <w:rsid w:val="002D1FD2"/>
    <w:rsid w:val="002D2485"/>
    <w:rsid w:val="002D2789"/>
    <w:rsid w:val="002D3025"/>
    <w:rsid w:val="002D35DD"/>
    <w:rsid w:val="002D3A6B"/>
    <w:rsid w:val="002D4E36"/>
    <w:rsid w:val="002D4F62"/>
    <w:rsid w:val="002D5189"/>
    <w:rsid w:val="002D52F8"/>
    <w:rsid w:val="002D5B5A"/>
    <w:rsid w:val="002D6936"/>
    <w:rsid w:val="002D756E"/>
    <w:rsid w:val="002E0634"/>
    <w:rsid w:val="002E349C"/>
    <w:rsid w:val="002E4C13"/>
    <w:rsid w:val="002E5E60"/>
    <w:rsid w:val="002E6699"/>
    <w:rsid w:val="002E7E3A"/>
    <w:rsid w:val="002E7EF1"/>
    <w:rsid w:val="002F0358"/>
    <w:rsid w:val="002F1173"/>
    <w:rsid w:val="002F1B67"/>
    <w:rsid w:val="002F1FE6"/>
    <w:rsid w:val="002F25C2"/>
    <w:rsid w:val="002F28A7"/>
    <w:rsid w:val="002F2F6C"/>
    <w:rsid w:val="002F40A0"/>
    <w:rsid w:val="002F4608"/>
    <w:rsid w:val="002F4664"/>
    <w:rsid w:val="002F4E68"/>
    <w:rsid w:val="002F63D6"/>
    <w:rsid w:val="002F6509"/>
    <w:rsid w:val="002F6525"/>
    <w:rsid w:val="0030002E"/>
    <w:rsid w:val="003002A6"/>
    <w:rsid w:val="003005DD"/>
    <w:rsid w:val="00301655"/>
    <w:rsid w:val="0030251A"/>
    <w:rsid w:val="00303B1D"/>
    <w:rsid w:val="00305053"/>
    <w:rsid w:val="0030510F"/>
    <w:rsid w:val="00305C7C"/>
    <w:rsid w:val="00307300"/>
    <w:rsid w:val="00307C2B"/>
    <w:rsid w:val="00310847"/>
    <w:rsid w:val="00310E71"/>
    <w:rsid w:val="00311766"/>
    <w:rsid w:val="00311E42"/>
    <w:rsid w:val="00312A32"/>
    <w:rsid w:val="00312F7F"/>
    <w:rsid w:val="00314279"/>
    <w:rsid w:val="00314977"/>
    <w:rsid w:val="00314CDD"/>
    <w:rsid w:val="003171F5"/>
    <w:rsid w:val="0031792C"/>
    <w:rsid w:val="003216B0"/>
    <w:rsid w:val="003218EA"/>
    <w:rsid w:val="00321D1D"/>
    <w:rsid w:val="003228F7"/>
    <w:rsid w:val="00322C88"/>
    <w:rsid w:val="00323B02"/>
    <w:rsid w:val="00325909"/>
    <w:rsid w:val="00332281"/>
    <w:rsid w:val="003324CF"/>
    <w:rsid w:val="00332957"/>
    <w:rsid w:val="00333C38"/>
    <w:rsid w:val="00333DBE"/>
    <w:rsid w:val="003347A2"/>
    <w:rsid w:val="00335311"/>
    <w:rsid w:val="00335545"/>
    <w:rsid w:val="00335BE2"/>
    <w:rsid w:val="00335EEC"/>
    <w:rsid w:val="00336220"/>
    <w:rsid w:val="00336E5F"/>
    <w:rsid w:val="00337DE9"/>
    <w:rsid w:val="00337E84"/>
    <w:rsid w:val="00337EBB"/>
    <w:rsid w:val="00340E41"/>
    <w:rsid w:val="00342EEB"/>
    <w:rsid w:val="003433CD"/>
    <w:rsid w:val="00343624"/>
    <w:rsid w:val="00343C78"/>
    <w:rsid w:val="003444B5"/>
    <w:rsid w:val="00344B39"/>
    <w:rsid w:val="00345B61"/>
    <w:rsid w:val="003468F6"/>
    <w:rsid w:val="003508C4"/>
    <w:rsid w:val="003514BD"/>
    <w:rsid w:val="003526AA"/>
    <w:rsid w:val="003526D4"/>
    <w:rsid w:val="00352B73"/>
    <w:rsid w:val="00354520"/>
    <w:rsid w:val="00355EF3"/>
    <w:rsid w:val="003563D2"/>
    <w:rsid w:val="00356D1A"/>
    <w:rsid w:val="00360BDF"/>
    <w:rsid w:val="003611BE"/>
    <w:rsid w:val="00361294"/>
    <w:rsid w:val="00362F2B"/>
    <w:rsid w:val="003638D5"/>
    <w:rsid w:val="00365768"/>
    <w:rsid w:val="00365EA2"/>
    <w:rsid w:val="00365FFD"/>
    <w:rsid w:val="003662D8"/>
    <w:rsid w:val="0036633C"/>
    <w:rsid w:val="003667BA"/>
    <w:rsid w:val="003671C8"/>
    <w:rsid w:val="003673CF"/>
    <w:rsid w:val="00367954"/>
    <w:rsid w:val="00367C0C"/>
    <w:rsid w:val="00367E29"/>
    <w:rsid w:val="00371473"/>
    <w:rsid w:val="00371C22"/>
    <w:rsid w:val="00373914"/>
    <w:rsid w:val="00373F0F"/>
    <w:rsid w:val="0037423A"/>
    <w:rsid w:val="003743DD"/>
    <w:rsid w:val="00374642"/>
    <w:rsid w:val="0037464E"/>
    <w:rsid w:val="00375125"/>
    <w:rsid w:val="003752C1"/>
    <w:rsid w:val="003754EF"/>
    <w:rsid w:val="00375AC0"/>
    <w:rsid w:val="00380046"/>
    <w:rsid w:val="003832C4"/>
    <w:rsid w:val="003844EC"/>
    <w:rsid w:val="003845C1"/>
    <w:rsid w:val="00387340"/>
    <w:rsid w:val="00391056"/>
    <w:rsid w:val="0039122E"/>
    <w:rsid w:val="00391958"/>
    <w:rsid w:val="0039291A"/>
    <w:rsid w:val="00393414"/>
    <w:rsid w:val="00393983"/>
    <w:rsid w:val="003940A0"/>
    <w:rsid w:val="00396505"/>
    <w:rsid w:val="0039771B"/>
    <w:rsid w:val="00397A0B"/>
    <w:rsid w:val="00397D37"/>
    <w:rsid w:val="003A099F"/>
    <w:rsid w:val="003A0E6D"/>
    <w:rsid w:val="003A1C6F"/>
    <w:rsid w:val="003A2394"/>
    <w:rsid w:val="003A2A6A"/>
    <w:rsid w:val="003A3874"/>
    <w:rsid w:val="003A4CF1"/>
    <w:rsid w:val="003A5199"/>
    <w:rsid w:val="003A51B9"/>
    <w:rsid w:val="003A540B"/>
    <w:rsid w:val="003A59B2"/>
    <w:rsid w:val="003A5F3A"/>
    <w:rsid w:val="003A6697"/>
    <w:rsid w:val="003A6EE5"/>
    <w:rsid w:val="003A6F89"/>
    <w:rsid w:val="003B011F"/>
    <w:rsid w:val="003B0ACC"/>
    <w:rsid w:val="003B38C1"/>
    <w:rsid w:val="003B3C4E"/>
    <w:rsid w:val="003B4EC2"/>
    <w:rsid w:val="003B62A9"/>
    <w:rsid w:val="003C0281"/>
    <w:rsid w:val="003C07B7"/>
    <w:rsid w:val="003C15E8"/>
    <w:rsid w:val="003C192A"/>
    <w:rsid w:val="003C196E"/>
    <w:rsid w:val="003C388C"/>
    <w:rsid w:val="003C43C7"/>
    <w:rsid w:val="003C5214"/>
    <w:rsid w:val="003C5294"/>
    <w:rsid w:val="003C79C6"/>
    <w:rsid w:val="003D08ED"/>
    <w:rsid w:val="003D0F40"/>
    <w:rsid w:val="003D2E54"/>
    <w:rsid w:val="003D316B"/>
    <w:rsid w:val="003D44B2"/>
    <w:rsid w:val="003D474C"/>
    <w:rsid w:val="003D5B00"/>
    <w:rsid w:val="003D5B9F"/>
    <w:rsid w:val="003D6066"/>
    <w:rsid w:val="003D6B63"/>
    <w:rsid w:val="003D783F"/>
    <w:rsid w:val="003E02CB"/>
    <w:rsid w:val="003E046A"/>
    <w:rsid w:val="003E0C24"/>
    <w:rsid w:val="003E0CF6"/>
    <w:rsid w:val="003E13B6"/>
    <w:rsid w:val="003E1B92"/>
    <w:rsid w:val="003E1D22"/>
    <w:rsid w:val="003E1FFF"/>
    <w:rsid w:val="003E2303"/>
    <w:rsid w:val="003E2466"/>
    <w:rsid w:val="003E24E4"/>
    <w:rsid w:val="003E37AF"/>
    <w:rsid w:val="003E38A4"/>
    <w:rsid w:val="003E3AD7"/>
    <w:rsid w:val="003E3F4D"/>
    <w:rsid w:val="003E440D"/>
    <w:rsid w:val="003E5016"/>
    <w:rsid w:val="003E585A"/>
    <w:rsid w:val="003E5B6E"/>
    <w:rsid w:val="003F01E2"/>
    <w:rsid w:val="003F045C"/>
    <w:rsid w:val="003F0CE4"/>
    <w:rsid w:val="003F1ADE"/>
    <w:rsid w:val="003F25F8"/>
    <w:rsid w:val="003F2A38"/>
    <w:rsid w:val="003F2FD9"/>
    <w:rsid w:val="003F51E1"/>
    <w:rsid w:val="003F61A7"/>
    <w:rsid w:val="003F7205"/>
    <w:rsid w:val="003F7B86"/>
    <w:rsid w:val="00400B13"/>
    <w:rsid w:val="004029B2"/>
    <w:rsid w:val="004058F8"/>
    <w:rsid w:val="00405EA5"/>
    <w:rsid w:val="004062F0"/>
    <w:rsid w:val="00406A9F"/>
    <w:rsid w:val="004073C8"/>
    <w:rsid w:val="00410014"/>
    <w:rsid w:val="00410229"/>
    <w:rsid w:val="004127D5"/>
    <w:rsid w:val="004137BB"/>
    <w:rsid w:val="004150C8"/>
    <w:rsid w:val="00416ED1"/>
    <w:rsid w:val="004214DF"/>
    <w:rsid w:val="00422CD0"/>
    <w:rsid w:val="0042328A"/>
    <w:rsid w:val="0042391F"/>
    <w:rsid w:val="00423CDF"/>
    <w:rsid w:val="00423E3E"/>
    <w:rsid w:val="00426987"/>
    <w:rsid w:val="00427164"/>
    <w:rsid w:val="00427AF4"/>
    <w:rsid w:val="004304E3"/>
    <w:rsid w:val="00431492"/>
    <w:rsid w:val="00431876"/>
    <w:rsid w:val="00431A70"/>
    <w:rsid w:val="00431DD8"/>
    <w:rsid w:val="00433973"/>
    <w:rsid w:val="00433C8A"/>
    <w:rsid w:val="0044095F"/>
    <w:rsid w:val="004417A6"/>
    <w:rsid w:val="00442910"/>
    <w:rsid w:val="00443472"/>
    <w:rsid w:val="0044391E"/>
    <w:rsid w:val="0044448E"/>
    <w:rsid w:val="004469E1"/>
    <w:rsid w:val="004474AE"/>
    <w:rsid w:val="00452E12"/>
    <w:rsid w:val="0045405B"/>
    <w:rsid w:val="00454E67"/>
    <w:rsid w:val="004554D8"/>
    <w:rsid w:val="00455B57"/>
    <w:rsid w:val="00460FDD"/>
    <w:rsid w:val="004610A1"/>
    <w:rsid w:val="004613BE"/>
    <w:rsid w:val="00461677"/>
    <w:rsid w:val="004618DE"/>
    <w:rsid w:val="0046437C"/>
    <w:rsid w:val="00464569"/>
    <w:rsid w:val="004647DA"/>
    <w:rsid w:val="0046498F"/>
    <w:rsid w:val="004651D9"/>
    <w:rsid w:val="004652FE"/>
    <w:rsid w:val="00465817"/>
    <w:rsid w:val="00465B99"/>
    <w:rsid w:val="00466AC5"/>
    <w:rsid w:val="004675D8"/>
    <w:rsid w:val="00467738"/>
    <w:rsid w:val="004678FB"/>
    <w:rsid w:val="00467BDF"/>
    <w:rsid w:val="00470853"/>
    <w:rsid w:val="0047105E"/>
    <w:rsid w:val="00471089"/>
    <w:rsid w:val="00471BA1"/>
    <w:rsid w:val="00471FFC"/>
    <w:rsid w:val="004732C3"/>
    <w:rsid w:val="00473633"/>
    <w:rsid w:val="00474057"/>
    <w:rsid w:val="00474062"/>
    <w:rsid w:val="00474767"/>
    <w:rsid w:val="00476057"/>
    <w:rsid w:val="004776EF"/>
    <w:rsid w:val="00477D6B"/>
    <w:rsid w:val="004801F2"/>
    <w:rsid w:val="004816B3"/>
    <w:rsid w:val="0048171B"/>
    <w:rsid w:val="00482334"/>
    <w:rsid w:val="00482D8C"/>
    <w:rsid w:val="00482DA4"/>
    <w:rsid w:val="00482FCA"/>
    <w:rsid w:val="00483454"/>
    <w:rsid w:val="004837B4"/>
    <w:rsid w:val="004838E8"/>
    <w:rsid w:val="00483B72"/>
    <w:rsid w:val="00483F1A"/>
    <w:rsid w:val="004840CD"/>
    <w:rsid w:val="00484E62"/>
    <w:rsid w:val="004930B6"/>
    <w:rsid w:val="004932FE"/>
    <w:rsid w:val="00494175"/>
    <w:rsid w:val="004944B1"/>
    <w:rsid w:val="00494ACB"/>
    <w:rsid w:val="00495F49"/>
    <w:rsid w:val="00496F70"/>
    <w:rsid w:val="004A0419"/>
    <w:rsid w:val="004A08E4"/>
    <w:rsid w:val="004A1AA9"/>
    <w:rsid w:val="004A4FB4"/>
    <w:rsid w:val="004A5F22"/>
    <w:rsid w:val="004A7607"/>
    <w:rsid w:val="004B0719"/>
    <w:rsid w:val="004B09A6"/>
    <w:rsid w:val="004B123B"/>
    <w:rsid w:val="004B1990"/>
    <w:rsid w:val="004B3812"/>
    <w:rsid w:val="004B4CAA"/>
    <w:rsid w:val="004B56B5"/>
    <w:rsid w:val="004B583E"/>
    <w:rsid w:val="004B5D73"/>
    <w:rsid w:val="004B72D7"/>
    <w:rsid w:val="004B78FC"/>
    <w:rsid w:val="004C0002"/>
    <w:rsid w:val="004C03A1"/>
    <w:rsid w:val="004C137E"/>
    <w:rsid w:val="004C1B51"/>
    <w:rsid w:val="004C2C82"/>
    <w:rsid w:val="004C3C61"/>
    <w:rsid w:val="004C3DF8"/>
    <w:rsid w:val="004C469F"/>
    <w:rsid w:val="004C4C7B"/>
    <w:rsid w:val="004C4DD1"/>
    <w:rsid w:val="004C57FB"/>
    <w:rsid w:val="004C5C34"/>
    <w:rsid w:val="004D032A"/>
    <w:rsid w:val="004D125B"/>
    <w:rsid w:val="004D1BC9"/>
    <w:rsid w:val="004D1F07"/>
    <w:rsid w:val="004D30F4"/>
    <w:rsid w:val="004D3389"/>
    <w:rsid w:val="004D3DFB"/>
    <w:rsid w:val="004D3F2D"/>
    <w:rsid w:val="004D6825"/>
    <w:rsid w:val="004D75BB"/>
    <w:rsid w:val="004E04E9"/>
    <w:rsid w:val="004E0DBC"/>
    <w:rsid w:val="004E1362"/>
    <w:rsid w:val="004E2317"/>
    <w:rsid w:val="004E483B"/>
    <w:rsid w:val="004E4C90"/>
    <w:rsid w:val="004E7025"/>
    <w:rsid w:val="004E7151"/>
    <w:rsid w:val="004E724F"/>
    <w:rsid w:val="004F0A47"/>
    <w:rsid w:val="004F1C85"/>
    <w:rsid w:val="004F26AC"/>
    <w:rsid w:val="004F3178"/>
    <w:rsid w:val="004F4F65"/>
    <w:rsid w:val="004F6652"/>
    <w:rsid w:val="004F7835"/>
    <w:rsid w:val="005005EC"/>
    <w:rsid w:val="00500A7F"/>
    <w:rsid w:val="00501663"/>
    <w:rsid w:val="00503551"/>
    <w:rsid w:val="0050372D"/>
    <w:rsid w:val="00504A41"/>
    <w:rsid w:val="00506497"/>
    <w:rsid w:val="00506B8A"/>
    <w:rsid w:val="00506DC4"/>
    <w:rsid w:val="00507174"/>
    <w:rsid w:val="005108EF"/>
    <w:rsid w:val="00510F03"/>
    <w:rsid w:val="005110D0"/>
    <w:rsid w:val="00512CE5"/>
    <w:rsid w:val="00515D08"/>
    <w:rsid w:val="00516612"/>
    <w:rsid w:val="00517AD8"/>
    <w:rsid w:val="00517C37"/>
    <w:rsid w:val="00520C4B"/>
    <w:rsid w:val="00520D34"/>
    <w:rsid w:val="00521727"/>
    <w:rsid w:val="0052172B"/>
    <w:rsid w:val="00521B90"/>
    <w:rsid w:val="00522646"/>
    <w:rsid w:val="0052456A"/>
    <w:rsid w:val="005249E1"/>
    <w:rsid w:val="00525D70"/>
    <w:rsid w:val="005270AA"/>
    <w:rsid w:val="005277D3"/>
    <w:rsid w:val="00527E4A"/>
    <w:rsid w:val="00530433"/>
    <w:rsid w:val="0053057A"/>
    <w:rsid w:val="005313E2"/>
    <w:rsid w:val="005324D6"/>
    <w:rsid w:val="00532AB4"/>
    <w:rsid w:val="00533B41"/>
    <w:rsid w:val="00534343"/>
    <w:rsid w:val="005343C6"/>
    <w:rsid w:val="005348DE"/>
    <w:rsid w:val="005349BA"/>
    <w:rsid w:val="00534DE0"/>
    <w:rsid w:val="005357AE"/>
    <w:rsid w:val="00537D56"/>
    <w:rsid w:val="00540991"/>
    <w:rsid w:val="00541289"/>
    <w:rsid w:val="00541488"/>
    <w:rsid w:val="005415CC"/>
    <w:rsid w:val="005419C5"/>
    <w:rsid w:val="00542BA0"/>
    <w:rsid w:val="0054309D"/>
    <w:rsid w:val="00543971"/>
    <w:rsid w:val="00544BCC"/>
    <w:rsid w:val="00544ECF"/>
    <w:rsid w:val="00545FD3"/>
    <w:rsid w:val="0054662E"/>
    <w:rsid w:val="00546689"/>
    <w:rsid w:val="005503C0"/>
    <w:rsid w:val="00550B07"/>
    <w:rsid w:val="00550DB3"/>
    <w:rsid w:val="00550E1A"/>
    <w:rsid w:val="00551355"/>
    <w:rsid w:val="005519BB"/>
    <w:rsid w:val="00551D66"/>
    <w:rsid w:val="00552064"/>
    <w:rsid w:val="005520CF"/>
    <w:rsid w:val="00552715"/>
    <w:rsid w:val="00552A4C"/>
    <w:rsid w:val="00552AD7"/>
    <w:rsid w:val="005562A4"/>
    <w:rsid w:val="0055755A"/>
    <w:rsid w:val="00557940"/>
    <w:rsid w:val="00560994"/>
    <w:rsid w:val="00560A29"/>
    <w:rsid w:val="00560ACF"/>
    <w:rsid w:val="0056107A"/>
    <w:rsid w:val="005616FF"/>
    <w:rsid w:val="00563464"/>
    <w:rsid w:val="00565F0F"/>
    <w:rsid w:val="00567077"/>
    <w:rsid w:val="005678E0"/>
    <w:rsid w:val="00567BAE"/>
    <w:rsid w:val="0057104D"/>
    <w:rsid w:val="00572A35"/>
    <w:rsid w:val="00574397"/>
    <w:rsid w:val="00574C6A"/>
    <w:rsid w:val="00574E6B"/>
    <w:rsid w:val="00575E31"/>
    <w:rsid w:val="00576148"/>
    <w:rsid w:val="00576294"/>
    <w:rsid w:val="005764E8"/>
    <w:rsid w:val="00576604"/>
    <w:rsid w:val="00577664"/>
    <w:rsid w:val="00577D86"/>
    <w:rsid w:val="00582123"/>
    <w:rsid w:val="005838FA"/>
    <w:rsid w:val="0058432E"/>
    <w:rsid w:val="00584616"/>
    <w:rsid w:val="00586901"/>
    <w:rsid w:val="00586D01"/>
    <w:rsid w:val="0058758E"/>
    <w:rsid w:val="00587E53"/>
    <w:rsid w:val="00590DB3"/>
    <w:rsid w:val="00591346"/>
    <w:rsid w:val="00592035"/>
    <w:rsid w:val="00593B5F"/>
    <w:rsid w:val="00593EAC"/>
    <w:rsid w:val="00593FA3"/>
    <w:rsid w:val="00594934"/>
    <w:rsid w:val="00594EBD"/>
    <w:rsid w:val="00595696"/>
    <w:rsid w:val="005A0482"/>
    <w:rsid w:val="005A216A"/>
    <w:rsid w:val="005A3457"/>
    <w:rsid w:val="005A4857"/>
    <w:rsid w:val="005A4A62"/>
    <w:rsid w:val="005A5300"/>
    <w:rsid w:val="005A7194"/>
    <w:rsid w:val="005A771A"/>
    <w:rsid w:val="005B0AF2"/>
    <w:rsid w:val="005B3F1D"/>
    <w:rsid w:val="005B5DD3"/>
    <w:rsid w:val="005B6242"/>
    <w:rsid w:val="005B69C2"/>
    <w:rsid w:val="005C054E"/>
    <w:rsid w:val="005C2966"/>
    <w:rsid w:val="005C3589"/>
    <w:rsid w:val="005C40ED"/>
    <w:rsid w:val="005C43A3"/>
    <w:rsid w:val="005C46B8"/>
    <w:rsid w:val="005C5094"/>
    <w:rsid w:val="005C615D"/>
    <w:rsid w:val="005C61DC"/>
    <w:rsid w:val="005C62F6"/>
    <w:rsid w:val="005C6479"/>
    <w:rsid w:val="005D06FF"/>
    <w:rsid w:val="005D1F78"/>
    <w:rsid w:val="005D234A"/>
    <w:rsid w:val="005D335B"/>
    <w:rsid w:val="005D4B09"/>
    <w:rsid w:val="005D4FC1"/>
    <w:rsid w:val="005D5182"/>
    <w:rsid w:val="005D5A4B"/>
    <w:rsid w:val="005D5F6D"/>
    <w:rsid w:val="005D7AB3"/>
    <w:rsid w:val="005E1B75"/>
    <w:rsid w:val="005E1ED5"/>
    <w:rsid w:val="005E309B"/>
    <w:rsid w:val="005E36FD"/>
    <w:rsid w:val="005E4F45"/>
    <w:rsid w:val="005E50BC"/>
    <w:rsid w:val="005E7C1C"/>
    <w:rsid w:val="005F09D7"/>
    <w:rsid w:val="005F0AF1"/>
    <w:rsid w:val="005F0D5E"/>
    <w:rsid w:val="005F1D8D"/>
    <w:rsid w:val="005F1F45"/>
    <w:rsid w:val="005F2482"/>
    <w:rsid w:val="005F49B9"/>
    <w:rsid w:val="005F4BEE"/>
    <w:rsid w:val="005F6362"/>
    <w:rsid w:val="005F6556"/>
    <w:rsid w:val="005F72F5"/>
    <w:rsid w:val="005F7B07"/>
    <w:rsid w:val="00600846"/>
    <w:rsid w:val="006034A7"/>
    <w:rsid w:val="00603D68"/>
    <w:rsid w:val="0060534B"/>
    <w:rsid w:val="00605827"/>
    <w:rsid w:val="00605F02"/>
    <w:rsid w:val="00605FFC"/>
    <w:rsid w:val="00606D2F"/>
    <w:rsid w:val="00606EC6"/>
    <w:rsid w:val="006077E8"/>
    <w:rsid w:val="00611432"/>
    <w:rsid w:val="00612E73"/>
    <w:rsid w:val="0061304B"/>
    <w:rsid w:val="00613607"/>
    <w:rsid w:val="00613A41"/>
    <w:rsid w:val="0061560C"/>
    <w:rsid w:val="00616E8D"/>
    <w:rsid w:val="00617FE8"/>
    <w:rsid w:val="00620B1E"/>
    <w:rsid w:val="00621CFA"/>
    <w:rsid w:val="00623B37"/>
    <w:rsid w:val="00624208"/>
    <w:rsid w:val="006244F9"/>
    <w:rsid w:val="00625D66"/>
    <w:rsid w:val="0063040E"/>
    <w:rsid w:val="006323D2"/>
    <w:rsid w:val="006326F1"/>
    <w:rsid w:val="00632E35"/>
    <w:rsid w:val="006340F0"/>
    <w:rsid w:val="00634A74"/>
    <w:rsid w:val="00635E26"/>
    <w:rsid w:val="0063643E"/>
    <w:rsid w:val="00636ED6"/>
    <w:rsid w:val="006376DC"/>
    <w:rsid w:val="006379C5"/>
    <w:rsid w:val="00637D3F"/>
    <w:rsid w:val="0064051F"/>
    <w:rsid w:val="006411C3"/>
    <w:rsid w:val="00641CCD"/>
    <w:rsid w:val="00642101"/>
    <w:rsid w:val="00642954"/>
    <w:rsid w:val="0064328A"/>
    <w:rsid w:val="00643348"/>
    <w:rsid w:val="00643EA1"/>
    <w:rsid w:val="00644A60"/>
    <w:rsid w:val="00644FFE"/>
    <w:rsid w:val="00645087"/>
    <w:rsid w:val="00646050"/>
    <w:rsid w:val="0064629B"/>
    <w:rsid w:val="00646952"/>
    <w:rsid w:val="00647FF3"/>
    <w:rsid w:val="00650451"/>
    <w:rsid w:val="00650DA9"/>
    <w:rsid w:val="00651353"/>
    <w:rsid w:val="00651ABE"/>
    <w:rsid w:val="00653EC6"/>
    <w:rsid w:val="0065437E"/>
    <w:rsid w:val="006544C3"/>
    <w:rsid w:val="0065451D"/>
    <w:rsid w:val="0065506D"/>
    <w:rsid w:val="006566BF"/>
    <w:rsid w:val="006574C7"/>
    <w:rsid w:val="006579C3"/>
    <w:rsid w:val="0066177F"/>
    <w:rsid w:val="00662F5D"/>
    <w:rsid w:val="006642E9"/>
    <w:rsid w:val="00664BD9"/>
    <w:rsid w:val="00665743"/>
    <w:rsid w:val="0066633F"/>
    <w:rsid w:val="00667500"/>
    <w:rsid w:val="006679CB"/>
    <w:rsid w:val="006713CA"/>
    <w:rsid w:val="006716F7"/>
    <w:rsid w:val="006724DA"/>
    <w:rsid w:val="00674024"/>
    <w:rsid w:val="006743A5"/>
    <w:rsid w:val="0067514C"/>
    <w:rsid w:val="00675967"/>
    <w:rsid w:val="00681C4E"/>
    <w:rsid w:val="006832A4"/>
    <w:rsid w:val="00683390"/>
    <w:rsid w:val="00684475"/>
    <w:rsid w:val="006849CE"/>
    <w:rsid w:val="006853B2"/>
    <w:rsid w:val="00685B60"/>
    <w:rsid w:val="00685D15"/>
    <w:rsid w:val="00685FA1"/>
    <w:rsid w:val="006863D1"/>
    <w:rsid w:val="00687AEE"/>
    <w:rsid w:val="00687C3D"/>
    <w:rsid w:val="006912A4"/>
    <w:rsid w:val="006915DC"/>
    <w:rsid w:val="00693562"/>
    <w:rsid w:val="00693D8C"/>
    <w:rsid w:val="00693DC1"/>
    <w:rsid w:val="006949AC"/>
    <w:rsid w:val="00695000"/>
    <w:rsid w:val="006963EF"/>
    <w:rsid w:val="00696496"/>
    <w:rsid w:val="006966A7"/>
    <w:rsid w:val="00697466"/>
    <w:rsid w:val="006A0B2C"/>
    <w:rsid w:val="006A1311"/>
    <w:rsid w:val="006A1F75"/>
    <w:rsid w:val="006A246E"/>
    <w:rsid w:val="006A3A6E"/>
    <w:rsid w:val="006A40E7"/>
    <w:rsid w:val="006A5C8C"/>
    <w:rsid w:val="006A61DC"/>
    <w:rsid w:val="006A67D9"/>
    <w:rsid w:val="006A742C"/>
    <w:rsid w:val="006A7648"/>
    <w:rsid w:val="006B1274"/>
    <w:rsid w:val="006B2C99"/>
    <w:rsid w:val="006B3ED0"/>
    <w:rsid w:val="006B410B"/>
    <w:rsid w:val="006B4D30"/>
    <w:rsid w:val="006B4EE2"/>
    <w:rsid w:val="006B53D1"/>
    <w:rsid w:val="006B5D55"/>
    <w:rsid w:val="006B7DC7"/>
    <w:rsid w:val="006C030A"/>
    <w:rsid w:val="006C0F94"/>
    <w:rsid w:val="006C1384"/>
    <w:rsid w:val="006C2844"/>
    <w:rsid w:val="006C3A65"/>
    <w:rsid w:val="006C5040"/>
    <w:rsid w:val="006C6908"/>
    <w:rsid w:val="006C6D23"/>
    <w:rsid w:val="006C72FF"/>
    <w:rsid w:val="006C7F08"/>
    <w:rsid w:val="006D0D54"/>
    <w:rsid w:val="006D11F8"/>
    <w:rsid w:val="006D1684"/>
    <w:rsid w:val="006D3BBF"/>
    <w:rsid w:val="006D53AE"/>
    <w:rsid w:val="006D59FA"/>
    <w:rsid w:val="006D5D90"/>
    <w:rsid w:val="006D7F95"/>
    <w:rsid w:val="006E1FD7"/>
    <w:rsid w:val="006E2A25"/>
    <w:rsid w:val="006E2C58"/>
    <w:rsid w:val="006E2F66"/>
    <w:rsid w:val="006E3101"/>
    <w:rsid w:val="006E42B0"/>
    <w:rsid w:val="006E4ECC"/>
    <w:rsid w:val="006E5EC3"/>
    <w:rsid w:val="006F4328"/>
    <w:rsid w:val="006F5F95"/>
    <w:rsid w:val="006F698A"/>
    <w:rsid w:val="006F707E"/>
    <w:rsid w:val="007005BF"/>
    <w:rsid w:val="00702EEB"/>
    <w:rsid w:val="00703369"/>
    <w:rsid w:val="007035A6"/>
    <w:rsid w:val="007041AB"/>
    <w:rsid w:val="007045C2"/>
    <w:rsid w:val="00704653"/>
    <w:rsid w:val="0070665D"/>
    <w:rsid w:val="00707042"/>
    <w:rsid w:val="00707770"/>
    <w:rsid w:val="00707AA7"/>
    <w:rsid w:val="007119B8"/>
    <w:rsid w:val="00711CC1"/>
    <w:rsid w:val="00711DBF"/>
    <w:rsid w:val="00712B76"/>
    <w:rsid w:val="00712C4A"/>
    <w:rsid w:val="0071323C"/>
    <w:rsid w:val="00714B5B"/>
    <w:rsid w:val="00715BB6"/>
    <w:rsid w:val="00715D0A"/>
    <w:rsid w:val="00716077"/>
    <w:rsid w:val="007161EB"/>
    <w:rsid w:val="0071675E"/>
    <w:rsid w:val="007207C2"/>
    <w:rsid w:val="00720AC1"/>
    <w:rsid w:val="007211F8"/>
    <w:rsid w:val="007215A9"/>
    <w:rsid w:val="00721FC9"/>
    <w:rsid w:val="00723217"/>
    <w:rsid w:val="00723E65"/>
    <w:rsid w:val="0072421F"/>
    <w:rsid w:val="00724C0B"/>
    <w:rsid w:val="007255CD"/>
    <w:rsid w:val="0073096E"/>
    <w:rsid w:val="00732475"/>
    <w:rsid w:val="00734DE4"/>
    <w:rsid w:val="00736584"/>
    <w:rsid w:val="00736847"/>
    <w:rsid w:val="00736A6C"/>
    <w:rsid w:val="00737297"/>
    <w:rsid w:val="0073786F"/>
    <w:rsid w:val="00740282"/>
    <w:rsid w:val="00740C01"/>
    <w:rsid w:val="00741C4B"/>
    <w:rsid w:val="00742744"/>
    <w:rsid w:val="00743F20"/>
    <w:rsid w:val="007442DC"/>
    <w:rsid w:val="00745921"/>
    <w:rsid w:val="00745B82"/>
    <w:rsid w:val="00745DC9"/>
    <w:rsid w:val="00746DA8"/>
    <w:rsid w:val="00747718"/>
    <w:rsid w:val="007501B6"/>
    <w:rsid w:val="00750DFF"/>
    <w:rsid w:val="00753240"/>
    <w:rsid w:val="00753677"/>
    <w:rsid w:val="007542A3"/>
    <w:rsid w:val="00755C18"/>
    <w:rsid w:val="007560E4"/>
    <w:rsid w:val="00756CEE"/>
    <w:rsid w:val="00757250"/>
    <w:rsid w:val="00757A60"/>
    <w:rsid w:val="007602C6"/>
    <w:rsid w:val="0076030B"/>
    <w:rsid w:val="00760F70"/>
    <w:rsid w:val="00761A91"/>
    <w:rsid w:val="00763970"/>
    <w:rsid w:val="007639C6"/>
    <w:rsid w:val="0076445F"/>
    <w:rsid w:val="00764A13"/>
    <w:rsid w:val="0076509C"/>
    <w:rsid w:val="00765CB9"/>
    <w:rsid w:val="00766BAF"/>
    <w:rsid w:val="007678BF"/>
    <w:rsid w:val="00770871"/>
    <w:rsid w:val="007727AE"/>
    <w:rsid w:val="007734D9"/>
    <w:rsid w:val="00773B13"/>
    <w:rsid w:val="00774249"/>
    <w:rsid w:val="00777EF1"/>
    <w:rsid w:val="00780F5E"/>
    <w:rsid w:val="00782747"/>
    <w:rsid w:val="007837D9"/>
    <w:rsid w:val="007838E1"/>
    <w:rsid w:val="007840C4"/>
    <w:rsid w:val="00784539"/>
    <w:rsid w:val="00784546"/>
    <w:rsid w:val="007846E8"/>
    <w:rsid w:val="00784E1F"/>
    <w:rsid w:val="00787793"/>
    <w:rsid w:val="00791194"/>
    <w:rsid w:val="00792392"/>
    <w:rsid w:val="00792EDF"/>
    <w:rsid w:val="0079320F"/>
    <w:rsid w:val="00793B61"/>
    <w:rsid w:val="007940D1"/>
    <w:rsid w:val="00794469"/>
    <w:rsid w:val="007948C3"/>
    <w:rsid w:val="00794FF5"/>
    <w:rsid w:val="007974AA"/>
    <w:rsid w:val="007A09A8"/>
    <w:rsid w:val="007A0AE9"/>
    <w:rsid w:val="007A1625"/>
    <w:rsid w:val="007A2E26"/>
    <w:rsid w:val="007A3772"/>
    <w:rsid w:val="007A3C3D"/>
    <w:rsid w:val="007A6144"/>
    <w:rsid w:val="007A7CF0"/>
    <w:rsid w:val="007A7F6D"/>
    <w:rsid w:val="007B0764"/>
    <w:rsid w:val="007B0CA9"/>
    <w:rsid w:val="007B0D02"/>
    <w:rsid w:val="007B1061"/>
    <w:rsid w:val="007B1F6C"/>
    <w:rsid w:val="007B328F"/>
    <w:rsid w:val="007B358E"/>
    <w:rsid w:val="007B5030"/>
    <w:rsid w:val="007B534D"/>
    <w:rsid w:val="007B5CFA"/>
    <w:rsid w:val="007B7711"/>
    <w:rsid w:val="007C102F"/>
    <w:rsid w:val="007C2020"/>
    <w:rsid w:val="007C2717"/>
    <w:rsid w:val="007C2E63"/>
    <w:rsid w:val="007C3660"/>
    <w:rsid w:val="007C3D6C"/>
    <w:rsid w:val="007C63CC"/>
    <w:rsid w:val="007C63DA"/>
    <w:rsid w:val="007C6874"/>
    <w:rsid w:val="007C6E03"/>
    <w:rsid w:val="007C6E7A"/>
    <w:rsid w:val="007C70AE"/>
    <w:rsid w:val="007C7533"/>
    <w:rsid w:val="007C7D10"/>
    <w:rsid w:val="007D0FA2"/>
    <w:rsid w:val="007D1459"/>
    <w:rsid w:val="007D18E5"/>
    <w:rsid w:val="007D36FE"/>
    <w:rsid w:val="007D39C8"/>
    <w:rsid w:val="007D3D0A"/>
    <w:rsid w:val="007D4546"/>
    <w:rsid w:val="007D4896"/>
    <w:rsid w:val="007D6285"/>
    <w:rsid w:val="007D7477"/>
    <w:rsid w:val="007E0F7E"/>
    <w:rsid w:val="007E39FD"/>
    <w:rsid w:val="007E3AB6"/>
    <w:rsid w:val="007E43EA"/>
    <w:rsid w:val="007E5087"/>
    <w:rsid w:val="007E5E6A"/>
    <w:rsid w:val="007F0338"/>
    <w:rsid w:val="007F092A"/>
    <w:rsid w:val="007F1D4E"/>
    <w:rsid w:val="007F2C97"/>
    <w:rsid w:val="007F3BD8"/>
    <w:rsid w:val="007F5A1C"/>
    <w:rsid w:val="007F6807"/>
    <w:rsid w:val="00800629"/>
    <w:rsid w:val="00800F3A"/>
    <w:rsid w:val="008013B3"/>
    <w:rsid w:val="00802054"/>
    <w:rsid w:val="008026DC"/>
    <w:rsid w:val="00802D4D"/>
    <w:rsid w:val="00804072"/>
    <w:rsid w:val="00804422"/>
    <w:rsid w:val="00804613"/>
    <w:rsid w:val="00804CB1"/>
    <w:rsid w:val="00805FE7"/>
    <w:rsid w:val="00810513"/>
    <w:rsid w:val="00812A90"/>
    <w:rsid w:val="00812E51"/>
    <w:rsid w:val="00813C97"/>
    <w:rsid w:val="00815E4A"/>
    <w:rsid w:val="00816A1A"/>
    <w:rsid w:val="00816CEC"/>
    <w:rsid w:val="00820EC9"/>
    <w:rsid w:val="0082295C"/>
    <w:rsid w:val="008264BD"/>
    <w:rsid w:val="008266B6"/>
    <w:rsid w:val="00831B9A"/>
    <w:rsid w:val="00832E6C"/>
    <w:rsid w:val="0083462F"/>
    <w:rsid w:val="00834CC7"/>
    <w:rsid w:val="00835DD3"/>
    <w:rsid w:val="00836AD5"/>
    <w:rsid w:val="00837805"/>
    <w:rsid w:val="00837BE6"/>
    <w:rsid w:val="00837F6B"/>
    <w:rsid w:val="008404A4"/>
    <w:rsid w:val="0084057A"/>
    <w:rsid w:val="008408BD"/>
    <w:rsid w:val="008420F5"/>
    <w:rsid w:val="00842339"/>
    <w:rsid w:val="00844448"/>
    <w:rsid w:val="008445FC"/>
    <w:rsid w:val="00844EA1"/>
    <w:rsid w:val="00846B52"/>
    <w:rsid w:val="008477C3"/>
    <w:rsid w:val="0085248C"/>
    <w:rsid w:val="008525D5"/>
    <w:rsid w:val="00853822"/>
    <w:rsid w:val="008541AC"/>
    <w:rsid w:val="00855139"/>
    <w:rsid w:val="00855297"/>
    <w:rsid w:val="008563C5"/>
    <w:rsid w:val="00857B8E"/>
    <w:rsid w:val="00860613"/>
    <w:rsid w:val="00860A3B"/>
    <w:rsid w:val="008611F1"/>
    <w:rsid w:val="008617B4"/>
    <w:rsid w:val="008618D2"/>
    <w:rsid w:val="00862061"/>
    <w:rsid w:val="00863D8B"/>
    <w:rsid w:val="00863FF4"/>
    <w:rsid w:val="00864331"/>
    <w:rsid w:val="00864ABA"/>
    <w:rsid w:val="008669EA"/>
    <w:rsid w:val="00866AC1"/>
    <w:rsid w:val="008674F5"/>
    <w:rsid w:val="008706AE"/>
    <w:rsid w:val="00872E26"/>
    <w:rsid w:val="00875D59"/>
    <w:rsid w:val="00875EB5"/>
    <w:rsid w:val="00880AF3"/>
    <w:rsid w:val="008823B7"/>
    <w:rsid w:val="0088366A"/>
    <w:rsid w:val="0088366E"/>
    <w:rsid w:val="00883ABE"/>
    <w:rsid w:val="00883CE7"/>
    <w:rsid w:val="00884611"/>
    <w:rsid w:val="00884753"/>
    <w:rsid w:val="0088525C"/>
    <w:rsid w:val="008855C4"/>
    <w:rsid w:val="00887268"/>
    <w:rsid w:val="00887D1B"/>
    <w:rsid w:val="0089089B"/>
    <w:rsid w:val="00891307"/>
    <w:rsid w:val="008917CB"/>
    <w:rsid w:val="00891A26"/>
    <w:rsid w:val="00895429"/>
    <w:rsid w:val="00895DE4"/>
    <w:rsid w:val="0089633D"/>
    <w:rsid w:val="00896510"/>
    <w:rsid w:val="008972AB"/>
    <w:rsid w:val="00897B45"/>
    <w:rsid w:val="00897F5E"/>
    <w:rsid w:val="008A0BC6"/>
    <w:rsid w:val="008A249E"/>
    <w:rsid w:val="008A2E27"/>
    <w:rsid w:val="008A4523"/>
    <w:rsid w:val="008A484A"/>
    <w:rsid w:val="008A48F6"/>
    <w:rsid w:val="008A63CB"/>
    <w:rsid w:val="008A650D"/>
    <w:rsid w:val="008A6775"/>
    <w:rsid w:val="008A6CCB"/>
    <w:rsid w:val="008A6D8A"/>
    <w:rsid w:val="008A6DDC"/>
    <w:rsid w:val="008B0656"/>
    <w:rsid w:val="008B1B9F"/>
    <w:rsid w:val="008B2C01"/>
    <w:rsid w:val="008B2CC1"/>
    <w:rsid w:val="008B2D1A"/>
    <w:rsid w:val="008B31DC"/>
    <w:rsid w:val="008B331E"/>
    <w:rsid w:val="008B3867"/>
    <w:rsid w:val="008B3A80"/>
    <w:rsid w:val="008B5762"/>
    <w:rsid w:val="008B60B2"/>
    <w:rsid w:val="008B62D2"/>
    <w:rsid w:val="008B63EA"/>
    <w:rsid w:val="008B6A56"/>
    <w:rsid w:val="008B77D3"/>
    <w:rsid w:val="008C025D"/>
    <w:rsid w:val="008C049D"/>
    <w:rsid w:val="008C3699"/>
    <w:rsid w:val="008C40D1"/>
    <w:rsid w:val="008C4A8D"/>
    <w:rsid w:val="008C5891"/>
    <w:rsid w:val="008C58DE"/>
    <w:rsid w:val="008C5D87"/>
    <w:rsid w:val="008C5E1B"/>
    <w:rsid w:val="008C7528"/>
    <w:rsid w:val="008D04BD"/>
    <w:rsid w:val="008D1109"/>
    <w:rsid w:val="008D2A96"/>
    <w:rsid w:val="008D536B"/>
    <w:rsid w:val="008D583A"/>
    <w:rsid w:val="008D5F2E"/>
    <w:rsid w:val="008D7018"/>
    <w:rsid w:val="008D7976"/>
    <w:rsid w:val="008D7CE4"/>
    <w:rsid w:val="008E0317"/>
    <w:rsid w:val="008E0B3E"/>
    <w:rsid w:val="008E163E"/>
    <w:rsid w:val="008E1BBB"/>
    <w:rsid w:val="008E220F"/>
    <w:rsid w:val="008E3175"/>
    <w:rsid w:val="008E47AC"/>
    <w:rsid w:val="008E4A19"/>
    <w:rsid w:val="008E4CF8"/>
    <w:rsid w:val="008E4DC2"/>
    <w:rsid w:val="008E4E00"/>
    <w:rsid w:val="008E5080"/>
    <w:rsid w:val="008E5B53"/>
    <w:rsid w:val="008E63F1"/>
    <w:rsid w:val="008E6654"/>
    <w:rsid w:val="008E6A21"/>
    <w:rsid w:val="008E7545"/>
    <w:rsid w:val="008F00C7"/>
    <w:rsid w:val="008F022A"/>
    <w:rsid w:val="008F0990"/>
    <w:rsid w:val="008F1A97"/>
    <w:rsid w:val="008F1FF6"/>
    <w:rsid w:val="008F2997"/>
    <w:rsid w:val="008F31DC"/>
    <w:rsid w:val="008F3FD1"/>
    <w:rsid w:val="008F53BF"/>
    <w:rsid w:val="008F574E"/>
    <w:rsid w:val="008F6654"/>
    <w:rsid w:val="008F6A5E"/>
    <w:rsid w:val="008F7C71"/>
    <w:rsid w:val="008F7F56"/>
    <w:rsid w:val="009007F3"/>
    <w:rsid w:val="00901F46"/>
    <w:rsid w:val="00902A00"/>
    <w:rsid w:val="00902D59"/>
    <w:rsid w:val="009036CE"/>
    <w:rsid w:val="00903BD3"/>
    <w:rsid w:val="00904020"/>
    <w:rsid w:val="00905620"/>
    <w:rsid w:val="00906771"/>
    <w:rsid w:val="00906F3A"/>
    <w:rsid w:val="00907211"/>
    <w:rsid w:val="0090731E"/>
    <w:rsid w:val="00907800"/>
    <w:rsid w:val="00907CC6"/>
    <w:rsid w:val="00907F75"/>
    <w:rsid w:val="0091043A"/>
    <w:rsid w:val="00911BCF"/>
    <w:rsid w:val="00912585"/>
    <w:rsid w:val="009130BD"/>
    <w:rsid w:val="0091339D"/>
    <w:rsid w:val="00913D01"/>
    <w:rsid w:val="00914872"/>
    <w:rsid w:val="009152D5"/>
    <w:rsid w:val="009201EB"/>
    <w:rsid w:val="009211B9"/>
    <w:rsid w:val="00921861"/>
    <w:rsid w:val="00922937"/>
    <w:rsid w:val="00924492"/>
    <w:rsid w:val="00924AF6"/>
    <w:rsid w:val="00925A44"/>
    <w:rsid w:val="00926D8F"/>
    <w:rsid w:val="009271B8"/>
    <w:rsid w:val="00927B22"/>
    <w:rsid w:val="00930A51"/>
    <w:rsid w:val="00932A3C"/>
    <w:rsid w:val="0093362E"/>
    <w:rsid w:val="00933FCA"/>
    <w:rsid w:val="0093486D"/>
    <w:rsid w:val="009354F4"/>
    <w:rsid w:val="00941AC0"/>
    <w:rsid w:val="00941AF3"/>
    <w:rsid w:val="00942B0C"/>
    <w:rsid w:val="00942FE3"/>
    <w:rsid w:val="00943F05"/>
    <w:rsid w:val="00943F15"/>
    <w:rsid w:val="00944B17"/>
    <w:rsid w:val="009451A5"/>
    <w:rsid w:val="00945345"/>
    <w:rsid w:val="00945981"/>
    <w:rsid w:val="00945A6C"/>
    <w:rsid w:val="00946DE0"/>
    <w:rsid w:val="00947909"/>
    <w:rsid w:val="00947B1D"/>
    <w:rsid w:val="00950C2F"/>
    <w:rsid w:val="00952087"/>
    <w:rsid w:val="00953A9F"/>
    <w:rsid w:val="00953D84"/>
    <w:rsid w:val="0095405B"/>
    <w:rsid w:val="00954D92"/>
    <w:rsid w:val="00955559"/>
    <w:rsid w:val="009556FD"/>
    <w:rsid w:val="00956E73"/>
    <w:rsid w:val="00957019"/>
    <w:rsid w:val="0095706E"/>
    <w:rsid w:val="00957C1A"/>
    <w:rsid w:val="00957E13"/>
    <w:rsid w:val="00957F9F"/>
    <w:rsid w:val="00961A63"/>
    <w:rsid w:val="0096234C"/>
    <w:rsid w:val="009655C1"/>
    <w:rsid w:val="00965C2A"/>
    <w:rsid w:val="00966A22"/>
    <w:rsid w:val="0096722F"/>
    <w:rsid w:val="00967BF6"/>
    <w:rsid w:val="00970C94"/>
    <w:rsid w:val="00971FA2"/>
    <w:rsid w:val="0097240C"/>
    <w:rsid w:val="00973D2E"/>
    <w:rsid w:val="009761BC"/>
    <w:rsid w:val="0097646F"/>
    <w:rsid w:val="00976DA5"/>
    <w:rsid w:val="00976DBD"/>
    <w:rsid w:val="00977D01"/>
    <w:rsid w:val="00977FFA"/>
    <w:rsid w:val="009805F7"/>
    <w:rsid w:val="009807F0"/>
    <w:rsid w:val="00980843"/>
    <w:rsid w:val="009808B7"/>
    <w:rsid w:val="00980F83"/>
    <w:rsid w:val="00981611"/>
    <w:rsid w:val="00981FAC"/>
    <w:rsid w:val="00982384"/>
    <w:rsid w:val="009829D7"/>
    <w:rsid w:val="009839D1"/>
    <w:rsid w:val="009839E2"/>
    <w:rsid w:val="00984151"/>
    <w:rsid w:val="009841D0"/>
    <w:rsid w:val="00984A6D"/>
    <w:rsid w:val="00985570"/>
    <w:rsid w:val="00986DD5"/>
    <w:rsid w:val="00987DE5"/>
    <w:rsid w:val="009913DC"/>
    <w:rsid w:val="009913EC"/>
    <w:rsid w:val="009923A2"/>
    <w:rsid w:val="00995550"/>
    <w:rsid w:val="00995810"/>
    <w:rsid w:val="00995C4E"/>
    <w:rsid w:val="009960A7"/>
    <w:rsid w:val="0099722F"/>
    <w:rsid w:val="009A28B2"/>
    <w:rsid w:val="009A2C6A"/>
    <w:rsid w:val="009A31A3"/>
    <w:rsid w:val="009A4BC9"/>
    <w:rsid w:val="009A526F"/>
    <w:rsid w:val="009A57BE"/>
    <w:rsid w:val="009A5C3D"/>
    <w:rsid w:val="009A6868"/>
    <w:rsid w:val="009A6E53"/>
    <w:rsid w:val="009B04F9"/>
    <w:rsid w:val="009B0B15"/>
    <w:rsid w:val="009B1085"/>
    <w:rsid w:val="009B362B"/>
    <w:rsid w:val="009B394B"/>
    <w:rsid w:val="009B434A"/>
    <w:rsid w:val="009B452E"/>
    <w:rsid w:val="009B74DA"/>
    <w:rsid w:val="009B77F6"/>
    <w:rsid w:val="009C00D3"/>
    <w:rsid w:val="009C0BF3"/>
    <w:rsid w:val="009C0F42"/>
    <w:rsid w:val="009C44DE"/>
    <w:rsid w:val="009C4746"/>
    <w:rsid w:val="009C6FA1"/>
    <w:rsid w:val="009C6FFD"/>
    <w:rsid w:val="009C7361"/>
    <w:rsid w:val="009D0416"/>
    <w:rsid w:val="009D04CA"/>
    <w:rsid w:val="009D0FD5"/>
    <w:rsid w:val="009D311C"/>
    <w:rsid w:val="009E0035"/>
    <w:rsid w:val="009E0A28"/>
    <w:rsid w:val="009E0D8E"/>
    <w:rsid w:val="009E1452"/>
    <w:rsid w:val="009E1BBC"/>
    <w:rsid w:val="009E27C1"/>
    <w:rsid w:val="009E28DE"/>
    <w:rsid w:val="009E3F6F"/>
    <w:rsid w:val="009E4DE7"/>
    <w:rsid w:val="009E52E6"/>
    <w:rsid w:val="009E5445"/>
    <w:rsid w:val="009E61F7"/>
    <w:rsid w:val="009E6936"/>
    <w:rsid w:val="009E7034"/>
    <w:rsid w:val="009E7BEA"/>
    <w:rsid w:val="009F1041"/>
    <w:rsid w:val="009F1C58"/>
    <w:rsid w:val="009F2300"/>
    <w:rsid w:val="009F236A"/>
    <w:rsid w:val="009F245A"/>
    <w:rsid w:val="009F295E"/>
    <w:rsid w:val="009F29FF"/>
    <w:rsid w:val="009F33C8"/>
    <w:rsid w:val="009F499F"/>
    <w:rsid w:val="009F49B7"/>
    <w:rsid w:val="009F5052"/>
    <w:rsid w:val="009F5AA6"/>
    <w:rsid w:val="009F7500"/>
    <w:rsid w:val="009F77C3"/>
    <w:rsid w:val="009F7B10"/>
    <w:rsid w:val="00A00720"/>
    <w:rsid w:val="00A0087A"/>
    <w:rsid w:val="00A00DE4"/>
    <w:rsid w:val="00A012E2"/>
    <w:rsid w:val="00A01C6E"/>
    <w:rsid w:val="00A0358F"/>
    <w:rsid w:val="00A04D1F"/>
    <w:rsid w:val="00A052A9"/>
    <w:rsid w:val="00A05C4D"/>
    <w:rsid w:val="00A118EB"/>
    <w:rsid w:val="00A12217"/>
    <w:rsid w:val="00A125BA"/>
    <w:rsid w:val="00A1353F"/>
    <w:rsid w:val="00A140CF"/>
    <w:rsid w:val="00A1412B"/>
    <w:rsid w:val="00A15803"/>
    <w:rsid w:val="00A16C1F"/>
    <w:rsid w:val="00A16F77"/>
    <w:rsid w:val="00A2065D"/>
    <w:rsid w:val="00A20906"/>
    <w:rsid w:val="00A2103B"/>
    <w:rsid w:val="00A2196C"/>
    <w:rsid w:val="00A21E02"/>
    <w:rsid w:val="00A21E9A"/>
    <w:rsid w:val="00A22295"/>
    <w:rsid w:val="00A225A4"/>
    <w:rsid w:val="00A227CF"/>
    <w:rsid w:val="00A26658"/>
    <w:rsid w:val="00A273D9"/>
    <w:rsid w:val="00A3049C"/>
    <w:rsid w:val="00A3111F"/>
    <w:rsid w:val="00A323A5"/>
    <w:rsid w:val="00A32536"/>
    <w:rsid w:val="00A33915"/>
    <w:rsid w:val="00A33C4F"/>
    <w:rsid w:val="00A33E8D"/>
    <w:rsid w:val="00A34A5B"/>
    <w:rsid w:val="00A34C4B"/>
    <w:rsid w:val="00A350B5"/>
    <w:rsid w:val="00A35980"/>
    <w:rsid w:val="00A364AA"/>
    <w:rsid w:val="00A369BB"/>
    <w:rsid w:val="00A37BD9"/>
    <w:rsid w:val="00A40C9A"/>
    <w:rsid w:val="00A40CF8"/>
    <w:rsid w:val="00A412AE"/>
    <w:rsid w:val="00A41A21"/>
    <w:rsid w:val="00A42A41"/>
    <w:rsid w:val="00A42DAF"/>
    <w:rsid w:val="00A43E91"/>
    <w:rsid w:val="00A45BD8"/>
    <w:rsid w:val="00A45FDE"/>
    <w:rsid w:val="00A46359"/>
    <w:rsid w:val="00A52216"/>
    <w:rsid w:val="00A5221D"/>
    <w:rsid w:val="00A52537"/>
    <w:rsid w:val="00A525D7"/>
    <w:rsid w:val="00A52F05"/>
    <w:rsid w:val="00A53220"/>
    <w:rsid w:val="00A55013"/>
    <w:rsid w:val="00A55C30"/>
    <w:rsid w:val="00A56502"/>
    <w:rsid w:val="00A6127A"/>
    <w:rsid w:val="00A616B9"/>
    <w:rsid w:val="00A62008"/>
    <w:rsid w:val="00A6390C"/>
    <w:rsid w:val="00A63C02"/>
    <w:rsid w:val="00A644CC"/>
    <w:rsid w:val="00A64C8D"/>
    <w:rsid w:val="00A64FC8"/>
    <w:rsid w:val="00A66712"/>
    <w:rsid w:val="00A66BF6"/>
    <w:rsid w:val="00A66E25"/>
    <w:rsid w:val="00A66F18"/>
    <w:rsid w:val="00A670CB"/>
    <w:rsid w:val="00A701A4"/>
    <w:rsid w:val="00A718E5"/>
    <w:rsid w:val="00A71DC0"/>
    <w:rsid w:val="00A72399"/>
    <w:rsid w:val="00A72449"/>
    <w:rsid w:val="00A72643"/>
    <w:rsid w:val="00A72A0B"/>
    <w:rsid w:val="00A72DAF"/>
    <w:rsid w:val="00A73732"/>
    <w:rsid w:val="00A7608F"/>
    <w:rsid w:val="00A80599"/>
    <w:rsid w:val="00A81EB5"/>
    <w:rsid w:val="00A8283D"/>
    <w:rsid w:val="00A84E65"/>
    <w:rsid w:val="00A85324"/>
    <w:rsid w:val="00A85834"/>
    <w:rsid w:val="00A91440"/>
    <w:rsid w:val="00A91CFF"/>
    <w:rsid w:val="00A92E22"/>
    <w:rsid w:val="00A92F58"/>
    <w:rsid w:val="00A94117"/>
    <w:rsid w:val="00A96418"/>
    <w:rsid w:val="00A9699F"/>
    <w:rsid w:val="00A9780C"/>
    <w:rsid w:val="00AA0792"/>
    <w:rsid w:val="00AA0B90"/>
    <w:rsid w:val="00AA20EC"/>
    <w:rsid w:val="00AA4ECA"/>
    <w:rsid w:val="00AA6584"/>
    <w:rsid w:val="00AA6773"/>
    <w:rsid w:val="00AA6E5D"/>
    <w:rsid w:val="00AA7185"/>
    <w:rsid w:val="00AA75C2"/>
    <w:rsid w:val="00AB1310"/>
    <w:rsid w:val="00AB1BB7"/>
    <w:rsid w:val="00AB2194"/>
    <w:rsid w:val="00AB253D"/>
    <w:rsid w:val="00AB32D1"/>
    <w:rsid w:val="00AB41E6"/>
    <w:rsid w:val="00AB50FC"/>
    <w:rsid w:val="00AB5283"/>
    <w:rsid w:val="00AB6DAB"/>
    <w:rsid w:val="00AB70B2"/>
    <w:rsid w:val="00AB70B4"/>
    <w:rsid w:val="00AB7521"/>
    <w:rsid w:val="00AC0B85"/>
    <w:rsid w:val="00AC181B"/>
    <w:rsid w:val="00AC205C"/>
    <w:rsid w:val="00AC3C0A"/>
    <w:rsid w:val="00AC3DB2"/>
    <w:rsid w:val="00AC4361"/>
    <w:rsid w:val="00AC4900"/>
    <w:rsid w:val="00AC4A2A"/>
    <w:rsid w:val="00AC62A1"/>
    <w:rsid w:val="00AC76B1"/>
    <w:rsid w:val="00AC7BFF"/>
    <w:rsid w:val="00AD1550"/>
    <w:rsid w:val="00AD15F4"/>
    <w:rsid w:val="00AD2600"/>
    <w:rsid w:val="00AD3FE8"/>
    <w:rsid w:val="00AD62C1"/>
    <w:rsid w:val="00AD7115"/>
    <w:rsid w:val="00AD72CF"/>
    <w:rsid w:val="00AD7608"/>
    <w:rsid w:val="00AE09CE"/>
    <w:rsid w:val="00AE164A"/>
    <w:rsid w:val="00AE1A69"/>
    <w:rsid w:val="00AE1C7E"/>
    <w:rsid w:val="00AE262F"/>
    <w:rsid w:val="00AE2D6C"/>
    <w:rsid w:val="00AE49C5"/>
    <w:rsid w:val="00AE5ABB"/>
    <w:rsid w:val="00AF0B67"/>
    <w:rsid w:val="00AF0DF9"/>
    <w:rsid w:val="00AF1CC6"/>
    <w:rsid w:val="00AF22B5"/>
    <w:rsid w:val="00AF2A9F"/>
    <w:rsid w:val="00AF3406"/>
    <w:rsid w:val="00AF37BB"/>
    <w:rsid w:val="00AF388D"/>
    <w:rsid w:val="00AF445F"/>
    <w:rsid w:val="00AF4E14"/>
    <w:rsid w:val="00AF5776"/>
    <w:rsid w:val="00AF5A4C"/>
    <w:rsid w:val="00AF64D7"/>
    <w:rsid w:val="00B000A4"/>
    <w:rsid w:val="00B00D8D"/>
    <w:rsid w:val="00B00DD7"/>
    <w:rsid w:val="00B04ABB"/>
    <w:rsid w:val="00B05678"/>
    <w:rsid w:val="00B05A69"/>
    <w:rsid w:val="00B06891"/>
    <w:rsid w:val="00B07B68"/>
    <w:rsid w:val="00B1018D"/>
    <w:rsid w:val="00B10776"/>
    <w:rsid w:val="00B10DFA"/>
    <w:rsid w:val="00B122FA"/>
    <w:rsid w:val="00B126D6"/>
    <w:rsid w:val="00B12839"/>
    <w:rsid w:val="00B134A9"/>
    <w:rsid w:val="00B13710"/>
    <w:rsid w:val="00B14118"/>
    <w:rsid w:val="00B14CD3"/>
    <w:rsid w:val="00B150AB"/>
    <w:rsid w:val="00B154C0"/>
    <w:rsid w:val="00B1590A"/>
    <w:rsid w:val="00B1597B"/>
    <w:rsid w:val="00B1674F"/>
    <w:rsid w:val="00B1744B"/>
    <w:rsid w:val="00B2130A"/>
    <w:rsid w:val="00B22456"/>
    <w:rsid w:val="00B22C92"/>
    <w:rsid w:val="00B230D4"/>
    <w:rsid w:val="00B238E8"/>
    <w:rsid w:val="00B23AF5"/>
    <w:rsid w:val="00B246C5"/>
    <w:rsid w:val="00B256F1"/>
    <w:rsid w:val="00B25A49"/>
    <w:rsid w:val="00B26191"/>
    <w:rsid w:val="00B321B2"/>
    <w:rsid w:val="00B32D18"/>
    <w:rsid w:val="00B33505"/>
    <w:rsid w:val="00B338A8"/>
    <w:rsid w:val="00B33D19"/>
    <w:rsid w:val="00B3405A"/>
    <w:rsid w:val="00B349F2"/>
    <w:rsid w:val="00B34A3F"/>
    <w:rsid w:val="00B3587A"/>
    <w:rsid w:val="00B35E9A"/>
    <w:rsid w:val="00B364D2"/>
    <w:rsid w:val="00B374B7"/>
    <w:rsid w:val="00B42407"/>
    <w:rsid w:val="00B427AB"/>
    <w:rsid w:val="00B43716"/>
    <w:rsid w:val="00B45F13"/>
    <w:rsid w:val="00B46433"/>
    <w:rsid w:val="00B46A16"/>
    <w:rsid w:val="00B471CE"/>
    <w:rsid w:val="00B479F1"/>
    <w:rsid w:val="00B515CB"/>
    <w:rsid w:val="00B534E9"/>
    <w:rsid w:val="00B5441A"/>
    <w:rsid w:val="00B5476E"/>
    <w:rsid w:val="00B618E5"/>
    <w:rsid w:val="00B61B7A"/>
    <w:rsid w:val="00B638ED"/>
    <w:rsid w:val="00B63F1D"/>
    <w:rsid w:val="00B64190"/>
    <w:rsid w:val="00B660D1"/>
    <w:rsid w:val="00B66245"/>
    <w:rsid w:val="00B6770B"/>
    <w:rsid w:val="00B704D5"/>
    <w:rsid w:val="00B72B70"/>
    <w:rsid w:val="00B72D7F"/>
    <w:rsid w:val="00B73A69"/>
    <w:rsid w:val="00B742DE"/>
    <w:rsid w:val="00B742F5"/>
    <w:rsid w:val="00B747CA"/>
    <w:rsid w:val="00B74CC7"/>
    <w:rsid w:val="00B74DDA"/>
    <w:rsid w:val="00B75480"/>
    <w:rsid w:val="00B76C04"/>
    <w:rsid w:val="00B76CFA"/>
    <w:rsid w:val="00B77077"/>
    <w:rsid w:val="00B77475"/>
    <w:rsid w:val="00B8039F"/>
    <w:rsid w:val="00B80698"/>
    <w:rsid w:val="00B80AAE"/>
    <w:rsid w:val="00B80C44"/>
    <w:rsid w:val="00B82A11"/>
    <w:rsid w:val="00B82B85"/>
    <w:rsid w:val="00B83938"/>
    <w:rsid w:val="00B84BEA"/>
    <w:rsid w:val="00B84CBB"/>
    <w:rsid w:val="00B85535"/>
    <w:rsid w:val="00B85AFC"/>
    <w:rsid w:val="00B905E4"/>
    <w:rsid w:val="00B91F74"/>
    <w:rsid w:val="00B9210B"/>
    <w:rsid w:val="00B936F6"/>
    <w:rsid w:val="00B940C5"/>
    <w:rsid w:val="00B95060"/>
    <w:rsid w:val="00B95327"/>
    <w:rsid w:val="00B95F4E"/>
    <w:rsid w:val="00B975A9"/>
    <w:rsid w:val="00BA0CE6"/>
    <w:rsid w:val="00BA1538"/>
    <w:rsid w:val="00BA4DEC"/>
    <w:rsid w:val="00BA4FC6"/>
    <w:rsid w:val="00BA5828"/>
    <w:rsid w:val="00BA58A6"/>
    <w:rsid w:val="00BA612A"/>
    <w:rsid w:val="00BA66ED"/>
    <w:rsid w:val="00BA6C4F"/>
    <w:rsid w:val="00BB0B56"/>
    <w:rsid w:val="00BB0F8B"/>
    <w:rsid w:val="00BB0F9C"/>
    <w:rsid w:val="00BB1550"/>
    <w:rsid w:val="00BB1BB9"/>
    <w:rsid w:val="00BB1CBC"/>
    <w:rsid w:val="00BB2065"/>
    <w:rsid w:val="00BB3749"/>
    <w:rsid w:val="00BB455E"/>
    <w:rsid w:val="00BB5732"/>
    <w:rsid w:val="00BB59CD"/>
    <w:rsid w:val="00BB72A5"/>
    <w:rsid w:val="00BB7F5A"/>
    <w:rsid w:val="00BB7FB0"/>
    <w:rsid w:val="00BC0A29"/>
    <w:rsid w:val="00BC23BF"/>
    <w:rsid w:val="00BC25E2"/>
    <w:rsid w:val="00BC3971"/>
    <w:rsid w:val="00BC4108"/>
    <w:rsid w:val="00BC5FC4"/>
    <w:rsid w:val="00BC621A"/>
    <w:rsid w:val="00BC687E"/>
    <w:rsid w:val="00BC693C"/>
    <w:rsid w:val="00BC761B"/>
    <w:rsid w:val="00BC7CF2"/>
    <w:rsid w:val="00BD0351"/>
    <w:rsid w:val="00BD05E2"/>
    <w:rsid w:val="00BD13F2"/>
    <w:rsid w:val="00BD2197"/>
    <w:rsid w:val="00BD2965"/>
    <w:rsid w:val="00BD2A78"/>
    <w:rsid w:val="00BD2E3E"/>
    <w:rsid w:val="00BD3952"/>
    <w:rsid w:val="00BD5532"/>
    <w:rsid w:val="00BD6542"/>
    <w:rsid w:val="00BD7C47"/>
    <w:rsid w:val="00BE034A"/>
    <w:rsid w:val="00BE0716"/>
    <w:rsid w:val="00BE0900"/>
    <w:rsid w:val="00BE0BF8"/>
    <w:rsid w:val="00BE1B67"/>
    <w:rsid w:val="00BE1D39"/>
    <w:rsid w:val="00BE27E8"/>
    <w:rsid w:val="00BE2EF2"/>
    <w:rsid w:val="00BE2F04"/>
    <w:rsid w:val="00BE36FA"/>
    <w:rsid w:val="00BE48C9"/>
    <w:rsid w:val="00BE4C11"/>
    <w:rsid w:val="00BE51D8"/>
    <w:rsid w:val="00BE5CCC"/>
    <w:rsid w:val="00BE6742"/>
    <w:rsid w:val="00BE6776"/>
    <w:rsid w:val="00BE703F"/>
    <w:rsid w:val="00BE7B3E"/>
    <w:rsid w:val="00BF2952"/>
    <w:rsid w:val="00BF2EE7"/>
    <w:rsid w:val="00BF388B"/>
    <w:rsid w:val="00BF5A04"/>
    <w:rsid w:val="00BF6049"/>
    <w:rsid w:val="00BF6B6D"/>
    <w:rsid w:val="00BF7278"/>
    <w:rsid w:val="00BF7A0A"/>
    <w:rsid w:val="00C00016"/>
    <w:rsid w:val="00C0097B"/>
    <w:rsid w:val="00C0155E"/>
    <w:rsid w:val="00C01AF6"/>
    <w:rsid w:val="00C02616"/>
    <w:rsid w:val="00C0262E"/>
    <w:rsid w:val="00C04998"/>
    <w:rsid w:val="00C056D3"/>
    <w:rsid w:val="00C05AE1"/>
    <w:rsid w:val="00C06CB8"/>
    <w:rsid w:val="00C07418"/>
    <w:rsid w:val="00C0779E"/>
    <w:rsid w:val="00C07A27"/>
    <w:rsid w:val="00C10098"/>
    <w:rsid w:val="00C106D5"/>
    <w:rsid w:val="00C10AD3"/>
    <w:rsid w:val="00C11A6D"/>
    <w:rsid w:val="00C11BFE"/>
    <w:rsid w:val="00C11C9A"/>
    <w:rsid w:val="00C1334B"/>
    <w:rsid w:val="00C13E27"/>
    <w:rsid w:val="00C14F7A"/>
    <w:rsid w:val="00C172B8"/>
    <w:rsid w:val="00C21BAE"/>
    <w:rsid w:val="00C21F01"/>
    <w:rsid w:val="00C224E0"/>
    <w:rsid w:val="00C22FA4"/>
    <w:rsid w:val="00C23951"/>
    <w:rsid w:val="00C23E4F"/>
    <w:rsid w:val="00C247A3"/>
    <w:rsid w:val="00C24A49"/>
    <w:rsid w:val="00C25CA0"/>
    <w:rsid w:val="00C26B1D"/>
    <w:rsid w:val="00C2702B"/>
    <w:rsid w:val="00C303D9"/>
    <w:rsid w:val="00C31F28"/>
    <w:rsid w:val="00C325FE"/>
    <w:rsid w:val="00C33754"/>
    <w:rsid w:val="00C348EE"/>
    <w:rsid w:val="00C36409"/>
    <w:rsid w:val="00C36BAB"/>
    <w:rsid w:val="00C3737B"/>
    <w:rsid w:val="00C376DE"/>
    <w:rsid w:val="00C41F8B"/>
    <w:rsid w:val="00C428DE"/>
    <w:rsid w:val="00C42F03"/>
    <w:rsid w:val="00C42F28"/>
    <w:rsid w:val="00C43C67"/>
    <w:rsid w:val="00C43FF8"/>
    <w:rsid w:val="00C44910"/>
    <w:rsid w:val="00C47157"/>
    <w:rsid w:val="00C47732"/>
    <w:rsid w:val="00C47CDB"/>
    <w:rsid w:val="00C50021"/>
    <w:rsid w:val="00C51100"/>
    <w:rsid w:val="00C556CF"/>
    <w:rsid w:val="00C56421"/>
    <w:rsid w:val="00C564D3"/>
    <w:rsid w:val="00C565BA"/>
    <w:rsid w:val="00C56808"/>
    <w:rsid w:val="00C576F7"/>
    <w:rsid w:val="00C606E5"/>
    <w:rsid w:val="00C607FD"/>
    <w:rsid w:val="00C61492"/>
    <w:rsid w:val="00C6397B"/>
    <w:rsid w:val="00C65D8E"/>
    <w:rsid w:val="00C67D18"/>
    <w:rsid w:val="00C70542"/>
    <w:rsid w:val="00C7141E"/>
    <w:rsid w:val="00C71E49"/>
    <w:rsid w:val="00C73BA7"/>
    <w:rsid w:val="00C74345"/>
    <w:rsid w:val="00C746E2"/>
    <w:rsid w:val="00C74C15"/>
    <w:rsid w:val="00C758E0"/>
    <w:rsid w:val="00C75FAD"/>
    <w:rsid w:val="00C76041"/>
    <w:rsid w:val="00C77D48"/>
    <w:rsid w:val="00C819BF"/>
    <w:rsid w:val="00C826A4"/>
    <w:rsid w:val="00C828A9"/>
    <w:rsid w:val="00C82C76"/>
    <w:rsid w:val="00C83D9E"/>
    <w:rsid w:val="00C83F1C"/>
    <w:rsid w:val="00C84FA1"/>
    <w:rsid w:val="00C854EB"/>
    <w:rsid w:val="00C855DF"/>
    <w:rsid w:val="00C86A11"/>
    <w:rsid w:val="00C8739F"/>
    <w:rsid w:val="00C91437"/>
    <w:rsid w:val="00C917FF"/>
    <w:rsid w:val="00C9292B"/>
    <w:rsid w:val="00C93E74"/>
    <w:rsid w:val="00C941A6"/>
    <w:rsid w:val="00C9510C"/>
    <w:rsid w:val="00C95D68"/>
    <w:rsid w:val="00C96A7E"/>
    <w:rsid w:val="00C97327"/>
    <w:rsid w:val="00C976B4"/>
    <w:rsid w:val="00C97EAD"/>
    <w:rsid w:val="00CA1D86"/>
    <w:rsid w:val="00CA2BB0"/>
    <w:rsid w:val="00CA2D57"/>
    <w:rsid w:val="00CA361C"/>
    <w:rsid w:val="00CA38F7"/>
    <w:rsid w:val="00CA3AA3"/>
    <w:rsid w:val="00CA588B"/>
    <w:rsid w:val="00CB0CA2"/>
    <w:rsid w:val="00CB2A1B"/>
    <w:rsid w:val="00CB4405"/>
    <w:rsid w:val="00CB4FEB"/>
    <w:rsid w:val="00CB5D85"/>
    <w:rsid w:val="00CB68BF"/>
    <w:rsid w:val="00CB7600"/>
    <w:rsid w:val="00CB7C8D"/>
    <w:rsid w:val="00CB7E37"/>
    <w:rsid w:val="00CC33B4"/>
    <w:rsid w:val="00CC4D49"/>
    <w:rsid w:val="00CC539C"/>
    <w:rsid w:val="00CC7C78"/>
    <w:rsid w:val="00CD0D17"/>
    <w:rsid w:val="00CD108B"/>
    <w:rsid w:val="00CD1176"/>
    <w:rsid w:val="00CD18D8"/>
    <w:rsid w:val="00CD42EC"/>
    <w:rsid w:val="00CD434E"/>
    <w:rsid w:val="00CD43F7"/>
    <w:rsid w:val="00CD4A54"/>
    <w:rsid w:val="00CD4B59"/>
    <w:rsid w:val="00CD5447"/>
    <w:rsid w:val="00CE284E"/>
    <w:rsid w:val="00CE34D9"/>
    <w:rsid w:val="00CE3E76"/>
    <w:rsid w:val="00CE451F"/>
    <w:rsid w:val="00CE45E8"/>
    <w:rsid w:val="00CE58FF"/>
    <w:rsid w:val="00CE76ED"/>
    <w:rsid w:val="00CE7F84"/>
    <w:rsid w:val="00CE7FBB"/>
    <w:rsid w:val="00CF0578"/>
    <w:rsid w:val="00CF0B51"/>
    <w:rsid w:val="00CF11CE"/>
    <w:rsid w:val="00CF1457"/>
    <w:rsid w:val="00CF1519"/>
    <w:rsid w:val="00CF1A0E"/>
    <w:rsid w:val="00CF2672"/>
    <w:rsid w:val="00CF2A72"/>
    <w:rsid w:val="00CF2E58"/>
    <w:rsid w:val="00CF2F91"/>
    <w:rsid w:val="00CF37D5"/>
    <w:rsid w:val="00CF50A6"/>
    <w:rsid w:val="00CF60B4"/>
    <w:rsid w:val="00CF6CBB"/>
    <w:rsid w:val="00CF7B5C"/>
    <w:rsid w:val="00D00122"/>
    <w:rsid w:val="00D008F8"/>
    <w:rsid w:val="00D00FAE"/>
    <w:rsid w:val="00D02FAD"/>
    <w:rsid w:val="00D037A5"/>
    <w:rsid w:val="00D043EA"/>
    <w:rsid w:val="00D05111"/>
    <w:rsid w:val="00D066A0"/>
    <w:rsid w:val="00D06882"/>
    <w:rsid w:val="00D06BDD"/>
    <w:rsid w:val="00D100CE"/>
    <w:rsid w:val="00D12E7C"/>
    <w:rsid w:val="00D12ED0"/>
    <w:rsid w:val="00D130B6"/>
    <w:rsid w:val="00D1315D"/>
    <w:rsid w:val="00D1317C"/>
    <w:rsid w:val="00D131DF"/>
    <w:rsid w:val="00D1371F"/>
    <w:rsid w:val="00D14040"/>
    <w:rsid w:val="00D14D25"/>
    <w:rsid w:val="00D17D8E"/>
    <w:rsid w:val="00D202CC"/>
    <w:rsid w:val="00D20F9E"/>
    <w:rsid w:val="00D21CB8"/>
    <w:rsid w:val="00D258CA"/>
    <w:rsid w:val="00D262A4"/>
    <w:rsid w:val="00D2712A"/>
    <w:rsid w:val="00D27439"/>
    <w:rsid w:val="00D276B6"/>
    <w:rsid w:val="00D306B1"/>
    <w:rsid w:val="00D30709"/>
    <w:rsid w:val="00D32EAD"/>
    <w:rsid w:val="00D33922"/>
    <w:rsid w:val="00D3700B"/>
    <w:rsid w:val="00D373F3"/>
    <w:rsid w:val="00D40452"/>
    <w:rsid w:val="00D40FD4"/>
    <w:rsid w:val="00D41C5C"/>
    <w:rsid w:val="00D423B0"/>
    <w:rsid w:val="00D427C5"/>
    <w:rsid w:val="00D42A9F"/>
    <w:rsid w:val="00D42E6B"/>
    <w:rsid w:val="00D4344E"/>
    <w:rsid w:val="00D43BD1"/>
    <w:rsid w:val="00D44D11"/>
    <w:rsid w:val="00D45252"/>
    <w:rsid w:val="00D4637D"/>
    <w:rsid w:val="00D465F3"/>
    <w:rsid w:val="00D47BD2"/>
    <w:rsid w:val="00D50E2F"/>
    <w:rsid w:val="00D51E34"/>
    <w:rsid w:val="00D5296D"/>
    <w:rsid w:val="00D52C39"/>
    <w:rsid w:val="00D52EE6"/>
    <w:rsid w:val="00D53B85"/>
    <w:rsid w:val="00D54FF0"/>
    <w:rsid w:val="00D5532D"/>
    <w:rsid w:val="00D55598"/>
    <w:rsid w:val="00D6021D"/>
    <w:rsid w:val="00D610E0"/>
    <w:rsid w:val="00D6144C"/>
    <w:rsid w:val="00D62B30"/>
    <w:rsid w:val="00D634EC"/>
    <w:rsid w:val="00D64826"/>
    <w:rsid w:val="00D66077"/>
    <w:rsid w:val="00D668EB"/>
    <w:rsid w:val="00D67512"/>
    <w:rsid w:val="00D67C94"/>
    <w:rsid w:val="00D703FA"/>
    <w:rsid w:val="00D71B4D"/>
    <w:rsid w:val="00D71B7F"/>
    <w:rsid w:val="00D72033"/>
    <w:rsid w:val="00D72554"/>
    <w:rsid w:val="00D73040"/>
    <w:rsid w:val="00D74FD4"/>
    <w:rsid w:val="00D75276"/>
    <w:rsid w:val="00D75E08"/>
    <w:rsid w:val="00D762EE"/>
    <w:rsid w:val="00D76E96"/>
    <w:rsid w:val="00D771F3"/>
    <w:rsid w:val="00D77B1D"/>
    <w:rsid w:val="00D815D5"/>
    <w:rsid w:val="00D81B7F"/>
    <w:rsid w:val="00D82B4D"/>
    <w:rsid w:val="00D83080"/>
    <w:rsid w:val="00D836EB"/>
    <w:rsid w:val="00D8447E"/>
    <w:rsid w:val="00D84B33"/>
    <w:rsid w:val="00D868B5"/>
    <w:rsid w:val="00D87200"/>
    <w:rsid w:val="00D87D47"/>
    <w:rsid w:val="00D90559"/>
    <w:rsid w:val="00D90E57"/>
    <w:rsid w:val="00D92BBB"/>
    <w:rsid w:val="00D92E13"/>
    <w:rsid w:val="00D93D55"/>
    <w:rsid w:val="00D9467C"/>
    <w:rsid w:val="00D95D83"/>
    <w:rsid w:val="00D966DB"/>
    <w:rsid w:val="00DA0A78"/>
    <w:rsid w:val="00DA1341"/>
    <w:rsid w:val="00DA1A22"/>
    <w:rsid w:val="00DA2D42"/>
    <w:rsid w:val="00DA2DBB"/>
    <w:rsid w:val="00DA30A3"/>
    <w:rsid w:val="00DA4261"/>
    <w:rsid w:val="00DA4D2D"/>
    <w:rsid w:val="00DA578D"/>
    <w:rsid w:val="00DA5868"/>
    <w:rsid w:val="00DA671B"/>
    <w:rsid w:val="00DA6FC3"/>
    <w:rsid w:val="00DB1C89"/>
    <w:rsid w:val="00DB2072"/>
    <w:rsid w:val="00DB356D"/>
    <w:rsid w:val="00DB5C09"/>
    <w:rsid w:val="00DC0BED"/>
    <w:rsid w:val="00DC3773"/>
    <w:rsid w:val="00DC3A98"/>
    <w:rsid w:val="00DC3D52"/>
    <w:rsid w:val="00DC3F91"/>
    <w:rsid w:val="00DC3FA6"/>
    <w:rsid w:val="00DC4C5B"/>
    <w:rsid w:val="00DC625A"/>
    <w:rsid w:val="00DC71B0"/>
    <w:rsid w:val="00DD0DA0"/>
    <w:rsid w:val="00DD0FD2"/>
    <w:rsid w:val="00DD165C"/>
    <w:rsid w:val="00DD19F4"/>
    <w:rsid w:val="00DD39E9"/>
    <w:rsid w:val="00DD50C3"/>
    <w:rsid w:val="00DD61A5"/>
    <w:rsid w:val="00DD6735"/>
    <w:rsid w:val="00DD6D04"/>
    <w:rsid w:val="00DD7478"/>
    <w:rsid w:val="00DD7823"/>
    <w:rsid w:val="00DD7BC5"/>
    <w:rsid w:val="00DE08AD"/>
    <w:rsid w:val="00DE1344"/>
    <w:rsid w:val="00DE1DFB"/>
    <w:rsid w:val="00DE2F90"/>
    <w:rsid w:val="00DE3574"/>
    <w:rsid w:val="00DE360C"/>
    <w:rsid w:val="00DE3B0C"/>
    <w:rsid w:val="00DE46F8"/>
    <w:rsid w:val="00DE51E5"/>
    <w:rsid w:val="00DE5A29"/>
    <w:rsid w:val="00DE5D17"/>
    <w:rsid w:val="00DE679C"/>
    <w:rsid w:val="00DF074B"/>
    <w:rsid w:val="00DF1BC8"/>
    <w:rsid w:val="00DF2C6D"/>
    <w:rsid w:val="00DF3B6E"/>
    <w:rsid w:val="00DF3D66"/>
    <w:rsid w:val="00DF3FAB"/>
    <w:rsid w:val="00DF4E4D"/>
    <w:rsid w:val="00DF5C1B"/>
    <w:rsid w:val="00DF79B9"/>
    <w:rsid w:val="00DF79F4"/>
    <w:rsid w:val="00E01618"/>
    <w:rsid w:val="00E01A8F"/>
    <w:rsid w:val="00E04C42"/>
    <w:rsid w:val="00E05379"/>
    <w:rsid w:val="00E0556A"/>
    <w:rsid w:val="00E07E4D"/>
    <w:rsid w:val="00E107E2"/>
    <w:rsid w:val="00E12482"/>
    <w:rsid w:val="00E13349"/>
    <w:rsid w:val="00E137BF"/>
    <w:rsid w:val="00E13A1F"/>
    <w:rsid w:val="00E1479E"/>
    <w:rsid w:val="00E14B3E"/>
    <w:rsid w:val="00E14DAB"/>
    <w:rsid w:val="00E150D3"/>
    <w:rsid w:val="00E1541D"/>
    <w:rsid w:val="00E1604C"/>
    <w:rsid w:val="00E164A4"/>
    <w:rsid w:val="00E170A3"/>
    <w:rsid w:val="00E20F1F"/>
    <w:rsid w:val="00E215F7"/>
    <w:rsid w:val="00E22849"/>
    <w:rsid w:val="00E2349A"/>
    <w:rsid w:val="00E2372C"/>
    <w:rsid w:val="00E24058"/>
    <w:rsid w:val="00E25B61"/>
    <w:rsid w:val="00E264A1"/>
    <w:rsid w:val="00E2667A"/>
    <w:rsid w:val="00E27E63"/>
    <w:rsid w:val="00E31F4D"/>
    <w:rsid w:val="00E33462"/>
    <w:rsid w:val="00E335FE"/>
    <w:rsid w:val="00E339C2"/>
    <w:rsid w:val="00E33A56"/>
    <w:rsid w:val="00E33B9D"/>
    <w:rsid w:val="00E344C8"/>
    <w:rsid w:val="00E3455A"/>
    <w:rsid w:val="00E35C17"/>
    <w:rsid w:val="00E361A8"/>
    <w:rsid w:val="00E36255"/>
    <w:rsid w:val="00E36B4B"/>
    <w:rsid w:val="00E379D4"/>
    <w:rsid w:val="00E37A9C"/>
    <w:rsid w:val="00E40463"/>
    <w:rsid w:val="00E40880"/>
    <w:rsid w:val="00E409FD"/>
    <w:rsid w:val="00E41048"/>
    <w:rsid w:val="00E4393E"/>
    <w:rsid w:val="00E43A6D"/>
    <w:rsid w:val="00E43C22"/>
    <w:rsid w:val="00E4556B"/>
    <w:rsid w:val="00E457F5"/>
    <w:rsid w:val="00E4607F"/>
    <w:rsid w:val="00E46608"/>
    <w:rsid w:val="00E47E75"/>
    <w:rsid w:val="00E50100"/>
    <w:rsid w:val="00E50819"/>
    <w:rsid w:val="00E51949"/>
    <w:rsid w:val="00E51E3C"/>
    <w:rsid w:val="00E546B4"/>
    <w:rsid w:val="00E556EE"/>
    <w:rsid w:val="00E55ACA"/>
    <w:rsid w:val="00E55B74"/>
    <w:rsid w:val="00E56E3E"/>
    <w:rsid w:val="00E61C0A"/>
    <w:rsid w:val="00E63CAD"/>
    <w:rsid w:val="00E65FCF"/>
    <w:rsid w:val="00E66557"/>
    <w:rsid w:val="00E66C76"/>
    <w:rsid w:val="00E66F59"/>
    <w:rsid w:val="00E706C2"/>
    <w:rsid w:val="00E70EDF"/>
    <w:rsid w:val="00E71155"/>
    <w:rsid w:val="00E72637"/>
    <w:rsid w:val="00E76472"/>
    <w:rsid w:val="00E8086A"/>
    <w:rsid w:val="00E80DFC"/>
    <w:rsid w:val="00E81D2D"/>
    <w:rsid w:val="00E81DFF"/>
    <w:rsid w:val="00E83173"/>
    <w:rsid w:val="00E832D7"/>
    <w:rsid w:val="00E8441E"/>
    <w:rsid w:val="00E872FA"/>
    <w:rsid w:val="00E903AC"/>
    <w:rsid w:val="00E904A8"/>
    <w:rsid w:val="00E906F1"/>
    <w:rsid w:val="00E9179D"/>
    <w:rsid w:val="00E91A1B"/>
    <w:rsid w:val="00E92155"/>
    <w:rsid w:val="00E93371"/>
    <w:rsid w:val="00E938E9"/>
    <w:rsid w:val="00E964C4"/>
    <w:rsid w:val="00E966B9"/>
    <w:rsid w:val="00E97385"/>
    <w:rsid w:val="00E9766F"/>
    <w:rsid w:val="00EA0257"/>
    <w:rsid w:val="00EA0EC2"/>
    <w:rsid w:val="00EA16C5"/>
    <w:rsid w:val="00EA2933"/>
    <w:rsid w:val="00EA2A04"/>
    <w:rsid w:val="00EA2DC5"/>
    <w:rsid w:val="00EA3EF3"/>
    <w:rsid w:val="00EA5D29"/>
    <w:rsid w:val="00EA5EDB"/>
    <w:rsid w:val="00EA60F8"/>
    <w:rsid w:val="00EA6BF8"/>
    <w:rsid w:val="00EB21D2"/>
    <w:rsid w:val="00EB2C3E"/>
    <w:rsid w:val="00EB2EF2"/>
    <w:rsid w:val="00EB52A4"/>
    <w:rsid w:val="00EB5F16"/>
    <w:rsid w:val="00EB5FD2"/>
    <w:rsid w:val="00EB6746"/>
    <w:rsid w:val="00EB6D76"/>
    <w:rsid w:val="00EC06F6"/>
    <w:rsid w:val="00EC29C4"/>
    <w:rsid w:val="00EC47D9"/>
    <w:rsid w:val="00EC4D41"/>
    <w:rsid w:val="00EC4E49"/>
    <w:rsid w:val="00EC5D67"/>
    <w:rsid w:val="00EC5E40"/>
    <w:rsid w:val="00EC7A45"/>
    <w:rsid w:val="00EC7A73"/>
    <w:rsid w:val="00EC7D75"/>
    <w:rsid w:val="00EC7F61"/>
    <w:rsid w:val="00ED0805"/>
    <w:rsid w:val="00ED0AEC"/>
    <w:rsid w:val="00ED297E"/>
    <w:rsid w:val="00ED30F6"/>
    <w:rsid w:val="00ED4EEA"/>
    <w:rsid w:val="00ED5241"/>
    <w:rsid w:val="00ED6066"/>
    <w:rsid w:val="00ED67F6"/>
    <w:rsid w:val="00ED6834"/>
    <w:rsid w:val="00ED77FB"/>
    <w:rsid w:val="00EE0229"/>
    <w:rsid w:val="00EE0A10"/>
    <w:rsid w:val="00EE26D3"/>
    <w:rsid w:val="00EE2963"/>
    <w:rsid w:val="00EE2CC4"/>
    <w:rsid w:val="00EE2E2A"/>
    <w:rsid w:val="00EE3D0F"/>
    <w:rsid w:val="00EE4155"/>
    <w:rsid w:val="00EE6020"/>
    <w:rsid w:val="00EE7D5C"/>
    <w:rsid w:val="00EF0331"/>
    <w:rsid w:val="00EF18E4"/>
    <w:rsid w:val="00EF2A59"/>
    <w:rsid w:val="00EF4703"/>
    <w:rsid w:val="00EF4CBE"/>
    <w:rsid w:val="00EF57C3"/>
    <w:rsid w:val="00EF5C77"/>
    <w:rsid w:val="00EF5C83"/>
    <w:rsid w:val="00EF7CC3"/>
    <w:rsid w:val="00EF7FBF"/>
    <w:rsid w:val="00F00AD6"/>
    <w:rsid w:val="00F00C27"/>
    <w:rsid w:val="00F0147E"/>
    <w:rsid w:val="00F01761"/>
    <w:rsid w:val="00F01F3A"/>
    <w:rsid w:val="00F0271F"/>
    <w:rsid w:val="00F03B54"/>
    <w:rsid w:val="00F05169"/>
    <w:rsid w:val="00F07989"/>
    <w:rsid w:val="00F11802"/>
    <w:rsid w:val="00F11806"/>
    <w:rsid w:val="00F13532"/>
    <w:rsid w:val="00F1394B"/>
    <w:rsid w:val="00F14910"/>
    <w:rsid w:val="00F1650C"/>
    <w:rsid w:val="00F20147"/>
    <w:rsid w:val="00F209BD"/>
    <w:rsid w:val="00F22CDD"/>
    <w:rsid w:val="00F23DC0"/>
    <w:rsid w:val="00F23FC0"/>
    <w:rsid w:val="00F24C23"/>
    <w:rsid w:val="00F24C7A"/>
    <w:rsid w:val="00F24D78"/>
    <w:rsid w:val="00F3034E"/>
    <w:rsid w:val="00F30DFD"/>
    <w:rsid w:val="00F31103"/>
    <w:rsid w:val="00F3408D"/>
    <w:rsid w:val="00F344AF"/>
    <w:rsid w:val="00F35032"/>
    <w:rsid w:val="00F3508D"/>
    <w:rsid w:val="00F356DE"/>
    <w:rsid w:val="00F36F1D"/>
    <w:rsid w:val="00F36FD2"/>
    <w:rsid w:val="00F400DF"/>
    <w:rsid w:val="00F40FB2"/>
    <w:rsid w:val="00F42830"/>
    <w:rsid w:val="00F42B87"/>
    <w:rsid w:val="00F431C7"/>
    <w:rsid w:val="00F437FB"/>
    <w:rsid w:val="00F44117"/>
    <w:rsid w:val="00F4484F"/>
    <w:rsid w:val="00F44C66"/>
    <w:rsid w:val="00F467FA"/>
    <w:rsid w:val="00F4786B"/>
    <w:rsid w:val="00F47D54"/>
    <w:rsid w:val="00F502D8"/>
    <w:rsid w:val="00F506D5"/>
    <w:rsid w:val="00F509AC"/>
    <w:rsid w:val="00F50F21"/>
    <w:rsid w:val="00F51957"/>
    <w:rsid w:val="00F54DE6"/>
    <w:rsid w:val="00F564E9"/>
    <w:rsid w:val="00F576C4"/>
    <w:rsid w:val="00F60177"/>
    <w:rsid w:val="00F604EB"/>
    <w:rsid w:val="00F64473"/>
    <w:rsid w:val="00F65098"/>
    <w:rsid w:val="00F66152"/>
    <w:rsid w:val="00F70081"/>
    <w:rsid w:val="00F72134"/>
    <w:rsid w:val="00F7239C"/>
    <w:rsid w:val="00F72D3F"/>
    <w:rsid w:val="00F73AA8"/>
    <w:rsid w:val="00F73D47"/>
    <w:rsid w:val="00F73D75"/>
    <w:rsid w:val="00F73F64"/>
    <w:rsid w:val="00F73FA6"/>
    <w:rsid w:val="00F74CD2"/>
    <w:rsid w:val="00F74E0F"/>
    <w:rsid w:val="00F75827"/>
    <w:rsid w:val="00F76301"/>
    <w:rsid w:val="00F771EA"/>
    <w:rsid w:val="00F77A7B"/>
    <w:rsid w:val="00F80376"/>
    <w:rsid w:val="00F82FCB"/>
    <w:rsid w:val="00F83A3C"/>
    <w:rsid w:val="00F83F8E"/>
    <w:rsid w:val="00F84420"/>
    <w:rsid w:val="00F84E0D"/>
    <w:rsid w:val="00F84FA5"/>
    <w:rsid w:val="00F869EF"/>
    <w:rsid w:val="00F86AEB"/>
    <w:rsid w:val="00F86BA6"/>
    <w:rsid w:val="00F87AF9"/>
    <w:rsid w:val="00F87BA2"/>
    <w:rsid w:val="00F90918"/>
    <w:rsid w:val="00F90D5C"/>
    <w:rsid w:val="00F92AC8"/>
    <w:rsid w:val="00F94112"/>
    <w:rsid w:val="00F95622"/>
    <w:rsid w:val="00F9578B"/>
    <w:rsid w:val="00F95EFD"/>
    <w:rsid w:val="00F96E50"/>
    <w:rsid w:val="00F970AF"/>
    <w:rsid w:val="00FA0F36"/>
    <w:rsid w:val="00FA143D"/>
    <w:rsid w:val="00FA2315"/>
    <w:rsid w:val="00FA2E6C"/>
    <w:rsid w:val="00FA469B"/>
    <w:rsid w:val="00FA4765"/>
    <w:rsid w:val="00FA4C28"/>
    <w:rsid w:val="00FA5B85"/>
    <w:rsid w:val="00FB1736"/>
    <w:rsid w:val="00FB1BAF"/>
    <w:rsid w:val="00FB1E84"/>
    <w:rsid w:val="00FB2363"/>
    <w:rsid w:val="00FB2AE8"/>
    <w:rsid w:val="00FB3268"/>
    <w:rsid w:val="00FB3C35"/>
    <w:rsid w:val="00FB3C9C"/>
    <w:rsid w:val="00FB4A33"/>
    <w:rsid w:val="00FB4A9D"/>
    <w:rsid w:val="00FB505A"/>
    <w:rsid w:val="00FB57BC"/>
    <w:rsid w:val="00FB792D"/>
    <w:rsid w:val="00FC142C"/>
    <w:rsid w:val="00FC19EA"/>
    <w:rsid w:val="00FC1B1B"/>
    <w:rsid w:val="00FC20EC"/>
    <w:rsid w:val="00FC2B4B"/>
    <w:rsid w:val="00FC2BA5"/>
    <w:rsid w:val="00FC2D1F"/>
    <w:rsid w:val="00FC2D41"/>
    <w:rsid w:val="00FC33E2"/>
    <w:rsid w:val="00FC4070"/>
    <w:rsid w:val="00FC5A19"/>
    <w:rsid w:val="00FC6245"/>
    <w:rsid w:val="00FD087E"/>
    <w:rsid w:val="00FD0C06"/>
    <w:rsid w:val="00FD0E0A"/>
    <w:rsid w:val="00FD3137"/>
    <w:rsid w:val="00FD4186"/>
    <w:rsid w:val="00FD4FDB"/>
    <w:rsid w:val="00FE0760"/>
    <w:rsid w:val="00FE0D53"/>
    <w:rsid w:val="00FE1252"/>
    <w:rsid w:val="00FE31BB"/>
    <w:rsid w:val="00FE4ADA"/>
    <w:rsid w:val="00FE4C37"/>
    <w:rsid w:val="00FE5849"/>
    <w:rsid w:val="00FE6D6C"/>
    <w:rsid w:val="00FE718D"/>
    <w:rsid w:val="00FE7298"/>
    <w:rsid w:val="00FF02FB"/>
    <w:rsid w:val="00FF037F"/>
    <w:rsid w:val="00FF0529"/>
    <w:rsid w:val="00FF06CF"/>
    <w:rsid w:val="00FF135C"/>
    <w:rsid w:val="00FF2A39"/>
    <w:rsid w:val="00FF2DD8"/>
    <w:rsid w:val="00FF35DD"/>
    <w:rsid w:val="00FF3CDE"/>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4D5F04EF-2CBE-445D-9E7B-715A81DC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952"/>
    <w:rPr>
      <w:rFonts w:ascii="Arial" w:hAnsi="Arial"/>
      <w:sz w:val="22"/>
      <w:lang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3"/>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1"/>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sz w:val="22"/>
      <w:lang w:val="x-none"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rFonts w:cs="Arial"/>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B2194"/>
    <w:pPr>
      <w:numPr>
        <w:numId w:val="5"/>
      </w:numPr>
    </w:pPr>
    <w:rPr>
      <w:rFonts w:eastAsia="SimSun" w:cs="Arial"/>
      <w:lang w:eastAsia="zh-CN"/>
    </w:rPr>
  </w:style>
  <w:style w:type="paragraph" w:styleId="TOC1">
    <w:name w:val="toc 1"/>
    <w:basedOn w:val="Normal"/>
    <w:next w:val="Normal"/>
    <w:autoRedefine/>
    <w:uiPriority w:val="39"/>
    <w:rsid w:val="002B0787"/>
    <w:pPr>
      <w:tabs>
        <w:tab w:val="left" w:pos="567"/>
        <w:tab w:val="right" w:leader="dot" w:pos="9345"/>
      </w:tabs>
      <w:spacing w:after="60"/>
    </w:pPr>
  </w:style>
  <w:style w:type="paragraph" w:styleId="Revision">
    <w:name w:val="Revision"/>
    <w:hidden/>
    <w:uiPriority w:val="99"/>
    <w:semiHidden/>
    <w:rsid w:val="00647FF3"/>
    <w:rPr>
      <w:rFonts w:ascii="Arial" w:hAnsi="Arial"/>
      <w:sz w:val="22"/>
      <w:lang w:eastAsia="en-US"/>
    </w:rPr>
  </w:style>
  <w:style w:type="paragraph" w:customStyle="1" w:styleId="Normal1">
    <w:name w:val="Normal1"/>
    <w:basedOn w:val="Normal"/>
    <w:rsid w:val="00813C97"/>
    <w:pPr>
      <w:spacing w:after="160" w:line="240" w:lineRule="atLeast"/>
    </w:pPr>
    <w:rPr>
      <w:rFonts w:ascii="Calibri" w:hAnsi="Calibri" w:cs="Calibri"/>
      <w:szCs w:val="22"/>
    </w:rPr>
  </w:style>
  <w:style w:type="character" w:customStyle="1" w:styleId="normalchar1">
    <w:name w:val="normal__char1"/>
    <w:rsid w:val="00813C97"/>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75">
      <w:bodyDiv w:val="1"/>
      <w:marLeft w:val="0"/>
      <w:marRight w:val="0"/>
      <w:marTop w:val="0"/>
      <w:marBottom w:val="0"/>
      <w:divBdr>
        <w:top w:val="none" w:sz="0" w:space="0" w:color="auto"/>
        <w:left w:val="none" w:sz="0" w:space="0" w:color="auto"/>
        <w:bottom w:val="none" w:sz="0" w:space="0" w:color="auto"/>
        <w:right w:val="none" w:sz="0" w:space="0" w:color="auto"/>
      </w:divBdr>
      <w:divsChild>
        <w:div w:id="194195537">
          <w:marLeft w:val="0"/>
          <w:marRight w:val="0"/>
          <w:marTop w:val="0"/>
          <w:marBottom w:val="0"/>
          <w:divBdr>
            <w:top w:val="none" w:sz="0" w:space="0" w:color="auto"/>
            <w:left w:val="none" w:sz="0" w:space="0" w:color="auto"/>
            <w:bottom w:val="none" w:sz="0" w:space="0" w:color="auto"/>
            <w:right w:val="none" w:sz="0" w:space="0" w:color="auto"/>
          </w:divBdr>
        </w:div>
        <w:div w:id="291207573">
          <w:marLeft w:val="0"/>
          <w:marRight w:val="0"/>
          <w:marTop w:val="0"/>
          <w:marBottom w:val="0"/>
          <w:divBdr>
            <w:top w:val="none" w:sz="0" w:space="0" w:color="auto"/>
            <w:left w:val="none" w:sz="0" w:space="0" w:color="auto"/>
            <w:bottom w:val="none" w:sz="0" w:space="0" w:color="auto"/>
            <w:right w:val="none" w:sz="0" w:space="0" w:color="auto"/>
          </w:divBdr>
        </w:div>
        <w:div w:id="508953167">
          <w:marLeft w:val="0"/>
          <w:marRight w:val="0"/>
          <w:marTop w:val="0"/>
          <w:marBottom w:val="0"/>
          <w:divBdr>
            <w:top w:val="none" w:sz="0" w:space="0" w:color="auto"/>
            <w:left w:val="none" w:sz="0" w:space="0" w:color="auto"/>
            <w:bottom w:val="none" w:sz="0" w:space="0" w:color="auto"/>
            <w:right w:val="none" w:sz="0" w:space="0" w:color="auto"/>
          </w:divBdr>
        </w:div>
        <w:div w:id="632179214">
          <w:marLeft w:val="0"/>
          <w:marRight w:val="0"/>
          <w:marTop w:val="0"/>
          <w:marBottom w:val="0"/>
          <w:divBdr>
            <w:top w:val="none" w:sz="0" w:space="0" w:color="auto"/>
            <w:left w:val="none" w:sz="0" w:space="0" w:color="auto"/>
            <w:bottom w:val="none" w:sz="0" w:space="0" w:color="auto"/>
            <w:right w:val="none" w:sz="0" w:space="0" w:color="auto"/>
          </w:divBdr>
        </w:div>
        <w:div w:id="709577341">
          <w:marLeft w:val="0"/>
          <w:marRight w:val="0"/>
          <w:marTop w:val="0"/>
          <w:marBottom w:val="0"/>
          <w:divBdr>
            <w:top w:val="none" w:sz="0" w:space="0" w:color="auto"/>
            <w:left w:val="none" w:sz="0" w:space="0" w:color="auto"/>
            <w:bottom w:val="none" w:sz="0" w:space="0" w:color="auto"/>
            <w:right w:val="none" w:sz="0" w:space="0" w:color="auto"/>
          </w:divBdr>
        </w:div>
        <w:div w:id="728915422">
          <w:marLeft w:val="0"/>
          <w:marRight w:val="0"/>
          <w:marTop w:val="0"/>
          <w:marBottom w:val="0"/>
          <w:divBdr>
            <w:top w:val="none" w:sz="0" w:space="0" w:color="auto"/>
            <w:left w:val="none" w:sz="0" w:space="0" w:color="auto"/>
            <w:bottom w:val="none" w:sz="0" w:space="0" w:color="auto"/>
            <w:right w:val="none" w:sz="0" w:space="0" w:color="auto"/>
          </w:divBdr>
        </w:div>
        <w:div w:id="758870208">
          <w:marLeft w:val="0"/>
          <w:marRight w:val="0"/>
          <w:marTop w:val="0"/>
          <w:marBottom w:val="0"/>
          <w:divBdr>
            <w:top w:val="none" w:sz="0" w:space="0" w:color="auto"/>
            <w:left w:val="none" w:sz="0" w:space="0" w:color="auto"/>
            <w:bottom w:val="none" w:sz="0" w:space="0" w:color="auto"/>
            <w:right w:val="none" w:sz="0" w:space="0" w:color="auto"/>
          </w:divBdr>
        </w:div>
        <w:div w:id="797332092">
          <w:marLeft w:val="0"/>
          <w:marRight w:val="0"/>
          <w:marTop w:val="0"/>
          <w:marBottom w:val="0"/>
          <w:divBdr>
            <w:top w:val="none" w:sz="0" w:space="0" w:color="auto"/>
            <w:left w:val="none" w:sz="0" w:space="0" w:color="auto"/>
            <w:bottom w:val="none" w:sz="0" w:space="0" w:color="auto"/>
            <w:right w:val="none" w:sz="0" w:space="0" w:color="auto"/>
          </w:divBdr>
        </w:div>
        <w:div w:id="866453292">
          <w:marLeft w:val="0"/>
          <w:marRight w:val="0"/>
          <w:marTop w:val="0"/>
          <w:marBottom w:val="0"/>
          <w:divBdr>
            <w:top w:val="none" w:sz="0" w:space="0" w:color="auto"/>
            <w:left w:val="none" w:sz="0" w:space="0" w:color="auto"/>
            <w:bottom w:val="none" w:sz="0" w:space="0" w:color="auto"/>
            <w:right w:val="none" w:sz="0" w:space="0" w:color="auto"/>
          </w:divBdr>
        </w:div>
        <w:div w:id="916094636">
          <w:marLeft w:val="0"/>
          <w:marRight w:val="0"/>
          <w:marTop w:val="0"/>
          <w:marBottom w:val="0"/>
          <w:divBdr>
            <w:top w:val="none" w:sz="0" w:space="0" w:color="auto"/>
            <w:left w:val="none" w:sz="0" w:space="0" w:color="auto"/>
            <w:bottom w:val="none" w:sz="0" w:space="0" w:color="auto"/>
            <w:right w:val="none" w:sz="0" w:space="0" w:color="auto"/>
          </w:divBdr>
        </w:div>
        <w:div w:id="1235899888">
          <w:marLeft w:val="0"/>
          <w:marRight w:val="0"/>
          <w:marTop w:val="0"/>
          <w:marBottom w:val="0"/>
          <w:divBdr>
            <w:top w:val="none" w:sz="0" w:space="0" w:color="auto"/>
            <w:left w:val="none" w:sz="0" w:space="0" w:color="auto"/>
            <w:bottom w:val="none" w:sz="0" w:space="0" w:color="auto"/>
            <w:right w:val="none" w:sz="0" w:space="0" w:color="auto"/>
          </w:divBdr>
        </w:div>
        <w:div w:id="1562053867">
          <w:marLeft w:val="0"/>
          <w:marRight w:val="0"/>
          <w:marTop w:val="0"/>
          <w:marBottom w:val="0"/>
          <w:divBdr>
            <w:top w:val="none" w:sz="0" w:space="0" w:color="auto"/>
            <w:left w:val="none" w:sz="0" w:space="0" w:color="auto"/>
            <w:bottom w:val="none" w:sz="0" w:space="0" w:color="auto"/>
            <w:right w:val="none" w:sz="0" w:space="0" w:color="auto"/>
          </w:divBdr>
        </w:div>
        <w:div w:id="1912083036">
          <w:marLeft w:val="0"/>
          <w:marRight w:val="0"/>
          <w:marTop w:val="0"/>
          <w:marBottom w:val="0"/>
          <w:divBdr>
            <w:top w:val="none" w:sz="0" w:space="0" w:color="auto"/>
            <w:left w:val="none" w:sz="0" w:space="0" w:color="auto"/>
            <w:bottom w:val="none" w:sz="0" w:space="0" w:color="auto"/>
            <w:right w:val="none" w:sz="0" w:space="0" w:color="auto"/>
          </w:divBdr>
        </w:div>
      </w:divsChild>
    </w:div>
    <w:div w:id="354424048">
      <w:bodyDiv w:val="1"/>
      <w:marLeft w:val="0"/>
      <w:marRight w:val="0"/>
      <w:marTop w:val="0"/>
      <w:marBottom w:val="0"/>
      <w:divBdr>
        <w:top w:val="none" w:sz="0" w:space="0" w:color="auto"/>
        <w:left w:val="none" w:sz="0" w:space="0" w:color="auto"/>
        <w:bottom w:val="none" w:sz="0" w:space="0" w:color="auto"/>
        <w:right w:val="none" w:sz="0" w:space="0" w:color="auto"/>
      </w:divBdr>
      <w:divsChild>
        <w:div w:id="56052893">
          <w:marLeft w:val="0"/>
          <w:marRight w:val="0"/>
          <w:marTop w:val="0"/>
          <w:marBottom w:val="0"/>
          <w:divBdr>
            <w:top w:val="none" w:sz="0" w:space="0" w:color="auto"/>
            <w:left w:val="none" w:sz="0" w:space="0" w:color="auto"/>
            <w:bottom w:val="none" w:sz="0" w:space="0" w:color="auto"/>
            <w:right w:val="none" w:sz="0" w:space="0" w:color="auto"/>
          </w:divBdr>
        </w:div>
        <w:div w:id="567425415">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403068591">
          <w:marLeft w:val="0"/>
          <w:marRight w:val="0"/>
          <w:marTop w:val="0"/>
          <w:marBottom w:val="0"/>
          <w:divBdr>
            <w:top w:val="none" w:sz="0" w:space="0" w:color="auto"/>
            <w:left w:val="none" w:sz="0" w:space="0" w:color="auto"/>
            <w:bottom w:val="none" w:sz="0" w:space="0" w:color="auto"/>
            <w:right w:val="none" w:sz="0" w:space="0" w:color="auto"/>
          </w:divBdr>
        </w:div>
        <w:div w:id="1643922801">
          <w:marLeft w:val="0"/>
          <w:marRight w:val="0"/>
          <w:marTop w:val="0"/>
          <w:marBottom w:val="0"/>
          <w:divBdr>
            <w:top w:val="none" w:sz="0" w:space="0" w:color="auto"/>
            <w:left w:val="none" w:sz="0" w:space="0" w:color="auto"/>
            <w:bottom w:val="none" w:sz="0" w:space="0" w:color="auto"/>
            <w:right w:val="none" w:sz="0" w:space="0" w:color="auto"/>
          </w:divBdr>
        </w:div>
        <w:div w:id="1972901496">
          <w:marLeft w:val="0"/>
          <w:marRight w:val="0"/>
          <w:marTop w:val="0"/>
          <w:marBottom w:val="0"/>
          <w:divBdr>
            <w:top w:val="none" w:sz="0" w:space="0" w:color="auto"/>
            <w:left w:val="none" w:sz="0" w:space="0" w:color="auto"/>
            <w:bottom w:val="none" w:sz="0" w:space="0" w:color="auto"/>
            <w:right w:val="none" w:sz="0" w:space="0" w:color="auto"/>
          </w:divBdr>
        </w:div>
      </w:divsChild>
    </w:div>
    <w:div w:id="503128249">
      <w:bodyDiv w:val="1"/>
      <w:marLeft w:val="0"/>
      <w:marRight w:val="0"/>
      <w:marTop w:val="0"/>
      <w:marBottom w:val="0"/>
      <w:divBdr>
        <w:top w:val="none" w:sz="0" w:space="0" w:color="auto"/>
        <w:left w:val="none" w:sz="0" w:space="0" w:color="auto"/>
        <w:bottom w:val="none" w:sz="0" w:space="0" w:color="auto"/>
        <w:right w:val="none" w:sz="0" w:space="0" w:color="auto"/>
      </w:divBdr>
    </w:div>
    <w:div w:id="577520226">
      <w:bodyDiv w:val="1"/>
      <w:marLeft w:val="0"/>
      <w:marRight w:val="0"/>
      <w:marTop w:val="0"/>
      <w:marBottom w:val="0"/>
      <w:divBdr>
        <w:top w:val="none" w:sz="0" w:space="0" w:color="auto"/>
        <w:left w:val="none" w:sz="0" w:space="0" w:color="auto"/>
        <w:bottom w:val="none" w:sz="0" w:space="0" w:color="auto"/>
        <w:right w:val="none" w:sz="0" w:space="0" w:color="auto"/>
      </w:divBdr>
      <w:divsChild>
        <w:div w:id="29039938">
          <w:marLeft w:val="0"/>
          <w:marRight w:val="0"/>
          <w:marTop w:val="0"/>
          <w:marBottom w:val="0"/>
          <w:divBdr>
            <w:top w:val="none" w:sz="0" w:space="0" w:color="auto"/>
            <w:left w:val="none" w:sz="0" w:space="0" w:color="auto"/>
            <w:bottom w:val="none" w:sz="0" w:space="0" w:color="auto"/>
            <w:right w:val="none" w:sz="0" w:space="0" w:color="auto"/>
          </w:divBdr>
        </w:div>
        <w:div w:id="204954281">
          <w:marLeft w:val="0"/>
          <w:marRight w:val="0"/>
          <w:marTop w:val="0"/>
          <w:marBottom w:val="0"/>
          <w:divBdr>
            <w:top w:val="none" w:sz="0" w:space="0" w:color="auto"/>
            <w:left w:val="none" w:sz="0" w:space="0" w:color="auto"/>
            <w:bottom w:val="none" w:sz="0" w:space="0" w:color="auto"/>
            <w:right w:val="none" w:sz="0" w:space="0" w:color="auto"/>
          </w:divBdr>
        </w:div>
        <w:div w:id="378824005">
          <w:marLeft w:val="0"/>
          <w:marRight w:val="0"/>
          <w:marTop w:val="0"/>
          <w:marBottom w:val="0"/>
          <w:divBdr>
            <w:top w:val="none" w:sz="0" w:space="0" w:color="auto"/>
            <w:left w:val="none" w:sz="0" w:space="0" w:color="auto"/>
            <w:bottom w:val="none" w:sz="0" w:space="0" w:color="auto"/>
            <w:right w:val="none" w:sz="0" w:space="0" w:color="auto"/>
          </w:divBdr>
        </w:div>
        <w:div w:id="1288849370">
          <w:marLeft w:val="0"/>
          <w:marRight w:val="0"/>
          <w:marTop w:val="0"/>
          <w:marBottom w:val="0"/>
          <w:divBdr>
            <w:top w:val="none" w:sz="0" w:space="0" w:color="auto"/>
            <w:left w:val="none" w:sz="0" w:space="0" w:color="auto"/>
            <w:bottom w:val="none" w:sz="0" w:space="0" w:color="auto"/>
            <w:right w:val="none" w:sz="0" w:space="0" w:color="auto"/>
          </w:divBdr>
        </w:div>
        <w:div w:id="2099014195">
          <w:marLeft w:val="0"/>
          <w:marRight w:val="0"/>
          <w:marTop w:val="0"/>
          <w:marBottom w:val="0"/>
          <w:divBdr>
            <w:top w:val="none" w:sz="0" w:space="0" w:color="auto"/>
            <w:left w:val="none" w:sz="0" w:space="0" w:color="auto"/>
            <w:bottom w:val="none" w:sz="0" w:space="0" w:color="auto"/>
            <w:right w:val="none" w:sz="0" w:space="0" w:color="auto"/>
          </w:divBdr>
        </w:div>
      </w:divsChild>
    </w:div>
    <w:div w:id="665404114">
      <w:bodyDiv w:val="1"/>
      <w:marLeft w:val="0"/>
      <w:marRight w:val="0"/>
      <w:marTop w:val="0"/>
      <w:marBottom w:val="0"/>
      <w:divBdr>
        <w:top w:val="none" w:sz="0" w:space="0" w:color="auto"/>
        <w:left w:val="none" w:sz="0" w:space="0" w:color="auto"/>
        <w:bottom w:val="none" w:sz="0" w:space="0" w:color="auto"/>
        <w:right w:val="none" w:sz="0" w:space="0" w:color="auto"/>
      </w:divBdr>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67195241">
          <w:marLeft w:val="0"/>
          <w:marRight w:val="0"/>
          <w:marTop w:val="0"/>
          <w:marBottom w:val="0"/>
          <w:divBdr>
            <w:top w:val="none" w:sz="0" w:space="0" w:color="auto"/>
            <w:left w:val="none" w:sz="0" w:space="0" w:color="auto"/>
            <w:bottom w:val="none" w:sz="0" w:space="0" w:color="auto"/>
            <w:right w:val="none" w:sz="0" w:space="0" w:color="auto"/>
          </w:divBdr>
        </w:div>
        <w:div w:id="207307763">
          <w:marLeft w:val="0"/>
          <w:marRight w:val="0"/>
          <w:marTop w:val="0"/>
          <w:marBottom w:val="0"/>
          <w:divBdr>
            <w:top w:val="none" w:sz="0" w:space="0" w:color="auto"/>
            <w:left w:val="none" w:sz="0" w:space="0" w:color="auto"/>
            <w:bottom w:val="none" w:sz="0" w:space="0" w:color="auto"/>
            <w:right w:val="none" w:sz="0" w:space="0" w:color="auto"/>
          </w:divBdr>
        </w:div>
        <w:div w:id="437944065">
          <w:marLeft w:val="0"/>
          <w:marRight w:val="0"/>
          <w:marTop w:val="0"/>
          <w:marBottom w:val="0"/>
          <w:divBdr>
            <w:top w:val="none" w:sz="0" w:space="0" w:color="auto"/>
            <w:left w:val="none" w:sz="0" w:space="0" w:color="auto"/>
            <w:bottom w:val="none" w:sz="0" w:space="0" w:color="auto"/>
            <w:right w:val="none" w:sz="0" w:space="0" w:color="auto"/>
          </w:divBdr>
        </w:div>
        <w:div w:id="527567994">
          <w:marLeft w:val="0"/>
          <w:marRight w:val="0"/>
          <w:marTop w:val="0"/>
          <w:marBottom w:val="0"/>
          <w:divBdr>
            <w:top w:val="none" w:sz="0" w:space="0" w:color="auto"/>
            <w:left w:val="none" w:sz="0" w:space="0" w:color="auto"/>
            <w:bottom w:val="none" w:sz="0" w:space="0" w:color="auto"/>
            <w:right w:val="none" w:sz="0" w:space="0" w:color="auto"/>
          </w:divBdr>
        </w:div>
        <w:div w:id="527987027">
          <w:marLeft w:val="0"/>
          <w:marRight w:val="0"/>
          <w:marTop w:val="0"/>
          <w:marBottom w:val="0"/>
          <w:divBdr>
            <w:top w:val="none" w:sz="0" w:space="0" w:color="auto"/>
            <w:left w:val="none" w:sz="0" w:space="0" w:color="auto"/>
            <w:bottom w:val="none" w:sz="0" w:space="0" w:color="auto"/>
            <w:right w:val="none" w:sz="0" w:space="0" w:color="auto"/>
          </w:divBdr>
        </w:div>
        <w:div w:id="557519224">
          <w:marLeft w:val="0"/>
          <w:marRight w:val="0"/>
          <w:marTop w:val="0"/>
          <w:marBottom w:val="0"/>
          <w:divBdr>
            <w:top w:val="none" w:sz="0" w:space="0" w:color="auto"/>
            <w:left w:val="none" w:sz="0" w:space="0" w:color="auto"/>
            <w:bottom w:val="none" w:sz="0" w:space="0" w:color="auto"/>
            <w:right w:val="none" w:sz="0" w:space="0" w:color="auto"/>
          </w:divBdr>
        </w:div>
        <w:div w:id="570585534">
          <w:marLeft w:val="0"/>
          <w:marRight w:val="0"/>
          <w:marTop w:val="0"/>
          <w:marBottom w:val="0"/>
          <w:divBdr>
            <w:top w:val="none" w:sz="0" w:space="0" w:color="auto"/>
            <w:left w:val="none" w:sz="0" w:space="0" w:color="auto"/>
            <w:bottom w:val="none" w:sz="0" w:space="0" w:color="auto"/>
            <w:right w:val="none" w:sz="0" w:space="0" w:color="auto"/>
          </w:divBdr>
        </w:div>
        <w:div w:id="796066128">
          <w:marLeft w:val="0"/>
          <w:marRight w:val="0"/>
          <w:marTop w:val="0"/>
          <w:marBottom w:val="0"/>
          <w:divBdr>
            <w:top w:val="none" w:sz="0" w:space="0" w:color="auto"/>
            <w:left w:val="none" w:sz="0" w:space="0" w:color="auto"/>
            <w:bottom w:val="none" w:sz="0" w:space="0" w:color="auto"/>
            <w:right w:val="none" w:sz="0" w:space="0" w:color="auto"/>
          </w:divBdr>
        </w:div>
        <w:div w:id="812602885">
          <w:marLeft w:val="0"/>
          <w:marRight w:val="0"/>
          <w:marTop w:val="0"/>
          <w:marBottom w:val="0"/>
          <w:divBdr>
            <w:top w:val="none" w:sz="0" w:space="0" w:color="auto"/>
            <w:left w:val="none" w:sz="0" w:space="0" w:color="auto"/>
            <w:bottom w:val="none" w:sz="0" w:space="0" w:color="auto"/>
            <w:right w:val="none" w:sz="0" w:space="0" w:color="auto"/>
          </w:divBdr>
        </w:div>
        <w:div w:id="878472281">
          <w:marLeft w:val="0"/>
          <w:marRight w:val="0"/>
          <w:marTop w:val="0"/>
          <w:marBottom w:val="0"/>
          <w:divBdr>
            <w:top w:val="none" w:sz="0" w:space="0" w:color="auto"/>
            <w:left w:val="none" w:sz="0" w:space="0" w:color="auto"/>
            <w:bottom w:val="none" w:sz="0" w:space="0" w:color="auto"/>
            <w:right w:val="none" w:sz="0" w:space="0" w:color="auto"/>
          </w:divBdr>
        </w:div>
        <w:div w:id="893732433">
          <w:marLeft w:val="0"/>
          <w:marRight w:val="0"/>
          <w:marTop w:val="0"/>
          <w:marBottom w:val="0"/>
          <w:divBdr>
            <w:top w:val="none" w:sz="0" w:space="0" w:color="auto"/>
            <w:left w:val="none" w:sz="0" w:space="0" w:color="auto"/>
            <w:bottom w:val="none" w:sz="0" w:space="0" w:color="auto"/>
            <w:right w:val="none" w:sz="0" w:space="0" w:color="auto"/>
          </w:divBdr>
        </w:div>
        <w:div w:id="919026543">
          <w:marLeft w:val="0"/>
          <w:marRight w:val="0"/>
          <w:marTop w:val="0"/>
          <w:marBottom w:val="0"/>
          <w:divBdr>
            <w:top w:val="none" w:sz="0" w:space="0" w:color="auto"/>
            <w:left w:val="none" w:sz="0" w:space="0" w:color="auto"/>
            <w:bottom w:val="none" w:sz="0" w:space="0" w:color="auto"/>
            <w:right w:val="none" w:sz="0" w:space="0" w:color="auto"/>
          </w:divBdr>
        </w:div>
        <w:div w:id="943540663">
          <w:marLeft w:val="0"/>
          <w:marRight w:val="0"/>
          <w:marTop w:val="0"/>
          <w:marBottom w:val="0"/>
          <w:divBdr>
            <w:top w:val="none" w:sz="0" w:space="0" w:color="auto"/>
            <w:left w:val="none" w:sz="0" w:space="0" w:color="auto"/>
            <w:bottom w:val="none" w:sz="0" w:space="0" w:color="auto"/>
            <w:right w:val="none" w:sz="0" w:space="0" w:color="auto"/>
          </w:divBdr>
        </w:div>
        <w:div w:id="1221673695">
          <w:marLeft w:val="0"/>
          <w:marRight w:val="0"/>
          <w:marTop w:val="0"/>
          <w:marBottom w:val="0"/>
          <w:divBdr>
            <w:top w:val="none" w:sz="0" w:space="0" w:color="auto"/>
            <w:left w:val="none" w:sz="0" w:space="0" w:color="auto"/>
            <w:bottom w:val="none" w:sz="0" w:space="0" w:color="auto"/>
            <w:right w:val="none" w:sz="0" w:space="0" w:color="auto"/>
          </w:divBdr>
        </w:div>
        <w:div w:id="1691449572">
          <w:marLeft w:val="0"/>
          <w:marRight w:val="0"/>
          <w:marTop w:val="0"/>
          <w:marBottom w:val="0"/>
          <w:divBdr>
            <w:top w:val="none" w:sz="0" w:space="0" w:color="auto"/>
            <w:left w:val="none" w:sz="0" w:space="0" w:color="auto"/>
            <w:bottom w:val="none" w:sz="0" w:space="0" w:color="auto"/>
            <w:right w:val="none" w:sz="0" w:space="0" w:color="auto"/>
          </w:divBdr>
        </w:div>
        <w:div w:id="1805195550">
          <w:marLeft w:val="0"/>
          <w:marRight w:val="0"/>
          <w:marTop w:val="0"/>
          <w:marBottom w:val="0"/>
          <w:divBdr>
            <w:top w:val="none" w:sz="0" w:space="0" w:color="auto"/>
            <w:left w:val="none" w:sz="0" w:space="0" w:color="auto"/>
            <w:bottom w:val="none" w:sz="0" w:space="0" w:color="auto"/>
            <w:right w:val="none" w:sz="0" w:space="0" w:color="auto"/>
          </w:divBdr>
        </w:div>
        <w:div w:id="1853491318">
          <w:marLeft w:val="0"/>
          <w:marRight w:val="0"/>
          <w:marTop w:val="0"/>
          <w:marBottom w:val="0"/>
          <w:divBdr>
            <w:top w:val="none" w:sz="0" w:space="0" w:color="auto"/>
            <w:left w:val="none" w:sz="0" w:space="0" w:color="auto"/>
            <w:bottom w:val="none" w:sz="0" w:space="0" w:color="auto"/>
            <w:right w:val="none" w:sz="0" w:space="0" w:color="auto"/>
          </w:divBdr>
        </w:div>
        <w:div w:id="1861577830">
          <w:marLeft w:val="0"/>
          <w:marRight w:val="0"/>
          <w:marTop w:val="0"/>
          <w:marBottom w:val="0"/>
          <w:divBdr>
            <w:top w:val="none" w:sz="0" w:space="0" w:color="auto"/>
            <w:left w:val="none" w:sz="0" w:space="0" w:color="auto"/>
            <w:bottom w:val="none" w:sz="0" w:space="0" w:color="auto"/>
            <w:right w:val="none" w:sz="0" w:space="0" w:color="auto"/>
          </w:divBdr>
        </w:div>
      </w:divsChild>
    </w:div>
    <w:div w:id="902645612">
      <w:bodyDiv w:val="1"/>
      <w:marLeft w:val="0"/>
      <w:marRight w:val="0"/>
      <w:marTop w:val="0"/>
      <w:marBottom w:val="0"/>
      <w:divBdr>
        <w:top w:val="none" w:sz="0" w:space="0" w:color="auto"/>
        <w:left w:val="none" w:sz="0" w:space="0" w:color="auto"/>
        <w:bottom w:val="none" w:sz="0" w:space="0" w:color="auto"/>
        <w:right w:val="none" w:sz="0" w:space="0" w:color="auto"/>
      </w:divBdr>
      <w:divsChild>
        <w:div w:id="197083563">
          <w:marLeft w:val="0"/>
          <w:marRight w:val="0"/>
          <w:marTop w:val="0"/>
          <w:marBottom w:val="0"/>
          <w:divBdr>
            <w:top w:val="none" w:sz="0" w:space="0" w:color="auto"/>
            <w:left w:val="none" w:sz="0" w:space="0" w:color="auto"/>
            <w:bottom w:val="none" w:sz="0" w:space="0" w:color="auto"/>
            <w:right w:val="none" w:sz="0" w:space="0" w:color="auto"/>
          </w:divBdr>
        </w:div>
        <w:div w:id="669791545">
          <w:marLeft w:val="0"/>
          <w:marRight w:val="0"/>
          <w:marTop w:val="0"/>
          <w:marBottom w:val="0"/>
          <w:divBdr>
            <w:top w:val="none" w:sz="0" w:space="0" w:color="auto"/>
            <w:left w:val="none" w:sz="0" w:space="0" w:color="auto"/>
            <w:bottom w:val="none" w:sz="0" w:space="0" w:color="auto"/>
            <w:right w:val="none" w:sz="0" w:space="0" w:color="auto"/>
          </w:divBdr>
        </w:div>
        <w:div w:id="1226523654">
          <w:marLeft w:val="0"/>
          <w:marRight w:val="0"/>
          <w:marTop w:val="0"/>
          <w:marBottom w:val="0"/>
          <w:divBdr>
            <w:top w:val="none" w:sz="0" w:space="0" w:color="auto"/>
            <w:left w:val="none" w:sz="0" w:space="0" w:color="auto"/>
            <w:bottom w:val="none" w:sz="0" w:space="0" w:color="auto"/>
            <w:right w:val="none" w:sz="0" w:space="0" w:color="auto"/>
          </w:divBdr>
        </w:div>
        <w:div w:id="1383093538">
          <w:marLeft w:val="0"/>
          <w:marRight w:val="0"/>
          <w:marTop w:val="0"/>
          <w:marBottom w:val="0"/>
          <w:divBdr>
            <w:top w:val="none" w:sz="0" w:space="0" w:color="auto"/>
            <w:left w:val="none" w:sz="0" w:space="0" w:color="auto"/>
            <w:bottom w:val="none" w:sz="0" w:space="0" w:color="auto"/>
            <w:right w:val="none" w:sz="0" w:space="0" w:color="auto"/>
          </w:divBdr>
        </w:div>
        <w:div w:id="1447456942">
          <w:marLeft w:val="0"/>
          <w:marRight w:val="0"/>
          <w:marTop w:val="0"/>
          <w:marBottom w:val="0"/>
          <w:divBdr>
            <w:top w:val="none" w:sz="0" w:space="0" w:color="auto"/>
            <w:left w:val="none" w:sz="0" w:space="0" w:color="auto"/>
            <w:bottom w:val="none" w:sz="0" w:space="0" w:color="auto"/>
            <w:right w:val="none" w:sz="0" w:space="0" w:color="auto"/>
          </w:divBdr>
        </w:div>
        <w:div w:id="1501965427">
          <w:marLeft w:val="0"/>
          <w:marRight w:val="0"/>
          <w:marTop w:val="0"/>
          <w:marBottom w:val="0"/>
          <w:divBdr>
            <w:top w:val="none" w:sz="0" w:space="0" w:color="auto"/>
            <w:left w:val="none" w:sz="0" w:space="0" w:color="auto"/>
            <w:bottom w:val="none" w:sz="0" w:space="0" w:color="auto"/>
            <w:right w:val="none" w:sz="0" w:space="0" w:color="auto"/>
          </w:divBdr>
        </w:div>
        <w:div w:id="1508517579">
          <w:marLeft w:val="0"/>
          <w:marRight w:val="0"/>
          <w:marTop w:val="0"/>
          <w:marBottom w:val="0"/>
          <w:divBdr>
            <w:top w:val="none" w:sz="0" w:space="0" w:color="auto"/>
            <w:left w:val="none" w:sz="0" w:space="0" w:color="auto"/>
            <w:bottom w:val="none" w:sz="0" w:space="0" w:color="auto"/>
            <w:right w:val="none" w:sz="0" w:space="0" w:color="auto"/>
          </w:divBdr>
        </w:div>
        <w:div w:id="1510219617">
          <w:marLeft w:val="0"/>
          <w:marRight w:val="0"/>
          <w:marTop w:val="0"/>
          <w:marBottom w:val="0"/>
          <w:divBdr>
            <w:top w:val="none" w:sz="0" w:space="0" w:color="auto"/>
            <w:left w:val="none" w:sz="0" w:space="0" w:color="auto"/>
            <w:bottom w:val="none" w:sz="0" w:space="0" w:color="auto"/>
            <w:right w:val="none" w:sz="0" w:space="0" w:color="auto"/>
          </w:divBdr>
        </w:div>
        <w:div w:id="1819224546">
          <w:marLeft w:val="0"/>
          <w:marRight w:val="0"/>
          <w:marTop w:val="0"/>
          <w:marBottom w:val="0"/>
          <w:divBdr>
            <w:top w:val="none" w:sz="0" w:space="0" w:color="auto"/>
            <w:left w:val="none" w:sz="0" w:space="0" w:color="auto"/>
            <w:bottom w:val="none" w:sz="0" w:space="0" w:color="auto"/>
            <w:right w:val="none" w:sz="0" w:space="0" w:color="auto"/>
          </w:divBdr>
        </w:div>
        <w:div w:id="1832911868">
          <w:marLeft w:val="0"/>
          <w:marRight w:val="0"/>
          <w:marTop w:val="0"/>
          <w:marBottom w:val="0"/>
          <w:divBdr>
            <w:top w:val="none" w:sz="0" w:space="0" w:color="auto"/>
            <w:left w:val="none" w:sz="0" w:space="0" w:color="auto"/>
            <w:bottom w:val="none" w:sz="0" w:space="0" w:color="auto"/>
            <w:right w:val="none" w:sz="0" w:space="0" w:color="auto"/>
          </w:divBdr>
        </w:div>
        <w:div w:id="2074739623">
          <w:marLeft w:val="0"/>
          <w:marRight w:val="0"/>
          <w:marTop w:val="0"/>
          <w:marBottom w:val="0"/>
          <w:divBdr>
            <w:top w:val="none" w:sz="0" w:space="0" w:color="auto"/>
            <w:left w:val="none" w:sz="0" w:space="0" w:color="auto"/>
            <w:bottom w:val="none" w:sz="0" w:space="0" w:color="auto"/>
            <w:right w:val="none" w:sz="0" w:space="0" w:color="auto"/>
          </w:divBdr>
        </w:div>
      </w:divsChild>
    </w:div>
    <w:div w:id="960576775">
      <w:bodyDiv w:val="1"/>
      <w:marLeft w:val="0"/>
      <w:marRight w:val="0"/>
      <w:marTop w:val="0"/>
      <w:marBottom w:val="0"/>
      <w:divBdr>
        <w:top w:val="none" w:sz="0" w:space="0" w:color="auto"/>
        <w:left w:val="none" w:sz="0" w:space="0" w:color="auto"/>
        <w:bottom w:val="none" w:sz="0" w:space="0" w:color="auto"/>
        <w:right w:val="none" w:sz="0" w:space="0" w:color="auto"/>
      </w:divBdr>
      <w:divsChild>
        <w:div w:id="13701687">
          <w:marLeft w:val="0"/>
          <w:marRight w:val="0"/>
          <w:marTop w:val="0"/>
          <w:marBottom w:val="0"/>
          <w:divBdr>
            <w:top w:val="none" w:sz="0" w:space="0" w:color="auto"/>
            <w:left w:val="none" w:sz="0" w:space="0" w:color="auto"/>
            <w:bottom w:val="none" w:sz="0" w:space="0" w:color="auto"/>
            <w:right w:val="none" w:sz="0" w:space="0" w:color="auto"/>
          </w:divBdr>
        </w:div>
        <w:div w:id="85198207">
          <w:marLeft w:val="0"/>
          <w:marRight w:val="0"/>
          <w:marTop w:val="0"/>
          <w:marBottom w:val="0"/>
          <w:divBdr>
            <w:top w:val="none" w:sz="0" w:space="0" w:color="auto"/>
            <w:left w:val="none" w:sz="0" w:space="0" w:color="auto"/>
            <w:bottom w:val="none" w:sz="0" w:space="0" w:color="auto"/>
            <w:right w:val="none" w:sz="0" w:space="0" w:color="auto"/>
          </w:divBdr>
        </w:div>
        <w:div w:id="94060564">
          <w:marLeft w:val="0"/>
          <w:marRight w:val="0"/>
          <w:marTop w:val="0"/>
          <w:marBottom w:val="0"/>
          <w:divBdr>
            <w:top w:val="none" w:sz="0" w:space="0" w:color="auto"/>
            <w:left w:val="none" w:sz="0" w:space="0" w:color="auto"/>
            <w:bottom w:val="none" w:sz="0" w:space="0" w:color="auto"/>
            <w:right w:val="none" w:sz="0" w:space="0" w:color="auto"/>
          </w:divBdr>
        </w:div>
        <w:div w:id="124589610">
          <w:marLeft w:val="0"/>
          <w:marRight w:val="0"/>
          <w:marTop w:val="0"/>
          <w:marBottom w:val="0"/>
          <w:divBdr>
            <w:top w:val="none" w:sz="0" w:space="0" w:color="auto"/>
            <w:left w:val="none" w:sz="0" w:space="0" w:color="auto"/>
            <w:bottom w:val="none" w:sz="0" w:space="0" w:color="auto"/>
            <w:right w:val="none" w:sz="0" w:space="0" w:color="auto"/>
          </w:divBdr>
        </w:div>
        <w:div w:id="143546676">
          <w:marLeft w:val="0"/>
          <w:marRight w:val="0"/>
          <w:marTop w:val="0"/>
          <w:marBottom w:val="0"/>
          <w:divBdr>
            <w:top w:val="none" w:sz="0" w:space="0" w:color="auto"/>
            <w:left w:val="none" w:sz="0" w:space="0" w:color="auto"/>
            <w:bottom w:val="none" w:sz="0" w:space="0" w:color="auto"/>
            <w:right w:val="none" w:sz="0" w:space="0" w:color="auto"/>
          </w:divBdr>
        </w:div>
        <w:div w:id="151332129">
          <w:marLeft w:val="0"/>
          <w:marRight w:val="0"/>
          <w:marTop w:val="0"/>
          <w:marBottom w:val="0"/>
          <w:divBdr>
            <w:top w:val="none" w:sz="0" w:space="0" w:color="auto"/>
            <w:left w:val="none" w:sz="0" w:space="0" w:color="auto"/>
            <w:bottom w:val="none" w:sz="0" w:space="0" w:color="auto"/>
            <w:right w:val="none" w:sz="0" w:space="0" w:color="auto"/>
          </w:divBdr>
        </w:div>
        <w:div w:id="151526909">
          <w:marLeft w:val="0"/>
          <w:marRight w:val="0"/>
          <w:marTop w:val="0"/>
          <w:marBottom w:val="0"/>
          <w:divBdr>
            <w:top w:val="none" w:sz="0" w:space="0" w:color="auto"/>
            <w:left w:val="none" w:sz="0" w:space="0" w:color="auto"/>
            <w:bottom w:val="none" w:sz="0" w:space="0" w:color="auto"/>
            <w:right w:val="none" w:sz="0" w:space="0" w:color="auto"/>
          </w:divBdr>
        </w:div>
        <w:div w:id="160394146">
          <w:marLeft w:val="0"/>
          <w:marRight w:val="0"/>
          <w:marTop w:val="0"/>
          <w:marBottom w:val="0"/>
          <w:divBdr>
            <w:top w:val="none" w:sz="0" w:space="0" w:color="auto"/>
            <w:left w:val="none" w:sz="0" w:space="0" w:color="auto"/>
            <w:bottom w:val="none" w:sz="0" w:space="0" w:color="auto"/>
            <w:right w:val="none" w:sz="0" w:space="0" w:color="auto"/>
          </w:divBdr>
        </w:div>
        <w:div w:id="195428901">
          <w:marLeft w:val="0"/>
          <w:marRight w:val="0"/>
          <w:marTop w:val="0"/>
          <w:marBottom w:val="0"/>
          <w:divBdr>
            <w:top w:val="none" w:sz="0" w:space="0" w:color="auto"/>
            <w:left w:val="none" w:sz="0" w:space="0" w:color="auto"/>
            <w:bottom w:val="none" w:sz="0" w:space="0" w:color="auto"/>
            <w:right w:val="none" w:sz="0" w:space="0" w:color="auto"/>
          </w:divBdr>
        </w:div>
        <w:div w:id="202134968">
          <w:marLeft w:val="0"/>
          <w:marRight w:val="0"/>
          <w:marTop w:val="0"/>
          <w:marBottom w:val="0"/>
          <w:divBdr>
            <w:top w:val="none" w:sz="0" w:space="0" w:color="auto"/>
            <w:left w:val="none" w:sz="0" w:space="0" w:color="auto"/>
            <w:bottom w:val="none" w:sz="0" w:space="0" w:color="auto"/>
            <w:right w:val="none" w:sz="0" w:space="0" w:color="auto"/>
          </w:divBdr>
        </w:div>
        <w:div w:id="205526902">
          <w:marLeft w:val="0"/>
          <w:marRight w:val="0"/>
          <w:marTop w:val="0"/>
          <w:marBottom w:val="0"/>
          <w:divBdr>
            <w:top w:val="none" w:sz="0" w:space="0" w:color="auto"/>
            <w:left w:val="none" w:sz="0" w:space="0" w:color="auto"/>
            <w:bottom w:val="none" w:sz="0" w:space="0" w:color="auto"/>
            <w:right w:val="none" w:sz="0" w:space="0" w:color="auto"/>
          </w:divBdr>
        </w:div>
        <w:div w:id="225725757">
          <w:marLeft w:val="0"/>
          <w:marRight w:val="0"/>
          <w:marTop w:val="0"/>
          <w:marBottom w:val="0"/>
          <w:divBdr>
            <w:top w:val="none" w:sz="0" w:space="0" w:color="auto"/>
            <w:left w:val="none" w:sz="0" w:space="0" w:color="auto"/>
            <w:bottom w:val="none" w:sz="0" w:space="0" w:color="auto"/>
            <w:right w:val="none" w:sz="0" w:space="0" w:color="auto"/>
          </w:divBdr>
        </w:div>
        <w:div w:id="267155383">
          <w:marLeft w:val="0"/>
          <w:marRight w:val="0"/>
          <w:marTop w:val="0"/>
          <w:marBottom w:val="0"/>
          <w:divBdr>
            <w:top w:val="none" w:sz="0" w:space="0" w:color="auto"/>
            <w:left w:val="none" w:sz="0" w:space="0" w:color="auto"/>
            <w:bottom w:val="none" w:sz="0" w:space="0" w:color="auto"/>
            <w:right w:val="none" w:sz="0" w:space="0" w:color="auto"/>
          </w:divBdr>
        </w:div>
        <w:div w:id="310797021">
          <w:marLeft w:val="0"/>
          <w:marRight w:val="0"/>
          <w:marTop w:val="0"/>
          <w:marBottom w:val="0"/>
          <w:divBdr>
            <w:top w:val="none" w:sz="0" w:space="0" w:color="auto"/>
            <w:left w:val="none" w:sz="0" w:space="0" w:color="auto"/>
            <w:bottom w:val="none" w:sz="0" w:space="0" w:color="auto"/>
            <w:right w:val="none" w:sz="0" w:space="0" w:color="auto"/>
          </w:divBdr>
        </w:div>
        <w:div w:id="327247744">
          <w:marLeft w:val="0"/>
          <w:marRight w:val="0"/>
          <w:marTop w:val="0"/>
          <w:marBottom w:val="0"/>
          <w:divBdr>
            <w:top w:val="none" w:sz="0" w:space="0" w:color="auto"/>
            <w:left w:val="none" w:sz="0" w:space="0" w:color="auto"/>
            <w:bottom w:val="none" w:sz="0" w:space="0" w:color="auto"/>
            <w:right w:val="none" w:sz="0" w:space="0" w:color="auto"/>
          </w:divBdr>
        </w:div>
        <w:div w:id="380331266">
          <w:marLeft w:val="0"/>
          <w:marRight w:val="0"/>
          <w:marTop w:val="0"/>
          <w:marBottom w:val="0"/>
          <w:divBdr>
            <w:top w:val="none" w:sz="0" w:space="0" w:color="auto"/>
            <w:left w:val="none" w:sz="0" w:space="0" w:color="auto"/>
            <w:bottom w:val="none" w:sz="0" w:space="0" w:color="auto"/>
            <w:right w:val="none" w:sz="0" w:space="0" w:color="auto"/>
          </w:divBdr>
        </w:div>
        <w:div w:id="384109759">
          <w:marLeft w:val="0"/>
          <w:marRight w:val="0"/>
          <w:marTop w:val="0"/>
          <w:marBottom w:val="0"/>
          <w:divBdr>
            <w:top w:val="none" w:sz="0" w:space="0" w:color="auto"/>
            <w:left w:val="none" w:sz="0" w:space="0" w:color="auto"/>
            <w:bottom w:val="none" w:sz="0" w:space="0" w:color="auto"/>
            <w:right w:val="none" w:sz="0" w:space="0" w:color="auto"/>
          </w:divBdr>
        </w:div>
        <w:div w:id="395279094">
          <w:marLeft w:val="0"/>
          <w:marRight w:val="0"/>
          <w:marTop w:val="0"/>
          <w:marBottom w:val="0"/>
          <w:divBdr>
            <w:top w:val="none" w:sz="0" w:space="0" w:color="auto"/>
            <w:left w:val="none" w:sz="0" w:space="0" w:color="auto"/>
            <w:bottom w:val="none" w:sz="0" w:space="0" w:color="auto"/>
            <w:right w:val="none" w:sz="0" w:space="0" w:color="auto"/>
          </w:divBdr>
        </w:div>
        <w:div w:id="428963463">
          <w:marLeft w:val="0"/>
          <w:marRight w:val="0"/>
          <w:marTop w:val="0"/>
          <w:marBottom w:val="0"/>
          <w:divBdr>
            <w:top w:val="none" w:sz="0" w:space="0" w:color="auto"/>
            <w:left w:val="none" w:sz="0" w:space="0" w:color="auto"/>
            <w:bottom w:val="none" w:sz="0" w:space="0" w:color="auto"/>
            <w:right w:val="none" w:sz="0" w:space="0" w:color="auto"/>
          </w:divBdr>
        </w:div>
        <w:div w:id="436603245">
          <w:marLeft w:val="0"/>
          <w:marRight w:val="0"/>
          <w:marTop w:val="0"/>
          <w:marBottom w:val="0"/>
          <w:divBdr>
            <w:top w:val="none" w:sz="0" w:space="0" w:color="auto"/>
            <w:left w:val="none" w:sz="0" w:space="0" w:color="auto"/>
            <w:bottom w:val="none" w:sz="0" w:space="0" w:color="auto"/>
            <w:right w:val="none" w:sz="0" w:space="0" w:color="auto"/>
          </w:divBdr>
        </w:div>
        <w:div w:id="443305531">
          <w:marLeft w:val="0"/>
          <w:marRight w:val="0"/>
          <w:marTop w:val="0"/>
          <w:marBottom w:val="0"/>
          <w:divBdr>
            <w:top w:val="none" w:sz="0" w:space="0" w:color="auto"/>
            <w:left w:val="none" w:sz="0" w:space="0" w:color="auto"/>
            <w:bottom w:val="none" w:sz="0" w:space="0" w:color="auto"/>
            <w:right w:val="none" w:sz="0" w:space="0" w:color="auto"/>
          </w:divBdr>
        </w:div>
        <w:div w:id="450707604">
          <w:marLeft w:val="0"/>
          <w:marRight w:val="0"/>
          <w:marTop w:val="0"/>
          <w:marBottom w:val="0"/>
          <w:divBdr>
            <w:top w:val="none" w:sz="0" w:space="0" w:color="auto"/>
            <w:left w:val="none" w:sz="0" w:space="0" w:color="auto"/>
            <w:bottom w:val="none" w:sz="0" w:space="0" w:color="auto"/>
            <w:right w:val="none" w:sz="0" w:space="0" w:color="auto"/>
          </w:divBdr>
        </w:div>
        <w:div w:id="522086234">
          <w:marLeft w:val="0"/>
          <w:marRight w:val="0"/>
          <w:marTop w:val="0"/>
          <w:marBottom w:val="0"/>
          <w:divBdr>
            <w:top w:val="none" w:sz="0" w:space="0" w:color="auto"/>
            <w:left w:val="none" w:sz="0" w:space="0" w:color="auto"/>
            <w:bottom w:val="none" w:sz="0" w:space="0" w:color="auto"/>
            <w:right w:val="none" w:sz="0" w:space="0" w:color="auto"/>
          </w:divBdr>
        </w:div>
        <w:div w:id="535587187">
          <w:marLeft w:val="0"/>
          <w:marRight w:val="0"/>
          <w:marTop w:val="0"/>
          <w:marBottom w:val="0"/>
          <w:divBdr>
            <w:top w:val="none" w:sz="0" w:space="0" w:color="auto"/>
            <w:left w:val="none" w:sz="0" w:space="0" w:color="auto"/>
            <w:bottom w:val="none" w:sz="0" w:space="0" w:color="auto"/>
            <w:right w:val="none" w:sz="0" w:space="0" w:color="auto"/>
          </w:divBdr>
        </w:div>
        <w:div w:id="613832288">
          <w:marLeft w:val="0"/>
          <w:marRight w:val="0"/>
          <w:marTop w:val="0"/>
          <w:marBottom w:val="0"/>
          <w:divBdr>
            <w:top w:val="none" w:sz="0" w:space="0" w:color="auto"/>
            <w:left w:val="none" w:sz="0" w:space="0" w:color="auto"/>
            <w:bottom w:val="none" w:sz="0" w:space="0" w:color="auto"/>
            <w:right w:val="none" w:sz="0" w:space="0" w:color="auto"/>
          </w:divBdr>
        </w:div>
        <w:div w:id="618992808">
          <w:marLeft w:val="0"/>
          <w:marRight w:val="0"/>
          <w:marTop w:val="0"/>
          <w:marBottom w:val="0"/>
          <w:divBdr>
            <w:top w:val="none" w:sz="0" w:space="0" w:color="auto"/>
            <w:left w:val="none" w:sz="0" w:space="0" w:color="auto"/>
            <w:bottom w:val="none" w:sz="0" w:space="0" w:color="auto"/>
            <w:right w:val="none" w:sz="0" w:space="0" w:color="auto"/>
          </w:divBdr>
        </w:div>
        <w:div w:id="631523151">
          <w:marLeft w:val="0"/>
          <w:marRight w:val="0"/>
          <w:marTop w:val="0"/>
          <w:marBottom w:val="0"/>
          <w:divBdr>
            <w:top w:val="none" w:sz="0" w:space="0" w:color="auto"/>
            <w:left w:val="none" w:sz="0" w:space="0" w:color="auto"/>
            <w:bottom w:val="none" w:sz="0" w:space="0" w:color="auto"/>
            <w:right w:val="none" w:sz="0" w:space="0" w:color="auto"/>
          </w:divBdr>
        </w:div>
        <w:div w:id="709721730">
          <w:marLeft w:val="0"/>
          <w:marRight w:val="0"/>
          <w:marTop w:val="0"/>
          <w:marBottom w:val="0"/>
          <w:divBdr>
            <w:top w:val="none" w:sz="0" w:space="0" w:color="auto"/>
            <w:left w:val="none" w:sz="0" w:space="0" w:color="auto"/>
            <w:bottom w:val="none" w:sz="0" w:space="0" w:color="auto"/>
            <w:right w:val="none" w:sz="0" w:space="0" w:color="auto"/>
          </w:divBdr>
        </w:div>
        <w:div w:id="717438300">
          <w:marLeft w:val="0"/>
          <w:marRight w:val="0"/>
          <w:marTop w:val="0"/>
          <w:marBottom w:val="0"/>
          <w:divBdr>
            <w:top w:val="none" w:sz="0" w:space="0" w:color="auto"/>
            <w:left w:val="none" w:sz="0" w:space="0" w:color="auto"/>
            <w:bottom w:val="none" w:sz="0" w:space="0" w:color="auto"/>
            <w:right w:val="none" w:sz="0" w:space="0" w:color="auto"/>
          </w:divBdr>
        </w:div>
        <w:div w:id="719935829">
          <w:marLeft w:val="0"/>
          <w:marRight w:val="0"/>
          <w:marTop w:val="0"/>
          <w:marBottom w:val="0"/>
          <w:divBdr>
            <w:top w:val="none" w:sz="0" w:space="0" w:color="auto"/>
            <w:left w:val="none" w:sz="0" w:space="0" w:color="auto"/>
            <w:bottom w:val="none" w:sz="0" w:space="0" w:color="auto"/>
            <w:right w:val="none" w:sz="0" w:space="0" w:color="auto"/>
          </w:divBdr>
        </w:div>
        <w:div w:id="723018593">
          <w:marLeft w:val="0"/>
          <w:marRight w:val="0"/>
          <w:marTop w:val="0"/>
          <w:marBottom w:val="0"/>
          <w:divBdr>
            <w:top w:val="none" w:sz="0" w:space="0" w:color="auto"/>
            <w:left w:val="none" w:sz="0" w:space="0" w:color="auto"/>
            <w:bottom w:val="none" w:sz="0" w:space="0" w:color="auto"/>
            <w:right w:val="none" w:sz="0" w:space="0" w:color="auto"/>
          </w:divBdr>
        </w:div>
        <w:div w:id="732510080">
          <w:marLeft w:val="0"/>
          <w:marRight w:val="0"/>
          <w:marTop w:val="0"/>
          <w:marBottom w:val="0"/>
          <w:divBdr>
            <w:top w:val="none" w:sz="0" w:space="0" w:color="auto"/>
            <w:left w:val="none" w:sz="0" w:space="0" w:color="auto"/>
            <w:bottom w:val="none" w:sz="0" w:space="0" w:color="auto"/>
            <w:right w:val="none" w:sz="0" w:space="0" w:color="auto"/>
          </w:divBdr>
        </w:div>
        <w:div w:id="844436813">
          <w:marLeft w:val="0"/>
          <w:marRight w:val="0"/>
          <w:marTop w:val="0"/>
          <w:marBottom w:val="0"/>
          <w:divBdr>
            <w:top w:val="none" w:sz="0" w:space="0" w:color="auto"/>
            <w:left w:val="none" w:sz="0" w:space="0" w:color="auto"/>
            <w:bottom w:val="none" w:sz="0" w:space="0" w:color="auto"/>
            <w:right w:val="none" w:sz="0" w:space="0" w:color="auto"/>
          </w:divBdr>
        </w:div>
        <w:div w:id="888417160">
          <w:marLeft w:val="0"/>
          <w:marRight w:val="0"/>
          <w:marTop w:val="0"/>
          <w:marBottom w:val="0"/>
          <w:divBdr>
            <w:top w:val="none" w:sz="0" w:space="0" w:color="auto"/>
            <w:left w:val="none" w:sz="0" w:space="0" w:color="auto"/>
            <w:bottom w:val="none" w:sz="0" w:space="0" w:color="auto"/>
            <w:right w:val="none" w:sz="0" w:space="0" w:color="auto"/>
          </w:divBdr>
        </w:div>
        <w:div w:id="892086168">
          <w:marLeft w:val="0"/>
          <w:marRight w:val="0"/>
          <w:marTop w:val="0"/>
          <w:marBottom w:val="0"/>
          <w:divBdr>
            <w:top w:val="none" w:sz="0" w:space="0" w:color="auto"/>
            <w:left w:val="none" w:sz="0" w:space="0" w:color="auto"/>
            <w:bottom w:val="none" w:sz="0" w:space="0" w:color="auto"/>
            <w:right w:val="none" w:sz="0" w:space="0" w:color="auto"/>
          </w:divBdr>
        </w:div>
        <w:div w:id="920212473">
          <w:marLeft w:val="0"/>
          <w:marRight w:val="0"/>
          <w:marTop w:val="0"/>
          <w:marBottom w:val="0"/>
          <w:divBdr>
            <w:top w:val="none" w:sz="0" w:space="0" w:color="auto"/>
            <w:left w:val="none" w:sz="0" w:space="0" w:color="auto"/>
            <w:bottom w:val="none" w:sz="0" w:space="0" w:color="auto"/>
            <w:right w:val="none" w:sz="0" w:space="0" w:color="auto"/>
          </w:divBdr>
        </w:div>
        <w:div w:id="933243105">
          <w:marLeft w:val="0"/>
          <w:marRight w:val="0"/>
          <w:marTop w:val="0"/>
          <w:marBottom w:val="0"/>
          <w:divBdr>
            <w:top w:val="none" w:sz="0" w:space="0" w:color="auto"/>
            <w:left w:val="none" w:sz="0" w:space="0" w:color="auto"/>
            <w:bottom w:val="none" w:sz="0" w:space="0" w:color="auto"/>
            <w:right w:val="none" w:sz="0" w:space="0" w:color="auto"/>
          </w:divBdr>
        </w:div>
        <w:div w:id="950433816">
          <w:marLeft w:val="0"/>
          <w:marRight w:val="0"/>
          <w:marTop w:val="0"/>
          <w:marBottom w:val="0"/>
          <w:divBdr>
            <w:top w:val="none" w:sz="0" w:space="0" w:color="auto"/>
            <w:left w:val="none" w:sz="0" w:space="0" w:color="auto"/>
            <w:bottom w:val="none" w:sz="0" w:space="0" w:color="auto"/>
            <w:right w:val="none" w:sz="0" w:space="0" w:color="auto"/>
          </w:divBdr>
        </w:div>
        <w:div w:id="984818515">
          <w:marLeft w:val="0"/>
          <w:marRight w:val="0"/>
          <w:marTop w:val="0"/>
          <w:marBottom w:val="0"/>
          <w:divBdr>
            <w:top w:val="none" w:sz="0" w:space="0" w:color="auto"/>
            <w:left w:val="none" w:sz="0" w:space="0" w:color="auto"/>
            <w:bottom w:val="none" w:sz="0" w:space="0" w:color="auto"/>
            <w:right w:val="none" w:sz="0" w:space="0" w:color="auto"/>
          </w:divBdr>
        </w:div>
        <w:div w:id="1055471922">
          <w:marLeft w:val="0"/>
          <w:marRight w:val="0"/>
          <w:marTop w:val="0"/>
          <w:marBottom w:val="0"/>
          <w:divBdr>
            <w:top w:val="none" w:sz="0" w:space="0" w:color="auto"/>
            <w:left w:val="none" w:sz="0" w:space="0" w:color="auto"/>
            <w:bottom w:val="none" w:sz="0" w:space="0" w:color="auto"/>
            <w:right w:val="none" w:sz="0" w:space="0" w:color="auto"/>
          </w:divBdr>
        </w:div>
        <w:div w:id="1094941671">
          <w:marLeft w:val="0"/>
          <w:marRight w:val="0"/>
          <w:marTop w:val="0"/>
          <w:marBottom w:val="0"/>
          <w:divBdr>
            <w:top w:val="none" w:sz="0" w:space="0" w:color="auto"/>
            <w:left w:val="none" w:sz="0" w:space="0" w:color="auto"/>
            <w:bottom w:val="none" w:sz="0" w:space="0" w:color="auto"/>
            <w:right w:val="none" w:sz="0" w:space="0" w:color="auto"/>
          </w:divBdr>
        </w:div>
        <w:div w:id="1137063612">
          <w:marLeft w:val="0"/>
          <w:marRight w:val="0"/>
          <w:marTop w:val="0"/>
          <w:marBottom w:val="0"/>
          <w:divBdr>
            <w:top w:val="none" w:sz="0" w:space="0" w:color="auto"/>
            <w:left w:val="none" w:sz="0" w:space="0" w:color="auto"/>
            <w:bottom w:val="none" w:sz="0" w:space="0" w:color="auto"/>
            <w:right w:val="none" w:sz="0" w:space="0" w:color="auto"/>
          </w:divBdr>
        </w:div>
        <w:div w:id="1141729811">
          <w:marLeft w:val="0"/>
          <w:marRight w:val="0"/>
          <w:marTop w:val="0"/>
          <w:marBottom w:val="0"/>
          <w:divBdr>
            <w:top w:val="none" w:sz="0" w:space="0" w:color="auto"/>
            <w:left w:val="none" w:sz="0" w:space="0" w:color="auto"/>
            <w:bottom w:val="none" w:sz="0" w:space="0" w:color="auto"/>
            <w:right w:val="none" w:sz="0" w:space="0" w:color="auto"/>
          </w:divBdr>
        </w:div>
        <w:div w:id="1164663672">
          <w:marLeft w:val="0"/>
          <w:marRight w:val="0"/>
          <w:marTop w:val="0"/>
          <w:marBottom w:val="0"/>
          <w:divBdr>
            <w:top w:val="none" w:sz="0" w:space="0" w:color="auto"/>
            <w:left w:val="none" w:sz="0" w:space="0" w:color="auto"/>
            <w:bottom w:val="none" w:sz="0" w:space="0" w:color="auto"/>
            <w:right w:val="none" w:sz="0" w:space="0" w:color="auto"/>
          </w:divBdr>
        </w:div>
        <w:div w:id="1167866273">
          <w:marLeft w:val="0"/>
          <w:marRight w:val="0"/>
          <w:marTop w:val="0"/>
          <w:marBottom w:val="0"/>
          <w:divBdr>
            <w:top w:val="none" w:sz="0" w:space="0" w:color="auto"/>
            <w:left w:val="none" w:sz="0" w:space="0" w:color="auto"/>
            <w:bottom w:val="none" w:sz="0" w:space="0" w:color="auto"/>
            <w:right w:val="none" w:sz="0" w:space="0" w:color="auto"/>
          </w:divBdr>
        </w:div>
        <w:div w:id="1191869350">
          <w:marLeft w:val="0"/>
          <w:marRight w:val="0"/>
          <w:marTop w:val="0"/>
          <w:marBottom w:val="0"/>
          <w:divBdr>
            <w:top w:val="none" w:sz="0" w:space="0" w:color="auto"/>
            <w:left w:val="none" w:sz="0" w:space="0" w:color="auto"/>
            <w:bottom w:val="none" w:sz="0" w:space="0" w:color="auto"/>
            <w:right w:val="none" w:sz="0" w:space="0" w:color="auto"/>
          </w:divBdr>
        </w:div>
        <w:div w:id="1193229367">
          <w:marLeft w:val="0"/>
          <w:marRight w:val="0"/>
          <w:marTop w:val="0"/>
          <w:marBottom w:val="0"/>
          <w:divBdr>
            <w:top w:val="none" w:sz="0" w:space="0" w:color="auto"/>
            <w:left w:val="none" w:sz="0" w:space="0" w:color="auto"/>
            <w:bottom w:val="none" w:sz="0" w:space="0" w:color="auto"/>
            <w:right w:val="none" w:sz="0" w:space="0" w:color="auto"/>
          </w:divBdr>
        </w:div>
        <w:div w:id="1239746434">
          <w:marLeft w:val="0"/>
          <w:marRight w:val="0"/>
          <w:marTop w:val="0"/>
          <w:marBottom w:val="0"/>
          <w:divBdr>
            <w:top w:val="none" w:sz="0" w:space="0" w:color="auto"/>
            <w:left w:val="none" w:sz="0" w:space="0" w:color="auto"/>
            <w:bottom w:val="none" w:sz="0" w:space="0" w:color="auto"/>
            <w:right w:val="none" w:sz="0" w:space="0" w:color="auto"/>
          </w:divBdr>
        </w:div>
        <w:div w:id="1263536564">
          <w:marLeft w:val="0"/>
          <w:marRight w:val="0"/>
          <w:marTop w:val="0"/>
          <w:marBottom w:val="0"/>
          <w:divBdr>
            <w:top w:val="none" w:sz="0" w:space="0" w:color="auto"/>
            <w:left w:val="none" w:sz="0" w:space="0" w:color="auto"/>
            <w:bottom w:val="none" w:sz="0" w:space="0" w:color="auto"/>
            <w:right w:val="none" w:sz="0" w:space="0" w:color="auto"/>
          </w:divBdr>
        </w:div>
        <w:div w:id="1290436584">
          <w:marLeft w:val="0"/>
          <w:marRight w:val="0"/>
          <w:marTop w:val="0"/>
          <w:marBottom w:val="0"/>
          <w:divBdr>
            <w:top w:val="none" w:sz="0" w:space="0" w:color="auto"/>
            <w:left w:val="none" w:sz="0" w:space="0" w:color="auto"/>
            <w:bottom w:val="none" w:sz="0" w:space="0" w:color="auto"/>
            <w:right w:val="none" w:sz="0" w:space="0" w:color="auto"/>
          </w:divBdr>
        </w:div>
        <w:div w:id="1291666474">
          <w:marLeft w:val="0"/>
          <w:marRight w:val="0"/>
          <w:marTop w:val="0"/>
          <w:marBottom w:val="0"/>
          <w:divBdr>
            <w:top w:val="none" w:sz="0" w:space="0" w:color="auto"/>
            <w:left w:val="none" w:sz="0" w:space="0" w:color="auto"/>
            <w:bottom w:val="none" w:sz="0" w:space="0" w:color="auto"/>
            <w:right w:val="none" w:sz="0" w:space="0" w:color="auto"/>
          </w:divBdr>
        </w:div>
        <w:div w:id="1309751934">
          <w:marLeft w:val="0"/>
          <w:marRight w:val="0"/>
          <w:marTop w:val="0"/>
          <w:marBottom w:val="0"/>
          <w:divBdr>
            <w:top w:val="none" w:sz="0" w:space="0" w:color="auto"/>
            <w:left w:val="none" w:sz="0" w:space="0" w:color="auto"/>
            <w:bottom w:val="none" w:sz="0" w:space="0" w:color="auto"/>
            <w:right w:val="none" w:sz="0" w:space="0" w:color="auto"/>
          </w:divBdr>
        </w:div>
        <w:div w:id="1314720866">
          <w:marLeft w:val="0"/>
          <w:marRight w:val="0"/>
          <w:marTop w:val="0"/>
          <w:marBottom w:val="0"/>
          <w:divBdr>
            <w:top w:val="none" w:sz="0" w:space="0" w:color="auto"/>
            <w:left w:val="none" w:sz="0" w:space="0" w:color="auto"/>
            <w:bottom w:val="none" w:sz="0" w:space="0" w:color="auto"/>
            <w:right w:val="none" w:sz="0" w:space="0" w:color="auto"/>
          </w:divBdr>
        </w:div>
        <w:div w:id="1340693611">
          <w:marLeft w:val="0"/>
          <w:marRight w:val="0"/>
          <w:marTop w:val="0"/>
          <w:marBottom w:val="0"/>
          <w:divBdr>
            <w:top w:val="none" w:sz="0" w:space="0" w:color="auto"/>
            <w:left w:val="none" w:sz="0" w:space="0" w:color="auto"/>
            <w:bottom w:val="none" w:sz="0" w:space="0" w:color="auto"/>
            <w:right w:val="none" w:sz="0" w:space="0" w:color="auto"/>
          </w:divBdr>
        </w:div>
        <w:div w:id="1389302206">
          <w:marLeft w:val="0"/>
          <w:marRight w:val="0"/>
          <w:marTop w:val="0"/>
          <w:marBottom w:val="0"/>
          <w:divBdr>
            <w:top w:val="none" w:sz="0" w:space="0" w:color="auto"/>
            <w:left w:val="none" w:sz="0" w:space="0" w:color="auto"/>
            <w:bottom w:val="none" w:sz="0" w:space="0" w:color="auto"/>
            <w:right w:val="none" w:sz="0" w:space="0" w:color="auto"/>
          </w:divBdr>
        </w:div>
        <w:div w:id="1389836463">
          <w:marLeft w:val="0"/>
          <w:marRight w:val="0"/>
          <w:marTop w:val="0"/>
          <w:marBottom w:val="0"/>
          <w:divBdr>
            <w:top w:val="none" w:sz="0" w:space="0" w:color="auto"/>
            <w:left w:val="none" w:sz="0" w:space="0" w:color="auto"/>
            <w:bottom w:val="none" w:sz="0" w:space="0" w:color="auto"/>
            <w:right w:val="none" w:sz="0" w:space="0" w:color="auto"/>
          </w:divBdr>
        </w:div>
        <w:div w:id="1396320161">
          <w:marLeft w:val="0"/>
          <w:marRight w:val="0"/>
          <w:marTop w:val="0"/>
          <w:marBottom w:val="0"/>
          <w:divBdr>
            <w:top w:val="none" w:sz="0" w:space="0" w:color="auto"/>
            <w:left w:val="none" w:sz="0" w:space="0" w:color="auto"/>
            <w:bottom w:val="none" w:sz="0" w:space="0" w:color="auto"/>
            <w:right w:val="none" w:sz="0" w:space="0" w:color="auto"/>
          </w:divBdr>
        </w:div>
        <w:div w:id="1396389196">
          <w:marLeft w:val="0"/>
          <w:marRight w:val="0"/>
          <w:marTop w:val="0"/>
          <w:marBottom w:val="0"/>
          <w:divBdr>
            <w:top w:val="none" w:sz="0" w:space="0" w:color="auto"/>
            <w:left w:val="none" w:sz="0" w:space="0" w:color="auto"/>
            <w:bottom w:val="none" w:sz="0" w:space="0" w:color="auto"/>
            <w:right w:val="none" w:sz="0" w:space="0" w:color="auto"/>
          </w:divBdr>
        </w:div>
        <w:div w:id="1398742112">
          <w:marLeft w:val="0"/>
          <w:marRight w:val="0"/>
          <w:marTop w:val="0"/>
          <w:marBottom w:val="0"/>
          <w:divBdr>
            <w:top w:val="none" w:sz="0" w:space="0" w:color="auto"/>
            <w:left w:val="none" w:sz="0" w:space="0" w:color="auto"/>
            <w:bottom w:val="none" w:sz="0" w:space="0" w:color="auto"/>
            <w:right w:val="none" w:sz="0" w:space="0" w:color="auto"/>
          </w:divBdr>
        </w:div>
        <w:div w:id="1428888782">
          <w:marLeft w:val="0"/>
          <w:marRight w:val="0"/>
          <w:marTop w:val="0"/>
          <w:marBottom w:val="0"/>
          <w:divBdr>
            <w:top w:val="none" w:sz="0" w:space="0" w:color="auto"/>
            <w:left w:val="none" w:sz="0" w:space="0" w:color="auto"/>
            <w:bottom w:val="none" w:sz="0" w:space="0" w:color="auto"/>
            <w:right w:val="none" w:sz="0" w:space="0" w:color="auto"/>
          </w:divBdr>
        </w:div>
        <w:div w:id="1456603233">
          <w:marLeft w:val="0"/>
          <w:marRight w:val="0"/>
          <w:marTop w:val="0"/>
          <w:marBottom w:val="0"/>
          <w:divBdr>
            <w:top w:val="none" w:sz="0" w:space="0" w:color="auto"/>
            <w:left w:val="none" w:sz="0" w:space="0" w:color="auto"/>
            <w:bottom w:val="none" w:sz="0" w:space="0" w:color="auto"/>
            <w:right w:val="none" w:sz="0" w:space="0" w:color="auto"/>
          </w:divBdr>
        </w:div>
        <w:div w:id="1529175308">
          <w:marLeft w:val="0"/>
          <w:marRight w:val="0"/>
          <w:marTop w:val="0"/>
          <w:marBottom w:val="0"/>
          <w:divBdr>
            <w:top w:val="none" w:sz="0" w:space="0" w:color="auto"/>
            <w:left w:val="none" w:sz="0" w:space="0" w:color="auto"/>
            <w:bottom w:val="none" w:sz="0" w:space="0" w:color="auto"/>
            <w:right w:val="none" w:sz="0" w:space="0" w:color="auto"/>
          </w:divBdr>
        </w:div>
        <w:div w:id="1551073001">
          <w:marLeft w:val="0"/>
          <w:marRight w:val="0"/>
          <w:marTop w:val="0"/>
          <w:marBottom w:val="0"/>
          <w:divBdr>
            <w:top w:val="none" w:sz="0" w:space="0" w:color="auto"/>
            <w:left w:val="none" w:sz="0" w:space="0" w:color="auto"/>
            <w:bottom w:val="none" w:sz="0" w:space="0" w:color="auto"/>
            <w:right w:val="none" w:sz="0" w:space="0" w:color="auto"/>
          </w:divBdr>
        </w:div>
        <w:div w:id="1585069327">
          <w:marLeft w:val="0"/>
          <w:marRight w:val="0"/>
          <w:marTop w:val="0"/>
          <w:marBottom w:val="0"/>
          <w:divBdr>
            <w:top w:val="none" w:sz="0" w:space="0" w:color="auto"/>
            <w:left w:val="none" w:sz="0" w:space="0" w:color="auto"/>
            <w:bottom w:val="none" w:sz="0" w:space="0" w:color="auto"/>
            <w:right w:val="none" w:sz="0" w:space="0" w:color="auto"/>
          </w:divBdr>
        </w:div>
        <w:div w:id="1632056719">
          <w:marLeft w:val="0"/>
          <w:marRight w:val="0"/>
          <w:marTop w:val="0"/>
          <w:marBottom w:val="0"/>
          <w:divBdr>
            <w:top w:val="none" w:sz="0" w:space="0" w:color="auto"/>
            <w:left w:val="none" w:sz="0" w:space="0" w:color="auto"/>
            <w:bottom w:val="none" w:sz="0" w:space="0" w:color="auto"/>
            <w:right w:val="none" w:sz="0" w:space="0" w:color="auto"/>
          </w:divBdr>
        </w:div>
        <w:div w:id="1742632123">
          <w:marLeft w:val="0"/>
          <w:marRight w:val="0"/>
          <w:marTop w:val="0"/>
          <w:marBottom w:val="0"/>
          <w:divBdr>
            <w:top w:val="none" w:sz="0" w:space="0" w:color="auto"/>
            <w:left w:val="none" w:sz="0" w:space="0" w:color="auto"/>
            <w:bottom w:val="none" w:sz="0" w:space="0" w:color="auto"/>
            <w:right w:val="none" w:sz="0" w:space="0" w:color="auto"/>
          </w:divBdr>
        </w:div>
        <w:div w:id="1838495322">
          <w:marLeft w:val="0"/>
          <w:marRight w:val="0"/>
          <w:marTop w:val="0"/>
          <w:marBottom w:val="0"/>
          <w:divBdr>
            <w:top w:val="none" w:sz="0" w:space="0" w:color="auto"/>
            <w:left w:val="none" w:sz="0" w:space="0" w:color="auto"/>
            <w:bottom w:val="none" w:sz="0" w:space="0" w:color="auto"/>
            <w:right w:val="none" w:sz="0" w:space="0" w:color="auto"/>
          </w:divBdr>
        </w:div>
        <w:div w:id="1886676875">
          <w:marLeft w:val="0"/>
          <w:marRight w:val="0"/>
          <w:marTop w:val="0"/>
          <w:marBottom w:val="0"/>
          <w:divBdr>
            <w:top w:val="none" w:sz="0" w:space="0" w:color="auto"/>
            <w:left w:val="none" w:sz="0" w:space="0" w:color="auto"/>
            <w:bottom w:val="none" w:sz="0" w:space="0" w:color="auto"/>
            <w:right w:val="none" w:sz="0" w:space="0" w:color="auto"/>
          </w:divBdr>
        </w:div>
        <w:div w:id="1895385906">
          <w:marLeft w:val="0"/>
          <w:marRight w:val="0"/>
          <w:marTop w:val="0"/>
          <w:marBottom w:val="0"/>
          <w:divBdr>
            <w:top w:val="none" w:sz="0" w:space="0" w:color="auto"/>
            <w:left w:val="none" w:sz="0" w:space="0" w:color="auto"/>
            <w:bottom w:val="none" w:sz="0" w:space="0" w:color="auto"/>
            <w:right w:val="none" w:sz="0" w:space="0" w:color="auto"/>
          </w:divBdr>
        </w:div>
        <w:div w:id="1905724456">
          <w:marLeft w:val="0"/>
          <w:marRight w:val="0"/>
          <w:marTop w:val="0"/>
          <w:marBottom w:val="0"/>
          <w:divBdr>
            <w:top w:val="none" w:sz="0" w:space="0" w:color="auto"/>
            <w:left w:val="none" w:sz="0" w:space="0" w:color="auto"/>
            <w:bottom w:val="none" w:sz="0" w:space="0" w:color="auto"/>
            <w:right w:val="none" w:sz="0" w:space="0" w:color="auto"/>
          </w:divBdr>
        </w:div>
        <w:div w:id="1912348945">
          <w:marLeft w:val="0"/>
          <w:marRight w:val="0"/>
          <w:marTop w:val="0"/>
          <w:marBottom w:val="0"/>
          <w:divBdr>
            <w:top w:val="none" w:sz="0" w:space="0" w:color="auto"/>
            <w:left w:val="none" w:sz="0" w:space="0" w:color="auto"/>
            <w:bottom w:val="none" w:sz="0" w:space="0" w:color="auto"/>
            <w:right w:val="none" w:sz="0" w:space="0" w:color="auto"/>
          </w:divBdr>
        </w:div>
        <w:div w:id="1916284323">
          <w:marLeft w:val="0"/>
          <w:marRight w:val="0"/>
          <w:marTop w:val="0"/>
          <w:marBottom w:val="0"/>
          <w:divBdr>
            <w:top w:val="none" w:sz="0" w:space="0" w:color="auto"/>
            <w:left w:val="none" w:sz="0" w:space="0" w:color="auto"/>
            <w:bottom w:val="none" w:sz="0" w:space="0" w:color="auto"/>
            <w:right w:val="none" w:sz="0" w:space="0" w:color="auto"/>
          </w:divBdr>
        </w:div>
        <w:div w:id="2018800992">
          <w:marLeft w:val="0"/>
          <w:marRight w:val="0"/>
          <w:marTop w:val="0"/>
          <w:marBottom w:val="0"/>
          <w:divBdr>
            <w:top w:val="none" w:sz="0" w:space="0" w:color="auto"/>
            <w:left w:val="none" w:sz="0" w:space="0" w:color="auto"/>
            <w:bottom w:val="none" w:sz="0" w:space="0" w:color="auto"/>
            <w:right w:val="none" w:sz="0" w:space="0" w:color="auto"/>
          </w:divBdr>
        </w:div>
        <w:div w:id="2048947952">
          <w:marLeft w:val="0"/>
          <w:marRight w:val="0"/>
          <w:marTop w:val="0"/>
          <w:marBottom w:val="0"/>
          <w:divBdr>
            <w:top w:val="none" w:sz="0" w:space="0" w:color="auto"/>
            <w:left w:val="none" w:sz="0" w:space="0" w:color="auto"/>
            <w:bottom w:val="none" w:sz="0" w:space="0" w:color="auto"/>
            <w:right w:val="none" w:sz="0" w:space="0" w:color="auto"/>
          </w:divBdr>
        </w:div>
        <w:div w:id="2057243030">
          <w:marLeft w:val="0"/>
          <w:marRight w:val="0"/>
          <w:marTop w:val="0"/>
          <w:marBottom w:val="0"/>
          <w:divBdr>
            <w:top w:val="none" w:sz="0" w:space="0" w:color="auto"/>
            <w:left w:val="none" w:sz="0" w:space="0" w:color="auto"/>
            <w:bottom w:val="none" w:sz="0" w:space="0" w:color="auto"/>
            <w:right w:val="none" w:sz="0" w:space="0" w:color="auto"/>
          </w:divBdr>
        </w:div>
      </w:divsChild>
    </w:div>
    <w:div w:id="1217157222">
      <w:bodyDiv w:val="1"/>
      <w:marLeft w:val="0"/>
      <w:marRight w:val="0"/>
      <w:marTop w:val="0"/>
      <w:marBottom w:val="0"/>
      <w:divBdr>
        <w:top w:val="none" w:sz="0" w:space="0" w:color="auto"/>
        <w:left w:val="none" w:sz="0" w:space="0" w:color="auto"/>
        <w:bottom w:val="none" w:sz="0" w:space="0" w:color="auto"/>
        <w:right w:val="none" w:sz="0" w:space="0" w:color="auto"/>
      </w:divBdr>
      <w:divsChild>
        <w:div w:id="1123959641">
          <w:marLeft w:val="0"/>
          <w:marRight w:val="0"/>
          <w:marTop w:val="0"/>
          <w:marBottom w:val="0"/>
          <w:divBdr>
            <w:top w:val="none" w:sz="0" w:space="0" w:color="auto"/>
            <w:left w:val="none" w:sz="0" w:space="0" w:color="auto"/>
            <w:bottom w:val="none" w:sz="0" w:space="0" w:color="auto"/>
            <w:right w:val="none" w:sz="0" w:space="0" w:color="auto"/>
          </w:divBdr>
        </w:div>
        <w:div w:id="1363752309">
          <w:marLeft w:val="0"/>
          <w:marRight w:val="0"/>
          <w:marTop w:val="0"/>
          <w:marBottom w:val="0"/>
          <w:divBdr>
            <w:top w:val="none" w:sz="0" w:space="0" w:color="auto"/>
            <w:left w:val="none" w:sz="0" w:space="0" w:color="auto"/>
            <w:bottom w:val="none" w:sz="0" w:space="0" w:color="auto"/>
            <w:right w:val="none" w:sz="0" w:space="0" w:color="auto"/>
          </w:divBdr>
        </w:div>
        <w:div w:id="1577739473">
          <w:marLeft w:val="0"/>
          <w:marRight w:val="0"/>
          <w:marTop w:val="0"/>
          <w:marBottom w:val="0"/>
          <w:divBdr>
            <w:top w:val="none" w:sz="0" w:space="0" w:color="auto"/>
            <w:left w:val="none" w:sz="0" w:space="0" w:color="auto"/>
            <w:bottom w:val="none" w:sz="0" w:space="0" w:color="auto"/>
            <w:right w:val="none" w:sz="0" w:space="0" w:color="auto"/>
          </w:divBdr>
        </w:div>
        <w:div w:id="2104644769">
          <w:marLeft w:val="0"/>
          <w:marRight w:val="0"/>
          <w:marTop w:val="0"/>
          <w:marBottom w:val="0"/>
          <w:divBdr>
            <w:top w:val="none" w:sz="0" w:space="0" w:color="auto"/>
            <w:left w:val="none" w:sz="0" w:space="0" w:color="auto"/>
            <w:bottom w:val="none" w:sz="0" w:space="0" w:color="auto"/>
            <w:right w:val="none" w:sz="0" w:space="0" w:color="auto"/>
          </w:divBdr>
        </w:div>
      </w:divsChild>
    </w:div>
    <w:div w:id="1272518348">
      <w:bodyDiv w:val="1"/>
      <w:marLeft w:val="0"/>
      <w:marRight w:val="0"/>
      <w:marTop w:val="0"/>
      <w:marBottom w:val="0"/>
      <w:divBdr>
        <w:top w:val="none" w:sz="0" w:space="0" w:color="auto"/>
        <w:left w:val="none" w:sz="0" w:space="0" w:color="auto"/>
        <w:bottom w:val="none" w:sz="0" w:space="0" w:color="auto"/>
        <w:right w:val="none" w:sz="0" w:space="0" w:color="auto"/>
      </w:divBdr>
      <w:divsChild>
        <w:div w:id="47269741">
          <w:marLeft w:val="0"/>
          <w:marRight w:val="0"/>
          <w:marTop w:val="0"/>
          <w:marBottom w:val="0"/>
          <w:divBdr>
            <w:top w:val="none" w:sz="0" w:space="0" w:color="auto"/>
            <w:left w:val="none" w:sz="0" w:space="0" w:color="auto"/>
            <w:bottom w:val="none" w:sz="0" w:space="0" w:color="auto"/>
            <w:right w:val="none" w:sz="0" w:space="0" w:color="auto"/>
          </w:divBdr>
        </w:div>
        <w:div w:id="98067016">
          <w:marLeft w:val="0"/>
          <w:marRight w:val="0"/>
          <w:marTop w:val="0"/>
          <w:marBottom w:val="0"/>
          <w:divBdr>
            <w:top w:val="none" w:sz="0" w:space="0" w:color="auto"/>
            <w:left w:val="none" w:sz="0" w:space="0" w:color="auto"/>
            <w:bottom w:val="none" w:sz="0" w:space="0" w:color="auto"/>
            <w:right w:val="none" w:sz="0" w:space="0" w:color="auto"/>
          </w:divBdr>
        </w:div>
        <w:div w:id="954941039">
          <w:marLeft w:val="0"/>
          <w:marRight w:val="0"/>
          <w:marTop w:val="0"/>
          <w:marBottom w:val="0"/>
          <w:divBdr>
            <w:top w:val="none" w:sz="0" w:space="0" w:color="auto"/>
            <w:left w:val="none" w:sz="0" w:space="0" w:color="auto"/>
            <w:bottom w:val="none" w:sz="0" w:space="0" w:color="auto"/>
            <w:right w:val="none" w:sz="0" w:space="0" w:color="auto"/>
          </w:divBdr>
        </w:div>
        <w:div w:id="1054310287">
          <w:marLeft w:val="0"/>
          <w:marRight w:val="0"/>
          <w:marTop w:val="0"/>
          <w:marBottom w:val="0"/>
          <w:divBdr>
            <w:top w:val="none" w:sz="0" w:space="0" w:color="auto"/>
            <w:left w:val="none" w:sz="0" w:space="0" w:color="auto"/>
            <w:bottom w:val="none" w:sz="0" w:space="0" w:color="auto"/>
            <w:right w:val="none" w:sz="0" w:space="0" w:color="auto"/>
          </w:divBdr>
        </w:div>
        <w:div w:id="1887134016">
          <w:marLeft w:val="0"/>
          <w:marRight w:val="0"/>
          <w:marTop w:val="0"/>
          <w:marBottom w:val="0"/>
          <w:divBdr>
            <w:top w:val="none" w:sz="0" w:space="0" w:color="auto"/>
            <w:left w:val="none" w:sz="0" w:space="0" w:color="auto"/>
            <w:bottom w:val="none" w:sz="0" w:space="0" w:color="auto"/>
            <w:right w:val="none" w:sz="0" w:space="0" w:color="auto"/>
          </w:divBdr>
        </w:div>
        <w:div w:id="1958874597">
          <w:marLeft w:val="0"/>
          <w:marRight w:val="0"/>
          <w:marTop w:val="0"/>
          <w:marBottom w:val="0"/>
          <w:divBdr>
            <w:top w:val="none" w:sz="0" w:space="0" w:color="auto"/>
            <w:left w:val="none" w:sz="0" w:space="0" w:color="auto"/>
            <w:bottom w:val="none" w:sz="0" w:space="0" w:color="auto"/>
            <w:right w:val="none" w:sz="0" w:space="0" w:color="auto"/>
          </w:divBdr>
        </w:div>
      </w:divsChild>
    </w:div>
    <w:div w:id="1295910275">
      <w:bodyDiv w:val="1"/>
      <w:marLeft w:val="0"/>
      <w:marRight w:val="0"/>
      <w:marTop w:val="0"/>
      <w:marBottom w:val="0"/>
      <w:divBdr>
        <w:top w:val="none" w:sz="0" w:space="0" w:color="auto"/>
        <w:left w:val="none" w:sz="0" w:space="0" w:color="auto"/>
        <w:bottom w:val="none" w:sz="0" w:space="0" w:color="auto"/>
        <w:right w:val="none" w:sz="0" w:space="0" w:color="auto"/>
      </w:divBdr>
      <w:divsChild>
        <w:div w:id="62076940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1324773403">
          <w:marLeft w:val="0"/>
          <w:marRight w:val="0"/>
          <w:marTop w:val="0"/>
          <w:marBottom w:val="0"/>
          <w:divBdr>
            <w:top w:val="none" w:sz="0" w:space="0" w:color="auto"/>
            <w:left w:val="none" w:sz="0" w:space="0" w:color="auto"/>
            <w:bottom w:val="none" w:sz="0" w:space="0" w:color="auto"/>
            <w:right w:val="none" w:sz="0" w:space="0" w:color="auto"/>
          </w:divBdr>
        </w:div>
        <w:div w:id="1716655783">
          <w:marLeft w:val="0"/>
          <w:marRight w:val="0"/>
          <w:marTop w:val="0"/>
          <w:marBottom w:val="0"/>
          <w:divBdr>
            <w:top w:val="none" w:sz="0" w:space="0" w:color="auto"/>
            <w:left w:val="none" w:sz="0" w:space="0" w:color="auto"/>
            <w:bottom w:val="none" w:sz="0" w:space="0" w:color="auto"/>
            <w:right w:val="none" w:sz="0" w:space="0" w:color="auto"/>
          </w:divBdr>
        </w:div>
      </w:divsChild>
    </w:div>
    <w:div w:id="1420367754">
      <w:bodyDiv w:val="1"/>
      <w:marLeft w:val="0"/>
      <w:marRight w:val="0"/>
      <w:marTop w:val="0"/>
      <w:marBottom w:val="0"/>
      <w:divBdr>
        <w:top w:val="none" w:sz="0" w:space="0" w:color="auto"/>
        <w:left w:val="none" w:sz="0" w:space="0" w:color="auto"/>
        <w:bottom w:val="none" w:sz="0" w:space="0" w:color="auto"/>
        <w:right w:val="none" w:sz="0" w:space="0" w:color="auto"/>
      </w:divBdr>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sChild>
        <w:div w:id="47386137">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924291807">
          <w:marLeft w:val="0"/>
          <w:marRight w:val="0"/>
          <w:marTop w:val="0"/>
          <w:marBottom w:val="0"/>
          <w:divBdr>
            <w:top w:val="none" w:sz="0" w:space="0" w:color="auto"/>
            <w:left w:val="none" w:sz="0" w:space="0" w:color="auto"/>
            <w:bottom w:val="none" w:sz="0" w:space="0" w:color="auto"/>
            <w:right w:val="none" w:sz="0" w:space="0" w:color="auto"/>
          </w:divBdr>
        </w:div>
        <w:div w:id="2018383309">
          <w:marLeft w:val="0"/>
          <w:marRight w:val="0"/>
          <w:marTop w:val="0"/>
          <w:marBottom w:val="0"/>
          <w:divBdr>
            <w:top w:val="none" w:sz="0" w:space="0" w:color="auto"/>
            <w:left w:val="none" w:sz="0" w:space="0" w:color="auto"/>
            <w:bottom w:val="none" w:sz="0" w:space="0" w:color="auto"/>
            <w:right w:val="none" w:sz="0" w:space="0" w:color="auto"/>
          </w:divBdr>
        </w:div>
      </w:divsChild>
    </w:div>
    <w:div w:id="1682928460">
      <w:bodyDiv w:val="1"/>
      <w:marLeft w:val="0"/>
      <w:marRight w:val="0"/>
      <w:marTop w:val="0"/>
      <w:marBottom w:val="0"/>
      <w:divBdr>
        <w:top w:val="none" w:sz="0" w:space="0" w:color="auto"/>
        <w:left w:val="none" w:sz="0" w:space="0" w:color="auto"/>
        <w:bottom w:val="none" w:sz="0" w:space="0" w:color="auto"/>
        <w:right w:val="none" w:sz="0" w:space="0" w:color="auto"/>
      </w:divBdr>
      <w:divsChild>
        <w:div w:id="34939224">
          <w:marLeft w:val="0"/>
          <w:marRight w:val="0"/>
          <w:marTop w:val="0"/>
          <w:marBottom w:val="0"/>
          <w:divBdr>
            <w:top w:val="none" w:sz="0" w:space="0" w:color="auto"/>
            <w:left w:val="none" w:sz="0" w:space="0" w:color="auto"/>
            <w:bottom w:val="none" w:sz="0" w:space="0" w:color="auto"/>
            <w:right w:val="none" w:sz="0" w:space="0" w:color="auto"/>
          </w:divBdr>
        </w:div>
        <w:div w:id="80571450">
          <w:marLeft w:val="0"/>
          <w:marRight w:val="0"/>
          <w:marTop w:val="0"/>
          <w:marBottom w:val="0"/>
          <w:divBdr>
            <w:top w:val="none" w:sz="0" w:space="0" w:color="auto"/>
            <w:left w:val="none" w:sz="0" w:space="0" w:color="auto"/>
            <w:bottom w:val="none" w:sz="0" w:space="0" w:color="auto"/>
            <w:right w:val="none" w:sz="0" w:space="0" w:color="auto"/>
          </w:divBdr>
        </w:div>
        <w:div w:id="127356671">
          <w:marLeft w:val="0"/>
          <w:marRight w:val="0"/>
          <w:marTop w:val="0"/>
          <w:marBottom w:val="0"/>
          <w:divBdr>
            <w:top w:val="none" w:sz="0" w:space="0" w:color="auto"/>
            <w:left w:val="none" w:sz="0" w:space="0" w:color="auto"/>
            <w:bottom w:val="none" w:sz="0" w:space="0" w:color="auto"/>
            <w:right w:val="none" w:sz="0" w:space="0" w:color="auto"/>
          </w:divBdr>
        </w:div>
        <w:div w:id="153498374">
          <w:marLeft w:val="0"/>
          <w:marRight w:val="0"/>
          <w:marTop w:val="0"/>
          <w:marBottom w:val="0"/>
          <w:divBdr>
            <w:top w:val="none" w:sz="0" w:space="0" w:color="auto"/>
            <w:left w:val="none" w:sz="0" w:space="0" w:color="auto"/>
            <w:bottom w:val="none" w:sz="0" w:space="0" w:color="auto"/>
            <w:right w:val="none" w:sz="0" w:space="0" w:color="auto"/>
          </w:divBdr>
        </w:div>
        <w:div w:id="335109148">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390424966">
          <w:marLeft w:val="0"/>
          <w:marRight w:val="0"/>
          <w:marTop w:val="0"/>
          <w:marBottom w:val="0"/>
          <w:divBdr>
            <w:top w:val="none" w:sz="0" w:space="0" w:color="auto"/>
            <w:left w:val="none" w:sz="0" w:space="0" w:color="auto"/>
            <w:bottom w:val="none" w:sz="0" w:space="0" w:color="auto"/>
            <w:right w:val="none" w:sz="0" w:space="0" w:color="auto"/>
          </w:divBdr>
        </w:div>
        <w:div w:id="457379788">
          <w:marLeft w:val="0"/>
          <w:marRight w:val="0"/>
          <w:marTop w:val="0"/>
          <w:marBottom w:val="0"/>
          <w:divBdr>
            <w:top w:val="none" w:sz="0" w:space="0" w:color="auto"/>
            <w:left w:val="none" w:sz="0" w:space="0" w:color="auto"/>
            <w:bottom w:val="none" w:sz="0" w:space="0" w:color="auto"/>
            <w:right w:val="none" w:sz="0" w:space="0" w:color="auto"/>
          </w:divBdr>
        </w:div>
        <w:div w:id="631904238">
          <w:marLeft w:val="0"/>
          <w:marRight w:val="0"/>
          <w:marTop w:val="0"/>
          <w:marBottom w:val="0"/>
          <w:divBdr>
            <w:top w:val="none" w:sz="0" w:space="0" w:color="auto"/>
            <w:left w:val="none" w:sz="0" w:space="0" w:color="auto"/>
            <w:bottom w:val="none" w:sz="0" w:space="0" w:color="auto"/>
            <w:right w:val="none" w:sz="0" w:space="0" w:color="auto"/>
          </w:divBdr>
        </w:div>
        <w:div w:id="909273704">
          <w:marLeft w:val="0"/>
          <w:marRight w:val="0"/>
          <w:marTop w:val="0"/>
          <w:marBottom w:val="0"/>
          <w:divBdr>
            <w:top w:val="none" w:sz="0" w:space="0" w:color="auto"/>
            <w:left w:val="none" w:sz="0" w:space="0" w:color="auto"/>
            <w:bottom w:val="none" w:sz="0" w:space="0" w:color="auto"/>
            <w:right w:val="none" w:sz="0" w:space="0" w:color="auto"/>
          </w:divBdr>
        </w:div>
        <w:div w:id="920722595">
          <w:marLeft w:val="0"/>
          <w:marRight w:val="0"/>
          <w:marTop w:val="0"/>
          <w:marBottom w:val="0"/>
          <w:divBdr>
            <w:top w:val="none" w:sz="0" w:space="0" w:color="auto"/>
            <w:left w:val="none" w:sz="0" w:space="0" w:color="auto"/>
            <w:bottom w:val="none" w:sz="0" w:space="0" w:color="auto"/>
            <w:right w:val="none" w:sz="0" w:space="0" w:color="auto"/>
          </w:divBdr>
        </w:div>
        <w:div w:id="922300460">
          <w:marLeft w:val="0"/>
          <w:marRight w:val="0"/>
          <w:marTop w:val="0"/>
          <w:marBottom w:val="0"/>
          <w:divBdr>
            <w:top w:val="none" w:sz="0" w:space="0" w:color="auto"/>
            <w:left w:val="none" w:sz="0" w:space="0" w:color="auto"/>
            <w:bottom w:val="none" w:sz="0" w:space="0" w:color="auto"/>
            <w:right w:val="none" w:sz="0" w:space="0" w:color="auto"/>
          </w:divBdr>
        </w:div>
        <w:div w:id="1071318877">
          <w:marLeft w:val="0"/>
          <w:marRight w:val="0"/>
          <w:marTop w:val="0"/>
          <w:marBottom w:val="0"/>
          <w:divBdr>
            <w:top w:val="none" w:sz="0" w:space="0" w:color="auto"/>
            <w:left w:val="none" w:sz="0" w:space="0" w:color="auto"/>
            <w:bottom w:val="none" w:sz="0" w:space="0" w:color="auto"/>
            <w:right w:val="none" w:sz="0" w:space="0" w:color="auto"/>
          </w:divBdr>
        </w:div>
        <w:div w:id="1369143256">
          <w:marLeft w:val="0"/>
          <w:marRight w:val="0"/>
          <w:marTop w:val="0"/>
          <w:marBottom w:val="0"/>
          <w:divBdr>
            <w:top w:val="none" w:sz="0" w:space="0" w:color="auto"/>
            <w:left w:val="none" w:sz="0" w:space="0" w:color="auto"/>
            <w:bottom w:val="none" w:sz="0" w:space="0" w:color="auto"/>
            <w:right w:val="none" w:sz="0" w:space="0" w:color="auto"/>
          </w:divBdr>
        </w:div>
        <w:div w:id="1511023666">
          <w:marLeft w:val="0"/>
          <w:marRight w:val="0"/>
          <w:marTop w:val="0"/>
          <w:marBottom w:val="0"/>
          <w:divBdr>
            <w:top w:val="none" w:sz="0" w:space="0" w:color="auto"/>
            <w:left w:val="none" w:sz="0" w:space="0" w:color="auto"/>
            <w:bottom w:val="none" w:sz="0" w:space="0" w:color="auto"/>
            <w:right w:val="none" w:sz="0" w:space="0" w:color="auto"/>
          </w:divBdr>
        </w:div>
        <w:div w:id="1523010449">
          <w:marLeft w:val="0"/>
          <w:marRight w:val="0"/>
          <w:marTop w:val="0"/>
          <w:marBottom w:val="0"/>
          <w:divBdr>
            <w:top w:val="none" w:sz="0" w:space="0" w:color="auto"/>
            <w:left w:val="none" w:sz="0" w:space="0" w:color="auto"/>
            <w:bottom w:val="none" w:sz="0" w:space="0" w:color="auto"/>
            <w:right w:val="none" w:sz="0" w:space="0" w:color="auto"/>
          </w:divBdr>
        </w:div>
        <w:div w:id="2001616367">
          <w:marLeft w:val="0"/>
          <w:marRight w:val="0"/>
          <w:marTop w:val="0"/>
          <w:marBottom w:val="0"/>
          <w:divBdr>
            <w:top w:val="none" w:sz="0" w:space="0" w:color="auto"/>
            <w:left w:val="none" w:sz="0" w:space="0" w:color="auto"/>
            <w:bottom w:val="none" w:sz="0" w:space="0" w:color="auto"/>
            <w:right w:val="none" w:sz="0" w:space="0" w:color="auto"/>
          </w:divBdr>
        </w:div>
      </w:divsChild>
    </w:div>
    <w:div w:id="2039895224">
      <w:bodyDiv w:val="1"/>
      <w:marLeft w:val="0"/>
      <w:marRight w:val="0"/>
      <w:marTop w:val="0"/>
      <w:marBottom w:val="0"/>
      <w:divBdr>
        <w:top w:val="none" w:sz="0" w:space="0" w:color="auto"/>
        <w:left w:val="none" w:sz="0" w:space="0" w:color="auto"/>
        <w:bottom w:val="none" w:sz="0" w:space="0" w:color="auto"/>
        <w:right w:val="none" w:sz="0" w:space="0" w:color="auto"/>
      </w:divBdr>
      <w:divsChild>
        <w:div w:id="68575185">
          <w:marLeft w:val="0"/>
          <w:marRight w:val="0"/>
          <w:marTop w:val="0"/>
          <w:marBottom w:val="0"/>
          <w:divBdr>
            <w:top w:val="none" w:sz="0" w:space="0" w:color="auto"/>
            <w:left w:val="none" w:sz="0" w:space="0" w:color="auto"/>
            <w:bottom w:val="none" w:sz="0" w:space="0" w:color="auto"/>
            <w:right w:val="none" w:sz="0" w:space="0" w:color="auto"/>
          </w:divBdr>
        </w:div>
        <w:div w:id="523985373">
          <w:marLeft w:val="0"/>
          <w:marRight w:val="0"/>
          <w:marTop w:val="0"/>
          <w:marBottom w:val="0"/>
          <w:divBdr>
            <w:top w:val="none" w:sz="0" w:space="0" w:color="auto"/>
            <w:left w:val="none" w:sz="0" w:space="0" w:color="auto"/>
            <w:bottom w:val="none" w:sz="0" w:space="0" w:color="auto"/>
            <w:right w:val="none" w:sz="0" w:space="0" w:color="auto"/>
          </w:divBdr>
        </w:div>
        <w:div w:id="782191574">
          <w:marLeft w:val="0"/>
          <w:marRight w:val="0"/>
          <w:marTop w:val="0"/>
          <w:marBottom w:val="0"/>
          <w:divBdr>
            <w:top w:val="none" w:sz="0" w:space="0" w:color="auto"/>
            <w:left w:val="none" w:sz="0" w:space="0" w:color="auto"/>
            <w:bottom w:val="none" w:sz="0" w:space="0" w:color="auto"/>
            <w:right w:val="none" w:sz="0" w:space="0" w:color="auto"/>
          </w:divBdr>
        </w:div>
        <w:div w:id="1429276589">
          <w:marLeft w:val="0"/>
          <w:marRight w:val="0"/>
          <w:marTop w:val="0"/>
          <w:marBottom w:val="0"/>
          <w:divBdr>
            <w:top w:val="none" w:sz="0" w:space="0" w:color="auto"/>
            <w:left w:val="none" w:sz="0" w:space="0" w:color="auto"/>
            <w:bottom w:val="none" w:sz="0" w:space="0" w:color="auto"/>
            <w:right w:val="none" w:sz="0" w:space="0" w:color="auto"/>
          </w:divBdr>
        </w:div>
        <w:div w:id="1829901836">
          <w:marLeft w:val="0"/>
          <w:marRight w:val="0"/>
          <w:marTop w:val="0"/>
          <w:marBottom w:val="0"/>
          <w:divBdr>
            <w:top w:val="none" w:sz="0" w:space="0" w:color="auto"/>
            <w:left w:val="none" w:sz="0" w:space="0" w:color="auto"/>
            <w:bottom w:val="none" w:sz="0" w:space="0" w:color="auto"/>
            <w:right w:val="none" w:sz="0" w:space="0" w:color="auto"/>
          </w:divBdr>
        </w:div>
        <w:div w:id="1957328535">
          <w:marLeft w:val="0"/>
          <w:marRight w:val="0"/>
          <w:marTop w:val="0"/>
          <w:marBottom w:val="0"/>
          <w:divBdr>
            <w:top w:val="none" w:sz="0" w:space="0" w:color="auto"/>
            <w:left w:val="none" w:sz="0" w:space="0" w:color="auto"/>
            <w:bottom w:val="none" w:sz="0" w:space="0" w:color="auto"/>
            <w:right w:val="none" w:sz="0" w:space="0" w:color="auto"/>
          </w:divBdr>
        </w:div>
      </w:divsChild>
    </w:div>
    <w:div w:id="2129543788">
      <w:bodyDiv w:val="1"/>
      <w:marLeft w:val="0"/>
      <w:marRight w:val="0"/>
      <w:marTop w:val="0"/>
      <w:marBottom w:val="0"/>
      <w:divBdr>
        <w:top w:val="none" w:sz="0" w:space="0" w:color="auto"/>
        <w:left w:val="none" w:sz="0" w:space="0" w:color="auto"/>
        <w:bottom w:val="none" w:sz="0" w:space="0" w:color="auto"/>
        <w:right w:val="none" w:sz="0" w:space="0" w:color="auto"/>
      </w:divBdr>
      <w:divsChild>
        <w:div w:id="278877395">
          <w:marLeft w:val="0"/>
          <w:marRight w:val="0"/>
          <w:marTop w:val="0"/>
          <w:marBottom w:val="0"/>
          <w:divBdr>
            <w:top w:val="none" w:sz="0" w:space="0" w:color="auto"/>
            <w:left w:val="none" w:sz="0" w:space="0" w:color="auto"/>
            <w:bottom w:val="none" w:sz="0" w:space="0" w:color="auto"/>
            <w:right w:val="none" w:sz="0" w:space="0" w:color="auto"/>
          </w:divBdr>
        </w:div>
        <w:div w:id="304774103">
          <w:marLeft w:val="0"/>
          <w:marRight w:val="0"/>
          <w:marTop w:val="0"/>
          <w:marBottom w:val="0"/>
          <w:divBdr>
            <w:top w:val="none" w:sz="0" w:space="0" w:color="auto"/>
            <w:left w:val="none" w:sz="0" w:space="0" w:color="auto"/>
            <w:bottom w:val="none" w:sz="0" w:space="0" w:color="auto"/>
            <w:right w:val="none" w:sz="0" w:space="0" w:color="auto"/>
          </w:divBdr>
        </w:div>
        <w:div w:id="719867858">
          <w:marLeft w:val="0"/>
          <w:marRight w:val="0"/>
          <w:marTop w:val="0"/>
          <w:marBottom w:val="0"/>
          <w:divBdr>
            <w:top w:val="none" w:sz="0" w:space="0" w:color="auto"/>
            <w:left w:val="none" w:sz="0" w:space="0" w:color="auto"/>
            <w:bottom w:val="none" w:sz="0" w:space="0" w:color="auto"/>
            <w:right w:val="none" w:sz="0" w:space="0" w:color="auto"/>
          </w:divBdr>
        </w:div>
        <w:div w:id="1324511147">
          <w:marLeft w:val="0"/>
          <w:marRight w:val="0"/>
          <w:marTop w:val="0"/>
          <w:marBottom w:val="0"/>
          <w:divBdr>
            <w:top w:val="none" w:sz="0" w:space="0" w:color="auto"/>
            <w:left w:val="none" w:sz="0" w:space="0" w:color="auto"/>
            <w:bottom w:val="none" w:sz="0" w:space="0" w:color="auto"/>
            <w:right w:val="none" w:sz="0" w:space="0" w:color="auto"/>
          </w:divBdr>
        </w:div>
        <w:div w:id="1445032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CB0D-EE82-4522-BCDC-75C1271A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5218</Words>
  <Characters>26913</Characters>
  <Application>Microsoft Office Word</Application>
  <DocSecurity>0</DocSecurity>
  <Lines>507</Lines>
  <Paragraphs>145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32016</CharactersWithSpaces>
  <SharedDoc>false</SharedDoc>
  <HLinks>
    <vt:vector size="72" baseType="variant">
      <vt:variant>
        <vt:i4>1769524</vt:i4>
      </vt:variant>
      <vt:variant>
        <vt:i4>68</vt:i4>
      </vt:variant>
      <vt:variant>
        <vt:i4>0</vt:i4>
      </vt:variant>
      <vt:variant>
        <vt:i4>5</vt:i4>
      </vt:variant>
      <vt:variant>
        <vt:lpwstr/>
      </vt:variant>
      <vt:variant>
        <vt:lpwstr>_Toc519088051</vt:lpwstr>
      </vt:variant>
      <vt:variant>
        <vt:i4>1769524</vt:i4>
      </vt:variant>
      <vt:variant>
        <vt:i4>62</vt:i4>
      </vt:variant>
      <vt:variant>
        <vt:i4>0</vt:i4>
      </vt:variant>
      <vt:variant>
        <vt:i4>5</vt:i4>
      </vt:variant>
      <vt:variant>
        <vt:lpwstr/>
      </vt:variant>
      <vt:variant>
        <vt:lpwstr>_Toc519088050</vt:lpwstr>
      </vt:variant>
      <vt:variant>
        <vt:i4>1703988</vt:i4>
      </vt:variant>
      <vt:variant>
        <vt:i4>56</vt:i4>
      </vt:variant>
      <vt:variant>
        <vt:i4>0</vt:i4>
      </vt:variant>
      <vt:variant>
        <vt:i4>5</vt:i4>
      </vt:variant>
      <vt:variant>
        <vt:lpwstr/>
      </vt:variant>
      <vt:variant>
        <vt:lpwstr>_Toc519088049</vt:lpwstr>
      </vt:variant>
      <vt:variant>
        <vt:i4>1703988</vt:i4>
      </vt:variant>
      <vt:variant>
        <vt:i4>50</vt:i4>
      </vt:variant>
      <vt:variant>
        <vt:i4>0</vt:i4>
      </vt:variant>
      <vt:variant>
        <vt:i4>5</vt:i4>
      </vt:variant>
      <vt:variant>
        <vt:lpwstr/>
      </vt:variant>
      <vt:variant>
        <vt:lpwstr>_Toc519088048</vt:lpwstr>
      </vt:variant>
      <vt:variant>
        <vt:i4>1703988</vt:i4>
      </vt:variant>
      <vt:variant>
        <vt:i4>44</vt:i4>
      </vt:variant>
      <vt:variant>
        <vt:i4>0</vt:i4>
      </vt:variant>
      <vt:variant>
        <vt:i4>5</vt:i4>
      </vt:variant>
      <vt:variant>
        <vt:lpwstr/>
      </vt:variant>
      <vt:variant>
        <vt:lpwstr>_Toc519088047</vt:lpwstr>
      </vt:variant>
      <vt:variant>
        <vt:i4>1703988</vt:i4>
      </vt:variant>
      <vt:variant>
        <vt:i4>38</vt:i4>
      </vt:variant>
      <vt:variant>
        <vt:i4>0</vt:i4>
      </vt:variant>
      <vt:variant>
        <vt:i4>5</vt:i4>
      </vt:variant>
      <vt:variant>
        <vt:lpwstr/>
      </vt:variant>
      <vt:variant>
        <vt:lpwstr>_Toc519088046</vt:lpwstr>
      </vt:variant>
      <vt:variant>
        <vt:i4>1703988</vt:i4>
      </vt:variant>
      <vt:variant>
        <vt:i4>32</vt:i4>
      </vt:variant>
      <vt:variant>
        <vt:i4>0</vt:i4>
      </vt:variant>
      <vt:variant>
        <vt:i4>5</vt:i4>
      </vt:variant>
      <vt:variant>
        <vt:lpwstr/>
      </vt:variant>
      <vt:variant>
        <vt:lpwstr>_Toc519088045</vt:lpwstr>
      </vt:variant>
      <vt:variant>
        <vt:i4>1703988</vt:i4>
      </vt:variant>
      <vt:variant>
        <vt:i4>26</vt:i4>
      </vt:variant>
      <vt:variant>
        <vt:i4>0</vt:i4>
      </vt:variant>
      <vt:variant>
        <vt:i4>5</vt:i4>
      </vt:variant>
      <vt:variant>
        <vt:lpwstr/>
      </vt:variant>
      <vt:variant>
        <vt:lpwstr>_Toc519088044</vt:lpwstr>
      </vt:variant>
      <vt:variant>
        <vt:i4>1703988</vt:i4>
      </vt:variant>
      <vt:variant>
        <vt:i4>20</vt:i4>
      </vt:variant>
      <vt:variant>
        <vt:i4>0</vt:i4>
      </vt:variant>
      <vt:variant>
        <vt:i4>5</vt:i4>
      </vt:variant>
      <vt:variant>
        <vt:lpwstr/>
      </vt:variant>
      <vt:variant>
        <vt:lpwstr>_Toc519088043</vt:lpwstr>
      </vt:variant>
      <vt:variant>
        <vt:i4>1703988</vt:i4>
      </vt:variant>
      <vt:variant>
        <vt:i4>14</vt:i4>
      </vt:variant>
      <vt:variant>
        <vt:i4>0</vt:i4>
      </vt:variant>
      <vt:variant>
        <vt:i4>5</vt:i4>
      </vt:variant>
      <vt:variant>
        <vt:lpwstr/>
      </vt:variant>
      <vt:variant>
        <vt:lpwstr>_Toc519088042</vt:lpwstr>
      </vt:variant>
      <vt:variant>
        <vt:i4>1703988</vt:i4>
      </vt:variant>
      <vt:variant>
        <vt:i4>8</vt:i4>
      </vt:variant>
      <vt:variant>
        <vt:i4>0</vt:i4>
      </vt:variant>
      <vt:variant>
        <vt:i4>5</vt:i4>
      </vt:variant>
      <vt:variant>
        <vt:lpwstr/>
      </vt:variant>
      <vt:variant>
        <vt:lpwstr>_Toc519088041</vt:lpwstr>
      </vt:variant>
      <vt:variant>
        <vt:i4>1703988</vt:i4>
      </vt:variant>
      <vt:variant>
        <vt:i4>2</vt:i4>
      </vt:variant>
      <vt:variant>
        <vt:i4>0</vt:i4>
      </vt:variant>
      <vt:variant>
        <vt:i4>5</vt:i4>
      </vt:variant>
      <vt:variant>
        <vt:lpwstr/>
      </vt:variant>
      <vt:variant>
        <vt:lpwstr>_Toc519088040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subject/>
  <dc:creator>Lander</dc:creator>
  <cp:keywords>PUBLIC</cp:keywords>
  <dc:description/>
  <cp:lastModifiedBy>HÄFLIGER Patience</cp:lastModifiedBy>
  <cp:revision>19</cp:revision>
  <cp:lastPrinted>2019-07-02T09:34:00Z</cp:lastPrinted>
  <dcterms:created xsi:type="dcterms:W3CDTF">2019-07-02T14:33:00Z</dcterms:created>
  <dcterms:modified xsi:type="dcterms:W3CDTF">2019-08-13T13:43:00Z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888218438</vt:i4>
  </property>
  <property fmtid="{D5CDD505-2E9C-101B-9397-08002B2CF9AE}" pid="3" name="TitusGUID">
    <vt:lpwstr>a2f237d4-4b3a-4d76-8065-69960da5edd9</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