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8A" w:rsidRPr="00386DDB" w:rsidRDefault="001E5D8A" w:rsidP="00D23C8A">
      <w:pPr>
        <w:widowControl w:val="0"/>
        <w:jc w:val="right"/>
        <w:rPr>
          <w:b/>
          <w:sz w:val="2"/>
          <w:szCs w:val="40"/>
          <w:lang w:val="es-ES"/>
        </w:rPr>
      </w:pPr>
      <w:bookmarkStart w:id="0" w:name="TitleOfDoc"/>
      <w:bookmarkEnd w:id="0"/>
      <w:r w:rsidRPr="00386DDB">
        <w:rPr>
          <w:rFonts w:eastAsia="Arial"/>
          <w:b/>
          <w:bCs/>
          <w:sz w:val="40"/>
          <w:szCs w:val="40"/>
          <w:bdr w:val="nil"/>
          <w:lang w:val="es-ES"/>
        </w:rPr>
        <w:t>S</w:t>
      </w:r>
    </w:p>
    <w:p w:rsidR="00D23C8A" w:rsidRPr="00386DDB" w:rsidRDefault="0075536D" w:rsidP="00D23C8A">
      <w:pPr>
        <w:spacing w:line="360" w:lineRule="auto"/>
        <w:ind w:left="4592"/>
        <w:rPr>
          <w:rFonts w:ascii="Arial Black" w:hAnsi="Arial Black"/>
          <w:caps/>
          <w:sz w:val="15"/>
          <w:lang w:val="es-ES"/>
        </w:rPr>
      </w:pPr>
      <w:r w:rsidRPr="00386DDB">
        <w:rPr>
          <w:noProof/>
          <w:lang w:val="en-US" w:eastAsia="en-US"/>
        </w:rPr>
        <w:drawing>
          <wp:inline distT="0" distB="0" distL="0" distR="0" wp14:anchorId="010A6BB5" wp14:editId="07D2BCB9">
            <wp:extent cx="1858010" cy="1327150"/>
            <wp:effectExtent l="0" t="0" r="8890" b="6350"/>
            <wp:docPr id="15" name="Picture 1" descr="Title: WIPO Logo - Description: Las líneas curvas ascendentes del logotipo de la Organización Mundial de la Propiedad Intelectual evocan el progreso humano impulsado por la innovación y la crea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WIPO Logo - Description: Las líneas curvas ascendentes del logotipo de la Organización Mundial de la Propiedad Intelectual evocan el progreso humano impulsado por la innovación y la creativ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8010" cy="1327150"/>
                    </a:xfrm>
                    <a:prstGeom prst="rect">
                      <a:avLst/>
                    </a:prstGeom>
                    <a:noFill/>
                    <a:ln>
                      <a:noFill/>
                    </a:ln>
                  </pic:spPr>
                </pic:pic>
              </a:graphicData>
            </a:graphic>
          </wp:inline>
        </w:drawing>
      </w:r>
    </w:p>
    <w:p w:rsidR="00D23C8A" w:rsidRPr="00386DDB" w:rsidRDefault="001E5D8A" w:rsidP="00D23C8A">
      <w:pPr>
        <w:pBdr>
          <w:top w:val="single" w:sz="4" w:space="10" w:color="auto"/>
        </w:pBdr>
        <w:spacing w:before="120"/>
        <w:jc w:val="right"/>
        <w:rPr>
          <w:rFonts w:ascii="Arial Black" w:hAnsi="Arial Black"/>
          <w:b/>
          <w:caps/>
          <w:sz w:val="15"/>
          <w:lang w:val="es-ES"/>
        </w:rPr>
      </w:pPr>
      <w:r w:rsidRPr="00386DDB">
        <w:rPr>
          <w:rFonts w:ascii="Arial Black" w:eastAsia="Arial Black" w:hAnsi="Arial Black" w:cs="Arial Black"/>
          <w:b/>
          <w:bCs/>
          <w:caps/>
          <w:sz w:val="15"/>
          <w:szCs w:val="15"/>
          <w:u w:color="FF0000"/>
          <w:bdr w:val="nil"/>
          <w:lang w:val="es-ES"/>
        </w:rPr>
        <w:t>WO</w:t>
      </w:r>
      <w:r w:rsidRPr="00386DDB">
        <w:rPr>
          <w:rFonts w:ascii="Arial Black" w:eastAsia="Arial Black" w:hAnsi="Arial Black" w:cs="Arial Black"/>
          <w:b/>
          <w:bCs/>
          <w:caps/>
          <w:sz w:val="15"/>
          <w:szCs w:val="15"/>
          <w:bdr w:val="nil"/>
          <w:lang w:val="es-ES"/>
        </w:rPr>
        <w:t>/GA/50/</w:t>
      </w:r>
      <w:bookmarkStart w:id="1" w:name="Code"/>
      <w:bookmarkEnd w:id="1"/>
      <w:r w:rsidRPr="00386DDB">
        <w:rPr>
          <w:rFonts w:ascii="Arial Black" w:eastAsia="Arial Black" w:hAnsi="Arial Black" w:cs="Arial Black"/>
          <w:b/>
          <w:bCs/>
          <w:caps/>
          <w:sz w:val="15"/>
          <w:szCs w:val="15"/>
          <w:bdr w:val="nil"/>
          <w:lang w:val="es-ES"/>
        </w:rPr>
        <w:t>2</w:t>
      </w:r>
    </w:p>
    <w:p w:rsidR="00D23C8A" w:rsidRPr="00386DDB" w:rsidRDefault="001E5D8A" w:rsidP="00D23C8A">
      <w:pPr>
        <w:jc w:val="right"/>
        <w:rPr>
          <w:rFonts w:ascii="Arial Black" w:hAnsi="Arial Black"/>
          <w:b/>
          <w:caps/>
          <w:sz w:val="15"/>
          <w:lang w:val="es-ES"/>
        </w:rPr>
      </w:pPr>
      <w:r w:rsidRPr="00386DDB">
        <w:rPr>
          <w:rFonts w:ascii="Arial Black" w:eastAsia="Arial Black" w:hAnsi="Arial Black" w:cs="Arial Black"/>
          <w:b/>
          <w:bCs/>
          <w:caps/>
          <w:sz w:val="15"/>
          <w:szCs w:val="15"/>
          <w:bdr w:val="nil"/>
          <w:lang w:val="es-ES"/>
        </w:rPr>
        <w:t xml:space="preserve">ORIGINAL: </w:t>
      </w:r>
      <w:bookmarkStart w:id="2" w:name="Original"/>
      <w:bookmarkEnd w:id="2"/>
      <w:r w:rsidRPr="00386DDB">
        <w:rPr>
          <w:rFonts w:ascii="Arial Black" w:eastAsia="Arial Black" w:hAnsi="Arial Black" w:cs="Arial Black"/>
          <w:b/>
          <w:bCs/>
          <w:caps/>
          <w:sz w:val="15"/>
          <w:szCs w:val="15"/>
          <w:bdr w:val="nil"/>
          <w:lang w:val="es-ES"/>
        </w:rPr>
        <w:t>INGLÉS</w:t>
      </w:r>
    </w:p>
    <w:p w:rsidR="00D23C8A" w:rsidRPr="00386DDB" w:rsidRDefault="001E5D8A" w:rsidP="00D23C8A">
      <w:pPr>
        <w:spacing w:line="1680" w:lineRule="auto"/>
        <w:jc w:val="right"/>
        <w:rPr>
          <w:rFonts w:ascii="Arial Black" w:hAnsi="Arial Black"/>
          <w:b/>
          <w:caps/>
          <w:sz w:val="15"/>
          <w:lang w:val="es-ES"/>
        </w:rPr>
      </w:pPr>
      <w:r w:rsidRPr="00386DDB">
        <w:rPr>
          <w:rFonts w:ascii="Arial Black" w:eastAsia="Arial Black" w:hAnsi="Arial Black" w:cs="Arial Black"/>
          <w:b/>
          <w:bCs/>
          <w:caps/>
          <w:sz w:val="15"/>
          <w:szCs w:val="15"/>
          <w:bdr w:val="nil"/>
          <w:lang w:val="es-ES"/>
        </w:rPr>
        <w:t xml:space="preserve">Fecha: </w:t>
      </w:r>
      <w:bookmarkStart w:id="3" w:name="Date"/>
      <w:bookmarkEnd w:id="3"/>
      <w:r w:rsidRPr="00386DDB">
        <w:rPr>
          <w:rFonts w:ascii="Arial Black" w:eastAsia="Arial Black" w:hAnsi="Arial Black" w:cs="Arial Black"/>
          <w:b/>
          <w:bCs/>
          <w:caps/>
          <w:sz w:val="15"/>
          <w:szCs w:val="15"/>
          <w:bdr w:val="nil"/>
          <w:lang w:val="es-ES"/>
        </w:rPr>
        <w:t>23 DE JULIO DE 2018</w:t>
      </w:r>
    </w:p>
    <w:p w:rsidR="00D23C8A" w:rsidRPr="00386DDB" w:rsidRDefault="001E5D8A" w:rsidP="00D23C8A">
      <w:pPr>
        <w:pStyle w:val="Heading1"/>
        <w:keepNext w:val="0"/>
        <w:rPr>
          <w:lang w:val="es-ES"/>
        </w:rPr>
      </w:pPr>
      <w:r w:rsidRPr="00386DDB">
        <w:rPr>
          <w:rFonts w:eastAsia="Arial"/>
          <w:szCs w:val="22"/>
          <w:bdr w:val="nil"/>
          <w:lang w:val="es-ES"/>
        </w:rPr>
        <w:t xml:space="preserve">Asamblea General de la </w:t>
      </w:r>
      <w:r w:rsidRPr="00386DDB">
        <w:rPr>
          <w:rFonts w:eastAsia="Arial"/>
          <w:szCs w:val="22"/>
          <w:u w:color="FF0000"/>
          <w:bdr w:val="nil"/>
          <w:lang w:val="es-ES"/>
        </w:rPr>
        <w:t>OMPI</w:t>
      </w:r>
    </w:p>
    <w:p w:rsidR="00D23C8A" w:rsidRPr="00386DDB" w:rsidRDefault="001E5D8A" w:rsidP="00D23C8A">
      <w:pPr>
        <w:spacing w:after="720"/>
        <w:rPr>
          <w:b/>
          <w:sz w:val="24"/>
          <w:lang w:val="es-ES"/>
        </w:rPr>
      </w:pPr>
      <w:r w:rsidRPr="00386DDB">
        <w:rPr>
          <w:rFonts w:eastAsia="Arial"/>
          <w:b/>
          <w:bCs/>
          <w:sz w:val="24"/>
          <w:szCs w:val="24"/>
          <w:bdr w:val="nil"/>
          <w:lang w:val="es-ES"/>
        </w:rPr>
        <w:t>Quincuagésimo período de sesiones (27.º extraordinario)</w:t>
      </w:r>
      <w:r w:rsidRPr="00386DDB">
        <w:rPr>
          <w:rFonts w:eastAsia="Arial"/>
          <w:b/>
          <w:bCs/>
          <w:sz w:val="24"/>
          <w:szCs w:val="24"/>
          <w:bdr w:val="nil"/>
          <w:lang w:val="es-ES"/>
        </w:rPr>
        <w:br/>
        <w:t>Ginebra, 24 de septiembre a 2 de octubre de 2018</w:t>
      </w:r>
    </w:p>
    <w:p w:rsidR="00D23C8A" w:rsidRPr="00386DDB" w:rsidRDefault="001E5D8A" w:rsidP="00D23C8A">
      <w:pPr>
        <w:spacing w:after="360"/>
        <w:rPr>
          <w:caps/>
          <w:sz w:val="24"/>
          <w:lang w:val="es-ES"/>
        </w:rPr>
      </w:pPr>
      <w:r w:rsidRPr="00386DDB">
        <w:rPr>
          <w:rFonts w:eastAsia="Arial"/>
          <w:caps/>
          <w:sz w:val="24"/>
          <w:szCs w:val="24"/>
          <w:bdr w:val="nil"/>
          <w:lang w:val="es-ES"/>
        </w:rPr>
        <w:t>INFORME ANUAL DEL DIRECTOR DE LA DIVISIÓN DE SUPERVISIÓN INTERNA (</w:t>
      </w:r>
      <w:r w:rsidRPr="00386DDB">
        <w:rPr>
          <w:rFonts w:eastAsia="Arial"/>
          <w:caps/>
          <w:sz w:val="24"/>
          <w:szCs w:val="24"/>
          <w:u w:color="FF0000"/>
          <w:bdr w:val="nil"/>
          <w:lang w:val="es-ES"/>
        </w:rPr>
        <w:t>DSI</w:t>
      </w:r>
      <w:r w:rsidRPr="00386DDB">
        <w:rPr>
          <w:rFonts w:eastAsia="Arial"/>
          <w:caps/>
          <w:sz w:val="24"/>
          <w:szCs w:val="24"/>
          <w:bdr w:val="nil"/>
          <w:lang w:val="es-ES"/>
        </w:rPr>
        <w:t>)</w:t>
      </w:r>
    </w:p>
    <w:p w:rsidR="00D23C8A" w:rsidRPr="00386DDB" w:rsidRDefault="001E5D8A" w:rsidP="00D23C8A">
      <w:pPr>
        <w:spacing w:after="960"/>
        <w:rPr>
          <w:lang w:val="es-ES"/>
        </w:rPr>
      </w:pPr>
      <w:bookmarkStart w:id="4" w:name="Prepared"/>
      <w:bookmarkEnd w:id="4"/>
      <w:r w:rsidRPr="00386DDB">
        <w:rPr>
          <w:rFonts w:eastAsia="Arial"/>
          <w:i/>
          <w:iCs/>
          <w:szCs w:val="22"/>
          <w:u w:color="008000"/>
          <w:bdr w:val="nil"/>
          <w:lang w:val="es-ES"/>
        </w:rPr>
        <w:t>preparado</w:t>
      </w:r>
      <w:r w:rsidRPr="00386DDB">
        <w:rPr>
          <w:rFonts w:eastAsia="Arial"/>
          <w:i/>
          <w:iCs/>
          <w:szCs w:val="22"/>
          <w:bdr w:val="nil"/>
          <w:lang w:val="es-ES"/>
        </w:rPr>
        <w:t xml:space="preserve"> por la Secretaría</w:t>
      </w:r>
    </w:p>
    <w:p w:rsidR="00D23C8A" w:rsidRPr="00386DDB" w:rsidRDefault="001E5D8A" w:rsidP="00D23C8A">
      <w:pPr>
        <w:pStyle w:val="ONUMFS"/>
        <w:rPr>
          <w:lang w:val="es-ES"/>
        </w:rPr>
      </w:pPr>
      <w:r w:rsidRPr="00386DDB">
        <w:rPr>
          <w:rFonts w:eastAsia="Arial"/>
          <w:szCs w:val="22"/>
          <w:bdr w:val="nil"/>
          <w:lang w:val="es-ES"/>
        </w:rPr>
        <w:t>El presente documento contiene el “Informe anual del director de la División de Supervisión Interna (</w:t>
      </w:r>
      <w:r w:rsidRPr="00386DDB">
        <w:rPr>
          <w:rFonts w:eastAsia="Arial"/>
          <w:szCs w:val="22"/>
          <w:u w:color="FF0000"/>
          <w:bdr w:val="nil"/>
          <w:lang w:val="es-ES"/>
        </w:rPr>
        <w:t>DSI</w:t>
      </w:r>
      <w:r w:rsidRPr="00386DDB">
        <w:rPr>
          <w:rFonts w:eastAsia="Arial"/>
          <w:szCs w:val="22"/>
          <w:bdr w:val="nil"/>
          <w:lang w:val="es-ES"/>
        </w:rPr>
        <w:t xml:space="preserve">)” (documento </w:t>
      </w:r>
      <w:r w:rsidRPr="00386DDB">
        <w:rPr>
          <w:rFonts w:eastAsia="Arial"/>
          <w:szCs w:val="22"/>
          <w:u w:color="FF0000"/>
          <w:bdr w:val="nil"/>
          <w:lang w:val="es-ES"/>
        </w:rPr>
        <w:t>WO</w:t>
      </w:r>
      <w:r w:rsidRPr="00386DDB">
        <w:rPr>
          <w:rFonts w:eastAsia="Arial"/>
          <w:szCs w:val="22"/>
          <w:bdr w:val="nil"/>
          <w:lang w:val="es-ES"/>
        </w:rPr>
        <w:t>/</w:t>
      </w:r>
      <w:r w:rsidRPr="00386DDB">
        <w:rPr>
          <w:rFonts w:eastAsia="Arial"/>
          <w:szCs w:val="22"/>
          <w:u w:color="FF0000"/>
          <w:bdr w:val="nil"/>
          <w:lang w:val="es-ES"/>
        </w:rPr>
        <w:t>PBC</w:t>
      </w:r>
      <w:r w:rsidRPr="00386DDB">
        <w:rPr>
          <w:rFonts w:eastAsia="Arial"/>
          <w:szCs w:val="22"/>
          <w:bdr w:val="nil"/>
          <w:lang w:val="es-ES"/>
        </w:rPr>
        <w:t xml:space="preserve">/28/5), que se presentará en la </w:t>
      </w:r>
      <w:r w:rsidRPr="00386DDB">
        <w:rPr>
          <w:rFonts w:eastAsia="Arial"/>
          <w:szCs w:val="22"/>
          <w:u w:color="FF0000"/>
          <w:bdr w:val="nil"/>
          <w:lang w:val="es-ES"/>
        </w:rPr>
        <w:t>vigesimoctava</w:t>
      </w:r>
      <w:r w:rsidRPr="00386DDB">
        <w:rPr>
          <w:rFonts w:eastAsia="Arial"/>
          <w:szCs w:val="22"/>
          <w:bdr w:val="nil"/>
          <w:lang w:val="es-ES"/>
        </w:rPr>
        <w:t xml:space="preserve"> sesión del Comité del Programa y Presupuesto de la </w:t>
      </w:r>
      <w:r w:rsidRPr="00386DDB">
        <w:rPr>
          <w:rFonts w:eastAsia="Arial"/>
          <w:szCs w:val="22"/>
          <w:u w:color="FF0000"/>
          <w:bdr w:val="nil"/>
          <w:lang w:val="es-ES"/>
        </w:rPr>
        <w:t>OMPI</w:t>
      </w:r>
      <w:r w:rsidRPr="00386DDB">
        <w:rPr>
          <w:rFonts w:eastAsia="Arial"/>
          <w:szCs w:val="22"/>
          <w:bdr w:val="nil"/>
          <w:lang w:val="es-ES"/>
        </w:rPr>
        <w:t xml:space="preserve"> (</w:t>
      </w:r>
      <w:r w:rsidRPr="00386DDB">
        <w:rPr>
          <w:rFonts w:eastAsia="Arial"/>
          <w:szCs w:val="22"/>
          <w:u w:color="FF0000"/>
          <w:bdr w:val="nil"/>
          <w:lang w:val="es-ES"/>
        </w:rPr>
        <w:t>PBC</w:t>
      </w:r>
      <w:r w:rsidRPr="00386DDB">
        <w:rPr>
          <w:rFonts w:eastAsia="Arial"/>
          <w:szCs w:val="22"/>
          <w:bdr w:val="nil"/>
          <w:lang w:val="es-ES"/>
        </w:rPr>
        <w:t>), que se celebrará del 10 al 14 de septiembre de 2018.</w:t>
      </w:r>
    </w:p>
    <w:p w:rsidR="00D23C8A" w:rsidRPr="00386DDB" w:rsidRDefault="001E5D8A" w:rsidP="00D23C8A">
      <w:pPr>
        <w:pStyle w:val="ONUMFS"/>
        <w:rPr>
          <w:lang w:val="es-ES"/>
        </w:rPr>
      </w:pPr>
      <w:r w:rsidRPr="00386DDB">
        <w:rPr>
          <w:rFonts w:eastAsia="Arial"/>
          <w:szCs w:val="22"/>
          <w:bdr w:val="nil"/>
          <w:lang w:val="es-ES"/>
        </w:rPr>
        <w:t xml:space="preserve">Toda decisión que tome el </w:t>
      </w:r>
      <w:r w:rsidRPr="00386DDB">
        <w:rPr>
          <w:rFonts w:eastAsia="Arial"/>
          <w:szCs w:val="22"/>
          <w:u w:color="FF0000"/>
          <w:bdr w:val="nil"/>
          <w:lang w:val="es-ES"/>
        </w:rPr>
        <w:t>PBC</w:t>
      </w:r>
      <w:r w:rsidRPr="00386DDB">
        <w:rPr>
          <w:rFonts w:eastAsia="Arial"/>
          <w:szCs w:val="22"/>
          <w:bdr w:val="nil"/>
          <w:lang w:val="es-ES"/>
        </w:rPr>
        <w:t xml:space="preserve"> con respecto a este informe constará en el documento sobre la lista de decisiones adoptadas por el Comité del Programa y Presupuesto (documento A/58/6).</w:t>
      </w:r>
    </w:p>
    <w:p w:rsidR="00D23C8A" w:rsidRPr="00386DDB" w:rsidRDefault="001E5D8A" w:rsidP="00D23C8A">
      <w:pPr>
        <w:pStyle w:val="Endofdocument-Annex"/>
        <w:spacing w:before="480"/>
        <w:rPr>
          <w:lang w:val="es-ES"/>
        </w:rPr>
      </w:pPr>
      <w:r w:rsidRPr="00386DDB">
        <w:rPr>
          <w:rFonts w:eastAsia="Arial"/>
          <w:szCs w:val="22"/>
          <w:bdr w:val="nil"/>
          <w:lang w:val="es-ES"/>
        </w:rPr>
        <w:t xml:space="preserve">[Sigue el documento </w:t>
      </w:r>
      <w:r w:rsidRPr="00386DDB">
        <w:rPr>
          <w:rFonts w:eastAsia="Arial"/>
          <w:szCs w:val="22"/>
          <w:u w:color="FF0000"/>
          <w:bdr w:val="nil"/>
          <w:lang w:val="es-ES"/>
        </w:rPr>
        <w:t>WO</w:t>
      </w:r>
      <w:r w:rsidRPr="00386DDB">
        <w:rPr>
          <w:rFonts w:eastAsia="Arial"/>
          <w:szCs w:val="22"/>
          <w:bdr w:val="nil"/>
          <w:lang w:val="es-ES"/>
        </w:rPr>
        <w:t>/</w:t>
      </w:r>
      <w:r w:rsidRPr="00386DDB">
        <w:rPr>
          <w:rFonts w:eastAsia="Arial"/>
          <w:szCs w:val="22"/>
          <w:u w:color="FF0000"/>
          <w:bdr w:val="nil"/>
          <w:lang w:val="es-ES"/>
        </w:rPr>
        <w:t>PBC</w:t>
      </w:r>
      <w:r w:rsidRPr="00386DDB">
        <w:rPr>
          <w:rFonts w:eastAsia="Arial"/>
          <w:szCs w:val="22"/>
          <w:bdr w:val="nil"/>
          <w:lang w:val="es-ES"/>
        </w:rPr>
        <w:t>/28/5]</w:t>
      </w:r>
    </w:p>
    <w:p w:rsidR="00D23C8A" w:rsidRPr="00E2647A" w:rsidRDefault="00D23C8A" w:rsidP="00D23C8A">
      <w:pPr>
        <w:pStyle w:val="ONUME"/>
        <w:tabs>
          <w:tab w:val="left" w:pos="6096"/>
        </w:tabs>
        <w:spacing w:after="0"/>
        <w:ind w:left="5533"/>
        <w:rPr>
          <w:lang w:val="es-ES"/>
        </w:rPr>
        <w:sectPr w:rsidR="00D23C8A" w:rsidRPr="00E2647A" w:rsidSect="00DF7268">
          <w:headerReference w:type="even" r:id="rId10"/>
          <w:headerReference w:type="default" r:id="rId11"/>
          <w:footerReference w:type="even" r:id="rId12"/>
          <w:footerReference w:type="default" r:id="rId13"/>
          <w:endnotePr>
            <w:numFmt w:val="decimal"/>
          </w:endnotePr>
          <w:pgSz w:w="11907" w:h="16840" w:code="9"/>
          <w:pgMar w:top="567" w:right="1134" w:bottom="1418" w:left="1418" w:header="510" w:footer="1021" w:gutter="0"/>
          <w:cols w:space="720"/>
          <w:titlePg/>
          <w:docGrid w:linePitch="299"/>
        </w:sectPr>
      </w:pPr>
    </w:p>
    <w:p w:rsidR="00D23C8A" w:rsidRPr="00E2647A" w:rsidRDefault="00D23C8A">
      <w:pPr>
        <w:rPr>
          <w:lang w:val="es-ES"/>
        </w:rPr>
        <w:sectPr w:rsidR="00D23C8A" w:rsidRPr="00E2647A" w:rsidSect="00DF726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86DDB" w:rsidRPr="00386DDB" w:rsidTr="00D23C8A">
        <w:tc>
          <w:tcPr>
            <w:tcW w:w="4513" w:type="dxa"/>
            <w:tcBorders>
              <w:bottom w:val="single" w:sz="4" w:space="0" w:color="auto"/>
            </w:tcBorders>
            <w:tcMar>
              <w:bottom w:w="170" w:type="dxa"/>
            </w:tcMar>
          </w:tcPr>
          <w:p w:rsidR="00D23C8A" w:rsidRPr="00386DDB" w:rsidRDefault="00D23C8A" w:rsidP="00D23C8A">
            <w:pPr>
              <w:rPr>
                <w:lang w:val="es-ES"/>
              </w:rPr>
            </w:pPr>
          </w:p>
        </w:tc>
        <w:tc>
          <w:tcPr>
            <w:tcW w:w="4337" w:type="dxa"/>
            <w:tcBorders>
              <w:bottom w:val="single" w:sz="4" w:space="0" w:color="auto"/>
            </w:tcBorders>
            <w:tcMar>
              <w:left w:w="0" w:type="dxa"/>
              <w:right w:w="0" w:type="dxa"/>
            </w:tcMar>
          </w:tcPr>
          <w:p w:rsidR="00D23C8A" w:rsidRPr="00386DDB" w:rsidRDefault="0075536D" w:rsidP="00D23C8A">
            <w:pPr>
              <w:rPr>
                <w:lang w:val="es-ES"/>
              </w:rPr>
            </w:pPr>
            <w:r w:rsidRPr="00386DDB">
              <w:rPr>
                <w:noProof/>
                <w:lang w:val="en-US" w:eastAsia="en-US"/>
              </w:rPr>
              <w:drawing>
                <wp:inline distT="0" distB="0" distL="0" distR="0" wp14:anchorId="2862B2DE" wp14:editId="6D74B441">
                  <wp:extent cx="1858010" cy="1327150"/>
                  <wp:effectExtent l="0" t="0" r="8890" b="6350"/>
                  <wp:docPr id="14"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801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23C8A" w:rsidRPr="00386DDB" w:rsidRDefault="001E5D8A" w:rsidP="00D23C8A">
            <w:pPr>
              <w:jc w:val="right"/>
              <w:rPr>
                <w:lang w:val="es-ES"/>
              </w:rPr>
            </w:pPr>
            <w:r w:rsidRPr="00386DDB">
              <w:rPr>
                <w:rFonts w:eastAsia="Arial"/>
                <w:b/>
                <w:bCs/>
                <w:sz w:val="40"/>
                <w:szCs w:val="40"/>
                <w:bdr w:val="nil"/>
                <w:lang w:val="es-ES"/>
              </w:rPr>
              <w:t>S</w:t>
            </w:r>
          </w:p>
        </w:tc>
      </w:tr>
      <w:tr w:rsidR="00386DDB" w:rsidRPr="00386DDB" w:rsidTr="00D23C8A">
        <w:trPr>
          <w:trHeight w:hRule="exact" w:val="357"/>
        </w:trPr>
        <w:tc>
          <w:tcPr>
            <w:tcW w:w="9356" w:type="dxa"/>
            <w:gridSpan w:val="3"/>
            <w:tcBorders>
              <w:top w:val="single" w:sz="4" w:space="0" w:color="auto"/>
            </w:tcBorders>
            <w:tcMar>
              <w:top w:w="170" w:type="dxa"/>
              <w:left w:w="0" w:type="dxa"/>
              <w:right w:w="0" w:type="dxa"/>
            </w:tcMar>
            <w:vAlign w:val="bottom"/>
          </w:tcPr>
          <w:p w:rsidR="00D23C8A" w:rsidRPr="00386DDB" w:rsidRDefault="001E5D8A" w:rsidP="00D23C8A">
            <w:pPr>
              <w:jc w:val="right"/>
              <w:rPr>
                <w:rFonts w:ascii="Arial Black" w:hAnsi="Arial Black"/>
                <w:caps/>
                <w:sz w:val="15"/>
                <w:lang w:val="es-ES"/>
              </w:rPr>
            </w:pPr>
            <w:r w:rsidRPr="00386DDB">
              <w:rPr>
                <w:rFonts w:ascii="Arial Black" w:eastAsia="Arial Black" w:hAnsi="Arial Black" w:cs="Arial Black"/>
                <w:caps/>
                <w:sz w:val="15"/>
                <w:szCs w:val="15"/>
                <w:u w:color="FF0000"/>
                <w:bdr w:val="nil"/>
                <w:lang w:val="es-ES"/>
              </w:rPr>
              <w:t>WO</w:t>
            </w:r>
            <w:r w:rsidRPr="00386DDB">
              <w:rPr>
                <w:rFonts w:ascii="Arial Black" w:eastAsia="Arial Black" w:hAnsi="Arial Black" w:cs="Arial Black"/>
                <w:caps/>
                <w:sz w:val="15"/>
                <w:szCs w:val="15"/>
                <w:bdr w:val="nil"/>
                <w:lang w:val="es-ES"/>
              </w:rPr>
              <w:t>/</w:t>
            </w:r>
            <w:r w:rsidRPr="00386DDB">
              <w:rPr>
                <w:rFonts w:ascii="Arial Black" w:eastAsia="Arial Black" w:hAnsi="Arial Black" w:cs="Arial Black"/>
                <w:caps/>
                <w:sz w:val="15"/>
                <w:szCs w:val="15"/>
                <w:u w:color="FF0000"/>
                <w:bdr w:val="nil"/>
                <w:lang w:val="es-ES"/>
              </w:rPr>
              <w:t>PBC</w:t>
            </w:r>
            <w:r w:rsidRPr="00386DDB">
              <w:rPr>
                <w:rFonts w:ascii="Arial Black" w:eastAsia="Arial Black" w:hAnsi="Arial Black" w:cs="Arial Black"/>
                <w:caps/>
                <w:sz w:val="15"/>
                <w:szCs w:val="15"/>
                <w:bdr w:val="nil"/>
                <w:lang w:val="es-ES"/>
              </w:rPr>
              <w:t>/28/5</w:t>
            </w:r>
          </w:p>
        </w:tc>
      </w:tr>
      <w:tr w:rsidR="00386DDB" w:rsidRPr="00386DDB" w:rsidTr="00D23C8A">
        <w:trPr>
          <w:trHeight w:hRule="exact" w:val="170"/>
        </w:trPr>
        <w:tc>
          <w:tcPr>
            <w:tcW w:w="9356" w:type="dxa"/>
            <w:gridSpan w:val="3"/>
            <w:noWrap/>
            <w:tcMar>
              <w:left w:w="0" w:type="dxa"/>
              <w:right w:w="0" w:type="dxa"/>
            </w:tcMar>
            <w:vAlign w:val="bottom"/>
          </w:tcPr>
          <w:p w:rsidR="00D23C8A" w:rsidRPr="00386DDB" w:rsidRDefault="001E5D8A" w:rsidP="00D23C8A">
            <w:pPr>
              <w:jc w:val="right"/>
              <w:rPr>
                <w:rFonts w:ascii="Arial Black" w:hAnsi="Arial Black"/>
                <w:caps/>
                <w:sz w:val="15"/>
                <w:lang w:val="es-ES"/>
              </w:rPr>
            </w:pPr>
            <w:r w:rsidRPr="00386DDB">
              <w:rPr>
                <w:rFonts w:ascii="Arial Black" w:eastAsia="Arial Black" w:hAnsi="Arial Black" w:cs="Arial Black"/>
                <w:caps/>
                <w:sz w:val="15"/>
                <w:szCs w:val="15"/>
                <w:bdr w:val="nil"/>
                <w:lang w:val="es-ES"/>
              </w:rPr>
              <w:t xml:space="preserve">ORIGINAL: INGLÉS </w:t>
            </w:r>
          </w:p>
        </w:tc>
      </w:tr>
      <w:tr w:rsidR="00D23C8A" w:rsidRPr="00386DDB" w:rsidTr="00D23C8A">
        <w:trPr>
          <w:trHeight w:hRule="exact" w:val="198"/>
        </w:trPr>
        <w:tc>
          <w:tcPr>
            <w:tcW w:w="9356" w:type="dxa"/>
            <w:gridSpan w:val="3"/>
            <w:tcMar>
              <w:left w:w="0" w:type="dxa"/>
              <w:right w:w="0" w:type="dxa"/>
            </w:tcMar>
            <w:vAlign w:val="bottom"/>
          </w:tcPr>
          <w:p w:rsidR="00D23C8A" w:rsidRPr="00386DDB" w:rsidRDefault="001E5D8A" w:rsidP="00975342">
            <w:pPr>
              <w:jc w:val="right"/>
              <w:rPr>
                <w:rFonts w:ascii="Arial Black" w:hAnsi="Arial Black"/>
                <w:caps/>
                <w:sz w:val="15"/>
                <w:lang w:val="es-ES"/>
              </w:rPr>
            </w:pPr>
            <w:r w:rsidRPr="00386DDB">
              <w:rPr>
                <w:rFonts w:ascii="Arial Black" w:eastAsia="Arial Black" w:hAnsi="Arial Black" w:cs="Arial Black"/>
                <w:caps/>
                <w:sz w:val="15"/>
                <w:szCs w:val="15"/>
                <w:bdr w:val="nil"/>
                <w:lang w:val="es-ES"/>
              </w:rPr>
              <w:t xml:space="preserve">fecha: </w:t>
            </w:r>
            <w:r w:rsidR="00975342">
              <w:rPr>
                <w:rFonts w:ascii="Arial Black" w:eastAsia="Arial Black" w:hAnsi="Arial Black" w:cs="Arial Black"/>
                <w:caps/>
                <w:sz w:val="15"/>
                <w:szCs w:val="15"/>
                <w:bdr w:val="nil"/>
                <w:lang w:val="es-ES"/>
              </w:rPr>
              <w:t>18</w:t>
            </w:r>
            <w:r w:rsidRPr="00386DDB">
              <w:rPr>
                <w:rFonts w:ascii="Arial Black" w:eastAsia="Arial Black" w:hAnsi="Arial Black" w:cs="Arial Black"/>
                <w:caps/>
                <w:sz w:val="15"/>
                <w:szCs w:val="15"/>
                <w:bdr w:val="nil"/>
                <w:lang w:val="es-ES"/>
              </w:rPr>
              <w:t xml:space="preserve"> DE JULIO DE 2018 </w:t>
            </w:r>
          </w:p>
        </w:tc>
      </w:tr>
    </w:tbl>
    <w:p w:rsidR="00D23C8A" w:rsidRPr="00386DDB" w:rsidRDefault="00D23C8A" w:rsidP="00D23C8A">
      <w:pPr>
        <w:rPr>
          <w:lang w:val="es-ES"/>
        </w:rPr>
      </w:pPr>
    </w:p>
    <w:p w:rsidR="00D23C8A" w:rsidRPr="00386DDB" w:rsidRDefault="00D23C8A" w:rsidP="00D23C8A">
      <w:pPr>
        <w:rPr>
          <w:lang w:val="es-ES"/>
        </w:rPr>
      </w:pPr>
    </w:p>
    <w:p w:rsidR="00D23C8A" w:rsidRPr="00386DDB" w:rsidRDefault="00D23C8A" w:rsidP="00D23C8A">
      <w:pPr>
        <w:rPr>
          <w:lang w:val="es-ES"/>
        </w:rPr>
      </w:pPr>
    </w:p>
    <w:p w:rsidR="00D23C8A" w:rsidRPr="00386DDB" w:rsidRDefault="00D23C8A" w:rsidP="00D23C8A">
      <w:pPr>
        <w:rPr>
          <w:lang w:val="es-ES"/>
        </w:rPr>
      </w:pPr>
    </w:p>
    <w:p w:rsidR="00D23C8A" w:rsidRPr="00386DDB" w:rsidRDefault="00D23C8A" w:rsidP="00D23C8A">
      <w:pPr>
        <w:rPr>
          <w:lang w:val="es-ES"/>
        </w:rPr>
      </w:pPr>
    </w:p>
    <w:p w:rsidR="00D23C8A" w:rsidRPr="00386DDB" w:rsidRDefault="001E5D8A" w:rsidP="00D23C8A">
      <w:pPr>
        <w:rPr>
          <w:b/>
          <w:sz w:val="28"/>
          <w:szCs w:val="28"/>
          <w:lang w:val="es-ES"/>
        </w:rPr>
      </w:pPr>
      <w:r w:rsidRPr="00386DDB">
        <w:rPr>
          <w:rFonts w:eastAsia="Arial"/>
          <w:b/>
          <w:bCs/>
          <w:sz w:val="28"/>
          <w:szCs w:val="28"/>
          <w:bdr w:val="nil"/>
          <w:lang w:val="es-ES"/>
        </w:rPr>
        <w:t>Comité del Programa y Presupuesto</w:t>
      </w:r>
    </w:p>
    <w:p w:rsidR="00D23C8A" w:rsidRPr="00386DDB" w:rsidRDefault="00D23C8A" w:rsidP="00D23C8A">
      <w:pPr>
        <w:rPr>
          <w:lang w:val="es-ES"/>
        </w:rPr>
      </w:pPr>
    </w:p>
    <w:p w:rsidR="00D23C8A" w:rsidRPr="00386DDB" w:rsidRDefault="00D23C8A" w:rsidP="00D23C8A">
      <w:pPr>
        <w:rPr>
          <w:lang w:val="es-ES"/>
        </w:rPr>
      </w:pPr>
    </w:p>
    <w:p w:rsidR="00D23C8A" w:rsidRPr="00386DDB" w:rsidRDefault="001E5D8A" w:rsidP="00D23C8A">
      <w:pPr>
        <w:rPr>
          <w:b/>
          <w:sz w:val="24"/>
          <w:szCs w:val="24"/>
          <w:lang w:val="es-ES"/>
        </w:rPr>
      </w:pPr>
      <w:r w:rsidRPr="00386DDB">
        <w:rPr>
          <w:rFonts w:eastAsia="Arial"/>
          <w:b/>
          <w:bCs/>
          <w:sz w:val="24"/>
          <w:szCs w:val="24"/>
          <w:u w:color="FF0000"/>
          <w:bdr w:val="nil"/>
          <w:lang w:val="es-ES"/>
        </w:rPr>
        <w:t>Vigesimoctava</w:t>
      </w:r>
      <w:r w:rsidRPr="00386DDB">
        <w:rPr>
          <w:rFonts w:eastAsia="Arial"/>
          <w:b/>
          <w:bCs/>
          <w:sz w:val="24"/>
          <w:szCs w:val="24"/>
          <w:bdr w:val="nil"/>
          <w:lang w:val="es-ES"/>
        </w:rPr>
        <w:t xml:space="preserve"> sesión</w:t>
      </w:r>
      <w:bookmarkStart w:id="10" w:name="_GoBack"/>
      <w:bookmarkEnd w:id="10"/>
    </w:p>
    <w:p w:rsidR="00D23C8A" w:rsidRPr="00386DDB" w:rsidRDefault="001E5D8A" w:rsidP="00D23C8A">
      <w:pPr>
        <w:rPr>
          <w:lang w:val="es-ES"/>
        </w:rPr>
      </w:pPr>
      <w:r w:rsidRPr="00386DDB">
        <w:rPr>
          <w:rFonts w:eastAsia="Arial"/>
          <w:b/>
          <w:bCs/>
          <w:sz w:val="24"/>
          <w:szCs w:val="24"/>
          <w:bdr w:val="nil"/>
          <w:lang w:val="es-ES"/>
        </w:rPr>
        <w:t>Ginebra, 10 a 14 de septiembre de 2018</w:t>
      </w:r>
    </w:p>
    <w:p w:rsidR="00D23C8A" w:rsidRPr="00386DDB" w:rsidRDefault="00D23C8A" w:rsidP="00D23C8A">
      <w:pPr>
        <w:rPr>
          <w:lang w:val="es-ES"/>
        </w:rPr>
      </w:pPr>
    </w:p>
    <w:p w:rsidR="00D23C8A" w:rsidRPr="00386DDB" w:rsidRDefault="00D23C8A" w:rsidP="00D23C8A">
      <w:pPr>
        <w:rPr>
          <w:lang w:val="es-ES"/>
        </w:rPr>
      </w:pPr>
    </w:p>
    <w:p w:rsidR="00D23C8A" w:rsidRPr="00386DDB" w:rsidRDefault="001E5D8A" w:rsidP="00D23C8A">
      <w:pPr>
        <w:rPr>
          <w:caps/>
          <w:sz w:val="24"/>
          <w:lang w:val="es-ES"/>
        </w:rPr>
      </w:pPr>
      <w:r w:rsidRPr="00386DDB">
        <w:rPr>
          <w:rFonts w:eastAsia="Arial"/>
          <w:caps/>
          <w:sz w:val="24"/>
          <w:szCs w:val="24"/>
          <w:bdr w:val="nil"/>
          <w:lang w:val="es-ES"/>
        </w:rPr>
        <w:t xml:space="preserve">INFORME </w:t>
      </w:r>
      <w:r w:rsidR="00386DDB" w:rsidRPr="00386DDB">
        <w:rPr>
          <w:rFonts w:eastAsia="Arial"/>
          <w:caps/>
          <w:sz w:val="24"/>
          <w:szCs w:val="24"/>
          <w:bdr w:val="nil"/>
          <w:lang w:val="es-ES"/>
        </w:rPr>
        <w:t xml:space="preserve">Anual </w:t>
      </w:r>
      <w:r w:rsidRPr="00386DDB">
        <w:rPr>
          <w:rFonts w:eastAsia="Arial"/>
          <w:caps/>
          <w:sz w:val="24"/>
          <w:szCs w:val="24"/>
          <w:bdr w:val="nil"/>
          <w:lang w:val="es-ES"/>
        </w:rPr>
        <w:t>DEL DIRECTOR DE LA DIVISIÓN DE SUPERVISIÓN INTERNA (</w:t>
      </w:r>
      <w:r w:rsidRPr="00386DDB">
        <w:rPr>
          <w:rFonts w:eastAsia="Arial"/>
          <w:caps/>
          <w:sz w:val="24"/>
          <w:szCs w:val="24"/>
          <w:u w:color="FF0000"/>
          <w:bdr w:val="nil"/>
          <w:lang w:val="es-ES"/>
        </w:rPr>
        <w:t>DSI</w:t>
      </w:r>
      <w:r w:rsidRPr="00386DDB">
        <w:rPr>
          <w:rFonts w:eastAsia="Arial"/>
          <w:caps/>
          <w:sz w:val="24"/>
          <w:szCs w:val="24"/>
          <w:bdr w:val="nil"/>
          <w:lang w:val="es-ES"/>
        </w:rPr>
        <w:t>)</w:t>
      </w:r>
    </w:p>
    <w:p w:rsidR="00D23C8A" w:rsidRPr="00386DDB" w:rsidRDefault="00D23C8A" w:rsidP="00D23C8A">
      <w:pPr>
        <w:rPr>
          <w:lang w:val="es-ES"/>
        </w:rPr>
      </w:pPr>
    </w:p>
    <w:p w:rsidR="00D23C8A" w:rsidRPr="00386DDB" w:rsidRDefault="001E5D8A" w:rsidP="00D23C8A">
      <w:pPr>
        <w:rPr>
          <w:i/>
          <w:lang w:val="es-ES"/>
        </w:rPr>
      </w:pPr>
      <w:r w:rsidRPr="00386DDB">
        <w:rPr>
          <w:rFonts w:eastAsia="Arial"/>
          <w:i/>
          <w:iCs/>
          <w:szCs w:val="22"/>
          <w:u w:color="008000"/>
          <w:bdr w:val="nil"/>
          <w:lang w:val="es-ES"/>
        </w:rPr>
        <w:t>preparado</w:t>
      </w:r>
      <w:r w:rsidRPr="00386DDB">
        <w:rPr>
          <w:rFonts w:eastAsia="Arial"/>
          <w:i/>
          <w:iCs/>
          <w:szCs w:val="22"/>
          <w:bdr w:val="nil"/>
          <w:lang w:val="es-ES"/>
        </w:rPr>
        <w:t xml:space="preserve"> por la Secretaría</w:t>
      </w:r>
    </w:p>
    <w:p w:rsidR="00D23C8A" w:rsidRPr="00386DDB" w:rsidRDefault="00D23C8A" w:rsidP="00D23C8A">
      <w:pPr>
        <w:rPr>
          <w:lang w:val="es-ES"/>
        </w:rPr>
      </w:pPr>
    </w:p>
    <w:p w:rsidR="00D23C8A" w:rsidRPr="00386DDB" w:rsidRDefault="00D23C8A" w:rsidP="00D23C8A">
      <w:pPr>
        <w:rPr>
          <w:lang w:val="es-ES"/>
        </w:rPr>
      </w:pPr>
    </w:p>
    <w:p w:rsidR="00D23C8A" w:rsidRPr="00386DDB" w:rsidRDefault="00D23C8A" w:rsidP="00D23C8A">
      <w:pPr>
        <w:rPr>
          <w:lang w:val="es-ES"/>
        </w:rPr>
      </w:pPr>
    </w:p>
    <w:p w:rsidR="00D23C8A" w:rsidRPr="00386DDB" w:rsidRDefault="00D23C8A" w:rsidP="00D23C8A">
      <w:pPr>
        <w:rPr>
          <w:lang w:val="es-ES"/>
        </w:rPr>
      </w:pPr>
    </w:p>
    <w:p w:rsidR="00D23C8A" w:rsidRPr="00386DDB" w:rsidRDefault="00D23C8A" w:rsidP="00D23C8A">
      <w:pPr>
        <w:rPr>
          <w:lang w:val="es-ES"/>
        </w:rPr>
      </w:pPr>
    </w:p>
    <w:p w:rsidR="00D23C8A" w:rsidRPr="0077333B" w:rsidRDefault="001E5D8A" w:rsidP="0077333B">
      <w:pPr>
        <w:pStyle w:val="ONUMFS"/>
        <w:numPr>
          <w:ilvl w:val="0"/>
          <w:numId w:val="32"/>
        </w:numPr>
        <w:rPr>
          <w:lang w:val="es-ES"/>
        </w:rPr>
      </w:pPr>
      <w:r w:rsidRPr="0077333B">
        <w:rPr>
          <w:rFonts w:eastAsia="Arial"/>
          <w:szCs w:val="22"/>
          <w:bdr w:val="nil"/>
          <w:lang w:val="es-ES"/>
        </w:rPr>
        <w:t>De conformidad con el párrafo 44 de la Carta de Supervisión Interna, el director de la División de Supervisión Interna (</w:t>
      </w:r>
      <w:r w:rsidRPr="0077333B">
        <w:rPr>
          <w:rFonts w:eastAsia="Arial"/>
          <w:szCs w:val="22"/>
          <w:u w:color="FF0000"/>
          <w:bdr w:val="nil"/>
          <w:lang w:val="es-ES"/>
        </w:rPr>
        <w:t>DSI</w:t>
      </w:r>
      <w:r w:rsidRPr="0077333B">
        <w:rPr>
          <w:rFonts w:eastAsia="Arial"/>
          <w:szCs w:val="22"/>
          <w:bdr w:val="nil"/>
          <w:lang w:val="es-ES"/>
        </w:rPr>
        <w:t xml:space="preserve">) presentará, una vez por año, una reseña a la Asamblea General de la </w:t>
      </w:r>
      <w:r w:rsidRPr="0077333B">
        <w:rPr>
          <w:rFonts w:eastAsia="Arial"/>
          <w:szCs w:val="22"/>
          <w:u w:color="FF0000"/>
          <w:bdr w:val="nil"/>
          <w:lang w:val="es-ES"/>
        </w:rPr>
        <w:t>OMPI</w:t>
      </w:r>
      <w:r w:rsidRPr="0077333B">
        <w:rPr>
          <w:rFonts w:eastAsia="Arial"/>
          <w:szCs w:val="22"/>
          <w:bdr w:val="nil"/>
          <w:lang w:val="es-ES"/>
        </w:rPr>
        <w:t xml:space="preserve"> por conducto del Comité del Programa y Presupuesto (</w:t>
      </w:r>
      <w:r w:rsidRPr="0077333B">
        <w:rPr>
          <w:rFonts w:eastAsia="Arial"/>
          <w:szCs w:val="22"/>
          <w:u w:color="FF0000"/>
          <w:bdr w:val="nil"/>
          <w:lang w:val="es-ES"/>
        </w:rPr>
        <w:t>PBC</w:t>
      </w:r>
      <w:r w:rsidRPr="0077333B">
        <w:rPr>
          <w:rFonts w:eastAsia="Arial"/>
          <w:szCs w:val="22"/>
          <w:bdr w:val="nil"/>
          <w:lang w:val="es-ES"/>
        </w:rPr>
        <w:t>). En el informe se examinarán de manera general las actividades de supervisión interna llevadas a cabo durante el ejercicio en examen, a saber, entre el 1 de julio de 2017 y el 30 de junio de 2018.</w:t>
      </w:r>
    </w:p>
    <w:p w:rsidR="00D23C8A" w:rsidRPr="00386DDB" w:rsidRDefault="001E5D8A" w:rsidP="00D23C8A">
      <w:pPr>
        <w:pStyle w:val="ONUMFS"/>
        <w:rPr>
          <w:lang w:val="es-ES"/>
        </w:rPr>
      </w:pPr>
      <w:r w:rsidRPr="00386DDB">
        <w:rPr>
          <w:rFonts w:eastAsia="Arial"/>
          <w:szCs w:val="22"/>
          <w:bdr w:val="nil"/>
          <w:lang w:val="es-ES"/>
        </w:rPr>
        <w:t>Se propone el siguiente párrafo de decisión</w:t>
      </w:r>
      <w:r w:rsidRPr="00386DDB">
        <w:rPr>
          <w:rFonts w:eastAsia="Arial"/>
          <w:i/>
          <w:iCs/>
          <w:szCs w:val="22"/>
          <w:bdr w:val="nil"/>
          <w:lang w:val="es-ES"/>
        </w:rPr>
        <w:t>.</w:t>
      </w:r>
    </w:p>
    <w:p w:rsidR="00D23C8A" w:rsidRPr="00386DDB" w:rsidRDefault="001E5D8A" w:rsidP="00386DDB">
      <w:pPr>
        <w:pStyle w:val="ONUMFS"/>
        <w:tabs>
          <w:tab w:val="left" w:pos="5954"/>
        </w:tabs>
        <w:ind w:left="5529"/>
        <w:rPr>
          <w:i/>
          <w:lang w:val="es-ES"/>
        </w:rPr>
      </w:pPr>
      <w:r w:rsidRPr="00386DDB">
        <w:rPr>
          <w:rFonts w:eastAsia="Arial"/>
          <w:i/>
          <w:iCs/>
          <w:szCs w:val="22"/>
          <w:bdr w:val="nil"/>
          <w:lang w:val="es-ES"/>
        </w:rPr>
        <w:t>El Comité del Programa y Presupuesto (</w:t>
      </w:r>
      <w:r w:rsidRPr="00386DDB">
        <w:rPr>
          <w:rFonts w:eastAsia="Arial"/>
          <w:i/>
          <w:iCs/>
          <w:szCs w:val="22"/>
          <w:u w:color="FF0000"/>
          <w:bdr w:val="nil"/>
          <w:lang w:val="es-ES"/>
        </w:rPr>
        <w:t>PBC</w:t>
      </w:r>
      <w:r w:rsidRPr="00386DDB">
        <w:rPr>
          <w:rFonts w:eastAsia="Arial"/>
          <w:i/>
          <w:iCs/>
          <w:szCs w:val="22"/>
          <w:bdr w:val="nil"/>
          <w:lang w:val="es-ES"/>
        </w:rPr>
        <w:t>) tomó nota del “Informe anual del director de la División de Supervisión Interna (</w:t>
      </w:r>
      <w:r w:rsidRPr="00386DDB">
        <w:rPr>
          <w:rFonts w:eastAsia="Arial"/>
          <w:i/>
          <w:iCs/>
          <w:szCs w:val="22"/>
          <w:u w:color="FF0000"/>
          <w:bdr w:val="nil"/>
          <w:lang w:val="es-ES"/>
        </w:rPr>
        <w:t>DSI</w:t>
      </w:r>
      <w:r w:rsidRPr="00386DDB">
        <w:rPr>
          <w:rFonts w:eastAsia="Arial"/>
          <w:i/>
          <w:iCs/>
          <w:szCs w:val="22"/>
          <w:bdr w:val="nil"/>
          <w:lang w:val="es-ES"/>
        </w:rPr>
        <w:t>)” (documento </w:t>
      </w:r>
      <w:r w:rsidRPr="00386DDB">
        <w:rPr>
          <w:rFonts w:eastAsia="Arial"/>
          <w:i/>
          <w:iCs/>
          <w:szCs w:val="22"/>
          <w:u w:color="FF0000"/>
          <w:bdr w:val="nil"/>
          <w:lang w:val="es-ES"/>
        </w:rPr>
        <w:t>WO</w:t>
      </w:r>
      <w:r w:rsidRPr="00386DDB">
        <w:rPr>
          <w:rFonts w:eastAsia="Arial"/>
          <w:i/>
          <w:iCs/>
          <w:szCs w:val="22"/>
          <w:bdr w:val="nil"/>
          <w:lang w:val="es-ES"/>
        </w:rPr>
        <w:t>/</w:t>
      </w:r>
      <w:r w:rsidRPr="00386DDB">
        <w:rPr>
          <w:rFonts w:eastAsia="Arial"/>
          <w:i/>
          <w:iCs/>
          <w:szCs w:val="22"/>
          <w:u w:color="FF0000"/>
          <w:bdr w:val="nil"/>
          <w:lang w:val="es-ES"/>
        </w:rPr>
        <w:t>PBC</w:t>
      </w:r>
      <w:r w:rsidRPr="00386DDB">
        <w:rPr>
          <w:rFonts w:eastAsia="Arial"/>
          <w:i/>
          <w:iCs/>
          <w:szCs w:val="22"/>
          <w:bdr w:val="nil"/>
          <w:lang w:val="es-ES"/>
        </w:rPr>
        <w:t>/28/5).</w:t>
      </w:r>
    </w:p>
    <w:p w:rsidR="00D23C8A" w:rsidRPr="00386DDB" w:rsidRDefault="00D23C8A" w:rsidP="00D23C8A">
      <w:pPr>
        <w:spacing w:after="220"/>
        <w:rPr>
          <w:i/>
          <w:lang w:val="es-ES"/>
        </w:rPr>
      </w:pPr>
    </w:p>
    <w:p w:rsidR="00D23C8A" w:rsidRPr="00386DDB" w:rsidRDefault="001E5D8A" w:rsidP="00D23C8A">
      <w:pPr>
        <w:ind w:left="5534"/>
        <w:rPr>
          <w:lang w:val="es-ES"/>
        </w:rPr>
      </w:pPr>
      <w:r w:rsidRPr="00386DDB">
        <w:rPr>
          <w:rFonts w:eastAsia="Arial"/>
          <w:szCs w:val="22"/>
          <w:bdr w:val="nil"/>
          <w:lang w:val="es-ES"/>
        </w:rPr>
        <w:t xml:space="preserve">[Sigue el Informe anual del director de la </w:t>
      </w:r>
      <w:r w:rsidRPr="00386DDB">
        <w:rPr>
          <w:rFonts w:eastAsia="Arial"/>
          <w:szCs w:val="22"/>
          <w:u w:color="FF0000"/>
          <w:bdr w:val="nil"/>
          <w:lang w:val="es-ES"/>
        </w:rPr>
        <w:t>DSI</w:t>
      </w:r>
      <w:r w:rsidRPr="00386DDB">
        <w:rPr>
          <w:rFonts w:eastAsia="Arial"/>
          <w:szCs w:val="22"/>
          <w:bdr w:val="nil"/>
          <w:lang w:val="es-ES"/>
        </w:rPr>
        <w:t>]</w:t>
      </w:r>
    </w:p>
    <w:p w:rsidR="00D23C8A" w:rsidRPr="00386DDB" w:rsidRDefault="001E5D8A">
      <w:pPr>
        <w:rPr>
          <w:b/>
          <w:lang w:val="es-ES"/>
        </w:rPr>
      </w:pPr>
      <w:r w:rsidRPr="00386DDB">
        <w:rPr>
          <w:lang w:val="es-ES"/>
        </w:rPr>
        <w:br w:type="page"/>
      </w:r>
      <w:bookmarkStart w:id="11" w:name="_Toc392160658"/>
      <w:bookmarkStart w:id="12" w:name="_Toc392160685"/>
      <w:bookmarkStart w:id="13" w:name="_Toc392160701"/>
      <w:bookmarkStart w:id="14" w:name="_Toc392160738"/>
      <w:bookmarkStart w:id="15" w:name="_Toc420931135"/>
      <w:bookmarkStart w:id="16" w:name="_Toc423530307"/>
      <w:bookmarkStart w:id="17" w:name="_Toc423533363"/>
      <w:bookmarkStart w:id="18" w:name="_Toc423533507"/>
      <w:bookmarkStart w:id="19" w:name="_Toc452648466"/>
    </w:p>
    <w:p w:rsidR="00D23C8A" w:rsidRPr="00626513" w:rsidRDefault="001E5D8A" w:rsidP="00D23C8A">
      <w:pPr>
        <w:jc w:val="center"/>
        <w:rPr>
          <w:b/>
          <w:lang w:val="es-ES"/>
        </w:rPr>
      </w:pPr>
      <w:r w:rsidRPr="00626513">
        <w:rPr>
          <w:rFonts w:eastAsia="Arial"/>
          <w:b/>
          <w:bCs/>
          <w:szCs w:val="22"/>
          <w:bdr w:val="nil"/>
          <w:lang w:val="es-ES"/>
        </w:rPr>
        <w:lastRenderedPageBreak/>
        <w:t>INFORME ANUAL DEL DIRECTOR DE LA DIVISIÓN DE SUPERVISIÓN INTERNA</w:t>
      </w:r>
    </w:p>
    <w:p w:rsidR="00D23C8A" w:rsidRPr="00626513" w:rsidRDefault="00D23C8A" w:rsidP="00D23C8A">
      <w:pPr>
        <w:keepLines/>
        <w:rPr>
          <w:lang w:val="es-ES"/>
        </w:rPr>
      </w:pPr>
    </w:p>
    <w:p w:rsidR="00D23C8A" w:rsidRPr="00626513" w:rsidRDefault="001E5D8A" w:rsidP="00D23C8A">
      <w:pPr>
        <w:keepLines/>
        <w:jc w:val="center"/>
        <w:rPr>
          <w:lang w:val="es-ES"/>
        </w:rPr>
      </w:pPr>
      <w:r w:rsidRPr="00626513">
        <w:rPr>
          <w:rFonts w:eastAsia="Arial"/>
          <w:szCs w:val="22"/>
          <w:bdr w:val="nil"/>
          <w:lang w:val="es-ES"/>
        </w:rPr>
        <w:t>1 de julio de 2017 a 30 de junio de 2018</w:t>
      </w:r>
    </w:p>
    <w:p w:rsidR="00D23C8A" w:rsidRPr="00626513" w:rsidRDefault="00D23C8A" w:rsidP="00D23C8A">
      <w:pPr>
        <w:keepLines/>
        <w:jc w:val="center"/>
        <w:rPr>
          <w:lang w:val="es-ES"/>
        </w:rPr>
      </w:pPr>
    </w:p>
    <w:p w:rsidR="00D23C8A" w:rsidRPr="00626513" w:rsidRDefault="00D23C8A" w:rsidP="00D23C8A">
      <w:pPr>
        <w:rPr>
          <w:lang w:val="es-ES"/>
        </w:rPr>
      </w:pPr>
    </w:p>
    <w:p w:rsidR="00D23C8A" w:rsidRPr="00626513" w:rsidRDefault="00D23C8A" w:rsidP="00D23C8A">
      <w:pPr>
        <w:jc w:val="center"/>
        <w:rPr>
          <w:b/>
          <w:lang w:val="es-ES"/>
        </w:rPr>
      </w:pPr>
    </w:p>
    <w:bookmarkEnd w:id="11"/>
    <w:bookmarkEnd w:id="12"/>
    <w:bookmarkEnd w:id="13"/>
    <w:bookmarkEnd w:id="14"/>
    <w:bookmarkEnd w:id="15"/>
    <w:bookmarkEnd w:id="16"/>
    <w:bookmarkEnd w:id="17"/>
    <w:bookmarkEnd w:id="18"/>
    <w:bookmarkEnd w:id="19"/>
    <w:p w:rsidR="00D23C8A" w:rsidRPr="00626513" w:rsidRDefault="001E5D8A" w:rsidP="00D23C8A">
      <w:pPr>
        <w:jc w:val="center"/>
        <w:rPr>
          <w:b/>
          <w:lang w:val="es-ES"/>
        </w:rPr>
      </w:pPr>
      <w:r w:rsidRPr="00626513">
        <w:rPr>
          <w:rFonts w:eastAsia="Arial"/>
          <w:b/>
          <w:bCs/>
          <w:szCs w:val="22"/>
          <w:bdr w:val="nil"/>
          <w:lang w:val="es-ES"/>
        </w:rPr>
        <w:t>ÍNDICE</w:t>
      </w:r>
    </w:p>
    <w:p w:rsidR="00D23C8A" w:rsidRPr="00626513" w:rsidRDefault="00D23C8A" w:rsidP="00D23C8A">
      <w:pPr>
        <w:keepLines/>
        <w:rPr>
          <w:lang w:val="es-ES"/>
        </w:rPr>
      </w:pPr>
    </w:p>
    <w:p w:rsidR="00D23C8A" w:rsidRPr="00626513" w:rsidRDefault="001E5D8A" w:rsidP="00D23C8A">
      <w:pPr>
        <w:pStyle w:val="TOC1"/>
        <w:rPr>
          <w:rFonts w:ascii="Calibri" w:eastAsia="Times New Roman" w:hAnsi="Calibri"/>
          <w:noProof/>
          <w:szCs w:val="22"/>
          <w:lang w:val="es-ES" w:eastAsia="en-US"/>
        </w:rPr>
      </w:pPr>
      <w:r w:rsidRPr="00626513">
        <w:rPr>
          <w:lang w:val="es-ES"/>
        </w:rPr>
        <w:fldChar w:fldCharType="begin"/>
      </w:r>
      <w:r w:rsidRPr="00626513">
        <w:rPr>
          <w:lang w:val="es-ES"/>
        </w:rPr>
        <w:instrText xml:space="preserve"> TOC \o "1-1" \h \z \u </w:instrText>
      </w:r>
      <w:r w:rsidRPr="00626513">
        <w:rPr>
          <w:lang w:val="es-ES"/>
        </w:rPr>
        <w:fldChar w:fldCharType="separate"/>
      </w:r>
      <w:hyperlink w:anchor="_Toc518890527" w:history="1">
        <w:r w:rsidRPr="00626513">
          <w:rPr>
            <w:rStyle w:val="Hyperlink"/>
            <w:noProof/>
            <w:color w:val="auto"/>
            <w:lang w:val="es-ES"/>
          </w:rPr>
          <w:t>SIGLAS</w:t>
        </w:r>
        <w:r w:rsidRPr="00626513">
          <w:rPr>
            <w:noProof/>
            <w:lang w:val="es-ES"/>
          </w:rPr>
          <w:tab/>
        </w:r>
        <w:r w:rsidRPr="00626513">
          <w:rPr>
            <w:noProof/>
            <w:lang w:val="es-ES"/>
          </w:rPr>
          <w:fldChar w:fldCharType="begin"/>
        </w:r>
        <w:r w:rsidRPr="00626513">
          <w:rPr>
            <w:noProof/>
            <w:lang w:val="es-ES"/>
          </w:rPr>
          <w:instrText xml:space="preserve"> PAGEREF _Toc518890527 \h </w:instrText>
        </w:r>
        <w:r w:rsidRPr="00626513">
          <w:rPr>
            <w:noProof/>
            <w:lang w:val="es-ES"/>
          </w:rPr>
        </w:r>
        <w:r w:rsidRPr="00626513">
          <w:rPr>
            <w:noProof/>
            <w:lang w:val="es-ES"/>
          </w:rPr>
          <w:fldChar w:fldCharType="separate"/>
        </w:r>
        <w:r w:rsidR="00CB098C">
          <w:rPr>
            <w:noProof/>
            <w:lang w:val="es-ES"/>
          </w:rPr>
          <w:t>3</w:t>
        </w:r>
        <w:r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28" w:history="1">
        <w:r w:rsidR="001E5D8A" w:rsidRPr="00626513">
          <w:rPr>
            <w:rStyle w:val="Hyperlink"/>
            <w:noProof/>
            <w:color w:val="auto"/>
            <w:lang w:val="es-ES"/>
          </w:rPr>
          <w:t>ANTECEDENTES</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_Toc518890528 \h </w:instrText>
        </w:r>
        <w:r w:rsidR="001E5D8A" w:rsidRPr="00626513">
          <w:rPr>
            <w:noProof/>
            <w:lang w:val="es-ES"/>
          </w:rPr>
        </w:r>
        <w:r w:rsidR="001E5D8A" w:rsidRPr="00626513">
          <w:rPr>
            <w:noProof/>
            <w:lang w:val="es-ES"/>
          </w:rPr>
          <w:fldChar w:fldCharType="separate"/>
        </w:r>
        <w:r w:rsidR="00CB098C">
          <w:rPr>
            <w:noProof/>
            <w:lang w:val="es-ES"/>
          </w:rPr>
          <w:t>4</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29" w:history="1">
        <w:r w:rsidR="001E5D8A" w:rsidRPr="00626513">
          <w:rPr>
            <w:rStyle w:val="Hyperlink"/>
            <w:noProof/>
            <w:color w:val="auto"/>
            <w:lang w:val="es-ES"/>
          </w:rPr>
          <w:t>PRINCIPIOS DE PLANIFICACIÓN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_Toc518890529 \h </w:instrText>
        </w:r>
        <w:r w:rsidR="001E5D8A" w:rsidRPr="00626513">
          <w:rPr>
            <w:noProof/>
            <w:lang w:val="es-ES"/>
          </w:rPr>
        </w:r>
        <w:r w:rsidR="001E5D8A" w:rsidRPr="00626513">
          <w:rPr>
            <w:noProof/>
            <w:lang w:val="es-ES"/>
          </w:rPr>
          <w:fldChar w:fldCharType="separate"/>
        </w:r>
        <w:r w:rsidR="00CB098C">
          <w:rPr>
            <w:noProof/>
            <w:lang w:val="es-ES"/>
          </w:rPr>
          <w:t>4</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0" w:history="1">
        <w:r w:rsidR="001E5D8A" w:rsidRPr="00626513">
          <w:rPr>
            <w:rStyle w:val="Hyperlink"/>
            <w:noProof/>
            <w:color w:val="auto"/>
            <w:lang w:val="es-ES"/>
          </w:rPr>
          <w:t>NORMAS PROFESIONALES</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_Toc518890530 \h </w:instrText>
        </w:r>
        <w:r w:rsidR="001E5D8A" w:rsidRPr="00626513">
          <w:rPr>
            <w:noProof/>
            <w:lang w:val="es-ES"/>
          </w:rPr>
        </w:r>
        <w:r w:rsidR="001E5D8A" w:rsidRPr="00626513">
          <w:rPr>
            <w:noProof/>
            <w:lang w:val="es-ES"/>
          </w:rPr>
          <w:fldChar w:fldCharType="separate"/>
        </w:r>
        <w:r w:rsidR="00CB098C">
          <w:rPr>
            <w:noProof/>
            <w:lang w:val="es-ES"/>
          </w:rPr>
          <w:t>4</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1" w:history="1">
        <w:r w:rsidR="001E5D8A" w:rsidRPr="00626513">
          <w:rPr>
            <w:rStyle w:val="Hyperlink"/>
            <w:noProof/>
            <w:color w:val="auto"/>
            <w:lang w:val="es-ES"/>
          </w:rPr>
          <w:t xml:space="preserve">PRINCIPALES CUESTIONES Y RECOMENDACIONES DE ALTA PRIORIDAD </w:t>
        </w:r>
        <w:r w:rsidR="001E5D8A" w:rsidRPr="00626513">
          <w:rPr>
            <w:rStyle w:val="Hyperlink"/>
            <w:noProof/>
            <w:color w:val="auto"/>
            <w:lang w:val="es-ES"/>
          </w:rPr>
          <w:br/>
          <w:t>EN MATERIA DE SUPERVISIÓN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_Toc518890531 \h </w:instrText>
        </w:r>
        <w:r w:rsidR="001E5D8A" w:rsidRPr="00626513">
          <w:rPr>
            <w:noProof/>
            <w:lang w:val="es-ES"/>
          </w:rPr>
        </w:r>
        <w:r w:rsidR="001E5D8A" w:rsidRPr="00626513">
          <w:rPr>
            <w:noProof/>
            <w:lang w:val="es-ES"/>
          </w:rPr>
          <w:fldChar w:fldCharType="separate"/>
        </w:r>
        <w:r w:rsidR="00CB098C">
          <w:rPr>
            <w:noProof/>
            <w:lang w:val="es-ES"/>
          </w:rPr>
          <w:t>5</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2" w:history="1">
        <w:r w:rsidR="001E5D8A" w:rsidRPr="00626513">
          <w:rPr>
            <w:rStyle w:val="Hyperlink"/>
            <w:noProof/>
            <w:color w:val="auto"/>
            <w:lang w:val="es-ES"/>
          </w:rPr>
          <w:t>ACTIVIDADES DE INVESTIGACIÓN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_Toc518890532 \h </w:instrText>
        </w:r>
        <w:r w:rsidR="001E5D8A" w:rsidRPr="00626513">
          <w:rPr>
            <w:noProof/>
            <w:lang w:val="es-ES"/>
          </w:rPr>
        </w:r>
        <w:r w:rsidR="001E5D8A" w:rsidRPr="00626513">
          <w:rPr>
            <w:noProof/>
            <w:lang w:val="es-ES"/>
          </w:rPr>
          <w:fldChar w:fldCharType="separate"/>
        </w:r>
        <w:r w:rsidR="00CB098C">
          <w:rPr>
            <w:noProof/>
            <w:lang w:val="es-ES"/>
          </w:rPr>
          <w:t>12</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3" w:history="1">
        <w:r w:rsidR="001E5D8A" w:rsidRPr="00626513">
          <w:rPr>
            <w:rStyle w:val="Hyperlink"/>
            <w:noProof/>
            <w:color w:val="auto"/>
            <w:lang w:val="es-ES"/>
          </w:rPr>
          <w:t>CASOS EN LOS QUE SE DENEGÓ INFORMACIÓN O ASISTENCIA</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_Toc518890533 \h </w:instrText>
        </w:r>
        <w:r w:rsidR="001E5D8A" w:rsidRPr="00626513">
          <w:rPr>
            <w:noProof/>
            <w:lang w:val="es-ES"/>
          </w:rPr>
        </w:r>
        <w:r w:rsidR="001E5D8A" w:rsidRPr="00626513">
          <w:rPr>
            <w:noProof/>
            <w:lang w:val="es-ES"/>
          </w:rPr>
          <w:fldChar w:fldCharType="separate"/>
        </w:r>
        <w:r w:rsidR="00CB098C">
          <w:rPr>
            <w:noProof/>
            <w:lang w:val="es-ES"/>
          </w:rPr>
          <w:t>15</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4" w:history="1">
        <w:r w:rsidR="001E5D8A" w:rsidRPr="00626513">
          <w:rPr>
            <w:rStyle w:val="Hyperlink"/>
            <w:noProof/>
            <w:color w:val="auto"/>
            <w:lang w:val="es-ES"/>
          </w:rPr>
          <w:t xml:space="preserve">ESTADO DE APLICACIÓN DE LAS RECOMENDACIONES EN MATERIA </w:t>
        </w:r>
        <w:r w:rsidR="001E5D8A" w:rsidRPr="00626513">
          <w:rPr>
            <w:rStyle w:val="Hyperlink"/>
            <w:noProof/>
            <w:color w:val="auto"/>
            <w:lang w:val="es-ES"/>
          </w:rPr>
          <w:br/>
          <w:t>DE SUPERVISIÓN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_Toc518890534 \h </w:instrText>
        </w:r>
        <w:r w:rsidR="001E5D8A" w:rsidRPr="00626513">
          <w:rPr>
            <w:noProof/>
            <w:lang w:val="es-ES"/>
          </w:rPr>
        </w:r>
        <w:r w:rsidR="001E5D8A" w:rsidRPr="00626513">
          <w:rPr>
            <w:noProof/>
            <w:lang w:val="es-ES"/>
          </w:rPr>
          <w:fldChar w:fldCharType="separate"/>
        </w:r>
        <w:r w:rsidR="00CB098C">
          <w:rPr>
            <w:noProof/>
            <w:lang w:val="es-ES"/>
          </w:rPr>
          <w:t>15</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5" w:history="1">
        <w:r w:rsidR="001E5D8A" w:rsidRPr="00626513">
          <w:rPr>
            <w:rStyle w:val="Hyperlink"/>
            <w:noProof/>
            <w:color w:val="auto"/>
            <w:lang w:val="es-ES"/>
          </w:rPr>
          <w:t>LABOR CONSULTIVA Y DE ASESORAMIENTO EN MATERIA DE SUPERVISIÓN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_Toc518890535 \h </w:instrText>
        </w:r>
        <w:r w:rsidR="001E5D8A" w:rsidRPr="00626513">
          <w:rPr>
            <w:noProof/>
            <w:lang w:val="es-ES"/>
          </w:rPr>
        </w:r>
        <w:r w:rsidR="001E5D8A" w:rsidRPr="00626513">
          <w:rPr>
            <w:noProof/>
            <w:lang w:val="es-ES"/>
          </w:rPr>
          <w:fldChar w:fldCharType="separate"/>
        </w:r>
        <w:r w:rsidR="00CB098C">
          <w:rPr>
            <w:noProof/>
            <w:lang w:val="es-ES"/>
          </w:rPr>
          <w:t>19</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6" w:history="1">
        <w:r w:rsidR="001E5D8A" w:rsidRPr="00626513">
          <w:rPr>
            <w:rStyle w:val="Hyperlink"/>
            <w:noProof/>
            <w:color w:val="auto"/>
            <w:lang w:val="es-ES"/>
          </w:rPr>
          <w:t>COOPERACIÓN CON ORGANISMOS DE SUPERVISIÓN EXTERNOS</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_Toc518890536 \h </w:instrText>
        </w:r>
        <w:r w:rsidR="001E5D8A" w:rsidRPr="00626513">
          <w:rPr>
            <w:noProof/>
            <w:lang w:val="es-ES"/>
          </w:rPr>
        </w:r>
        <w:r w:rsidR="001E5D8A" w:rsidRPr="00626513">
          <w:rPr>
            <w:noProof/>
            <w:lang w:val="es-ES"/>
          </w:rPr>
          <w:fldChar w:fldCharType="separate"/>
        </w:r>
        <w:r w:rsidR="00CB098C">
          <w:rPr>
            <w:noProof/>
            <w:lang w:val="es-ES"/>
          </w:rPr>
          <w:t>19</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7" w:history="1">
        <w:r w:rsidR="001E5D8A" w:rsidRPr="00626513">
          <w:rPr>
            <w:rStyle w:val="Hyperlink"/>
            <w:noProof/>
            <w:color w:val="auto"/>
            <w:lang w:val="es-ES"/>
          </w:rPr>
          <w:t>COOPERACIÓN CON LA OFICINA DEL MEDIADOR Y LA OFICINA DE ÉTICA PROFESIONAL</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_Toc518890537 \h </w:instrText>
        </w:r>
        <w:r w:rsidR="001E5D8A" w:rsidRPr="00626513">
          <w:rPr>
            <w:noProof/>
            <w:lang w:val="es-ES"/>
          </w:rPr>
        </w:r>
        <w:r w:rsidR="001E5D8A" w:rsidRPr="00626513">
          <w:rPr>
            <w:noProof/>
            <w:lang w:val="es-ES"/>
          </w:rPr>
          <w:fldChar w:fldCharType="separate"/>
        </w:r>
        <w:r w:rsidR="00CB098C">
          <w:rPr>
            <w:noProof/>
            <w:lang w:val="es-ES"/>
          </w:rPr>
          <w:t>19</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8" w:history="1">
        <w:r w:rsidR="001E5D8A" w:rsidRPr="00626513">
          <w:rPr>
            <w:rStyle w:val="Hyperlink"/>
            <w:noProof/>
            <w:color w:val="auto"/>
            <w:lang w:val="es-ES"/>
          </w:rPr>
          <w:t>OTRAS FUNCIONES DE SUPERVISIÓN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_Toc518890538 \h </w:instrText>
        </w:r>
        <w:r w:rsidR="001E5D8A" w:rsidRPr="00626513">
          <w:rPr>
            <w:noProof/>
            <w:lang w:val="es-ES"/>
          </w:rPr>
        </w:r>
        <w:r w:rsidR="001E5D8A" w:rsidRPr="00626513">
          <w:rPr>
            <w:noProof/>
            <w:lang w:val="es-ES"/>
          </w:rPr>
          <w:fldChar w:fldCharType="separate"/>
        </w:r>
        <w:r w:rsidR="00CB098C">
          <w:rPr>
            <w:noProof/>
            <w:lang w:val="es-ES"/>
          </w:rPr>
          <w:t>19</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39" w:history="1">
        <w:r w:rsidR="001E5D8A" w:rsidRPr="00626513">
          <w:rPr>
            <w:rStyle w:val="Hyperlink"/>
            <w:noProof/>
            <w:color w:val="auto"/>
            <w:lang w:val="es-ES"/>
          </w:rPr>
          <w:t xml:space="preserve">INDEPENDENCIA OPERATIVA DE LA </w:t>
        </w:r>
        <w:r w:rsidR="001E5D8A" w:rsidRPr="00626513">
          <w:rPr>
            <w:rStyle w:val="Hyperlink"/>
            <w:noProof/>
            <w:color w:val="auto"/>
            <w:u w:val="none" w:color="FF0000"/>
            <w:lang w:val="es-ES"/>
          </w:rPr>
          <w:t>DSI</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_Toc518890539 \h </w:instrText>
        </w:r>
        <w:r w:rsidR="001E5D8A" w:rsidRPr="00626513">
          <w:rPr>
            <w:noProof/>
            <w:lang w:val="es-ES"/>
          </w:rPr>
        </w:r>
        <w:r w:rsidR="001E5D8A" w:rsidRPr="00626513">
          <w:rPr>
            <w:noProof/>
            <w:lang w:val="es-ES"/>
          </w:rPr>
          <w:fldChar w:fldCharType="separate"/>
        </w:r>
        <w:r w:rsidR="00CB098C">
          <w:rPr>
            <w:noProof/>
            <w:lang w:val="es-ES"/>
          </w:rPr>
          <w:t>20</w:t>
        </w:r>
        <w:r w:rsidR="001E5D8A" w:rsidRPr="00626513">
          <w:rPr>
            <w:noProof/>
            <w:lang w:val="es-ES"/>
          </w:rPr>
          <w:fldChar w:fldCharType="end"/>
        </w:r>
      </w:hyperlink>
    </w:p>
    <w:p w:rsidR="00D23C8A" w:rsidRPr="00626513" w:rsidRDefault="00975342" w:rsidP="00D23C8A">
      <w:pPr>
        <w:pStyle w:val="TOC1"/>
        <w:rPr>
          <w:rFonts w:ascii="Calibri" w:eastAsia="Times New Roman" w:hAnsi="Calibri"/>
          <w:noProof/>
          <w:szCs w:val="22"/>
          <w:lang w:val="es-ES" w:eastAsia="en-US"/>
        </w:rPr>
      </w:pPr>
      <w:hyperlink w:anchor="_Toc518890540" w:history="1">
        <w:r w:rsidR="001E5D8A" w:rsidRPr="00626513">
          <w:rPr>
            <w:rStyle w:val="Hyperlink"/>
            <w:noProof/>
            <w:color w:val="auto"/>
            <w:lang w:val="es-ES"/>
          </w:rPr>
          <w:t>RECURSOS DE SUPERVISIÓN</w:t>
        </w:r>
        <w:r w:rsidR="001E5D8A" w:rsidRPr="00626513">
          <w:rPr>
            <w:noProof/>
            <w:lang w:val="es-ES"/>
          </w:rPr>
          <w:tab/>
        </w:r>
        <w:r w:rsidR="001E5D8A" w:rsidRPr="00626513">
          <w:rPr>
            <w:noProof/>
            <w:lang w:val="es-ES"/>
          </w:rPr>
          <w:fldChar w:fldCharType="begin"/>
        </w:r>
        <w:r w:rsidR="001E5D8A" w:rsidRPr="00626513">
          <w:rPr>
            <w:noProof/>
            <w:lang w:val="es-ES"/>
          </w:rPr>
          <w:instrText xml:space="preserve"> PAGEREF _Toc518890540 \h </w:instrText>
        </w:r>
        <w:r w:rsidR="001E5D8A" w:rsidRPr="00626513">
          <w:rPr>
            <w:noProof/>
            <w:lang w:val="es-ES"/>
          </w:rPr>
        </w:r>
        <w:r w:rsidR="001E5D8A" w:rsidRPr="00626513">
          <w:rPr>
            <w:noProof/>
            <w:lang w:val="es-ES"/>
          </w:rPr>
          <w:fldChar w:fldCharType="separate"/>
        </w:r>
        <w:r w:rsidR="00CB098C">
          <w:rPr>
            <w:noProof/>
            <w:lang w:val="es-ES"/>
          </w:rPr>
          <w:t>21</w:t>
        </w:r>
        <w:r w:rsidR="001E5D8A" w:rsidRPr="00626513">
          <w:rPr>
            <w:noProof/>
            <w:lang w:val="es-ES"/>
          </w:rPr>
          <w:fldChar w:fldCharType="end"/>
        </w:r>
      </w:hyperlink>
    </w:p>
    <w:p w:rsidR="00D23C8A" w:rsidRPr="00626513" w:rsidRDefault="001E5D8A" w:rsidP="00D23C8A">
      <w:pPr>
        <w:tabs>
          <w:tab w:val="left" w:leader="dot" w:pos="8910"/>
        </w:tabs>
        <w:spacing w:before="720" w:after="120" w:line="360" w:lineRule="auto"/>
        <w:rPr>
          <w:b/>
          <w:noProof/>
          <w:lang w:val="es-ES"/>
        </w:rPr>
      </w:pPr>
      <w:r w:rsidRPr="00626513">
        <w:rPr>
          <w:lang w:val="es-ES"/>
        </w:rPr>
        <w:fldChar w:fldCharType="end"/>
      </w:r>
      <w:r w:rsidRPr="00626513">
        <w:rPr>
          <w:rFonts w:eastAsia="Arial"/>
          <w:b/>
          <w:bCs/>
          <w:noProof/>
          <w:szCs w:val="22"/>
          <w:bdr w:val="nil"/>
          <w:lang w:val="es-ES"/>
        </w:rPr>
        <w:t>ANEXOS:</w:t>
      </w:r>
    </w:p>
    <w:p w:rsidR="00D23C8A" w:rsidRPr="00626513" w:rsidRDefault="001E5D8A" w:rsidP="00D23C8A">
      <w:pPr>
        <w:tabs>
          <w:tab w:val="left" w:pos="1134"/>
          <w:tab w:val="left" w:pos="1560"/>
        </w:tabs>
        <w:rPr>
          <w:noProof/>
          <w:lang w:val="es-ES"/>
        </w:rPr>
      </w:pPr>
      <w:r w:rsidRPr="00626513">
        <w:rPr>
          <w:rFonts w:eastAsia="Arial"/>
          <w:noProof/>
          <w:szCs w:val="22"/>
          <w:bdr w:val="nil"/>
          <w:lang w:val="es-ES"/>
        </w:rPr>
        <w:t xml:space="preserve">ANEXO I – Lista de informes de la </w:t>
      </w:r>
      <w:r w:rsidRPr="00626513">
        <w:rPr>
          <w:rFonts w:eastAsia="Arial"/>
          <w:noProof/>
          <w:szCs w:val="22"/>
          <w:u w:color="FF0000"/>
          <w:bdr w:val="nil"/>
          <w:lang w:val="es-ES"/>
        </w:rPr>
        <w:t>DSI</w:t>
      </w:r>
    </w:p>
    <w:p w:rsidR="00D23C8A" w:rsidRPr="00626513" w:rsidRDefault="001E5D8A">
      <w:pPr>
        <w:rPr>
          <w:b/>
          <w:bCs/>
          <w:caps/>
          <w:kern w:val="32"/>
          <w:szCs w:val="32"/>
          <w:lang w:val="es-ES"/>
        </w:rPr>
      </w:pPr>
      <w:r w:rsidRPr="00626513">
        <w:rPr>
          <w:lang w:val="es-ES"/>
        </w:rPr>
        <w:br w:type="page"/>
      </w:r>
    </w:p>
    <w:p w:rsidR="00D23C8A" w:rsidRPr="00626513" w:rsidRDefault="001E5D8A" w:rsidP="00D23C8A">
      <w:pPr>
        <w:pStyle w:val="Heading1"/>
        <w:rPr>
          <w:lang w:val="es-ES"/>
        </w:rPr>
      </w:pPr>
      <w:bookmarkStart w:id="20" w:name="_Toc518890527"/>
      <w:r w:rsidRPr="00626513">
        <w:rPr>
          <w:rFonts w:eastAsia="Arial"/>
          <w:szCs w:val="22"/>
          <w:bdr w:val="nil"/>
          <w:lang w:val="es-ES"/>
        </w:rPr>
        <w:lastRenderedPageBreak/>
        <w:t>SIGLAS</w:t>
      </w:r>
      <w:bookmarkEnd w:id="20"/>
    </w:p>
    <w:tbl>
      <w:tblPr>
        <w:tblStyle w:val="TableGrid"/>
        <w:tblW w:w="9605" w:type="dxa"/>
        <w:tblInd w:w="0" w:type="dxa"/>
        <w:tblLook w:val="01E0" w:firstRow="1" w:lastRow="1" w:firstColumn="1" w:lastColumn="1" w:noHBand="0" w:noVBand="0"/>
      </w:tblPr>
      <w:tblGrid>
        <w:gridCol w:w="1526"/>
        <w:gridCol w:w="8079"/>
      </w:tblGrid>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AIMS</w:t>
            </w:r>
          </w:p>
        </w:tc>
        <w:tc>
          <w:tcPr>
            <w:tcW w:w="8079" w:type="dxa"/>
            <w:vAlign w:val="center"/>
          </w:tcPr>
          <w:p w:rsidR="00D23C8A" w:rsidRPr="00626513" w:rsidRDefault="001E5D8A" w:rsidP="00D23C8A">
            <w:pPr>
              <w:tabs>
                <w:tab w:val="right" w:pos="6880"/>
              </w:tabs>
              <w:ind w:left="43"/>
              <w:rPr>
                <w:szCs w:val="22"/>
                <w:highlight w:val="cyan"/>
                <w:lang w:val="es-ES"/>
              </w:rPr>
            </w:pPr>
            <w:r w:rsidRPr="00626513">
              <w:rPr>
                <w:rFonts w:eastAsia="Arial"/>
                <w:szCs w:val="22"/>
                <w:bdr w:val="nil"/>
                <w:lang w:val="es-ES"/>
              </w:rPr>
              <w:t>Sistema de gestión de la información administrativa</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CDIP</w:t>
            </w:r>
          </w:p>
        </w:tc>
        <w:tc>
          <w:tcPr>
            <w:tcW w:w="8079" w:type="dxa"/>
            <w:vAlign w:val="center"/>
          </w:tcPr>
          <w:p w:rsidR="00D23C8A" w:rsidRPr="00626513" w:rsidRDefault="001E5D8A" w:rsidP="00D23C8A">
            <w:pPr>
              <w:tabs>
                <w:tab w:val="right" w:pos="6880"/>
              </w:tabs>
              <w:ind w:left="43"/>
              <w:rPr>
                <w:szCs w:val="22"/>
                <w:lang w:val="es-ES"/>
              </w:rPr>
            </w:pPr>
            <w:r w:rsidRPr="00626513">
              <w:rPr>
                <w:rFonts w:eastAsia="Arial"/>
                <w:szCs w:val="22"/>
                <w:bdr w:val="nil"/>
                <w:lang w:val="es-ES"/>
              </w:rPr>
              <w:t>Comité de Desarrollo y Propiedad Intelectual</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DGRRHH</w:t>
            </w:r>
          </w:p>
        </w:tc>
        <w:tc>
          <w:tcPr>
            <w:tcW w:w="8079" w:type="dxa"/>
            <w:vAlign w:val="center"/>
          </w:tcPr>
          <w:p w:rsidR="00D23C8A" w:rsidRPr="00626513" w:rsidRDefault="001E5D8A" w:rsidP="00D23C8A">
            <w:pPr>
              <w:tabs>
                <w:tab w:val="right" w:pos="6880"/>
              </w:tabs>
              <w:ind w:left="43"/>
              <w:rPr>
                <w:szCs w:val="22"/>
                <w:lang w:val="es-ES"/>
              </w:rPr>
            </w:pPr>
            <w:r w:rsidRPr="00626513">
              <w:rPr>
                <w:rFonts w:eastAsia="Arial"/>
                <w:szCs w:val="22"/>
                <w:bdr w:val="nil"/>
                <w:lang w:val="es-ES"/>
              </w:rPr>
              <w:t>Departamento de Gestión de los Recursos Humanos</w:t>
            </w:r>
          </w:p>
        </w:tc>
      </w:tr>
      <w:tr w:rsidR="00626513" w:rsidRPr="00626513" w:rsidTr="00D23C8A">
        <w:trPr>
          <w:trHeight w:val="340"/>
        </w:trPr>
        <w:tc>
          <w:tcPr>
            <w:tcW w:w="1526" w:type="dxa"/>
            <w:shd w:val="clear" w:color="auto" w:fill="auto"/>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IA</w:t>
            </w:r>
          </w:p>
        </w:tc>
        <w:tc>
          <w:tcPr>
            <w:tcW w:w="8079" w:type="dxa"/>
            <w:shd w:val="clear" w:color="auto" w:fill="auto"/>
            <w:vAlign w:val="center"/>
          </w:tcPr>
          <w:p w:rsidR="00D23C8A" w:rsidRPr="00626513" w:rsidRDefault="001E5D8A" w:rsidP="00D23C8A">
            <w:pPr>
              <w:ind w:left="43"/>
              <w:rPr>
                <w:szCs w:val="22"/>
                <w:lang w:val="es-ES"/>
              </w:rPr>
            </w:pPr>
            <w:r w:rsidRPr="00626513">
              <w:rPr>
                <w:rFonts w:eastAsia="Arial"/>
                <w:szCs w:val="22"/>
                <w:bdr w:val="nil"/>
                <w:lang w:val="es-ES"/>
              </w:rPr>
              <w:t>Auditoría interna</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CCIS</w:t>
            </w:r>
          </w:p>
        </w:tc>
        <w:tc>
          <w:tcPr>
            <w:tcW w:w="8079" w:type="dxa"/>
            <w:vAlign w:val="center"/>
          </w:tcPr>
          <w:p w:rsidR="00D23C8A" w:rsidRPr="00626513" w:rsidRDefault="001E5D8A" w:rsidP="00D23C8A">
            <w:pPr>
              <w:ind w:left="43"/>
              <w:rPr>
                <w:szCs w:val="22"/>
                <w:lang w:val="es-ES"/>
              </w:rPr>
            </w:pPr>
            <w:r w:rsidRPr="00626513">
              <w:rPr>
                <w:rFonts w:eastAsia="Arial"/>
                <w:bCs/>
                <w:szCs w:val="22"/>
                <w:bdr w:val="nil"/>
                <w:lang w:val="es-ES"/>
              </w:rPr>
              <w:t>Comisión Consultiva Independiente de Supervisión</w:t>
            </w:r>
          </w:p>
        </w:tc>
      </w:tr>
      <w:tr w:rsidR="00626513" w:rsidRPr="00626513" w:rsidTr="00D23C8A">
        <w:tblPrEx>
          <w:tblLook w:val="04A0" w:firstRow="1" w:lastRow="0" w:firstColumn="1" w:lastColumn="0" w:noHBand="0" w:noVBand="1"/>
        </w:tblPrEx>
        <w:trPr>
          <w:trHeight w:val="340"/>
        </w:trPr>
        <w:tc>
          <w:tcPr>
            <w:tcW w:w="1526" w:type="dxa"/>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IIA</w:t>
            </w:r>
          </w:p>
        </w:tc>
        <w:tc>
          <w:tcPr>
            <w:tcW w:w="8079" w:type="dxa"/>
          </w:tcPr>
          <w:p w:rsidR="00D23C8A" w:rsidRPr="00626513" w:rsidRDefault="001E5D8A" w:rsidP="00D23C8A">
            <w:pPr>
              <w:ind w:left="43"/>
              <w:rPr>
                <w:szCs w:val="22"/>
                <w:lang w:val="es-ES"/>
              </w:rPr>
            </w:pPr>
            <w:r w:rsidRPr="00626513">
              <w:rPr>
                <w:rFonts w:eastAsia="Arial"/>
                <w:bCs/>
                <w:szCs w:val="22"/>
                <w:bdr w:val="nil"/>
                <w:lang w:val="es-ES"/>
              </w:rPr>
              <w:t>Instituto de Auditores Internos</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DSI</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División de Supervisión Interna</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PI</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Propiedad intelectual</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bdr w:val="nil"/>
                <w:lang w:val="es-ES"/>
              </w:rPr>
              <w:t>TIC</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Tecnologías de la información y las comunicaciones</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DCI</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Dependencia Común de Inspección</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MIR</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Informe sobre las consecuencias para la dirección</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ODG</w:t>
            </w:r>
          </w:p>
        </w:tc>
        <w:tc>
          <w:tcPr>
            <w:tcW w:w="8079" w:type="dxa"/>
            <w:vAlign w:val="center"/>
          </w:tcPr>
          <w:p w:rsidR="00D23C8A" w:rsidRPr="00626513" w:rsidRDefault="001E5D8A" w:rsidP="00D23C8A">
            <w:pPr>
              <w:ind w:left="43"/>
              <w:rPr>
                <w:lang w:val="es-ES"/>
              </w:rPr>
            </w:pPr>
            <w:r w:rsidRPr="00626513">
              <w:rPr>
                <w:rFonts w:eastAsia="Arial"/>
                <w:szCs w:val="22"/>
                <w:bdr w:val="nil"/>
                <w:lang w:val="es-ES"/>
              </w:rPr>
              <w:t>Oficina del Director General</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PBC</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Comité del Programa y Presupuesto</w:t>
            </w:r>
          </w:p>
        </w:tc>
      </w:tr>
      <w:tr w:rsidR="00626513" w:rsidRPr="00626513" w:rsidTr="00D23C8A">
        <w:trPr>
          <w:trHeight w:val="340"/>
        </w:trPr>
        <w:tc>
          <w:tcPr>
            <w:tcW w:w="1526" w:type="dxa"/>
            <w:vAlign w:val="center"/>
          </w:tcPr>
          <w:p w:rsidR="00D23C8A" w:rsidRPr="00626513" w:rsidRDefault="001E5D8A" w:rsidP="00D23C8A">
            <w:pPr>
              <w:ind w:hanging="737"/>
              <w:jc w:val="both"/>
              <w:rPr>
                <w:b/>
                <w:lang w:val="es-ES"/>
              </w:rPr>
            </w:pPr>
            <w:r w:rsidRPr="00626513">
              <w:rPr>
                <w:rFonts w:eastAsia="Arial"/>
                <w:b/>
                <w:bCs/>
                <w:szCs w:val="22"/>
                <w:u w:color="FF0000"/>
                <w:bdr w:val="nil"/>
                <w:lang w:val="es-ES"/>
              </w:rPr>
              <w:t>PCT</w:t>
            </w:r>
          </w:p>
        </w:tc>
        <w:tc>
          <w:tcPr>
            <w:tcW w:w="8079" w:type="dxa"/>
            <w:vAlign w:val="center"/>
          </w:tcPr>
          <w:p w:rsidR="00D23C8A" w:rsidRPr="00626513" w:rsidRDefault="001E5D8A" w:rsidP="00D23C8A">
            <w:pPr>
              <w:ind w:left="43"/>
              <w:rPr>
                <w:lang w:val="es-ES"/>
              </w:rPr>
            </w:pPr>
            <w:r w:rsidRPr="00626513">
              <w:rPr>
                <w:rFonts w:eastAsia="Arial"/>
                <w:szCs w:val="22"/>
                <w:bdr w:val="nil"/>
                <w:lang w:val="es-ES"/>
              </w:rPr>
              <w:t>Tratado de Cooperación en materia de Patentes</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proofErr w:type="spellStart"/>
            <w:r w:rsidRPr="00626513">
              <w:rPr>
                <w:rFonts w:eastAsia="Arial"/>
                <w:b/>
                <w:bCs/>
                <w:szCs w:val="22"/>
                <w:u w:color="FF0000"/>
                <w:bdr w:val="nil"/>
                <w:lang w:val="es-ES"/>
              </w:rPr>
              <w:t>GpR</w:t>
            </w:r>
            <w:proofErr w:type="spellEnd"/>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Gestión por resultados</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bdr w:val="nil"/>
                <w:lang w:val="es-ES"/>
              </w:rPr>
              <w:t>ONU</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Naciones Unidas</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UNEG</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Grupo de Evaluación de las Naciones Unidas</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OMPI</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Organización Mundial de la Propiedad Intelectual</w:t>
            </w:r>
          </w:p>
        </w:tc>
      </w:tr>
      <w:tr w:rsidR="00626513" w:rsidRPr="00626513" w:rsidTr="00D23C8A">
        <w:trPr>
          <w:trHeight w:val="340"/>
        </w:trPr>
        <w:tc>
          <w:tcPr>
            <w:tcW w:w="1526" w:type="dxa"/>
            <w:vAlign w:val="center"/>
          </w:tcPr>
          <w:p w:rsidR="00D23C8A" w:rsidRPr="00626513" w:rsidRDefault="001E5D8A" w:rsidP="00D23C8A">
            <w:pPr>
              <w:ind w:hanging="737"/>
              <w:jc w:val="both"/>
              <w:rPr>
                <w:b/>
                <w:bCs/>
                <w:szCs w:val="22"/>
                <w:lang w:val="es-ES"/>
              </w:rPr>
            </w:pPr>
            <w:r w:rsidRPr="00626513">
              <w:rPr>
                <w:rFonts w:eastAsia="Arial"/>
                <w:b/>
                <w:bCs/>
                <w:szCs w:val="22"/>
                <w:u w:color="FF0000"/>
                <w:bdr w:val="nil"/>
                <w:lang w:val="es-ES"/>
              </w:rPr>
              <w:t>WPR</w:t>
            </w:r>
          </w:p>
        </w:tc>
        <w:tc>
          <w:tcPr>
            <w:tcW w:w="8079" w:type="dxa"/>
            <w:vAlign w:val="center"/>
          </w:tcPr>
          <w:p w:rsidR="00D23C8A" w:rsidRPr="00626513" w:rsidRDefault="001E5D8A" w:rsidP="00D23C8A">
            <w:pPr>
              <w:ind w:left="43"/>
              <w:rPr>
                <w:szCs w:val="22"/>
                <w:lang w:val="es-ES"/>
              </w:rPr>
            </w:pPr>
            <w:r w:rsidRPr="00626513">
              <w:rPr>
                <w:rFonts w:eastAsia="Arial"/>
                <w:szCs w:val="22"/>
                <w:bdr w:val="nil"/>
                <w:lang w:val="es-ES"/>
              </w:rPr>
              <w:t xml:space="preserve">Informe sobre el rendimiento de la </w:t>
            </w:r>
            <w:r w:rsidRPr="00626513">
              <w:rPr>
                <w:rFonts w:eastAsia="Arial"/>
                <w:szCs w:val="22"/>
                <w:u w:color="FF0000"/>
                <w:bdr w:val="nil"/>
                <w:lang w:val="es-ES"/>
              </w:rPr>
              <w:t>OMPI</w:t>
            </w:r>
          </w:p>
        </w:tc>
      </w:tr>
    </w:tbl>
    <w:p w:rsidR="00D23C8A" w:rsidRPr="00E2647A" w:rsidRDefault="001E5D8A">
      <w:pPr>
        <w:rPr>
          <w:b/>
          <w:lang w:val="es-ES"/>
        </w:rPr>
      </w:pPr>
      <w:bookmarkStart w:id="21" w:name="_Toc392160703"/>
      <w:bookmarkStart w:id="22" w:name="_Toc392160740"/>
      <w:bookmarkStart w:id="23" w:name="_Toc423530309"/>
      <w:bookmarkStart w:id="24" w:name="_Toc423533365"/>
      <w:bookmarkStart w:id="25" w:name="_Toc423533509"/>
      <w:bookmarkStart w:id="26" w:name="_Toc452648468"/>
      <w:r w:rsidRPr="00E2647A">
        <w:rPr>
          <w:b/>
          <w:lang w:val="es-ES"/>
        </w:rPr>
        <w:br w:type="page"/>
      </w:r>
    </w:p>
    <w:p w:rsidR="00D23C8A" w:rsidRPr="00DD6BD7" w:rsidRDefault="001E5D8A" w:rsidP="00D23C8A">
      <w:pPr>
        <w:pStyle w:val="Heading1"/>
        <w:rPr>
          <w:lang w:val="es-ES"/>
        </w:rPr>
      </w:pPr>
      <w:bookmarkStart w:id="27" w:name="_Toc518890528"/>
      <w:bookmarkEnd w:id="21"/>
      <w:bookmarkEnd w:id="22"/>
      <w:bookmarkEnd w:id="23"/>
      <w:bookmarkEnd w:id="24"/>
      <w:bookmarkEnd w:id="25"/>
      <w:bookmarkEnd w:id="26"/>
      <w:r w:rsidRPr="00DD6BD7">
        <w:rPr>
          <w:rFonts w:eastAsia="Arial"/>
          <w:szCs w:val="22"/>
          <w:bdr w:val="nil"/>
          <w:lang w:val="es-ES"/>
        </w:rPr>
        <w:lastRenderedPageBreak/>
        <w:t>ANTECEDENTES</w:t>
      </w:r>
      <w:bookmarkEnd w:id="27"/>
    </w:p>
    <w:p w:rsidR="00D23C8A" w:rsidRPr="00DD6BD7" w:rsidRDefault="001E5D8A" w:rsidP="00D23C8A">
      <w:pPr>
        <w:pStyle w:val="ONUME"/>
        <w:numPr>
          <w:ilvl w:val="0"/>
          <w:numId w:val="15"/>
        </w:numPr>
        <w:rPr>
          <w:lang w:val="es-ES"/>
        </w:rPr>
      </w:pPr>
      <w:r w:rsidRPr="00DD6BD7">
        <w:rPr>
          <w:rFonts w:eastAsia="Arial"/>
          <w:szCs w:val="22"/>
          <w:bdr w:val="nil"/>
          <w:lang w:val="es-ES"/>
        </w:rPr>
        <w:t>La División de Supervisión Interna (</w:t>
      </w:r>
      <w:r w:rsidRPr="00DD6BD7">
        <w:rPr>
          <w:rFonts w:eastAsia="Arial"/>
          <w:szCs w:val="22"/>
          <w:u w:color="FF0000"/>
          <w:bdr w:val="nil"/>
          <w:lang w:val="es-ES"/>
        </w:rPr>
        <w:t>DSI</w:t>
      </w:r>
      <w:r w:rsidRPr="00DD6BD7">
        <w:rPr>
          <w:rFonts w:eastAsia="Arial"/>
          <w:szCs w:val="22"/>
          <w:bdr w:val="nil"/>
          <w:lang w:val="es-ES"/>
        </w:rPr>
        <w:t xml:space="preserve">) de la </w:t>
      </w:r>
      <w:r w:rsidRPr="00DD6BD7">
        <w:rPr>
          <w:rFonts w:eastAsia="Arial"/>
          <w:szCs w:val="22"/>
          <w:u w:color="FF0000"/>
          <w:bdr w:val="nil"/>
          <w:lang w:val="es-ES"/>
        </w:rPr>
        <w:t>OMPI</w:t>
      </w:r>
      <w:r w:rsidRPr="00DD6BD7">
        <w:rPr>
          <w:rFonts w:eastAsia="Arial"/>
          <w:szCs w:val="22"/>
          <w:bdr w:val="nil"/>
          <w:lang w:val="es-ES"/>
        </w:rPr>
        <w:t xml:space="preserve"> tiene por cometido llevar a cabo una supervisión interna independiente y eficaz en la </w:t>
      </w:r>
      <w:r w:rsidRPr="00DD6BD7">
        <w:rPr>
          <w:rFonts w:eastAsia="Arial"/>
          <w:szCs w:val="22"/>
          <w:u w:color="FF0000"/>
          <w:bdr w:val="nil"/>
          <w:lang w:val="es-ES"/>
        </w:rPr>
        <w:t>OMPI</w:t>
      </w:r>
      <w:r w:rsidRPr="00DD6BD7">
        <w:rPr>
          <w:rFonts w:eastAsia="Arial"/>
          <w:szCs w:val="22"/>
          <w:bdr w:val="nil"/>
          <w:lang w:val="es-ES"/>
        </w:rPr>
        <w:t>, en sintonía con las disposiciones de la Carta de Supervisión Interna.</w:t>
      </w:r>
    </w:p>
    <w:p w:rsidR="00D23C8A" w:rsidRPr="00DD6BD7" w:rsidRDefault="001E5D8A" w:rsidP="00D23C8A">
      <w:pPr>
        <w:pStyle w:val="ONUMFS"/>
        <w:numPr>
          <w:ilvl w:val="0"/>
          <w:numId w:val="15"/>
        </w:numPr>
        <w:rPr>
          <w:lang w:val="es-ES"/>
        </w:rPr>
      </w:pPr>
      <w:r w:rsidRPr="00DD6BD7">
        <w:rPr>
          <w:rFonts w:eastAsia="Arial"/>
          <w:szCs w:val="22"/>
          <w:bdr w:val="nil"/>
          <w:lang w:val="es-ES"/>
        </w:rPr>
        <w:t xml:space="preserve">La Carta de Supervisión Interna establece que el director de la </w:t>
      </w:r>
      <w:r w:rsidRPr="00DD6BD7">
        <w:rPr>
          <w:rFonts w:eastAsia="Arial"/>
          <w:szCs w:val="22"/>
          <w:u w:color="FF0000"/>
          <w:bdr w:val="nil"/>
          <w:lang w:val="es-ES"/>
        </w:rPr>
        <w:t>DSI</w:t>
      </w:r>
      <w:r w:rsidRPr="00DD6BD7">
        <w:rPr>
          <w:rFonts w:eastAsia="Arial"/>
          <w:szCs w:val="22"/>
          <w:bdr w:val="nil"/>
          <w:lang w:val="es-ES"/>
        </w:rPr>
        <w:t xml:space="preserve"> </w:t>
      </w:r>
      <w:r w:rsidRPr="00DD6BD7">
        <w:rPr>
          <w:rFonts w:eastAsia="Arial"/>
          <w:szCs w:val="22"/>
          <w:u w:color="FF0000"/>
          <w:bdr w:val="nil"/>
          <w:lang w:val="es-ES"/>
        </w:rPr>
        <w:t>debe</w:t>
      </w:r>
      <w:r w:rsidRPr="00DD6BD7">
        <w:rPr>
          <w:rStyle w:val="FootnoteReference"/>
          <w:u w:color="FF0000"/>
          <w:lang w:val="es-ES"/>
        </w:rPr>
        <w:footnoteReference w:id="2"/>
      </w:r>
      <w:r w:rsidRPr="00DD6BD7">
        <w:rPr>
          <w:rFonts w:eastAsia="Arial"/>
          <w:szCs w:val="22"/>
          <w:bdr w:val="nil"/>
          <w:lang w:val="es-ES"/>
        </w:rPr>
        <w:t xml:space="preserve"> presentar, una vez por año, una reseña a la Asamblea General de la </w:t>
      </w:r>
      <w:r w:rsidRPr="00DD6BD7">
        <w:rPr>
          <w:rFonts w:eastAsia="Arial"/>
          <w:szCs w:val="22"/>
          <w:u w:color="FF0000"/>
          <w:bdr w:val="nil"/>
          <w:lang w:val="es-ES"/>
        </w:rPr>
        <w:t>OMPI</w:t>
      </w:r>
      <w:r w:rsidRPr="00DD6BD7">
        <w:rPr>
          <w:rFonts w:eastAsia="Arial"/>
          <w:szCs w:val="22"/>
          <w:bdr w:val="nil"/>
          <w:lang w:val="es-ES"/>
        </w:rPr>
        <w:t>, por conducto del Comité del Programa y Presupuesto (</w:t>
      </w:r>
      <w:r w:rsidRPr="00DD6BD7">
        <w:rPr>
          <w:rFonts w:eastAsia="Arial"/>
          <w:szCs w:val="22"/>
          <w:u w:color="FF0000"/>
          <w:bdr w:val="nil"/>
          <w:lang w:val="es-ES"/>
        </w:rPr>
        <w:t>PBC</w:t>
      </w:r>
      <w:r w:rsidRPr="00DD6BD7">
        <w:rPr>
          <w:rFonts w:eastAsia="Arial"/>
          <w:szCs w:val="22"/>
          <w:bdr w:val="nil"/>
          <w:lang w:val="es-ES"/>
        </w:rPr>
        <w:t xml:space="preserve">). </w:t>
      </w:r>
      <w:bookmarkStart w:id="28" w:name="_Toc420663566"/>
      <w:bookmarkStart w:id="29" w:name="_Toc328920434"/>
      <w:r w:rsidRPr="00DD6BD7">
        <w:rPr>
          <w:rFonts w:eastAsia="Arial"/>
          <w:szCs w:val="22"/>
          <w:bdr w:val="nil"/>
          <w:lang w:val="es-ES"/>
        </w:rPr>
        <w:t>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p>
    <w:bookmarkEnd w:id="28"/>
    <w:bookmarkEnd w:id="29"/>
    <w:p w:rsidR="00D23C8A" w:rsidRPr="00DD6BD7" w:rsidRDefault="001E5D8A" w:rsidP="00D23C8A">
      <w:pPr>
        <w:pStyle w:val="ONUME"/>
        <w:numPr>
          <w:ilvl w:val="0"/>
          <w:numId w:val="15"/>
        </w:numPr>
        <w:rPr>
          <w:bCs/>
          <w:caps/>
          <w:kern w:val="32"/>
          <w:szCs w:val="32"/>
          <w:lang w:val="es-ES"/>
        </w:rPr>
      </w:pPr>
      <w:r w:rsidRPr="00DD6BD7">
        <w:rPr>
          <w:rFonts w:eastAsia="Arial"/>
          <w:bCs/>
          <w:kern w:val="32"/>
          <w:szCs w:val="22"/>
          <w:bdr w:val="nil"/>
          <w:lang w:val="es-ES"/>
        </w:rPr>
        <w:t>De conformidad con la Carta de Supervisión Interna, se ha facilitado al director general y a la Comisión Consultiva Independiente de Supervisión (</w:t>
      </w:r>
      <w:r w:rsidRPr="00DD6BD7">
        <w:rPr>
          <w:rFonts w:eastAsia="Arial"/>
          <w:bCs/>
          <w:kern w:val="32"/>
          <w:szCs w:val="22"/>
          <w:u w:color="FF0000"/>
          <w:bdr w:val="nil"/>
          <w:lang w:val="es-ES"/>
        </w:rPr>
        <w:t>CCIS</w:t>
      </w:r>
      <w:r w:rsidRPr="00DD6BD7">
        <w:rPr>
          <w:rFonts w:eastAsia="Arial"/>
          <w:bCs/>
          <w:kern w:val="32"/>
          <w:szCs w:val="22"/>
          <w:bdr w:val="nil"/>
          <w:lang w:val="es-ES"/>
        </w:rPr>
        <w:t xml:space="preserve">) un borrador del Informe anual para que formularan comentarios; los comentarios recibidos han sido tenidos en cuenta al finalizar el </w:t>
      </w:r>
      <w:r w:rsidRPr="00DD6BD7">
        <w:rPr>
          <w:rFonts w:eastAsia="Arial"/>
          <w:bCs/>
          <w:kern w:val="32"/>
          <w:szCs w:val="22"/>
          <w:bdr w:val="nil"/>
          <w:shd w:val="clear" w:color="auto" w:fill="FFFFFF"/>
          <w:lang w:val="es-ES"/>
        </w:rPr>
        <w:t>Informe</w:t>
      </w:r>
      <w:r w:rsidRPr="00DD6BD7">
        <w:rPr>
          <w:rFonts w:eastAsia="Arial"/>
          <w:bCs/>
          <w:caps/>
          <w:kern w:val="32"/>
          <w:szCs w:val="22"/>
          <w:bdr w:val="nil"/>
          <w:lang w:val="es-ES"/>
        </w:rPr>
        <w:t>.</w:t>
      </w:r>
    </w:p>
    <w:p w:rsidR="00D23C8A" w:rsidRPr="00DD6BD7" w:rsidRDefault="001E5D8A" w:rsidP="00D23C8A">
      <w:pPr>
        <w:pStyle w:val="Heading1"/>
        <w:rPr>
          <w:lang w:val="es-ES"/>
        </w:rPr>
      </w:pPr>
      <w:bookmarkStart w:id="30" w:name="_Toc518890529"/>
      <w:r w:rsidRPr="00DD6BD7">
        <w:rPr>
          <w:rFonts w:eastAsia="Arial"/>
          <w:szCs w:val="22"/>
          <w:bdr w:val="nil"/>
          <w:lang w:val="es-ES"/>
        </w:rPr>
        <w:t>PRINCIPIOS DE PLANIFICACIÓN</w:t>
      </w:r>
      <w:bookmarkEnd w:id="30"/>
    </w:p>
    <w:p w:rsidR="00D23C8A" w:rsidRPr="00DD6BD7" w:rsidRDefault="001E5D8A" w:rsidP="00D23C8A">
      <w:pPr>
        <w:pStyle w:val="ONUME"/>
        <w:numPr>
          <w:ilvl w:val="0"/>
          <w:numId w:val="15"/>
        </w:numPr>
        <w:rPr>
          <w:lang w:val="es-ES"/>
        </w:rPr>
      </w:pPr>
      <w:r w:rsidRPr="00DD6BD7">
        <w:rPr>
          <w:rFonts w:eastAsia="Arial"/>
          <w:szCs w:val="22"/>
          <w:bdr w:val="nil"/>
          <w:lang w:val="es-ES"/>
        </w:rPr>
        <w:t xml:space="preserve">Al elaborar su plan de trabajo de supervisión, la </w:t>
      </w:r>
      <w:r w:rsidRPr="00DD6BD7">
        <w:rPr>
          <w:rFonts w:eastAsia="Arial"/>
          <w:szCs w:val="22"/>
          <w:u w:color="FF0000"/>
          <w:bdr w:val="nil"/>
          <w:lang w:val="es-ES"/>
        </w:rPr>
        <w:t>DSI</w:t>
      </w:r>
      <w:r w:rsidRPr="00DD6BD7">
        <w:rPr>
          <w:rFonts w:eastAsia="Arial"/>
          <w:szCs w:val="22"/>
          <w:bdr w:val="nil"/>
          <w:lang w:val="es-ES"/>
        </w:rPr>
        <w:t xml:space="preserve"> ha tomado en consideración distintos factores, entre otros, la calificación de riesgos, la pertinencia, la incidencia en los países, el ciclo de supervisión y los comentarios formulados por la Dirección (personal directivo o Administración) de la </w:t>
      </w:r>
      <w:r w:rsidRPr="00DD6BD7">
        <w:rPr>
          <w:rFonts w:eastAsia="Arial"/>
          <w:szCs w:val="22"/>
          <w:u w:color="FF0000"/>
          <w:bdr w:val="nil"/>
          <w:lang w:val="es-ES"/>
        </w:rPr>
        <w:t>OMPI</w:t>
      </w:r>
      <w:r w:rsidRPr="00DD6BD7">
        <w:rPr>
          <w:rFonts w:eastAsia="Arial"/>
          <w:szCs w:val="22"/>
          <w:bdr w:val="nil"/>
          <w:lang w:val="es-ES"/>
        </w:rPr>
        <w:t xml:space="preserve"> y por los Estados miembros, así como los recursos disponibles. Antes de su finalización, el borrador del plan de trabajo de supervisión se sometió también a la </w:t>
      </w:r>
      <w:r w:rsidRPr="00DD6BD7">
        <w:rPr>
          <w:rFonts w:eastAsia="Arial"/>
          <w:szCs w:val="22"/>
          <w:u w:color="FF0000"/>
          <w:bdr w:val="nil"/>
          <w:lang w:val="es-ES"/>
        </w:rPr>
        <w:t>CCIS</w:t>
      </w:r>
      <w:r w:rsidRPr="00DD6BD7">
        <w:rPr>
          <w:rFonts w:eastAsia="Arial"/>
          <w:szCs w:val="22"/>
          <w:bdr w:val="nil"/>
          <w:lang w:val="es-ES"/>
        </w:rPr>
        <w:t xml:space="preserve"> con objeto de que lo examinara y diera asesoramiento al respecto, tal como se establece en el párrafo 26</w:t>
      </w:r>
      <w:r w:rsidRPr="00DD6BD7">
        <w:rPr>
          <w:rFonts w:eastAsia="Arial"/>
          <w:szCs w:val="22"/>
          <w:u w:color="008000"/>
          <w:bdr w:val="nil"/>
          <w:lang w:val="es-ES"/>
        </w:rPr>
        <w:t>.a</w:t>
      </w:r>
      <w:r w:rsidRPr="00DD6BD7">
        <w:rPr>
          <w:rFonts w:eastAsia="Arial"/>
          <w:szCs w:val="22"/>
          <w:bdr w:val="nil"/>
          <w:lang w:val="es-ES"/>
        </w:rPr>
        <w:t>) de la Carta.</w:t>
      </w:r>
    </w:p>
    <w:p w:rsidR="00D23C8A" w:rsidRPr="00DD6BD7" w:rsidRDefault="001E5D8A" w:rsidP="00D23C8A">
      <w:pPr>
        <w:pStyle w:val="ONUME"/>
        <w:numPr>
          <w:ilvl w:val="0"/>
          <w:numId w:val="15"/>
        </w:numPr>
        <w:rPr>
          <w:lang w:val="es-ES"/>
        </w:rPr>
      </w:pPr>
      <w:r w:rsidRPr="00DD6BD7">
        <w:rPr>
          <w:rFonts w:eastAsia="Arial"/>
          <w:szCs w:val="22"/>
          <w:bdr w:val="nil"/>
          <w:lang w:val="es-ES"/>
        </w:rPr>
        <w:t xml:space="preserve">Con el fin de que la supervisión tenga un alcance que asegure su eficacia, utilizando con eficiencia los limitados recursos y evitando una eventual duplicación del trabajo, la </w:t>
      </w:r>
      <w:r w:rsidRPr="00DD6BD7">
        <w:rPr>
          <w:rFonts w:eastAsia="Arial"/>
          <w:szCs w:val="22"/>
          <w:u w:color="FF0000"/>
          <w:bdr w:val="nil"/>
          <w:lang w:val="es-ES"/>
        </w:rPr>
        <w:t>DSI</w:t>
      </w:r>
      <w:r w:rsidRPr="00DD6BD7">
        <w:rPr>
          <w:rFonts w:eastAsia="Arial"/>
          <w:szCs w:val="22"/>
          <w:bdr w:val="nil"/>
          <w:lang w:val="es-ES"/>
        </w:rPr>
        <w:t xml:space="preserve"> también examinó la labor realizada por el auditor externo y otros órganos de supervisión, como la Dependencia Común de Inspección (</w:t>
      </w:r>
      <w:r w:rsidRPr="00DD6BD7">
        <w:rPr>
          <w:rFonts w:eastAsia="Arial"/>
          <w:szCs w:val="22"/>
          <w:u w:color="FF0000"/>
          <w:bdr w:val="nil"/>
          <w:lang w:val="es-ES"/>
        </w:rPr>
        <w:t>DCI</w:t>
      </w:r>
      <w:r w:rsidRPr="00DD6BD7">
        <w:rPr>
          <w:rFonts w:eastAsia="Arial"/>
          <w:szCs w:val="22"/>
          <w:bdr w:val="nil"/>
          <w:lang w:val="es-ES"/>
        </w:rPr>
        <w:t>), y las evaluaciones encomendadas por el Comité de Desarrollo y Propiedad Intelectual (</w:t>
      </w:r>
      <w:r w:rsidRPr="00DD6BD7">
        <w:rPr>
          <w:rFonts w:eastAsia="Arial"/>
          <w:szCs w:val="22"/>
          <w:u w:color="FF0000"/>
          <w:bdr w:val="nil"/>
          <w:lang w:val="es-ES"/>
        </w:rPr>
        <w:t>CDIP</w:t>
      </w:r>
      <w:r w:rsidRPr="00DD6BD7">
        <w:rPr>
          <w:rFonts w:eastAsia="Arial"/>
          <w:szCs w:val="22"/>
          <w:bdr w:val="nil"/>
          <w:lang w:val="es-ES"/>
        </w:rPr>
        <w:t>).</w:t>
      </w:r>
    </w:p>
    <w:p w:rsidR="00D23C8A" w:rsidRPr="00E2647A" w:rsidRDefault="001E5D8A" w:rsidP="00D23C8A">
      <w:pPr>
        <w:pStyle w:val="ONUME"/>
        <w:numPr>
          <w:ilvl w:val="0"/>
          <w:numId w:val="15"/>
        </w:numPr>
        <w:rPr>
          <w:lang w:val="es-ES"/>
        </w:rPr>
      </w:pPr>
      <w:r w:rsidRPr="00E2647A">
        <w:rPr>
          <w:rFonts w:eastAsia="Arial"/>
          <w:szCs w:val="22"/>
          <w:bdr w:val="nil"/>
          <w:lang w:val="es-ES"/>
        </w:rPr>
        <w:t>El plan de supervisión de 2018 fue distribuido a todos los directores de prog</w:t>
      </w:r>
      <w:r w:rsidR="00EE021A" w:rsidRPr="00E2647A">
        <w:rPr>
          <w:rFonts w:eastAsia="Arial"/>
          <w:szCs w:val="22"/>
          <w:bdr w:val="nil"/>
          <w:lang w:val="es-ES"/>
        </w:rPr>
        <w:t>rama y se puso a disposición de</w:t>
      </w:r>
      <w:r w:rsidRPr="00E2647A">
        <w:rPr>
          <w:rFonts w:eastAsia="Arial"/>
          <w:szCs w:val="22"/>
          <w:bdr w:val="nil"/>
          <w:lang w:val="es-ES"/>
        </w:rPr>
        <w:t xml:space="preserve">l personal de la </w:t>
      </w:r>
      <w:r w:rsidRPr="00E2647A">
        <w:rPr>
          <w:rFonts w:eastAsia="Arial"/>
          <w:szCs w:val="22"/>
          <w:u w:color="FF0000"/>
          <w:bdr w:val="nil"/>
          <w:lang w:val="es-ES"/>
        </w:rPr>
        <w:t>OMPI</w:t>
      </w:r>
      <w:r w:rsidRPr="00E2647A">
        <w:rPr>
          <w:rFonts w:eastAsia="Arial"/>
          <w:szCs w:val="22"/>
          <w:bdr w:val="nil"/>
          <w:lang w:val="es-ES"/>
        </w:rPr>
        <w:t xml:space="preserve"> a través de la </w:t>
      </w:r>
      <w:r w:rsidRPr="00E2647A">
        <w:rPr>
          <w:rFonts w:eastAsia="Arial"/>
          <w:szCs w:val="22"/>
          <w:u w:color="FF0000"/>
          <w:bdr w:val="nil"/>
          <w:lang w:val="es-ES"/>
        </w:rPr>
        <w:t>Intranet</w:t>
      </w:r>
      <w:r w:rsidRPr="00E2647A">
        <w:rPr>
          <w:rFonts w:eastAsia="Arial"/>
          <w:szCs w:val="22"/>
          <w:bdr w:val="nil"/>
          <w:lang w:val="es-ES"/>
        </w:rPr>
        <w:t xml:space="preserve"> de la </w:t>
      </w:r>
      <w:r w:rsidRPr="00E2647A">
        <w:rPr>
          <w:rFonts w:eastAsia="Arial"/>
          <w:szCs w:val="22"/>
          <w:u w:color="FF0000"/>
          <w:bdr w:val="nil"/>
          <w:lang w:val="es-ES"/>
        </w:rPr>
        <w:t>OMPI</w:t>
      </w:r>
      <w:r w:rsidRPr="00E2647A">
        <w:rPr>
          <w:rFonts w:eastAsia="Arial"/>
          <w:szCs w:val="22"/>
          <w:bdr w:val="nil"/>
          <w:lang w:val="es-ES"/>
        </w:rPr>
        <w:t>. El plan de supervisión de 2017 se ejecutó según el calendario previsto y dentro de las restricciones presupuestarias.</w:t>
      </w:r>
    </w:p>
    <w:p w:rsidR="00D23C8A" w:rsidRPr="00DD6BD7" w:rsidRDefault="001E5D8A" w:rsidP="00D23C8A">
      <w:pPr>
        <w:pStyle w:val="Heading1"/>
        <w:rPr>
          <w:lang w:val="es-ES"/>
        </w:rPr>
      </w:pPr>
      <w:bookmarkStart w:id="31" w:name="_Toc518890530"/>
      <w:r w:rsidRPr="00DD6BD7">
        <w:rPr>
          <w:rFonts w:eastAsia="Arial"/>
          <w:szCs w:val="22"/>
          <w:bdr w:val="nil"/>
          <w:lang w:val="es-ES"/>
        </w:rPr>
        <w:t>NORMAS PROFESIONALES</w:t>
      </w:r>
      <w:bookmarkEnd w:id="31"/>
    </w:p>
    <w:p w:rsidR="00D23C8A" w:rsidRPr="00DD6BD7" w:rsidRDefault="001E5D8A" w:rsidP="00D23C8A">
      <w:pPr>
        <w:pStyle w:val="ONUME"/>
        <w:numPr>
          <w:ilvl w:val="0"/>
          <w:numId w:val="15"/>
        </w:numPr>
        <w:rPr>
          <w:lang w:val="es-ES"/>
        </w:rPr>
      </w:pPr>
      <w:r w:rsidRPr="00DD6BD7">
        <w:rPr>
          <w:rFonts w:eastAsia="Arial"/>
          <w:szCs w:val="22"/>
          <w:bdr w:val="nil"/>
          <w:lang w:val="es-ES"/>
        </w:rPr>
        <w:t xml:space="preserve">Para la realización de sus actividades de auditoría, la </w:t>
      </w:r>
      <w:r w:rsidRPr="00DD6BD7">
        <w:rPr>
          <w:rFonts w:eastAsia="Arial"/>
          <w:szCs w:val="22"/>
          <w:u w:color="FF0000"/>
          <w:bdr w:val="nil"/>
          <w:lang w:val="es-ES"/>
        </w:rPr>
        <w:t>DSI</w:t>
      </w:r>
      <w:r w:rsidRPr="00DD6BD7">
        <w:rPr>
          <w:rFonts w:eastAsia="Arial"/>
          <w:szCs w:val="22"/>
          <w:bdr w:val="nil"/>
          <w:lang w:val="es-ES"/>
        </w:rPr>
        <w:t xml:space="preserve"> se adhiere al Marco Internacional de Prácticas Profesionales, elaborado por el Instituto de Auditores Internos (</w:t>
      </w:r>
      <w:r w:rsidRPr="00DD6BD7">
        <w:rPr>
          <w:rFonts w:eastAsia="Arial"/>
          <w:szCs w:val="22"/>
          <w:u w:color="FF0000"/>
          <w:bdr w:val="nil"/>
          <w:lang w:val="es-ES"/>
        </w:rPr>
        <w:t>IIA</w:t>
      </w:r>
      <w:r w:rsidRPr="00DD6BD7">
        <w:rPr>
          <w:rFonts w:eastAsia="Arial"/>
          <w:szCs w:val="22"/>
          <w:bdr w:val="nil"/>
          <w:lang w:val="es-ES"/>
        </w:rPr>
        <w:t xml:space="preserve">). Del mismo modo, la labor de investigación de la </w:t>
      </w:r>
      <w:r w:rsidRPr="00DD6BD7">
        <w:rPr>
          <w:rFonts w:eastAsia="Arial"/>
          <w:szCs w:val="22"/>
          <w:u w:color="FF0000"/>
          <w:bdr w:val="nil"/>
          <w:lang w:val="es-ES"/>
        </w:rPr>
        <w:t>DSI</w:t>
      </w:r>
      <w:r w:rsidRPr="00DD6BD7">
        <w:rPr>
          <w:rFonts w:eastAsia="Arial"/>
          <w:szCs w:val="22"/>
          <w:bdr w:val="nil"/>
          <w:lang w:val="es-ES"/>
        </w:rPr>
        <w:t xml:space="preserve"> se lleva a cabo en sintonía con los Principios y Directrices Uniformes para las Investigaciones, aprobadas por la Conferencia de Investigadores Internacionales. Por lo que se refiere a las actividades de evaluación, la </w:t>
      </w:r>
      <w:r w:rsidRPr="00DD6BD7">
        <w:rPr>
          <w:rFonts w:eastAsia="Arial"/>
          <w:szCs w:val="22"/>
          <w:u w:color="FF0000"/>
          <w:bdr w:val="nil"/>
          <w:lang w:val="es-ES"/>
        </w:rPr>
        <w:t>DSI</w:t>
      </w:r>
      <w:r w:rsidRPr="00DD6BD7">
        <w:rPr>
          <w:rFonts w:eastAsia="Arial"/>
          <w:szCs w:val="22"/>
          <w:bdr w:val="nil"/>
          <w:lang w:val="es-ES"/>
        </w:rPr>
        <w:t xml:space="preserve"> acata las Normas Internacionales para la realización de evaluaciones establecidas por el Grupo de Evaluación de las Naciones Unidas (</w:t>
      </w:r>
      <w:r w:rsidRPr="00DD6BD7">
        <w:rPr>
          <w:rFonts w:eastAsia="Arial"/>
          <w:szCs w:val="22"/>
          <w:u w:color="FF0000"/>
          <w:bdr w:val="nil"/>
          <w:lang w:val="es-ES"/>
        </w:rPr>
        <w:t>UNEG</w:t>
      </w:r>
      <w:r w:rsidRPr="00DD6BD7">
        <w:rPr>
          <w:rFonts w:eastAsia="Arial"/>
          <w:szCs w:val="22"/>
          <w:bdr w:val="nil"/>
          <w:lang w:val="es-ES"/>
        </w:rPr>
        <w:t>).</w:t>
      </w:r>
    </w:p>
    <w:p w:rsidR="00D23C8A" w:rsidRPr="00DD6BD7" w:rsidRDefault="001E5D8A" w:rsidP="00D23C8A">
      <w:pPr>
        <w:pStyle w:val="Heading1"/>
        <w:rPr>
          <w:lang w:val="es-ES"/>
        </w:rPr>
      </w:pPr>
      <w:bookmarkStart w:id="32" w:name="_Toc518890531"/>
      <w:r w:rsidRPr="00DD6BD7">
        <w:rPr>
          <w:rFonts w:eastAsia="Arial"/>
          <w:szCs w:val="22"/>
          <w:bdr w:val="nil"/>
          <w:lang w:val="es-ES"/>
        </w:rPr>
        <w:lastRenderedPageBreak/>
        <w:t>PRINCIPALES CUESTIONES Y RECOMENDACIONES DE ALTA PRIORIDAD EN MATERIA DE SUPERVISIÓN</w:t>
      </w:r>
      <w:bookmarkEnd w:id="32"/>
    </w:p>
    <w:p w:rsidR="00D23C8A" w:rsidRPr="00DD6BD7" w:rsidRDefault="001E5D8A" w:rsidP="00D23C8A">
      <w:pPr>
        <w:pStyle w:val="ONUME"/>
        <w:numPr>
          <w:ilvl w:val="0"/>
          <w:numId w:val="15"/>
        </w:numPr>
        <w:rPr>
          <w:lang w:val="es-ES"/>
        </w:rPr>
      </w:pPr>
      <w:r w:rsidRPr="00DD6BD7">
        <w:rPr>
          <w:rFonts w:eastAsia="Arial"/>
          <w:szCs w:val="22"/>
          <w:bdr w:val="nil"/>
          <w:lang w:val="es-ES"/>
        </w:rPr>
        <w:t xml:space="preserve">En esta sección se reseñan las principales conclusiones y recomendaciones relativas a los riesgos prioritarios que figuran en los informes de supervisión interna (informes de auditoría, de evaluación e informes sobre las consecuencias para la dirección) publicados durante el </w:t>
      </w:r>
      <w:r w:rsidR="00C57AC0" w:rsidRPr="00DD6BD7">
        <w:rPr>
          <w:rFonts w:eastAsia="Arial"/>
          <w:szCs w:val="22"/>
          <w:bdr w:val="nil"/>
          <w:lang w:val="es-ES"/>
        </w:rPr>
        <w:t>ejercicio en examen</w:t>
      </w:r>
      <w:r w:rsidRPr="00DD6BD7">
        <w:rPr>
          <w:rFonts w:eastAsia="Arial"/>
          <w:szCs w:val="22"/>
          <w:bdr w:val="nil"/>
          <w:lang w:val="es-ES"/>
        </w:rPr>
        <w:t>.</w:t>
      </w:r>
    </w:p>
    <w:p w:rsidR="00D23C8A" w:rsidRPr="00DD6BD7" w:rsidRDefault="001E5D8A" w:rsidP="00D23C8A">
      <w:pPr>
        <w:pStyle w:val="ONUME"/>
        <w:numPr>
          <w:ilvl w:val="0"/>
          <w:numId w:val="15"/>
        </w:numPr>
        <w:rPr>
          <w:lang w:val="es-ES"/>
        </w:rPr>
      </w:pPr>
      <w:r w:rsidRPr="00DD6BD7">
        <w:rPr>
          <w:rFonts w:eastAsia="Arial"/>
          <w:szCs w:val="22"/>
          <w:bdr w:val="nil"/>
          <w:lang w:val="es-ES"/>
        </w:rPr>
        <w:t>Las principales conclusiones y recomendaciones se relacionan con los siguientes informes publicados durante el ejercicio en examen:</w:t>
      </w:r>
      <w:r w:rsidRPr="00DD6BD7">
        <w:rPr>
          <w:rStyle w:val="FootnoteReference"/>
          <w:lang w:val="es-ES"/>
        </w:rPr>
        <w:footnoteReference w:id="3"/>
      </w:r>
    </w:p>
    <w:p w:rsidR="00D23C8A" w:rsidRPr="00DD6BD7" w:rsidRDefault="001E5D8A" w:rsidP="00D23C8A">
      <w:pPr>
        <w:pStyle w:val="ONUME"/>
        <w:numPr>
          <w:ilvl w:val="1"/>
          <w:numId w:val="28"/>
        </w:numPr>
        <w:rPr>
          <w:lang w:val="es-ES"/>
        </w:rPr>
      </w:pPr>
      <w:r w:rsidRPr="00DD6BD7">
        <w:rPr>
          <w:rFonts w:eastAsia="Arial"/>
          <w:szCs w:val="22"/>
          <w:bdr w:val="nil"/>
          <w:lang w:val="es-ES"/>
        </w:rPr>
        <w:t xml:space="preserve">Auditoría de la gestión de eventos de terceros organizados o acogidos por la </w:t>
      </w:r>
      <w:r w:rsidRPr="00DD6BD7">
        <w:rPr>
          <w:rFonts w:eastAsia="Arial"/>
          <w:szCs w:val="22"/>
          <w:u w:color="FF0000"/>
          <w:bdr w:val="nil"/>
          <w:lang w:val="es-ES"/>
        </w:rPr>
        <w:t>OMPI</w:t>
      </w:r>
      <w:r w:rsidRPr="00DD6BD7">
        <w:rPr>
          <w:rFonts w:eastAsia="Arial"/>
          <w:szCs w:val="22"/>
          <w:bdr w:val="nil"/>
          <w:lang w:val="es-ES"/>
        </w:rPr>
        <w:t>;</w:t>
      </w:r>
    </w:p>
    <w:p w:rsidR="00D23C8A" w:rsidRPr="00DD6BD7" w:rsidRDefault="001E5D8A" w:rsidP="00D23C8A">
      <w:pPr>
        <w:pStyle w:val="ONUME"/>
        <w:numPr>
          <w:ilvl w:val="1"/>
          <w:numId w:val="28"/>
        </w:numPr>
        <w:rPr>
          <w:lang w:val="es-ES"/>
        </w:rPr>
      </w:pPr>
      <w:r w:rsidRPr="00DD6BD7">
        <w:rPr>
          <w:rFonts w:eastAsia="Arial"/>
          <w:szCs w:val="22"/>
          <w:bdr w:val="nil"/>
          <w:lang w:val="es-ES"/>
        </w:rPr>
        <w:t>Auditoría de gestión de activos de programas informáticos;</w:t>
      </w:r>
    </w:p>
    <w:p w:rsidR="00D23C8A" w:rsidRPr="00DD6BD7" w:rsidRDefault="005525AE" w:rsidP="00D23C8A">
      <w:pPr>
        <w:pStyle w:val="ONUME"/>
        <w:numPr>
          <w:ilvl w:val="1"/>
          <w:numId w:val="28"/>
        </w:numPr>
        <w:rPr>
          <w:lang w:val="es-ES"/>
        </w:rPr>
      </w:pPr>
      <w:r w:rsidRPr="00DD6BD7">
        <w:rPr>
          <w:rFonts w:eastAsia="Arial"/>
          <w:szCs w:val="22"/>
          <w:bdr w:val="nil"/>
          <w:lang w:val="es-ES"/>
        </w:rPr>
        <w:t xml:space="preserve">Auditoría del proceso de </w:t>
      </w:r>
      <w:r w:rsidR="001E5D8A" w:rsidRPr="00DD6BD7">
        <w:rPr>
          <w:rFonts w:eastAsia="Arial"/>
          <w:szCs w:val="22"/>
          <w:bdr w:val="nil"/>
          <w:lang w:val="es-ES"/>
        </w:rPr>
        <w:t>contratación de personal;</w:t>
      </w:r>
    </w:p>
    <w:p w:rsidR="00D23C8A" w:rsidRPr="00DD6BD7" w:rsidRDefault="001E5D8A" w:rsidP="00D23C8A">
      <w:pPr>
        <w:pStyle w:val="ONUME"/>
        <w:numPr>
          <w:ilvl w:val="1"/>
          <w:numId w:val="28"/>
        </w:numPr>
        <w:rPr>
          <w:lang w:val="es-ES"/>
        </w:rPr>
      </w:pPr>
      <w:r w:rsidRPr="00DD6BD7">
        <w:rPr>
          <w:rFonts w:eastAsia="Arial"/>
          <w:szCs w:val="22"/>
          <w:bdr w:val="nil"/>
          <w:lang w:val="es-ES"/>
        </w:rPr>
        <w:t>Auditoría de la División Lingüística;</w:t>
      </w:r>
    </w:p>
    <w:p w:rsidR="00D23C8A" w:rsidRPr="00DD6BD7" w:rsidRDefault="001E5D8A" w:rsidP="00D23C8A">
      <w:pPr>
        <w:pStyle w:val="ONUME"/>
        <w:numPr>
          <w:ilvl w:val="1"/>
          <w:numId w:val="28"/>
        </w:numPr>
        <w:rPr>
          <w:lang w:val="es-ES"/>
        </w:rPr>
      </w:pPr>
      <w:r w:rsidRPr="00DD6BD7">
        <w:rPr>
          <w:rFonts w:eastAsia="Arial"/>
          <w:szCs w:val="22"/>
          <w:bdr w:val="nil"/>
          <w:lang w:val="es-ES"/>
        </w:rPr>
        <w:t xml:space="preserve">Auditoría de la </w:t>
      </w:r>
      <w:r w:rsidR="008D5CE2" w:rsidRPr="00DD6BD7">
        <w:rPr>
          <w:rFonts w:eastAsia="Arial"/>
          <w:szCs w:val="22"/>
          <w:bdr w:val="nil"/>
          <w:lang w:val="es-ES"/>
        </w:rPr>
        <w:t>g</w:t>
      </w:r>
      <w:r w:rsidRPr="00DD6BD7">
        <w:rPr>
          <w:rFonts w:eastAsia="Arial"/>
          <w:szCs w:val="22"/>
          <w:bdr w:val="nil"/>
          <w:lang w:val="es-ES"/>
        </w:rPr>
        <w:t xml:space="preserve">estión de </w:t>
      </w:r>
      <w:r w:rsidR="008D5CE2" w:rsidRPr="00DD6BD7">
        <w:rPr>
          <w:rFonts w:eastAsia="Arial"/>
          <w:szCs w:val="22"/>
          <w:bdr w:val="nil"/>
          <w:lang w:val="es-ES"/>
        </w:rPr>
        <w:t>v</w:t>
      </w:r>
      <w:r w:rsidRPr="00DD6BD7">
        <w:rPr>
          <w:rFonts w:eastAsia="Arial"/>
          <w:szCs w:val="22"/>
          <w:bdr w:val="nil"/>
          <w:lang w:val="es-ES"/>
        </w:rPr>
        <w:t>iajes;</w:t>
      </w:r>
    </w:p>
    <w:p w:rsidR="00D23C8A" w:rsidRPr="00DD6BD7" w:rsidRDefault="001E5D8A" w:rsidP="00D23C8A">
      <w:pPr>
        <w:pStyle w:val="ONUME"/>
        <w:numPr>
          <w:ilvl w:val="1"/>
          <w:numId w:val="28"/>
        </w:numPr>
        <w:rPr>
          <w:lang w:val="es-ES"/>
        </w:rPr>
      </w:pPr>
      <w:r w:rsidRPr="00DD6BD7">
        <w:rPr>
          <w:rFonts w:eastAsia="Arial"/>
          <w:szCs w:val="22"/>
          <w:bdr w:val="nil"/>
          <w:lang w:val="es-ES"/>
        </w:rPr>
        <w:t>Memorando de auditoría continua;</w:t>
      </w:r>
    </w:p>
    <w:p w:rsidR="00D23C8A" w:rsidRPr="00DD6BD7" w:rsidRDefault="001E5D8A" w:rsidP="00D23C8A">
      <w:pPr>
        <w:pStyle w:val="ONUME"/>
        <w:numPr>
          <w:ilvl w:val="1"/>
          <w:numId w:val="28"/>
        </w:numPr>
        <w:rPr>
          <w:lang w:val="es-ES"/>
        </w:rPr>
      </w:pPr>
      <w:r w:rsidRPr="00DD6BD7">
        <w:rPr>
          <w:rFonts w:eastAsia="Arial"/>
          <w:szCs w:val="22"/>
          <w:bdr w:val="nil"/>
          <w:lang w:val="es-ES"/>
        </w:rPr>
        <w:t>Evaluación de las actividades de comunicación institucional</w:t>
      </w:r>
      <w:r w:rsidR="00206030" w:rsidRPr="00DD6BD7">
        <w:rPr>
          <w:rFonts w:eastAsia="Arial"/>
          <w:szCs w:val="22"/>
          <w:bdr w:val="nil"/>
          <w:lang w:val="es-ES"/>
        </w:rPr>
        <w:t xml:space="preserve"> de la </w:t>
      </w:r>
      <w:r w:rsidR="00206030" w:rsidRPr="00DD6BD7">
        <w:rPr>
          <w:rFonts w:eastAsia="Arial"/>
          <w:szCs w:val="22"/>
          <w:u w:color="FF0000"/>
          <w:bdr w:val="nil"/>
          <w:lang w:val="es-ES"/>
        </w:rPr>
        <w:t>OMPI</w:t>
      </w:r>
      <w:r w:rsidR="00206030" w:rsidRPr="00DD6BD7">
        <w:rPr>
          <w:rFonts w:eastAsia="Arial"/>
          <w:szCs w:val="22"/>
          <w:bdr w:val="nil"/>
          <w:lang w:val="es-ES"/>
        </w:rPr>
        <w:t xml:space="preserve"> y su contribución</w:t>
      </w:r>
      <w:r w:rsidRPr="00DD6BD7">
        <w:rPr>
          <w:rFonts w:eastAsia="Arial"/>
          <w:szCs w:val="22"/>
          <w:bdr w:val="nil"/>
          <w:lang w:val="es-ES"/>
        </w:rPr>
        <w:t xml:space="preserve"> a la imagen institucional y la reputación de la </w:t>
      </w:r>
      <w:r w:rsidRPr="00DD6BD7">
        <w:rPr>
          <w:rFonts w:eastAsia="Arial"/>
          <w:szCs w:val="22"/>
          <w:u w:color="FF0000"/>
          <w:bdr w:val="nil"/>
          <w:lang w:val="es-ES"/>
        </w:rPr>
        <w:t>OMPI</w:t>
      </w:r>
      <w:r w:rsidRPr="00DD6BD7">
        <w:rPr>
          <w:rFonts w:eastAsia="Arial"/>
          <w:szCs w:val="22"/>
          <w:bdr w:val="nil"/>
          <w:lang w:val="es-ES"/>
        </w:rPr>
        <w:t>;</w:t>
      </w:r>
    </w:p>
    <w:p w:rsidR="00D23C8A" w:rsidRPr="00DD6BD7" w:rsidRDefault="001E5D8A" w:rsidP="00D23C8A">
      <w:pPr>
        <w:pStyle w:val="ONUME"/>
        <w:numPr>
          <w:ilvl w:val="1"/>
          <w:numId w:val="28"/>
        </w:numPr>
        <w:rPr>
          <w:lang w:val="es-ES"/>
        </w:rPr>
      </w:pPr>
      <w:r w:rsidRPr="00DD6BD7">
        <w:rPr>
          <w:rFonts w:eastAsia="Arial"/>
          <w:szCs w:val="22"/>
          <w:bdr w:val="nil"/>
          <w:lang w:val="es-ES"/>
        </w:rPr>
        <w:t>Evaluación de la Oficina Regional en la sede para América Latina y el Caribe;</w:t>
      </w:r>
    </w:p>
    <w:p w:rsidR="00D23C8A" w:rsidRPr="00DD6BD7" w:rsidRDefault="001E5D8A" w:rsidP="00D23C8A">
      <w:pPr>
        <w:pStyle w:val="ONUME"/>
        <w:numPr>
          <w:ilvl w:val="1"/>
          <w:numId w:val="28"/>
        </w:numPr>
        <w:rPr>
          <w:lang w:val="es-ES"/>
        </w:rPr>
      </w:pPr>
      <w:r w:rsidRPr="00DD6BD7">
        <w:rPr>
          <w:rFonts w:eastAsia="Arial"/>
          <w:szCs w:val="22"/>
          <w:bdr w:val="nil"/>
          <w:lang w:val="es-ES"/>
        </w:rPr>
        <w:t xml:space="preserve">Evaluación del programa 18: La </w:t>
      </w:r>
      <w:r w:rsidRPr="00DD6BD7">
        <w:rPr>
          <w:rFonts w:eastAsia="Arial"/>
          <w:szCs w:val="22"/>
          <w:u w:color="FF0000"/>
          <w:bdr w:val="nil"/>
          <w:lang w:val="es-ES"/>
        </w:rPr>
        <w:t>PI</w:t>
      </w:r>
      <w:r w:rsidRPr="00DD6BD7">
        <w:rPr>
          <w:rFonts w:eastAsia="Arial"/>
          <w:szCs w:val="22"/>
          <w:bdr w:val="nil"/>
          <w:lang w:val="es-ES"/>
        </w:rPr>
        <w:t xml:space="preserve"> y los desafíos mundiales;</w:t>
      </w:r>
    </w:p>
    <w:p w:rsidR="00D23C8A" w:rsidRPr="00DD6BD7" w:rsidRDefault="001E5D8A" w:rsidP="00D23C8A">
      <w:pPr>
        <w:pStyle w:val="ONUME"/>
        <w:numPr>
          <w:ilvl w:val="1"/>
          <w:numId w:val="28"/>
        </w:numPr>
        <w:rPr>
          <w:lang w:val="es-ES"/>
        </w:rPr>
      </w:pPr>
      <w:r w:rsidRPr="00DD6BD7">
        <w:rPr>
          <w:rFonts w:eastAsia="Arial"/>
          <w:szCs w:val="22"/>
          <w:bdr w:val="nil"/>
          <w:lang w:val="es-ES"/>
        </w:rPr>
        <w:t>Evaluación del desarrollo de competencias en materia de propiedad intelectual;</w:t>
      </w:r>
    </w:p>
    <w:p w:rsidR="00D23C8A" w:rsidRPr="00E2647A" w:rsidRDefault="001E5D8A" w:rsidP="00D23C8A">
      <w:pPr>
        <w:pStyle w:val="ONUME"/>
        <w:numPr>
          <w:ilvl w:val="1"/>
          <w:numId w:val="28"/>
        </w:numPr>
        <w:rPr>
          <w:lang w:val="es-ES"/>
        </w:rPr>
      </w:pPr>
      <w:r w:rsidRPr="00E2647A">
        <w:rPr>
          <w:rFonts w:eastAsia="Arial"/>
          <w:szCs w:val="22"/>
          <w:bdr w:val="nil"/>
          <w:lang w:val="es-ES"/>
        </w:rPr>
        <w:t>Informe sobre las consecuencias para la dirección de las normas de tráfico en las zonas de aparcamiento;</w:t>
      </w:r>
    </w:p>
    <w:p w:rsidR="00D23C8A" w:rsidRPr="00E2647A" w:rsidRDefault="001E5D8A" w:rsidP="00D23C8A">
      <w:pPr>
        <w:pStyle w:val="ONUME"/>
        <w:numPr>
          <w:ilvl w:val="1"/>
          <w:numId w:val="28"/>
        </w:numPr>
        <w:rPr>
          <w:lang w:val="es-ES"/>
        </w:rPr>
      </w:pPr>
      <w:r w:rsidRPr="00E2647A">
        <w:rPr>
          <w:rFonts w:eastAsia="Arial"/>
          <w:szCs w:val="22"/>
          <w:bdr w:val="nil"/>
          <w:lang w:val="es-ES"/>
        </w:rPr>
        <w:t>Informe sobre las consecuencias para la dirección del acceso y la utilización de las zonas de aparcamiento por los funcionarios;</w:t>
      </w:r>
    </w:p>
    <w:p w:rsidR="00D23C8A" w:rsidRPr="00E2647A" w:rsidRDefault="001E5D8A" w:rsidP="00D23C8A">
      <w:pPr>
        <w:pStyle w:val="ONUME"/>
        <w:numPr>
          <w:ilvl w:val="1"/>
          <w:numId w:val="28"/>
        </w:numPr>
        <w:rPr>
          <w:lang w:val="es-ES"/>
        </w:rPr>
      </w:pPr>
      <w:r w:rsidRPr="00E2647A">
        <w:rPr>
          <w:rFonts w:eastAsia="Arial"/>
          <w:szCs w:val="22"/>
          <w:bdr w:val="nil"/>
          <w:lang w:val="es-ES"/>
        </w:rPr>
        <w:t>Informe sobre las consecuencias para la dirección de las solicitudes de adquisiciones; y</w:t>
      </w:r>
    </w:p>
    <w:p w:rsidR="00D23C8A" w:rsidRPr="00DD6BD7" w:rsidRDefault="001E5D8A" w:rsidP="00D23C8A">
      <w:pPr>
        <w:pStyle w:val="ONUME"/>
        <w:numPr>
          <w:ilvl w:val="1"/>
          <w:numId w:val="28"/>
        </w:numPr>
        <w:rPr>
          <w:lang w:val="es-ES"/>
        </w:rPr>
      </w:pPr>
      <w:r w:rsidRPr="00E2647A">
        <w:rPr>
          <w:rFonts w:eastAsia="Arial"/>
          <w:szCs w:val="22"/>
          <w:bdr w:val="nil"/>
          <w:lang w:val="es-ES"/>
        </w:rPr>
        <w:t xml:space="preserve">Informe de validación por la </w:t>
      </w:r>
      <w:r w:rsidRPr="00E2647A">
        <w:rPr>
          <w:rFonts w:eastAsia="Arial"/>
          <w:szCs w:val="22"/>
          <w:u w:color="FF0000"/>
          <w:bdr w:val="nil"/>
          <w:lang w:val="es-ES"/>
        </w:rPr>
        <w:t>DSI</w:t>
      </w:r>
      <w:r w:rsidRPr="00E2647A">
        <w:rPr>
          <w:rFonts w:eastAsia="Arial"/>
          <w:szCs w:val="22"/>
          <w:bdr w:val="nil"/>
          <w:lang w:val="es-ES"/>
        </w:rPr>
        <w:t xml:space="preserve"> del Informe sobre el rendimiento de la </w:t>
      </w:r>
      <w:r w:rsidRPr="00E2647A">
        <w:rPr>
          <w:rFonts w:eastAsia="Arial"/>
          <w:szCs w:val="22"/>
          <w:u w:color="FF0000"/>
          <w:bdr w:val="nil"/>
          <w:lang w:val="es-ES"/>
        </w:rPr>
        <w:t>OMPI</w:t>
      </w:r>
      <w:r w:rsidRPr="00E2647A">
        <w:rPr>
          <w:rFonts w:eastAsia="Arial"/>
          <w:szCs w:val="22"/>
          <w:bdr w:val="nil"/>
          <w:lang w:val="es-ES"/>
        </w:rPr>
        <w:t xml:space="preserve"> en el </w:t>
      </w:r>
      <w:r w:rsidRPr="00DD6BD7">
        <w:rPr>
          <w:rFonts w:eastAsia="Arial"/>
          <w:szCs w:val="22"/>
          <w:bdr w:val="nil"/>
          <w:lang w:val="es-ES"/>
        </w:rPr>
        <w:t>bienio 2016/17.</w:t>
      </w:r>
    </w:p>
    <w:p w:rsidR="00D23C8A" w:rsidRPr="00DD6BD7" w:rsidRDefault="001E5D8A" w:rsidP="00D23C8A">
      <w:pPr>
        <w:pStyle w:val="ONUME"/>
        <w:numPr>
          <w:ilvl w:val="0"/>
          <w:numId w:val="15"/>
        </w:numPr>
        <w:rPr>
          <w:lang w:val="es-ES"/>
        </w:rPr>
      </w:pPr>
      <w:r w:rsidRPr="00DD6BD7">
        <w:rPr>
          <w:rFonts w:eastAsia="Arial"/>
          <w:szCs w:val="22"/>
          <w:bdr w:val="nil"/>
          <w:lang w:val="es-ES"/>
        </w:rPr>
        <w:t xml:space="preserve">La </w:t>
      </w:r>
      <w:r w:rsidR="008D5CE2" w:rsidRPr="00DD6BD7">
        <w:rPr>
          <w:rFonts w:eastAsia="Arial"/>
          <w:szCs w:val="22"/>
          <w:u w:color="FF0000"/>
          <w:bdr w:val="nil"/>
          <w:lang w:val="es-ES"/>
        </w:rPr>
        <w:t>DSI</w:t>
      </w:r>
      <w:r w:rsidRPr="00DD6BD7">
        <w:rPr>
          <w:rFonts w:eastAsia="Arial"/>
          <w:szCs w:val="22"/>
          <w:bdr w:val="nil"/>
          <w:lang w:val="es-ES"/>
        </w:rPr>
        <w:t xml:space="preserve"> ha proseguido su diálogo con el equipo directivo para examinar y actualizar periódicamente el estado de la aplicación de las recomendaciones pendientes. Para aplicar las recomendaciones, la Dirección ha elaborado un plan en el que se describen las actividades propuestas, se asigna el personal que se encargará de su realización y se establecen los plazos de ejecución. La gestión de las recomendaciones en materia de supervisión se realiza mediante el sistema </w:t>
      </w:r>
      <w:r w:rsidRPr="00DD6BD7">
        <w:rPr>
          <w:rFonts w:eastAsia="Arial"/>
          <w:szCs w:val="22"/>
          <w:u w:color="FF0000"/>
          <w:bdr w:val="nil"/>
          <w:lang w:val="es-ES"/>
        </w:rPr>
        <w:t>TeamCentral©</w:t>
      </w:r>
      <w:r w:rsidRPr="00DD6BD7">
        <w:rPr>
          <w:rFonts w:eastAsia="Arial"/>
          <w:szCs w:val="22"/>
          <w:bdr w:val="nil"/>
          <w:lang w:val="es-ES"/>
        </w:rPr>
        <w:t>,</w:t>
      </w:r>
      <w:r w:rsidRPr="00DD6BD7">
        <w:rPr>
          <w:rStyle w:val="FootnoteReference"/>
          <w:lang w:val="es-ES"/>
        </w:rPr>
        <w:footnoteReference w:id="4"/>
      </w:r>
      <w:r w:rsidRPr="00DD6BD7">
        <w:rPr>
          <w:rFonts w:eastAsia="Arial"/>
          <w:szCs w:val="22"/>
          <w:bdr w:val="nil"/>
          <w:lang w:val="es-ES"/>
        </w:rPr>
        <w:t xml:space="preserve"> al que pueden acceder la </w:t>
      </w:r>
      <w:r w:rsidRPr="00DD6BD7">
        <w:rPr>
          <w:rFonts w:eastAsia="Arial"/>
          <w:szCs w:val="22"/>
          <w:u w:color="FF0000"/>
          <w:bdr w:val="nil"/>
          <w:lang w:val="es-ES"/>
        </w:rPr>
        <w:t>DSI</w:t>
      </w:r>
      <w:r w:rsidRPr="00DD6BD7">
        <w:rPr>
          <w:rFonts w:eastAsia="Arial"/>
          <w:szCs w:val="22"/>
          <w:bdr w:val="nil"/>
          <w:lang w:val="es-ES"/>
        </w:rPr>
        <w:t xml:space="preserve">, la Dirección de la </w:t>
      </w:r>
      <w:r w:rsidRPr="00DD6BD7">
        <w:rPr>
          <w:rFonts w:eastAsia="Arial"/>
          <w:szCs w:val="22"/>
          <w:u w:color="FF0000"/>
          <w:bdr w:val="nil"/>
          <w:lang w:val="es-ES"/>
        </w:rPr>
        <w:t>OMPI</w:t>
      </w:r>
      <w:r w:rsidRPr="00DD6BD7">
        <w:rPr>
          <w:rFonts w:eastAsia="Arial"/>
          <w:szCs w:val="22"/>
          <w:bdr w:val="nil"/>
          <w:lang w:val="es-ES"/>
        </w:rPr>
        <w:t xml:space="preserve"> y los </w:t>
      </w:r>
      <w:r w:rsidR="003914FB" w:rsidRPr="00DD6BD7">
        <w:rPr>
          <w:rFonts w:eastAsia="Arial"/>
          <w:szCs w:val="22"/>
          <w:bdr w:val="nil"/>
          <w:lang w:val="es-ES"/>
        </w:rPr>
        <w:t>a</w:t>
      </w:r>
      <w:r w:rsidRPr="00DD6BD7">
        <w:rPr>
          <w:rFonts w:eastAsia="Arial"/>
          <w:szCs w:val="22"/>
          <w:bdr w:val="nil"/>
          <w:lang w:val="es-ES"/>
        </w:rPr>
        <w:t xml:space="preserve">uditores </w:t>
      </w:r>
      <w:r w:rsidR="003914FB" w:rsidRPr="00DD6BD7">
        <w:rPr>
          <w:rFonts w:eastAsia="Arial"/>
          <w:szCs w:val="22"/>
          <w:bdr w:val="nil"/>
          <w:lang w:val="es-ES"/>
        </w:rPr>
        <w:t>e</w:t>
      </w:r>
      <w:r w:rsidRPr="00DD6BD7">
        <w:rPr>
          <w:rFonts w:eastAsia="Arial"/>
          <w:szCs w:val="22"/>
          <w:bdr w:val="nil"/>
          <w:lang w:val="es-ES"/>
        </w:rPr>
        <w:t>xternos.</w:t>
      </w:r>
    </w:p>
    <w:p w:rsidR="00D23C8A" w:rsidRPr="00E2647A" w:rsidRDefault="001E5D8A" w:rsidP="00D23C8A">
      <w:pPr>
        <w:pStyle w:val="Heading2"/>
        <w:rPr>
          <w:lang w:val="es-ES"/>
        </w:rPr>
      </w:pPr>
      <w:bookmarkStart w:id="33" w:name="_Toc466452885"/>
      <w:bookmarkStart w:id="34" w:name="_Toc476745977"/>
      <w:r w:rsidRPr="00E2647A">
        <w:rPr>
          <w:rFonts w:eastAsia="Arial"/>
          <w:szCs w:val="22"/>
          <w:bdr w:val="nil"/>
          <w:lang w:val="es-ES"/>
        </w:rPr>
        <w:lastRenderedPageBreak/>
        <w:t xml:space="preserve">AUDITORÍA DE LA GESTIÓN DE EVENTOS DE TERCEROS ORGANIZADOS O ACOGIDOS POR LA </w:t>
      </w:r>
      <w:r w:rsidRPr="00E2647A">
        <w:rPr>
          <w:rFonts w:eastAsia="Arial"/>
          <w:szCs w:val="22"/>
          <w:u w:color="FF0000"/>
          <w:bdr w:val="nil"/>
          <w:lang w:val="es-ES"/>
        </w:rPr>
        <w:t>OMPI</w:t>
      </w:r>
      <w:bookmarkEnd w:id="33"/>
    </w:p>
    <w:p w:rsidR="00D23C8A" w:rsidRPr="00E2647A" w:rsidRDefault="00C23978" w:rsidP="00C23978">
      <w:pPr>
        <w:pStyle w:val="ONUME"/>
        <w:numPr>
          <w:ilvl w:val="0"/>
          <w:numId w:val="15"/>
        </w:numPr>
        <w:rPr>
          <w:lang w:val="es-ES"/>
        </w:rPr>
      </w:pPr>
      <w:r w:rsidRPr="00E2647A">
        <w:rPr>
          <w:rFonts w:eastAsia="Arial"/>
          <w:szCs w:val="22"/>
          <w:bdr w:val="nil"/>
          <w:lang w:val="es-ES"/>
        </w:rPr>
        <w:t xml:space="preserve">La auditoría concluyó que la existencia de una política </w:t>
      </w:r>
      <w:r w:rsidR="002A4815" w:rsidRPr="00E2647A">
        <w:rPr>
          <w:rFonts w:eastAsia="Arial"/>
          <w:szCs w:val="22"/>
          <w:bdr w:val="nil"/>
          <w:lang w:val="es-ES"/>
        </w:rPr>
        <w:t>global</w:t>
      </w:r>
      <w:r w:rsidRPr="00E2647A">
        <w:rPr>
          <w:rFonts w:eastAsia="Arial"/>
          <w:szCs w:val="22"/>
          <w:bdr w:val="nil"/>
          <w:lang w:val="es-ES"/>
        </w:rPr>
        <w:t xml:space="preserve"> para gestionar los eventos de terceros organizados o acogidos por la </w:t>
      </w:r>
      <w:r w:rsidRPr="00E2647A">
        <w:rPr>
          <w:rFonts w:eastAsia="Arial"/>
          <w:szCs w:val="22"/>
          <w:u w:color="FF0000"/>
          <w:bdr w:val="nil"/>
          <w:lang w:val="es-ES"/>
        </w:rPr>
        <w:t>OMPI</w:t>
      </w:r>
      <w:r w:rsidRPr="00E2647A">
        <w:rPr>
          <w:rFonts w:eastAsia="Arial"/>
          <w:szCs w:val="22"/>
          <w:bdr w:val="nil"/>
          <w:lang w:val="es-ES"/>
        </w:rPr>
        <w:t xml:space="preserve">, que debería basarse en las políticas, las instrucciones y los memorandos internos existentes, así como apoyarse en los procedimientos y </w:t>
      </w:r>
      <w:r w:rsidRPr="00E2647A">
        <w:rPr>
          <w:rFonts w:eastAsia="Arial"/>
          <w:szCs w:val="22"/>
          <w:u w:color="008000"/>
          <w:bdr w:val="nil"/>
          <w:lang w:val="es-ES"/>
        </w:rPr>
        <w:t xml:space="preserve">las directrices más </w:t>
      </w:r>
      <w:r w:rsidR="002A4815" w:rsidRPr="00E2647A">
        <w:rPr>
          <w:rFonts w:eastAsia="Arial"/>
          <w:szCs w:val="22"/>
          <w:u w:color="008000"/>
          <w:bdr w:val="nil"/>
          <w:lang w:val="es-ES"/>
        </w:rPr>
        <w:t>actualizados</w:t>
      </w:r>
      <w:r w:rsidRPr="00E2647A">
        <w:rPr>
          <w:rFonts w:eastAsia="Arial"/>
          <w:szCs w:val="22"/>
          <w:bdr w:val="nil"/>
          <w:lang w:val="es-ES"/>
        </w:rPr>
        <w:t>, ayudaría a brindar orientación y definir claramente las responsabilidades para esta actividad.</w:t>
      </w:r>
    </w:p>
    <w:p w:rsidR="00D23C8A" w:rsidRPr="00E2647A" w:rsidRDefault="006E52E6" w:rsidP="00D23C8A">
      <w:pPr>
        <w:pStyle w:val="ONUME"/>
        <w:numPr>
          <w:ilvl w:val="0"/>
          <w:numId w:val="15"/>
        </w:numPr>
        <w:rPr>
          <w:lang w:val="es-ES"/>
        </w:rPr>
      </w:pPr>
      <w:r w:rsidRPr="00E2647A">
        <w:rPr>
          <w:rFonts w:eastAsia="Arial"/>
          <w:szCs w:val="22"/>
          <w:bdr w:val="nil"/>
          <w:lang w:val="es-ES"/>
        </w:rPr>
        <w:t>Para poder</w:t>
      </w:r>
      <w:r w:rsidR="001E5D8A" w:rsidRPr="00E2647A">
        <w:rPr>
          <w:rFonts w:eastAsia="Arial"/>
          <w:szCs w:val="22"/>
          <w:bdr w:val="nil"/>
          <w:lang w:val="es-ES"/>
        </w:rPr>
        <w:t xml:space="preserve"> mejorar </w:t>
      </w:r>
      <w:r w:rsidRPr="00E2647A">
        <w:rPr>
          <w:rFonts w:eastAsia="Arial"/>
          <w:szCs w:val="22"/>
          <w:bdr w:val="nil"/>
          <w:lang w:val="es-ES"/>
        </w:rPr>
        <w:t>aún más esta gestión</w:t>
      </w:r>
      <w:r w:rsidR="001E5D8A" w:rsidRPr="00E2647A">
        <w:rPr>
          <w:rFonts w:eastAsia="Arial"/>
          <w:szCs w:val="22"/>
          <w:bdr w:val="nil"/>
          <w:lang w:val="es-ES"/>
        </w:rPr>
        <w:t xml:space="preserve">, </w:t>
      </w:r>
      <w:r w:rsidRPr="00E2647A">
        <w:rPr>
          <w:rFonts w:eastAsia="Arial"/>
          <w:szCs w:val="22"/>
          <w:bdr w:val="nil"/>
          <w:lang w:val="es-ES"/>
        </w:rPr>
        <w:t>convendría</w:t>
      </w:r>
      <w:r w:rsidR="001E5D8A" w:rsidRPr="00E2647A">
        <w:rPr>
          <w:rFonts w:eastAsia="Arial"/>
          <w:szCs w:val="22"/>
          <w:bdr w:val="nil"/>
          <w:lang w:val="es-ES"/>
        </w:rPr>
        <w:t xml:space="preserve"> ajustar las necesidades en materia de recursos humanos a las funciones y las responsabilidades, a la creciente </w:t>
      </w:r>
      <w:r w:rsidRPr="00E2647A">
        <w:rPr>
          <w:rFonts w:eastAsia="Arial"/>
          <w:szCs w:val="22"/>
          <w:bdr w:val="nil"/>
          <w:lang w:val="es-ES"/>
        </w:rPr>
        <w:t xml:space="preserve">demanda de terceros y a la carencia </w:t>
      </w:r>
      <w:r w:rsidR="001E5D8A" w:rsidRPr="00E2647A">
        <w:rPr>
          <w:rFonts w:eastAsia="Arial"/>
          <w:szCs w:val="22"/>
          <w:bdr w:val="nil"/>
          <w:lang w:val="es-ES"/>
        </w:rPr>
        <w:t xml:space="preserve">de recursos identificada por las unidades involucradas en la organización y </w:t>
      </w:r>
      <w:r w:rsidRPr="00E2647A">
        <w:rPr>
          <w:rFonts w:eastAsia="Arial"/>
          <w:szCs w:val="22"/>
          <w:bdr w:val="nil"/>
          <w:lang w:val="es-ES"/>
        </w:rPr>
        <w:t xml:space="preserve">la </w:t>
      </w:r>
      <w:r w:rsidR="001E5D8A" w:rsidRPr="00E2647A">
        <w:rPr>
          <w:rFonts w:eastAsia="Arial"/>
          <w:szCs w:val="22"/>
          <w:bdr w:val="nil"/>
          <w:lang w:val="es-ES"/>
        </w:rPr>
        <w:t xml:space="preserve">acogida de eventos de terceros. Asimismo, sería </w:t>
      </w:r>
      <w:r w:rsidRPr="00E2647A">
        <w:rPr>
          <w:rFonts w:eastAsia="Arial"/>
          <w:szCs w:val="22"/>
          <w:bdr w:val="nil"/>
          <w:lang w:val="es-ES"/>
        </w:rPr>
        <w:t>conveniente</w:t>
      </w:r>
      <w:r w:rsidR="001E5D8A" w:rsidRPr="00E2647A">
        <w:rPr>
          <w:rFonts w:eastAsia="Arial"/>
          <w:szCs w:val="22"/>
          <w:bdr w:val="nil"/>
          <w:lang w:val="es-ES"/>
        </w:rPr>
        <w:t xml:space="preserve"> establecer un método de compilación de datos para informar los costos de personal y los costos no relativos a personal vinculados a la organización de eventos de terceros, a los efectos de evaluar la sostenibilidad y el impacto sobre los recursos de la </w:t>
      </w:r>
      <w:r w:rsidR="001E5D8A" w:rsidRPr="00E2647A">
        <w:rPr>
          <w:rFonts w:eastAsia="Arial"/>
          <w:szCs w:val="22"/>
          <w:u w:color="FF0000"/>
          <w:bdr w:val="nil"/>
          <w:lang w:val="es-ES"/>
        </w:rPr>
        <w:t>OMPI</w:t>
      </w:r>
      <w:r w:rsidR="001E5D8A" w:rsidRPr="00E2647A">
        <w:rPr>
          <w:rFonts w:eastAsia="Arial"/>
          <w:szCs w:val="22"/>
          <w:bdr w:val="nil"/>
          <w:lang w:val="es-ES"/>
        </w:rPr>
        <w:t>.</w:t>
      </w:r>
    </w:p>
    <w:p w:rsidR="00D23C8A" w:rsidRPr="00E2647A" w:rsidRDefault="001E5D8A" w:rsidP="00D23C8A">
      <w:pPr>
        <w:pStyle w:val="ONUME"/>
        <w:numPr>
          <w:ilvl w:val="0"/>
          <w:numId w:val="15"/>
        </w:numPr>
        <w:rPr>
          <w:lang w:val="es-ES"/>
        </w:rPr>
      </w:pPr>
      <w:r w:rsidRPr="00E2647A">
        <w:rPr>
          <w:rFonts w:eastAsia="Arial"/>
          <w:szCs w:val="22"/>
          <w:bdr w:val="nil"/>
          <w:lang w:val="es-ES"/>
        </w:rPr>
        <w:t xml:space="preserve">Si bien existe una política de la </w:t>
      </w:r>
      <w:r w:rsidRPr="00E2647A">
        <w:rPr>
          <w:rFonts w:eastAsia="Arial"/>
          <w:szCs w:val="22"/>
          <w:u w:color="FF0000"/>
          <w:bdr w:val="nil"/>
          <w:lang w:val="es-ES"/>
        </w:rPr>
        <w:t>OMPI</w:t>
      </w:r>
      <w:r w:rsidRPr="00E2647A">
        <w:rPr>
          <w:rFonts w:eastAsia="Arial"/>
          <w:szCs w:val="22"/>
          <w:bdr w:val="nil"/>
          <w:lang w:val="es-ES"/>
        </w:rPr>
        <w:t xml:space="preserve"> que regula el alquiler de las salas de reunión y conferencias, las tarifas de alquiler se cobraron únicamente en tres ocasiones, de los </w:t>
      </w:r>
      <w:r w:rsidR="00DD6BD7">
        <w:rPr>
          <w:rFonts w:eastAsia="Arial"/>
          <w:szCs w:val="22"/>
          <w:bdr w:val="nil"/>
          <w:lang w:val="es-ES"/>
        </w:rPr>
        <w:t>10</w:t>
      </w:r>
      <w:r w:rsidRPr="00E2647A">
        <w:rPr>
          <w:rFonts w:eastAsia="Arial"/>
          <w:szCs w:val="22"/>
          <w:bdr w:val="nil"/>
          <w:lang w:val="es-ES"/>
        </w:rPr>
        <w:t xml:space="preserve"> eventos organizados en 2016, lo que generó costos adicionales por la sub</w:t>
      </w:r>
      <w:r w:rsidR="005C7FEF" w:rsidRPr="00E2647A">
        <w:rPr>
          <w:rFonts w:eastAsia="Arial"/>
          <w:szCs w:val="22"/>
          <w:bdr w:val="nil"/>
          <w:lang w:val="es-ES"/>
        </w:rPr>
        <w:t xml:space="preserve">vención de eventos a terceros. </w:t>
      </w:r>
      <w:r w:rsidRPr="00E2647A">
        <w:rPr>
          <w:rFonts w:eastAsia="Arial"/>
          <w:szCs w:val="22"/>
          <w:bdr w:val="nil"/>
          <w:lang w:val="es-ES"/>
        </w:rPr>
        <w:t>Además, estimar los costos y fijar las tarifas para los eventos de terceros organizado</w:t>
      </w:r>
      <w:r w:rsidR="005C7FEF" w:rsidRPr="00E2647A">
        <w:rPr>
          <w:rFonts w:eastAsia="Arial"/>
          <w:szCs w:val="22"/>
          <w:bdr w:val="nil"/>
          <w:lang w:val="es-ES"/>
        </w:rPr>
        <w:t>s</w:t>
      </w:r>
      <w:r w:rsidRPr="00E2647A">
        <w:rPr>
          <w:rFonts w:eastAsia="Arial"/>
          <w:szCs w:val="22"/>
          <w:bdr w:val="nil"/>
          <w:lang w:val="es-ES"/>
        </w:rPr>
        <w:t xml:space="preserve"> en espacios abiertos como el </w:t>
      </w:r>
      <w:r w:rsidRPr="00E2647A">
        <w:rPr>
          <w:rFonts w:eastAsia="Arial"/>
          <w:i/>
          <w:szCs w:val="22"/>
          <w:u w:color="FF0000"/>
          <w:bdr w:val="nil"/>
          <w:lang w:val="es-ES"/>
        </w:rPr>
        <w:t>Arpad</w:t>
      </w:r>
      <w:r w:rsidRPr="00E2647A">
        <w:rPr>
          <w:rFonts w:eastAsia="Arial"/>
          <w:i/>
          <w:szCs w:val="22"/>
          <w:bdr w:val="nil"/>
          <w:lang w:val="es-ES"/>
        </w:rPr>
        <w:t xml:space="preserve"> </w:t>
      </w:r>
      <w:r w:rsidRPr="00E2647A">
        <w:rPr>
          <w:rFonts w:eastAsia="Arial"/>
          <w:i/>
          <w:szCs w:val="22"/>
          <w:u w:color="FF0000"/>
          <w:bdr w:val="nil"/>
          <w:lang w:val="es-ES"/>
        </w:rPr>
        <w:t>Bogsch</w:t>
      </w:r>
      <w:r w:rsidRPr="00E2647A">
        <w:rPr>
          <w:rFonts w:eastAsia="Arial"/>
          <w:i/>
          <w:szCs w:val="22"/>
          <w:bdr w:val="nil"/>
          <w:lang w:val="es-ES"/>
        </w:rPr>
        <w:t xml:space="preserve"> </w:t>
      </w:r>
      <w:r w:rsidRPr="00E2647A">
        <w:rPr>
          <w:rFonts w:eastAsia="Arial"/>
          <w:i/>
          <w:szCs w:val="22"/>
          <w:u w:color="FF0000"/>
          <w:bdr w:val="nil"/>
          <w:lang w:val="es-ES"/>
        </w:rPr>
        <w:t>Building</w:t>
      </w:r>
      <w:r w:rsidRPr="00E2647A">
        <w:rPr>
          <w:rFonts w:eastAsia="Arial"/>
          <w:i/>
          <w:szCs w:val="22"/>
          <w:bdr w:val="nil"/>
          <w:lang w:val="es-ES"/>
        </w:rPr>
        <w:t xml:space="preserve"> Lobby</w:t>
      </w:r>
      <w:r w:rsidRPr="00E2647A">
        <w:rPr>
          <w:rFonts w:eastAsia="Arial"/>
          <w:szCs w:val="22"/>
          <w:bdr w:val="nil"/>
          <w:lang w:val="es-ES"/>
        </w:rPr>
        <w:t xml:space="preserve"> y el </w:t>
      </w:r>
      <w:r w:rsidRPr="00E2647A">
        <w:rPr>
          <w:rFonts w:eastAsia="Arial"/>
          <w:i/>
          <w:szCs w:val="22"/>
          <w:u w:color="FF0000"/>
          <w:bdr w:val="nil"/>
          <w:lang w:val="es-ES"/>
        </w:rPr>
        <w:t>New</w:t>
      </w:r>
      <w:r w:rsidRPr="00E2647A">
        <w:rPr>
          <w:rFonts w:eastAsia="Arial"/>
          <w:i/>
          <w:szCs w:val="22"/>
          <w:bdr w:val="nil"/>
          <w:lang w:val="es-ES"/>
        </w:rPr>
        <w:t xml:space="preserve"> </w:t>
      </w:r>
      <w:r w:rsidRPr="00E2647A">
        <w:rPr>
          <w:rFonts w:eastAsia="Arial"/>
          <w:i/>
          <w:szCs w:val="22"/>
          <w:u w:color="FF0000"/>
          <w:bdr w:val="nil"/>
          <w:lang w:val="es-ES"/>
        </w:rPr>
        <w:t>Building</w:t>
      </w:r>
      <w:r w:rsidRPr="00E2647A">
        <w:rPr>
          <w:rFonts w:eastAsia="Arial"/>
          <w:i/>
          <w:szCs w:val="22"/>
          <w:bdr w:val="nil"/>
          <w:lang w:val="es-ES"/>
        </w:rPr>
        <w:t xml:space="preserve"> </w:t>
      </w:r>
      <w:r w:rsidRPr="00E2647A">
        <w:rPr>
          <w:rFonts w:eastAsia="Arial"/>
          <w:i/>
          <w:szCs w:val="22"/>
          <w:u w:color="FF0000"/>
          <w:bdr w:val="nil"/>
          <w:lang w:val="es-ES"/>
        </w:rPr>
        <w:t>Atrium</w:t>
      </w:r>
      <w:r w:rsidRPr="00E2647A">
        <w:rPr>
          <w:rFonts w:eastAsia="Arial"/>
          <w:szCs w:val="22"/>
          <w:bdr w:val="nil"/>
          <w:lang w:val="es-ES"/>
        </w:rPr>
        <w:t xml:space="preserve">, que representan el 55% del espacio utilizado para estos eventos, ayudaría a dar más visibilidad </w:t>
      </w:r>
      <w:r w:rsidR="00EB126E" w:rsidRPr="00E2647A">
        <w:rPr>
          <w:rFonts w:eastAsia="Arial"/>
          <w:szCs w:val="22"/>
          <w:bdr w:val="nil"/>
          <w:lang w:val="es-ES"/>
        </w:rPr>
        <w:t>sobre el aspecto de</w:t>
      </w:r>
      <w:r w:rsidRPr="00E2647A">
        <w:rPr>
          <w:rFonts w:eastAsia="Arial"/>
          <w:szCs w:val="22"/>
          <w:bdr w:val="nil"/>
          <w:lang w:val="es-ES"/>
        </w:rPr>
        <w:t xml:space="preserve"> los costos incurridos</w:t>
      </w:r>
      <w:r w:rsidR="00EB126E" w:rsidRPr="00E2647A">
        <w:rPr>
          <w:rFonts w:eastAsia="Arial"/>
          <w:szCs w:val="22"/>
          <w:bdr w:val="nil"/>
          <w:lang w:val="es-ES"/>
        </w:rPr>
        <w:t>, así como</w:t>
      </w:r>
      <w:r w:rsidRPr="00E2647A">
        <w:rPr>
          <w:rFonts w:eastAsia="Arial"/>
          <w:szCs w:val="22"/>
          <w:bdr w:val="nil"/>
          <w:lang w:val="es-ES"/>
        </w:rPr>
        <w:t xml:space="preserve"> a evaluar la </w:t>
      </w:r>
      <w:r w:rsidR="00EB126E" w:rsidRPr="00E2647A">
        <w:rPr>
          <w:rFonts w:eastAsia="Arial"/>
          <w:szCs w:val="22"/>
          <w:bdr w:val="nil"/>
          <w:lang w:val="es-ES"/>
        </w:rPr>
        <w:t>continuidad futura</w:t>
      </w:r>
      <w:r w:rsidRPr="00E2647A">
        <w:rPr>
          <w:rFonts w:eastAsia="Arial"/>
          <w:szCs w:val="22"/>
          <w:bdr w:val="nil"/>
          <w:lang w:val="es-ES"/>
        </w:rPr>
        <w:t xml:space="preserve"> de esta actividad.</w:t>
      </w:r>
    </w:p>
    <w:p w:rsidR="00D23C8A" w:rsidRPr="00E2647A" w:rsidRDefault="001E5D8A" w:rsidP="00D23C8A">
      <w:pPr>
        <w:pStyle w:val="ONUME"/>
        <w:numPr>
          <w:ilvl w:val="0"/>
          <w:numId w:val="15"/>
        </w:numPr>
        <w:rPr>
          <w:lang w:val="es-ES"/>
        </w:rPr>
      </w:pPr>
      <w:r w:rsidRPr="00E2647A">
        <w:rPr>
          <w:rFonts w:eastAsia="Arial"/>
          <w:szCs w:val="22"/>
          <w:bdr w:val="nil"/>
          <w:lang w:val="es-ES"/>
        </w:rPr>
        <w:t xml:space="preserve">Por último, una eventual integración en el flujo de trabajo de </w:t>
      </w:r>
      <w:r w:rsidRPr="00E2647A">
        <w:rPr>
          <w:rFonts w:eastAsia="Arial"/>
          <w:szCs w:val="22"/>
          <w:u w:color="FF0000"/>
          <w:bdr w:val="nil"/>
          <w:lang w:val="es-ES"/>
        </w:rPr>
        <w:t>PeopleSoft</w:t>
      </w:r>
      <w:r w:rsidRPr="00E2647A">
        <w:rPr>
          <w:rFonts w:eastAsia="Arial"/>
          <w:szCs w:val="22"/>
          <w:bdr w:val="nil"/>
          <w:lang w:val="es-ES"/>
        </w:rPr>
        <w:t xml:space="preserve"> de los procesos manuales </w:t>
      </w:r>
      <w:r w:rsidR="009204E6" w:rsidRPr="00E2647A">
        <w:rPr>
          <w:rFonts w:eastAsia="Arial"/>
          <w:szCs w:val="22"/>
          <w:bdr w:val="nil"/>
          <w:lang w:val="es-ES"/>
        </w:rPr>
        <w:t>actuales</w:t>
      </w:r>
      <w:r w:rsidRPr="00E2647A">
        <w:rPr>
          <w:rFonts w:eastAsia="Arial"/>
          <w:szCs w:val="22"/>
          <w:bdr w:val="nil"/>
          <w:lang w:val="es-ES"/>
        </w:rPr>
        <w:t xml:space="preserve"> mejoraría </w:t>
      </w:r>
      <w:r w:rsidR="009204E6" w:rsidRPr="00E2647A">
        <w:rPr>
          <w:rFonts w:eastAsia="Arial"/>
          <w:szCs w:val="22"/>
          <w:bdr w:val="nil"/>
          <w:lang w:val="es-ES"/>
        </w:rPr>
        <w:t>la eficacia y la eficiencia general de la</w:t>
      </w:r>
      <w:r w:rsidRPr="00E2647A">
        <w:rPr>
          <w:rFonts w:eastAsia="Arial"/>
          <w:szCs w:val="22"/>
          <w:bdr w:val="nil"/>
          <w:lang w:val="es-ES"/>
        </w:rPr>
        <w:t xml:space="preserve"> gestión de esta actividad, y </w:t>
      </w:r>
      <w:r w:rsidRPr="00E2647A">
        <w:rPr>
          <w:rFonts w:eastAsia="Arial"/>
          <w:szCs w:val="22"/>
          <w:u w:color="008000"/>
          <w:bdr w:val="nil"/>
          <w:lang w:val="es-ES"/>
        </w:rPr>
        <w:t>e</w:t>
      </w:r>
      <w:r w:rsidR="00DD6BD7">
        <w:rPr>
          <w:rFonts w:eastAsia="Arial"/>
          <w:szCs w:val="22"/>
          <w:u w:color="008000"/>
          <w:bdr w:val="nil"/>
          <w:lang w:val="es-ES"/>
        </w:rPr>
        <w:t>n</w:t>
      </w:r>
      <w:r w:rsidRPr="00E2647A">
        <w:rPr>
          <w:rFonts w:eastAsia="Arial"/>
          <w:szCs w:val="22"/>
          <w:u w:color="008000"/>
          <w:bdr w:val="nil"/>
          <w:lang w:val="es-ES"/>
        </w:rPr>
        <w:t xml:space="preserve"> </w:t>
      </w:r>
      <w:r w:rsidR="009204E6" w:rsidRPr="00E2647A">
        <w:rPr>
          <w:rFonts w:eastAsia="Arial"/>
          <w:szCs w:val="22"/>
          <w:u w:color="008000"/>
          <w:bdr w:val="nil"/>
          <w:lang w:val="es-ES"/>
        </w:rPr>
        <w:t>la</w:t>
      </w:r>
      <w:r w:rsidR="009204E6" w:rsidRPr="00E2647A">
        <w:rPr>
          <w:rFonts w:eastAsia="Arial"/>
          <w:szCs w:val="22"/>
          <w:bdr w:val="nil"/>
          <w:lang w:val="es-ES"/>
        </w:rPr>
        <w:t xml:space="preserve"> celebración sistemática de</w:t>
      </w:r>
      <w:r w:rsidRPr="00E2647A">
        <w:rPr>
          <w:rFonts w:eastAsia="Arial"/>
          <w:szCs w:val="22"/>
          <w:bdr w:val="nil"/>
          <w:lang w:val="es-ES"/>
        </w:rPr>
        <w:t xml:space="preserve"> acuerdos, contratos o cartas de compromiso con los terceros (incluidos aquellos que no impliquen alquileres) permitiría aclarar mejor las expectativas, las funciones y </w:t>
      </w:r>
      <w:r w:rsidRPr="00E2647A">
        <w:rPr>
          <w:rFonts w:eastAsia="Arial"/>
          <w:szCs w:val="22"/>
          <w:u w:color="008000"/>
          <w:bdr w:val="nil"/>
          <w:lang w:val="es-ES"/>
        </w:rPr>
        <w:t>las responsabilidad</w:t>
      </w:r>
      <w:r w:rsidR="0057080C" w:rsidRPr="00E2647A">
        <w:rPr>
          <w:rFonts w:eastAsia="Arial"/>
          <w:szCs w:val="22"/>
          <w:u w:color="008000"/>
          <w:bdr w:val="nil"/>
          <w:lang w:val="es-ES"/>
        </w:rPr>
        <w:t>es</w:t>
      </w:r>
      <w:r w:rsidRPr="00E2647A">
        <w:rPr>
          <w:rFonts w:eastAsia="Arial"/>
          <w:szCs w:val="22"/>
          <w:bdr w:val="nil"/>
          <w:lang w:val="es-ES"/>
        </w:rPr>
        <w:t>, además de proteger los activos y la reputación de la Organización.</w:t>
      </w:r>
    </w:p>
    <w:p w:rsidR="00D23C8A" w:rsidRPr="00E2647A" w:rsidRDefault="001E5D8A" w:rsidP="00D23C8A">
      <w:pPr>
        <w:pStyle w:val="ONUME"/>
        <w:numPr>
          <w:ilvl w:val="0"/>
          <w:numId w:val="15"/>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formuló cuatro recomendaciones, que debían </w:t>
      </w:r>
      <w:r w:rsidR="00AD3DEE" w:rsidRPr="00E2647A">
        <w:rPr>
          <w:rFonts w:eastAsia="Arial"/>
          <w:szCs w:val="22"/>
          <w:bdr w:val="nil"/>
          <w:lang w:val="es-ES"/>
        </w:rPr>
        <w:t>aplicarse</w:t>
      </w:r>
      <w:r w:rsidRPr="00E2647A">
        <w:rPr>
          <w:rFonts w:eastAsia="Arial"/>
          <w:szCs w:val="22"/>
          <w:bdr w:val="nil"/>
          <w:lang w:val="es-ES"/>
        </w:rPr>
        <w:t xml:space="preserve"> antes de finales de enero de 2018; no obstante, a la fecha estas recomendaciones siguen pendientes.</w:t>
      </w:r>
    </w:p>
    <w:bookmarkEnd w:id="34"/>
    <w:p w:rsidR="00D23C8A" w:rsidRPr="00DD6BD7" w:rsidRDefault="001E5D8A" w:rsidP="00D23C8A">
      <w:pPr>
        <w:pStyle w:val="Heading2"/>
        <w:rPr>
          <w:rStyle w:val="Heading2Char"/>
          <w:lang w:val="es-ES"/>
        </w:rPr>
      </w:pPr>
      <w:r w:rsidRPr="00DD6BD7">
        <w:rPr>
          <w:rFonts w:eastAsia="Arial"/>
          <w:szCs w:val="22"/>
          <w:bdr w:val="nil"/>
          <w:lang w:val="es-ES"/>
        </w:rPr>
        <w:t>Auditoría de la gestión de activos de programas informáticos</w:t>
      </w:r>
    </w:p>
    <w:p w:rsidR="00D23C8A" w:rsidRPr="00E2647A" w:rsidRDefault="001E5D8A" w:rsidP="00D23C8A">
      <w:pPr>
        <w:pStyle w:val="ONUME"/>
        <w:numPr>
          <w:ilvl w:val="0"/>
          <w:numId w:val="15"/>
        </w:numPr>
        <w:rPr>
          <w:lang w:val="es-ES"/>
        </w:rPr>
      </w:pPr>
      <w:bookmarkStart w:id="35" w:name="_Toc476745979"/>
      <w:r w:rsidRPr="00E2647A">
        <w:rPr>
          <w:rFonts w:eastAsia="Arial"/>
          <w:szCs w:val="22"/>
          <w:bdr w:val="nil"/>
          <w:lang w:val="es-ES"/>
        </w:rPr>
        <w:t>En virtud de la auditoría se concluyó que una política global sobre los activos de programas informáticos, respaldada por procedimientos y directrices actualizad</w:t>
      </w:r>
      <w:r w:rsidR="002A4815" w:rsidRPr="00E2647A">
        <w:rPr>
          <w:rFonts w:eastAsia="Arial"/>
          <w:szCs w:val="22"/>
          <w:bdr w:val="nil"/>
          <w:lang w:val="es-ES"/>
        </w:rPr>
        <w:t>o</w:t>
      </w:r>
      <w:r w:rsidRPr="00E2647A">
        <w:rPr>
          <w:rFonts w:eastAsia="Arial"/>
          <w:szCs w:val="22"/>
          <w:bdr w:val="nil"/>
          <w:lang w:val="es-ES"/>
        </w:rPr>
        <w:t xml:space="preserve">s, </w:t>
      </w:r>
      <w:r w:rsidR="00537D27" w:rsidRPr="00E2647A">
        <w:rPr>
          <w:rFonts w:eastAsia="Arial"/>
          <w:szCs w:val="22"/>
          <w:bdr w:val="nil"/>
          <w:lang w:val="es-ES"/>
        </w:rPr>
        <w:t>facilitaría la</w:t>
      </w:r>
      <w:r w:rsidRPr="00E2647A">
        <w:rPr>
          <w:rFonts w:eastAsia="Arial"/>
          <w:szCs w:val="22"/>
          <w:bdr w:val="nil"/>
          <w:lang w:val="es-ES"/>
        </w:rPr>
        <w:t xml:space="preserve"> orientación y </w:t>
      </w:r>
      <w:r w:rsidR="00537D27" w:rsidRPr="00E2647A">
        <w:rPr>
          <w:rFonts w:eastAsia="Arial"/>
          <w:szCs w:val="22"/>
          <w:bdr w:val="nil"/>
          <w:lang w:val="es-ES"/>
        </w:rPr>
        <w:t>el establecimiento de</w:t>
      </w:r>
      <w:r w:rsidRPr="00E2647A">
        <w:rPr>
          <w:rFonts w:eastAsia="Arial"/>
          <w:szCs w:val="22"/>
          <w:bdr w:val="nil"/>
          <w:lang w:val="es-ES"/>
        </w:rPr>
        <w:t xml:space="preserve"> responsabilidades </w:t>
      </w:r>
      <w:r w:rsidR="00537D27" w:rsidRPr="00E2647A">
        <w:rPr>
          <w:rFonts w:eastAsia="Arial"/>
          <w:szCs w:val="22"/>
          <w:bdr w:val="nil"/>
          <w:lang w:val="es-ES"/>
        </w:rPr>
        <w:t xml:space="preserve">claras </w:t>
      </w:r>
      <w:r w:rsidRPr="00E2647A">
        <w:rPr>
          <w:rFonts w:eastAsia="Arial"/>
          <w:szCs w:val="22"/>
          <w:bdr w:val="nil"/>
          <w:lang w:val="es-ES"/>
        </w:rPr>
        <w:t>para la gestión de activos de programas.</w:t>
      </w:r>
    </w:p>
    <w:p w:rsidR="00D23C8A" w:rsidRPr="00E2647A" w:rsidRDefault="001E5D8A" w:rsidP="00D23C8A">
      <w:pPr>
        <w:pStyle w:val="ONUME"/>
        <w:numPr>
          <w:ilvl w:val="0"/>
          <w:numId w:val="15"/>
        </w:numPr>
        <w:rPr>
          <w:lang w:val="es-ES"/>
        </w:rPr>
      </w:pPr>
      <w:r w:rsidRPr="00E2647A">
        <w:rPr>
          <w:rFonts w:eastAsia="Arial"/>
          <w:szCs w:val="22"/>
          <w:bdr w:val="nil"/>
          <w:lang w:val="es-ES"/>
        </w:rPr>
        <w:t xml:space="preserve">La política </w:t>
      </w:r>
      <w:r w:rsidR="00537D27" w:rsidRPr="00E2647A">
        <w:rPr>
          <w:rFonts w:eastAsia="Arial"/>
          <w:szCs w:val="22"/>
          <w:bdr w:val="nil"/>
          <w:lang w:val="es-ES"/>
        </w:rPr>
        <w:t>serviría</w:t>
      </w:r>
      <w:r w:rsidRPr="00E2647A">
        <w:rPr>
          <w:rFonts w:eastAsia="Arial"/>
          <w:szCs w:val="22"/>
          <w:bdr w:val="nil"/>
          <w:lang w:val="es-ES"/>
        </w:rPr>
        <w:t xml:space="preserve"> además para:</w:t>
      </w:r>
    </w:p>
    <w:p w:rsidR="00D23C8A" w:rsidRPr="00E2647A" w:rsidRDefault="001E5D8A" w:rsidP="00D23C8A">
      <w:pPr>
        <w:pStyle w:val="ONUME"/>
        <w:numPr>
          <w:ilvl w:val="1"/>
          <w:numId w:val="3"/>
        </w:numPr>
        <w:rPr>
          <w:lang w:val="es-ES"/>
        </w:rPr>
      </w:pPr>
      <w:r w:rsidRPr="00E2647A">
        <w:rPr>
          <w:rFonts w:eastAsia="Arial"/>
          <w:szCs w:val="22"/>
          <w:u w:color="008000"/>
          <w:bdr w:val="nil"/>
          <w:lang w:val="es-ES"/>
        </w:rPr>
        <w:t>establecer</w:t>
      </w:r>
      <w:r w:rsidRPr="00E2647A">
        <w:rPr>
          <w:rFonts w:eastAsia="Arial"/>
          <w:szCs w:val="22"/>
          <w:bdr w:val="nil"/>
          <w:lang w:val="es-ES"/>
        </w:rPr>
        <w:t xml:space="preserve"> e identificar claramente una unidad responsable de la gestión de los activos de programas informáticos, con funciones y responsabilidades claras con respecto a otras unidades de Tecnología de la Información (TI);</w:t>
      </w:r>
    </w:p>
    <w:p w:rsidR="00D23C8A" w:rsidRPr="00E2647A" w:rsidRDefault="001E5D8A" w:rsidP="00D23C8A">
      <w:pPr>
        <w:pStyle w:val="ONUME"/>
        <w:numPr>
          <w:ilvl w:val="1"/>
          <w:numId w:val="3"/>
        </w:numPr>
        <w:rPr>
          <w:lang w:val="es-ES"/>
        </w:rPr>
      </w:pPr>
      <w:r w:rsidRPr="00E2647A">
        <w:rPr>
          <w:rFonts w:eastAsia="Arial"/>
          <w:szCs w:val="22"/>
          <w:u w:color="008000"/>
          <w:bdr w:val="nil"/>
          <w:lang w:val="es-ES"/>
        </w:rPr>
        <w:t>identificar</w:t>
      </w:r>
      <w:r w:rsidRPr="00E2647A">
        <w:rPr>
          <w:rFonts w:eastAsia="Arial"/>
          <w:szCs w:val="22"/>
          <w:bdr w:val="nil"/>
          <w:lang w:val="es-ES"/>
        </w:rPr>
        <w:t xml:space="preserve"> </w:t>
      </w:r>
      <w:r w:rsidR="0008734F" w:rsidRPr="00E2647A">
        <w:rPr>
          <w:rFonts w:eastAsia="Arial"/>
          <w:szCs w:val="22"/>
          <w:bdr w:val="nil"/>
          <w:lang w:val="es-ES"/>
        </w:rPr>
        <w:t xml:space="preserve">los </w:t>
      </w:r>
      <w:r w:rsidRPr="00E2647A">
        <w:rPr>
          <w:rFonts w:eastAsia="Arial"/>
          <w:szCs w:val="22"/>
          <w:bdr w:val="nil"/>
          <w:lang w:val="es-ES"/>
        </w:rPr>
        <w:t>medios para mejorar la gestión de las licencias y brindar un apoyo y asistencia adecuada a los administradores de los contratos; y</w:t>
      </w:r>
    </w:p>
    <w:p w:rsidR="00D23C8A" w:rsidRPr="00E2647A" w:rsidRDefault="001E5D8A" w:rsidP="00D23C8A">
      <w:pPr>
        <w:pStyle w:val="ONUME"/>
        <w:numPr>
          <w:ilvl w:val="1"/>
          <w:numId w:val="3"/>
        </w:numPr>
        <w:rPr>
          <w:lang w:val="es-ES"/>
        </w:rPr>
      </w:pPr>
      <w:r w:rsidRPr="00E2647A">
        <w:rPr>
          <w:rFonts w:eastAsia="Arial"/>
          <w:szCs w:val="22"/>
          <w:u w:color="008000"/>
          <w:bdr w:val="nil"/>
          <w:lang w:val="es-ES"/>
        </w:rPr>
        <w:t>identificar</w:t>
      </w:r>
      <w:r w:rsidRPr="00E2647A">
        <w:rPr>
          <w:rFonts w:eastAsia="Arial"/>
          <w:szCs w:val="22"/>
          <w:bdr w:val="nil"/>
          <w:lang w:val="es-ES"/>
        </w:rPr>
        <w:t xml:space="preserve"> herrami</w:t>
      </w:r>
      <w:r w:rsidR="0008734F" w:rsidRPr="00E2647A">
        <w:rPr>
          <w:rFonts w:eastAsia="Arial"/>
          <w:szCs w:val="22"/>
          <w:bdr w:val="nil"/>
          <w:lang w:val="es-ES"/>
        </w:rPr>
        <w:t xml:space="preserve">entas, sistemas y procesos con el fin de generar </w:t>
      </w:r>
      <w:r w:rsidRPr="00E2647A">
        <w:rPr>
          <w:rFonts w:eastAsia="Arial"/>
          <w:szCs w:val="22"/>
          <w:bdr w:val="nil"/>
          <w:lang w:val="es-ES"/>
        </w:rPr>
        <w:t>una fuente</w:t>
      </w:r>
      <w:r w:rsidR="0008734F" w:rsidRPr="00E2647A">
        <w:rPr>
          <w:rFonts w:eastAsia="Arial"/>
          <w:szCs w:val="22"/>
          <w:bdr w:val="nil"/>
          <w:lang w:val="es-ES"/>
        </w:rPr>
        <w:t xml:space="preserve"> única</w:t>
      </w:r>
      <w:r w:rsidRPr="00E2647A">
        <w:rPr>
          <w:rFonts w:eastAsia="Arial"/>
          <w:szCs w:val="22"/>
          <w:bdr w:val="nil"/>
          <w:lang w:val="es-ES"/>
        </w:rPr>
        <w:t xml:space="preserve"> para el inventario de activos de programas informáticos, y simplificar el registro de los activos de programas informáticos en los estados financieros de la </w:t>
      </w:r>
      <w:r w:rsidRPr="00E2647A">
        <w:rPr>
          <w:rFonts w:eastAsia="Arial"/>
          <w:szCs w:val="22"/>
          <w:u w:color="FF0000"/>
          <w:bdr w:val="nil"/>
          <w:lang w:val="es-ES"/>
        </w:rPr>
        <w:t>OMPI</w:t>
      </w:r>
      <w:r w:rsidRPr="00E2647A">
        <w:rPr>
          <w:rFonts w:eastAsia="Arial"/>
          <w:szCs w:val="22"/>
          <w:bdr w:val="nil"/>
          <w:lang w:val="es-ES"/>
        </w:rPr>
        <w:t>.</w:t>
      </w:r>
    </w:p>
    <w:p w:rsidR="00D23C8A" w:rsidRPr="00E2647A" w:rsidRDefault="001E5D8A" w:rsidP="00D23C8A">
      <w:pPr>
        <w:pStyle w:val="ONUME"/>
        <w:numPr>
          <w:ilvl w:val="0"/>
          <w:numId w:val="3"/>
        </w:numPr>
        <w:rPr>
          <w:lang w:val="es-ES"/>
        </w:rPr>
      </w:pPr>
      <w:r w:rsidRPr="00E2647A">
        <w:rPr>
          <w:rFonts w:eastAsia="Arial"/>
          <w:szCs w:val="22"/>
          <w:bdr w:val="nil"/>
          <w:lang w:val="es-ES"/>
        </w:rPr>
        <w:lastRenderedPageBreak/>
        <w:t xml:space="preserve">Como parte de los objetivos estratégicos de TI, la </w:t>
      </w:r>
      <w:r w:rsidRPr="00E2647A">
        <w:rPr>
          <w:rFonts w:eastAsia="Arial"/>
          <w:szCs w:val="22"/>
          <w:u w:color="FF0000"/>
          <w:bdr w:val="nil"/>
          <w:lang w:val="es-ES"/>
        </w:rPr>
        <w:t>OMPI</w:t>
      </w:r>
      <w:r w:rsidRPr="00E2647A">
        <w:rPr>
          <w:rFonts w:eastAsia="Arial"/>
          <w:szCs w:val="22"/>
          <w:bdr w:val="nil"/>
          <w:lang w:val="es-ES"/>
        </w:rPr>
        <w:t xml:space="preserve"> ha decidido trasladar parte de su plataforma, infraestructura y servicios de programas informáticos a la nube. Si bien la iniciativa en la nube está aún en una fase inicial, el traslado a la nube requerirá de una estructura de gobernanza y prácticas robustas, como la adaptación de la política de gestión de los activos de programas informáticos para que reflejen correctamente las prácticas de gestión en la nube y los riesgos conexos.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Por último, la formalización del proceso de gestión del riesgo de los activos de programas informáticos mediante el sistema de gestión de riesgos de la Organización ofrecería garantías de que la </w:t>
      </w:r>
      <w:r w:rsidRPr="00E2647A">
        <w:rPr>
          <w:rFonts w:eastAsia="Arial"/>
          <w:szCs w:val="22"/>
          <w:u w:color="FF0000"/>
          <w:bdr w:val="nil"/>
          <w:lang w:val="es-ES"/>
        </w:rPr>
        <w:t>OMPI</w:t>
      </w:r>
      <w:r w:rsidRPr="00E2647A">
        <w:rPr>
          <w:rFonts w:eastAsia="Arial"/>
          <w:szCs w:val="22"/>
          <w:bdr w:val="nil"/>
          <w:lang w:val="es-ES"/>
        </w:rPr>
        <w:t xml:space="preserve"> es consciente </w:t>
      </w:r>
      <w:r w:rsidR="0008734F" w:rsidRPr="00E2647A">
        <w:rPr>
          <w:rFonts w:eastAsia="Arial"/>
          <w:szCs w:val="22"/>
          <w:bdr w:val="nil"/>
          <w:lang w:val="es-ES"/>
        </w:rPr>
        <w:t>de</w:t>
      </w:r>
      <w:r w:rsidRPr="00E2647A">
        <w:rPr>
          <w:rFonts w:eastAsia="Arial"/>
          <w:szCs w:val="22"/>
          <w:bdr w:val="nil"/>
          <w:lang w:val="es-ES"/>
        </w:rPr>
        <w:t xml:space="preserve"> los riesgos que pudieran afectar la gestión eficaz y eficiente de </w:t>
      </w:r>
      <w:r w:rsidR="00353977" w:rsidRPr="00E2647A">
        <w:rPr>
          <w:rFonts w:eastAsia="Arial"/>
          <w:szCs w:val="22"/>
          <w:bdr w:val="nil"/>
          <w:lang w:val="es-ES"/>
        </w:rPr>
        <w:t>sus activos de</w:t>
      </w:r>
      <w:r w:rsidRPr="00E2647A">
        <w:rPr>
          <w:rFonts w:eastAsia="Arial"/>
          <w:szCs w:val="22"/>
          <w:bdr w:val="nil"/>
          <w:lang w:val="es-ES"/>
        </w:rPr>
        <w:t xml:space="preserve"> programas informáticos</w:t>
      </w:r>
      <w:r w:rsidR="0008734F" w:rsidRPr="00E2647A">
        <w:rPr>
          <w:rFonts w:eastAsia="Arial"/>
          <w:szCs w:val="22"/>
          <w:bdr w:val="nil"/>
          <w:lang w:val="es-ES"/>
        </w:rPr>
        <w:t xml:space="preserve">, y que actúa </w:t>
      </w:r>
      <w:r w:rsidR="00353977" w:rsidRPr="00E2647A">
        <w:rPr>
          <w:rFonts w:eastAsia="Arial"/>
          <w:szCs w:val="22"/>
          <w:bdr w:val="nil"/>
          <w:lang w:val="es-ES"/>
        </w:rPr>
        <w:t>con diligencia en la</w:t>
      </w:r>
      <w:r w:rsidR="0008734F" w:rsidRPr="00E2647A">
        <w:rPr>
          <w:rFonts w:eastAsia="Arial"/>
          <w:szCs w:val="22"/>
          <w:bdr w:val="nil"/>
          <w:lang w:val="es-ES"/>
        </w:rPr>
        <w:t xml:space="preserve"> reducción de estos riesgos.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formuló dos recomendaciones que se aplicarán antes de finales de 2018.</w:t>
      </w:r>
    </w:p>
    <w:p w:rsidR="00D23C8A" w:rsidRPr="00E2647A" w:rsidRDefault="00026B75" w:rsidP="00D23C8A">
      <w:pPr>
        <w:pStyle w:val="Heading2"/>
        <w:rPr>
          <w:lang w:val="es-ES"/>
        </w:rPr>
      </w:pPr>
      <w:r w:rsidRPr="00E2647A">
        <w:rPr>
          <w:rFonts w:eastAsia="Arial"/>
          <w:caps w:val="0"/>
          <w:szCs w:val="22"/>
          <w:bdr w:val="nil"/>
          <w:lang w:val="es-ES"/>
        </w:rPr>
        <w:t>AUDITORÍA DEL PROCESO DE CONTRATACIÓN DE PERSONAL</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En la auditoría se constató que es necesario mejorar las políticas, los procedimientos y las directrices de la </w:t>
      </w:r>
      <w:r w:rsidRPr="00E2647A">
        <w:rPr>
          <w:rFonts w:eastAsia="Arial"/>
          <w:szCs w:val="22"/>
          <w:u w:color="FF0000"/>
          <w:bdr w:val="nil"/>
          <w:lang w:val="es-ES"/>
        </w:rPr>
        <w:t>OMPI</w:t>
      </w:r>
      <w:r w:rsidRPr="00E2647A">
        <w:rPr>
          <w:rFonts w:eastAsia="Arial"/>
          <w:szCs w:val="22"/>
          <w:bdr w:val="nil"/>
          <w:lang w:val="es-ES"/>
        </w:rPr>
        <w:t xml:space="preserve"> en materia de contratación de personal a fin de asegurar la coherencia de las decisiones en el proceso de contratación; </w:t>
      </w:r>
      <w:r w:rsidR="00026B75" w:rsidRPr="00E2647A">
        <w:rPr>
          <w:rFonts w:eastAsia="Arial"/>
          <w:szCs w:val="22"/>
          <w:bdr w:val="nil"/>
          <w:lang w:val="es-ES"/>
        </w:rPr>
        <w:t xml:space="preserve">además, </w:t>
      </w:r>
      <w:r w:rsidRPr="00E2647A">
        <w:rPr>
          <w:rFonts w:eastAsia="Arial"/>
          <w:szCs w:val="22"/>
          <w:bdr w:val="nil"/>
          <w:lang w:val="es-ES"/>
        </w:rPr>
        <w:t>debería definirse y documentarse de manera precisa, específica y medible un indicador para medir los plazos de contratación.</w:t>
      </w:r>
    </w:p>
    <w:p w:rsidR="00D23C8A" w:rsidRPr="00E2647A" w:rsidRDefault="001E5D8A" w:rsidP="00D23C8A">
      <w:pPr>
        <w:pStyle w:val="ONUME"/>
        <w:numPr>
          <w:ilvl w:val="0"/>
          <w:numId w:val="3"/>
        </w:numPr>
        <w:rPr>
          <w:lang w:val="es-ES"/>
        </w:rPr>
      </w:pPr>
      <w:r w:rsidRPr="00E2647A">
        <w:rPr>
          <w:rFonts w:eastAsia="Arial"/>
          <w:szCs w:val="22"/>
          <w:bdr w:val="nil"/>
          <w:lang w:val="es-ES"/>
        </w:rPr>
        <w:t>Asimismo, es preciso revisar y actualizar algunas políticas y directrices, como las referidas a los miembros de las Juntas de Nombramiento</w:t>
      </w:r>
      <w:r w:rsidR="00F26C01" w:rsidRPr="00E2647A">
        <w:rPr>
          <w:rFonts w:eastAsia="Arial"/>
          <w:szCs w:val="22"/>
          <w:bdr w:val="nil"/>
          <w:lang w:val="es-ES"/>
        </w:rPr>
        <w:t>,</w:t>
      </w:r>
      <w:r w:rsidRPr="00E2647A">
        <w:rPr>
          <w:rFonts w:eastAsia="Arial"/>
          <w:szCs w:val="22"/>
          <w:bdr w:val="nil"/>
          <w:lang w:val="es-ES"/>
        </w:rPr>
        <w:t xml:space="preserve"> para que reflejen los procesos y las prácticas vigentes</w:t>
      </w:r>
      <w:r w:rsidR="00F26C01" w:rsidRPr="00E2647A">
        <w:rPr>
          <w:rFonts w:eastAsia="Arial"/>
          <w:szCs w:val="22"/>
          <w:bdr w:val="nil"/>
          <w:lang w:val="es-ES"/>
        </w:rPr>
        <w:t xml:space="preserve">, además del funcionamiento del </w:t>
      </w:r>
      <w:r w:rsidRPr="00E2647A">
        <w:rPr>
          <w:rFonts w:eastAsia="Arial"/>
          <w:szCs w:val="22"/>
          <w:bdr w:val="nil"/>
          <w:lang w:val="es-ES"/>
        </w:rPr>
        <w:t>sistema de contratación electrónico.</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El establecimiento de medidas y controles tales como</w:t>
      </w:r>
      <w:r w:rsidR="00DD6BD7">
        <w:rPr>
          <w:rFonts w:eastAsia="Arial"/>
          <w:szCs w:val="22"/>
          <w:bdr w:val="nil"/>
          <w:lang w:val="es-ES"/>
        </w:rPr>
        <w:t>:</w:t>
      </w:r>
      <w:r w:rsidRPr="00E2647A">
        <w:rPr>
          <w:rFonts w:eastAsia="Arial"/>
          <w:szCs w:val="22"/>
          <w:bdr w:val="nil"/>
          <w:lang w:val="es-ES"/>
        </w:rPr>
        <w:t xml:space="preserve"> la validación de las categorías de los funcionarios designados para desempeñar funciones en las Juntas de Nombramiento para cada </w:t>
      </w:r>
      <w:r w:rsidR="00DD6BD7">
        <w:rPr>
          <w:rFonts w:eastAsia="Arial"/>
          <w:szCs w:val="22"/>
          <w:bdr w:val="nil"/>
          <w:lang w:val="es-ES"/>
        </w:rPr>
        <w:t>concurso;</w:t>
      </w:r>
      <w:r w:rsidR="00F26C01" w:rsidRPr="00E2647A">
        <w:rPr>
          <w:rFonts w:eastAsia="Arial"/>
          <w:szCs w:val="22"/>
          <w:bdr w:val="nil"/>
          <w:lang w:val="es-ES"/>
        </w:rPr>
        <w:t xml:space="preserve"> asegurarse</w:t>
      </w:r>
      <w:r w:rsidRPr="00E2647A">
        <w:rPr>
          <w:rFonts w:eastAsia="Arial"/>
          <w:szCs w:val="22"/>
          <w:bdr w:val="nil"/>
          <w:lang w:val="es-ES"/>
        </w:rPr>
        <w:t xml:space="preserve"> de que se ha actualizado la descripción de las funciones del funcionario junto con la carta de nombramiento</w:t>
      </w:r>
      <w:r w:rsidR="00DD6BD7">
        <w:rPr>
          <w:rFonts w:eastAsia="Arial"/>
          <w:szCs w:val="22"/>
          <w:bdr w:val="nil"/>
          <w:lang w:val="es-ES"/>
        </w:rPr>
        <w:t>;</w:t>
      </w:r>
      <w:r w:rsidR="00F26C01" w:rsidRPr="00E2647A">
        <w:rPr>
          <w:rFonts w:eastAsia="Arial"/>
          <w:szCs w:val="22"/>
          <w:bdr w:val="nil"/>
          <w:lang w:val="es-ES"/>
        </w:rPr>
        <w:t xml:space="preserve"> y</w:t>
      </w:r>
      <w:r w:rsidRPr="00E2647A">
        <w:rPr>
          <w:rFonts w:eastAsia="Arial"/>
          <w:szCs w:val="22"/>
          <w:bdr w:val="nil"/>
          <w:lang w:val="es-ES"/>
        </w:rPr>
        <w:t xml:space="preserve"> la revisión de la sección del Estatuto y Reglamento del Personal dedicada al examen médico de modo de que refleje las prácticas vigentes</w:t>
      </w:r>
      <w:r w:rsidR="00DD6BD7">
        <w:rPr>
          <w:rFonts w:eastAsia="Arial"/>
          <w:szCs w:val="22"/>
          <w:bdr w:val="nil"/>
          <w:lang w:val="es-ES"/>
        </w:rPr>
        <w:t>;</w:t>
      </w:r>
      <w:r w:rsidRPr="00E2647A">
        <w:rPr>
          <w:rFonts w:eastAsia="Arial"/>
          <w:szCs w:val="22"/>
          <w:bdr w:val="nil"/>
          <w:lang w:val="es-ES"/>
        </w:rPr>
        <w:t xml:space="preserve"> permitirá al Departamento de Gestión de los Recursos Humanos (</w:t>
      </w:r>
      <w:r w:rsidRPr="00E2647A">
        <w:rPr>
          <w:rFonts w:eastAsia="Arial"/>
          <w:szCs w:val="22"/>
          <w:u w:color="FF0000"/>
          <w:bdr w:val="nil"/>
          <w:lang w:val="es-ES"/>
        </w:rPr>
        <w:t>DGRRHH</w:t>
      </w:r>
      <w:r w:rsidRPr="00E2647A">
        <w:rPr>
          <w:rFonts w:eastAsia="Arial"/>
          <w:szCs w:val="22"/>
          <w:bdr w:val="nil"/>
          <w:lang w:val="es-ES"/>
        </w:rPr>
        <w:t xml:space="preserve">) </w:t>
      </w:r>
      <w:r w:rsidR="003E2379" w:rsidRPr="00E2647A">
        <w:rPr>
          <w:rFonts w:eastAsia="Arial"/>
          <w:szCs w:val="22"/>
          <w:bdr w:val="nil"/>
          <w:lang w:val="es-ES"/>
        </w:rPr>
        <w:t>cumplir con</w:t>
      </w:r>
      <w:r w:rsidRPr="00E2647A">
        <w:rPr>
          <w:rFonts w:eastAsia="Arial"/>
          <w:szCs w:val="22"/>
          <w:bdr w:val="nil"/>
          <w:lang w:val="es-ES"/>
        </w:rPr>
        <w:t xml:space="preserve"> los reglamentos, </w:t>
      </w:r>
      <w:r w:rsidR="00F26C01" w:rsidRPr="00E2647A">
        <w:rPr>
          <w:rFonts w:eastAsia="Arial"/>
          <w:szCs w:val="22"/>
          <w:bdr w:val="nil"/>
          <w:lang w:val="es-ES"/>
        </w:rPr>
        <w:t xml:space="preserve">las </w:t>
      </w:r>
      <w:r w:rsidRPr="00E2647A">
        <w:rPr>
          <w:rFonts w:eastAsia="Arial"/>
          <w:szCs w:val="22"/>
          <w:bdr w:val="nil"/>
          <w:lang w:val="es-ES"/>
        </w:rPr>
        <w:t xml:space="preserve">normas y </w:t>
      </w:r>
      <w:r w:rsidR="00F26C01" w:rsidRPr="00E2647A">
        <w:rPr>
          <w:rFonts w:eastAsia="Arial"/>
          <w:szCs w:val="22"/>
          <w:bdr w:val="nil"/>
          <w:lang w:val="es-ES"/>
        </w:rPr>
        <w:t xml:space="preserve">las </w:t>
      </w:r>
      <w:r w:rsidRPr="00E2647A">
        <w:rPr>
          <w:rFonts w:eastAsia="Arial"/>
          <w:szCs w:val="22"/>
          <w:bdr w:val="nil"/>
          <w:lang w:val="es-ES"/>
        </w:rPr>
        <w:t>directrices en materia de contratación.</w:t>
      </w:r>
    </w:p>
    <w:p w:rsidR="00D23C8A" w:rsidRPr="00E2647A" w:rsidRDefault="001E5D8A" w:rsidP="00D23C8A">
      <w:pPr>
        <w:pStyle w:val="ONUME"/>
        <w:numPr>
          <w:ilvl w:val="0"/>
          <w:numId w:val="3"/>
        </w:numPr>
        <w:rPr>
          <w:lang w:val="es-ES"/>
        </w:rPr>
      </w:pPr>
      <w:r w:rsidRPr="00E2647A">
        <w:rPr>
          <w:rFonts w:eastAsia="Arial"/>
          <w:szCs w:val="22"/>
          <w:bdr w:val="nil"/>
          <w:lang w:val="es-ES"/>
        </w:rPr>
        <w:t>Si bien se ha destacado que gracias al desarrollo</w:t>
      </w:r>
      <w:r w:rsidR="00F42DA3" w:rsidRPr="00E2647A">
        <w:rPr>
          <w:rFonts w:eastAsia="Arial"/>
          <w:szCs w:val="22"/>
          <w:bdr w:val="nil"/>
          <w:lang w:val="es-ES"/>
        </w:rPr>
        <w:t>, en 2016,</w:t>
      </w:r>
      <w:r w:rsidRPr="00E2647A">
        <w:rPr>
          <w:rFonts w:eastAsia="Arial"/>
          <w:szCs w:val="22"/>
          <w:bdr w:val="nil"/>
          <w:lang w:val="es-ES"/>
        </w:rPr>
        <w:t xml:space="preserve"> del sistema </w:t>
      </w:r>
      <w:r w:rsidRPr="00E2647A">
        <w:rPr>
          <w:rFonts w:eastAsia="Arial"/>
          <w:szCs w:val="22"/>
          <w:u w:color="FF0000"/>
          <w:bdr w:val="nil"/>
          <w:lang w:val="es-ES"/>
        </w:rPr>
        <w:t>Taleo</w:t>
      </w:r>
      <w:r w:rsidRPr="00E2647A">
        <w:rPr>
          <w:rFonts w:eastAsia="Arial"/>
          <w:szCs w:val="22"/>
          <w:bdr w:val="nil"/>
          <w:lang w:val="es-ES"/>
        </w:rPr>
        <w:t xml:space="preserve"> ha permitido lograr una mayor eficiencia, la </w:t>
      </w:r>
      <w:r w:rsidRPr="00E2647A">
        <w:rPr>
          <w:rFonts w:eastAsia="Arial"/>
          <w:szCs w:val="22"/>
          <w:u w:color="FF0000"/>
          <w:bdr w:val="nil"/>
          <w:lang w:val="es-ES"/>
        </w:rPr>
        <w:t>DGRRHH</w:t>
      </w:r>
      <w:r w:rsidRPr="00E2647A">
        <w:rPr>
          <w:rFonts w:eastAsia="Arial"/>
          <w:szCs w:val="22"/>
          <w:bdr w:val="nil"/>
          <w:lang w:val="es-ES"/>
        </w:rPr>
        <w:t xml:space="preserve"> no está sacando el máximo provecho a la herramienta para la gestión de todo el proceso de contratación. Sería beneficioso para la </w:t>
      </w:r>
      <w:r w:rsidRPr="00E2647A">
        <w:rPr>
          <w:rFonts w:eastAsia="Arial"/>
          <w:szCs w:val="22"/>
          <w:u w:color="FF0000"/>
          <w:bdr w:val="nil"/>
          <w:lang w:val="es-ES"/>
        </w:rPr>
        <w:t>OMPI</w:t>
      </w:r>
      <w:r w:rsidRPr="00E2647A">
        <w:rPr>
          <w:rFonts w:eastAsia="Arial"/>
          <w:szCs w:val="22"/>
          <w:bdr w:val="nil"/>
          <w:lang w:val="es-ES"/>
        </w:rPr>
        <w:t xml:space="preserve"> si se optimizara el uso de las </w:t>
      </w:r>
      <w:r w:rsidRPr="00E2647A">
        <w:rPr>
          <w:rFonts w:eastAsia="Arial"/>
          <w:szCs w:val="22"/>
          <w:u w:color="FF0000"/>
          <w:bdr w:val="nil"/>
          <w:lang w:val="es-ES"/>
        </w:rPr>
        <w:t>funcionalidades</w:t>
      </w:r>
      <w:r w:rsidRPr="00E2647A">
        <w:rPr>
          <w:rFonts w:eastAsia="Arial"/>
          <w:szCs w:val="22"/>
          <w:bdr w:val="nil"/>
          <w:lang w:val="es-ES"/>
        </w:rPr>
        <w:t xml:space="preserve"> de análisis de datos del sistema y se automatizaran los procesos manuales en la etapa inicial de la contratación.</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 xml:space="preserve">Por último, los resultados de la encuesta sobre el proceso de selección y contratación de la </w:t>
      </w:r>
      <w:r w:rsidRPr="00E2647A">
        <w:rPr>
          <w:rFonts w:eastAsia="Arial"/>
          <w:szCs w:val="22"/>
          <w:u w:color="FF0000"/>
          <w:bdr w:val="nil"/>
          <w:lang w:val="es-ES"/>
        </w:rPr>
        <w:t>OMPI</w:t>
      </w:r>
      <w:r w:rsidRPr="00E2647A">
        <w:rPr>
          <w:rFonts w:eastAsia="Arial"/>
          <w:szCs w:val="22"/>
          <w:bdr w:val="nil"/>
          <w:lang w:val="es-ES"/>
        </w:rPr>
        <w:t xml:space="preserve">, realizada en el marco de esta auditoría, </w:t>
      </w:r>
      <w:r w:rsidR="00F42DA3" w:rsidRPr="00E2647A">
        <w:rPr>
          <w:rFonts w:eastAsia="Arial"/>
          <w:szCs w:val="22"/>
          <w:u w:color="008000"/>
          <w:bdr w:val="nil"/>
          <w:lang w:val="es-ES"/>
        </w:rPr>
        <w:t>están</w:t>
      </w:r>
      <w:r w:rsidR="0057080C" w:rsidRPr="00E2647A">
        <w:rPr>
          <w:rFonts w:eastAsia="Arial"/>
          <w:szCs w:val="22"/>
          <w:u w:color="008000"/>
          <w:bdr w:val="nil"/>
          <w:lang w:val="es-ES"/>
        </w:rPr>
        <w:t xml:space="preserve"> en</w:t>
      </w:r>
      <w:r w:rsidR="00F42DA3" w:rsidRPr="00E2647A">
        <w:rPr>
          <w:rFonts w:eastAsia="Arial"/>
          <w:szCs w:val="22"/>
          <w:u w:color="008000"/>
          <w:bdr w:val="nil"/>
          <w:lang w:val="es-ES"/>
        </w:rPr>
        <w:t xml:space="preserve"> consonancia</w:t>
      </w:r>
      <w:r w:rsidR="00F42DA3" w:rsidRPr="00E2647A">
        <w:rPr>
          <w:rFonts w:eastAsia="Arial"/>
          <w:szCs w:val="22"/>
          <w:bdr w:val="nil"/>
          <w:lang w:val="es-ES"/>
        </w:rPr>
        <w:t xml:space="preserve"> con</w:t>
      </w:r>
      <w:r w:rsidRPr="00E2647A">
        <w:rPr>
          <w:rFonts w:eastAsia="Arial"/>
          <w:szCs w:val="22"/>
          <w:bdr w:val="nil"/>
          <w:lang w:val="es-ES"/>
        </w:rPr>
        <w:t xml:space="preserve"> algunas de las observaciones señaladas respecto de la necesidad de mejorar la observancia de los reglamentos, los procedimientos y las directrices que regulan el proceso de contratación, así como las formalidades en materia de nombramientos.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formuló cinco recomendaciones, una de las cuales se aplicará antes de </w:t>
      </w:r>
      <w:r w:rsidR="00F42DA3" w:rsidRPr="00E2647A">
        <w:rPr>
          <w:rFonts w:eastAsia="Arial"/>
          <w:szCs w:val="22"/>
          <w:bdr w:val="nil"/>
          <w:lang w:val="es-ES"/>
        </w:rPr>
        <w:t>finales</w:t>
      </w:r>
      <w:r w:rsidRPr="00E2647A">
        <w:rPr>
          <w:rFonts w:eastAsia="Arial"/>
          <w:szCs w:val="22"/>
          <w:bdr w:val="nil"/>
          <w:lang w:val="es-ES"/>
        </w:rPr>
        <w:t xml:space="preserve"> de junio de 2018, mientras que las cuatro restantes se aplicarán entre septiembre y diciembre de 2018.</w:t>
      </w:r>
    </w:p>
    <w:p w:rsidR="00D23C8A" w:rsidRPr="00DD6BD7" w:rsidRDefault="001E5D8A" w:rsidP="00D23C8A">
      <w:pPr>
        <w:pStyle w:val="Heading2"/>
        <w:rPr>
          <w:lang w:val="es-ES"/>
        </w:rPr>
      </w:pPr>
      <w:r w:rsidRPr="00DD6BD7">
        <w:rPr>
          <w:rFonts w:eastAsia="Arial"/>
          <w:szCs w:val="22"/>
          <w:bdr w:val="nil"/>
          <w:lang w:val="es-ES"/>
        </w:rPr>
        <w:t>AUDITORÍA DE LA DIVISIÓN LINGÜÍSTICA</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De acuerdo con lo constatado en la auditoría, para que la División Lingüística funcione con eficiencia y eficacia es preciso </w:t>
      </w:r>
      <w:r w:rsidR="00B948BB" w:rsidRPr="00E2647A">
        <w:rPr>
          <w:rFonts w:eastAsia="Arial"/>
          <w:szCs w:val="22"/>
          <w:bdr w:val="nil"/>
          <w:lang w:val="es-ES"/>
        </w:rPr>
        <w:t>establecer</w:t>
      </w:r>
      <w:r w:rsidRPr="00E2647A">
        <w:rPr>
          <w:rFonts w:eastAsia="Arial"/>
          <w:szCs w:val="22"/>
          <w:bdr w:val="nil"/>
          <w:lang w:val="es-ES"/>
        </w:rPr>
        <w:t xml:space="preserve"> una política operativa que sirva como principio rector, </w:t>
      </w:r>
      <w:r w:rsidR="00E725EF" w:rsidRPr="00E2647A">
        <w:rPr>
          <w:rFonts w:eastAsia="Arial"/>
          <w:szCs w:val="22"/>
          <w:bdr w:val="nil"/>
          <w:lang w:val="es-ES"/>
        </w:rPr>
        <w:t>reforzada por</w:t>
      </w:r>
      <w:r w:rsidRPr="00E2647A">
        <w:rPr>
          <w:rFonts w:eastAsia="Arial"/>
          <w:szCs w:val="22"/>
          <w:bdr w:val="nil"/>
          <w:lang w:val="es-ES"/>
        </w:rPr>
        <w:t xml:space="preserve"> directrices, instrucciones y procedimientos internos eficaces que </w:t>
      </w:r>
      <w:r w:rsidR="00B948BB" w:rsidRPr="00E2647A">
        <w:rPr>
          <w:rFonts w:eastAsia="Arial"/>
          <w:szCs w:val="22"/>
          <w:bdr w:val="nil"/>
          <w:lang w:val="es-ES"/>
        </w:rPr>
        <w:t>sirvan de sustento a</w:t>
      </w:r>
      <w:r w:rsidRPr="00E2647A">
        <w:rPr>
          <w:rFonts w:eastAsia="Arial"/>
          <w:szCs w:val="22"/>
          <w:bdr w:val="nil"/>
          <w:lang w:val="es-ES"/>
        </w:rPr>
        <w:t xml:space="preserve"> sus objetivos estratégicos.</w:t>
      </w:r>
    </w:p>
    <w:p w:rsidR="00D23C8A" w:rsidRPr="00E2647A" w:rsidRDefault="00D53C20" w:rsidP="00D23C8A">
      <w:pPr>
        <w:pStyle w:val="ONUME"/>
        <w:numPr>
          <w:ilvl w:val="0"/>
          <w:numId w:val="3"/>
        </w:numPr>
        <w:rPr>
          <w:lang w:val="es-ES"/>
        </w:rPr>
      </w:pPr>
      <w:r w:rsidRPr="00E2647A">
        <w:rPr>
          <w:rFonts w:eastAsia="Arial"/>
          <w:szCs w:val="22"/>
          <w:bdr w:val="nil"/>
          <w:lang w:val="es-ES"/>
        </w:rPr>
        <w:lastRenderedPageBreak/>
        <w:t xml:space="preserve">Para </w:t>
      </w:r>
      <w:r w:rsidR="005F2EAC" w:rsidRPr="00E2647A">
        <w:rPr>
          <w:rFonts w:eastAsia="Arial"/>
          <w:szCs w:val="22"/>
          <w:bdr w:val="nil"/>
          <w:lang w:val="es-ES"/>
        </w:rPr>
        <w:t xml:space="preserve">llevar </w:t>
      </w:r>
      <w:r w:rsidR="00157935" w:rsidRPr="00E2647A">
        <w:rPr>
          <w:rFonts w:eastAsia="Arial"/>
          <w:szCs w:val="22"/>
          <w:bdr w:val="nil"/>
          <w:lang w:val="es-ES"/>
        </w:rPr>
        <w:t>adelante</w:t>
      </w:r>
      <w:r w:rsidR="001E5D8A" w:rsidRPr="00E2647A">
        <w:rPr>
          <w:rFonts w:eastAsia="Arial"/>
          <w:szCs w:val="22"/>
          <w:bdr w:val="nil"/>
          <w:lang w:val="es-ES"/>
        </w:rPr>
        <w:t xml:space="preserve"> la decisión </w:t>
      </w:r>
      <w:r w:rsidR="00872B07" w:rsidRPr="00E2647A">
        <w:rPr>
          <w:rFonts w:eastAsia="Arial"/>
          <w:szCs w:val="22"/>
          <w:bdr w:val="nil"/>
          <w:lang w:val="es-ES"/>
        </w:rPr>
        <w:t>d</w:t>
      </w:r>
      <w:r w:rsidR="000A11A3" w:rsidRPr="00E2647A">
        <w:rPr>
          <w:rFonts w:eastAsia="Arial"/>
          <w:szCs w:val="22"/>
          <w:bdr w:val="nil"/>
          <w:lang w:val="es-ES"/>
        </w:rPr>
        <w:t>el</w:t>
      </w:r>
      <w:r w:rsidR="001E5D8A" w:rsidRPr="00E2647A">
        <w:rPr>
          <w:rFonts w:eastAsia="Arial"/>
          <w:szCs w:val="22"/>
          <w:bdr w:val="nil"/>
          <w:lang w:val="es-ES"/>
        </w:rPr>
        <w:t xml:space="preserve"> director general </w:t>
      </w:r>
      <w:r w:rsidR="000E4E89" w:rsidRPr="00E2647A">
        <w:rPr>
          <w:rFonts w:eastAsia="Arial"/>
          <w:szCs w:val="22"/>
          <w:bdr w:val="nil"/>
          <w:lang w:val="es-ES"/>
        </w:rPr>
        <w:t xml:space="preserve">de consolidar y centralizar </w:t>
      </w:r>
      <w:r w:rsidR="005F2EAC" w:rsidRPr="00E2647A">
        <w:rPr>
          <w:rFonts w:eastAsia="Arial"/>
          <w:szCs w:val="22"/>
          <w:bdr w:val="nil"/>
          <w:lang w:val="es-ES"/>
        </w:rPr>
        <w:t>las tareas de mantenimiento de la</w:t>
      </w:r>
      <w:r w:rsidR="000E4E89" w:rsidRPr="00E2647A">
        <w:rPr>
          <w:rFonts w:eastAsia="Arial"/>
          <w:szCs w:val="22"/>
          <w:bdr w:val="nil"/>
          <w:lang w:val="es-ES"/>
        </w:rPr>
        <w:t xml:space="preserve"> tecnología </w:t>
      </w:r>
      <w:r w:rsidR="000A11A3" w:rsidRPr="00E2647A">
        <w:rPr>
          <w:rFonts w:eastAsia="Arial"/>
          <w:szCs w:val="22"/>
          <w:bdr w:val="nil"/>
          <w:lang w:val="es-ES"/>
        </w:rPr>
        <w:t>en</w:t>
      </w:r>
      <w:r w:rsidRPr="00E2647A">
        <w:rPr>
          <w:rFonts w:eastAsia="Arial"/>
          <w:szCs w:val="22"/>
          <w:bdr w:val="nil"/>
          <w:lang w:val="es-ES"/>
        </w:rPr>
        <w:t xml:space="preserve"> terminología y traducción</w:t>
      </w:r>
      <w:r w:rsidR="005F2EAC" w:rsidRPr="00E2647A">
        <w:rPr>
          <w:rFonts w:eastAsia="Arial"/>
          <w:szCs w:val="22"/>
          <w:bdr w:val="nil"/>
          <w:lang w:val="es-ES"/>
        </w:rPr>
        <w:t xml:space="preserve"> </w:t>
      </w:r>
      <w:r w:rsidR="00872B07" w:rsidRPr="00E2647A">
        <w:rPr>
          <w:rFonts w:eastAsia="Arial"/>
          <w:szCs w:val="22"/>
          <w:bdr w:val="nil"/>
          <w:lang w:val="es-ES"/>
        </w:rPr>
        <w:t xml:space="preserve">de la </w:t>
      </w:r>
      <w:r w:rsidR="00872B07" w:rsidRPr="00E2647A">
        <w:rPr>
          <w:rFonts w:eastAsia="Arial"/>
          <w:szCs w:val="22"/>
          <w:u w:color="FF0000"/>
          <w:bdr w:val="nil"/>
          <w:lang w:val="es-ES"/>
        </w:rPr>
        <w:t>OMPI</w:t>
      </w:r>
      <w:r w:rsidR="00872B07" w:rsidRPr="00E2647A">
        <w:rPr>
          <w:rFonts w:eastAsia="Arial"/>
          <w:szCs w:val="22"/>
          <w:bdr w:val="nil"/>
          <w:lang w:val="es-ES"/>
        </w:rPr>
        <w:t xml:space="preserve"> </w:t>
      </w:r>
      <w:r w:rsidR="005F2EAC" w:rsidRPr="00E2647A">
        <w:rPr>
          <w:rFonts w:eastAsia="Arial"/>
          <w:szCs w:val="22"/>
          <w:bdr w:val="nil"/>
          <w:lang w:val="es-ES"/>
        </w:rPr>
        <w:t>(que</w:t>
      </w:r>
      <w:r w:rsidRPr="00E2647A">
        <w:rPr>
          <w:rFonts w:eastAsia="Arial"/>
          <w:szCs w:val="22"/>
          <w:bdr w:val="nil"/>
          <w:lang w:val="es-ES"/>
        </w:rPr>
        <w:t xml:space="preserve"> actualmente </w:t>
      </w:r>
      <w:r w:rsidR="005F2EAC" w:rsidRPr="00E2647A">
        <w:rPr>
          <w:rFonts w:eastAsia="Arial"/>
          <w:szCs w:val="22"/>
          <w:bdr w:val="nil"/>
          <w:lang w:val="es-ES"/>
        </w:rPr>
        <w:t>recae</w:t>
      </w:r>
      <w:r w:rsidR="000A11A3" w:rsidRPr="00E2647A">
        <w:rPr>
          <w:rFonts w:eastAsia="Arial"/>
          <w:szCs w:val="22"/>
          <w:bdr w:val="nil"/>
          <w:lang w:val="es-ES"/>
        </w:rPr>
        <w:t>n</w:t>
      </w:r>
      <w:r w:rsidR="005F2EAC" w:rsidRPr="00E2647A">
        <w:rPr>
          <w:rFonts w:eastAsia="Arial"/>
          <w:szCs w:val="22"/>
          <w:bdr w:val="nil"/>
          <w:lang w:val="es-ES"/>
        </w:rPr>
        <w:t xml:space="preserve"> en</w:t>
      </w:r>
      <w:r w:rsidRPr="00E2647A">
        <w:rPr>
          <w:rFonts w:eastAsia="Arial"/>
          <w:szCs w:val="22"/>
          <w:bdr w:val="nil"/>
          <w:lang w:val="es-ES"/>
        </w:rPr>
        <w:t xml:space="preserve"> la </w:t>
      </w:r>
      <w:r w:rsidR="001E5D8A" w:rsidRPr="00E2647A">
        <w:rPr>
          <w:rFonts w:eastAsia="Arial"/>
          <w:szCs w:val="22"/>
          <w:bdr w:val="nil"/>
          <w:lang w:val="es-ES"/>
        </w:rPr>
        <w:t>División de Traducción del Tratado de Cooperación en materia de Patentes (</w:t>
      </w:r>
      <w:r w:rsidR="001E5D8A" w:rsidRPr="00E2647A">
        <w:rPr>
          <w:rFonts w:eastAsia="Arial"/>
          <w:szCs w:val="22"/>
          <w:u w:color="FF0000"/>
          <w:bdr w:val="nil"/>
          <w:lang w:val="es-ES"/>
        </w:rPr>
        <w:t>PCT</w:t>
      </w:r>
      <w:r w:rsidR="001E5D8A" w:rsidRPr="00E2647A">
        <w:rPr>
          <w:rFonts w:eastAsia="Arial"/>
          <w:szCs w:val="22"/>
          <w:bdr w:val="nil"/>
          <w:lang w:val="es-ES"/>
        </w:rPr>
        <w:t>)</w:t>
      </w:r>
      <w:r w:rsidR="005F2EAC" w:rsidRPr="00E2647A">
        <w:rPr>
          <w:rFonts w:eastAsia="Arial"/>
          <w:szCs w:val="22"/>
          <w:bdr w:val="nil"/>
          <w:lang w:val="es-ES"/>
        </w:rPr>
        <w:t>)</w:t>
      </w:r>
      <w:r w:rsidR="001E5D8A" w:rsidRPr="00E2647A">
        <w:rPr>
          <w:rFonts w:eastAsia="Arial"/>
          <w:szCs w:val="22"/>
          <w:bdr w:val="nil"/>
          <w:lang w:val="es-ES"/>
        </w:rPr>
        <w:t xml:space="preserve"> </w:t>
      </w:r>
      <w:r w:rsidR="005F2EAC" w:rsidRPr="00E2647A">
        <w:rPr>
          <w:rFonts w:eastAsia="Arial"/>
          <w:szCs w:val="22"/>
          <w:bdr w:val="nil"/>
          <w:lang w:val="es-ES"/>
        </w:rPr>
        <w:t>en una nueva Sección creada para tales fines</w:t>
      </w:r>
      <w:r w:rsidR="001E5D8A" w:rsidRPr="00E2647A">
        <w:rPr>
          <w:rFonts w:eastAsia="Arial"/>
          <w:szCs w:val="22"/>
          <w:bdr w:val="nil"/>
          <w:lang w:val="es-ES"/>
        </w:rPr>
        <w:t xml:space="preserve">, será necesario establecer un mandato funcional para </w:t>
      </w:r>
      <w:r w:rsidR="000A11A3" w:rsidRPr="00E2647A">
        <w:rPr>
          <w:rFonts w:eastAsia="Arial"/>
          <w:szCs w:val="22"/>
          <w:bdr w:val="nil"/>
          <w:lang w:val="es-ES"/>
        </w:rPr>
        <w:t>esa</w:t>
      </w:r>
      <w:r w:rsidR="001E5D8A" w:rsidRPr="00E2647A">
        <w:rPr>
          <w:rFonts w:eastAsia="Arial"/>
          <w:szCs w:val="22"/>
          <w:bdr w:val="nil"/>
          <w:lang w:val="es-ES"/>
        </w:rPr>
        <w:t xml:space="preserve"> Sección, con funciones y responsabilidades claramente definid</w:t>
      </w:r>
      <w:r w:rsidR="00872B07" w:rsidRPr="00E2647A">
        <w:rPr>
          <w:rFonts w:eastAsia="Arial"/>
          <w:szCs w:val="22"/>
          <w:bdr w:val="nil"/>
          <w:lang w:val="es-ES"/>
        </w:rPr>
        <w:t>a</w:t>
      </w:r>
      <w:r w:rsidR="001E5D8A" w:rsidRPr="00E2647A">
        <w:rPr>
          <w:rFonts w:eastAsia="Arial"/>
          <w:szCs w:val="22"/>
          <w:bdr w:val="nil"/>
          <w:lang w:val="es-ES"/>
        </w:rPr>
        <w:t xml:space="preserve">s, así como una dotación </w:t>
      </w:r>
      <w:r w:rsidR="005F2EAC" w:rsidRPr="00E2647A">
        <w:rPr>
          <w:rFonts w:eastAsia="Arial"/>
          <w:szCs w:val="22"/>
          <w:bdr w:val="nil"/>
          <w:lang w:val="es-ES"/>
        </w:rPr>
        <w:t xml:space="preserve">de recursos </w:t>
      </w:r>
      <w:r w:rsidR="001E5D8A" w:rsidRPr="00E2647A">
        <w:rPr>
          <w:rFonts w:eastAsia="Arial"/>
          <w:szCs w:val="22"/>
          <w:bdr w:val="nil"/>
          <w:lang w:val="es-ES"/>
        </w:rPr>
        <w:t xml:space="preserve">adecuada, que posea las habilidades adecuadas para </w:t>
      </w:r>
      <w:r w:rsidR="005F0FFE" w:rsidRPr="00E2647A">
        <w:rPr>
          <w:rFonts w:eastAsia="Arial"/>
          <w:szCs w:val="22"/>
          <w:bdr w:val="nil"/>
          <w:lang w:val="es-ES"/>
        </w:rPr>
        <w:t>contribuir eficazmente a</w:t>
      </w:r>
      <w:r w:rsidR="001E5D8A" w:rsidRPr="00E2647A">
        <w:rPr>
          <w:rFonts w:eastAsia="Arial"/>
          <w:szCs w:val="22"/>
          <w:bdr w:val="nil"/>
          <w:lang w:val="es-ES"/>
        </w:rPr>
        <w:t xml:space="preserve"> la labor de las partes interesadas (División Lingüística, División de Traducción del </w:t>
      </w:r>
      <w:r w:rsidR="001E5D8A" w:rsidRPr="00E2647A">
        <w:rPr>
          <w:rFonts w:eastAsia="Arial"/>
          <w:szCs w:val="22"/>
          <w:u w:color="FF0000"/>
          <w:bdr w:val="nil"/>
          <w:lang w:val="es-ES"/>
        </w:rPr>
        <w:t>PCT</w:t>
      </w:r>
      <w:r w:rsidR="001E5D8A" w:rsidRPr="00E2647A">
        <w:rPr>
          <w:rFonts w:eastAsia="Arial"/>
          <w:szCs w:val="22"/>
          <w:bdr w:val="nil"/>
          <w:lang w:val="es-ES"/>
        </w:rPr>
        <w:t xml:space="preserve"> y el Sector de Marcas y Diseños).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Del mismo modo, para </w:t>
      </w:r>
      <w:r w:rsidR="00157935" w:rsidRPr="00E2647A">
        <w:rPr>
          <w:rFonts w:eastAsia="Arial"/>
          <w:szCs w:val="22"/>
          <w:bdr w:val="nil"/>
          <w:lang w:val="es-ES"/>
        </w:rPr>
        <w:t>poner en</w:t>
      </w:r>
      <w:r w:rsidRPr="00E2647A">
        <w:rPr>
          <w:rFonts w:eastAsia="Arial"/>
          <w:szCs w:val="22"/>
          <w:bdr w:val="nil"/>
          <w:lang w:val="es-ES"/>
        </w:rPr>
        <w:t xml:space="preserve"> práctica la decisión </w:t>
      </w:r>
      <w:r w:rsidR="00431720" w:rsidRPr="00E2647A">
        <w:rPr>
          <w:rFonts w:eastAsia="Arial"/>
          <w:szCs w:val="22"/>
          <w:bdr w:val="nil"/>
          <w:lang w:val="es-ES"/>
        </w:rPr>
        <w:t>adoptada por el</w:t>
      </w:r>
      <w:r w:rsidRPr="00E2647A">
        <w:rPr>
          <w:rFonts w:eastAsia="Arial"/>
          <w:szCs w:val="22"/>
          <w:bdr w:val="nil"/>
          <w:lang w:val="es-ES"/>
        </w:rPr>
        <w:t xml:space="preserve"> Grup</w:t>
      </w:r>
      <w:r w:rsidR="00DE08C5" w:rsidRPr="00E2647A">
        <w:rPr>
          <w:rFonts w:eastAsia="Arial"/>
          <w:szCs w:val="22"/>
          <w:bdr w:val="nil"/>
          <w:lang w:val="es-ES"/>
        </w:rPr>
        <w:t>o de Coordinación de Traducción,</w:t>
      </w:r>
      <w:r w:rsidRPr="00E2647A">
        <w:rPr>
          <w:rFonts w:eastAsia="Arial"/>
          <w:szCs w:val="22"/>
          <w:bdr w:val="nil"/>
          <w:lang w:val="es-ES"/>
        </w:rPr>
        <w:t xml:space="preserve"> presidido por el director general</w:t>
      </w:r>
      <w:r w:rsidR="00DE08C5" w:rsidRPr="00E2647A">
        <w:rPr>
          <w:rFonts w:eastAsia="Arial"/>
          <w:szCs w:val="22"/>
          <w:bdr w:val="nil"/>
          <w:lang w:val="es-ES"/>
        </w:rPr>
        <w:t>, que establece</w:t>
      </w:r>
      <w:r w:rsidRPr="00E2647A">
        <w:rPr>
          <w:rFonts w:eastAsia="Arial"/>
          <w:szCs w:val="22"/>
          <w:bdr w:val="nil"/>
          <w:lang w:val="es-ES"/>
        </w:rPr>
        <w:t xml:space="preserve"> una plataforma común para las bases de datos terminológicas (que se será compartida por la División de Traducción del </w:t>
      </w:r>
      <w:r w:rsidRPr="00E2647A">
        <w:rPr>
          <w:rFonts w:eastAsia="Arial"/>
          <w:szCs w:val="22"/>
          <w:u w:color="FF0000"/>
          <w:bdr w:val="nil"/>
          <w:lang w:val="es-ES"/>
        </w:rPr>
        <w:t>PCT</w:t>
      </w:r>
      <w:r w:rsidRPr="00E2647A">
        <w:rPr>
          <w:rFonts w:eastAsia="Arial"/>
          <w:szCs w:val="22"/>
          <w:bdr w:val="nil"/>
          <w:lang w:val="es-ES"/>
        </w:rPr>
        <w:t xml:space="preserve">, el Sector de Marcas y Diseños y la División Lingüística) para poder publicar terminología en el sitio web de la </w:t>
      </w:r>
      <w:r w:rsidRPr="00E2647A">
        <w:rPr>
          <w:rFonts w:eastAsia="Arial"/>
          <w:szCs w:val="22"/>
          <w:u w:color="FF0000"/>
          <w:bdr w:val="nil"/>
          <w:lang w:val="es-ES"/>
        </w:rPr>
        <w:t>OMPI</w:t>
      </w:r>
      <w:r w:rsidRPr="00E2647A">
        <w:rPr>
          <w:rFonts w:eastAsia="Arial"/>
          <w:szCs w:val="22"/>
          <w:bdr w:val="nil"/>
          <w:lang w:val="es-ES"/>
        </w:rPr>
        <w:t xml:space="preserve">, será necesario una cooperación y coordinación eficaz de las partes interesadas </w:t>
      </w:r>
      <w:r w:rsidR="00431720" w:rsidRPr="00E2647A">
        <w:rPr>
          <w:rFonts w:eastAsia="Arial"/>
          <w:szCs w:val="22"/>
          <w:bdr w:val="nil"/>
          <w:lang w:val="es-ES"/>
        </w:rPr>
        <w:t>a fin de</w:t>
      </w:r>
      <w:r w:rsidRPr="00E2647A">
        <w:rPr>
          <w:rFonts w:eastAsia="Arial"/>
          <w:szCs w:val="22"/>
          <w:bdr w:val="nil"/>
          <w:lang w:val="es-ES"/>
        </w:rPr>
        <w:t xml:space="preserve"> que sus respectivas bases de datos puedan integrarse correctamente en una única plataforma </w:t>
      </w:r>
      <w:r w:rsidR="00872B07" w:rsidRPr="00E2647A">
        <w:rPr>
          <w:rFonts w:eastAsia="Arial"/>
          <w:szCs w:val="22"/>
          <w:bdr w:val="nil"/>
          <w:lang w:val="es-ES"/>
        </w:rPr>
        <w:t>orientada al usuario</w:t>
      </w:r>
      <w:r w:rsidRPr="00E2647A">
        <w:rPr>
          <w:rFonts w:eastAsia="Arial"/>
          <w:szCs w:val="22"/>
          <w:bdr w:val="nil"/>
          <w:lang w:val="es-ES"/>
        </w:rPr>
        <w:t>.</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base de datos terminológica de la División Lingüística </w:t>
      </w:r>
      <w:r w:rsidR="008C25BC" w:rsidRPr="00E2647A">
        <w:rPr>
          <w:rFonts w:eastAsia="Arial"/>
          <w:szCs w:val="22"/>
          <w:bdr w:val="nil"/>
          <w:lang w:val="es-ES"/>
        </w:rPr>
        <w:t>está</w:t>
      </w:r>
      <w:r w:rsidRPr="00E2647A">
        <w:rPr>
          <w:rFonts w:eastAsia="Arial"/>
          <w:szCs w:val="22"/>
          <w:bdr w:val="nil"/>
          <w:lang w:val="es-ES"/>
        </w:rPr>
        <w:t xml:space="preserve"> </w:t>
      </w:r>
      <w:r w:rsidR="00D90853" w:rsidRPr="00E2647A">
        <w:rPr>
          <w:rFonts w:eastAsia="Arial"/>
          <w:szCs w:val="22"/>
          <w:bdr w:val="nil"/>
          <w:lang w:val="es-ES"/>
        </w:rPr>
        <w:t>en la etapa final</w:t>
      </w:r>
      <w:r w:rsidR="008C25BC" w:rsidRPr="00E2647A">
        <w:rPr>
          <w:rFonts w:eastAsia="Arial"/>
          <w:szCs w:val="22"/>
          <w:bdr w:val="nil"/>
          <w:lang w:val="es-ES"/>
        </w:rPr>
        <w:t xml:space="preserve">, y el jefe de proyecto, quien también es </w:t>
      </w:r>
      <w:r w:rsidR="00D90853" w:rsidRPr="00E2647A">
        <w:rPr>
          <w:rFonts w:eastAsia="Arial"/>
          <w:szCs w:val="22"/>
          <w:bdr w:val="nil"/>
          <w:lang w:val="es-ES"/>
        </w:rPr>
        <w:t>funcionario</w:t>
      </w:r>
      <w:r w:rsidRPr="00E2647A">
        <w:rPr>
          <w:rFonts w:eastAsia="Arial"/>
          <w:szCs w:val="22"/>
          <w:bdr w:val="nil"/>
          <w:lang w:val="es-ES"/>
        </w:rPr>
        <w:t xml:space="preserve"> de la Sección de Español de la División Lingüística, está por jubilarse, por lo cual, es menester adoptar las medidas necesarias para garantizar la </w:t>
      </w:r>
      <w:r w:rsidR="00D90853" w:rsidRPr="00E2647A">
        <w:rPr>
          <w:rFonts w:eastAsia="Arial"/>
          <w:szCs w:val="22"/>
          <w:bdr w:val="nil"/>
          <w:lang w:val="es-ES"/>
        </w:rPr>
        <w:t>transmisión</w:t>
      </w:r>
      <w:r w:rsidRPr="00E2647A">
        <w:rPr>
          <w:rFonts w:eastAsia="Arial"/>
          <w:szCs w:val="22"/>
          <w:bdr w:val="nil"/>
          <w:lang w:val="es-ES"/>
        </w:rPr>
        <w:t xml:space="preserve"> de los conocimientos y el traspaso del proyecto.</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En el examen de los Servicios de conferencias y lingüísticos realizado por la </w:t>
      </w:r>
      <w:r w:rsidRPr="00E2647A">
        <w:rPr>
          <w:rFonts w:eastAsia="Arial"/>
          <w:szCs w:val="22"/>
          <w:u w:color="FF0000"/>
          <w:bdr w:val="nil"/>
          <w:lang w:val="es-ES"/>
        </w:rPr>
        <w:t>DSI</w:t>
      </w:r>
      <w:r w:rsidRPr="00E2647A">
        <w:rPr>
          <w:rStyle w:val="FootnoteReference"/>
          <w:u w:color="FF0000"/>
          <w:lang w:val="es-ES"/>
        </w:rPr>
        <w:footnoteReference w:id="5"/>
      </w:r>
      <w:r w:rsidRPr="00E2647A">
        <w:rPr>
          <w:rFonts w:eastAsia="Arial"/>
          <w:szCs w:val="22"/>
          <w:bdr w:val="nil"/>
          <w:lang w:val="es-ES"/>
        </w:rPr>
        <w:t xml:space="preserve"> en 2013 se hizo énfasis en la necesidad de desarrollar un sistema de gestión de conferencias que incluya un módulo para gestionar los servicios de interpretación. Esta necesidad permanece vigente y, a la fecha, esta recomendación sigue </w:t>
      </w:r>
      <w:r w:rsidR="008C25BC" w:rsidRPr="00E2647A">
        <w:rPr>
          <w:rFonts w:eastAsia="Arial"/>
          <w:szCs w:val="22"/>
          <w:bdr w:val="nil"/>
          <w:lang w:val="es-ES"/>
        </w:rPr>
        <w:t>pendiente</w:t>
      </w:r>
      <w:r w:rsidRPr="00E2647A">
        <w:rPr>
          <w:rFonts w:eastAsia="Arial"/>
          <w:szCs w:val="22"/>
          <w:bdr w:val="nil"/>
          <w:lang w:val="es-ES"/>
        </w:rPr>
        <w:t xml:space="preserve">. Por último, habida cuenta de los picos de volumen de trabajo en la Sección de Interpretación y de su actual dotación, sería conveniente analizar periódicamente las actividades de interpretación con miras a determinar y presupuestar las necesidades variables en materia de recursos humanos y así dar un mejor apoyo a la Sección y mantener la calidad de las interpretaciones de la </w:t>
      </w:r>
      <w:r w:rsidRPr="00E2647A">
        <w:rPr>
          <w:rFonts w:eastAsia="Arial"/>
          <w:szCs w:val="22"/>
          <w:u w:color="FF0000"/>
          <w:bdr w:val="nil"/>
          <w:lang w:val="es-ES"/>
        </w:rPr>
        <w:t>OMPI</w:t>
      </w:r>
      <w:r w:rsidRPr="00E2647A">
        <w:rPr>
          <w:rFonts w:eastAsia="Arial"/>
          <w:szCs w:val="22"/>
          <w:bdr w:val="nil"/>
          <w:lang w:val="es-ES"/>
        </w:rPr>
        <w:t>.</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formuló nueve recomendaciones, tres de las cuales se prevé aplicar antes de finales de diciembre de 2018, mientras que las seis restantes se aplicarán antes de diciembre de 2019.</w:t>
      </w:r>
    </w:p>
    <w:p w:rsidR="00D23C8A" w:rsidRPr="00DD6BD7" w:rsidRDefault="001E5D8A" w:rsidP="00D23C8A">
      <w:pPr>
        <w:pStyle w:val="Heading2"/>
        <w:rPr>
          <w:lang w:val="es-ES"/>
        </w:rPr>
      </w:pPr>
      <w:r w:rsidRPr="00DD6BD7">
        <w:rPr>
          <w:rFonts w:eastAsia="Arial"/>
          <w:szCs w:val="22"/>
          <w:bdr w:val="nil"/>
          <w:lang w:val="es-ES"/>
        </w:rPr>
        <w:t>Auditoría de la gestión de VIAJES</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 xml:space="preserve">La auditoría concluyó que el 77% de las solicitudes de eventos del bienio se presentaron en forma tardía, mientras que las autorizaciones de viajes </w:t>
      </w:r>
      <w:r w:rsidR="00815672" w:rsidRPr="00E2647A">
        <w:rPr>
          <w:rFonts w:eastAsia="Arial"/>
          <w:szCs w:val="22"/>
          <w:bdr w:val="nil"/>
          <w:lang w:val="es-ES"/>
        </w:rPr>
        <w:t>presentadas en forma tardía fueron</w:t>
      </w:r>
      <w:r w:rsidRPr="00E2647A">
        <w:rPr>
          <w:rFonts w:eastAsia="Arial"/>
          <w:szCs w:val="22"/>
          <w:bdr w:val="nil"/>
          <w:lang w:val="es-ES"/>
        </w:rPr>
        <w:t xml:space="preserve">, en promedio, el 33,5%. Además, </w:t>
      </w:r>
      <w:r w:rsidR="00815672" w:rsidRPr="00E2647A">
        <w:rPr>
          <w:rFonts w:eastAsia="Arial"/>
          <w:szCs w:val="22"/>
          <w:bdr w:val="nil"/>
          <w:lang w:val="es-ES"/>
        </w:rPr>
        <w:t xml:space="preserve">el </w:t>
      </w:r>
      <w:r w:rsidRPr="00E2647A">
        <w:rPr>
          <w:rFonts w:eastAsia="Arial"/>
          <w:szCs w:val="22"/>
          <w:bdr w:val="nil"/>
          <w:lang w:val="es-ES"/>
        </w:rPr>
        <w:t>88% (1.666/1.898) de las autorizaciones de viajes tardía</w:t>
      </w:r>
      <w:r w:rsidR="00815672" w:rsidRPr="00E2647A">
        <w:rPr>
          <w:rFonts w:eastAsia="Arial"/>
          <w:szCs w:val="22"/>
          <w:bdr w:val="nil"/>
          <w:lang w:val="es-ES"/>
        </w:rPr>
        <w:t>s</w:t>
      </w:r>
      <w:r w:rsidRPr="00E2647A">
        <w:rPr>
          <w:rFonts w:eastAsia="Arial"/>
          <w:szCs w:val="22"/>
          <w:bdr w:val="nil"/>
          <w:lang w:val="es-ES"/>
        </w:rPr>
        <w:t xml:space="preserve"> se atribuyeron a 10 programas, mientras que el 77% (1.286/1.666) de las autorizaciones de viajes </w:t>
      </w:r>
      <w:r w:rsidR="00815672" w:rsidRPr="00E2647A">
        <w:rPr>
          <w:rFonts w:eastAsia="Arial"/>
          <w:szCs w:val="22"/>
          <w:bdr w:val="nil"/>
          <w:lang w:val="es-ES"/>
        </w:rPr>
        <w:t xml:space="preserve">tardías </w:t>
      </w:r>
      <w:r w:rsidRPr="00E2647A">
        <w:rPr>
          <w:rFonts w:eastAsia="Arial"/>
          <w:szCs w:val="22"/>
          <w:bdr w:val="nil"/>
          <w:lang w:val="es-ES"/>
        </w:rPr>
        <w:t xml:space="preserve">de estos 10 programas </w:t>
      </w:r>
      <w:r w:rsidR="006E2501" w:rsidRPr="00E2647A">
        <w:rPr>
          <w:rFonts w:eastAsia="Arial"/>
          <w:szCs w:val="22"/>
          <w:bdr w:val="nil"/>
          <w:lang w:val="es-ES"/>
        </w:rPr>
        <w:t>corresponden a</w:t>
      </w:r>
      <w:r w:rsidRPr="00E2647A">
        <w:rPr>
          <w:rFonts w:eastAsia="Arial"/>
          <w:szCs w:val="22"/>
          <w:bdr w:val="nil"/>
          <w:lang w:val="es-ES"/>
        </w:rPr>
        <w:t xml:space="preserve"> </w:t>
      </w:r>
      <w:r w:rsidR="006E2501" w:rsidRPr="00E2647A">
        <w:rPr>
          <w:rFonts w:eastAsia="Arial"/>
          <w:szCs w:val="22"/>
          <w:bdr w:val="nil"/>
          <w:lang w:val="es-ES"/>
        </w:rPr>
        <w:t>viajeros</w:t>
      </w:r>
      <w:r w:rsidRPr="00E2647A">
        <w:rPr>
          <w:rFonts w:eastAsia="Arial"/>
          <w:szCs w:val="22"/>
          <w:bdr w:val="nil"/>
          <w:lang w:val="es-ES"/>
        </w:rPr>
        <w:t xml:space="preserve"> no miembros del personal o </w:t>
      </w:r>
      <w:r w:rsidR="006E2501" w:rsidRPr="00E2647A">
        <w:rPr>
          <w:rFonts w:eastAsia="Arial"/>
          <w:szCs w:val="22"/>
          <w:bdr w:val="nil"/>
          <w:lang w:val="es-ES"/>
        </w:rPr>
        <w:t>subcontratados</w:t>
      </w:r>
      <w:r w:rsidRPr="00E2647A">
        <w:rPr>
          <w:rFonts w:eastAsia="Arial"/>
          <w:szCs w:val="22"/>
          <w:bdr w:val="nil"/>
          <w:lang w:val="es-ES"/>
        </w:rPr>
        <w:t>, en comparación con el 23% (380/1.286) que corresponde a los viajes de miembros del personal.</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 xml:space="preserve">Se mencionaron estos retrasos como factor que contribuyó a que la Organización comprara pasajes más caros. Por este motivo, la </w:t>
      </w:r>
      <w:r w:rsidRPr="00E2647A">
        <w:rPr>
          <w:rFonts w:eastAsia="Arial"/>
          <w:szCs w:val="22"/>
          <w:u w:color="FF0000"/>
          <w:bdr w:val="nil"/>
          <w:lang w:val="es-ES"/>
        </w:rPr>
        <w:t>OMPI</w:t>
      </w:r>
      <w:r w:rsidRPr="00E2647A">
        <w:rPr>
          <w:rFonts w:eastAsia="Arial"/>
          <w:szCs w:val="22"/>
          <w:bdr w:val="nil"/>
          <w:lang w:val="es-ES"/>
        </w:rPr>
        <w:t xml:space="preserve"> debería hacer un mayor esfuerzo por formular políticas y procedimientos que permita</w:t>
      </w:r>
      <w:r w:rsidR="00815672" w:rsidRPr="00E2647A">
        <w:rPr>
          <w:rFonts w:eastAsia="Arial"/>
          <w:szCs w:val="22"/>
          <w:bdr w:val="nil"/>
          <w:lang w:val="es-ES"/>
        </w:rPr>
        <w:t>n</w:t>
      </w:r>
      <w:r w:rsidRPr="00E2647A">
        <w:rPr>
          <w:rFonts w:eastAsia="Arial"/>
          <w:szCs w:val="22"/>
          <w:bdr w:val="nil"/>
          <w:lang w:val="es-ES"/>
        </w:rPr>
        <w:t xml:space="preserve"> a los </w:t>
      </w:r>
      <w:r w:rsidR="006E2501" w:rsidRPr="00E2647A">
        <w:rPr>
          <w:rFonts w:eastAsia="Arial"/>
          <w:szCs w:val="22"/>
          <w:bdr w:val="nil"/>
          <w:lang w:val="es-ES"/>
        </w:rPr>
        <w:t>directores</w:t>
      </w:r>
      <w:r w:rsidRPr="00E2647A">
        <w:rPr>
          <w:rFonts w:eastAsia="Arial"/>
          <w:szCs w:val="22"/>
          <w:bdr w:val="nil"/>
          <w:lang w:val="es-ES"/>
        </w:rPr>
        <w:t xml:space="preserve"> de </w:t>
      </w:r>
      <w:r w:rsidR="006E2501" w:rsidRPr="00E2647A">
        <w:rPr>
          <w:rFonts w:eastAsia="Arial"/>
          <w:szCs w:val="22"/>
          <w:bdr w:val="nil"/>
          <w:lang w:val="es-ES"/>
        </w:rPr>
        <w:t>los programas</w:t>
      </w:r>
      <w:r w:rsidRPr="00E2647A">
        <w:rPr>
          <w:rFonts w:eastAsia="Arial"/>
          <w:szCs w:val="22"/>
          <w:bdr w:val="nil"/>
          <w:lang w:val="es-ES"/>
        </w:rPr>
        <w:t xml:space="preserve"> contar en tiempo y forma con la documentación y la información de viaje de las personas no miembros del personal que viajarán, con el fin de realizar en forma oportuna los arreglos para estos </w:t>
      </w:r>
      <w:r w:rsidR="006E2501" w:rsidRPr="00E2647A">
        <w:rPr>
          <w:rFonts w:eastAsia="Arial"/>
          <w:szCs w:val="22"/>
          <w:bdr w:val="nil"/>
          <w:lang w:val="es-ES"/>
        </w:rPr>
        <w:t>viajeros</w:t>
      </w:r>
      <w:r w:rsidRPr="00E2647A">
        <w:rPr>
          <w:rFonts w:eastAsia="Arial"/>
          <w:szCs w:val="22"/>
          <w:bdr w:val="nil"/>
          <w:lang w:val="es-ES"/>
        </w:rPr>
        <w:t>.</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 xml:space="preserve">La </w:t>
      </w:r>
      <w:r w:rsidRPr="00E2647A">
        <w:rPr>
          <w:rFonts w:eastAsia="Arial"/>
          <w:szCs w:val="22"/>
          <w:u w:color="FF0000"/>
          <w:bdr w:val="nil"/>
          <w:lang w:val="es-ES"/>
        </w:rPr>
        <w:t>OMPI</w:t>
      </w:r>
      <w:r w:rsidRPr="00E2647A">
        <w:rPr>
          <w:rFonts w:eastAsia="Arial"/>
          <w:szCs w:val="22"/>
          <w:bdr w:val="nil"/>
          <w:lang w:val="es-ES"/>
        </w:rPr>
        <w:t xml:space="preserve"> gestionará los viajes con eficiencia y eficacia, y velará por el cumplimiento de las políticas de viaje mediante: i) la adopción de buenas prácticas en el marco del régimen </w:t>
      </w:r>
      <w:r w:rsidRPr="00E2647A">
        <w:rPr>
          <w:rFonts w:eastAsia="Arial"/>
          <w:szCs w:val="22"/>
          <w:bdr w:val="nil"/>
          <w:lang w:val="es-ES"/>
        </w:rPr>
        <w:lastRenderedPageBreak/>
        <w:t xml:space="preserve">común de las Naciones Unidas, que establece un plazo para que los nuevos funcionarios contratados realicen los cursos de capacitación en materia de seguridad en los viajes; </w:t>
      </w:r>
      <w:r w:rsidRPr="00E2647A">
        <w:rPr>
          <w:rFonts w:eastAsia="Arial"/>
          <w:szCs w:val="22"/>
          <w:u w:color="FF0000"/>
          <w:bdr w:val="nil"/>
          <w:lang w:val="es-ES"/>
        </w:rPr>
        <w:t>ii</w:t>
      </w:r>
      <w:r w:rsidRPr="00E2647A">
        <w:rPr>
          <w:rFonts w:eastAsia="Arial"/>
          <w:szCs w:val="22"/>
          <w:bdr w:val="nil"/>
          <w:lang w:val="es-ES"/>
        </w:rPr>
        <w:t xml:space="preserve">) la evaluación de la cantidad de funcionarios que han realizado el curso obligatorio </w:t>
      </w:r>
      <w:r w:rsidRPr="00E2647A">
        <w:rPr>
          <w:rFonts w:eastAsia="Arial"/>
          <w:i/>
          <w:szCs w:val="22"/>
          <w:u w:color="FF0000"/>
          <w:bdr w:val="nil"/>
          <w:lang w:val="es-ES"/>
        </w:rPr>
        <w:t>Basic</w:t>
      </w:r>
      <w:r w:rsidRPr="00E2647A">
        <w:rPr>
          <w:rFonts w:eastAsia="Arial"/>
          <w:i/>
          <w:szCs w:val="22"/>
          <w:bdr w:val="nil"/>
          <w:lang w:val="es-ES"/>
        </w:rPr>
        <w:t xml:space="preserve"> </w:t>
      </w:r>
      <w:r w:rsidRPr="00E2647A">
        <w:rPr>
          <w:rFonts w:eastAsia="Arial"/>
          <w:i/>
          <w:szCs w:val="22"/>
          <w:u w:color="FF0000"/>
          <w:bdr w:val="nil"/>
          <w:lang w:val="es-ES"/>
        </w:rPr>
        <w:t>Security</w:t>
      </w:r>
      <w:r w:rsidRPr="00E2647A">
        <w:rPr>
          <w:rFonts w:eastAsia="Arial"/>
          <w:i/>
          <w:szCs w:val="22"/>
          <w:bdr w:val="nil"/>
          <w:lang w:val="es-ES"/>
        </w:rPr>
        <w:t xml:space="preserve"> </w:t>
      </w:r>
      <w:r w:rsidRPr="00E2647A">
        <w:rPr>
          <w:rFonts w:eastAsia="Arial"/>
          <w:i/>
          <w:szCs w:val="22"/>
          <w:u w:color="FF0000"/>
          <w:bdr w:val="nil"/>
          <w:lang w:val="es-ES"/>
        </w:rPr>
        <w:t>in</w:t>
      </w:r>
      <w:r w:rsidRPr="00E2647A">
        <w:rPr>
          <w:rFonts w:eastAsia="Arial"/>
          <w:i/>
          <w:szCs w:val="22"/>
          <w:bdr w:val="nil"/>
          <w:lang w:val="es-ES"/>
        </w:rPr>
        <w:t xml:space="preserve"> </w:t>
      </w:r>
      <w:r w:rsidRPr="00E2647A">
        <w:rPr>
          <w:rFonts w:eastAsia="Arial"/>
          <w:i/>
          <w:szCs w:val="22"/>
          <w:u w:color="FF0000"/>
          <w:bdr w:val="nil"/>
          <w:lang w:val="es-ES"/>
        </w:rPr>
        <w:t>the</w:t>
      </w:r>
      <w:r w:rsidRPr="00E2647A">
        <w:rPr>
          <w:rFonts w:eastAsia="Arial"/>
          <w:i/>
          <w:szCs w:val="22"/>
          <w:bdr w:val="nil"/>
          <w:lang w:val="es-ES"/>
        </w:rPr>
        <w:t xml:space="preserve"> </w:t>
      </w:r>
      <w:r w:rsidRPr="00E2647A">
        <w:rPr>
          <w:rFonts w:eastAsia="Arial"/>
          <w:i/>
          <w:szCs w:val="22"/>
          <w:u w:color="FF0000"/>
          <w:bdr w:val="nil"/>
          <w:lang w:val="es-ES"/>
        </w:rPr>
        <w:t>Field</w:t>
      </w:r>
      <w:r w:rsidRPr="00E2647A">
        <w:rPr>
          <w:rFonts w:eastAsia="Arial"/>
          <w:szCs w:val="22"/>
          <w:bdr w:val="nil"/>
          <w:lang w:val="es-ES"/>
        </w:rPr>
        <w:t xml:space="preserve"> (Seguridad Básica sobre el Terreno) y el seguimiento de los avances de todos los funcionarios que recibieron la capacitación; y </w:t>
      </w:r>
      <w:r w:rsidRPr="00E2647A">
        <w:rPr>
          <w:rFonts w:eastAsia="Arial"/>
          <w:szCs w:val="22"/>
          <w:u w:color="FF0000"/>
          <w:bdr w:val="nil"/>
          <w:lang w:val="es-ES"/>
        </w:rPr>
        <w:t>iii</w:t>
      </w:r>
      <w:r w:rsidRPr="00E2647A">
        <w:rPr>
          <w:rFonts w:eastAsia="Arial"/>
          <w:szCs w:val="22"/>
          <w:bdr w:val="nil"/>
          <w:lang w:val="es-ES"/>
        </w:rPr>
        <w:t xml:space="preserve">) el aseguramiento de que todos los funcionarios que realicen viajes oficiales hayan recibido la </w:t>
      </w:r>
      <w:r w:rsidR="006E2501" w:rsidRPr="00E2647A">
        <w:rPr>
          <w:rFonts w:eastAsia="Arial"/>
          <w:szCs w:val="22"/>
          <w:bdr w:val="nil"/>
          <w:lang w:val="es-ES"/>
        </w:rPr>
        <w:t>correspondiente capacitación obligatoria sobre seguridad</w:t>
      </w:r>
      <w:r w:rsidRPr="00E2647A">
        <w:rPr>
          <w:rFonts w:eastAsia="Arial"/>
          <w:szCs w:val="22"/>
          <w:bdr w:val="nil"/>
          <w:lang w:val="es-ES"/>
        </w:rPr>
        <w:t>.</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 xml:space="preserve">Por último, se lograría una mayor eficiencia en el proceso de gestión de viajes si el sistema de gestión de viajes que se está desarrollando para sustituir </w:t>
      </w:r>
      <w:r w:rsidR="00EA5727" w:rsidRPr="00E2647A">
        <w:rPr>
          <w:rFonts w:eastAsia="Arial"/>
          <w:szCs w:val="22"/>
          <w:bdr w:val="nil"/>
          <w:lang w:val="es-ES"/>
        </w:rPr>
        <w:t>a</w:t>
      </w:r>
      <w:r w:rsidRPr="00E2647A">
        <w:rPr>
          <w:rFonts w:eastAsia="Arial"/>
          <w:szCs w:val="22"/>
          <w:bdr w:val="nil"/>
          <w:lang w:val="es-ES"/>
        </w:rPr>
        <w:t xml:space="preserve"> sistema </w:t>
      </w:r>
      <w:r w:rsidR="001E2046" w:rsidRPr="00E2647A">
        <w:rPr>
          <w:rFonts w:eastAsia="Arial"/>
          <w:szCs w:val="22"/>
          <w:u w:color="FF0000"/>
          <w:bdr w:val="nil"/>
          <w:lang w:val="es-ES"/>
        </w:rPr>
        <w:t>E-Work</w:t>
      </w:r>
      <w:r w:rsidRPr="00E2647A">
        <w:rPr>
          <w:rFonts w:eastAsia="Arial"/>
          <w:szCs w:val="22"/>
          <w:bdr w:val="nil"/>
          <w:lang w:val="es-ES"/>
        </w:rPr>
        <w:t xml:space="preserve"> incluyera procedimientos de autorización de seguridad para viajar, en simultáneo con el proceso de compra de pasajes y que estuviera vinculado a la base de datos para gestionar los certificados de capacitación en materia de seguridad en los viajes.</w:t>
      </w:r>
    </w:p>
    <w:p w:rsidR="00D23C8A" w:rsidRPr="00E2647A" w:rsidRDefault="001E5D8A" w:rsidP="00D23C8A">
      <w:pPr>
        <w:pStyle w:val="ONUME"/>
        <w:numPr>
          <w:ilvl w:val="0"/>
          <w:numId w:val="3"/>
        </w:numPr>
        <w:rPr>
          <w:szCs w:val="22"/>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formuló cinco recomendaciones, dos de las cuales se aplicarán antes de finales de 2018, mientras que las tres restantes se aplicarán en el transcurso del 2019.</w:t>
      </w:r>
    </w:p>
    <w:bookmarkEnd w:id="35"/>
    <w:p w:rsidR="00D23C8A" w:rsidRPr="00E2647A" w:rsidRDefault="001E5D8A" w:rsidP="00D23C8A">
      <w:pPr>
        <w:pStyle w:val="Heading2"/>
        <w:rPr>
          <w:lang w:val="es-ES"/>
        </w:rPr>
      </w:pPr>
      <w:r w:rsidRPr="00E2647A">
        <w:rPr>
          <w:rFonts w:eastAsia="Arial"/>
          <w:szCs w:val="22"/>
          <w:bdr w:val="nil"/>
          <w:lang w:val="es-ES"/>
        </w:rPr>
        <w:t xml:space="preserve">Otros: Informe de validación por la </w:t>
      </w:r>
      <w:r w:rsidRPr="00E2647A">
        <w:rPr>
          <w:rFonts w:eastAsia="Arial"/>
          <w:szCs w:val="22"/>
          <w:u w:color="FF0000"/>
          <w:bdr w:val="nil"/>
          <w:lang w:val="es-ES"/>
        </w:rPr>
        <w:t>DSI</w:t>
      </w:r>
      <w:r w:rsidRPr="00E2647A">
        <w:rPr>
          <w:rFonts w:eastAsia="Arial"/>
          <w:szCs w:val="22"/>
          <w:bdr w:val="nil"/>
          <w:lang w:val="es-ES"/>
        </w:rPr>
        <w:t xml:space="preserve"> del Informe sobre el rendimiento de la </w:t>
      </w:r>
      <w:r w:rsidRPr="00E2647A">
        <w:rPr>
          <w:rFonts w:eastAsia="Arial"/>
          <w:szCs w:val="22"/>
          <w:u w:color="FF0000"/>
          <w:bdr w:val="nil"/>
          <w:lang w:val="es-ES"/>
        </w:rPr>
        <w:t>OMPI</w:t>
      </w:r>
      <w:r w:rsidRPr="00E2647A">
        <w:rPr>
          <w:rFonts w:eastAsia="Arial"/>
          <w:szCs w:val="22"/>
          <w:bdr w:val="nil"/>
          <w:lang w:val="es-ES"/>
        </w:rPr>
        <w:t xml:space="preserve"> </w:t>
      </w:r>
      <w:r w:rsidR="00DD6BD7">
        <w:rPr>
          <w:rFonts w:eastAsia="Arial"/>
          <w:szCs w:val="22"/>
          <w:bdr w:val="nil"/>
          <w:lang w:val="es-ES"/>
        </w:rPr>
        <w:t xml:space="preserve">(WPR) </w:t>
      </w:r>
      <w:r w:rsidRPr="00E2647A">
        <w:rPr>
          <w:rFonts w:eastAsia="Arial"/>
          <w:szCs w:val="22"/>
          <w:bdr w:val="nil"/>
          <w:lang w:val="es-ES"/>
        </w:rPr>
        <w:t>en el bienio 2016/17</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finalizó la validación del informe </w:t>
      </w:r>
      <w:r w:rsidRPr="00E2647A">
        <w:rPr>
          <w:rFonts w:eastAsia="Arial"/>
          <w:szCs w:val="22"/>
          <w:u w:color="FF0000"/>
          <w:bdr w:val="nil"/>
          <w:lang w:val="es-ES"/>
        </w:rPr>
        <w:t>WPR</w:t>
      </w:r>
      <w:r w:rsidRPr="00E2647A">
        <w:rPr>
          <w:rFonts w:eastAsia="Arial"/>
          <w:szCs w:val="22"/>
          <w:bdr w:val="nil"/>
          <w:lang w:val="es-ES"/>
        </w:rPr>
        <w:t xml:space="preserve"> 2016/17 entre abril y mayo de 2018.</w:t>
      </w:r>
    </w:p>
    <w:p w:rsidR="00D23C8A" w:rsidRPr="00DD6BD7" w:rsidRDefault="001E5D8A" w:rsidP="00D23C8A">
      <w:pPr>
        <w:pStyle w:val="ONUME"/>
        <w:numPr>
          <w:ilvl w:val="0"/>
          <w:numId w:val="3"/>
        </w:numPr>
        <w:rPr>
          <w:lang w:val="es-ES"/>
        </w:rPr>
      </w:pPr>
      <w:r w:rsidRPr="00DD6BD7">
        <w:rPr>
          <w:rFonts w:eastAsia="Arial"/>
          <w:szCs w:val="22"/>
          <w:bdr w:val="nil"/>
          <w:lang w:val="es-ES"/>
        </w:rPr>
        <w:t>Los objetivos de esta validación fueron los siguientes:</w:t>
      </w:r>
    </w:p>
    <w:p w:rsidR="00D23C8A" w:rsidRPr="00DD6BD7" w:rsidRDefault="001E5D8A" w:rsidP="00D23C8A">
      <w:pPr>
        <w:pStyle w:val="ONUME"/>
        <w:numPr>
          <w:ilvl w:val="1"/>
          <w:numId w:val="3"/>
        </w:numPr>
        <w:rPr>
          <w:szCs w:val="22"/>
          <w:lang w:val="es-ES"/>
        </w:rPr>
      </w:pPr>
      <w:r w:rsidRPr="00DD6BD7">
        <w:rPr>
          <w:rFonts w:eastAsia="Arial"/>
          <w:szCs w:val="22"/>
          <w:u w:color="008000"/>
          <w:bdr w:val="nil"/>
          <w:lang w:val="es-ES"/>
        </w:rPr>
        <w:t>verificar</w:t>
      </w:r>
      <w:r w:rsidRPr="00DD6BD7">
        <w:rPr>
          <w:rFonts w:eastAsia="Arial"/>
          <w:szCs w:val="22"/>
          <w:bdr w:val="nil"/>
          <w:lang w:val="es-ES"/>
        </w:rPr>
        <w:t xml:space="preserve"> de forma independiente la fiabilidad y autenticidad de la información contenida en el informe </w:t>
      </w:r>
      <w:r w:rsidRPr="00DD6BD7">
        <w:rPr>
          <w:rFonts w:eastAsia="Arial"/>
          <w:szCs w:val="22"/>
          <w:u w:color="FF0000"/>
          <w:bdr w:val="nil"/>
          <w:lang w:val="es-ES"/>
        </w:rPr>
        <w:t>WPR</w:t>
      </w:r>
      <w:r w:rsidRPr="00DD6BD7">
        <w:rPr>
          <w:rFonts w:eastAsia="Arial"/>
          <w:szCs w:val="22"/>
          <w:bdr w:val="nil"/>
          <w:lang w:val="es-ES"/>
        </w:rPr>
        <w:t xml:space="preserve"> 2016/17; y</w:t>
      </w:r>
    </w:p>
    <w:p w:rsidR="00D23C8A" w:rsidRPr="00DD6BD7" w:rsidRDefault="00CC5797" w:rsidP="00D23C8A">
      <w:pPr>
        <w:pStyle w:val="ONUME"/>
        <w:numPr>
          <w:ilvl w:val="1"/>
          <w:numId w:val="3"/>
        </w:numPr>
        <w:rPr>
          <w:szCs w:val="22"/>
          <w:lang w:val="es-ES"/>
        </w:rPr>
      </w:pPr>
      <w:r w:rsidRPr="00DD6BD7">
        <w:rPr>
          <w:rFonts w:eastAsia="Arial"/>
          <w:szCs w:val="22"/>
          <w:u w:color="008000"/>
          <w:bdr w:val="nil"/>
          <w:lang w:val="es-ES"/>
        </w:rPr>
        <w:t>hacer</w:t>
      </w:r>
      <w:r w:rsidRPr="00DD6BD7">
        <w:rPr>
          <w:rFonts w:eastAsia="Arial"/>
          <w:szCs w:val="22"/>
          <w:bdr w:val="nil"/>
          <w:lang w:val="es-ES"/>
        </w:rPr>
        <w:t xml:space="preserve"> un seguimiento del estado </w:t>
      </w:r>
      <w:r w:rsidR="001E5D8A" w:rsidRPr="00DD6BD7">
        <w:rPr>
          <w:rFonts w:eastAsia="Arial"/>
          <w:szCs w:val="22"/>
          <w:bdr w:val="nil"/>
          <w:lang w:val="es-ES"/>
        </w:rPr>
        <w:t>de aplicación de las recomendaciones formuladas en el anterior informe de validación del informe mediante pruebas documentales y confirmatorias.</w:t>
      </w:r>
    </w:p>
    <w:p w:rsidR="00D23C8A" w:rsidRPr="00E2647A" w:rsidRDefault="001E5D8A" w:rsidP="00D23C8A">
      <w:pPr>
        <w:pStyle w:val="ONUME"/>
        <w:numPr>
          <w:ilvl w:val="0"/>
          <w:numId w:val="3"/>
        </w:numPr>
        <w:rPr>
          <w:lang w:val="es-ES"/>
        </w:rPr>
      </w:pPr>
      <w:r w:rsidRPr="00DD6BD7">
        <w:rPr>
          <w:rFonts w:eastAsia="Arial"/>
          <w:szCs w:val="22"/>
          <w:bdr w:val="nil"/>
          <w:lang w:val="es-ES"/>
        </w:rPr>
        <w:t xml:space="preserve">El alcance de la iniciativa incluyó la evaluación de los datos sobre el rendimiento de un indicador de rendimiento seleccionado de forma aleatoria a partir de cada programa, según consta en el informe </w:t>
      </w:r>
      <w:r w:rsidRPr="00DD6BD7">
        <w:rPr>
          <w:rFonts w:eastAsia="Arial"/>
          <w:szCs w:val="22"/>
          <w:u w:color="FF0000"/>
          <w:bdr w:val="nil"/>
          <w:lang w:val="es-ES"/>
        </w:rPr>
        <w:t>WPR</w:t>
      </w:r>
      <w:r w:rsidRPr="00DD6BD7">
        <w:rPr>
          <w:rFonts w:eastAsia="Arial"/>
          <w:szCs w:val="22"/>
          <w:bdr w:val="nil"/>
          <w:lang w:val="es-ES"/>
        </w:rPr>
        <w:t xml:space="preserve"> de 2016/2017. La validación incluyó asimismo conclusiones generales sobre los avances realizados para mejorar el marco de gestión por resultados durante el bienio analizado. Esta fue la quinta validación independiente del </w:t>
      </w:r>
      <w:r w:rsidR="00DD6BD7">
        <w:rPr>
          <w:rFonts w:eastAsia="Arial"/>
          <w:szCs w:val="22"/>
          <w:bdr w:val="nil"/>
          <w:lang w:val="es-ES"/>
        </w:rPr>
        <w:t>WPR</w:t>
      </w:r>
      <w:r w:rsidR="00CC5797" w:rsidRPr="00DD6BD7">
        <w:rPr>
          <w:rFonts w:eastAsia="Arial"/>
          <w:szCs w:val="22"/>
          <w:bdr w:val="nil"/>
          <w:lang w:val="es-ES"/>
        </w:rPr>
        <w:t>,</w:t>
      </w:r>
      <w:r w:rsidRPr="00DD6BD7">
        <w:rPr>
          <w:rFonts w:eastAsia="Arial"/>
          <w:szCs w:val="22"/>
          <w:bdr w:val="nil"/>
          <w:lang w:val="es-ES"/>
        </w:rPr>
        <w:t xml:space="preserve"> llevada </w:t>
      </w:r>
      <w:r w:rsidRPr="00E2647A">
        <w:rPr>
          <w:rFonts w:eastAsia="Arial"/>
          <w:szCs w:val="22"/>
          <w:bdr w:val="nil"/>
          <w:lang w:val="es-ES"/>
        </w:rPr>
        <w:t xml:space="preserve">a cabo por la </w:t>
      </w:r>
      <w:r w:rsidRPr="00E2647A">
        <w:rPr>
          <w:rFonts w:eastAsia="Arial"/>
          <w:szCs w:val="22"/>
          <w:u w:color="FF0000"/>
          <w:bdr w:val="nil"/>
          <w:lang w:val="es-ES"/>
        </w:rPr>
        <w:t>DSI</w:t>
      </w:r>
      <w:r w:rsidRPr="00E2647A">
        <w:rPr>
          <w:rFonts w:eastAsia="Arial"/>
          <w:szCs w:val="22"/>
          <w:bdr w:val="nil"/>
          <w:lang w:val="es-ES"/>
        </w:rPr>
        <w:t>.</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En </w:t>
      </w:r>
      <w:r w:rsidR="00CC5797" w:rsidRPr="00E2647A">
        <w:rPr>
          <w:rFonts w:eastAsia="Arial"/>
          <w:szCs w:val="22"/>
          <w:bdr w:val="nil"/>
          <w:lang w:val="es-ES"/>
        </w:rPr>
        <w:t>términos</w:t>
      </w:r>
      <w:r w:rsidRPr="00E2647A">
        <w:rPr>
          <w:rFonts w:eastAsia="Arial"/>
          <w:szCs w:val="22"/>
          <w:bdr w:val="nil"/>
          <w:lang w:val="es-ES"/>
        </w:rPr>
        <w:t xml:space="preserve"> generales, este ejercicio de validación reafirmó las mejoras continuas del modelo de gestión por resultados de la </w:t>
      </w:r>
      <w:r w:rsidRPr="00E2647A">
        <w:rPr>
          <w:rFonts w:eastAsia="Arial"/>
          <w:szCs w:val="22"/>
          <w:u w:color="FF0000"/>
          <w:bdr w:val="nil"/>
          <w:lang w:val="es-ES"/>
        </w:rPr>
        <w:t>OMPI</w:t>
      </w:r>
      <w:r w:rsidRPr="00E2647A">
        <w:rPr>
          <w:rFonts w:eastAsia="Arial"/>
          <w:szCs w:val="22"/>
          <w:bdr w:val="nil"/>
          <w:lang w:val="es-ES"/>
        </w:rPr>
        <w:t xml:space="preserve">, con más datos de rendimiento que </w:t>
      </w:r>
      <w:r w:rsidR="00721C34" w:rsidRPr="00E2647A">
        <w:rPr>
          <w:rFonts w:eastAsia="Arial"/>
          <w:szCs w:val="22"/>
          <w:bdr w:val="nil"/>
          <w:lang w:val="es-ES"/>
        </w:rPr>
        <w:t>cumplen</w:t>
      </w:r>
      <w:r w:rsidRPr="00E2647A">
        <w:rPr>
          <w:rFonts w:eastAsia="Arial"/>
          <w:szCs w:val="22"/>
          <w:bdr w:val="nil"/>
          <w:lang w:val="es-ES"/>
        </w:rPr>
        <w:t xml:space="preserve"> los criterios de evaluación, en comparac</w:t>
      </w:r>
      <w:r w:rsidR="00721C34" w:rsidRPr="00E2647A">
        <w:rPr>
          <w:rFonts w:eastAsia="Arial"/>
          <w:szCs w:val="22"/>
          <w:bdr w:val="nil"/>
          <w:lang w:val="es-ES"/>
        </w:rPr>
        <w:t xml:space="preserve">ión con el ejercicio anterior. </w:t>
      </w:r>
      <w:r w:rsidRPr="00E2647A">
        <w:rPr>
          <w:rFonts w:eastAsia="Arial"/>
          <w:szCs w:val="22"/>
          <w:bdr w:val="nil"/>
          <w:lang w:val="es-ES"/>
        </w:rPr>
        <w:t xml:space="preserve">Más concretamente, el 81% de los datos de rendimiento sobre los programas </w:t>
      </w:r>
      <w:r w:rsidR="00BF6F0F" w:rsidRPr="00E2647A">
        <w:rPr>
          <w:rFonts w:eastAsia="Arial"/>
          <w:szCs w:val="22"/>
          <w:bdr w:val="nil"/>
          <w:lang w:val="es-ES"/>
        </w:rPr>
        <w:t>cumplieron</w:t>
      </w:r>
      <w:r w:rsidRPr="00E2647A">
        <w:rPr>
          <w:rFonts w:eastAsia="Arial"/>
          <w:szCs w:val="22"/>
          <w:bdr w:val="nil"/>
          <w:lang w:val="es-ES"/>
        </w:rPr>
        <w:t xml:space="preserve"> de manera suficiente los criterios de validación, en comparación con el 77% regis</w:t>
      </w:r>
      <w:r w:rsidR="00721C34" w:rsidRPr="00E2647A">
        <w:rPr>
          <w:rFonts w:eastAsia="Arial"/>
          <w:szCs w:val="22"/>
          <w:bdr w:val="nil"/>
          <w:lang w:val="es-ES"/>
        </w:rPr>
        <w:t>trado en el ejercicio anterior.</w:t>
      </w:r>
      <w:r w:rsidRPr="00E2647A">
        <w:rPr>
          <w:rFonts w:eastAsia="Arial"/>
          <w:szCs w:val="22"/>
          <w:bdr w:val="nil"/>
          <w:lang w:val="es-ES"/>
        </w:rPr>
        <w:t xml:space="preserve"> Asimismo, el 84% de los programas informaron correctamente sobre su evaluación del estado del “sistema de colores”, en comparación con el 81% registrado en el ejercicio de validación anterior.</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w:t>
      </w:r>
      <w:r w:rsidR="008F19C5" w:rsidRPr="00E2647A">
        <w:rPr>
          <w:rFonts w:eastAsia="Arial"/>
          <w:szCs w:val="22"/>
          <w:bdr w:val="nil"/>
          <w:lang w:val="es-ES"/>
        </w:rPr>
        <w:t>alentó</w:t>
      </w:r>
      <w:r w:rsidRPr="00E2647A">
        <w:rPr>
          <w:rFonts w:eastAsia="Arial"/>
          <w:szCs w:val="22"/>
          <w:bdr w:val="nil"/>
          <w:lang w:val="es-ES"/>
        </w:rPr>
        <w:t xml:space="preserve"> a los programas de las esferas normativas a </w:t>
      </w:r>
      <w:r w:rsidR="00C95C33" w:rsidRPr="00E2647A">
        <w:rPr>
          <w:rFonts w:eastAsia="Arial"/>
          <w:szCs w:val="22"/>
          <w:bdr w:val="nil"/>
          <w:lang w:val="es-ES"/>
        </w:rPr>
        <w:t>continuar</w:t>
      </w:r>
      <w:r w:rsidRPr="00E2647A">
        <w:rPr>
          <w:rFonts w:eastAsia="Arial"/>
          <w:szCs w:val="22"/>
          <w:bdr w:val="nil"/>
          <w:lang w:val="es-ES"/>
        </w:rPr>
        <w:t xml:space="preserve"> su labor con la División de Presupuesto y Rendimiento de los Programas con miras </w:t>
      </w:r>
      <w:r w:rsidR="00C95C33" w:rsidRPr="00E2647A">
        <w:rPr>
          <w:rFonts w:eastAsia="Arial"/>
          <w:szCs w:val="22"/>
          <w:bdr w:val="nil"/>
          <w:lang w:val="es-ES"/>
        </w:rPr>
        <w:t>seguir mejorando</w:t>
      </w:r>
      <w:r w:rsidRPr="00E2647A">
        <w:rPr>
          <w:rFonts w:eastAsia="Arial"/>
          <w:szCs w:val="22"/>
          <w:bdr w:val="nil"/>
          <w:lang w:val="es-ES"/>
        </w:rPr>
        <w:t xml:space="preserve"> la calidad y </w:t>
      </w:r>
      <w:r w:rsidR="00C95C33" w:rsidRPr="00E2647A">
        <w:rPr>
          <w:rFonts w:eastAsia="Arial"/>
          <w:szCs w:val="22"/>
          <w:bdr w:val="nil"/>
          <w:lang w:val="es-ES"/>
        </w:rPr>
        <w:t xml:space="preserve">la </w:t>
      </w:r>
      <w:r w:rsidRPr="00E2647A">
        <w:rPr>
          <w:rFonts w:eastAsia="Arial"/>
          <w:szCs w:val="22"/>
          <w:bdr w:val="nil"/>
          <w:lang w:val="es-ES"/>
        </w:rPr>
        <w:t xml:space="preserve">mensurabilidad de sus indicadores; formuló además dos recomendaciones </w:t>
      </w:r>
      <w:r w:rsidR="00C95C33" w:rsidRPr="00E2647A">
        <w:rPr>
          <w:rFonts w:eastAsia="Arial"/>
          <w:szCs w:val="22"/>
          <w:bdr w:val="nil"/>
          <w:lang w:val="es-ES"/>
        </w:rPr>
        <w:t>en cuanto a</w:t>
      </w:r>
      <w:r w:rsidRPr="00E2647A">
        <w:rPr>
          <w:rFonts w:eastAsia="Arial"/>
          <w:szCs w:val="22"/>
          <w:bdr w:val="nil"/>
          <w:lang w:val="es-ES"/>
        </w:rPr>
        <w:t xml:space="preserve">: i) la necesidad de evaluar la eficacia de las herramientas y los mecanismos para </w:t>
      </w:r>
      <w:r w:rsidR="00C95C33" w:rsidRPr="00E2647A">
        <w:rPr>
          <w:rFonts w:eastAsia="Arial"/>
          <w:szCs w:val="22"/>
          <w:bdr w:val="nil"/>
          <w:lang w:val="es-ES"/>
        </w:rPr>
        <w:t>obtener</w:t>
      </w:r>
      <w:r w:rsidRPr="00E2647A">
        <w:rPr>
          <w:rFonts w:eastAsia="Arial"/>
          <w:szCs w:val="22"/>
          <w:bdr w:val="nil"/>
          <w:lang w:val="es-ES"/>
        </w:rPr>
        <w:t xml:space="preserve"> y medir los datos </w:t>
      </w:r>
      <w:r w:rsidR="00C95C33" w:rsidRPr="00E2647A">
        <w:rPr>
          <w:rFonts w:eastAsia="Arial"/>
          <w:szCs w:val="22"/>
          <w:bdr w:val="nil"/>
          <w:lang w:val="es-ES"/>
        </w:rPr>
        <w:t>para</w:t>
      </w:r>
      <w:r w:rsidRPr="00E2647A">
        <w:rPr>
          <w:rFonts w:eastAsia="Arial"/>
          <w:szCs w:val="22"/>
          <w:bdr w:val="nil"/>
          <w:lang w:val="es-ES"/>
        </w:rPr>
        <w:t xml:space="preserve"> tres indicadores de </w:t>
      </w:r>
      <w:r w:rsidR="00C95C33" w:rsidRPr="00E2647A">
        <w:rPr>
          <w:rFonts w:eastAsia="Arial"/>
          <w:szCs w:val="22"/>
          <w:bdr w:val="nil"/>
          <w:lang w:val="es-ES"/>
        </w:rPr>
        <w:t>rendimiento</w:t>
      </w:r>
      <w:r w:rsidRPr="00E2647A">
        <w:rPr>
          <w:rFonts w:eastAsia="Arial"/>
          <w:szCs w:val="22"/>
          <w:bdr w:val="nil"/>
          <w:lang w:val="es-ES"/>
        </w:rPr>
        <w:t xml:space="preserve">, </w:t>
      </w:r>
      <w:r w:rsidR="00C95C33" w:rsidRPr="00E2647A">
        <w:rPr>
          <w:rFonts w:eastAsia="Arial"/>
          <w:szCs w:val="22"/>
          <w:bdr w:val="nil"/>
          <w:lang w:val="es-ES"/>
        </w:rPr>
        <w:t>además de</w:t>
      </w:r>
      <w:r w:rsidRPr="00E2647A">
        <w:rPr>
          <w:rFonts w:eastAsia="Arial"/>
          <w:szCs w:val="22"/>
          <w:bdr w:val="nil"/>
          <w:lang w:val="es-ES"/>
        </w:rPr>
        <w:t xml:space="preserve"> </w:t>
      </w:r>
      <w:r w:rsidR="00C95C33" w:rsidRPr="00E2647A">
        <w:rPr>
          <w:rFonts w:eastAsia="Arial"/>
          <w:szCs w:val="22"/>
          <w:bdr w:val="nil"/>
          <w:lang w:val="es-ES"/>
        </w:rPr>
        <w:t>profundizar</w:t>
      </w:r>
      <w:r w:rsidRPr="00E2647A">
        <w:rPr>
          <w:rFonts w:eastAsia="Arial"/>
          <w:szCs w:val="22"/>
          <w:bdr w:val="nil"/>
          <w:lang w:val="es-ES"/>
        </w:rPr>
        <w:t xml:space="preserve"> la cooperación y el intercambio de buenas prácticas entre los programas, cuando sea posible; y </w:t>
      </w:r>
      <w:r w:rsidRPr="00E2647A">
        <w:rPr>
          <w:rFonts w:eastAsia="Arial"/>
          <w:szCs w:val="22"/>
          <w:u w:color="FF0000"/>
          <w:bdr w:val="nil"/>
          <w:lang w:val="es-ES"/>
        </w:rPr>
        <w:t>ii</w:t>
      </w:r>
      <w:r w:rsidRPr="00E2647A">
        <w:rPr>
          <w:rFonts w:eastAsia="Arial"/>
          <w:szCs w:val="22"/>
          <w:bdr w:val="nil"/>
          <w:lang w:val="es-ES"/>
        </w:rPr>
        <w:t>) aumentar la cooperación y la coordinación entre los programas que necesitan trabajar juntos para recopilar datos e informar sobre un indicador.</w:t>
      </w:r>
    </w:p>
    <w:p w:rsidR="00D23C8A" w:rsidRPr="00DD6BD7" w:rsidRDefault="001E5D8A" w:rsidP="00D23C8A">
      <w:pPr>
        <w:pStyle w:val="Heading2"/>
        <w:rPr>
          <w:lang w:val="es-ES"/>
        </w:rPr>
      </w:pPr>
      <w:r w:rsidRPr="00DD6BD7">
        <w:rPr>
          <w:rFonts w:eastAsia="Arial"/>
          <w:szCs w:val="22"/>
          <w:bdr w:val="nil"/>
          <w:lang w:val="es-ES"/>
        </w:rPr>
        <w:lastRenderedPageBreak/>
        <w:t>OTROS: MEMORANDO DE AUDITORÍA CONTINUA</w:t>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La </w:t>
      </w:r>
      <w:r w:rsidRPr="00DD6BD7">
        <w:rPr>
          <w:rFonts w:eastAsia="Arial"/>
          <w:szCs w:val="22"/>
          <w:u w:color="FF0000"/>
          <w:bdr w:val="nil"/>
          <w:lang w:val="es-ES"/>
        </w:rPr>
        <w:t>DSI</w:t>
      </w:r>
      <w:r w:rsidRPr="00DD6BD7">
        <w:rPr>
          <w:rFonts w:eastAsia="Arial"/>
          <w:szCs w:val="22"/>
          <w:bdr w:val="nil"/>
          <w:lang w:val="es-ES"/>
        </w:rPr>
        <w:t xml:space="preserve"> emitió un memorando interno en el que se resume la labor realizada mediante estudios analíticos de los datos como parte de su labor habitual de auditoría continua, cuyos resultados se transmitieron a la Dirección. Este memorando se centró en los controles internos relativos a la </w:t>
      </w:r>
      <w:r w:rsidR="009B2CCA" w:rsidRPr="00DD6BD7">
        <w:rPr>
          <w:rFonts w:eastAsia="Arial"/>
          <w:szCs w:val="22"/>
          <w:bdr w:val="nil"/>
          <w:lang w:val="es-ES"/>
        </w:rPr>
        <w:t>gestión</w:t>
      </w:r>
      <w:r w:rsidRPr="00DD6BD7">
        <w:rPr>
          <w:rFonts w:eastAsia="Arial"/>
          <w:szCs w:val="22"/>
          <w:bdr w:val="nil"/>
          <w:lang w:val="es-ES"/>
        </w:rPr>
        <w:t xml:space="preserve"> de finanzas y adquisiciones </w:t>
      </w:r>
      <w:r w:rsidR="009B2CCA" w:rsidRPr="00E2647A">
        <w:rPr>
          <w:rFonts w:eastAsia="Arial"/>
          <w:szCs w:val="22"/>
          <w:bdr w:val="nil"/>
          <w:lang w:val="es-ES"/>
        </w:rPr>
        <w:t>en el</w:t>
      </w:r>
      <w:r w:rsidRPr="00E2647A">
        <w:rPr>
          <w:rFonts w:eastAsia="Arial"/>
          <w:szCs w:val="22"/>
          <w:bdr w:val="nil"/>
          <w:lang w:val="es-ES"/>
        </w:rPr>
        <w:t xml:space="preserve"> Sistema Automatizado de Gestión de la Información (</w:t>
      </w:r>
      <w:r w:rsidRPr="00E2647A">
        <w:rPr>
          <w:rFonts w:eastAsia="Arial"/>
          <w:szCs w:val="22"/>
          <w:u w:color="FF0000"/>
          <w:bdr w:val="nil"/>
          <w:lang w:val="es-ES"/>
        </w:rPr>
        <w:t>AIMS</w:t>
      </w:r>
      <w:r w:rsidRPr="00E2647A">
        <w:rPr>
          <w:rFonts w:eastAsia="Arial"/>
          <w:szCs w:val="22"/>
          <w:bdr w:val="nil"/>
          <w:lang w:val="es-ES"/>
        </w:rPr>
        <w:t xml:space="preserve">), la gestión de viajes en el sistema </w:t>
      </w:r>
      <w:r w:rsidR="001E2046" w:rsidRPr="00E2647A">
        <w:rPr>
          <w:rFonts w:eastAsia="Arial"/>
          <w:szCs w:val="22"/>
          <w:u w:color="FF0000"/>
          <w:bdr w:val="nil"/>
          <w:lang w:val="es-ES"/>
        </w:rPr>
        <w:t>E-</w:t>
      </w:r>
      <w:r w:rsidRPr="00E2647A">
        <w:rPr>
          <w:rFonts w:eastAsia="Arial"/>
          <w:szCs w:val="22"/>
          <w:u w:color="FF0000"/>
          <w:bdr w:val="nil"/>
          <w:lang w:val="es-ES"/>
        </w:rPr>
        <w:t>Work</w:t>
      </w:r>
      <w:r w:rsidRPr="00E2647A">
        <w:rPr>
          <w:rFonts w:eastAsia="Arial"/>
          <w:szCs w:val="22"/>
          <w:bdr w:val="nil"/>
          <w:lang w:val="es-ES"/>
        </w:rPr>
        <w:t xml:space="preserve"> y la gestión de los datos relativos al personal </w:t>
      </w:r>
      <w:r w:rsidRPr="00DD6BD7">
        <w:rPr>
          <w:rFonts w:eastAsia="Arial"/>
          <w:szCs w:val="22"/>
          <w:bdr w:val="nil"/>
          <w:lang w:val="es-ES"/>
        </w:rPr>
        <w:t xml:space="preserve">en la herramienta </w:t>
      </w:r>
      <w:r w:rsidRPr="00DD6BD7">
        <w:rPr>
          <w:rFonts w:eastAsia="Arial"/>
          <w:szCs w:val="22"/>
          <w:u w:color="FF0000"/>
          <w:bdr w:val="nil"/>
          <w:lang w:val="es-ES"/>
        </w:rPr>
        <w:t>AIMS</w:t>
      </w:r>
      <w:r w:rsidRPr="00DD6BD7">
        <w:rPr>
          <w:rFonts w:eastAsia="Arial"/>
          <w:szCs w:val="22"/>
          <w:bdr w:val="nil"/>
          <w:lang w:val="es-ES"/>
        </w:rPr>
        <w:t xml:space="preserve"> </w:t>
      </w:r>
      <w:r w:rsidRPr="00DD6BD7">
        <w:rPr>
          <w:rFonts w:eastAsia="Arial"/>
          <w:szCs w:val="22"/>
          <w:u w:color="FF0000"/>
          <w:bdr w:val="nil"/>
          <w:lang w:val="es-ES"/>
        </w:rPr>
        <w:t>HR</w:t>
      </w:r>
      <w:r w:rsidRPr="00DD6BD7">
        <w:rPr>
          <w:rFonts w:eastAsia="Arial"/>
          <w:szCs w:val="22"/>
          <w:bdr w:val="nil"/>
          <w:lang w:val="es-ES"/>
        </w:rPr>
        <w:t>.</w:t>
      </w:r>
    </w:p>
    <w:p w:rsidR="00D23C8A" w:rsidRPr="00E2647A" w:rsidRDefault="001E5D8A" w:rsidP="00D23C8A">
      <w:pPr>
        <w:pStyle w:val="ONUME"/>
        <w:numPr>
          <w:ilvl w:val="0"/>
          <w:numId w:val="3"/>
        </w:numPr>
        <w:rPr>
          <w:lang w:val="es-ES"/>
        </w:rPr>
      </w:pPr>
      <w:r w:rsidRPr="00DD6BD7">
        <w:rPr>
          <w:rFonts w:eastAsia="Arial"/>
          <w:szCs w:val="22"/>
          <w:bdr w:val="nil"/>
          <w:lang w:val="es-ES"/>
        </w:rPr>
        <w:t xml:space="preserve">La </w:t>
      </w:r>
      <w:r w:rsidRPr="00DD6BD7">
        <w:rPr>
          <w:rFonts w:eastAsia="Arial"/>
          <w:szCs w:val="22"/>
          <w:u w:color="FF0000"/>
          <w:bdr w:val="nil"/>
          <w:lang w:val="es-ES"/>
        </w:rPr>
        <w:t>DSI</w:t>
      </w:r>
      <w:r w:rsidRPr="00DD6BD7">
        <w:rPr>
          <w:rFonts w:eastAsia="Arial"/>
          <w:szCs w:val="22"/>
          <w:bdr w:val="nil"/>
          <w:lang w:val="es-ES"/>
        </w:rPr>
        <w:t xml:space="preserve"> no formula recomendaciones formales a partir de la labor que lleva a cabo en el ámbito de la auditoría continua. Sin embargo, </w:t>
      </w:r>
      <w:r w:rsidRPr="00DD6BD7">
        <w:rPr>
          <w:rFonts w:eastAsia="Arial"/>
          <w:szCs w:val="22"/>
          <w:u w:color="008000"/>
          <w:bdr w:val="nil"/>
          <w:lang w:val="es-ES"/>
        </w:rPr>
        <w:t>si y</w:t>
      </w:r>
      <w:r w:rsidRPr="00DD6BD7">
        <w:rPr>
          <w:rFonts w:eastAsia="Arial"/>
          <w:szCs w:val="22"/>
          <w:bdr w:val="nil"/>
          <w:lang w:val="es-ES"/>
        </w:rPr>
        <w:t xml:space="preserve"> cuando sea necesario, se organizan reuniones </w:t>
      </w:r>
      <w:r w:rsidR="009B2CCA" w:rsidRPr="00DD6BD7">
        <w:rPr>
          <w:rFonts w:eastAsia="Arial"/>
          <w:szCs w:val="22"/>
          <w:bdr w:val="nil"/>
          <w:lang w:val="es-ES"/>
        </w:rPr>
        <w:t xml:space="preserve">en las que </w:t>
      </w:r>
      <w:r w:rsidR="009B2CCA" w:rsidRPr="00E2647A">
        <w:rPr>
          <w:rFonts w:eastAsia="Arial"/>
          <w:szCs w:val="22"/>
          <w:bdr w:val="nil"/>
          <w:lang w:val="es-ES"/>
        </w:rPr>
        <w:t>participan</w:t>
      </w:r>
      <w:r w:rsidRPr="00E2647A">
        <w:rPr>
          <w:rFonts w:eastAsia="Arial"/>
          <w:szCs w:val="22"/>
          <w:bdr w:val="nil"/>
          <w:lang w:val="es-ES"/>
        </w:rPr>
        <w:t xml:space="preserve"> </w:t>
      </w:r>
      <w:r w:rsidR="009B2CCA" w:rsidRPr="00E2647A">
        <w:rPr>
          <w:rFonts w:eastAsia="Arial"/>
          <w:szCs w:val="22"/>
          <w:bdr w:val="nil"/>
          <w:lang w:val="es-ES"/>
        </w:rPr>
        <w:t>directivos del</w:t>
      </w:r>
      <w:r w:rsidRPr="00E2647A">
        <w:rPr>
          <w:rFonts w:eastAsia="Arial"/>
          <w:szCs w:val="22"/>
          <w:bdr w:val="nil"/>
          <w:lang w:val="es-ES"/>
        </w:rPr>
        <w:t xml:space="preserve"> Sector de Administración y Gestión y </w:t>
      </w:r>
      <w:r w:rsidR="009B2CCA" w:rsidRPr="00E2647A">
        <w:rPr>
          <w:rFonts w:eastAsia="Arial"/>
          <w:szCs w:val="22"/>
          <w:bdr w:val="nil"/>
          <w:lang w:val="es-ES"/>
        </w:rPr>
        <w:t>d</w:t>
      </w:r>
      <w:r w:rsidRPr="00E2647A">
        <w:rPr>
          <w:rFonts w:eastAsia="Arial"/>
          <w:szCs w:val="22"/>
          <w:bdr w:val="nil"/>
          <w:lang w:val="es-ES"/>
        </w:rPr>
        <w:t>el Departamento de Gestión de los Recursos Humanos (</w:t>
      </w:r>
      <w:r w:rsidRPr="00E2647A">
        <w:rPr>
          <w:rFonts w:eastAsia="Arial"/>
          <w:szCs w:val="22"/>
          <w:u w:color="FF0000"/>
          <w:bdr w:val="nil"/>
          <w:lang w:val="es-ES"/>
        </w:rPr>
        <w:t>DGRRHH</w:t>
      </w:r>
      <w:r w:rsidRPr="00E2647A">
        <w:rPr>
          <w:rFonts w:eastAsia="Arial"/>
          <w:szCs w:val="22"/>
          <w:bdr w:val="nil"/>
          <w:lang w:val="es-ES"/>
        </w:rPr>
        <w:t xml:space="preserve">), a fin de examinar las observaciones y las sugerencias </w:t>
      </w:r>
      <w:r w:rsidR="009B2CCA" w:rsidRPr="00E2647A">
        <w:rPr>
          <w:rFonts w:eastAsia="Arial"/>
          <w:szCs w:val="22"/>
          <w:bdr w:val="nil"/>
          <w:lang w:val="es-ES"/>
        </w:rPr>
        <w:t>planteadas</w:t>
      </w:r>
      <w:r w:rsidRPr="00E2647A">
        <w:rPr>
          <w:rFonts w:eastAsia="Arial"/>
          <w:szCs w:val="22"/>
          <w:bdr w:val="nil"/>
          <w:lang w:val="es-ES"/>
        </w:rPr>
        <w:t xml:space="preserve"> por la </w:t>
      </w:r>
      <w:r w:rsidRPr="00E2647A">
        <w:rPr>
          <w:rFonts w:eastAsia="Arial"/>
          <w:szCs w:val="22"/>
          <w:u w:color="FF0000"/>
          <w:bdr w:val="nil"/>
          <w:lang w:val="es-ES"/>
        </w:rPr>
        <w:t>DSI</w:t>
      </w:r>
      <w:r w:rsidRPr="00E2647A">
        <w:rPr>
          <w:rFonts w:eastAsia="Arial"/>
          <w:szCs w:val="22"/>
          <w:bdr w:val="nil"/>
          <w:lang w:val="es-ES"/>
        </w:rPr>
        <w:t>.</w:t>
      </w:r>
    </w:p>
    <w:p w:rsidR="00D23C8A" w:rsidRPr="00E2647A" w:rsidRDefault="001E5D8A" w:rsidP="00D23C8A">
      <w:pPr>
        <w:pStyle w:val="Heading2"/>
        <w:rPr>
          <w:lang w:val="es-ES"/>
        </w:rPr>
      </w:pPr>
      <w:r w:rsidRPr="00E2647A">
        <w:rPr>
          <w:rFonts w:eastAsia="Arial"/>
          <w:szCs w:val="22"/>
          <w:bdr w:val="nil"/>
          <w:lang w:val="es-ES"/>
        </w:rPr>
        <w:t xml:space="preserve">OTROS: </w:t>
      </w:r>
      <w:r w:rsidRPr="00E2647A">
        <w:rPr>
          <w:rFonts w:eastAsia="Arial"/>
          <w:szCs w:val="22"/>
          <w:u w:color="FF0000"/>
          <w:bdr w:val="nil"/>
          <w:lang w:val="es-ES"/>
        </w:rPr>
        <w:t>AUTOEVALUACIÓN</w:t>
      </w:r>
      <w:r w:rsidRPr="00E2647A">
        <w:rPr>
          <w:rFonts w:eastAsia="Arial"/>
          <w:szCs w:val="22"/>
          <w:bdr w:val="nil"/>
          <w:lang w:val="es-ES"/>
        </w:rPr>
        <w:t xml:space="preserve"> DE LA CALIDAD DE LA FUNCIÓN DE AUDITORÍA INTERNA</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De conformidad con el Manual de </w:t>
      </w:r>
      <w:r w:rsidR="00206030" w:rsidRPr="00E2647A">
        <w:rPr>
          <w:rFonts w:eastAsia="Arial"/>
          <w:szCs w:val="22"/>
          <w:bdr w:val="nil"/>
          <w:lang w:val="es-ES"/>
        </w:rPr>
        <w:t>Auditoría Interna, anexo 1.4, “</w:t>
      </w:r>
      <w:r w:rsidRPr="00E2647A">
        <w:rPr>
          <w:rFonts w:eastAsia="Arial"/>
          <w:szCs w:val="22"/>
          <w:bdr w:val="nil"/>
          <w:lang w:val="es-ES"/>
        </w:rPr>
        <w:t>Programa de aseguramiento y mejoramiento de la calidad</w:t>
      </w:r>
      <w:r w:rsidR="00206030" w:rsidRPr="00E2647A">
        <w:rPr>
          <w:rFonts w:eastAsia="Arial"/>
          <w:szCs w:val="22"/>
          <w:bdr w:val="nil"/>
          <w:lang w:val="es-ES"/>
        </w:rPr>
        <w:t>”</w:t>
      </w:r>
      <w:r w:rsidRPr="00E2647A">
        <w:rPr>
          <w:rFonts w:eastAsia="Arial"/>
          <w:szCs w:val="22"/>
          <w:bdr w:val="nil"/>
          <w:lang w:val="es-ES"/>
        </w:rPr>
        <w:t xml:space="preserve">, la </w:t>
      </w:r>
      <w:r w:rsidRPr="00E2647A">
        <w:rPr>
          <w:rFonts w:eastAsia="Arial"/>
          <w:szCs w:val="22"/>
          <w:u w:color="FF0000"/>
          <w:bdr w:val="nil"/>
          <w:lang w:val="es-ES"/>
        </w:rPr>
        <w:t>DSI</w:t>
      </w:r>
      <w:r w:rsidRPr="00E2647A">
        <w:rPr>
          <w:rFonts w:eastAsia="Arial"/>
          <w:szCs w:val="22"/>
          <w:bdr w:val="nil"/>
          <w:lang w:val="es-ES"/>
        </w:rPr>
        <w:t xml:space="preserve"> llevó a cabo en diciembre de 2017 una </w:t>
      </w:r>
      <w:r w:rsidRPr="00E2647A">
        <w:rPr>
          <w:rFonts w:eastAsia="Arial"/>
          <w:szCs w:val="22"/>
          <w:u w:color="FF0000"/>
          <w:bdr w:val="nil"/>
          <w:lang w:val="es-ES"/>
        </w:rPr>
        <w:t>autoevaluación</w:t>
      </w:r>
      <w:r w:rsidRPr="00E2647A">
        <w:rPr>
          <w:rFonts w:eastAsia="Arial"/>
          <w:szCs w:val="22"/>
          <w:bdr w:val="nil"/>
          <w:lang w:val="es-ES"/>
        </w:rPr>
        <w:t xml:space="preserve"> de la función de auditoría que abarcaba sus activida</w:t>
      </w:r>
      <w:r w:rsidR="00206030" w:rsidRPr="00E2647A">
        <w:rPr>
          <w:rFonts w:eastAsia="Arial"/>
          <w:szCs w:val="22"/>
          <w:bdr w:val="nil"/>
          <w:lang w:val="es-ES"/>
        </w:rPr>
        <w:t xml:space="preserve">des para el período 2015-2016. </w:t>
      </w:r>
      <w:r w:rsidRPr="00E2647A">
        <w:rPr>
          <w:rFonts w:eastAsia="Arial"/>
          <w:szCs w:val="22"/>
          <w:bdr w:val="nil"/>
          <w:lang w:val="es-ES"/>
        </w:rPr>
        <w:t xml:space="preserve">La </w:t>
      </w:r>
      <w:r w:rsidRPr="00E2647A">
        <w:rPr>
          <w:rFonts w:eastAsia="Arial"/>
          <w:szCs w:val="22"/>
          <w:u w:color="FF0000"/>
          <w:bdr w:val="nil"/>
          <w:lang w:val="es-ES"/>
        </w:rPr>
        <w:t>autoevaluación</w:t>
      </w:r>
      <w:r w:rsidRPr="00E2647A">
        <w:rPr>
          <w:rFonts w:eastAsia="Arial"/>
          <w:szCs w:val="22"/>
          <w:bdr w:val="nil"/>
          <w:lang w:val="es-ES"/>
        </w:rPr>
        <w:t xml:space="preserve"> interna periódica tenía por cometidos evaluar la función de auditoría </w:t>
      </w:r>
      <w:r w:rsidR="00206030" w:rsidRPr="00E2647A">
        <w:rPr>
          <w:rFonts w:eastAsia="Arial"/>
          <w:szCs w:val="22"/>
          <w:bdr w:val="nil"/>
          <w:lang w:val="es-ES"/>
        </w:rPr>
        <w:t>con sujeción a</w:t>
      </w:r>
      <w:r w:rsidRPr="00E2647A">
        <w:rPr>
          <w:rFonts w:eastAsia="Arial"/>
          <w:szCs w:val="22"/>
          <w:bdr w:val="nil"/>
          <w:lang w:val="es-ES"/>
        </w:rPr>
        <w:t xml:space="preserve"> las normas del </w:t>
      </w:r>
      <w:r w:rsidR="00206030" w:rsidRPr="00E2647A">
        <w:rPr>
          <w:rFonts w:eastAsia="Arial"/>
          <w:szCs w:val="22"/>
          <w:u w:color="FF0000"/>
          <w:bdr w:val="nil"/>
          <w:lang w:val="es-ES"/>
        </w:rPr>
        <w:t>IIA</w:t>
      </w:r>
      <w:r w:rsidRPr="00E2647A">
        <w:rPr>
          <w:rFonts w:eastAsia="Arial"/>
          <w:szCs w:val="22"/>
          <w:bdr w:val="nil"/>
          <w:lang w:val="es-ES"/>
        </w:rPr>
        <w:t>, así como identificar aspectos de mejora.</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El ejercicio de </w:t>
      </w:r>
      <w:r w:rsidRPr="00E2647A">
        <w:rPr>
          <w:rFonts w:eastAsia="Arial"/>
          <w:szCs w:val="22"/>
          <w:u w:color="FF0000"/>
          <w:bdr w:val="nil"/>
          <w:lang w:val="es-ES"/>
        </w:rPr>
        <w:t>autoevaluación</w:t>
      </w:r>
      <w:r w:rsidRPr="00E2647A">
        <w:rPr>
          <w:rFonts w:eastAsia="Arial"/>
          <w:szCs w:val="22"/>
          <w:bdr w:val="nil"/>
          <w:lang w:val="es-ES"/>
        </w:rPr>
        <w:t xml:space="preserve"> concluyó que la función de auditoría interna </w:t>
      </w:r>
      <w:r w:rsidR="00206030" w:rsidRPr="00E2647A">
        <w:rPr>
          <w:rFonts w:eastAsia="Arial"/>
          <w:szCs w:val="22"/>
          <w:bdr w:val="nil"/>
          <w:lang w:val="es-ES"/>
        </w:rPr>
        <w:t xml:space="preserve">es “conforme en general” a las </w:t>
      </w:r>
      <w:r w:rsidRPr="00E2647A">
        <w:rPr>
          <w:rFonts w:eastAsia="Arial"/>
          <w:szCs w:val="22"/>
          <w:bdr w:val="nil"/>
          <w:lang w:val="es-ES"/>
        </w:rPr>
        <w:t xml:space="preserve">Normas Internacionales para el Ejercicio Profesional de la Auditoría Interna de la </w:t>
      </w:r>
      <w:r w:rsidRPr="00E2647A">
        <w:rPr>
          <w:rFonts w:eastAsia="Arial"/>
          <w:szCs w:val="22"/>
          <w:u w:color="FF0000"/>
          <w:bdr w:val="nil"/>
          <w:lang w:val="es-ES"/>
        </w:rPr>
        <w:t>IIA</w:t>
      </w:r>
      <w:r w:rsidRPr="00E2647A">
        <w:rPr>
          <w:rFonts w:eastAsia="Arial"/>
          <w:szCs w:val="22"/>
          <w:bdr w:val="nil"/>
          <w:lang w:val="es-ES"/>
        </w:rPr>
        <w:t xml:space="preserve">, al Código de Ética de la </w:t>
      </w:r>
      <w:r w:rsidRPr="00E2647A">
        <w:rPr>
          <w:rFonts w:eastAsia="Arial"/>
          <w:szCs w:val="22"/>
          <w:u w:color="FF0000"/>
          <w:bdr w:val="nil"/>
          <w:lang w:val="es-ES"/>
        </w:rPr>
        <w:t>IIA</w:t>
      </w:r>
      <w:r w:rsidRPr="00E2647A">
        <w:rPr>
          <w:rFonts w:eastAsia="Arial"/>
          <w:szCs w:val="22"/>
          <w:bdr w:val="nil"/>
          <w:lang w:val="es-ES"/>
        </w:rPr>
        <w:t xml:space="preserve"> y a la definición de auditoría interna (“normas”). Tras la </w:t>
      </w:r>
      <w:r w:rsidRPr="00E2647A">
        <w:rPr>
          <w:rFonts w:eastAsia="Arial"/>
          <w:szCs w:val="22"/>
          <w:u w:color="FF0000"/>
          <w:bdr w:val="nil"/>
          <w:lang w:val="es-ES"/>
        </w:rPr>
        <w:t>autoevaluación</w:t>
      </w:r>
      <w:r w:rsidRPr="00E2647A">
        <w:rPr>
          <w:rFonts w:eastAsia="Arial"/>
          <w:szCs w:val="22"/>
          <w:bdr w:val="nil"/>
          <w:lang w:val="es-ES"/>
        </w:rPr>
        <w:t xml:space="preserve"> se formularon 13 recomendaciones.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Los resultados de esta </w:t>
      </w:r>
      <w:r w:rsidRPr="00E2647A">
        <w:rPr>
          <w:rFonts w:eastAsia="Arial"/>
          <w:szCs w:val="22"/>
          <w:u w:color="FF0000"/>
          <w:bdr w:val="nil"/>
          <w:lang w:val="es-ES"/>
        </w:rPr>
        <w:t>autoevaluación</w:t>
      </w:r>
      <w:r w:rsidRPr="00E2647A">
        <w:rPr>
          <w:rFonts w:eastAsia="Arial"/>
          <w:szCs w:val="22"/>
          <w:bdr w:val="nil"/>
          <w:lang w:val="es-ES"/>
        </w:rPr>
        <w:t xml:space="preserve"> se comunicaron a la Comisión Consultiva Independiente de Supervisión (</w:t>
      </w:r>
      <w:r w:rsidRPr="00E2647A">
        <w:rPr>
          <w:rFonts w:eastAsia="Arial"/>
          <w:szCs w:val="22"/>
          <w:u w:color="FF0000"/>
          <w:bdr w:val="nil"/>
          <w:lang w:val="es-ES"/>
        </w:rPr>
        <w:t>CCIS</w:t>
      </w:r>
      <w:r w:rsidRPr="00E2647A">
        <w:rPr>
          <w:rFonts w:eastAsia="Arial"/>
          <w:szCs w:val="22"/>
          <w:bdr w:val="nil"/>
          <w:lang w:val="es-ES"/>
        </w:rPr>
        <w:t>) y al director general.</w:t>
      </w:r>
    </w:p>
    <w:p w:rsidR="00D23C8A" w:rsidRPr="00E2647A" w:rsidRDefault="00673E0C" w:rsidP="00D23C8A">
      <w:pPr>
        <w:pStyle w:val="Heading2"/>
        <w:rPr>
          <w:szCs w:val="20"/>
          <w:lang w:val="es-ES"/>
        </w:rPr>
      </w:pPr>
      <w:r w:rsidRPr="00E2647A">
        <w:rPr>
          <w:rFonts w:eastAsia="Arial"/>
          <w:caps w:val="0"/>
          <w:szCs w:val="22"/>
          <w:bdr w:val="nil"/>
          <w:lang w:val="es-ES"/>
        </w:rPr>
        <w:t xml:space="preserve">EVALUACIÓN DE LAS ACTIVIDADES DE COMUNICACIÓN INSTITUCIONAL DE LA </w:t>
      </w:r>
      <w:r w:rsidRPr="00E2647A">
        <w:rPr>
          <w:rFonts w:eastAsia="Arial"/>
          <w:caps w:val="0"/>
          <w:szCs w:val="22"/>
          <w:u w:color="FF0000"/>
          <w:bdr w:val="nil"/>
          <w:lang w:val="es-ES"/>
        </w:rPr>
        <w:t>OMPI</w:t>
      </w:r>
      <w:r w:rsidRPr="00E2647A">
        <w:rPr>
          <w:rFonts w:eastAsia="Arial"/>
          <w:caps w:val="0"/>
          <w:szCs w:val="22"/>
          <w:bdr w:val="nil"/>
          <w:lang w:val="es-ES"/>
        </w:rPr>
        <w:t xml:space="preserve"> Y SU CONTRIBUCIÓN A LA IMAGEN INSTITUCIONAL Y LA REPUTACIÓN DE LA </w:t>
      </w:r>
      <w:r w:rsidRPr="00E2647A">
        <w:rPr>
          <w:rFonts w:eastAsia="Arial"/>
          <w:caps w:val="0"/>
          <w:szCs w:val="22"/>
          <w:u w:color="FF0000"/>
          <w:bdr w:val="nil"/>
          <w:lang w:val="es-ES"/>
        </w:rPr>
        <w:t>OMPI</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Este ejercicio tiene por objeto evaluar la contribución de las funciones y actividades en materia de comunicación institucional de la </w:t>
      </w:r>
      <w:r w:rsidRPr="00E2647A">
        <w:rPr>
          <w:rFonts w:eastAsia="Arial"/>
          <w:szCs w:val="22"/>
          <w:u w:color="FF0000"/>
          <w:bdr w:val="nil"/>
          <w:lang w:val="es-ES"/>
        </w:rPr>
        <w:t>OMPI</w:t>
      </w:r>
      <w:r w:rsidRPr="00E2647A">
        <w:rPr>
          <w:rFonts w:eastAsia="Arial"/>
          <w:szCs w:val="22"/>
          <w:bdr w:val="nil"/>
          <w:lang w:val="es-ES"/>
        </w:rPr>
        <w:t xml:space="preserve"> al programa de alineación estratégica y a la meta estratégica VIII, además de analizar si el sistema de gobernanza y la estructura operativa facilitan la consecución de los resultados previstos en el </w:t>
      </w:r>
      <w:r w:rsidR="00206030" w:rsidRPr="00E2647A">
        <w:rPr>
          <w:rFonts w:eastAsia="Arial"/>
          <w:szCs w:val="22"/>
          <w:bdr w:val="nil"/>
          <w:lang w:val="es-ES"/>
        </w:rPr>
        <w:t>p</w:t>
      </w:r>
      <w:r w:rsidRPr="00E2647A">
        <w:rPr>
          <w:rFonts w:eastAsia="Arial"/>
          <w:szCs w:val="22"/>
          <w:bdr w:val="nil"/>
          <w:lang w:val="es-ES"/>
        </w:rPr>
        <w:t xml:space="preserve">lan </w:t>
      </w:r>
      <w:r w:rsidR="00206030" w:rsidRPr="00E2647A">
        <w:rPr>
          <w:rFonts w:eastAsia="Arial"/>
          <w:szCs w:val="22"/>
          <w:bdr w:val="nil"/>
          <w:lang w:val="es-ES"/>
        </w:rPr>
        <w:t>e</w:t>
      </w:r>
      <w:r w:rsidRPr="00E2647A">
        <w:rPr>
          <w:rFonts w:eastAsia="Arial"/>
          <w:szCs w:val="22"/>
          <w:bdr w:val="nil"/>
          <w:lang w:val="es-ES"/>
        </w:rPr>
        <w:t xml:space="preserve">stratégico a </w:t>
      </w:r>
      <w:r w:rsidR="00206030" w:rsidRPr="00E2647A">
        <w:rPr>
          <w:rFonts w:eastAsia="Arial"/>
          <w:szCs w:val="22"/>
          <w:bdr w:val="nil"/>
          <w:lang w:val="es-ES"/>
        </w:rPr>
        <w:t>m</w:t>
      </w:r>
      <w:r w:rsidRPr="00E2647A">
        <w:rPr>
          <w:rFonts w:eastAsia="Arial"/>
          <w:szCs w:val="22"/>
          <w:bdr w:val="nil"/>
          <w:lang w:val="es-ES"/>
        </w:rPr>
        <w:t xml:space="preserve">ediano </w:t>
      </w:r>
      <w:r w:rsidR="00206030" w:rsidRPr="00E2647A">
        <w:rPr>
          <w:rFonts w:eastAsia="Arial"/>
          <w:szCs w:val="22"/>
          <w:bdr w:val="nil"/>
          <w:lang w:val="es-ES"/>
        </w:rPr>
        <w:t>p</w:t>
      </w:r>
      <w:r w:rsidRPr="00E2647A">
        <w:rPr>
          <w:rFonts w:eastAsia="Arial"/>
          <w:szCs w:val="22"/>
          <w:bdr w:val="nil"/>
          <w:lang w:val="es-ES"/>
        </w:rPr>
        <w:t>lazo.</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Los principales resultados y recomendaciones de la evaluación muestran que la cobertura de los medios sobre la </w:t>
      </w:r>
      <w:r w:rsidRPr="00E2647A">
        <w:rPr>
          <w:rFonts w:eastAsia="Arial"/>
          <w:szCs w:val="22"/>
          <w:u w:color="FF0000"/>
          <w:bdr w:val="nil"/>
          <w:lang w:val="es-ES"/>
        </w:rPr>
        <w:t>OMPI</w:t>
      </w:r>
      <w:r w:rsidRPr="00E2647A">
        <w:rPr>
          <w:rFonts w:eastAsia="Arial"/>
          <w:szCs w:val="22"/>
          <w:bdr w:val="nil"/>
          <w:lang w:val="es-ES"/>
        </w:rPr>
        <w:t xml:space="preserve"> es 99,9% positiva o neutral. El presupuesto que la División de Comunicaciones </w:t>
      </w:r>
      <w:r w:rsidR="00206030" w:rsidRPr="00E2647A">
        <w:rPr>
          <w:rFonts w:eastAsia="Arial"/>
          <w:szCs w:val="22"/>
          <w:bdr w:val="nil"/>
          <w:lang w:val="es-ES"/>
        </w:rPr>
        <w:t>asigna</w:t>
      </w:r>
      <w:r w:rsidRPr="00E2647A">
        <w:rPr>
          <w:rFonts w:eastAsia="Arial"/>
          <w:szCs w:val="22"/>
          <w:bdr w:val="nil"/>
          <w:lang w:val="es-ES"/>
        </w:rPr>
        <w:t xml:space="preserve"> a las actividades de comunicación es similar a los de otros organismos de las Naciones Unidas; las comunicaciones de la </w:t>
      </w:r>
      <w:r w:rsidRPr="00E2647A">
        <w:rPr>
          <w:rFonts w:eastAsia="Arial"/>
          <w:szCs w:val="22"/>
          <w:u w:color="FF0000"/>
          <w:bdr w:val="nil"/>
          <w:lang w:val="es-ES"/>
        </w:rPr>
        <w:t>OMPI</w:t>
      </w:r>
      <w:r w:rsidRPr="00E2647A">
        <w:rPr>
          <w:rFonts w:eastAsia="Arial"/>
          <w:szCs w:val="22"/>
          <w:bdr w:val="nil"/>
          <w:lang w:val="es-ES"/>
        </w:rPr>
        <w:t xml:space="preserve"> adoptaron un enfoque más bien proactivo y con perspectiva de género.</w:t>
      </w:r>
    </w:p>
    <w:p w:rsidR="00D23C8A" w:rsidRPr="00E2647A" w:rsidRDefault="001E5D8A" w:rsidP="00D23C8A">
      <w:pPr>
        <w:pStyle w:val="ListParagraph"/>
        <w:numPr>
          <w:ilvl w:val="0"/>
          <w:numId w:val="3"/>
        </w:numPr>
        <w:spacing w:after="240"/>
        <w:rPr>
          <w:lang w:val="es-ES"/>
        </w:rPr>
      </w:pPr>
      <w:r w:rsidRPr="00E2647A">
        <w:rPr>
          <w:rFonts w:eastAsia="Arial"/>
          <w:szCs w:val="22"/>
          <w:bdr w:val="nil"/>
          <w:lang w:val="es-ES"/>
        </w:rPr>
        <w:t>A pesar de las constataciones positivas, en la evaluación se recomendó que la Oficina del Director General (</w:t>
      </w:r>
      <w:r w:rsidRPr="00E2647A">
        <w:rPr>
          <w:rFonts w:eastAsia="Arial"/>
          <w:szCs w:val="22"/>
          <w:u w:color="FF0000"/>
          <w:bdr w:val="nil"/>
          <w:lang w:val="es-ES"/>
        </w:rPr>
        <w:t>ODG</w:t>
      </w:r>
      <w:r w:rsidRPr="00E2647A">
        <w:rPr>
          <w:rFonts w:eastAsia="Arial"/>
          <w:szCs w:val="22"/>
          <w:bdr w:val="nil"/>
          <w:lang w:val="es-ES"/>
        </w:rPr>
        <w:t xml:space="preserve">) debería examinar la posibilidad de fortalecer el impacto estratégico de la División de Comunicaciones, para lo cual debería redefinir su mandato y reubicar la División de Comunicaciones directamente </w:t>
      </w:r>
      <w:r w:rsidR="00C01326" w:rsidRPr="00E2647A">
        <w:rPr>
          <w:rFonts w:eastAsia="Arial"/>
          <w:szCs w:val="22"/>
          <w:bdr w:val="nil"/>
          <w:lang w:val="es-ES"/>
        </w:rPr>
        <w:t>dentro de</w:t>
      </w:r>
      <w:r w:rsidRPr="00E2647A">
        <w:rPr>
          <w:rFonts w:eastAsia="Arial"/>
          <w:szCs w:val="22"/>
          <w:bdr w:val="nil"/>
          <w:lang w:val="es-ES"/>
        </w:rPr>
        <w:t xml:space="preserve"> la </w:t>
      </w:r>
      <w:r w:rsidRPr="00E2647A">
        <w:rPr>
          <w:rFonts w:eastAsia="Arial"/>
          <w:szCs w:val="22"/>
          <w:u w:color="FF0000"/>
          <w:bdr w:val="nil"/>
          <w:lang w:val="es-ES"/>
        </w:rPr>
        <w:t>ODG</w:t>
      </w:r>
      <w:r w:rsidRPr="00E2647A">
        <w:rPr>
          <w:rFonts w:eastAsia="Arial"/>
          <w:szCs w:val="22"/>
          <w:bdr w:val="nil"/>
          <w:lang w:val="es-ES"/>
        </w:rPr>
        <w:t xml:space="preserve">. La División de Comunicaciones debería además idear una estrategia detallada de comunicación institucional con un marco basado en resultados. Por último, la División de Comunicaciones debería integrar competencias clave adicionales y </w:t>
      </w:r>
      <w:r w:rsidR="00C01326" w:rsidRPr="00E2647A">
        <w:rPr>
          <w:rFonts w:eastAsia="Arial"/>
          <w:szCs w:val="22"/>
          <w:bdr w:val="nil"/>
          <w:lang w:val="es-ES"/>
        </w:rPr>
        <w:t>animar</w:t>
      </w:r>
      <w:r w:rsidRPr="00E2647A">
        <w:rPr>
          <w:rFonts w:eastAsia="Arial"/>
          <w:szCs w:val="22"/>
          <w:bdr w:val="nil"/>
          <w:lang w:val="es-ES"/>
        </w:rPr>
        <w:t xml:space="preserve"> a cada unidad de negocios a que nombre un coordinador responsable de las comunicaciones para que actúe como enlace con el coordinador de la División de Comunicaciones.</w:t>
      </w:r>
    </w:p>
    <w:p w:rsidR="00D23C8A" w:rsidRPr="00DD6BD7" w:rsidRDefault="001E5D8A" w:rsidP="00D23C8A">
      <w:pPr>
        <w:pStyle w:val="ONUME"/>
        <w:numPr>
          <w:ilvl w:val="0"/>
          <w:numId w:val="3"/>
        </w:numPr>
        <w:rPr>
          <w:lang w:val="es-ES"/>
        </w:rPr>
      </w:pPr>
      <w:r w:rsidRPr="00E2647A">
        <w:rPr>
          <w:rFonts w:eastAsia="Arial"/>
          <w:szCs w:val="22"/>
          <w:bdr w:val="nil"/>
          <w:lang w:val="es-ES"/>
        </w:rPr>
        <w:lastRenderedPageBreak/>
        <w:t xml:space="preserve">Dos de las tres recomendaciones formuladas ya han sido aplicadas. En respuesta a la primera recomendación relativa a la evaluación del informe, la División de Comunicaciones ha sido reubicada en la </w:t>
      </w:r>
      <w:r w:rsidRPr="00E2647A">
        <w:rPr>
          <w:rFonts w:eastAsia="Arial"/>
          <w:szCs w:val="22"/>
          <w:u w:color="FF0000"/>
          <w:bdr w:val="nil"/>
          <w:lang w:val="es-ES"/>
        </w:rPr>
        <w:t>ODG</w:t>
      </w:r>
      <w:r w:rsidRPr="00E2647A">
        <w:rPr>
          <w:rFonts w:eastAsia="Arial"/>
          <w:szCs w:val="22"/>
          <w:bdr w:val="nil"/>
          <w:lang w:val="es-ES"/>
        </w:rPr>
        <w:t xml:space="preserve">. Asimismo, el programa está por finalizar una </w:t>
      </w:r>
      <w:r w:rsidR="00C01326" w:rsidRPr="00E2647A">
        <w:rPr>
          <w:rFonts w:eastAsia="Arial"/>
          <w:szCs w:val="22"/>
          <w:bdr w:val="nil"/>
          <w:lang w:val="es-ES"/>
        </w:rPr>
        <w:t>e</w:t>
      </w:r>
      <w:r w:rsidRPr="00E2647A">
        <w:rPr>
          <w:rFonts w:eastAsia="Arial"/>
          <w:szCs w:val="22"/>
          <w:bdr w:val="nil"/>
          <w:lang w:val="es-ES"/>
        </w:rPr>
        <w:t xml:space="preserve">strategia de comunicación institucional (para dar cumplimiento a la recomendación 3), mientras que el plazo para aplicar la otra </w:t>
      </w:r>
      <w:r w:rsidRPr="00DD6BD7">
        <w:rPr>
          <w:rFonts w:eastAsia="Arial"/>
          <w:szCs w:val="22"/>
          <w:bdr w:val="nil"/>
          <w:lang w:val="es-ES"/>
        </w:rPr>
        <w:t xml:space="preserve">recomendación </w:t>
      </w:r>
      <w:r w:rsidR="00C01326" w:rsidRPr="00DD6BD7">
        <w:rPr>
          <w:rFonts w:eastAsia="Arial"/>
          <w:szCs w:val="22"/>
          <w:bdr w:val="nil"/>
          <w:lang w:val="es-ES"/>
        </w:rPr>
        <w:t>vence</w:t>
      </w:r>
      <w:r w:rsidRPr="00DD6BD7">
        <w:rPr>
          <w:rFonts w:eastAsia="Arial"/>
          <w:szCs w:val="22"/>
          <w:bdr w:val="nil"/>
          <w:lang w:val="es-ES"/>
        </w:rPr>
        <w:t xml:space="preserve"> a finales de diciembre de 2018.</w:t>
      </w:r>
    </w:p>
    <w:p w:rsidR="00D23C8A" w:rsidRPr="00DD6BD7" w:rsidRDefault="001E5D8A" w:rsidP="00D23C8A">
      <w:pPr>
        <w:pStyle w:val="Heading2"/>
        <w:rPr>
          <w:lang w:val="es-ES"/>
        </w:rPr>
      </w:pPr>
      <w:r w:rsidRPr="00DD6BD7">
        <w:rPr>
          <w:rFonts w:eastAsia="Arial"/>
          <w:szCs w:val="22"/>
          <w:bdr w:val="nil"/>
          <w:lang w:val="es-ES"/>
        </w:rPr>
        <w:t>Evaluación de la Oficina Regional en la sede para América Latina y el Caribe</w:t>
      </w:r>
    </w:p>
    <w:p w:rsidR="00D23C8A" w:rsidRPr="00E2647A" w:rsidRDefault="004C50FE" w:rsidP="00D23C8A">
      <w:pPr>
        <w:pStyle w:val="ONUME"/>
        <w:numPr>
          <w:ilvl w:val="0"/>
          <w:numId w:val="3"/>
        </w:numPr>
        <w:rPr>
          <w:lang w:val="es-ES"/>
        </w:rPr>
      </w:pPr>
      <w:r w:rsidRPr="00DD6BD7">
        <w:rPr>
          <w:rFonts w:eastAsia="Arial"/>
          <w:szCs w:val="22"/>
          <w:bdr w:val="nil"/>
          <w:lang w:val="es-ES"/>
        </w:rPr>
        <w:t>A partir la</w:t>
      </w:r>
      <w:r w:rsidR="001E5D8A" w:rsidRPr="00DD6BD7">
        <w:rPr>
          <w:rFonts w:eastAsia="Arial"/>
          <w:szCs w:val="22"/>
          <w:bdr w:val="nil"/>
          <w:lang w:val="es-ES"/>
        </w:rPr>
        <w:t xml:space="preserve"> evaluación </w:t>
      </w:r>
      <w:r w:rsidRPr="00DD6BD7">
        <w:rPr>
          <w:rFonts w:eastAsia="Arial"/>
          <w:szCs w:val="22"/>
          <w:bdr w:val="nil"/>
          <w:lang w:val="es-ES"/>
        </w:rPr>
        <w:t xml:space="preserve">se </w:t>
      </w:r>
      <w:r w:rsidR="001E5D8A" w:rsidRPr="00DD6BD7">
        <w:rPr>
          <w:rFonts w:eastAsia="Arial"/>
          <w:szCs w:val="22"/>
          <w:bdr w:val="nil"/>
          <w:lang w:val="es-ES"/>
        </w:rPr>
        <w:t xml:space="preserve">constató </w:t>
      </w:r>
      <w:r w:rsidR="001E5D8A" w:rsidRPr="00E2647A">
        <w:rPr>
          <w:rFonts w:eastAsia="Arial"/>
          <w:szCs w:val="22"/>
          <w:bdr w:val="nil"/>
          <w:lang w:val="es-ES"/>
        </w:rPr>
        <w:t xml:space="preserve">que la mayoría de las partes interesadas y clientes están muy satisfechos con los servicios que brinda la Oficina Internacional (en cuanto a los niveles de participación en las actividades y </w:t>
      </w:r>
      <w:r w:rsidRPr="00E2647A">
        <w:rPr>
          <w:rFonts w:eastAsia="Arial"/>
          <w:szCs w:val="22"/>
          <w:bdr w:val="nil"/>
          <w:lang w:val="es-ES"/>
        </w:rPr>
        <w:t xml:space="preserve">la </w:t>
      </w:r>
      <w:r w:rsidR="001E5D8A" w:rsidRPr="00E2647A">
        <w:rPr>
          <w:rFonts w:eastAsia="Arial"/>
          <w:szCs w:val="22"/>
          <w:bdr w:val="nil"/>
          <w:lang w:val="es-ES"/>
        </w:rPr>
        <w:t xml:space="preserve">rapidez de respuesta de la Oficina Internacional). Además, el 89% de los encuestados piensan que las respuestas brindadas por la </w:t>
      </w:r>
      <w:r w:rsidR="001E5D8A" w:rsidRPr="00E2647A">
        <w:rPr>
          <w:rFonts w:eastAsia="Arial"/>
          <w:szCs w:val="22"/>
          <w:u w:color="FF0000"/>
          <w:bdr w:val="nil"/>
          <w:lang w:val="es-ES"/>
        </w:rPr>
        <w:t>OMPI</w:t>
      </w:r>
      <w:r w:rsidR="001E5D8A" w:rsidRPr="00E2647A">
        <w:rPr>
          <w:rFonts w:eastAsia="Arial"/>
          <w:szCs w:val="22"/>
          <w:bdr w:val="nil"/>
          <w:lang w:val="es-ES"/>
        </w:rPr>
        <w:t xml:space="preserve"> son útiles.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introducción de planes de trabajo con procesos de planificación más inclusivos ha redundado en una percepción positiva de las partes interesadas con respecto a los servicios </w:t>
      </w:r>
      <w:r w:rsidR="009149C9" w:rsidRPr="00E2647A">
        <w:rPr>
          <w:rFonts w:eastAsia="Arial"/>
          <w:szCs w:val="22"/>
          <w:bdr w:val="nil"/>
          <w:lang w:val="es-ES"/>
        </w:rPr>
        <w:t>ofrecidos</w:t>
      </w:r>
      <w:r w:rsidRPr="00E2647A">
        <w:rPr>
          <w:rFonts w:eastAsia="Arial"/>
          <w:szCs w:val="22"/>
          <w:bdr w:val="nil"/>
          <w:lang w:val="es-ES"/>
        </w:rPr>
        <w:t xml:space="preserve"> por la </w:t>
      </w:r>
      <w:r w:rsidRPr="00E2647A">
        <w:rPr>
          <w:rFonts w:eastAsia="Arial"/>
          <w:szCs w:val="22"/>
          <w:u w:color="FF0000"/>
          <w:bdr w:val="nil"/>
          <w:lang w:val="es-ES"/>
        </w:rPr>
        <w:t>OMPI</w:t>
      </w:r>
      <w:r w:rsidRPr="00E2647A">
        <w:rPr>
          <w:rFonts w:eastAsia="Arial"/>
          <w:szCs w:val="22"/>
          <w:bdr w:val="nil"/>
          <w:lang w:val="es-ES"/>
        </w:rPr>
        <w:t xml:space="preserve">. Una gran mayoría de los clientes y partes interesadas expresaron su satisfacción por el conocimiento que la oficina regional tiene de los países y de sus homólogos nacionales; asimismo, la amplia mayoría dijo estar muy satisfecha con el intercambio de experiencias promovidas por la </w:t>
      </w:r>
      <w:r w:rsidRPr="00E2647A">
        <w:rPr>
          <w:rFonts w:eastAsia="Arial"/>
          <w:szCs w:val="22"/>
          <w:u w:color="FF0000"/>
          <w:bdr w:val="nil"/>
          <w:lang w:val="es-ES"/>
        </w:rPr>
        <w:t>OMPI</w:t>
      </w:r>
      <w:r w:rsidRPr="00E2647A">
        <w:rPr>
          <w:rFonts w:eastAsia="Arial"/>
          <w:szCs w:val="22"/>
          <w:bdr w:val="nil"/>
          <w:lang w:val="es-ES"/>
        </w:rPr>
        <w:t xml:space="preserve"> en la región. Las buenas prácticas en materia de propiedad intelectual (</w:t>
      </w:r>
      <w:r w:rsidRPr="00E2647A">
        <w:rPr>
          <w:rFonts w:eastAsia="Arial"/>
          <w:szCs w:val="22"/>
          <w:u w:color="FF0000"/>
          <w:bdr w:val="nil"/>
          <w:lang w:val="es-ES"/>
        </w:rPr>
        <w:t>PI</w:t>
      </w:r>
      <w:r w:rsidRPr="00E2647A">
        <w:rPr>
          <w:rFonts w:eastAsia="Arial"/>
          <w:szCs w:val="22"/>
          <w:bdr w:val="nil"/>
          <w:lang w:val="es-ES"/>
        </w:rPr>
        <w:t>) fueron reproducidas en la región. Los servicios y las actividades se consideran impor</w:t>
      </w:r>
      <w:r w:rsidR="009149C9" w:rsidRPr="00E2647A">
        <w:rPr>
          <w:rFonts w:eastAsia="Arial"/>
          <w:szCs w:val="22"/>
          <w:bdr w:val="nil"/>
          <w:lang w:val="es-ES"/>
        </w:rPr>
        <w:t>tantes y generan valor añadido para los países a los que atiende</w:t>
      </w:r>
      <w:r w:rsidRPr="00E2647A">
        <w:rPr>
          <w:rFonts w:eastAsia="Arial"/>
          <w:szCs w:val="22"/>
          <w:bdr w:val="nil"/>
          <w:lang w:val="es-ES"/>
        </w:rPr>
        <w:t xml:space="preserve">. El proceso de consulta entre los Estados miembros y la </w:t>
      </w:r>
      <w:r w:rsidRPr="00E2647A">
        <w:rPr>
          <w:rFonts w:eastAsia="Arial"/>
          <w:szCs w:val="22"/>
          <w:u w:color="FF0000"/>
          <w:bdr w:val="nil"/>
          <w:lang w:val="es-ES"/>
        </w:rPr>
        <w:t>OMPI</w:t>
      </w:r>
      <w:r w:rsidRPr="00E2647A">
        <w:rPr>
          <w:rFonts w:eastAsia="Arial"/>
          <w:szCs w:val="22"/>
          <w:bdr w:val="nil"/>
          <w:lang w:val="es-ES"/>
        </w:rPr>
        <w:t xml:space="preserve"> ha mejorado, tanto en c</w:t>
      </w:r>
      <w:r w:rsidR="009E695B" w:rsidRPr="00E2647A">
        <w:rPr>
          <w:rFonts w:eastAsia="Arial"/>
          <w:szCs w:val="22"/>
          <w:bdr w:val="nil"/>
          <w:lang w:val="es-ES"/>
        </w:rPr>
        <w:t>uanto a la calidad (estructura)</w:t>
      </w:r>
      <w:r w:rsidRPr="00E2647A">
        <w:rPr>
          <w:rFonts w:eastAsia="Arial"/>
          <w:szCs w:val="22"/>
          <w:bdr w:val="nil"/>
          <w:lang w:val="es-ES"/>
        </w:rPr>
        <w:t xml:space="preserve"> como a la cantidad, sobre todo </w:t>
      </w:r>
      <w:r w:rsidR="009149C9" w:rsidRPr="00E2647A">
        <w:rPr>
          <w:rFonts w:eastAsia="Arial"/>
          <w:szCs w:val="22"/>
          <w:bdr w:val="nil"/>
          <w:lang w:val="es-ES"/>
        </w:rPr>
        <w:t>a partir de</w:t>
      </w:r>
      <w:r w:rsidRPr="00E2647A">
        <w:rPr>
          <w:rFonts w:eastAsia="Arial"/>
          <w:szCs w:val="22"/>
          <w:bdr w:val="nil"/>
          <w:lang w:val="es-ES"/>
        </w:rPr>
        <w:t xml:space="preserve"> 2016.</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En función de las observaciones y conclusiones, en la evaluación se recomendó que la Oficina Regional en la sede para América Latina y el Caribe debería velar por que el componente de género se incluya en las actividades diseñadas y </w:t>
      </w:r>
      <w:r w:rsidR="00545A5E" w:rsidRPr="00E2647A">
        <w:rPr>
          <w:rFonts w:eastAsia="Arial"/>
          <w:szCs w:val="22"/>
          <w:bdr w:val="nil"/>
          <w:lang w:val="es-ES"/>
        </w:rPr>
        <w:t>realizadas</w:t>
      </w:r>
      <w:r w:rsidRPr="00E2647A">
        <w:rPr>
          <w:rFonts w:eastAsia="Arial"/>
          <w:szCs w:val="22"/>
          <w:bdr w:val="nil"/>
          <w:lang w:val="es-ES"/>
        </w:rPr>
        <w:t>, de conformidad con la política institucional de</w:t>
      </w:r>
      <w:r w:rsidR="00545A5E" w:rsidRPr="00E2647A">
        <w:rPr>
          <w:rFonts w:eastAsia="Arial"/>
          <w:szCs w:val="22"/>
          <w:bdr w:val="nil"/>
          <w:lang w:val="es-ES"/>
        </w:rPr>
        <w:t xml:space="preserve"> la </w:t>
      </w:r>
      <w:r w:rsidR="00545A5E" w:rsidRPr="00E2647A">
        <w:rPr>
          <w:rFonts w:eastAsia="Arial"/>
          <w:szCs w:val="22"/>
          <w:u w:color="FF0000"/>
          <w:bdr w:val="nil"/>
          <w:lang w:val="es-ES"/>
        </w:rPr>
        <w:t>OMPI</w:t>
      </w:r>
      <w:r w:rsidR="00545A5E" w:rsidRPr="00E2647A">
        <w:rPr>
          <w:rFonts w:eastAsia="Arial"/>
          <w:szCs w:val="22"/>
          <w:bdr w:val="nil"/>
          <w:lang w:val="es-ES"/>
        </w:rPr>
        <w:t xml:space="preserve"> en materia de género. </w:t>
      </w:r>
      <w:r w:rsidRPr="00E2647A">
        <w:rPr>
          <w:rFonts w:eastAsia="Arial"/>
          <w:szCs w:val="22"/>
          <w:bdr w:val="nil"/>
          <w:lang w:val="es-ES"/>
        </w:rPr>
        <w:t xml:space="preserve">Por otro lado, </w:t>
      </w:r>
      <w:r w:rsidR="00DD6BD7">
        <w:rPr>
          <w:rFonts w:eastAsia="Arial"/>
          <w:szCs w:val="22"/>
          <w:bdr w:val="nil"/>
          <w:lang w:val="es-ES"/>
        </w:rPr>
        <w:t>esta oficina regional en la sede</w:t>
      </w:r>
      <w:r w:rsidRPr="00E2647A">
        <w:rPr>
          <w:rFonts w:eastAsia="Arial"/>
          <w:szCs w:val="22"/>
          <w:bdr w:val="nil"/>
          <w:lang w:val="es-ES"/>
        </w:rPr>
        <w:t xml:space="preserve"> debería institucionalizar la capacidad de respuesta mediante el establecimiento de protocolos y procedimientos para comunicar y responder a las demandas o solicitudes de los países; </w:t>
      </w:r>
      <w:r w:rsidR="00DD6BD7">
        <w:rPr>
          <w:rFonts w:eastAsia="Arial"/>
          <w:szCs w:val="22"/>
          <w:bdr w:val="nil"/>
          <w:lang w:val="es-ES"/>
        </w:rPr>
        <w:t>esta oficina regional en la sede</w:t>
      </w:r>
      <w:r w:rsidRPr="00E2647A">
        <w:rPr>
          <w:rFonts w:eastAsia="Arial"/>
          <w:szCs w:val="22"/>
          <w:bdr w:val="nil"/>
          <w:lang w:val="es-ES"/>
        </w:rPr>
        <w:t xml:space="preserve"> debería sistematizar la planificación del trabajo actual, el marco de resultados y el sistema de vigilancia, así como establecer una estrategia clara de gestión de los conocimientos. Por último, cuando se revisen las condiciones contractuales vigentes de los fondos fiduciarios deberían establecerse</w:t>
      </w:r>
      <w:r w:rsidR="009E695B" w:rsidRPr="00E2647A">
        <w:rPr>
          <w:rFonts w:eastAsia="Arial"/>
          <w:szCs w:val="22"/>
          <w:bdr w:val="nil"/>
          <w:lang w:val="es-ES"/>
        </w:rPr>
        <w:t xml:space="preserve"> </w:t>
      </w:r>
      <w:r w:rsidRPr="00E2647A">
        <w:rPr>
          <w:rFonts w:eastAsia="Arial"/>
          <w:szCs w:val="22"/>
          <w:bdr w:val="nil"/>
          <w:lang w:val="es-ES"/>
        </w:rPr>
        <w:t>criterio</w:t>
      </w:r>
      <w:r w:rsidR="009E695B" w:rsidRPr="00E2647A">
        <w:rPr>
          <w:rFonts w:eastAsia="Arial"/>
          <w:szCs w:val="22"/>
          <w:bdr w:val="nil"/>
          <w:lang w:val="es-ES"/>
        </w:rPr>
        <w:t>s</w:t>
      </w:r>
      <w:r w:rsidRPr="00E2647A">
        <w:rPr>
          <w:rFonts w:eastAsia="Arial"/>
          <w:szCs w:val="22"/>
          <w:bdr w:val="nil"/>
          <w:lang w:val="es-ES"/>
        </w:rPr>
        <w:t xml:space="preserve"> básicos </w:t>
      </w:r>
      <w:r w:rsidR="00636064" w:rsidRPr="00E2647A">
        <w:rPr>
          <w:rFonts w:eastAsia="Arial"/>
          <w:szCs w:val="22"/>
          <w:bdr w:val="nil"/>
          <w:lang w:val="es-ES"/>
        </w:rPr>
        <w:t>sobre</w:t>
      </w:r>
      <w:r w:rsidR="00545A5E" w:rsidRPr="00E2647A">
        <w:rPr>
          <w:rFonts w:eastAsia="Arial"/>
          <w:szCs w:val="22"/>
          <w:bdr w:val="nil"/>
          <w:lang w:val="es-ES"/>
        </w:rPr>
        <w:t xml:space="preserve"> las buenas prácticas para </w:t>
      </w:r>
      <w:r w:rsidR="00746229" w:rsidRPr="00E2647A">
        <w:rPr>
          <w:rFonts w:eastAsia="Arial"/>
          <w:szCs w:val="22"/>
          <w:bdr w:val="nil"/>
          <w:lang w:val="es-ES"/>
        </w:rPr>
        <w:t>presupuestar</w:t>
      </w:r>
      <w:r w:rsidR="00545A5E" w:rsidRPr="00E2647A">
        <w:rPr>
          <w:rFonts w:eastAsia="Arial"/>
          <w:szCs w:val="22"/>
          <w:bdr w:val="nil"/>
          <w:lang w:val="es-ES"/>
        </w:rPr>
        <w:t xml:space="preserve"> y realizar transferencias de</w:t>
      </w:r>
      <w:r w:rsidRPr="00E2647A">
        <w:rPr>
          <w:rFonts w:eastAsia="Arial"/>
          <w:szCs w:val="22"/>
          <w:bdr w:val="nil"/>
          <w:lang w:val="es-ES"/>
        </w:rPr>
        <w:t xml:space="preserve"> otro</w:t>
      </w:r>
      <w:r w:rsidR="009E695B" w:rsidRPr="00E2647A">
        <w:rPr>
          <w:rFonts w:eastAsia="Arial"/>
          <w:szCs w:val="22"/>
          <w:bdr w:val="nil"/>
          <w:lang w:val="es-ES"/>
        </w:rPr>
        <w:t>s</w:t>
      </w:r>
      <w:r w:rsidRPr="00E2647A">
        <w:rPr>
          <w:rFonts w:eastAsia="Arial"/>
          <w:szCs w:val="22"/>
          <w:bdr w:val="nil"/>
          <w:lang w:val="es-ES"/>
        </w:rPr>
        <w:t xml:space="preserve"> fondos fiduciario</w:t>
      </w:r>
      <w:r w:rsidR="009E695B" w:rsidRPr="00E2647A">
        <w:rPr>
          <w:rFonts w:eastAsia="Arial"/>
          <w:szCs w:val="22"/>
          <w:bdr w:val="nil"/>
          <w:lang w:val="es-ES"/>
        </w:rPr>
        <w:t>s</w:t>
      </w:r>
      <w:r w:rsidRPr="00E2647A">
        <w:rPr>
          <w:rFonts w:eastAsia="Arial"/>
          <w:szCs w:val="22"/>
          <w:bdr w:val="nil"/>
          <w:lang w:val="es-ES"/>
        </w:rPr>
        <w:t>, de manera de garantizar una utilización eficiente de los recursos.</w:t>
      </w:r>
    </w:p>
    <w:p w:rsidR="00D23C8A" w:rsidRPr="00DD6BD7" w:rsidRDefault="001E5D8A" w:rsidP="00D23C8A">
      <w:pPr>
        <w:pStyle w:val="ONUME"/>
        <w:numPr>
          <w:ilvl w:val="0"/>
          <w:numId w:val="3"/>
        </w:numPr>
        <w:rPr>
          <w:lang w:val="es-ES"/>
        </w:rPr>
      </w:pPr>
      <w:r w:rsidRPr="00E2647A">
        <w:rPr>
          <w:rFonts w:eastAsia="Arial"/>
          <w:szCs w:val="22"/>
          <w:bdr w:val="nil"/>
          <w:lang w:val="es-ES"/>
        </w:rPr>
        <w:t xml:space="preserve">Las cinco recomendaciones correspondientes a esta evaluación están siendo objeto de debate a nivel interno, y el proceso </w:t>
      </w:r>
      <w:r w:rsidRPr="00DD6BD7">
        <w:rPr>
          <w:rFonts w:eastAsia="Arial"/>
          <w:szCs w:val="22"/>
          <w:bdr w:val="nil"/>
          <w:lang w:val="es-ES"/>
        </w:rPr>
        <w:t>de aplicación finalizará antes de diciembre de 2019.</w:t>
      </w:r>
    </w:p>
    <w:p w:rsidR="00D23C8A" w:rsidRPr="00DD6BD7" w:rsidRDefault="001E5D8A" w:rsidP="00D23C8A">
      <w:pPr>
        <w:pStyle w:val="Heading2"/>
        <w:rPr>
          <w:lang w:val="es-ES"/>
        </w:rPr>
      </w:pPr>
      <w:r w:rsidRPr="00DD6BD7">
        <w:rPr>
          <w:rFonts w:eastAsia="Arial"/>
          <w:szCs w:val="22"/>
          <w:bdr w:val="nil"/>
          <w:lang w:val="es-ES"/>
        </w:rPr>
        <w:t xml:space="preserve">Evaluación del programa 18: La </w:t>
      </w:r>
      <w:r w:rsidRPr="00DD6BD7">
        <w:rPr>
          <w:rFonts w:eastAsia="Arial"/>
          <w:szCs w:val="22"/>
          <w:u w:color="FF0000"/>
          <w:bdr w:val="nil"/>
          <w:lang w:val="es-ES"/>
        </w:rPr>
        <w:t>PI</w:t>
      </w:r>
      <w:r w:rsidRPr="00DD6BD7">
        <w:rPr>
          <w:rFonts w:eastAsia="Arial"/>
          <w:szCs w:val="22"/>
          <w:bdr w:val="nil"/>
          <w:lang w:val="es-ES"/>
        </w:rPr>
        <w:t xml:space="preserve"> y los desafíos mundiales</w:t>
      </w:r>
    </w:p>
    <w:p w:rsidR="00D23C8A" w:rsidRPr="00E2647A" w:rsidRDefault="00F138CF" w:rsidP="00F138CF">
      <w:pPr>
        <w:pStyle w:val="ONUME"/>
        <w:numPr>
          <w:ilvl w:val="0"/>
          <w:numId w:val="3"/>
        </w:numPr>
        <w:rPr>
          <w:lang w:val="es-ES"/>
        </w:rPr>
      </w:pPr>
      <w:r w:rsidRPr="00DD6BD7">
        <w:rPr>
          <w:rFonts w:eastAsia="Arial"/>
          <w:szCs w:val="22"/>
          <w:bdr w:val="nil"/>
          <w:lang w:val="es-ES"/>
        </w:rPr>
        <w:t xml:space="preserve">En función de los principales resultados </w:t>
      </w:r>
      <w:r w:rsidRPr="00E2647A">
        <w:rPr>
          <w:rFonts w:eastAsia="Arial"/>
          <w:szCs w:val="22"/>
          <w:bdr w:val="nil"/>
          <w:lang w:val="es-ES"/>
        </w:rPr>
        <w:t xml:space="preserve">de la evaluación se concluyó que el programa 18 contribuye eficazmente a la meta estratégica de la </w:t>
      </w:r>
      <w:r w:rsidRPr="00E2647A">
        <w:rPr>
          <w:rFonts w:eastAsia="Arial"/>
          <w:szCs w:val="22"/>
          <w:u w:color="FF0000"/>
          <w:bdr w:val="nil"/>
          <w:lang w:val="es-ES"/>
        </w:rPr>
        <w:t>OMPI</w:t>
      </w:r>
      <w:r w:rsidRPr="00E2647A">
        <w:rPr>
          <w:rFonts w:eastAsia="Arial"/>
          <w:szCs w:val="22"/>
          <w:bdr w:val="nil"/>
          <w:lang w:val="es-ES"/>
        </w:rPr>
        <w:t xml:space="preserve"> de establecer vínculos entre la </w:t>
      </w:r>
      <w:r w:rsidRPr="00E2647A">
        <w:rPr>
          <w:rFonts w:eastAsia="Arial"/>
          <w:szCs w:val="22"/>
          <w:u w:color="FF0000"/>
          <w:bdr w:val="nil"/>
          <w:lang w:val="es-ES"/>
        </w:rPr>
        <w:t>PI</w:t>
      </w:r>
      <w:r w:rsidRPr="00E2647A">
        <w:rPr>
          <w:rFonts w:eastAsia="Arial"/>
          <w:szCs w:val="22"/>
          <w:bdr w:val="nil"/>
          <w:lang w:val="es-ES"/>
        </w:rPr>
        <w:t xml:space="preserve"> y los problemas mundiales de política pública</w:t>
      </w:r>
      <w:r w:rsidR="001E5D8A" w:rsidRPr="00E2647A">
        <w:rPr>
          <w:rFonts w:eastAsia="Arial"/>
          <w:szCs w:val="22"/>
          <w:bdr w:val="nil"/>
          <w:lang w:val="es-ES"/>
        </w:rPr>
        <w:t xml:space="preserve">. El programa le ha dado gran visibilidad y participación a la </w:t>
      </w:r>
      <w:r w:rsidR="001E5D8A" w:rsidRPr="00E2647A">
        <w:rPr>
          <w:rFonts w:eastAsia="Arial"/>
          <w:szCs w:val="22"/>
          <w:u w:color="FF0000"/>
          <w:bdr w:val="nil"/>
          <w:lang w:val="es-ES"/>
        </w:rPr>
        <w:t>OMPI</w:t>
      </w:r>
      <w:r w:rsidR="001E5D8A" w:rsidRPr="00E2647A">
        <w:rPr>
          <w:rFonts w:eastAsia="Arial"/>
          <w:szCs w:val="22"/>
          <w:bdr w:val="nil"/>
          <w:lang w:val="es-ES"/>
        </w:rPr>
        <w:t xml:space="preserve"> en los debates importantes sobre las políticas relacionadas con la </w:t>
      </w:r>
      <w:r w:rsidRPr="00E2647A">
        <w:rPr>
          <w:rFonts w:eastAsia="Arial"/>
          <w:szCs w:val="22"/>
          <w:bdr w:val="nil"/>
          <w:lang w:val="es-ES"/>
        </w:rPr>
        <w:t>propiedad intelectual</w:t>
      </w:r>
      <w:r w:rsidR="001E5D8A" w:rsidRPr="00E2647A">
        <w:rPr>
          <w:rFonts w:eastAsia="Arial"/>
          <w:szCs w:val="22"/>
          <w:bdr w:val="nil"/>
          <w:lang w:val="es-ES"/>
        </w:rPr>
        <w:t xml:space="preserve">, lo que, a su vez, ha ayudado a mejorar la calidad y la objetividad de esos debates. El enfoque del programa de utilizar alianzas </w:t>
      </w:r>
      <w:r w:rsidR="001E5D8A" w:rsidRPr="00E2647A">
        <w:rPr>
          <w:rFonts w:eastAsia="Arial"/>
          <w:szCs w:val="22"/>
          <w:u w:color="FF0000"/>
          <w:bdr w:val="nil"/>
          <w:lang w:val="es-ES"/>
        </w:rPr>
        <w:t>multisectoriales</w:t>
      </w:r>
      <w:r w:rsidR="001E5D8A" w:rsidRPr="00E2647A">
        <w:rPr>
          <w:rFonts w:eastAsia="Arial"/>
          <w:szCs w:val="22"/>
          <w:bdr w:val="nil"/>
          <w:lang w:val="es-ES"/>
        </w:rPr>
        <w:t xml:space="preserve"> como forma de comprender y abordar los problemas vinculados a la </w:t>
      </w:r>
      <w:r w:rsidR="001E5D8A" w:rsidRPr="00E2647A">
        <w:rPr>
          <w:rFonts w:eastAsia="Arial"/>
          <w:szCs w:val="22"/>
          <w:u w:color="FF0000"/>
          <w:bdr w:val="nil"/>
          <w:lang w:val="es-ES"/>
        </w:rPr>
        <w:t>PI</w:t>
      </w:r>
      <w:r w:rsidR="001E5D8A" w:rsidRPr="00E2647A">
        <w:rPr>
          <w:rFonts w:eastAsia="Arial"/>
          <w:szCs w:val="22"/>
          <w:bdr w:val="nil"/>
          <w:lang w:val="es-ES"/>
        </w:rPr>
        <w:t xml:space="preserve"> ha sido eficaz. Con frecuencia se ha señalado a la cooperación </w:t>
      </w:r>
      <w:r w:rsidR="001E5D8A" w:rsidRPr="00E2647A">
        <w:rPr>
          <w:rFonts w:eastAsia="Arial"/>
          <w:szCs w:val="22"/>
          <w:u w:color="FF0000"/>
          <w:bdr w:val="nil"/>
          <w:lang w:val="es-ES"/>
        </w:rPr>
        <w:t>trilateral</w:t>
      </w:r>
      <w:r w:rsidR="001E5D8A" w:rsidRPr="00E2647A">
        <w:rPr>
          <w:rFonts w:eastAsia="Arial"/>
          <w:szCs w:val="22"/>
          <w:bdr w:val="nil"/>
          <w:lang w:val="es-ES"/>
        </w:rPr>
        <w:t xml:space="preserve"> como la contribución más valiosa del programa 18.</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Si bien la evaluación general del programa fue positiva, se identificaron aspectos del programa que podrían mejorarse. Por otro lado, la estrategia del programa que guía el desarrollo continuo de todas las actividades del programa 18 deberían complementarse con una estrategia a cinco años para </w:t>
      </w:r>
      <w:r w:rsidRPr="00E2647A">
        <w:rPr>
          <w:rFonts w:eastAsia="Arial"/>
          <w:szCs w:val="22"/>
          <w:u w:color="FF0000"/>
          <w:bdr w:val="nil"/>
          <w:lang w:val="es-ES"/>
        </w:rPr>
        <w:t>WIPO</w:t>
      </w:r>
      <w:r w:rsidRPr="00E2647A">
        <w:rPr>
          <w:rFonts w:eastAsia="Arial"/>
          <w:szCs w:val="22"/>
          <w:bdr w:val="nil"/>
          <w:lang w:val="es-ES"/>
        </w:rPr>
        <w:t xml:space="preserve"> </w:t>
      </w:r>
      <w:r w:rsidRPr="00E2647A">
        <w:rPr>
          <w:rFonts w:eastAsia="Arial"/>
          <w:szCs w:val="22"/>
          <w:u w:color="FF0000"/>
          <w:bdr w:val="nil"/>
          <w:lang w:val="es-ES"/>
        </w:rPr>
        <w:t>GREEN</w:t>
      </w:r>
      <w:r w:rsidRPr="00E2647A">
        <w:rPr>
          <w:rFonts w:eastAsia="Arial"/>
          <w:szCs w:val="22"/>
          <w:bdr w:val="nil"/>
          <w:lang w:val="es-ES"/>
        </w:rPr>
        <w:t xml:space="preserve">, proceso que debería contar con el </w:t>
      </w:r>
      <w:r w:rsidR="00CC0FDD" w:rsidRPr="00E2647A">
        <w:rPr>
          <w:rFonts w:eastAsia="Arial"/>
          <w:szCs w:val="22"/>
          <w:bdr w:val="nil"/>
          <w:lang w:val="es-ES"/>
        </w:rPr>
        <w:t>apoyo</w:t>
      </w:r>
      <w:r w:rsidRPr="00E2647A">
        <w:rPr>
          <w:rFonts w:eastAsia="Arial"/>
          <w:szCs w:val="22"/>
          <w:bdr w:val="nil"/>
          <w:lang w:val="es-ES"/>
        </w:rPr>
        <w:t xml:space="preserve"> de </w:t>
      </w:r>
      <w:r w:rsidRPr="00E2647A">
        <w:rPr>
          <w:rFonts w:eastAsia="Arial"/>
          <w:szCs w:val="22"/>
          <w:bdr w:val="nil"/>
          <w:lang w:val="es-ES"/>
        </w:rPr>
        <w:lastRenderedPageBreak/>
        <w:t xml:space="preserve">un grupo consultivo de expertos. Asimismo, la </w:t>
      </w:r>
      <w:r w:rsidRPr="00E2647A">
        <w:rPr>
          <w:rFonts w:eastAsia="Arial"/>
          <w:szCs w:val="22"/>
          <w:u w:color="FF0000"/>
          <w:bdr w:val="nil"/>
          <w:lang w:val="es-ES"/>
        </w:rPr>
        <w:t>OMPI</w:t>
      </w:r>
      <w:r w:rsidRPr="00E2647A">
        <w:rPr>
          <w:rFonts w:eastAsia="Arial"/>
          <w:szCs w:val="22"/>
          <w:bdr w:val="nil"/>
          <w:lang w:val="es-ES"/>
        </w:rPr>
        <w:t xml:space="preserve"> debería mejorar la dotación de recursos para cerrar la brecha existente, en materia de competencias, del personal del programa 18 en </w:t>
      </w:r>
      <w:r w:rsidRPr="00E2647A">
        <w:rPr>
          <w:rFonts w:eastAsia="Arial"/>
          <w:szCs w:val="22"/>
          <w:u w:color="FF0000"/>
          <w:bdr w:val="nil"/>
          <w:lang w:val="es-ES"/>
        </w:rPr>
        <w:t>WIPO</w:t>
      </w:r>
      <w:r w:rsidRPr="00E2647A">
        <w:rPr>
          <w:rFonts w:eastAsia="Arial"/>
          <w:szCs w:val="22"/>
          <w:bdr w:val="nil"/>
          <w:lang w:val="es-ES"/>
        </w:rPr>
        <w:t xml:space="preserve"> </w:t>
      </w:r>
      <w:r w:rsidRPr="00E2647A">
        <w:rPr>
          <w:rFonts w:eastAsia="Arial"/>
          <w:szCs w:val="22"/>
          <w:u w:color="FF0000"/>
          <w:bdr w:val="nil"/>
          <w:lang w:val="es-ES"/>
        </w:rPr>
        <w:t>GREEN</w:t>
      </w:r>
      <w:r w:rsidRPr="00E2647A">
        <w:rPr>
          <w:rFonts w:eastAsia="Arial"/>
          <w:szCs w:val="22"/>
          <w:bdr w:val="nil"/>
          <w:lang w:val="es-ES"/>
        </w:rPr>
        <w:t xml:space="preserve"> asignado al trabajo del programa sobre cambio climático, y debería además considerar</w:t>
      </w:r>
      <w:r w:rsidR="00CC0FDD" w:rsidRPr="00E2647A">
        <w:rPr>
          <w:rFonts w:eastAsia="Arial"/>
          <w:szCs w:val="22"/>
          <w:bdr w:val="nil"/>
          <w:lang w:val="es-ES"/>
        </w:rPr>
        <w:t>se</w:t>
      </w:r>
      <w:r w:rsidRPr="00E2647A">
        <w:rPr>
          <w:rFonts w:eastAsia="Arial"/>
          <w:szCs w:val="22"/>
          <w:bdr w:val="nil"/>
          <w:lang w:val="es-ES"/>
        </w:rPr>
        <w:t xml:space="preserve"> la posibilidad de fortalecer el modelo de cooperación </w:t>
      </w:r>
      <w:r w:rsidRPr="00E2647A">
        <w:rPr>
          <w:rFonts w:eastAsia="Arial"/>
          <w:szCs w:val="22"/>
          <w:u w:color="FF0000"/>
          <w:bdr w:val="nil"/>
          <w:lang w:val="es-ES"/>
        </w:rPr>
        <w:t>trilateral</w:t>
      </w:r>
      <w:r w:rsidRPr="00E2647A">
        <w:rPr>
          <w:rFonts w:eastAsia="Arial"/>
          <w:szCs w:val="22"/>
          <w:bdr w:val="nil"/>
          <w:lang w:val="es-ES"/>
        </w:rPr>
        <w:t xml:space="preserve"> </w:t>
      </w:r>
      <w:r w:rsidR="00CC0FDD" w:rsidRPr="00E2647A">
        <w:rPr>
          <w:rFonts w:eastAsia="Arial"/>
          <w:szCs w:val="22"/>
          <w:bdr w:val="nil"/>
          <w:lang w:val="es-ES"/>
        </w:rPr>
        <w:t xml:space="preserve">con la Organización Mundial de la Salud </w:t>
      </w:r>
      <w:r w:rsidRPr="00E2647A">
        <w:rPr>
          <w:rFonts w:eastAsia="Arial"/>
          <w:szCs w:val="22"/>
          <w:bdr w:val="nil"/>
          <w:lang w:val="es-ES"/>
        </w:rPr>
        <w:t xml:space="preserve">y con la Organización Mundial del Comercio en la </w:t>
      </w:r>
      <w:r w:rsidRPr="00E2647A">
        <w:rPr>
          <w:rFonts w:eastAsia="Arial"/>
          <w:szCs w:val="22"/>
          <w:u w:color="FF0000"/>
          <w:bdr w:val="nil"/>
          <w:lang w:val="es-ES"/>
        </w:rPr>
        <w:t>profundización</w:t>
      </w:r>
      <w:r w:rsidRPr="00E2647A">
        <w:rPr>
          <w:rFonts w:eastAsia="Arial"/>
          <w:szCs w:val="22"/>
          <w:bdr w:val="nil"/>
          <w:lang w:val="es-ES"/>
        </w:rPr>
        <w:t xml:space="preserve"> de las colaboraciones con organismos multilaterales, organismos internacionales u otras organizaciones de las Naciones Unidas </w:t>
      </w:r>
      <w:r w:rsidR="00CC0FDD" w:rsidRPr="00E2647A">
        <w:rPr>
          <w:rFonts w:eastAsia="Arial"/>
          <w:szCs w:val="22"/>
          <w:bdr w:val="nil"/>
          <w:lang w:val="es-ES"/>
        </w:rPr>
        <w:t>competentes</w:t>
      </w:r>
      <w:r w:rsidRPr="00E2647A">
        <w:rPr>
          <w:rFonts w:eastAsia="Arial"/>
          <w:szCs w:val="22"/>
          <w:bdr w:val="nil"/>
          <w:lang w:val="es-ES"/>
        </w:rPr>
        <w:t xml:space="preserve">. La </w:t>
      </w:r>
      <w:r w:rsidRPr="00E2647A">
        <w:rPr>
          <w:rFonts w:eastAsia="Arial"/>
          <w:szCs w:val="22"/>
          <w:u w:color="FF0000"/>
          <w:bdr w:val="nil"/>
          <w:lang w:val="es-ES"/>
        </w:rPr>
        <w:t>OMPI</w:t>
      </w:r>
      <w:r w:rsidRPr="00E2647A">
        <w:rPr>
          <w:rFonts w:eastAsia="Arial"/>
          <w:szCs w:val="22"/>
          <w:bdr w:val="nil"/>
          <w:lang w:val="es-ES"/>
        </w:rPr>
        <w:t xml:space="preserve"> debería además fortalecer su </w:t>
      </w:r>
      <w:r w:rsidR="00CC0FDD" w:rsidRPr="00E2647A">
        <w:rPr>
          <w:rFonts w:eastAsia="Arial"/>
          <w:szCs w:val="22"/>
          <w:bdr w:val="nil"/>
          <w:lang w:val="es-ES"/>
        </w:rPr>
        <w:t>actual colaboración, apoyo y seguimiento de</w:t>
      </w:r>
      <w:r w:rsidRPr="00E2647A">
        <w:rPr>
          <w:rFonts w:eastAsia="Arial"/>
          <w:szCs w:val="22"/>
          <w:bdr w:val="nil"/>
          <w:lang w:val="es-ES"/>
        </w:rPr>
        <w:t xml:space="preserve"> las alianzas establecidas a partir del programa 18, con el fin de mejorar </w:t>
      </w:r>
      <w:r w:rsidR="00CC0FDD" w:rsidRPr="00E2647A">
        <w:rPr>
          <w:rFonts w:eastAsia="Arial"/>
          <w:szCs w:val="22"/>
          <w:bdr w:val="nil"/>
          <w:lang w:val="es-ES"/>
        </w:rPr>
        <w:t>las evaluaciones</w:t>
      </w:r>
      <w:r w:rsidRPr="00E2647A">
        <w:rPr>
          <w:rFonts w:eastAsia="Arial"/>
          <w:szCs w:val="22"/>
          <w:bdr w:val="nil"/>
          <w:lang w:val="es-ES"/>
        </w:rPr>
        <w:t xml:space="preserve"> y generar un impacto a largo plazo.</w:t>
      </w:r>
    </w:p>
    <w:p w:rsidR="00D23C8A" w:rsidRPr="00DD6BD7" w:rsidRDefault="001E5D8A" w:rsidP="00D23C8A">
      <w:pPr>
        <w:pStyle w:val="ONUME"/>
        <w:numPr>
          <w:ilvl w:val="0"/>
          <w:numId w:val="3"/>
        </w:numPr>
        <w:rPr>
          <w:lang w:val="es-ES"/>
        </w:rPr>
      </w:pPr>
      <w:r w:rsidRPr="00E2647A">
        <w:rPr>
          <w:rFonts w:eastAsia="Arial"/>
          <w:szCs w:val="22"/>
          <w:bdr w:val="nil"/>
          <w:lang w:val="es-ES"/>
        </w:rPr>
        <w:t xml:space="preserve">Las cuatro recomendaciones para </w:t>
      </w:r>
      <w:r w:rsidRPr="00DD6BD7">
        <w:rPr>
          <w:rFonts w:eastAsia="Arial"/>
          <w:szCs w:val="22"/>
          <w:bdr w:val="nil"/>
          <w:lang w:val="es-ES"/>
        </w:rPr>
        <w:t>esta evaluación están en proceso de aplicación, el cual concluirá antes de diciembre de 2018.</w:t>
      </w:r>
    </w:p>
    <w:p w:rsidR="00D23C8A" w:rsidRPr="00DD6BD7" w:rsidRDefault="001E5D8A" w:rsidP="00D23C8A">
      <w:pPr>
        <w:pStyle w:val="Heading2"/>
        <w:rPr>
          <w:lang w:val="es-ES"/>
        </w:rPr>
      </w:pPr>
      <w:r w:rsidRPr="00DD6BD7">
        <w:rPr>
          <w:rFonts w:eastAsia="Arial"/>
          <w:szCs w:val="22"/>
          <w:bdr w:val="nil"/>
          <w:lang w:val="es-ES"/>
        </w:rPr>
        <w:t>Evaluación del desarrollo de competencias en materia de propiedad intelectual</w:t>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Las principales conclusiones </w:t>
      </w:r>
      <w:r w:rsidR="0086625A" w:rsidRPr="00DD6BD7">
        <w:rPr>
          <w:rFonts w:eastAsia="Arial"/>
          <w:szCs w:val="22"/>
          <w:bdr w:val="nil"/>
          <w:lang w:val="es-ES"/>
        </w:rPr>
        <w:t>extraídas de</w:t>
      </w:r>
      <w:r w:rsidRPr="00DD6BD7">
        <w:rPr>
          <w:rFonts w:eastAsia="Arial"/>
          <w:szCs w:val="22"/>
          <w:bdr w:val="nil"/>
          <w:lang w:val="es-ES"/>
        </w:rPr>
        <w:t xml:space="preserve"> la evaluación fueron que las actividades llevadas a cabo por la </w:t>
      </w:r>
      <w:r w:rsidRPr="00DD6BD7">
        <w:rPr>
          <w:rFonts w:eastAsia="Arial"/>
          <w:szCs w:val="22"/>
          <w:u w:color="FF0000"/>
          <w:bdr w:val="nil"/>
          <w:lang w:val="es-ES"/>
        </w:rPr>
        <w:t>OMPI</w:t>
      </w:r>
      <w:r w:rsidRPr="00DD6BD7">
        <w:rPr>
          <w:rFonts w:eastAsia="Arial"/>
          <w:szCs w:val="22"/>
          <w:bdr w:val="nil"/>
          <w:lang w:val="es-ES"/>
        </w:rPr>
        <w:t xml:space="preserve"> en el ámbito del desarrollo de la capacidad han contribuido a los objetivos estratégicos de la Organización y a las necesidades de desarrollo </w:t>
      </w:r>
      <w:r w:rsidR="0086625A" w:rsidRPr="00DD6BD7">
        <w:rPr>
          <w:rFonts w:eastAsia="Arial"/>
          <w:szCs w:val="22"/>
          <w:bdr w:val="nil"/>
          <w:lang w:val="es-ES"/>
        </w:rPr>
        <w:t xml:space="preserve">de </w:t>
      </w:r>
      <w:r w:rsidRPr="00DD6BD7">
        <w:rPr>
          <w:rFonts w:eastAsia="Arial"/>
          <w:szCs w:val="22"/>
          <w:bdr w:val="nil"/>
          <w:lang w:val="es-ES"/>
        </w:rPr>
        <w:t xml:space="preserve">los Estados miembros. Además, la mayoría de las partes interesadas externas (representantes de los Estados miembros y las organizaciones de </w:t>
      </w:r>
      <w:r w:rsidRPr="00DD6BD7">
        <w:rPr>
          <w:rFonts w:eastAsia="Arial"/>
          <w:szCs w:val="22"/>
          <w:u w:color="FF0000"/>
          <w:bdr w:val="nil"/>
          <w:lang w:val="es-ES"/>
        </w:rPr>
        <w:t>PI</w:t>
      </w:r>
      <w:r w:rsidRPr="00DD6BD7">
        <w:rPr>
          <w:rFonts w:eastAsia="Arial"/>
          <w:szCs w:val="22"/>
          <w:bdr w:val="nil"/>
          <w:lang w:val="es-ES"/>
        </w:rPr>
        <w:t xml:space="preserve">) consultadas durante la evaluación confirmaron que las intervenciones de la </w:t>
      </w:r>
      <w:r w:rsidRPr="00DD6BD7">
        <w:rPr>
          <w:rFonts w:eastAsia="Arial"/>
          <w:szCs w:val="22"/>
          <w:u w:color="FF0000"/>
          <w:bdr w:val="nil"/>
          <w:lang w:val="es-ES"/>
        </w:rPr>
        <w:t>OMPI</w:t>
      </w:r>
      <w:r w:rsidRPr="00DD6BD7">
        <w:rPr>
          <w:rFonts w:eastAsia="Arial"/>
          <w:szCs w:val="22"/>
          <w:bdr w:val="nil"/>
          <w:lang w:val="es-ES"/>
        </w:rPr>
        <w:t xml:space="preserve"> en </w:t>
      </w:r>
      <w:r w:rsidR="0086625A" w:rsidRPr="00DD6BD7">
        <w:rPr>
          <w:rFonts w:eastAsia="Arial"/>
          <w:szCs w:val="22"/>
          <w:bdr w:val="nil"/>
          <w:lang w:val="es-ES"/>
        </w:rPr>
        <w:t>el ámbito del</w:t>
      </w:r>
      <w:r w:rsidRPr="00DD6BD7">
        <w:rPr>
          <w:rFonts w:eastAsia="Arial"/>
          <w:szCs w:val="22"/>
          <w:bdr w:val="nil"/>
          <w:lang w:val="es-ES"/>
        </w:rPr>
        <w:t xml:space="preserve"> desarrollo de la capacidad tuvieron un impacto positivo en los tres niveles de desarrollo de la capacidad (política/jurídica, institucional e individual). La mayoría de las partes interesadas externas confirmaron que las actividades organizadas por la </w:t>
      </w:r>
      <w:r w:rsidRPr="00DD6BD7">
        <w:rPr>
          <w:rFonts w:eastAsia="Arial"/>
          <w:szCs w:val="22"/>
          <w:u w:color="FF0000"/>
          <w:bdr w:val="nil"/>
          <w:lang w:val="es-ES"/>
        </w:rPr>
        <w:t>OMPI</w:t>
      </w:r>
      <w:r w:rsidRPr="00DD6BD7">
        <w:rPr>
          <w:rFonts w:eastAsia="Arial"/>
          <w:szCs w:val="22"/>
          <w:bdr w:val="nil"/>
          <w:lang w:val="es-ES"/>
        </w:rPr>
        <w:t xml:space="preserve"> en el ámbito de</w:t>
      </w:r>
      <w:r w:rsidR="0086625A" w:rsidRPr="00DD6BD7">
        <w:rPr>
          <w:rFonts w:eastAsia="Arial"/>
          <w:szCs w:val="22"/>
          <w:bdr w:val="nil"/>
          <w:lang w:val="es-ES"/>
        </w:rPr>
        <w:t>l</w:t>
      </w:r>
      <w:r w:rsidRPr="00DD6BD7">
        <w:rPr>
          <w:rFonts w:eastAsia="Arial"/>
          <w:szCs w:val="22"/>
          <w:bdr w:val="nil"/>
          <w:lang w:val="es-ES"/>
        </w:rPr>
        <w:t xml:space="preserve"> desarrollo de la capacidad han servido para generar una masa crítica de beneficiarios con la capacidad adecuada de una manera sostenible.</w:t>
      </w:r>
    </w:p>
    <w:p w:rsidR="00D23C8A" w:rsidRPr="00DD6BD7" w:rsidRDefault="001E5D8A" w:rsidP="00D23C8A">
      <w:pPr>
        <w:pStyle w:val="ONUME"/>
        <w:numPr>
          <w:ilvl w:val="0"/>
          <w:numId w:val="3"/>
        </w:numPr>
        <w:rPr>
          <w:lang w:val="es-ES"/>
        </w:rPr>
      </w:pPr>
      <w:r w:rsidRPr="00DD6BD7">
        <w:rPr>
          <w:rFonts w:eastAsia="Arial"/>
          <w:szCs w:val="22"/>
          <w:bdr w:val="nil"/>
          <w:lang w:val="es-ES"/>
        </w:rPr>
        <w:t>La evaluación identificó aspectos del programa que podrían mejorarse. Específicamente, la creación de un Marco de desarrollo de la capacidad con miras a diseñar, aplicar, supervisar, gestionar y evaluar el desarrollo de la capacida</w:t>
      </w:r>
      <w:r w:rsidR="0086625A" w:rsidRPr="00DD6BD7">
        <w:rPr>
          <w:rFonts w:eastAsia="Arial"/>
          <w:szCs w:val="22"/>
          <w:bdr w:val="nil"/>
          <w:lang w:val="es-ES"/>
        </w:rPr>
        <w:t xml:space="preserve">d en los programas de la </w:t>
      </w:r>
      <w:r w:rsidR="0086625A" w:rsidRPr="00DD6BD7">
        <w:rPr>
          <w:rFonts w:eastAsia="Arial"/>
          <w:szCs w:val="22"/>
          <w:u w:color="FF0000"/>
          <w:bdr w:val="nil"/>
          <w:lang w:val="es-ES"/>
        </w:rPr>
        <w:t>OMPI</w:t>
      </w:r>
      <w:r w:rsidR="0086625A" w:rsidRPr="00DD6BD7">
        <w:rPr>
          <w:rFonts w:eastAsia="Arial"/>
          <w:szCs w:val="22"/>
          <w:bdr w:val="nil"/>
          <w:lang w:val="es-ES"/>
        </w:rPr>
        <w:t xml:space="preserve">, así como </w:t>
      </w:r>
      <w:r w:rsidRPr="00DD6BD7">
        <w:rPr>
          <w:rFonts w:eastAsia="Arial"/>
          <w:szCs w:val="22"/>
          <w:bdr w:val="nil"/>
          <w:lang w:val="es-ES"/>
        </w:rPr>
        <w:t xml:space="preserve">consolidar la arquitectura de TI que reúne las bases de datos y los repositorios actuales sobre desarrollo de la capacidad. Asimismo, el Sector de Desarrollo debería </w:t>
      </w:r>
      <w:r w:rsidR="0015448C" w:rsidRPr="00DD6BD7">
        <w:rPr>
          <w:rFonts w:eastAsia="Arial"/>
          <w:szCs w:val="22"/>
          <w:bdr w:val="nil"/>
          <w:lang w:val="es-ES"/>
        </w:rPr>
        <w:t>estudiar la posibilidad de</w:t>
      </w:r>
      <w:r w:rsidRPr="00DD6BD7">
        <w:rPr>
          <w:rFonts w:eastAsia="Arial"/>
          <w:szCs w:val="22"/>
          <w:bdr w:val="nil"/>
          <w:lang w:val="es-ES"/>
        </w:rPr>
        <w:t xml:space="preserve"> brindar orientación sobre la elaboración y la adopción de las estrategias nacionales de </w:t>
      </w:r>
      <w:r w:rsidRPr="00DD6BD7">
        <w:rPr>
          <w:rFonts w:eastAsia="Arial"/>
          <w:szCs w:val="22"/>
          <w:u w:color="FF0000"/>
          <w:bdr w:val="nil"/>
          <w:lang w:val="es-ES"/>
        </w:rPr>
        <w:t>PI</w:t>
      </w:r>
      <w:r w:rsidRPr="00DD6BD7">
        <w:rPr>
          <w:rFonts w:eastAsia="Arial"/>
          <w:szCs w:val="22"/>
          <w:bdr w:val="nil"/>
          <w:lang w:val="es-ES"/>
        </w:rPr>
        <w:t xml:space="preserve"> basadas en las mejores prácticas, la cual debería abarcar las cuestiones de fondo y de procedimiento. Por último, los ocho programas objeto de examen deben incluir aspectos en materia de género en sus actividades, así como elaborar indicadores con perspectiva de género para abordar las perspectivas de manera sostenible, de acuerdo con la recomendación de la política de la </w:t>
      </w:r>
      <w:r w:rsidRPr="00DD6BD7">
        <w:rPr>
          <w:rFonts w:eastAsia="Arial"/>
          <w:szCs w:val="22"/>
          <w:u w:color="FF0000"/>
          <w:bdr w:val="nil"/>
          <w:lang w:val="es-ES"/>
        </w:rPr>
        <w:t>OMPI</w:t>
      </w:r>
      <w:r w:rsidRPr="00DD6BD7">
        <w:rPr>
          <w:rFonts w:eastAsia="Arial"/>
          <w:szCs w:val="22"/>
          <w:bdr w:val="nil"/>
          <w:lang w:val="es-ES"/>
        </w:rPr>
        <w:t xml:space="preserve"> sobre la igualdad de género.</w:t>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Las recomendaciones correspondientes a esta evaluación seguirán en vías de aplicación hasta junio de 2019. </w:t>
      </w:r>
    </w:p>
    <w:p w:rsidR="00D23C8A" w:rsidRPr="00DD6BD7" w:rsidRDefault="001E5D8A" w:rsidP="00D23C8A">
      <w:pPr>
        <w:pStyle w:val="Heading1"/>
        <w:rPr>
          <w:lang w:val="es-ES"/>
        </w:rPr>
      </w:pPr>
      <w:bookmarkStart w:id="36" w:name="_Toc518890532"/>
      <w:bookmarkStart w:id="37" w:name="_Toc328920437"/>
      <w:r w:rsidRPr="00DD6BD7">
        <w:rPr>
          <w:rFonts w:eastAsia="Arial"/>
          <w:szCs w:val="22"/>
          <w:bdr w:val="nil"/>
          <w:lang w:val="es-ES"/>
        </w:rPr>
        <w:t>ACTIVIDADES DE INVESTIGACIÓN</w:t>
      </w:r>
      <w:bookmarkEnd w:id="36"/>
    </w:p>
    <w:p w:rsidR="00D23C8A" w:rsidRPr="00DD6BD7" w:rsidRDefault="001E5D8A" w:rsidP="00D23C8A">
      <w:pPr>
        <w:pStyle w:val="Heading2"/>
        <w:rPr>
          <w:lang w:val="es-ES"/>
        </w:rPr>
      </w:pPr>
      <w:r w:rsidRPr="00DD6BD7">
        <w:rPr>
          <w:rFonts w:eastAsia="Arial"/>
          <w:szCs w:val="22"/>
          <w:bdr w:val="nil"/>
          <w:lang w:val="es-ES"/>
        </w:rPr>
        <w:t>RESUMEN DE LOS CASOS</w:t>
      </w:r>
    </w:p>
    <w:p w:rsidR="00305269" w:rsidRDefault="001E5D8A" w:rsidP="00305269">
      <w:pPr>
        <w:pStyle w:val="ONUME"/>
        <w:numPr>
          <w:ilvl w:val="0"/>
          <w:numId w:val="3"/>
        </w:numPr>
        <w:rPr>
          <w:lang w:val="es-ES"/>
        </w:rPr>
      </w:pPr>
      <w:r w:rsidRPr="00DD6BD7">
        <w:rPr>
          <w:rFonts w:eastAsia="Arial"/>
          <w:szCs w:val="22"/>
          <w:bdr w:val="nil"/>
          <w:lang w:val="es-ES"/>
        </w:rPr>
        <w:t>En el ejercicio en examen, se registraron 40 casos nuevos (</w:t>
      </w:r>
      <w:r w:rsidR="00305269" w:rsidRPr="00DD6BD7">
        <w:rPr>
          <w:rFonts w:eastAsia="Arial"/>
          <w:szCs w:val="22"/>
          <w:bdr w:val="nil"/>
          <w:lang w:val="es-ES"/>
        </w:rPr>
        <w:t>lo que supone</w:t>
      </w:r>
      <w:r w:rsidRPr="00DD6BD7">
        <w:rPr>
          <w:rFonts w:eastAsia="Arial"/>
          <w:szCs w:val="22"/>
          <w:bdr w:val="nil"/>
          <w:lang w:val="es-ES"/>
        </w:rPr>
        <w:t xml:space="preserve"> un incremento del 67% con respecto al ejercicio anterior) y se concluyeron 42. Al 30 de junio de 2018, 12 casos estaban pendientes, o pendiente de la actuación de otra entidad, incluidos cuatro</w:t>
      </w:r>
      <w:r w:rsidR="00305269" w:rsidRPr="00DD6BD7">
        <w:rPr>
          <w:rFonts w:eastAsia="Arial"/>
          <w:szCs w:val="22"/>
          <w:bdr w:val="nil"/>
          <w:lang w:val="es-ES"/>
        </w:rPr>
        <w:t xml:space="preserve"> casos</w:t>
      </w:r>
      <w:r w:rsidRPr="00DD6BD7">
        <w:rPr>
          <w:rFonts w:eastAsia="Arial"/>
          <w:szCs w:val="22"/>
          <w:bdr w:val="nil"/>
          <w:lang w:val="es-ES"/>
        </w:rPr>
        <w:t xml:space="preserve"> que se encontraban en la fase de evaluación preliminar, seis en la fase de investigación propiamente dicha y dos en suspenso debido a la ausencia prolongada del funcionario implicado. De los casos pendientes, cinco se abrieron en 2018, seis en 2017 y uno e</w:t>
      </w:r>
      <w:r w:rsidR="00E2647A" w:rsidRPr="00DD6BD7">
        <w:rPr>
          <w:rFonts w:eastAsia="Arial"/>
          <w:szCs w:val="22"/>
          <w:bdr w:val="nil"/>
          <w:lang w:val="es-ES"/>
        </w:rPr>
        <w:t>n 2016. Al </w:t>
      </w:r>
      <w:r w:rsidRPr="00DD6BD7">
        <w:rPr>
          <w:rFonts w:eastAsia="Arial"/>
          <w:szCs w:val="22"/>
          <w:bdr w:val="nil"/>
          <w:lang w:val="es-ES"/>
        </w:rPr>
        <w:t>1 de julio de 2017, el tiempo medio de la investigación de los casos era de 7,1 meses.</w:t>
      </w:r>
    </w:p>
    <w:p w:rsidR="00DD6BD7" w:rsidRDefault="00DD6BD7" w:rsidP="00DD6BD7">
      <w:pPr>
        <w:pStyle w:val="ONUME"/>
        <w:rPr>
          <w:lang w:val="es-ES"/>
        </w:rPr>
      </w:pPr>
    </w:p>
    <w:p w:rsidR="00DD6BD7" w:rsidRPr="00DD6BD7" w:rsidRDefault="00DD6BD7" w:rsidP="00DD6BD7">
      <w:pPr>
        <w:pStyle w:val="ONUME"/>
        <w:rPr>
          <w:lang w:val="es-ES"/>
        </w:rPr>
      </w:pPr>
    </w:p>
    <w:p w:rsidR="00D23C8A" w:rsidRPr="00DD6BD7" w:rsidRDefault="001E5D8A" w:rsidP="00E2647A">
      <w:pPr>
        <w:pStyle w:val="ONUME"/>
        <w:keepNext/>
        <w:keepLines/>
        <w:jc w:val="center"/>
        <w:rPr>
          <w:b/>
          <w:sz w:val="18"/>
          <w:szCs w:val="18"/>
          <w:lang w:val="es-ES"/>
        </w:rPr>
      </w:pPr>
      <w:r w:rsidRPr="00DD6BD7">
        <w:rPr>
          <w:rFonts w:eastAsia="Arial"/>
          <w:b/>
          <w:bCs/>
          <w:sz w:val="18"/>
          <w:szCs w:val="18"/>
          <w:bdr w:val="nil"/>
          <w:lang w:val="es-ES"/>
        </w:rPr>
        <w:t>Gráfico 1: Análisis comparativo de los casos de investigación del 30 de junio de 2015 al 30 de junio de 2018</w:t>
      </w:r>
    </w:p>
    <w:p w:rsidR="00D23C8A" w:rsidRPr="00E2647A" w:rsidRDefault="00305269" w:rsidP="00D23C8A">
      <w:pPr>
        <w:pStyle w:val="ONUME"/>
        <w:jc w:val="center"/>
        <w:rPr>
          <w:noProof/>
          <w:lang w:val="es-ES" w:eastAsia="es-UY"/>
        </w:rPr>
      </w:pPr>
      <w:r w:rsidRPr="00E2647A">
        <w:rPr>
          <w:noProof/>
          <w:lang w:val="en-US" w:eastAsia="en-US"/>
        </w:rPr>
        <w:drawing>
          <wp:inline distT="0" distB="0" distL="0" distR="0" wp14:anchorId="31341800" wp14:editId="3689918A">
            <wp:extent cx="5238045" cy="3012269"/>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2679" cy="3026435"/>
                    </a:xfrm>
                    <a:prstGeom prst="rect">
                      <a:avLst/>
                    </a:prstGeom>
                    <a:noFill/>
                  </pic:spPr>
                </pic:pic>
              </a:graphicData>
            </a:graphic>
          </wp:inline>
        </w:drawing>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Entre los 40 casos que se abrieron durante el ejercicio en examen, 12 fueron remitidos a la </w:t>
      </w:r>
      <w:r w:rsidRPr="00DD6BD7">
        <w:rPr>
          <w:rFonts w:eastAsia="Arial"/>
          <w:szCs w:val="22"/>
          <w:u w:color="FF0000"/>
          <w:bdr w:val="nil"/>
          <w:lang w:val="es-ES"/>
        </w:rPr>
        <w:t>CCIS</w:t>
      </w:r>
      <w:r w:rsidRPr="00DD6BD7">
        <w:rPr>
          <w:rFonts w:eastAsia="Arial"/>
          <w:szCs w:val="22"/>
          <w:bdr w:val="nil"/>
          <w:lang w:val="es-ES"/>
        </w:rPr>
        <w:t xml:space="preserve"> con el fin de que diera asesoramiento al respecto, con arreglo a las disposiciones correspondientes de la Carta de Supervisión Interna.</w:t>
      </w:r>
      <w:r w:rsidRPr="00DD6BD7">
        <w:rPr>
          <w:rStyle w:val="FootnoteReference"/>
          <w:lang w:val="es-ES"/>
        </w:rPr>
        <w:footnoteReference w:id="6"/>
      </w:r>
    </w:p>
    <w:p w:rsidR="00D23C8A" w:rsidRPr="00DD6BD7" w:rsidRDefault="001E5D8A" w:rsidP="00D23C8A">
      <w:pPr>
        <w:pStyle w:val="Heading2"/>
        <w:rPr>
          <w:lang w:val="es-ES"/>
        </w:rPr>
      </w:pPr>
      <w:r w:rsidRPr="00DD6BD7">
        <w:rPr>
          <w:rFonts w:eastAsia="Arial"/>
          <w:szCs w:val="22"/>
          <w:bdr w:val="nil"/>
          <w:lang w:val="es-ES"/>
        </w:rPr>
        <w:t>RESULTADO DE LAS ACTIVIDADES DE INVESTIGACIÓN</w:t>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Con arreglo a la Carta de Supervisión Interna, en el informe anual se incluirá una descripción de los casos que han sido investigados y probados y la forma en que fueron saldados. En cinco de los casos investigados, la </w:t>
      </w:r>
      <w:r w:rsidRPr="00DD6BD7">
        <w:rPr>
          <w:rFonts w:eastAsia="Arial"/>
          <w:szCs w:val="22"/>
          <w:u w:color="FF0000"/>
          <w:bdr w:val="nil"/>
          <w:lang w:val="es-ES"/>
        </w:rPr>
        <w:t>DSI</w:t>
      </w:r>
      <w:r w:rsidRPr="00DD6BD7">
        <w:rPr>
          <w:rFonts w:eastAsia="Arial"/>
          <w:szCs w:val="22"/>
          <w:bdr w:val="nil"/>
          <w:lang w:val="es-ES"/>
        </w:rPr>
        <w:t xml:space="preserve"> consideró que las alegaciones se probaron y recomendó la adopción de medidas disciplinarias contra un miembro del personal. De estos cinco casos:</w:t>
      </w:r>
    </w:p>
    <w:p w:rsidR="00D23C8A" w:rsidRPr="00DD6BD7" w:rsidRDefault="001E5D8A" w:rsidP="00D23C8A">
      <w:pPr>
        <w:pStyle w:val="ONUME"/>
        <w:numPr>
          <w:ilvl w:val="1"/>
          <w:numId w:val="3"/>
        </w:numPr>
        <w:rPr>
          <w:lang w:val="es-ES"/>
        </w:rPr>
      </w:pPr>
      <w:r w:rsidRPr="00DD6BD7">
        <w:rPr>
          <w:rFonts w:eastAsia="Arial"/>
          <w:szCs w:val="22"/>
          <w:bdr w:val="nil"/>
          <w:lang w:val="es-ES"/>
        </w:rPr>
        <w:t>Dos casos correspondieron a declaraciones falsas de funcionarios acerca del horario de trabajo.</w:t>
      </w:r>
    </w:p>
    <w:p w:rsidR="00D23C8A" w:rsidRPr="00DD6BD7" w:rsidRDefault="001E5D8A" w:rsidP="00D23C8A">
      <w:pPr>
        <w:pStyle w:val="ONUME"/>
        <w:numPr>
          <w:ilvl w:val="1"/>
          <w:numId w:val="3"/>
        </w:numPr>
        <w:rPr>
          <w:lang w:val="es-ES"/>
        </w:rPr>
      </w:pPr>
      <w:r w:rsidRPr="00DD6BD7">
        <w:rPr>
          <w:rFonts w:eastAsia="Arial"/>
          <w:szCs w:val="22"/>
          <w:bdr w:val="nil"/>
          <w:lang w:val="es-ES"/>
        </w:rPr>
        <w:t>Un caso correspondió al abuso cometido por un funcionario de las prerrogativas e inmunidades diplomáticas para evadir las obligaciones financieras personales.</w:t>
      </w:r>
    </w:p>
    <w:p w:rsidR="00D23C8A" w:rsidRPr="00DD6BD7" w:rsidRDefault="001E5D8A" w:rsidP="00D23C8A">
      <w:pPr>
        <w:pStyle w:val="ONUME"/>
        <w:numPr>
          <w:ilvl w:val="1"/>
          <w:numId w:val="3"/>
        </w:numPr>
        <w:rPr>
          <w:lang w:val="es-ES"/>
        </w:rPr>
      </w:pPr>
      <w:r w:rsidRPr="00DD6BD7">
        <w:rPr>
          <w:rFonts w:eastAsia="Arial"/>
          <w:szCs w:val="22"/>
          <w:bdr w:val="nil"/>
          <w:lang w:val="es-ES"/>
        </w:rPr>
        <w:t>Un caso correspondió a la insubordinación u otras conductas indebidas de un funcionario en el lugar de trabajo.</w:t>
      </w:r>
    </w:p>
    <w:p w:rsidR="00D23C8A" w:rsidRPr="00DD6BD7" w:rsidRDefault="001E5D8A" w:rsidP="00D23C8A">
      <w:pPr>
        <w:pStyle w:val="ONUME"/>
        <w:numPr>
          <w:ilvl w:val="1"/>
          <w:numId w:val="3"/>
        </w:numPr>
        <w:rPr>
          <w:lang w:val="es-ES"/>
        </w:rPr>
      </w:pPr>
      <w:r w:rsidRPr="00DD6BD7">
        <w:rPr>
          <w:rFonts w:eastAsia="Arial"/>
          <w:szCs w:val="22"/>
          <w:bdr w:val="nil"/>
          <w:lang w:val="es-ES"/>
        </w:rPr>
        <w:t>Un caso correspondió a actividades profesionales no autorizadas, al margen de la Organización, por parte de un funcionario.</w:t>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Tras </w:t>
      </w:r>
      <w:r w:rsidR="00305269" w:rsidRPr="00DD6BD7">
        <w:rPr>
          <w:rFonts w:eastAsia="Arial"/>
          <w:szCs w:val="22"/>
          <w:bdr w:val="nil"/>
          <w:lang w:val="es-ES"/>
        </w:rPr>
        <w:t>haberse recomendado la adopción de medidas disciplinarias</w:t>
      </w:r>
      <w:r w:rsidRPr="00DD6BD7">
        <w:rPr>
          <w:rFonts w:eastAsia="Arial"/>
          <w:szCs w:val="22"/>
          <w:bdr w:val="nil"/>
          <w:lang w:val="es-ES"/>
        </w:rPr>
        <w:t>:</w:t>
      </w:r>
    </w:p>
    <w:p w:rsidR="00D23C8A" w:rsidRPr="00DD6BD7" w:rsidRDefault="001E5D8A" w:rsidP="00D23C8A">
      <w:pPr>
        <w:pStyle w:val="ONUME"/>
        <w:numPr>
          <w:ilvl w:val="1"/>
          <w:numId w:val="3"/>
        </w:numPr>
        <w:rPr>
          <w:lang w:val="es-ES"/>
        </w:rPr>
      </w:pPr>
      <w:r w:rsidRPr="00DD6BD7">
        <w:rPr>
          <w:rFonts w:eastAsia="Arial"/>
          <w:szCs w:val="22"/>
          <w:bdr w:val="nil"/>
          <w:lang w:val="es-ES"/>
        </w:rPr>
        <w:t>En un caso, un funcionario fue despedido de la Organización.</w:t>
      </w:r>
    </w:p>
    <w:p w:rsidR="00D23C8A" w:rsidRPr="00DD6BD7" w:rsidRDefault="001E5D8A" w:rsidP="00D23C8A">
      <w:pPr>
        <w:pStyle w:val="ONUME"/>
        <w:numPr>
          <w:ilvl w:val="1"/>
          <w:numId w:val="3"/>
        </w:numPr>
        <w:rPr>
          <w:lang w:val="es-ES"/>
        </w:rPr>
      </w:pPr>
      <w:r w:rsidRPr="00DD6BD7">
        <w:rPr>
          <w:rFonts w:eastAsia="Arial"/>
          <w:szCs w:val="22"/>
          <w:bdr w:val="nil"/>
          <w:lang w:val="es-ES"/>
        </w:rPr>
        <w:t>En un caso, el funcionario fue degradado a una categoría inferior.</w:t>
      </w:r>
    </w:p>
    <w:p w:rsidR="00D23C8A" w:rsidRPr="00DD6BD7" w:rsidRDefault="001E5D8A" w:rsidP="00D23C8A">
      <w:pPr>
        <w:pStyle w:val="ONUME"/>
        <w:numPr>
          <w:ilvl w:val="1"/>
          <w:numId w:val="3"/>
        </w:numPr>
        <w:rPr>
          <w:lang w:val="es-ES"/>
        </w:rPr>
      </w:pPr>
      <w:r w:rsidRPr="00DD6BD7">
        <w:rPr>
          <w:rFonts w:eastAsia="Arial"/>
          <w:szCs w:val="22"/>
          <w:bdr w:val="nil"/>
          <w:lang w:val="es-ES"/>
        </w:rPr>
        <w:t xml:space="preserve">En un caso, la Organización no siguió la recomendación de </w:t>
      </w:r>
      <w:r w:rsidR="00305269" w:rsidRPr="00DD6BD7">
        <w:rPr>
          <w:rFonts w:eastAsia="Arial"/>
          <w:szCs w:val="22"/>
          <w:bdr w:val="nil"/>
          <w:lang w:val="es-ES"/>
        </w:rPr>
        <w:t xml:space="preserve">adoptar medidas </w:t>
      </w:r>
      <w:r w:rsidRPr="00DD6BD7">
        <w:rPr>
          <w:rFonts w:eastAsia="Arial"/>
          <w:szCs w:val="22"/>
          <w:bdr w:val="nil"/>
          <w:lang w:val="es-ES"/>
        </w:rPr>
        <w:t>disciplinar</w:t>
      </w:r>
      <w:r w:rsidR="00305269" w:rsidRPr="00DD6BD7">
        <w:rPr>
          <w:rFonts w:eastAsia="Arial"/>
          <w:szCs w:val="22"/>
          <w:bdr w:val="nil"/>
          <w:lang w:val="es-ES"/>
        </w:rPr>
        <w:t>ias</w:t>
      </w:r>
      <w:r w:rsidRPr="00DD6BD7">
        <w:rPr>
          <w:rFonts w:eastAsia="Arial"/>
          <w:szCs w:val="22"/>
          <w:bdr w:val="nil"/>
          <w:lang w:val="es-ES"/>
        </w:rPr>
        <w:t>.</w:t>
      </w:r>
    </w:p>
    <w:p w:rsidR="00D23C8A" w:rsidRPr="00DD6BD7" w:rsidRDefault="001E5D8A" w:rsidP="00D23C8A">
      <w:pPr>
        <w:pStyle w:val="ONUME"/>
        <w:numPr>
          <w:ilvl w:val="1"/>
          <w:numId w:val="3"/>
        </w:numPr>
        <w:rPr>
          <w:lang w:val="es-ES"/>
        </w:rPr>
      </w:pPr>
      <w:r w:rsidRPr="00DD6BD7">
        <w:rPr>
          <w:rFonts w:eastAsia="Arial"/>
          <w:szCs w:val="22"/>
          <w:bdr w:val="nil"/>
          <w:lang w:val="es-ES"/>
        </w:rPr>
        <w:lastRenderedPageBreak/>
        <w:t>En dos casos sigue pendiente, al 30 de junio de 2018, una decisión final por la Dirección.</w:t>
      </w:r>
    </w:p>
    <w:p w:rsidR="00D23C8A" w:rsidRPr="00DD6BD7" w:rsidRDefault="001E5D8A" w:rsidP="00D23C8A">
      <w:pPr>
        <w:pStyle w:val="ONUME"/>
        <w:numPr>
          <w:ilvl w:val="0"/>
          <w:numId w:val="3"/>
        </w:numPr>
        <w:rPr>
          <w:lang w:val="es-ES"/>
        </w:rPr>
      </w:pPr>
      <w:r w:rsidRPr="00DD6BD7">
        <w:rPr>
          <w:rFonts w:eastAsia="Arial"/>
          <w:szCs w:val="22"/>
          <w:bdr w:val="nil"/>
          <w:lang w:val="es-ES"/>
        </w:rPr>
        <w:t xml:space="preserve">Además, las actividades de investigación realizadas durante el ejercicio en examen permitieron a la </w:t>
      </w:r>
      <w:r w:rsidRPr="00DD6BD7">
        <w:rPr>
          <w:rFonts w:eastAsia="Arial"/>
          <w:szCs w:val="22"/>
          <w:u w:color="FF0000"/>
          <w:bdr w:val="nil"/>
          <w:lang w:val="es-ES"/>
        </w:rPr>
        <w:t>DSI</w:t>
      </w:r>
      <w:r w:rsidRPr="00DD6BD7">
        <w:rPr>
          <w:rFonts w:eastAsia="Arial"/>
          <w:szCs w:val="22"/>
          <w:bdr w:val="nil"/>
          <w:lang w:val="es-ES"/>
        </w:rPr>
        <w:t xml:space="preserve"> extraer algunas enseñanzas. En particular, se publicaron tres informes sobre las consecuencias para la dirección, en los que se formularon recomendaciones para la Dirección en relación con: i) la observancia de las normas de seguridad y vigilancia físicas; </w:t>
      </w:r>
      <w:r w:rsidRPr="00DD6BD7">
        <w:rPr>
          <w:rFonts w:eastAsia="Arial"/>
          <w:szCs w:val="22"/>
          <w:u w:color="FF0000"/>
          <w:bdr w:val="nil"/>
          <w:lang w:val="es-ES"/>
        </w:rPr>
        <w:t>ii</w:t>
      </w:r>
      <w:r w:rsidRPr="00DD6BD7">
        <w:rPr>
          <w:rFonts w:eastAsia="Arial"/>
          <w:szCs w:val="22"/>
          <w:bdr w:val="nil"/>
          <w:lang w:val="es-ES"/>
        </w:rPr>
        <w:t xml:space="preserve">) los procedimientos en materia de adquisiciones; y </w:t>
      </w:r>
      <w:r w:rsidRPr="00DD6BD7">
        <w:rPr>
          <w:rFonts w:eastAsia="Arial"/>
          <w:szCs w:val="22"/>
          <w:u w:color="FF0000"/>
          <w:bdr w:val="nil"/>
          <w:lang w:val="es-ES"/>
        </w:rPr>
        <w:t>iii</w:t>
      </w:r>
      <w:r w:rsidRPr="00DD6BD7">
        <w:rPr>
          <w:rFonts w:eastAsia="Arial"/>
          <w:szCs w:val="22"/>
          <w:bdr w:val="nil"/>
          <w:lang w:val="es-ES"/>
        </w:rPr>
        <w:t xml:space="preserve">) el establecimiento y la observancia de las normas de tráfico en las zonas de aparcamiento de la </w:t>
      </w:r>
      <w:r w:rsidRPr="00DD6BD7">
        <w:rPr>
          <w:rFonts w:eastAsia="Arial"/>
          <w:szCs w:val="22"/>
          <w:u w:color="FF0000"/>
          <w:bdr w:val="nil"/>
          <w:lang w:val="es-ES"/>
        </w:rPr>
        <w:t>OMPI</w:t>
      </w:r>
      <w:r w:rsidRPr="00DD6BD7">
        <w:rPr>
          <w:rFonts w:eastAsia="Arial"/>
          <w:szCs w:val="22"/>
          <w:bdr w:val="nil"/>
          <w:lang w:val="es-ES"/>
        </w:rPr>
        <w:t>.</w:t>
      </w:r>
    </w:p>
    <w:p w:rsidR="00D23C8A" w:rsidRPr="00DD6BD7" w:rsidRDefault="001E5D8A" w:rsidP="00D23C8A">
      <w:pPr>
        <w:pStyle w:val="ONUME"/>
        <w:numPr>
          <w:ilvl w:val="0"/>
          <w:numId w:val="3"/>
        </w:numPr>
        <w:rPr>
          <w:lang w:val="es-ES"/>
        </w:rPr>
      </w:pPr>
      <w:r w:rsidRPr="00DD6BD7">
        <w:rPr>
          <w:rFonts w:eastAsia="Arial"/>
          <w:szCs w:val="22"/>
          <w:bdr w:val="nil"/>
          <w:lang w:val="es-ES"/>
        </w:rPr>
        <w:t>En el cuadro que figura a continuación se muestra un análisis comparativo de los casos registrados durante el período comprendido entre el 1 de julio de 2015 y el 30 de junio de 2018:</w:t>
      </w:r>
    </w:p>
    <w:p w:rsidR="00D23C8A" w:rsidRPr="00DD6BD7" w:rsidRDefault="001E5D8A" w:rsidP="00D23C8A">
      <w:pPr>
        <w:pStyle w:val="ONUME"/>
        <w:keepNext/>
        <w:jc w:val="center"/>
        <w:rPr>
          <w:b/>
          <w:sz w:val="18"/>
          <w:szCs w:val="18"/>
          <w:lang w:val="es-ES"/>
        </w:rPr>
      </w:pPr>
      <w:r w:rsidRPr="00DD6BD7">
        <w:rPr>
          <w:rFonts w:eastAsia="Arial"/>
          <w:b/>
          <w:bCs/>
          <w:sz w:val="18"/>
          <w:szCs w:val="18"/>
          <w:bdr w:val="nil"/>
          <w:lang w:val="es-ES"/>
        </w:rPr>
        <w:t>Cuadro 1: Análisis de las denuncias recibidas del 1 de julio de 2015 al 30 junio de 2018</w:t>
      </w:r>
    </w:p>
    <w:p w:rsidR="00D23C8A" w:rsidRPr="00E2647A" w:rsidRDefault="000E2AB9" w:rsidP="00D23C8A">
      <w:pPr>
        <w:pStyle w:val="ONUME"/>
        <w:jc w:val="center"/>
        <w:rPr>
          <w:lang w:val="es-ES"/>
        </w:rPr>
      </w:pPr>
      <w:r w:rsidRPr="00E2647A">
        <w:rPr>
          <w:noProof/>
          <w:lang w:val="en-US" w:eastAsia="en-US"/>
        </w:rPr>
        <w:drawing>
          <wp:inline distT="0" distB="0" distL="0" distR="0" wp14:anchorId="56A1374B" wp14:editId="01D32220">
            <wp:extent cx="5940425" cy="2479107"/>
            <wp:effectExtent l="0" t="0" r="317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479107"/>
                    </a:xfrm>
                    <a:prstGeom prst="rect">
                      <a:avLst/>
                    </a:prstGeom>
                    <a:noFill/>
                    <a:ln>
                      <a:noFill/>
                    </a:ln>
                  </pic:spPr>
                </pic:pic>
              </a:graphicData>
            </a:graphic>
          </wp:inline>
        </w:drawing>
      </w:r>
    </w:p>
    <w:p w:rsidR="000E2AB9" w:rsidRPr="00E2647A" w:rsidRDefault="000E2AB9" w:rsidP="00D23C8A">
      <w:pPr>
        <w:pStyle w:val="ONUME"/>
        <w:jc w:val="center"/>
        <w:rPr>
          <w:lang w:val="es-ES"/>
        </w:rPr>
      </w:pPr>
    </w:p>
    <w:p w:rsidR="00D23C8A" w:rsidRPr="000B308E" w:rsidRDefault="001E5D8A" w:rsidP="00D23C8A">
      <w:pPr>
        <w:pStyle w:val="ONUME"/>
        <w:keepNext/>
        <w:jc w:val="center"/>
        <w:rPr>
          <w:b/>
          <w:sz w:val="18"/>
          <w:szCs w:val="18"/>
          <w:lang w:val="es-ES"/>
        </w:rPr>
      </w:pPr>
      <w:r w:rsidRPr="000B308E">
        <w:rPr>
          <w:rFonts w:eastAsia="Arial"/>
          <w:b/>
          <w:bCs/>
          <w:sz w:val="18"/>
          <w:szCs w:val="18"/>
          <w:bdr w:val="nil"/>
          <w:lang w:val="es-ES"/>
        </w:rPr>
        <w:t>Gráfico 2: Análisis de los casos concluidos del 1 de julio de 2015 al 30 de junio de 2018</w:t>
      </w:r>
    </w:p>
    <w:p w:rsidR="000E2AB9" w:rsidRPr="00E2647A" w:rsidRDefault="000E2AB9" w:rsidP="00D23C8A">
      <w:pPr>
        <w:jc w:val="center"/>
        <w:rPr>
          <w:noProof/>
          <w:lang w:val="es-ES" w:eastAsia="es-UY"/>
        </w:rPr>
      </w:pPr>
      <w:r w:rsidRPr="00E2647A">
        <w:rPr>
          <w:noProof/>
          <w:lang w:val="en-US" w:eastAsia="en-US"/>
        </w:rPr>
        <w:drawing>
          <wp:inline distT="0" distB="0" distL="0" distR="0" wp14:anchorId="1BD0CBFE" wp14:editId="342E82C1">
            <wp:extent cx="4578350" cy="27495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D23C8A" w:rsidRPr="000B308E" w:rsidRDefault="001E5D8A" w:rsidP="00D23C8A">
      <w:pPr>
        <w:pStyle w:val="Heading1"/>
        <w:rPr>
          <w:lang w:val="es-ES"/>
        </w:rPr>
      </w:pPr>
      <w:bookmarkStart w:id="38" w:name="_Toc518890533"/>
      <w:r w:rsidRPr="000B308E">
        <w:rPr>
          <w:rFonts w:eastAsia="Arial"/>
          <w:szCs w:val="22"/>
          <w:bdr w:val="nil"/>
          <w:lang w:val="es-ES"/>
        </w:rPr>
        <w:lastRenderedPageBreak/>
        <w:t>CASOS EN LOS QUE SE DENEGÓ INFORMACIÓN O ASISTENCIA</w:t>
      </w:r>
      <w:bookmarkEnd w:id="38"/>
    </w:p>
    <w:p w:rsidR="00D23C8A" w:rsidRPr="000B308E" w:rsidRDefault="001E5D8A" w:rsidP="00D23C8A">
      <w:pPr>
        <w:pStyle w:val="ONUME"/>
        <w:numPr>
          <w:ilvl w:val="0"/>
          <w:numId w:val="3"/>
        </w:numPr>
        <w:rPr>
          <w:lang w:val="es-ES"/>
        </w:rPr>
      </w:pPr>
      <w:r w:rsidRPr="000B308E">
        <w:rPr>
          <w:rFonts w:eastAsia="Arial"/>
          <w:szCs w:val="22"/>
          <w:bdr w:val="nil"/>
          <w:lang w:val="es-ES"/>
        </w:rPr>
        <w:t>Con sujeción al párrafo 45</w:t>
      </w:r>
      <w:r w:rsidRPr="000B308E">
        <w:rPr>
          <w:rFonts w:eastAsia="Arial"/>
          <w:szCs w:val="22"/>
          <w:u w:color="008000"/>
          <w:bdr w:val="nil"/>
          <w:lang w:val="es-ES"/>
        </w:rPr>
        <w:t>.g</w:t>
      </w:r>
      <w:r w:rsidRPr="000B308E">
        <w:rPr>
          <w:rFonts w:eastAsia="Arial"/>
          <w:szCs w:val="22"/>
          <w:bdr w:val="nil"/>
          <w:lang w:val="es-ES"/>
        </w:rPr>
        <w:t xml:space="preserve">) de la Carta de Supervisión Interna, el director de la </w:t>
      </w:r>
      <w:r w:rsidRPr="000B308E">
        <w:rPr>
          <w:rFonts w:eastAsia="Arial"/>
          <w:szCs w:val="22"/>
          <w:u w:color="FF0000"/>
          <w:bdr w:val="nil"/>
          <w:lang w:val="es-ES"/>
        </w:rPr>
        <w:t>DSI</w:t>
      </w:r>
      <w:r w:rsidRPr="000B308E">
        <w:rPr>
          <w:rFonts w:eastAsia="Arial"/>
          <w:szCs w:val="22"/>
          <w:bdr w:val="nil"/>
          <w:lang w:val="es-ES"/>
        </w:rPr>
        <w:t xml:space="preserve"> habrá de notificar los casos en los que se haya denegado a la </w:t>
      </w:r>
      <w:r w:rsidRPr="000B308E">
        <w:rPr>
          <w:rFonts w:eastAsia="Arial"/>
          <w:szCs w:val="22"/>
          <w:u w:color="FF0000"/>
          <w:bdr w:val="nil"/>
          <w:lang w:val="es-ES"/>
        </w:rPr>
        <w:t>DSI</w:t>
      </w:r>
      <w:r w:rsidRPr="000B308E">
        <w:rPr>
          <w:rFonts w:eastAsia="Arial"/>
          <w:szCs w:val="22"/>
          <w:bdr w:val="nil"/>
          <w:lang w:val="es-ES"/>
        </w:rPr>
        <w:t xml:space="preserve"> el acceso a los registros, a los miembros del personal o a los locales de la </w:t>
      </w:r>
      <w:r w:rsidRPr="000B308E">
        <w:rPr>
          <w:rFonts w:eastAsia="Arial"/>
          <w:szCs w:val="22"/>
          <w:u w:color="FF0000"/>
          <w:bdr w:val="nil"/>
          <w:lang w:val="es-ES"/>
        </w:rPr>
        <w:t>OMPI</w:t>
      </w:r>
      <w:r w:rsidRPr="000B308E">
        <w:rPr>
          <w:rFonts w:eastAsia="Arial"/>
          <w:szCs w:val="22"/>
          <w:bdr w:val="nil"/>
          <w:lang w:val="es-ES"/>
        </w:rPr>
        <w:t xml:space="preserve"> durante el ejercicio en examen.</w:t>
      </w:r>
    </w:p>
    <w:p w:rsidR="00D23C8A" w:rsidRPr="000B308E" w:rsidRDefault="001E5D8A" w:rsidP="00D23C8A">
      <w:pPr>
        <w:pStyle w:val="ONUME"/>
        <w:numPr>
          <w:ilvl w:val="0"/>
          <w:numId w:val="3"/>
        </w:numPr>
        <w:rPr>
          <w:lang w:val="es-ES"/>
        </w:rPr>
      </w:pPr>
      <w:r w:rsidRPr="000B308E">
        <w:rPr>
          <w:rFonts w:eastAsia="Arial"/>
          <w:szCs w:val="22"/>
          <w:bdr w:val="nil"/>
          <w:lang w:val="es-ES"/>
        </w:rPr>
        <w:t xml:space="preserve">La </w:t>
      </w:r>
      <w:r w:rsidRPr="000B308E">
        <w:rPr>
          <w:rFonts w:eastAsia="Arial"/>
          <w:szCs w:val="22"/>
          <w:u w:color="FF0000"/>
          <w:bdr w:val="nil"/>
          <w:lang w:val="es-ES"/>
        </w:rPr>
        <w:t>DSI</w:t>
      </w:r>
      <w:r w:rsidRPr="000B308E">
        <w:rPr>
          <w:rFonts w:eastAsia="Arial"/>
          <w:szCs w:val="22"/>
          <w:bdr w:val="nil"/>
          <w:lang w:val="es-ES"/>
        </w:rPr>
        <w:t xml:space="preserve"> informa de que ningún miembro del personal ha denegado información o asistencia en un proceso de supervisión en curso durante el ejercicio en examen.</w:t>
      </w:r>
    </w:p>
    <w:p w:rsidR="00D23C8A" w:rsidRPr="000B308E" w:rsidRDefault="001E5D8A" w:rsidP="00D23C8A">
      <w:pPr>
        <w:pStyle w:val="Heading1"/>
        <w:rPr>
          <w:lang w:val="es-ES"/>
        </w:rPr>
      </w:pPr>
      <w:bookmarkStart w:id="39" w:name="_Toc518890534"/>
      <w:bookmarkEnd w:id="37"/>
      <w:r w:rsidRPr="000B308E">
        <w:rPr>
          <w:rFonts w:eastAsia="Arial"/>
          <w:szCs w:val="22"/>
          <w:bdr w:val="nil"/>
          <w:lang w:val="es-ES"/>
        </w:rPr>
        <w:t>ESTADO DE APLICACIÓN DE LAS RECOMENDACIONES EN MATERIA DE SUPERVISIÓN</w:t>
      </w:r>
      <w:bookmarkEnd w:id="39"/>
    </w:p>
    <w:p w:rsidR="00D23C8A" w:rsidRPr="000B308E" w:rsidRDefault="001E5D8A" w:rsidP="00D23C8A">
      <w:pPr>
        <w:pStyle w:val="ONUME"/>
        <w:numPr>
          <w:ilvl w:val="0"/>
          <w:numId w:val="3"/>
        </w:numPr>
        <w:rPr>
          <w:lang w:val="es-ES"/>
        </w:rPr>
      </w:pPr>
      <w:r w:rsidRPr="000B308E">
        <w:rPr>
          <w:rFonts w:eastAsia="Arial"/>
          <w:szCs w:val="22"/>
          <w:bdr w:val="nil"/>
          <w:lang w:val="es-ES"/>
        </w:rPr>
        <w:t xml:space="preserve">Compete al director general velar por que todas las recomendaciones formuladas por el director de la </w:t>
      </w:r>
      <w:r w:rsidRPr="000B308E">
        <w:rPr>
          <w:rFonts w:eastAsia="Arial"/>
          <w:szCs w:val="22"/>
          <w:u w:color="FF0000"/>
          <w:bdr w:val="nil"/>
          <w:lang w:val="es-ES"/>
        </w:rPr>
        <w:t>DSI</w:t>
      </w:r>
      <w:r w:rsidRPr="000B308E">
        <w:rPr>
          <w:rFonts w:eastAsia="Arial"/>
          <w:szCs w:val="22"/>
          <w:bdr w:val="nil"/>
          <w:lang w:val="es-ES"/>
        </w:rPr>
        <w:t xml:space="preserve"> y otros órganos de supervisión se atiendan con prontitud, indicando las medidas adoptadas con respecto a las conclusiones y recomendaciones específicas.</w:t>
      </w:r>
      <w:r w:rsidRPr="000B308E">
        <w:rPr>
          <w:rStyle w:val="FootnoteReference"/>
          <w:lang w:val="es-ES"/>
        </w:rPr>
        <w:footnoteReference w:id="7"/>
      </w:r>
      <w:r w:rsidRPr="000B308E">
        <w:rPr>
          <w:rFonts w:eastAsia="Arial"/>
          <w:szCs w:val="22"/>
          <w:bdr w:val="nil"/>
          <w:lang w:val="es-ES"/>
        </w:rPr>
        <w:t xml:space="preserve"> El director general delega esta labor en los directores de programa que están al frente de las distintas esferas operativas de la Organización.</w:t>
      </w:r>
      <w:r w:rsidRPr="000B308E">
        <w:rPr>
          <w:rStyle w:val="FootnoteReference"/>
          <w:lang w:val="es-ES"/>
        </w:rPr>
        <w:footnoteReference w:id="8"/>
      </w:r>
      <w:r w:rsidRPr="000B308E">
        <w:rPr>
          <w:rFonts w:eastAsia="Arial"/>
          <w:szCs w:val="22"/>
          <w:bdr w:val="nil"/>
          <w:lang w:val="es-ES"/>
        </w:rPr>
        <w:t xml:space="preserve"> La aplicación de todas las recomendaciones en materia de supervisión por parte de los directores de programa de la </w:t>
      </w:r>
      <w:r w:rsidRPr="000B308E">
        <w:rPr>
          <w:rFonts w:eastAsia="Arial"/>
          <w:szCs w:val="22"/>
          <w:u w:color="FF0000"/>
          <w:bdr w:val="nil"/>
          <w:lang w:val="es-ES"/>
        </w:rPr>
        <w:t>OMPI</w:t>
      </w:r>
      <w:r w:rsidRPr="000B308E">
        <w:rPr>
          <w:rFonts w:eastAsia="Arial"/>
          <w:szCs w:val="22"/>
          <w:bdr w:val="nil"/>
          <w:lang w:val="es-ES"/>
        </w:rPr>
        <w:t xml:space="preserve"> es objeto de seguimiento regular por la </w:t>
      </w:r>
      <w:r w:rsidRPr="000B308E">
        <w:rPr>
          <w:rFonts w:eastAsia="Arial"/>
          <w:szCs w:val="22"/>
          <w:u w:color="FF0000"/>
          <w:bdr w:val="nil"/>
          <w:lang w:val="es-ES"/>
        </w:rPr>
        <w:t>DSI</w:t>
      </w:r>
      <w:r w:rsidRPr="000B308E">
        <w:rPr>
          <w:rFonts w:eastAsia="Arial"/>
          <w:szCs w:val="22"/>
          <w:bdr w:val="nil"/>
          <w:lang w:val="es-ES"/>
        </w:rPr>
        <w:t>.</w:t>
      </w:r>
      <w:r w:rsidRPr="000B308E">
        <w:rPr>
          <w:rStyle w:val="FootnoteReference"/>
          <w:lang w:val="es-ES"/>
        </w:rPr>
        <w:footnoteReference w:id="9"/>
      </w:r>
    </w:p>
    <w:p w:rsidR="00D23C8A" w:rsidRPr="000B308E" w:rsidRDefault="001E5D8A" w:rsidP="00D23C8A">
      <w:pPr>
        <w:pStyle w:val="ONUME"/>
        <w:numPr>
          <w:ilvl w:val="0"/>
          <w:numId w:val="3"/>
        </w:numPr>
        <w:rPr>
          <w:lang w:val="es-ES"/>
        </w:rPr>
      </w:pPr>
      <w:r w:rsidRPr="000B308E">
        <w:rPr>
          <w:rFonts w:eastAsia="Arial"/>
          <w:szCs w:val="22"/>
          <w:bdr w:val="nil"/>
          <w:lang w:val="es-ES"/>
        </w:rPr>
        <w:t xml:space="preserve">La </w:t>
      </w:r>
      <w:r w:rsidRPr="000B308E">
        <w:rPr>
          <w:rFonts w:eastAsia="Arial"/>
          <w:szCs w:val="22"/>
          <w:u w:color="FF0000"/>
          <w:bdr w:val="nil"/>
          <w:lang w:val="es-ES"/>
        </w:rPr>
        <w:t>DSI</w:t>
      </w:r>
      <w:r w:rsidRPr="000B308E">
        <w:rPr>
          <w:rFonts w:eastAsia="Arial"/>
          <w:szCs w:val="22"/>
          <w:bdr w:val="nil"/>
          <w:lang w:val="es-ES"/>
        </w:rPr>
        <w:t xml:space="preserve"> sigue utilizando el sistema </w:t>
      </w:r>
      <w:r w:rsidRPr="000B308E">
        <w:rPr>
          <w:rFonts w:eastAsia="Arial"/>
          <w:szCs w:val="22"/>
          <w:u w:color="FF0000"/>
          <w:bdr w:val="nil"/>
          <w:lang w:val="es-ES"/>
        </w:rPr>
        <w:t>TeamCentral©</w:t>
      </w:r>
      <w:r w:rsidRPr="000B308E">
        <w:rPr>
          <w:rFonts w:eastAsia="Arial"/>
          <w:szCs w:val="22"/>
          <w:bdr w:val="nil"/>
          <w:lang w:val="es-ES"/>
        </w:rPr>
        <w:t xml:space="preserve"> para la gestión y presentación de informes sobre las recomendaciones, que permite un diálogo interactivo con los directores de programa y sus delegados para seguir con eficacia la aplicación de las recomendaciones pendientes.</w:t>
      </w:r>
    </w:p>
    <w:p w:rsidR="00D23C8A" w:rsidRPr="00E2647A" w:rsidRDefault="001E5D8A" w:rsidP="00D23C8A">
      <w:pPr>
        <w:pStyle w:val="ONUME"/>
        <w:numPr>
          <w:ilvl w:val="0"/>
          <w:numId w:val="3"/>
        </w:numPr>
        <w:rPr>
          <w:lang w:val="es-ES"/>
        </w:rPr>
      </w:pPr>
      <w:r w:rsidRPr="00E2647A">
        <w:rPr>
          <w:rFonts w:eastAsia="Arial"/>
          <w:szCs w:val="22"/>
          <w:bdr w:val="nil"/>
          <w:lang w:val="es-ES"/>
        </w:rPr>
        <w:t xml:space="preserve">La </w:t>
      </w:r>
      <w:r w:rsidRPr="00E2647A">
        <w:rPr>
          <w:rFonts w:eastAsia="Arial"/>
          <w:szCs w:val="22"/>
          <w:u w:color="FF0000"/>
          <w:bdr w:val="nil"/>
          <w:lang w:val="es-ES"/>
        </w:rPr>
        <w:t>DSI</w:t>
      </w:r>
      <w:r w:rsidRPr="00E2647A">
        <w:rPr>
          <w:rFonts w:eastAsia="Arial"/>
          <w:szCs w:val="22"/>
          <w:bdr w:val="nil"/>
          <w:lang w:val="es-ES"/>
        </w:rPr>
        <w:t xml:space="preserve"> concluyó la primera fase de su proyecto de inteligencia institucional, que consiste en incluir las recomendaciones en los tableros de control de inteligencia institucional de la Organización para hacer un seguimiento de las mismas. Actualmente, la información relativa a las recomendaciones, obtenida del sistema </w:t>
      </w:r>
      <w:r w:rsidRPr="00E2647A">
        <w:rPr>
          <w:rFonts w:eastAsia="Arial"/>
          <w:szCs w:val="22"/>
          <w:u w:color="FF0000"/>
          <w:bdr w:val="nil"/>
          <w:lang w:val="es-ES"/>
        </w:rPr>
        <w:t>TeamCentral©</w:t>
      </w:r>
      <w:r w:rsidRPr="00E2647A">
        <w:rPr>
          <w:rFonts w:eastAsia="Arial"/>
          <w:szCs w:val="22"/>
          <w:bdr w:val="nil"/>
          <w:lang w:val="es-ES"/>
        </w:rPr>
        <w:t xml:space="preserve">, se ha vinculado a los paneles de control de inteligencia institucional, y se ha dado acceso a los funcionarios de la </w:t>
      </w:r>
      <w:r w:rsidRPr="00E2647A">
        <w:rPr>
          <w:rFonts w:eastAsia="Arial"/>
          <w:szCs w:val="22"/>
          <w:u w:color="FF0000"/>
          <w:bdr w:val="nil"/>
          <w:lang w:val="es-ES"/>
        </w:rPr>
        <w:t>DSI</w:t>
      </w:r>
      <w:r w:rsidRPr="00E2647A">
        <w:rPr>
          <w:rFonts w:eastAsia="Arial"/>
          <w:szCs w:val="22"/>
          <w:bdr w:val="nil"/>
          <w:lang w:val="es-ES"/>
        </w:rPr>
        <w:t xml:space="preserve">. La segunda fase del proyecto, </w:t>
      </w:r>
      <w:r w:rsidR="00E70BE6" w:rsidRPr="00E2647A">
        <w:rPr>
          <w:rFonts w:eastAsia="Arial"/>
          <w:szCs w:val="22"/>
          <w:bdr w:val="nil"/>
          <w:lang w:val="es-ES"/>
        </w:rPr>
        <w:t>cuya finalización está prevista para</w:t>
      </w:r>
      <w:r w:rsidRPr="00E2647A">
        <w:rPr>
          <w:rFonts w:eastAsia="Arial"/>
          <w:szCs w:val="22"/>
          <w:bdr w:val="nil"/>
          <w:lang w:val="es-ES"/>
        </w:rPr>
        <w:t xml:space="preserve"> finales de 2018, consistirá en dar acceso a la Dirección y a otras partes interesadas en las recomendaciones, en función de los derechos de acceso definidos. Esto permitiría a la dirección visualizar mejor </w:t>
      </w:r>
      <w:r w:rsidR="00E70BE6" w:rsidRPr="00E2647A">
        <w:rPr>
          <w:rFonts w:eastAsia="Arial"/>
          <w:szCs w:val="22"/>
          <w:bdr w:val="nil"/>
          <w:lang w:val="es-ES"/>
        </w:rPr>
        <w:t>y diariamente</w:t>
      </w:r>
      <w:r w:rsidRPr="00E2647A">
        <w:rPr>
          <w:rFonts w:eastAsia="Arial"/>
          <w:szCs w:val="22"/>
          <w:bdr w:val="nil"/>
          <w:lang w:val="es-ES"/>
        </w:rPr>
        <w:t xml:space="preserve"> la evolución de las recomendaciones, además de permitirles generar los informes sobre las recomendaciones de manera independiente.</w:t>
      </w:r>
    </w:p>
    <w:p w:rsidR="00D23C8A" w:rsidRPr="000B308E" w:rsidRDefault="001E5D8A" w:rsidP="00D23C8A">
      <w:pPr>
        <w:pStyle w:val="ONUME"/>
        <w:numPr>
          <w:ilvl w:val="0"/>
          <w:numId w:val="3"/>
        </w:numPr>
        <w:rPr>
          <w:lang w:val="es-ES"/>
        </w:rPr>
      </w:pPr>
      <w:r w:rsidRPr="000B308E">
        <w:rPr>
          <w:rFonts w:eastAsia="Arial"/>
          <w:szCs w:val="22"/>
          <w:bdr w:val="nil"/>
          <w:lang w:val="es-ES"/>
        </w:rPr>
        <w:t xml:space="preserve">A fecha del presente informe, había 180 recomendaciones pendientes de aplicación, que incluyen 96 de prioridad alta y 84 de prioridad media. Las recomendaciones de la </w:t>
      </w:r>
      <w:r w:rsidRPr="000B308E">
        <w:rPr>
          <w:rFonts w:eastAsia="Arial"/>
          <w:szCs w:val="22"/>
          <w:u w:color="FF0000"/>
          <w:bdr w:val="nil"/>
          <w:lang w:val="es-ES"/>
        </w:rPr>
        <w:t>DSI</w:t>
      </w:r>
      <w:r w:rsidRPr="000B308E">
        <w:rPr>
          <w:rFonts w:eastAsia="Arial"/>
          <w:szCs w:val="22"/>
          <w:bdr w:val="nil"/>
          <w:lang w:val="es-ES"/>
        </w:rPr>
        <w:t xml:space="preserve"> constituyen el 74% de todas las recomendaciones pendientes en materia de supervisión.</w:t>
      </w:r>
    </w:p>
    <w:p w:rsidR="00D23C8A" w:rsidRPr="000B308E" w:rsidRDefault="001E5D8A" w:rsidP="00D23C8A">
      <w:pPr>
        <w:pStyle w:val="ONUME"/>
        <w:keepNext/>
        <w:jc w:val="center"/>
        <w:rPr>
          <w:b/>
          <w:sz w:val="18"/>
          <w:szCs w:val="18"/>
          <w:lang w:val="es-ES"/>
        </w:rPr>
      </w:pPr>
      <w:r w:rsidRPr="000B308E">
        <w:rPr>
          <w:rFonts w:eastAsia="Arial"/>
          <w:b/>
          <w:bCs/>
          <w:sz w:val="18"/>
          <w:szCs w:val="18"/>
          <w:bdr w:val="nil"/>
          <w:lang w:val="es-ES"/>
        </w:rPr>
        <w:t>Gráfico 3: Recomendaciones por prioridad (180)</w:t>
      </w:r>
    </w:p>
    <w:p w:rsidR="00FE14D1" w:rsidRPr="00E2647A" w:rsidRDefault="00FB692C" w:rsidP="00D23C8A">
      <w:pPr>
        <w:pStyle w:val="ONUME"/>
        <w:jc w:val="center"/>
        <w:rPr>
          <w:noProof/>
          <w:lang w:val="es-ES" w:eastAsia="es-UY"/>
        </w:rPr>
      </w:pPr>
      <w:r w:rsidRPr="00E2647A">
        <w:rPr>
          <w:noProof/>
          <w:lang w:val="en-US" w:eastAsia="en-US"/>
        </w:rPr>
        <w:drawing>
          <wp:inline distT="0" distB="0" distL="0" distR="0" wp14:anchorId="775AE86C" wp14:editId="75936DEB">
            <wp:extent cx="2923927" cy="175411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7841" cy="1762459"/>
                    </a:xfrm>
                    <a:prstGeom prst="rect">
                      <a:avLst/>
                    </a:prstGeom>
                    <a:noFill/>
                  </pic:spPr>
                </pic:pic>
              </a:graphicData>
            </a:graphic>
          </wp:inline>
        </w:drawing>
      </w:r>
    </w:p>
    <w:p w:rsidR="00D23C8A" w:rsidRPr="000B308E" w:rsidRDefault="001E5D8A" w:rsidP="00D23C8A">
      <w:pPr>
        <w:pStyle w:val="ONUME"/>
        <w:numPr>
          <w:ilvl w:val="0"/>
          <w:numId w:val="3"/>
        </w:numPr>
        <w:rPr>
          <w:lang w:val="es-ES"/>
        </w:rPr>
      </w:pPr>
      <w:r w:rsidRPr="000B308E">
        <w:rPr>
          <w:rFonts w:eastAsia="Arial"/>
          <w:szCs w:val="22"/>
          <w:bdr w:val="nil"/>
          <w:lang w:val="es-ES"/>
        </w:rPr>
        <w:lastRenderedPageBreak/>
        <w:t>El cuadro que figura a continuación indica el movimiento de las recomendaciones por fuente entre el 1 de julio de 2017 y el 30 de junio de 2018.</w:t>
      </w:r>
    </w:p>
    <w:p w:rsidR="00D23C8A" w:rsidRPr="000B308E" w:rsidRDefault="001E5D8A" w:rsidP="00D23C8A">
      <w:pPr>
        <w:pStyle w:val="ONUME"/>
        <w:keepNext/>
        <w:jc w:val="center"/>
        <w:rPr>
          <w:b/>
          <w:sz w:val="18"/>
          <w:szCs w:val="18"/>
          <w:lang w:val="es-ES"/>
        </w:rPr>
      </w:pPr>
      <w:r w:rsidRPr="000B308E">
        <w:rPr>
          <w:rFonts w:eastAsia="Arial"/>
          <w:b/>
          <w:bCs/>
          <w:sz w:val="18"/>
          <w:szCs w:val="18"/>
          <w:bdr w:val="nil"/>
          <w:lang w:val="es-ES"/>
        </w:rPr>
        <w:t>Cuadro 2: Movimiento de las recomendaciones entre el 1 de julio de 2017 y el 30 de junio de 2018</w:t>
      </w:r>
    </w:p>
    <w:tbl>
      <w:tblPr>
        <w:tblW w:w="9720" w:type="dxa"/>
        <w:tblInd w:w="98" w:type="dxa"/>
        <w:tblLook w:val="04A0" w:firstRow="1" w:lastRow="0" w:firstColumn="1" w:lastColumn="0" w:noHBand="0" w:noVBand="1"/>
      </w:tblPr>
      <w:tblGrid>
        <w:gridCol w:w="2860"/>
        <w:gridCol w:w="1520"/>
        <w:gridCol w:w="1540"/>
        <w:gridCol w:w="1840"/>
        <w:gridCol w:w="1960"/>
      </w:tblGrid>
      <w:tr w:rsidR="00D23C8A" w:rsidRPr="000B308E" w:rsidTr="00D23C8A">
        <w:trPr>
          <w:trHeight w:val="525"/>
        </w:trPr>
        <w:tc>
          <w:tcPr>
            <w:tcW w:w="28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rsidR="00D23C8A" w:rsidRPr="000B308E" w:rsidRDefault="001E5D8A" w:rsidP="00D23C8A">
            <w:pPr>
              <w:rPr>
                <w:rFonts w:eastAsia="Times New Roman"/>
                <w:b/>
                <w:bCs/>
                <w:sz w:val="20"/>
                <w:lang w:val="es-ES" w:eastAsia="en-US"/>
              </w:rPr>
            </w:pPr>
            <w:r w:rsidRPr="000B308E">
              <w:rPr>
                <w:rFonts w:eastAsia="Arial"/>
                <w:b/>
                <w:bCs/>
                <w:sz w:val="20"/>
                <w:bdr w:val="nil"/>
                <w:lang w:val="es-ES" w:eastAsia="en-US"/>
              </w:rPr>
              <w:t>Fuente</w:t>
            </w:r>
          </w:p>
        </w:tc>
        <w:tc>
          <w:tcPr>
            <w:tcW w:w="1520" w:type="dxa"/>
            <w:tcBorders>
              <w:top w:val="single" w:sz="8" w:space="0" w:color="auto"/>
              <w:left w:val="nil"/>
              <w:bottom w:val="single" w:sz="8" w:space="0" w:color="auto"/>
              <w:right w:val="single" w:sz="8" w:space="0" w:color="auto"/>
            </w:tcBorders>
            <w:shd w:val="clear" w:color="000000" w:fill="D9D9D9"/>
            <w:vAlign w:val="center"/>
            <w:hideMark/>
          </w:tcPr>
          <w:p w:rsidR="00D23C8A" w:rsidRPr="000B308E" w:rsidRDefault="001E5D8A" w:rsidP="00D23C8A">
            <w:pPr>
              <w:jc w:val="center"/>
              <w:rPr>
                <w:rFonts w:eastAsia="Times New Roman"/>
                <w:b/>
                <w:bCs/>
                <w:sz w:val="20"/>
                <w:lang w:val="es-ES" w:eastAsia="en-US"/>
              </w:rPr>
            </w:pPr>
            <w:r w:rsidRPr="000B308E">
              <w:rPr>
                <w:rFonts w:eastAsia="Arial"/>
                <w:b/>
                <w:bCs/>
                <w:sz w:val="20"/>
                <w:bdr w:val="nil"/>
                <w:lang w:val="es-ES" w:eastAsia="en-US"/>
              </w:rPr>
              <w:t>Pendientes al 1 de julio de 2017</w:t>
            </w:r>
          </w:p>
        </w:tc>
        <w:tc>
          <w:tcPr>
            <w:tcW w:w="1540" w:type="dxa"/>
            <w:tcBorders>
              <w:top w:val="single" w:sz="8" w:space="0" w:color="auto"/>
              <w:left w:val="nil"/>
              <w:bottom w:val="single" w:sz="8" w:space="0" w:color="auto"/>
              <w:right w:val="single" w:sz="8" w:space="0" w:color="auto"/>
            </w:tcBorders>
            <w:shd w:val="clear" w:color="000000" w:fill="D9D9D9"/>
            <w:vAlign w:val="center"/>
            <w:hideMark/>
          </w:tcPr>
          <w:p w:rsidR="00D23C8A" w:rsidRPr="000B308E" w:rsidRDefault="001E5D8A" w:rsidP="00D23C8A">
            <w:pPr>
              <w:jc w:val="center"/>
              <w:rPr>
                <w:rFonts w:eastAsia="Times New Roman"/>
                <w:b/>
                <w:bCs/>
                <w:sz w:val="20"/>
                <w:lang w:val="es-ES" w:eastAsia="en-US"/>
              </w:rPr>
            </w:pPr>
            <w:r w:rsidRPr="000B308E">
              <w:rPr>
                <w:rFonts w:eastAsia="Arial"/>
                <w:b/>
                <w:bCs/>
                <w:sz w:val="20"/>
                <w:bdr w:val="nil"/>
                <w:lang w:val="es-ES" w:eastAsia="en-US"/>
              </w:rPr>
              <w:t>Añadidas durante el año</w:t>
            </w:r>
          </w:p>
        </w:tc>
        <w:tc>
          <w:tcPr>
            <w:tcW w:w="1840" w:type="dxa"/>
            <w:tcBorders>
              <w:top w:val="single" w:sz="8" w:space="0" w:color="auto"/>
              <w:left w:val="nil"/>
              <w:bottom w:val="single" w:sz="8" w:space="0" w:color="auto"/>
              <w:right w:val="single" w:sz="8" w:space="0" w:color="auto"/>
            </w:tcBorders>
            <w:shd w:val="clear" w:color="000000" w:fill="D9D9D9"/>
            <w:vAlign w:val="center"/>
            <w:hideMark/>
          </w:tcPr>
          <w:p w:rsidR="00D23C8A" w:rsidRPr="000B308E" w:rsidRDefault="001E5D8A" w:rsidP="00D23C8A">
            <w:pPr>
              <w:jc w:val="center"/>
              <w:rPr>
                <w:rFonts w:eastAsia="Times New Roman"/>
                <w:b/>
                <w:bCs/>
                <w:sz w:val="20"/>
                <w:lang w:val="es-ES" w:eastAsia="en-US"/>
              </w:rPr>
            </w:pPr>
            <w:r w:rsidRPr="000B308E">
              <w:rPr>
                <w:rFonts w:eastAsia="Arial"/>
                <w:b/>
                <w:bCs/>
                <w:sz w:val="20"/>
                <w:bdr w:val="nil"/>
                <w:lang w:val="es-ES" w:eastAsia="en-US"/>
              </w:rPr>
              <w:t>Cerradas durante el año</w:t>
            </w:r>
          </w:p>
        </w:tc>
        <w:tc>
          <w:tcPr>
            <w:tcW w:w="1960" w:type="dxa"/>
            <w:tcBorders>
              <w:top w:val="single" w:sz="8" w:space="0" w:color="auto"/>
              <w:left w:val="nil"/>
              <w:bottom w:val="single" w:sz="8" w:space="0" w:color="auto"/>
              <w:right w:val="single" w:sz="8" w:space="0" w:color="auto"/>
            </w:tcBorders>
            <w:shd w:val="clear" w:color="000000" w:fill="D9D9D9"/>
            <w:vAlign w:val="center"/>
            <w:hideMark/>
          </w:tcPr>
          <w:p w:rsidR="00D23C8A" w:rsidRPr="000B308E" w:rsidRDefault="001E5D8A" w:rsidP="00D23C8A">
            <w:pPr>
              <w:jc w:val="center"/>
              <w:rPr>
                <w:rFonts w:eastAsia="Times New Roman"/>
                <w:b/>
                <w:bCs/>
                <w:sz w:val="20"/>
                <w:lang w:val="es-ES" w:eastAsia="en-US"/>
              </w:rPr>
            </w:pPr>
            <w:r w:rsidRPr="000B308E">
              <w:rPr>
                <w:rFonts w:eastAsia="Arial"/>
                <w:b/>
                <w:bCs/>
                <w:sz w:val="20"/>
                <w:bdr w:val="nil"/>
                <w:lang w:val="es-ES" w:eastAsia="en-US"/>
              </w:rPr>
              <w:t>Abiertas al 30 de junio de 2018</w:t>
            </w:r>
          </w:p>
        </w:tc>
      </w:tr>
      <w:tr w:rsidR="00D23C8A" w:rsidRPr="000B308E" w:rsidTr="00D23C8A">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D23C8A" w:rsidRPr="000B308E" w:rsidRDefault="001E5D8A" w:rsidP="00D23C8A">
            <w:pPr>
              <w:rPr>
                <w:rFonts w:eastAsia="Times New Roman"/>
                <w:sz w:val="20"/>
                <w:lang w:val="es-ES" w:eastAsia="en-US"/>
              </w:rPr>
            </w:pPr>
            <w:r w:rsidRPr="000B308E">
              <w:rPr>
                <w:rFonts w:eastAsia="Arial"/>
                <w:sz w:val="20"/>
                <w:u w:color="FF0000"/>
                <w:bdr w:val="nil"/>
                <w:lang w:val="es-ES" w:eastAsia="en-US"/>
              </w:rPr>
              <w:t>DSI</w:t>
            </w:r>
          </w:p>
        </w:tc>
        <w:tc>
          <w:tcPr>
            <w:tcW w:w="152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145</w:t>
            </w:r>
          </w:p>
        </w:tc>
        <w:tc>
          <w:tcPr>
            <w:tcW w:w="15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50</w:t>
            </w:r>
          </w:p>
        </w:tc>
        <w:tc>
          <w:tcPr>
            <w:tcW w:w="18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61</w:t>
            </w:r>
          </w:p>
        </w:tc>
        <w:tc>
          <w:tcPr>
            <w:tcW w:w="196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134</w:t>
            </w:r>
          </w:p>
        </w:tc>
      </w:tr>
      <w:tr w:rsidR="00D23C8A" w:rsidRPr="000B308E" w:rsidTr="00D23C8A">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D23C8A" w:rsidRPr="000B308E" w:rsidRDefault="001E5D8A" w:rsidP="00D23C8A">
            <w:pPr>
              <w:rPr>
                <w:rFonts w:eastAsia="Times New Roman"/>
                <w:sz w:val="20"/>
                <w:lang w:val="es-ES" w:eastAsia="en-US"/>
              </w:rPr>
            </w:pPr>
            <w:r w:rsidRPr="000B308E">
              <w:rPr>
                <w:rFonts w:eastAsia="Arial"/>
                <w:sz w:val="20"/>
                <w:bdr w:val="nil"/>
                <w:lang w:val="es-ES" w:eastAsia="en-US"/>
              </w:rPr>
              <w:t>Auditor externo</w:t>
            </w:r>
          </w:p>
        </w:tc>
        <w:tc>
          <w:tcPr>
            <w:tcW w:w="152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48</w:t>
            </w:r>
          </w:p>
        </w:tc>
        <w:tc>
          <w:tcPr>
            <w:tcW w:w="15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26</w:t>
            </w:r>
          </w:p>
        </w:tc>
        <w:tc>
          <w:tcPr>
            <w:tcW w:w="18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28</w:t>
            </w:r>
          </w:p>
        </w:tc>
        <w:tc>
          <w:tcPr>
            <w:tcW w:w="196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46</w:t>
            </w:r>
          </w:p>
        </w:tc>
      </w:tr>
      <w:tr w:rsidR="00D23C8A" w:rsidRPr="000B308E" w:rsidTr="00D23C8A">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D23C8A" w:rsidRPr="000B308E" w:rsidRDefault="001E5D8A" w:rsidP="00D23C8A">
            <w:pPr>
              <w:rPr>
                <w:rFonts w:eastAsia="Times New Roman"/>
                <w:sz w:val="20"/>
                <w:lang w:val="es-ES" w:eastAsia="en-US"/>
              </w:rPr>
            </w:pPr>
            <w:r w:rsidRPr="000B308E">
              <w:rPr>
                <w:rFonts w:eastAsia="Arial"/>
                <w:sz w:val="20"/>
                <w:u w:color="FF0000"/>
                <w:bdr w:val="nil"/>
                <w:lang w:val="es-ES" w:eastAsia="en-US"/>
              </w:rPr>
              <w:t>CCIS</w:t>
            </w:r>
          </w:p>
        </w:tc>
        <w:tc>
          <w:tcPr>
            <w:tcW w:w="152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0</w:t>
            </w:r>
          </w:p>
        </w:tc>
        <w:tc>
          <w:tcPr>
            <w:tcW w:w="15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1</w:t>
            </w:r>
          </w:p>
        </w:tc>
        <w:tc>
          <w:tcPr>
            <w:tcW w:w="18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1</w:t>
            </w:r>
          </w:p>
        </w:tc>
        <w:tc>
          <w:tcPr>
            <w:tcW w:w="196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sz w:val="20"/>
                <w:lang w:val="es-ES" w:eastAsia="en-US"/>
              </w:rPr>
            </w:pPr>
            <w:r w:rsidRPr="000B308E">
              <w:rPr>
                <w:rFonts w:eastAsia="Times New Roman"/>
                <w:sz w:val="20"/>
                <w:lang w:val="es-ES" w:eastAsia="en-US"/>
              </w:rPr>
              <w:t>0</w:t>
            </w:r>
          </w:p>
        </w:tc>
      </w:tr>
      <w:tr w:rsidR="00D23C8A" w:rsidRPr="000B308E" w:rsidTr="00D23C8A">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D23C8A" w:rsidRPr="000B308E" w:rsidRDefault="001E5D8A" w:rsidP="00D23C8A">
            <w:pPr>
              <w:rPr>
                <w:rFonts w:eastAsia="Times New Roman"/>
                <w:b/>
                <w:bCs/>
                <w:sz w:val="20"/>
                <w:lang w:val="es-ES" w:eastAsia="en-US"/>
              </w:rPr>
            </w:pPr>
            <w:r w:rsidRPr="000B308E">
              <w:rPr>
                <w:rFonts w:eastAsia="Arial"/>
                <w:b/>
                <w:bCs/>
                <w:sz w:val="20"/>
                <w:bdr w:val="nil"/>
                <w:lang w:val="es-ES" w:eastAsia="en-US"/>
              </w:rPr>
              <w:t>Total</w:t>
            </w:r>
          </w:p>
        </w:tc>
        <w:tc>
          <w:tcPr>
            <w:tcW w:w="152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b/>
                <w:bCs/>
                <w:sz w:val="20"/>
                <w:lang w:val="es-ES" w:eastAsia="en-US"/>
              </w:rPr>
            </w:pPr>
            <w:r w:rsidRPr="000B308E">
              <w:rPr>
                <w:rFonts w:eastAsia="Times New Roman"/>
                <w:b/>
                <w:bCs/>
                <w:sz w:val="20"/>
                <w:lang w:val="es-ES" w:eastAsia="en-US"/>
              </w:rPr>
              <w:t>193</w:t>
            </w:r>
          </w:p>
        </w:tc>
        <w:tc>
          <w:tcPr>
            <w:tcW w:w="15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b/>
                <w:bCs/>
                <w:sz w:val="20"/>
                <w:lang w:val="es-ES" w:eastAsia="en-US"/>
              </w:rPr>
            </w:pPr>
            <w:r w:rsidRPr="000B308E">
              <w:rPr>
                <w:rFonts w:eastAsia="Times New Roman"/>
                <w:b/>
                <w:bCs/>
                <w:sz w:val="20"/>
                <w:lang w:val="es-ES" w:eastAsia="en-US"/>
              </w:rPr>
              <w:t>77</w:t>
            </w:r>
          </w:p>
        </w:tc>
        <w:tc>
          <w:tcPr>
            <w:tcW w:w="184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b/>
                <w:bCs/>
                <w:sz w:val="20"/>
                <w:lang w:val="es-ES" w:eastAsia="en-US"/>
              </w:rPr>
            </w:pPr>
            <w:r w:rsidRPr="000B308E">
              <w:rPr>
                <w:rFonts w:eastAsia="Times New Roman"/>
                <w:b/>
                <w:bCs/>
                <w:sz w:val="20"/>
                <w:lang w:val="es-ES" w:eastAsia="en-US"/>
              </w:rPr>
              <w:t>90</w:t>
            </w:r>
          </w:p>
        </w:tc>
        <w:tc>
          <w:tcPr>
            <w:tcW w:w="1960" w:type="dxa"/>
            <w:tcBorders>
              <w:top w:val="nil"/>
              <w:left w:val="nil"/>
              <w:bottom w:val="single" w:sz="8" w:space="0" w:color="auto"/>
              <w:right w:val="single" w:sz="8" w:space="0" w:color="auto"/>
            </w:tcBorders>
            <w:shd w:val="clear" w:color="auto" w:fill="auto"/>
            <w:noWrap/>
            <w:vAlign w:val="center"/>
            <w:hideMark/>
          </w:tcPr>
          <w:p w:rsidR="00D23C8A" w:rsidRPr="000B308E" w:rsidRDefault="001E5D8A" w:rsidP="00D23C8A">
            <w:pPr>
              <w:jc w:val="center"/>
              <w:rPr>
                <w:rFonts w:eastAsia="Times New Roman"/>
                <w:b/>
                <w:bCs/>
                <w:sz w:val="20"/>
                <w:lang w:val="es-ES" w:eastAsia="en-US"/>
              </w:rPr>
            </w:pPr>
            <w:r w:rsidRPr="000B308E">
              <w:rPr>
                <w:rFonts w:eastAsia="Times New Roman"/>
                <w:b/>
                <w:bCs/>
                <w:sz w:val="20"/>
                <w:lang w:val="es-ES" w:eastAsia="en-US"/>
              </w:rPr>
              <w:t>180</w:t>
            </w:r>
          </w:p>
        </w:tc>
      </w:tr>
    </w:tbl>
    <w:p w:rsidR="00D23C8A" w:rsidRPr="00E2647A" w:rsidRDefault="001E5D8A" w:rsidP="00D23C8A">
      <w:pPr>
        <w:pStyle w:val="ONUME"/>
        <w:numPr>
          <w:ilvl w:val="0"/>
          <w:numId w:val="3"/>
        </w:numPr>
        <w:spacing w:before="240" w:after="360"/>
        <w:rPr>
          <w:lang w:val="es-ES"/>
        </w:rPr>
      </w:pPr>
      <w:r w:rsidRPr="00E2647A">
        <w:rPr>
          <w:rFonts w:eastAsia="Arial"/>
          <w:szCs w:val="22"/>
          <w:bdr w:val="nil"/>
          <w:lang w:val="es-ES"/>
        </w:rPr>
        <w:t xml:space="preserve">Durante </w:t>
      </w:r>
      <w:r w:rsidR="00FB692C" w:rsidRPr="00E2647A">
        <w:rPr>
          <w:rFonts w:eastAsia="Arial"/>
          <w:szCs w:val="22"/>
          <w:bdr w:val="nil"/>
          <w:lang w:val="es-ES"/>
        </w:rPr>
        <w:t>este</w:t>
      </w:r>
      <w:r w:rsidRPr="00E2647A">
        <w:rPr>
          <w:rFonts w:eastAsia="Arial"/>
          <w:szCs w:val="22"/>
          <w:bdr w:val="nil"/>
          <w:lang w:val="es-ES"/>
        </w:rPr>
        <w:t xml:space="preserve"> ejercicio se cerraron dos recomendaciones pendientes de aplicación, pues la dirección aceptó los riesgos conexos: </w:t>
      </w:r>
    </w:p>
    <w:p w:rsidR="00D23C8A" w:rsidRPr="00E2647A" w:rsidRDefault="001E5D8A" w:rsidP="00D23C8A">
      <w:pPr>
        <w:pStyle w:val="ONUME"/>
        <w:numPr>
          <w:ilvl w:val="1"/>
          <w:numId w:val="3"/>
        </w:numPr>
        <w:spacing w:before="240" w:after="360"/>
        <w:rPr>
          <w:lang w:val="es-ES"/>
        </w:rPr>
      </w:pPr>
      <w:r w:rsidRPr="00E2647A">
        <w:rPr>
          <w:rFonts w:eastAsia="Arial"/>
          <w:szCs w:val="22"/>
          <w:u w:color="FF0000"/>
          <w:bdr w:val="nil"/>
          <w:lang w:val="es-ES"/>
        </w:rPr>
        <w:t>WO</w:t>
      </w:r>
      <w:r w:rsidRPr="00E2647A">
        <w:rPr>
          <w:rFonts w:eastAsia="Arial"/>
          <w:szCs w:val="22"/>
          <w:bdr w:val="nil"/>
          <w:lang w:val="es-ES"/>
        </w:rPr>
        <w:t xml:space="preserve">/CC/74/7 - Enmiendas al </w:t>
      </w:r>
      <w:r w:rsidRPr="00E2647A">
        <w:rPr>
          <w:rFonts w:eastAsia="Arial"/>
          <w:szCs w:val="22"/>
          <w:u w:color="008000"/>
          <w:bdr w:val="nil"/>
          <w:lang w:val="es-ES"/>
        </w:rPr>
        <w:t>Estatuto del Personal</w:t>
      </w:r>
      <w:r w:rsidR="0057080C" w:rsidRPr="00E2647A">
        <w:rPr>
          <w:rFonts w:eastAsia="Arial"/>
          <w:szCs w:val="22"/>
          <w:u w:color="008000"/>
          <w:bdr w:val="nil"/>
          <w:lang w:val="es-ES"/>
        </w:rPr>
        <w:t>,</w:t>
      </w:r>
      <w:r w:rsidRPr="00E2647A">
        <w:rPr>
          <w:rFonts w:eastAsia="Arial"/>
          <w:szCs w:val="22"/>
          <w:u w:color="008000"/>
          <w:bdr w:val="nil"/>
          <w:lang w:val="es-ES"/>
        </w:rPr>
        <w:t xml:space="preserve"> propuestas</w:t>
      </w:r>
      <w:r w:rsidRPr="00E2647A">
        <w:rPr>
          <w:rFonts w:eastAsia="Arial"/>
          <w:szCs w:val="22"/>
          <w:bdr w:val="nil"/>
          <w:lang w:val="es-ES"/>
        </w:rPr>
        <w:t xml:space="preserve"> por la </w:t>
      </w:r>
      <w:r w:rsidRPr="00E2647A">
        <w:rPr>
          <w:rFonts w:eastAsia="Arial"/>
          <w:szCs w:val="22"/>
          <w:u w:color="FF0000"/>
          <w:bdr w:val="nil"/>
          <w:lang w:val="es-ES"/>
        </w:rPr>
        <w:t>CCIS</w:t>
      </w:r>
      <w:r w:rsidRPr="00E2647A">
        <w:rPr>
          <w:rFonts w:eastAsia="Arial"/>
          <w:szCs w:val="22"/>
          <w:bdr w:val="nil"/>
          <w:lang w:val="es-ES"/>
        </w:rPr>
        <w:t>: Recomendación de considerar que antes de incoar procedimientos disciplinarios hay que realizar una investigación.</w:t>
      </w:r>
    </w:p>
    <w:p w:rsidR="00D23C8A" w:rsidRPr="00E2647A" w:rsidRDefault="001E5D8A" w:rsidP="00D23C8A">
      <w:pPr>
        <w:pStyle w:val="ONUME"/>
        <w:numPr>
          <w:ilvl w:val="1"/>
          <w:numId w:val="3"/>
        </w:numPr>
        <w:spacing w:before="240" w:after="360"/>
        <w:rPr>
          <w:lang w:val="es-ES"/>
        </w:rPr>
      </w:pPr>
      <w:r w:rsidRPr="00E2647A">
        <w:rPr>
          <w:rFonts w:eastAsia="Arial"/>
          <w:szCs w:val="22"/>
          <w:bdr w:val="nil"/>
          <w:lang w:val="es-ES"/>
        </w:rPr>
        <w:t>La Auditoría de la gestión del cese de miembros del personal (</w:t>
      </w:r>
      <w:r w:rsidRPr="00E2647A">
        <w:rPr>
          <w:rFonts w:eastAsia="Arial"/>
          <w:szCs w:val="22"/>
          <w:u w:color="FF0000"/>
          <w:bdr w:val="nil"/>
          <w:lang w:val="es-ES"/>
        </w:rPr>
        <w:t>IA</w:t>
      </w:r>
      <w:r w:rsidRPr="00E2647A">
        <w:rPr>
          <w:rFonts w:eastAsia="Arial"/>
          <w:szCs w:val="22"/>
          <w:bdr w:val="nil"/>
          <w:lang w:val="es-ES"/>
        </w:rPr>
        <w:t xml:space="preserve"> 2013-03) - Recomendación 5 sobre la necesidad de automatizar el proceso de desvinculación de funcionarios. Se concluyó que en virtud de la baja tasa de funcionarios que abandonan la Organización, el costo de poner en práctica esta recomendación sería mayor que el beneficio. La </w:t>
      </w:r>
      <w:r w:rsidRPr="00E2647A">
        <w:rPr>
          <w:rFonts w:eastAsia="Arial"/>
          <w:szCs w:val="22"/>
          <w:u w:color="FF0000"/>
          <w:bdr w:val="nil"/>
          <w:lang w:val="es-ES"/>
        </w:rPr>
        <w:t>DSI</w:t>
      </w:r>
      <w:r w:rsidRPr="00E2647A">
        <w:rPr>
          <w:rFonts w:eastAsia="Arial"/>
          <w:szCs w:val="22"/>
          <w:bdr w:val="nil"/>
          <w:lang w:val="es-ES"/>
        </w:rPr>
        <w:t xml:space="preserve"> concuerda con esta conclusión.</w:t>
      </w:r>
    </w:p>
    <w:p w:rsidR="00D23C8A" w:rsidRPr="000B308E" w:rsidRDefault="001E5D8A" w:rsidP="00D23C8A">
      <w:pPr>
        <w:pStyle w:val="ONUME"/>
        <w:numPr>
          <w:ilvl w:val="0"/>
          <w:numId w:val="3"/>
        </w:numPr>
        <w:spacing w:before="240" w:after="360"/>
        <w:rPr>
          <w:lang w:val="es-ES"/>
        </w:rPr>
      </w:pPr>
      <w:r w:rsidRPr="000B308E">
        <w:rPr>
          <w:rFonts w:eastAsia="Arial"/>
          <w:szCs w:val="22"/>
          <w:bdr w:val="nil"/>
          <w:lang w:val="es-ES"/>
        </w:rPr>
        <w:t>En el gráfico que figura a continuación se indica la fuente de las recomendaciones pen</w:t>
      </w:r>
      <w:r w:rsidR="000B308E">
        <w:rPr>
          <w:rFonts w:eastAsia="Arial"/>
          <w:szCs w:val="22"/>
          <w:bdr w:val="nil"/>
          <w:lang w:val="es-ES"/>
        </w:rPr>
        <w:t>dientes, al 30 de junio de 2018.</w:t>
      </w:r>
    </w:p>
    <w:p w:rsidR="00D23C8A" w:rsidRPr="000B308E" w:rsidRDefault="001E5D8A" w:rsidP="00D23C8A">
      <w:pPr>
        <w:pStyle w:val="ONUME"/>
        <w:keepNext/>
        <w:spacing w:after="0"/>
        <w:jc w:val="center"/>
        <w:rPr>
          <w:b/>
          <w:sz w:val="18"/>
          <w:szCs w:val="18"/>
          <w:lang w:val="es-ES"/>
        </w:rPr>
      </w:pPr>
      <w:r w:rsidRPr="000B308E">
        <w:rPr>
          <w:rFonts w:eastAsia="Arial"/>
          <w:b/>
          <w:bCs/>
          <w:sz w:val="18"/>
          <w:szCs w:val="18"/>
          <w:bdr w:val="nil"/>
          <w:lang w:val="es-ES"/>
        </w:rPr>
        <w:t>Gráfico 4: Recomendaciones pendientes en materia de supervisión, por fuente (180)</w:t>
      </w:r>
    </w:p>
    <w:p w:rsidR="00FB692C" w:rsidRPr="00E2647A" w:rsidRDefault="00FB692C" w:rsidP="00D23C8A">
      <w:pPr>
        <w:pStyle w:val="ONUME"/>
        <w:keepLines/>
        <w:spacing w:after="0"/>
        <w:jc w:val="center"/>
        <w:rPr>
          <w:noProof/>
          <w:lang w:val="es-ES" w:eastAsia="es-UY"/>
        </w:rPr>
      </w:pPr>
      <w:r w:rsidRPr="00E2647A">
        <w:rPr>
          <w:noProof/>
          <w:lang w:val="en-US" w:eastAsia="en-US"/>
        </w:rPr>
        <w:drawing>
          <wp:inline distT="0" distB="0" distL="0" distR="0" wp14:anchorId="33ECC5C9" wp14:editId="1D6C7BC6">
            <wp:extent cx="2144889" cy="1495511"/>
            <wp:effectExtent l="0" t="0" r="825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5038" cy="1509560"/>
                    </a:xfrm>
                    <a:prstGeom prst="rect">
                      <a:avLst/>
                    </a:prstGeom>
                    <a:noFill/>
                  </pic:spPr>
                </pic:pic>
              </a:graphicData>
            </a:graphic>
          </wp:inline>
        </w:drawing>
      </w:r>
    </w:p>
    <w:p w:rsidR="00FB692C" w:rsidRPr="00E2647A" w:rsidRDefault="00FB692C" w:rsidP="00D23C8A">
      <w:pPr>
        <w:pStyle w:val="ONUME"/>
        <w:keepLines/>
        <w:spacing w:after="0"/>
        <w:jc w:val="center"/>
        <w:rPr>
          <w:noProof/>
          <w:lang w:val="es-ES" w:eastAsia="es-UY"/>
        </w:rPr>
      </w:pPr>
    </w:p>
    <w:p w:rsidR="00D23C8A" w:rsidRDefault="001E5D8A" w:rsidP="000B308E">
      <w:pPr>
        <w:pStyle w:val="ONUME"/>
        <w:numPr>
          <w:ilvl w:val="0"/>
          <w:numId w:val="3"/>
        </w:numPr>
        <w:spacing w:before="240" w:after="360"/>
        <w:rPr>
          <w:lang w:val="es-ES"/>
        </w:rPr>
      </w:pPr>
      <w:r w:rsidRPr="000B308E">
        <w:rPr>
          <w:rFonts w:eastAsia="Arial"/>
          <w:szCs w:val="22"/>
          <w:bdr w:val="nil"/>
          <w:lang w:val="es-ES"/>
        </w:rPr>
        <w:t>En el cuadro que figura a continuación se resume la evolución de las recomendaciones pen</w:t>
      </w:r>
      <w:r w:rsidR="000B308E">
        <w:rPr>
          <w:rFonts w:eastAsia="Arial"/>
          <w:szCs w:val="22"/>
          <w:bdr w:val="nil"/>
          <w:lang w:val="es-ES"/>
        </w:rPr>
        <w:t>dientes, al 30 de junio de 2018.</w:t>
      </w:r>
    </w:p>
    <w:p w:rsidR="000B308E" w:rsidRPr="000B308E" w:rsidRDefault="000B308E" w:rsidP="000B308E">
      <w:pPr>
        <w:pStyle w:val="ONUME"/>
        <w:keepNext/>
        <w:keepLines/>
        <w:spacing w:before="120" w:after="0"/>
        <w:rPr>
          <w:lang w:val="es-ES"/>
        </w:rPr>
      </w:pPr>
    </w:p>
    <w:p w:rsidR="00D23C8A" w:rsidRPr="000B308E" w:rsidRDefault="001E5D8A" w:rsidP="000B308E">
      <w:pPr>
        <w:pStyle w:val="ONUME"/>
        <w:keepNext/>
        <w:keepLines/>
        <w:spacing w:after="0"/>
        <w:jc w:val="center"/>
        <w:rPr>
          <w:b/>
          <w:sz w:val="18"/>
          <w:szCs w:val="18"/>
          <w:lang w:val="es-ES"/>
        </w:rPr>
      </w:pPr>
      <w:r w:rsidRPr="000B308E">
        <w:rPr>
          <w:rFonts w:eastAsia="Arial"/>
          <w:b/>
          <w:bCs/>
          <w:sz w:val="18"/>
          <w:szCs w:val="18"/>
          <w:bdr w:val="nil"/>
          <w:lang w:val="es-ES"/>
        </w:rPr>
        <w:t>Gráfico 5: Evolución de las recomendaciones pendientes en materia de supervisión, por prioridad (180)</w:t>
      </w:r>
    </w:p>
    <w:p w:rsidR="00D23C8A" w:rsidRPr="00E2647A" w:rsidRDefault="00FB692C" w:rsidP="000B308E">
      <w:pPr>
        <w:pStyle w:val="ONUME"/>
        <w:keepLines/>
        <w:spacing w:before="240" w:after="0"/>
        <w:jc w:val="center"/>
        <w:rPr>
          <w:noProof/>
          <w:lang w:val="es-ES" w:eastAsia="es-UY"/>
        </w:rPr>
      </w:pPr>
      <w:r w:rsidRPr="00E2647A">
        <w:rPr>
          <w:noProof/>
          <w:lang w:val="en-US" w:eastAsia="en-US"/>
        </w:rPr>
        <w:drawing>
          <wp:inline distT="0" distB="0" distL="0" distR="0" wp14:anchorId="65D526E8" wp14:editId="3D42732A">
            <wp:extent cx="4419600" cy="2656657"/>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5645" cy="2660291"/>
                    </a:xfrm>
                    <a:prstGeom prst="rect">
                      <a:avLst/>
                    </a:prstGeom>
                    <a:noFill/>
                  </pic:spPr>
                </pic:pic>
              </a:graphicData>
            </a:graphic>
          </wp:inline>
        </w:drawing>
      </w:r>
    </w:p>
    <w:p w:rsidR="00D23C8A" w:rsidRPr="00E2647A" w:rsidRDefault="00D23C8A" w:rsidP="000B308E">
      <w:pPr>
        <w:pStyle w:val="ONUME"/>
        <w:spacing w:after="0"/>
        <w:rPr>
          <w:lang w:val="es-ES"/>
        </w:rPr>
      </w:pPr>
    </w:p>
    <w:p w:rsidR="00D23C8A" w:rsidRPr="000B308E" w:rsidRDefault="001E5D8A" w:rsidP="000B308E">
      <w:pPr>
        <w:pStyle w:val="ONUME"/>
        <w:spacing w:after="0"/>
        <w:rPr>
          <w:lang w:val="es-ES"/>
        </w:rPr>
      </w:pPr>
      <w:r w:rsidRPr="000B308E">
        <w:rPr>
          <w:rFonts w:eastAsia="Arial"/>
          <w:szCs w:val="22"/>
          <w:bdr w:val="nil"/>
          <w:lang w:val="es-ES"/>
        </w:rPr>
        <w:t>78</w:t>
      </w:r>
      <w:r w:rsidR="00FB692C" w:rsidRPr="000B308E">
        <w:rPr>
          <w:rFonts w:eastAsia="Arial"/>
          <w:szCs w:val="22"/>
          <w:bdr w:val="nil"/>
          <w:lang w:val="es-ES"/>
        </w:rPr>
        <w:t>.</w:t>
      </w:r>
      <w:r w:rsidRPr="000B308E">
        <w:rPr>
          <w:rFonts w:eastAsia="Arial"/>
          <w:szCs w:val="22"/>
          <w:bdr w:val="nil"/>
          <w:lang w:val="es-ES"/>
        </w:rPr>
        <w:tab/>
        <w:t>Hay una recomendación de prioridad alta que está pendiente de aplicación desde 2011 y un total de 24 recomendaciones formuladas entre 2011 y 2014 que siguen pendientes hasta la fecha.</w:t>
      </w:r>
    </w:p>
    <w:p w:rsidR="00D23C8A" w:rsidRPr="000B308E" w:rsidRDefault="001E5D8A" w:rsidP="000B308E">
      <w:pPr>
        <w:keepNext/>
        <w:keepLines/>
        <w:spacing w:after="120"/>
        <w:rPr>
          <w:noProof/>
          <w:lang w:val="es-ES" w:eastAsia="en-US"/>
        </w:rPr>
      </w:pPr>
      <w:r w:rsidRPr="000B308E">
        <w:rPr>
          <w:rFonts w:eastAsia="Arial"/>
          <w:noProof/>
          <w:szCs w:val="22"/>
          <w:bdr w:val="nil"/>
          <w:lang w:val="es-ES" w:eastAsia="en-US"/>
        </w:rPr>
        <w:lastRenderedPageBreak/>
        <w:t>79.</w:t>
      </w:r>
      <w:r w:rsidRPr="000B308E">
        <w:rPr>
          <w:rFonts w:eastAsia="Arial"/>
          <w:noProof/>
          <w:szCs w:val="22"/>
          <w:bdr w:val="nil"/>
          <w:lang w:val="es-ES" w:eastAsia="en-US"/>
        </w:rPr>
        <w:tab/>
        <w:t xml:space="preserve">Al 30 de junio de 2018, el número de recomendaciones por </w:t>
      </w:r>
      <w:r w:rsidRPr="000B308E">
        <w:rPr>
          <w:rFonts w:eastAsia="Arial"/>
          <w:noProof/>
          <w:szCs w:val="22"/>
          <w:u w:color="FF0000"/>
          <w:bdr w:val="nil"/>
          <w:lang w:val="es-ES" w:eastAsia="en-US"/>
        </w:rPr>
        <w:t>programa</w:t>
      </w:r>
      <w:r w:rsidRPr="000B308E">
        <w:rPr>
          <w:rStyle w:val="FootnoteReference"/>
          <w:noProof/>
          <w:u w:color="FF0000"/>
          <w:lang w:val="es-ES" w:eastAsia="en-US"/>
        </w:rPr>
        <w:footnoteReference w:id="10"/>
      </w:r>
      <w:r w:rsidRPr="000B308E">
        <w:rPr>
          <w:rFonts w:eastAsia="Arial"/>
          <w:noProof/>
          <w:szCs w:val="22"/>
          <w:bdr w:val="nil"/>
          <w:lang w:val="es-ES" w:eastAsia="en-US"/>
        </w:rPr>
        <w:t xml:space="preserve"> de la </w:t>
      </w:r>
      <w:r w:rsidRPr="000B308E">
        <w:rPr>
          <w:rFonts w:eastAsia="Arial"/>
          <w:noProof/>
          <w:szCs w:val="22"/>
          <w:u w:color="FF0000"/>
          <w:bdr w:val="nil"/>
          <w:lang w:val="es-ES" w:eastAsia="en-US"/>
        </w:rPr>
        <w:t>OMPI</w:t>
      </w:r>
      <w:r w:rsidRPr="000B308E">
        <w:rPr>
          <w:rFonts w:eastAsia="Arial"/>
          <w:noProof/>
          <w:szCs w:val="22"/>
          <w:bdr w:val="nil"/>
          <w:lang w:val="es-ES" w:eastAsia="en-US"/>
        </w:rPr>
        <w:t xml:space="preserve"> y por prioridad es el siguiente:</w:t>
      </w:r>
    </w:p>
    <w:p w:rsidR="00D23C8A" w:rsidRPr="00E2647A" w:rsidRDefault="00FB692C" w:rsidP="00D23C8A">
      <w:pPr>
        <w:pStyle w:val="ONUME"/>
        <w:keepNext/>
        <w:spacing w:after="0"/>
        <w:jc w:val="center"/>
        <w:rPr>
          <w:rFonts w:eastAsia="Arial"/>
          <w:b/>
          <w:bCs/>
          <w:sz w:val="18"/>
          <w:szCs w:val="18"/>
          <w:bdr w:val="nil"/>
          <w:lang w:val="es-ES"/>
        </w:rPr>
      </w:pPr>
      <w:r w:rsidRPr="00E2647A">
        <w:rPr>
          <w:rFonts w:eastAsia="Arial"/>
          <w:b/>
          <w:bCs/>
          <w:sz w:val="18"/>
          <w:szCs w:val="18"/>
          <w:bdr w:val="nil"/>
          <w:lang w:val="es-ES"/>
        </w:rPr>
        <w:t>Gráfico 6:</w:t>
      </w:r>
      <w:r w:rsidR="001E5D8A" w:rsidRPr="00E2647A">
        <w:rPr>
          <w:rFonts w:eastAsia="Arial"/>
          <w:b/>
          <w:bCs/>
          <w:sz w:val="18"/>
          <w:szCs w:val="18"/>
          <w:bdr w:val="nil"/>
          <w:lang w:val="es-ES"/>
        </w:rPr>
        <w:t xml:space="preserve"> Recomendaciones por programa y por prioridad (180)</w:t>
      </w:r>
    </w:p>
    <w:p w:rsidR="00FB692C" w:rsidRPr="00E2647A" w:rsidRDefault="00FB692C" w:rsidP="000B308E">
      <w:pPr>
        <w:pStyle w:val="ONUME"/>
        <w:keepNext/>
        <w:spacing w:after="0"/>
        <w:jc w:val="center"/>
        <w:rPr>
          <w:b/>
          <w:sz w:val="18"/>
          <w:szCs w:val="18"/>
          <w:lang w:val="es-ES"/>
        </w:rPr>
      </w:pPr>
    </w:p>
    <w:p w:rsidR="00D23C8A" w:rsidRPr="00E2647A" w:rsidRDefault="00A6508C" w:rsidP="00D23C8A">
      <w:pPr>
        <w:pStyle w:val="ONUME"/>
        <w:keepLines/>
        <w:spacing w:after="360"/>
        <w:jc w:val="center"/>
        <w:rPr>
          <w:noProof/>
          <w:lang w:val="es-ES" w:eastAsia="es-UY"/>
        </w:rPr>
      </w:pPr>
      <w:r w:rsidRPr="00E2647A">
        <w:rPr>
          <w:noProof/>
          <w:lang w:val="en-US" w:eastAsia="en-US"/>
        </w:rPr>
        <w:drawing>
          <wp:inline distT="0" distB="0" distL="0" distR="0" wp14:anchorId="3948E6C7" wp14:editId="3CCA35F0">
            <wp:extent cx="5492635" cy="3744000"/>
            <wp:effectExtent l="0" t="0" r="0"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2635" cy="3744000"/>
                    </a:xfrm>
                    <a:prstGeom prst="rect">
                      <a:avLst/>
                    </a:prstGeom>
                    <a:noFill/>
                  </pic:spPr>
                </pic:pic>
              </a:graphicData>
            </a:graphic>
          </wp:inline>
        </w:drawing>
      </w:r>
    </w:p>
    <w:p w:rsidR="00D23C8A" w:rsidRPr="00E2647A" w:rsidRDefault="001E5D8A" w:rsidP="00D23C8A">
      <w:pPr>
        <w:pStyle w:val="ONUME"/>
        <w:rPr>
          <w:lang w:val="es-ES"/>
        </w:rPr>
      </w:pPr>
      <w:r w:rsidRPr="00E2647A">
        <w:rPr>
          <w:rFonts w:eastAsia="Arial"/>
          <w:szCs w:val="22"/>
          <w:bdr w:val="nil"/>
          <w:lang w:val="es-ES"/>
        </w:rPr>
        <w:t>80.</w:t>
      </w:r>
      <w:r w:rsidRPr="00E2647A">
        <w:rPr>
          <w:rFonts w:eastAsia="Arial"/>
          <w:szCs w:val="22"/>
          <w:bdr w:val="nil"/>
          <w:lang w:val="es-ES"/>
        </w:rPr>
        <w:tab/>
        <w:t>Cinco programas representan el 58% de las 96 recomendaciones de alta prioridad, y la mayor cantidad de recomendaciones pendientes de alta prioridad corresponden al programa 24 (Servicios generales de apoyo), el programa 9 (Países africanos, árabes, de América Latina y el Caribe, de Asia y el Pacífico, y países menos adelantados) y el programa 23 (Gestión y desarrollo de los recursos humanos).</w:t>
      </w:r>
    </w:p>
    <w:p w:rsidR="00D23C8A" w:rsidRPr="00E2647A" w:rsidRDefault="001E5D8A">
      <w:pPr>
        <w:rPr>
          <w:b/>
          <w:bCs/>
          <w:caps/>
          <w:kern w:val="32"/>
          <w:szCs w:val="32"/>
          <w:lang w:val="es-ES"/>
        </w:rPr>
      </w:pPr>
      <w:r w:rsidRPr="00E2647A">
        <w:rPr>
          <w:lang w:val="es-ES"/>
        </w:rPr>
        <w:br w:type="page"/>
      </w:r>
    </w:p>
    <w:p w:rsidR="00D23C8A" w:rsidRPr="00DF7268" w:rsidRDefault="001E5D8A" w:rsidP="00D23C8A">
      <w:pPr>
        <w:pStyle w:val="Heading1"/>
        <w:rPr>
          <w:lang w:val="es-ES"/>
        </w:rPr>
      </w:pPr>
      <w:bookmarkStart w:id="40" w:name="_Toc518890535"/>
      <w:r w:rsidRPr="00DF7268">
        <w:rPr>
          <w:rFonts w:eastAsia="Arial"/>
          <w:szCs w:val="22"/>
          <w:bdr w:val="nil"/>
          <w:lang w:val="es-ES"/>
        </w:rPr>
        <w:lastRenderedPageBreak/>
        <w:t>LABOR CONSULTIVA Y DE ASESORAMIENTO EN MATERIA DE SUPERVISIÓN</w:t>
      </w:r>
      <w:bookmarkEnd w:id="40"/>
    </w:p>
    <w:p w:rsidR="00D23C8A" w:rsidRPr="00DF7268" w:rsidRDefault="001E5D8A" w:rsidP="00D23C8A">
      <w:pPr>
        <w:pStyle w:val="ONUME"/>
        <w:rPr>
          <w:lang w:val="es-ES"/>
        </w:rPr>
      </w:pPr>
      <w:r w:rsidRPr="00DF7268">
        <w:rPr>
          <w:rFonts w:eastAsia="Arial"/>
          <w:szCs w:val="22"/>
          <w:bdr w:val="nil"/>
          <w:lang w:val="es-ES"/>
        </w:rPr>
        <w:t>81.</w:t>
      </w:r>
      <w:r w:rsidRPr="00DF7268">
        <w:rPr>
          <w:rFonts w:eastAsia="Arial"/>
          <w:szCs w:val="22"/>
          <w:bdr w:val="nil"/>
          <w:lang w:val="es-ES"/>
        </w:rPr>
        <w:tab/>
        <w:t xml:space="preserve">Además de la labor de supervisión prevista, la </w:t>
      </w:r>
      <w:r w:rsidRPr="00DF7268">
        <w:rPr>
          <w:rFonts w:eastAsia="Arial"/>
          <w:szCs w:val="22"/>
          <w:u w:color="FF0000"/>
          <w:bdr w:val="nil"/>
          <w:lang w:val="es-ES"/>
        </w:rPr>
        <w:t>DSI</w:t>
      </w:r>
      <w:r w:rsidRPr="00DF7268">
        <w:rPr>
          <w:rFonts w:eastAsia="Arial"/>
          <w:szCs w:val="22"/>
          <w:bdr w:val="nil"/>
          <w:lang w:val="es-ES"/>
        </w:rPr>
        <w:t xml:space="preserve"> siguió proporcionando asesoramiento profesional sobre políticas y procedimientos institucionales, gestión de riesgos y controles internos.</w:t>
      </w:r>
    </w:p>
    <w:p w:rsidR="00D23C8A" w:rsidRPr="00E2647A" w:rsidRDefault="001E5D8A" w:rsidP="00D23C8A">
      <w:pPr>
        <w:pStyle w:val="ONUME"/>
        <w:rPr>
          <w:lang w:val="es-ES"/>
        </w:rPr>
      </w:pPr>
      <w:r w:rsidRPr="00E2647A">
        <w:rPr>
          <w:rFonts w:eastAsia="Arial"/>
          <w:szCs w:val="22"/>
          <w:bdr w:val="nil"/>
          <w:lang w:val="es-ES"/>
        </w:rPr>
        <w:t>82.</w:t>
      </w:r>
      <w:r w:rsidRPr="00E2647A">
        <w:rPr>
          <w:rFonts w:eastAsia="Arial"/>
          <w:szCs w:val="22"/>
          <w:bdr w:val="nil"/>
          <w:lang w:val="es-ES"/>
        </w:rPr>
        <w:tab/>
        <w:t xml:space="preserve">La </w:t>
      </w:r>
      <w:r w:rsidRPr="00E2647A">
        <w:rPr>
          <w:rFonts w:eastAsia="Arial"/>
          <w:szCs w:val="22"/>
          <w:u w:color="FF0000"/>
          <w:bdr w:val="nil"/>
          <w:lang w:val="es-ES"/>
        </w:rPr>
        <w:t>DSI</w:t>
      </w:r>
      <w:r w:rsidRPr="00E2647A">
        <w:rPr>
          <w:rFonts w:eastAsia="Arial"/>
          <w:szCs w:val="22"/>
          <w:bdr w:val="nil"/>
          <w:lang w:val="es-ES"/>
        </w:rPr>
        <w:t xml:space="preserve"> participó además, conjuntamente con </w:t>
      </w:r>
      <w:r w:rsidR="00DF7268">
        <w:rPr>
          <w:rFonts w:eastAsia="Arial"/>
          <w:szCs w:val="22"/>
          <w:bdr w:val="nil"/>
          <w:lang w:val="es-ES"/>
        </w:rPr>
        <w:t xml:space="preserve">la Oficina del Contralor en </w:t>
      </w:r>
      <w:r w:rsidRPr="00E2647A">
        <w:rPr>
          <w:rFonts w:eastAsia="Arial"/>
          <w:szCs w:val="22"/>
          <w:bdr w:val="nil"/>
          <w:lang w:val="es-ES"/>
        </w:rPr>
        <w:t>el Departamento de Planificación de Programas y Finanzas, en actividades de prevención de riesgo de fraude. En particular:</w:t>
      </w:r>
    </w:p>
    <w:p w:rsidR="00D23C8A" w:rsidRPr="00E2647A" w:rsidRDefault="001E5D8A" w:rsidP="00D23C8A">
      <w:pPr>
        <w:pStyle w:val="ONUME"/>
        <w:numPr>
          <w:ilvl w:val="1"/>
          <w:numId w:val="3"/>
        </w:numPr>
        <w:rPr>
          <w:lang w:val="es-ES"/>
        </w:rPr>
      </w:pPr>
      <w:r w:rsidRPr="00E2647A">
        <w:rPr>
          <w:rFonts w:eastAsia="Arial"/>
          <w:szCs w:val="22"/>
          <w:u w:color="008000"/>
          <w:bdr w:val="nil"/>
          <w:lang w:val="es-ES"/>
        </w:rPr>
        <w:t>se</w:t>
      </w:r>
      <w:r w:rsidRPr="00E2647A">
        <w:rPr>
          <w:rFonts w:eastAsia="Arial"/>
          <w:szCs w:val="22"/>
          <w:bdr w:val="nil"/>
          <w:lang w:val="es-ES"/>
        </w:rPr>
        <w:t xml:space="preserve"> ha desarrollado una </w:t>
      </w:r>
      <w:r w:rsidR="009E695B" w:rsidRPr="00E2647A">
        <w:rPr>
          <w:rFonts w:eastAsia="Arial"/>
          <w:szCs w:val="22"/>
          <w:bdr w:val="nil"/>
          <w:lang w:val="es-ES"/>
        </w:rPr>
        <w:t xml:space="preserve">capacitación en línea titulada </w:t>
      </w:r>
      <w:r w:rsidRPr="00E2647A">
        <w:rPr>
          <w:rFonts w:eastAsia="Arial"/>
          <w:i/>
          <w:szCs w:val="22"/>
          <w:u w:color="FF0000"/>
          <w:bdr w:val="nil"/>
          <w:lang w:val="es-ES"/>
        </w:rPr>
        <w:t>Avoiding</w:t>
      </w:r>
      <w:r w:rsidRPr="00E2647A">
        <w:rPr>
          <w:rFonts w:eastAsia="Arial"/>
          <w:i/>
          <w:szCs w:val="22"/>
          <w:bdr w:val="nil"/>
          <w:lang w:val="es-ES"/>
        </w:rPr>
        <w:t xml:space="preserve"> </w:t>
      </w:r>
      <w:r w:rsidRPr="00E2647A">
        <w:rPr>
          <w:rFonts w:eastAsia="Arial"/>
          <w:i/>
          <w:szCs w:val="22"/>
          <w:u w:color="FF0000"/>
          <w:bdr w:val="nil"/>
          <w:lang w:val="es-ES"/>
        </w:rPr>
        <w:t>Fraud</w:t>
      </w:r>
      <w:r w:rsidRPr="00E2647A">
        <w:rPr>
          <w:rFonts w:eastAsia="Arial"/>
          <w:i/>
          <w:szCs w:val="22"/>
          <w:bdr w:val="nil"/>
          <w:lang w:val="es-ES"/>
        </w:rPr>
        <w:t xml:space="preserve"> </w:t>
      </w:r>
      <w:r w:rsidRPr="00E2647A">
        <w:rPr>
          <w:rFonts w:eastAsia="Arial"/>
          <w:i/>
          <w:szCs w:val="22"/>
          <w:u w:color="FF0000"/>
          <w:bdr w:val="nil"/>
          <w:lang w:val="es-ES"/>
        </w:rPr>
        <w:t>and</w:t>
      </w:r>
      <w:r w:rsidRPr="00E2647A">
        <w:rPr>
          <w:rFonts w:eastAsia="Arial"/>
          <w:i/>
          <w:szCs w:val="22"/>
          <w:bdr w:val="nil"/>
          <w:lang w:val="es-ES"/>
        </w:rPr>
        <w:t xml:space="preserve"> Abuse </w:t>
      </w:r>
      <w:r w:rsidRPr="00E2647A">
        <w:rPr>
          <w:rFonts w:eastAsia="Arial"/>
          <w:i/>
          <w:szCs w:val="22"/>
          <w:u w:color="FF0000"/>
          <w:bdr w:val="nil"/>
          <w:lang w:val="es-ES"/>
        </w:rPr>
        <w:t>in</w:t>
      </w:r>
      <w:r w:rsidRPr="00E2647A">
        <w:rPr>
          <w:rFonts w:eastAsia="Arial"/>
          <w:i/>
          <w:szCs w:val="22"/>
          <w:bdr w:val="nil"/>
          <w:lang w:val="es-ES"/>
        </w:rPr>
        <w:t xml:space="preserve"> </w:t>
      </w:r>
      <w:r w:rsidRPr="00E2647A">
        <w:rPr>
          <w:rFonts w:eastAsia="Arial"/>
          <w:i/>
          <w:szCs w:val="22"/>
          <w:u w:color="FF0000"/>
          <w:bdr w:val="nil"/>
          <w:lang w:val="es-ES"/>
        </w:rPr>
        <w:t>WIPO</w:t>
      </w:r>
      <w:r w:rsidRPr="00E2647A">
        <w:rPr>
          <w:rFonts w:eastAsia="Arial"/>
          <w:szCs w:val="22"/>
          <w:bdr w:val="nil"/>
          <w:lang w:val="es-ES"/>
        </w:rPr>
        <w:t xml:space="preserve"> (Prevención del fraude y abuso en la </w:t>
      </w:r>
      <w:r w:rsidRPr="00E2647A">
        <w:rPr>
          <w:rFonts w:eastAsia="Arial"/>
          <w:szCs w:val="22"/>
          <w:u w:color="FF0000"/>
          <w:bdr w:val="nil"/>
          <w:lang w:val="es-ES"/>
        </w:rPr>
        <w:t>OMPI</w:t>
      </w:r>
      <w:r w:rsidRPr="00E2647A">
        <w:rPr>
          <w:rFonts w:eastAsia="Arial"/>
          <w:szCs w:val="22"/>
          <w:bdr w:val="nil"/>
          <w:lang w:val="es-ES"/>
        </w:rPr>
        <w:t xml:space="preserve">), que se ofrecerá a los funcionarios de la </w:t>
      </w:r>
      <w:r w:rsidRPr="00E2647A">
        <w:rPr>
          <w:rFonts w:eastAsia="Arial"/>
          <w:szCs w:val="22"/>
          <w:u w:color="FF0000"/>
          <w:bdr w:val="nil"/>
          <w:lang w:val="es-ES"/>
        </w:rPr>
        <w:t>OMPI</w:t>
      </w:r>
      <w:r w:rsidRPr="00E2647A">
        <w:rPr>
          <w:rFonts w:eastAsia="Arial"/>
          <w:szCs w:val="22"/>
          <w:bdr w:val="nil"/>
          <w:lang w:val="es-ES"/>
        </w:rPr>
        <w:t xml:space="preserve"> en el segundo semestre de 2018; y</w:t>
      </w:r>
    </w:p>
    <w:p w:rsidR="00D23C8A" w:rsidRPr="00DF7268" w:rsidRDefault="001E5D8A" w:rsidP="00D23C8A">
      <w:pPr>
        <w:pStyle w:val="ONUME"/>
        <w:numPr>
          <w:ilvl w:val="1"/>
          <w:numId w:val="3"/>
        </w:numPr>
        <w:rPr>
          <w:lang w:val="es-ES"/>
        </w:rPr>
      </w:pPr>
      <w:r w:rsidRPr="00E2647A">
        <w:rPr>
          <w:rFonts w:eastAsia="Arial"/>
          <w:szCs w:val="22"/>
          <w:u w:color="008000"/>
          <w:bdr w:val="nil"/>
          <w:lang w:val="es-ES"/>
        </w:rPr>
        <w:t>se</w:t>
      </w:r>
      <w:r w:rsidRPr="00E2647A">
        <w:rPr>
          <w:rFonts w:eastAsia="Arial"/>
          <w:szCs w:val="22"/>
          <w:bdr w:val="nil"/>
          <w:lang w:val="es-ES"/>
        </w:rPr>
        <w:t xml:space="preserve"> ha iniciado un ejercicio de evaluación de riesgo de fraude, para el cual se ha contratado a una empresa de consultoría; las actividades sobre el terreno se llevarán a cabo </w:t>
      </w:r>
      <w:r w:rsidRPr="00DF7268">
        <w:rPr>
          <w:rFonts w:eastAsia="Arial"/>
          <w:szCs w:val="22"/>
          <w:bdr w:val="nil"/>
          <w:lang w:val="es-ES"/>
        </w:rPr>
        <w:t>durante el segundo semestre de 2018.</w:t>
      </w:r>
    </w:p>
    <w:p w:rsidR="00D23C8A" w:rsidRPr="00DF7268" w:rsidRDefault="001E5D8A" w:rsidP="00D23C8A">
      <w:pPr>
        <w:pStyle w:val="Heading1"/>
        <w:rPr>
          <w:lang w:val="es-ES"/>
        </w:rPr>
      </w:pPr>
      <w:bookmarkStart w:id="41" w:name="_Toc518890536"/>
      <w:r w:rsidRPr="00DF7268">
        <w:rPr>
          <w:rFonts w:eastAsia="Arial"/>
          <w:szCs w:val="22"/>
          <w:bdr w:val="nil"/>
          <w:lang w:val="es-ES"/>
        </w:rPr>
        <w:t>COOPERACIÓN CON ORGANISMOS DE SUPERVISIÓN EXTERNOS</w:t>
      </w:r>
      <w:bookmarkEnd w:id="41"/>
    </w:p>
    <w:p w:rsidR="00D23C8A" w:rsidRPr="00DF7268" w:rsidRDefault="001E5D8A" w:rsidP="00D23C8A">
      <w:pPr>
        <w:pStyle w:val="Heading2"/>
        <w:rPr>
          <w:lang w:val="es-ES"/>
        </w:rPr>
      </w:pPr>
      <w:r w:rsidRPr="00DF7268">
        <w:rPr>
          <w:rFonts w:eastAsia="Arial"/>
          <w:szCs w:val="22"/>
          <w:bdr w:val="nil"/>
          <w:lang w:val="es-ES"/>
        </w:rPr>
        <w:t>La Comisión Consultiva Independiente de Supervisión (</w:t>
      </w:r>
      <w:r w:rsidRPr="00DF7268">
        <w:rPr>
          <w:rFonts w:eastAsia="Arial"/>
          <w:szCs w:val="22"/>
          <w:u w:color="FF0000"/>
          <w:bdr w:val="nil"/>
          <w:lang w:val="es-ES"/>
        </w:rPr>
        <w:t>CCIS</w:t>
      </w:r>
      <w:r w:rsidRPr="00DF7268">
        <w:rPr>
          <w:rFonts w:eastAsia="Arial"/>
          <w:szCs w:val="22"/>
          <w:bdr w:val="nil"/>
          <w:lang w:val="es-ES"/>
        </w:rPr>
        <w:t>)</w:t>
      </w:r>
    </w:p>
    <w:p w:rsidR="00D23C8A" w:rsidRPr="00DF7268" w:rsidRDefault="001E5D8A" w:rsidP="00D23C8A">
      <w:pPr>
        <w:pStyle w:val="ONUME"/>
        <w:rPr>
          <w:lang w:val="es-ES"/>
        </w:rPr>
      </w:pPr>
      <w:r w:rsidRPr="00DF7268">
        <w:rPr>
          <w:rFonts w:eastAsia="Arial"/>
          <w:szCs w:val="22"/>
          <w:bdr w:val="nil"/>
          <w:lang w:val="es-ES"/>
        </w:rPr>
        <w:t>83.</w:t>
      </w:r>
      <w:r w:rsidRPr="00DF7268">
        <w:rPr>
          <w:rFonts w:eastAsia="Arial"/>
          <w:szCs w:val="22"/>
          <w:bdr w:val="nil"/>
          <w:lang w:val="es-ES"/>
        </w:rPr>
        <w:tab/>
        <w:t xml:space="preserve">La </w:t>
      </w:r>
      <w:r w:rsidRPr="00DF7268">
        <w:rPr>
          <w:rFonts w:eastAsia="Arial"/>
          <w:szCs w:val="22"/>
          <w:u w:color="FF0000"/>
          <w:bdr w:val="nil"/>
          <w:lang w:val="es-ES"/>
        </w:rPr>
        <w:t>DSI</w:t>
      </w:r>
      <w:r w:rsidRPr="00DF7268">
        <w:rPr>
          <w:rFonts w:eastAsia="Arial"/>
          <w:szCs w:val="22"/>
          <w:bdr w:val="nil"/>
          <w:lang w:val="es-ES"/>
        </w:rPr>
        <w:t xml:space="preserve"> ha asistido regularmente a las reuniones de la </w:t>
      </w:r>
      <w:r w:rsidRPr="00DF7268">
        <w:rPr>
          <w:rFonts w:eastAsia="Arial"/>
          <w:szCs w:val="22"/>
          <w:u w:color="FF0000"/>
          <w:bdr w:val="nil"/>
          <w:lang w:val="es-ES"/>
        </w:rPr>
        <w:t>CCIS</w:t>
      </w:r>
      <w:r w:rsidRPr="00DF7268">
        <w:rPr>
          <w:rFonts w:eastAsia="Arial"/>
          <w:szCs w:val="22"/>
          <w:bdr w:val="nil"/>
          <w:lang w:val="es-ES"/>
        </w:rPr>
        <w:t xml:space="preserve">, durante las cuales ha presentado informes sobre la aplicación del plan de supervisión interna, ha examinado los resultados de supervisión y otros aspectos relacionados con su labor y funcionamiento, y ha solicitado el asesoramiento de la </w:t>
      </w:r>
      <w:r w:rsidRPr="00DF7268">
        <w:rPr>
          <w:rFonts w:eastAsia="Arial"/>
          <w:szCs w:val="22"/>
          <w:u w:color="FF0000"/>
          <w:bdr w:val="nil"/>
          <w:lang w:val="es-ES"/>
        </w:rPr>
        <w:t>CCIS</w:t>
      </w:r>
      <w:r w:rsidRPr="00DF7268">
        <w:rPr>
          <w:rFonts w:eastAsia="Arial"/>
          <w:szCs w:val="22"/>
          <w:bdr w:val="nil"/>
          <w:lang w:val="es-ES"/>
        </w:rPr>
        <w:t xml:space="preserve">. </w:t>
      </w:r>
      <w:r w:rsidR="00C823D1" w:rsidRPr="00DF7268">
        <w:rPr>
          <w:rFonts w:eastAsia="Arial"/>
          <w:szCs w:val="22"/>
          <w:bdr w:val="nil"/>
          <w:lang w:val="es-ES"/>
        </w:rPr>
        <w:t>En</w:t>
      </w:r>
      <w:r w:rsidRPr="00DF7268">
        <w:rPr>
          <w:rFonts w:eastAsia="Arial"/>
          <w:szCs w:val="22"/>
          <w:bdr w:val="nil"/>
          <w:lang w:val="es-ES"/>
        </w:rPr>
        <w:t xml:space="preserve"> el período </w:t>
      </w:r>
      <w:r w:rsidR="00C823D1" w:rsidRPr="00DF7268">
        <w:rPr>
          <w:rFonts w:eastAsia="Arial"/>
          <w:szCs w:val="22"/>
          <w:bdr w:val="nil"/>
          <w:lang w:val="es-ES"/>
        </w:rPr>
        <w:t>abarcado por el presente informe</w:t>
      </w:r>
      <w:r w:rsidRPr="00DF7268">
        <w:rPr>
          <w:rFonts w:eastAsia="Arial"/>
          <w:szCs w:val="22"/>
          <w:bdr w:val="nil"/>
          <w:lang w:val="es-ES"/>
        </w:rPr>
        <w:t xml:space="preserve"> se celebraron desde la cuadragésima quinta hasta la cuadragésima octava sesión de la </w:t>
      </w:r>
      <w:r w:rsidRPr="00DF7268">
        <w:rPr>
          <w:rFonts w:eastAsia="Arial"/>
          <w:szCs w:val="22"/>
          <w:u w:color="FF0000"/>
          <w:bdr w:val="nil"/>
          <w:lang w:val="es-ES"/>
        </w:rPr>
        <w:t>CCIS</w:t>
      </w:r>
      <w:r w:rsidRPr="00DF7268">
        <w:rPr>
          <w:rFonts w:eastAsia="Arial"/>
          <w:szCs w:val="22"/>
          <w:bdr w:val="nil"/>
          <w:lang w:val="es-ES"/>
        </w:rPr>
        <w:t>.</w:t>
      </w:r>
    </w:p>
    <w:p w:rsidR="00D23C8A" w:rsidRPr="00DF7268" w:rsidRDefault="001E5D8A" w:rsidP="00D23C8A">
      <w:pPr>
        <w:pStyle w:val="Heading2"/>
        <w:rPr>
          <w:lang w:val="es-ES"/>
        </w:rPr>
      </w:pPr>
      <w:r w:rsidRPr="00DF7268">
        <w:rPr>
          <w:rFonts w:eastAsia="Arial"/>
          <w:szCs w:val="22"/>
          <w:bdr w:val="nil"/>
          <w:lang w:val="es-ES"/>
        </w:rPr>
        <w:t>AUDITOR EXTERNO</w:t>
      </w:r>
    </w:p>
    <w:p w:rsidR="00D23C8A" w:rsidRPr="00DF7268" w:rsidRDefault="001E5D8A" w:rsidP="00D23C8A">
      <w:pPr>
        <w:pStyle w:val="ONUME"/>
        <w:rPr>
          <w:lang w:val="es-ES"/>
        </w:rPr>
      </w:pPr>
      <w:r w:rsidRPr="00DF7268">
        <w:rPr>
          <w:rFonts w:eastAsia="Arial"/>
          <w:szCs w:val="22"/>
          <w:bdr w:val="nil"/>
          <w:lang w:val="es-ES"/>
        </w:rPr>
        <w:t>84.</w:t>
      </w:r>
      <w:r w:rsidRPr="00DF7268">
        <w:rPr>
          <w:rFonts w:eastAsia="Arial"/>
          <w:szCs w:val="22"/>
          <w:bdr w:val="nil"/>
          <w:lang w:val="es-ES"/>
        </w:rPr>
        <w:tab/>
        <w:t xml:space="preserve">La </w:t>
      </w:r>
      <w:r w:rsidRPr="00DF7268">
        <w:rPr>
          <w:rFonts w:eastAsia="Arial"/>
          <w:szCs w:val="22"/>
          <w:u w:color="FF0000"/>
          <w:bdr w:val="nil"/>
          <w:lang w:val="es-ES"/>
        </w:rPr>
        <w:t>DSI</w:t>
      </w:r>
      <w:r w:rsidRPr="00DF7268">
        <w:rPr>
          <w:rFonts w:eastAsia="Arial"/>
          <w:szCs w:val="22"/>
          <w:bdr w:val="nil"/>
          <w:lang w:val="es-ES"/>
        </w:rPr>
        <w:t xml:space="preserve"> mantuvo buenas relaciones de trabajo con el auditor externo, con el que se reunió periódicamente para abordar cuestiones relacionadas con la auditoría, el control interno y la gestión de riesgos. El auditor externo y la </w:t>
      </w:r>
      <w:r w:rsidRPr="00DF7268">
        <w:rPr>
          <w:rFonts w:eastAsia="Arial"/>
          <w:szCs w:val="22"/>
          <w:u w:color="FF0000"/>
          <w:bdr w:val="nil"/>
          <w:lang w:val="es-ES"/>
        </w:rPr>
        <w:t>DSI</w:t>
      </w:r>
      <w:r w:rsidRPr="00DF7268">
        <w:rPr>
          <w:rFonts w:eastAsia="Arial"/>
          <w:szCs w:val="22"/>
          <w:bdr w:val="nil"/>
          <w:lang w:val="es-ES"/>
        </w:rPr>
        <w:t xml:space="preserve"> compartieron estrategias, planes anuales e i</w:t>
      </w:r>
      <w:r w:rsidR="0057080C" w:rsidRPr="00DF7268">
        <w:rPr>
          <w:rFonts w:eastAsia="Arial"/>
          <w:szCs w:val="22"/>
          <w:bdr w:val="nil"/>
          <w:lang w:val="es-ES"/>
        </w:rPr>
        <w:t>nformes específicos con miras a</w:t>
      </w:r>
      <w:r w:rsidRPr="00DF7268">
        <w:rPr>
          <w:rFonts w:eastAsia="Arial"/>
          <w:szCs w:val="22"/>
          <w:u w:color="008000"/>
          <w:bdr w:val="nil"/>
          <w:lang w:val="es-ES"/>
        </w:rPr>
        <w:t xml:space="preserve"> garantizar</w:t>
      </w:r>
      <w:r w:rsidRPr="00DF7268">
        <w:rPr>
          <w:rFonts w:eastAsia="Arial"/>
          <w:szCs w:val="22"/>
          <w:bdr w:val="nil"/>
          <w:lang w:val="es-ES"/>
        </w:rPr>
        <w:t xml:space="preserve"> la eficiencia en el alcance de la supervisión, evitando al mismo tiempo las posibles duplicaciones de tareas y la fatiga de supervisión.</w:t>
      </w:r>
    </w:p>
    <w:p w:rsidR="00D23C8A" w:rsidRPr="00DF7268" w:rsidRDefault="001E5D8A" w:rsidP="00D23C8A">
      <w:pPr>
        <w:pStyle w:val="ONUME"/>
        <w:rPr>
          <w:lang w:val="es-ES"/>
        </w:rPr>
      </w:pPr>
      <w:r w:rsidRPr="00DF7268">
        <w:rPr>
          <w:rFonts w:eastAsia="Arial"/>
          <w:szCs w:val="22"/>
          <w:bdr w:val="nil"/>
          <w:lang w:val="es-ES"/>
        </w:rPr>
        <w:t>85.</w:t>
      </w:r>
      <w:r w:rsidRPr="00DF7268">
        <w:rPr>
          <w:rFonts w:eastAsia="Arial"/>
          <w:szCs w:val="22"/>
          <w:bdr w:val="nil"/>
          <w:lang w:val="es-ES"/>
        </w:rPr>
        <w:tab/>
        <w:t xml:space="preserve">La </w:t>
      </w:r>
      <w:r w:rsidRPr="00DF7268">
        <w:rPr>
          <w:rFonts w:eastAsia="Arial"/>
          <w:szCs w:val="22"/>
          <w:u w:color="FF0000"/>
          <w:bdr w:val="nil"/>
          <w:lang w:val="es-ES"/>
        </w:rPr>
        <w:t>DSI</w:t>
      </w:r>
      <w:r w:rsidRPr="00DF7268">
        <w:rPr>
          <w:rFonts w:eastAsia="Arial"/>
          <w:szCs w:val="22"/>
          <w:bdr w:val="nil"/>
          <w:lang w:val="es-ES"/>
        </w:rPr>
        <w:t xml:space="preserve"> se reunió en mayo </w:t>
      </w:r>
      <w:r w:rsidRPr="00E2647A">
        <w:rPr>
          <w:rFonts w:eastAsia="Arial"/>
          <w:szCs w:val="22"/>
          <w:bdr w:val="nil"/>
          <w:lang w:val="es-ES"/>
        </w:rPr>
        <w:t xml:space="preserve">de 2018 con </w:t>
      </w:r>
      <w:r w:rsidR="00C823D1" w:rsidRPr="00E2647A">
        <w:rPr>
          <w:rFonts w:eastAsia="Arial"/>
          <w:szCs w:val="22"/>
          <w:bdr w:val="nil"/>
          <w:lang w:val="es-ES"/>
        </w:rPr>
        <w:t>el recientemente designado</w:t>
      </w:r>
      <w:r w:rsidRPr="00E2647A">
        <w:rPr>
          <w:rFonts w:eastAsia="Arial"/>
          <w:szCs w:val="22"/>
          <w:bdr w:val="nil"/>
          <w:lang w:val="es-ES"/>
        </w:rPr>
        <w:t xml:space="preserve"> auditor externo, de la Oficina Nacional de Auditoría del Reino Unido, </w:t>
      </w:r>
      <w:r w:rsidR="00E72A26" w:rsidRPr="00E2647A">
        <w:rPr>
          <w:rFonts w:eastAsia="Arial"/>
          <w:szCs w:val="22"/>
          <w:bdr w:val="nil"/>
          <w:lang w:val="es-ES"/>
        </w:rPr>
        <w:t>con quien conversó sobre</w:t>
      </w:r>
      <w:r w:rsidRPr="00E2647A">
        <w:rPr>
          <w:rFonts w:eastAsia="Arial"/>
          <w:szCs w:val="22"/>
          <w:bdr w:val="nil"/>
          <w:lang w:val="es-ES"/>
        </w:rPr>
        <w:t xml:space="preserve"> el plan de trabajo anual, la Carta de Supervisión Interna, la estrategia de auditoría interna y los memorandos sobre la labor </w:t>
      </w:r>
      <w:r w:rsidRPr="00DF7268">
        <w:rPr>
          <w:rFonts w:eastAsia="Arial"/>
          <w:szCs w:val="22"/>
          <w:bdr w:val="nil"/>
          <w:lang w:val="es-ES"/>
        </w:rPr>
        <w:t>continua de auditoría, entre otros documentos.</w:t>
      </w:r>
    </w:p>
    <w:p w:rsidR="00D23C8A" w:rsidRPr="00DF7268" w:rsidRDefault="001E5D8A" w:rsidP="00D23C8A">
      <w:pPr>
        <w:pStyle w:val="Heading1"/>
        <w:rPr>
          <w:lang w:val="es-ES"/>
        </w:rPr>
      </w:pPr>
      <w:bookmarkStart w:id="42" w:name="_Toc518890537"/>
      <w:r w:rsidRPr="00DF7268">
        <w:rPr>
          <w:rFonts w:eastAsia="Arial"/>
          <w:szCs w:val="22"/>
          <w:bdr w:val="nil"/>
          <w:lang w:val="es-ES"/>
        </w:rPr>
        <w:t>COOPERACIÓN CON LA OFICINA DEL MEDIADOR Y LA OFICINA DE ÉTICA PROFESIONAL</w:t>
      </w:r>
      <w:bookmarkEnd w:id="42"/>
    </w:p>
    <w:p w:rsidR="00D23C8A" w:rsidRPr="00DF7268" w:rsidRDefault="001E5D8A" w:rsidP="00D23C8A">
      <w:pPr>
        <w:pStyle w:val="ONUME"/>
        <w:rPr>
          <w:lang w:val="es-ES"/>
        </w:rPr>
      </w:pPr>
      <w:r w:rsidRPr="00DF7268">
        <w:rPr>
          <w:rFonts w:eastAsia="Arial"/>
          <w:szCs w:val="22"/>
          <w:bdr w:val="nil"/>
          <w:lang w:val="es-ES"/>
        </w:rPr>
        <w:t>86.</w:t>
      </w:r>
      <w:r w:rsidRPr="00DF7268">
        <w:rPr>
          <w:rFonts w:eastAsia="Arial"/>
          <w:szCs w:val="22"/>
          <w:bdr w:val="nil"/>
          <w:lang w:val="es-ES"/>
        </w:rPr>
        <w:tab/>
        <w:t xml:space="preserve">Durante el ejercicio en examen, el director de la </w:t>
      </w:r>
      <w:r w:rsidRPr="00DF7268">
        <w:rPr>
          <w:rFonts w:eastAsia="Arial"/>
          <w:szCs w:val="22"/>
          <w:u w:color="FF0000"/>
          <w:bdr w:val="nil"/>
          <w:lang w:val="es-ES"/>
        </w:rPr>
        <w:t>DSI</w:t>
      </w:r>
      <w:r w:rsidRPr="00DF7268">
        <w:rPr>
          <w:rFonts w:eastAsia="Arial"/>
          <w:szCs w:val="22"/>
          <w:bdr w:val="nil"/>
          <w:lang w:val="es-ES"/>
        </w:rPr>
        <w:t xml:space="preserve"> se reunió regularmente con el mediador y la oficial jefa de Ética Profesional a los fines de garantizar una buena coordinación y apoyo adicional.</w:t>
      </w:r>
    </w:p>
    <w:p w:rsidR="00D23C8A" w:rsidRPr="00DF7268" w:rsidRDefault="001E5D8A" w:rsidP="00D23C8A">
      <w:pPr>
        <w:pStyle w:val="Heading1"/>
        <w:rPr>
          <w:lang w:val="es-ES"/>
        </w:rPr>
      </w:pPr>
      <w:bookmarkStart w:id="43" w:name="_Toc518890538"/>
      <w:r w:rsidRPr="00DF7268">
        <w:rPr>
          <w:rFonts w:eastAsia="Arial"/>
          <w:szCs w:val="22"/>
          <w:bdr w:val="nil"/>
          <w:lang w:val="es-ES"/>
        </w:rPr>
        <w:t>OTRAS FUNCIONES DE SUPERVISIÓN</w:t>
      </w:r>
      <w:bookmarkEnd w:id="43"/>
    </w:p>
    <w:p w:rsidR="00D23C8A" w:rsidRPr="00DF7268" w:rsidRDefault="001E5D8A" w:rsidP="00D23C8A">
      <w:pPr>
        <w:pStyle w:val="Heading2"/>
        <w:rPr>
          <w:lang w:val="es-ES"/>
        </w:rPr>
      </w:pPr>
      <w:r w:rsidRPr="00DF7268">
        <w:rPr>
          <w:rFonts w:eastAsia="Arial"/>
          <w:szCs w:val="22"/>
          <w:bdr w:val="nil"/>
          <w:lang w:val="es-ES"/>
        </w:rPr>
        <w:t>ACTIVIDADES DE DIVULGACIÓN EN LA ORGANIZACIÓN</w:t>
      </w:r>
    </w:p>
    <w:p w:rsidR="00D23C8A" w:rsidRPr="00DF7268" w:rsidRDefault="001E5D8A" w:rsidP="00D23C8A">
      <w:pPr>
        <w:pStyle w:val="ONUME"/>
        <w:rPr>
          <w:lang w:val="es-ES"/>
        </w:rPr>
      </w:pPr>
      <w:r w:rsidRPr="00DF7268">
        <w:rPr>
          <w:rFonts w:eastAsia="Arial"/>
          <w:szCs w:val="22"/>
          <w:bdr w:val="nil"/>
          <w:lang w:val="es-ES"/>
        </w:rPr>
        <w:t>87.</w:t>
      </w:r>
      <w:r w:rsidRPr="00DF7268">
        <w:rPr>
          <w:rFonts w:eastAsia="Arial"/>
          <w:szCs w:val="22"/>
          <w:bdr w:val="nil"/>
          <w:lang w:val="es-ES"/>
        </w:rPr>
        <w:tab/>
        <w:t xml:space="preserve">Como parte de la labor que realiza la </w:t>
      </w:r>
      <w:r w:rsidRPr="00DF7268">
        <w:rPr>
          <w:rFonts w:eastAsia="Arial"/>
          <w:szCs w:val="22"/>
          <w:u w:color="FF0000"/>
          <w:bdr w:val="nil"/>
          <w:lang w:val="es-ES"/>
        </w:rPr>
        <w:t>DSI</w:t>
      </w:r>
      <w:r w:rsidRPr="00DF7268">
        <w:rPr>
          <w:rFonts w:eastAsia="Arial"/>
          <w:szCs w:val="22"/>
          <w:bdr w:val="nil"/>
          <w:lang w:val="es-ES"/>
        </w:rPr>
        <w:t xml:space="preserve"> para explicar y promover mejor la función de supervisión interna, la División siguió estableciendo contactos con sus colegas en la </w:t>
      </w:r>
      <w:r w:rsidRPr="00DF7268">
        <w:rPr>
          <w:rFonts w:eastAsia="Arial"/>
          <w:szCs w:val="22"/>
          <w:u w:color="FF0000"/>
          <w:bdr w:val="nil"/>
          <w:lang w:val="es-ES"/>
        </w:rPr>
        <w:t>OMPI</w:t>
      </w:r>
      <w:r w:rsidRPr="00DF7268">
        <w:rPr>
          <w:rFonts w:eastAsia="Arial"/>
          <w:szCs w:val="22"/>
          <w:bdr w:val="nil"/>
          <w:lang w:val="es-ES"/>
        </w:rPr>
        <w:t xml:space="preserve"> </w:t>
      </w:r>
      <w:r w:rsidRPr="00DF7268">
        <w:rPr>
          <w:rFonts w:eastAsia="Arial"/>
          <w:szCs w:val="22"/>
          <w:bdr w:val="nil"/>
          <w:lang w:val="es-ES"/>
        </w:rPr>
        <w:lastRenderedPageBreak/>
        <w:t xml:space="preserve">mediante la presentación de ponencias para los nuevos empleados en los cursos de iniciación, el boletín de noticias de la </w:t>
      </w:r>
      <w:r w:rsidRPr="00DF7268">
        <w:rPr>
          <w:rFonts w:eastAsia="Arial"/>
          <w:szCs w:val="22"/>
          <w:u w:color="FF0000"/>
          <w:bdr w:val="nil"/>
          <w:lang w:val="es-ES"/>
        </w:rPr>
        <w:t>DSI</w:t>
      </w:r>
      <w:r w:rsidRPr="00DF7268">
        <w:rPr>
          <w:rFonts w:eastAsia="Arial"/>
          <w:szCs w:val="22"/>
          <w:bdr w:val="nil"/>
          <w:lang w:val="es-ES"/>
        </w:rPr>
        <w:t xml:space="preserve">, los tableros de control de la </w:t>
      </w:r>
      <w:r w:rsidRPr="00DF7268">
        <w:rPr>
          <w:rFonts w:eastAsia="Arial"/>
          <w:szCs w:val="22"/>
          <w:u w:color="FF0000"/>
          <w:bdr w:val="nil"/>
          <w:lang w:val="es-ES"/>
        </w:rPr>
        <w:t>DSI</w:t>
      </w:r>
      <w:r w:rsidRPr="00DF7268">
        <w:rPr>
          <w:rFonts w:eastAsia="Arial"/>
          <w:szCs w:val="22"/>
          <w:bdr w:val="nil"/>
          <w:lang w:val="es-ES"/>
        </w:rPr>
        <w:t xml:space="preserve"> y la presentación de ponencias a los directores y los directivos superiores, según las necesidades.</w:t>
      </w:r>
    </w:p>
    <w:p w:rsidR="00D23C8A" w:rsidRPr="00DF7268" w:rsidRDefault="001E5D8A" w:rsidP="00D23C8A">
      <w:pPr>
        <w:pStyle w:val="Heading2"/>
        <w:rPr>
          <w:lang w:val="es-ES"/>
        </w:rPr>
      </w:pPr>
      <w:r w:rsidRPr="00DF7268">
        <w:rPr>
          <w:rFonts w:eastAsia="Arial"/>
          <w:szCs w:val="22"/>
          <w:bdr w:val="nil"/>
          <w:lang w:val="es-ES"/>
        </w:rPr>
        <w:t>ENCUESTAS DE SATISFACCIÓN</w:t>
      </w:r>
    </w:p>
    <w:p w:rsidR="00D23C8A" w:rsidRPr="00DF7268" w:rsidRDefault="001E5D8A" w:rsidP="00D23C8A">
      <w:pPr>
        <w:pStyle w:val="ONUME"/>
        <w:rPr>
          <w:lang w:val="es-ES"/>
        </w:rPr>
      </w:pPr>
      <w:r w:rsidRPr="00DF7268">
        <w:rPr>
          <w:rFonts w:eastAsia="Arial"/>
          <w:szCs w:val="22"/>
          <w:bdr w:val="nil"/>
          <w:lang w:val="es-ES"/>
        </w:rPr>
        <w:t>88.</w:t>
      </w:r>
      <w:r w:rsidRPr="00DF7268">
        <w:rPr>
          <w:rFonts w:eastAsia="Arial"/>
          <w:szCs w:val="22"/>
          <w:bdr w:val="nil"/>
          <w:lang w:val="es-ES"/>
        </w:rPr>
        <w:tab/>
        <w:t xml:space="preserve">La </w:t>
      </w:r>
      <w:r w:rsidRPr="00DF7268">
        <w:rPr>
          <w:rFonts w:eastAsia="Arial"/>
          <w:szCs w:val="22"/>
          <w:u w:color="FF0000"/>
          <w:bdr w:val="nil"/>
          <w:lang w:val="es-ES"/>
        </w:rPr>
        <w:t>DSI</w:t>
      </w:r>
      <w:r w:rsidRPr="00DF7268">
        <w:rPr>
          <w:rFonts w:eastAsia="Arial"/>
          <w:szCs w:val="22"/>
          <w:bdr w:val="nil"/>
          <w:lang w:val="es-ES"/>
        </w:rPr>
        <w:t xml:space="preserve"> siguió solicitando comentarios a los colegas de las dependencias de la </w:t>
      </w:r>
      <w:r w:rsidRPr="00DF7268">
        <w:rPr>
          <w:rFonts w:eastAsia="Arial"/>
          <w:szCs w:val="22"/>
          <w:u w:color="FF0000"/>
          <w:bdr w:val="nil"/>
          <w:lang w:val="es-ES"/>
        </w:rPr>
        <w:t>OMPI</w:t>
      </w:r>
      <w:r w:rsidRPr="00DF7268">
        <w:rPr>
          <w:rFonts w:eastAsia="Arial"/>
          <w:szCs w:val="22"/>
          <w:bdr w:val="nil"/>
          <w:lang w:val="es-ES"/>
        </w:rPr>
        <w:t xml:space="preserve"> auditadas/evaluadas mediante encuestas de satisfacción de los clientes después de cada tarea, con el fin de recabar y analizar los comentarios recibidos de los colegas sobre la labor de supervisión. Del análisis consolidado de los resultados de las encuestas se desprende un índice de satisfacción del 85%.</w:t>
      </w:r>
    </w:p>
    <w:p w:rsidR="00D23C8A" w:rsidRPr="00DF7268" w:rsidRDefault="001E5D8A" w:rsidP="00D23C8A">
      <w:pPr>
        <w:pStyle w:val="ONUME"/>
        <w:rPr>
          <w:lang w:val="es-ES"/>
        </w:rPr>
      </w:pPr>
      <w:r w:rsidRPr="00DF7268">
        <w:rPr>
          <w:rFonts w:eastAsia="Arial"/>
          <w:szCs w:val="22"/>
          <w:bdr w:val="nil"/>
          <w:lang w:val="es-ES"/>
        </w:rPr>
        <w:t>89.</w:t>
      </w:r>
      <w:r w:rsidRPr="00DF7268">
        <w:rPr>
          <w:rFonts w:eastAsia="Arial"/>
          <w:szCs w:val="22"/>
          <w:bdr w:val="nil"/>
          <w:lang w:val="es-ES"/>
        </w:rPr>
        <w:tab/>
        <w:t xml:space="preserve">Los resultados de las encuestas realizadas un año después de las tareas, que se utilizan para evaluar la incidencia de la labor de supervisión, arrojaron un índice medio de satisfacción del 76%. La </w:t>
      </w:r>
      <w:r w:rsidRPr="00DF7268">
        <w:rPr>
          <w:rFonts w:eastAsia="Arial"/>
          <w:szCs w:val="22"/>
          <w:u w:color="FF0000"/>
          <w:bdr w:val="nil"/>
          <w:lang w:val="es-ES"/>
        </w:rPr>
        <w:t>DSI</w:t>
      </w:r>
      <w:r w:rsidRPr="00DF7268">
        <w:rPr>
          <w:rFonts w:eastAsia="Arial"/>
          <w:szCs w:val="22"/>
          <w:bdr w:val="nil"/>
          <w:lang w:val="es-ES"/>
        </w:rPr>
        <w:t xml:space="preserve"> procurará seguir mejorando la incidencia de su labor de supervisión sobre la base de los comentarios recibidos de los colegas.</w:t>
      </w:r>
    </w:p>
    <w:p w:rsidR="00D23C8A" w:rsidRPr="00DF7268" w:rsidRDefault="001E5D8A" w:rsidP="00D23C8A">
      <w:pPr>
        <w:pStyle w:val="ONUME"/>
        <w:rPr>
          <w:lang w:val="es-ES"/>
        </w:rPr>
      </w:pPr>
      <w:r w:rsidRPr="00DF7268">
        <w:rPr>
          <w:rFonts w:eastAsia="Arial"/>
          <w:szCs w:val="22"/>
          <w:bdr w:val="nil"/>
          <w:lang w:val="es-ES"/>
        </w:rPr>
        <w:t>90.</w:t>
      </w:r>
      <w:r w:rsidRPr="00DF7268">
        <w:rPr>
          <w:rFonts w:eastAsia="Arial"/>
          <w:szCs w:val="22"/>
          <w:bdr w:val="nil"/>
          <w:lang w:val="es-ES"/>
        </w:rPr>
        <w:tab/>
        <w:t xml:space="preserve">Los demás comentarios enviados por las dependencias auditadas/evaluadas a través de las encuestas ayudaron a la </w:t>
      </w:r>
      <w:r w:rsidRPr="00DF7268">
        <w:rPr>
          <w:rFonts w:eastAsia="Arial"/>
          <w:szCs w:val="22"/>
          <w:u w:color="FF0000"/>
          <w:bdr w:val="nil"/>
          <w:lang w:val="es-ES"/>
        </w:rPr>
        <w:t>DSI</w:t>
      </w:r>
      <w:r w:rsidRPr="00DF7268">
        <w:rPr>
          <w:rFonts w:eastAsia="Arial"/>
          <w:szCs w:val="22"/>
          <w:bdr w:val="nil"/>
          <w:lang w:val="es-ES"/>
        </w:rPr>
        <w:t xml:space="preserve"> a detectar carencias y adoptar medidas correctivas.</w:t>
      </w:r>
    </w:p>
    <w:p w:rsidR="00D23C8A" w:rsidRPr="00DF7268" w:rsidRDefault="001E5D8A" w:rsidP="00D23C8A">
      <w:pPr>
        <w:pStyle w:val="Heading2"/>
        <w:rPr>
          <w:lang w:val="es-ES"/>
        </w:rPr>
      </w:pPr>
      <w:r w:rsidRPr="00DF7268">
        <w:rPr>
          <w:rFonts w:eastAsia="Arial"/>
          <w:szCs w:val="22"/>
          <w:bdr w:val="nil"/>
          <w:lang w:val="es-ES"/>
        </w:rPr>
        <w:t>VÍNCULOS CON OTROS SERVICIOS DE SUPERVISIÓN</w:t>
      </w:r>
    </w:p>
    <w:p w:rsidR="00D23C8A" w:rsidRPr="00DF7268" w:rsidRDefault="001E5D8A" w:rsidP="00D23C8A">
      <w:pPr>
        <w:pStyle w:val="ONUME"/>
        <w:rPr>
          <w:lang w:val="es-ES"/>
        </w:rPr>
      </w:pPr>
      <w:r w:rsidRPr="00DF7268">
        <w:rPr>
          <w:rFonts w:eastAsia="Arial"/>
          <w:szCs w:val="22"/>
          <w:bdr w:val="nil"/>
          <w:lang w:val="es-ES"/>
        </w:rPr>
        <w:t>91.</w:t>
      </w:r>
      <w:r w:rsidRPr="00DF7268">
        <w:rPr>
          <w:rFonts w:eastAsia="Arial"/>
          <w:szCs w:val="22"/>
          <w:bdr w:val="nil"/>
          <w:lang w:val="es-ES"/>
        </w:rPr>
        <w:tab/>
        <w:t xml:space="preserve">En la Carta de Supervisión Interna se establecen disposiciones </w:t>
      </w:r>
      <w:r w:rsidRPr="00DF7268">
        <w:rPr>
          <w:rFonts w:eastAsia="Arial"/>
          <w:szCs w:val="22"/>
          <w:u w:color="FF0000"/>
          <w:bdr w:val="nil"/>
          <w:lang w:val="es-ES"/>
        </w:rPr>
        <w:t>específicas</w:t>
      </w:r>
      <w:r w:rsidRPr="00DF7268">
        <w:rPr>
          <w:rStyle w:val="FootnoteReference"/>
          <w:u w:color="FF0000"/>
          <w:lang w:val="es-ES"/>
        </w:rPr>
        <w:footnoteReference w:id="11"/>
      </w:r>
      <w:r w:rsidRPr="00DF7268">
        <w:rPr>
          <w:rFonts w:eastAsia="Arial"/>
          <w:szCs w:val="22"/>
          <w:bdr w:val="nil"/>
          <w:lang w:val="es-ES"/>
        </w:rPr>
        <w:t xml:space="preserve"> sobre el establecimiento de enlaces y vínculos de cooperación con los servicios de supervisión interna de otros organismos del sistema de las Naciones Unidas y de instituciones financieras multilaterales. La </w:t>
      </w:r>
      <w:r w:rsidRPr="00DF7268">
        <w:rPr>
          <w:rFonts w:eastAsia="Arial"/>
          <w:szCs w:val="22"/>
          <w:u w:color="FF0000"/>
          <w:bdr w:val="nil"/>
          <w:lang w:val="es-ES"/>
        </w:rPr>
        <w:t>DSI</w:t>
      </w:r>
      <w:r w:rsidRPr="00DF7268">
        <w:rPr>
          <w:rFonts w:eastAsia="Arial"/>
          <w:szCs w:val="22"/>
          <w:bdr w:val="nil"/>
          <w:lang w:val="es-ES"/>
        </w:rPr>
        <w:t xml:space="preserve"> reconoce el valor y la importancia de entablar relaciones con sus homólogos. Durante el ejercicio en examen, la </w:t>
      </w:r>
      <w:r w:rsidRPr="00DF7268">
        <w:rPr>
          <w:rFonts w:eastAsia="Arial"/>
          <w:szCs w:val="22"/>
          <w:u w:color="FF0000"/>
          <w:bdr w:val="nil"/>
          <w:lang w:val="es-ES"/>
        </w:rPr>
        <w:t>DSI</w:t>
      </w:r>
      <w:r w:rsidRPr="00DF7268">
        <w:rPr>
          <w:rFonts w:eastAsia="Arial"/>
          <w:szCs w:val="22"/>
          <w:bdr w:val="nil"/>
          <w:lang w:val="es-ES"/>
        </w:rPr>
        <w:t xml:space="preserve"> siguió colaborando de forma activa y fecunda y estableciendo vínculos con otras organizaciones y entidades del sistema de las Naciones Unidas. En concreto, la </w:t>
      </w:r>
      <w:r w:rsidRPr="00DF7268">
        <w:rPr>
          <w:rFonts w:eastAsia="Arial"/>
          <w:szCs w:val="22"/>
          <w:u w:color="FF0000"/>
          <w:bdr w:val="nil"/>
          <w:lang w:val="es-ES"/>
        </w:rPr>
        <w:t>DSI</w:t>
      </w:r>
      <w:r w:rsidRPr="00DF7268">
        <w:rPr>
          <w:rFonts w:eastAsia="Arial"/>
          <w:szCs w:val="22"/>
          <w:bdr w:val="nil"/>
          <w:lang w:val="es-ES"/>
        </w:rPr>
        <w:t xml:space="preserve"> participó activamente en:</w:t>
      </w:r>
    </w:p>
    <w:p w:rsidR="00D23C8A" w:rsidRPr="00DF7268" w:rsidRDefault="001E5D8A" w:rsidP="00D23C8A">
      <w:pPr>
        <w:pStyle w:val="ONUME"/>
        <w:numPr>
          <w:ilvl w:val="1"/>
          <w:numId w:val="7"/>
        </w:numPr>
        <w:rPr>
          <w:lang w:val="es-ES" w:eastAsia="en-GB"/>
        </w:rPr>
      </w:pPr>
      <w:r w:rsidRPr="00DF7268">
        <w:rPr>
          <w:rFonts w:eastAsia="Arial"/>
          <w:szCs w:val="22"/>
          <w:bdr w:val="nil"/>
          <w:lang w:val="es-ES"/>
        </w:rPr>
        <w:t>La reunión anual de Representantes de Servicios de Auditoría Interna de las Naciones Unidas, que tuvo lugar en La Haya (Países B</w:t>
      </w:r>
      <w:r w:rsidR="00E2647A" w:rsidRPr="00DF7268">
        <w:rPr>
          <w:rFonts w:eastAsia="Arial"/>
          <w:szCs w:val="22"/>
          <w:bdr w:val="nil"/>
          <w:lang w:val="es-ES"/>
        </w:rPr>
        <w:t>ajos) del 28 al 31 de agosto de </w:t>
      </w:r>
      <w:r w:rsidRPr="00DF7268">
        <w:rPr>
          <w:rFonts w:eastAsia="Arial"/>
          <w:szCs w:val="22"/>
          <w:bdr w:val="nil"/>
          <w:lang w:val="es-ES"/>
        </w:rPr>
        <w:t>2017.</w:t>
      </w:r>
    </w:p>
    <w:p w:rsidR="00D23C8A" w:rsidRPr="00DF7268" w:rsidRDefault="001E5D8A" w:rsidP="00D23C8A">
      <w:pPr>
        <w:pStyle w:val="ONUME"/>
        <w:numPr>
          <w:ilvl w:val="1"/>
          <w:numId w:val="7"/>
        </w:numPr>
        <w:rPr>
          <w:lang w:val="es-ES" w:eastAsia="en-GB"/>
        </w:rPr>
      </w:pPr>
      <w:r w:rsidRPr="00DF7268">
        <w:rPr>
          <w:rFonts w:eastAsia="Arial"/>
          <w:szCs w:val="22"/>
          <w:bdr w:val="nil"/>
          <w:lang w:val="es-ES" w:eastAsia="en-GB"/>
        </w:rPr>
        <w:t>La reunión anual de Representantes de Servicios de Investigaciones de las Naciones Unidas (</w:t>
      </w:r>
      <w:r w:rsidRPr="00DF7268">
        <w:rPr>
          <w:rFonts w:eastAsia="Arial"/>
          <w:szCs w:val="22"/>
          <w:u w:color="FF0000"/>
          <w:bdr w:val="nil"/>
          <w:lang w:val="es-ES" w:eastAsia="en-GB"/>
        </w:rPr>
        <w:t>UN-RIS</w:t>
      </w:r>
      <w:r w:rsidRPr="00DF7268">
        <w:rPr>
          <w:rFonts w:eastAsia="Arial"/>
          <w:szCs w:val="22"/>
          <w:bdr w:val="nil"/>
          <w:lang w:val="es-ES" w:eastAsia="en-GB"/>
        </w:rPr>
        <w:t>)</w:t>
      </w:r>
      <w:r w:rsidR="007F2F3B" w:rsidRPr="00DF7268">
        <w:rPr>
          <w:rFonts w:eastAsia="Arial"/>
          <w:szCs w:val="22"/>
          <w:bdr w:val="nil"/>
          <w:lang w:val="es-ES" w:eastAsia="en-GB"/>
        </w:rPr>
        <w:t>, que</w:t>
      </w:r>
      <w:r w:rsidRPr="00DF7268">
        <w:rPr>
          <w:rFonts w:eastAsia="Arial"/>
          <w:szCs w:val="22"/>
          <w:bdr w:val="nil"/>
          <w:lang w:val="es-ES" w:eastAsia="en-GB"/>
        </w:rPr>
        <w:t xml:space="preserve"> tuvo lugar en Nueva York (Estados Unidos de América), del 10 al 13 de octubre de 2017.</w:t>
      </w:r>
    </w:p>
    <w:p w:rsidR="00D23C8A" w:rsidRPr="00DF7268" w:rsidRDefault="001E5D8A" w:rsidP="00D23C8A">
      <w:pPr>
        <w:pStyle w:val="ONUME"/>
        <w:numPr>
          <w:ilvl w:val="1"/>
          <w:numId w:val="7"/>
        </w:numPr>
        <w:rPr>
          <w:lang w:val="es-ES" w:eastAsia="en-GB"/>
        </w:rPr>
      </w:pPr>
      <w:r w:rsidRPr="00DF7268">
        <w:rPr>
          <w:rFonts w:eastAsia="Arial"/>
          <w:szCs w:val="22"/>
          <w:bdr w:val="nil"/>
          <w:lang w:val="es-ES" w:eastAsia="en-GB"/>
        </w:rPr>
        <w:t xml:space="preserve">La reunión anual de Jefes de Servicios de Auditoría Interna de organizaciones internacionales con sede en Europa, organizada por </w:t>
      </w:r>
      <w:r w:rsidR="007F2F3B" w:rsidRPr="00DF7268">
        <w:rPr>
          <w:rFonts w:eastAsia="Arial"/>
          <w:szCs w:val="22"/>
          <w:bdr w:val="nil"/>
          <w:lang w:val="es-ES" w:eastAsia="en-GB"/>
        </w:rPr>
        <w:t xml:space="preserve">la </w:t>
      </w:r>
      <w:r w:rsidRPr="00DF7268">
        <w:rPr>
          <w:rFonts w:eastAsia="Arial"/>
          <w:szCs w:val="22"/>
          <w:bdr w:val="nil"/>
          <w:lang w:val="es-ES" w:eastAsia="en-GB"/>
        </w:rPr>
        <w:t>Comisión Europea en Bruselas (Bélgica), del 18 al 20 de abril de 2018.</w:t>
      </w:r>
    </w:p>
    <w:p w:rsidR="00D23C8A" w:rsidRPr="00DF7268" w:rsidRDefault="001E5D8A" w:rsidP="00D23C8A">
      <w:pPr>
        <w:pStyle w:val="ONUME"/>
        <w:numPr>
          <w:ilvl w:val="1"/>
          <w:numId w:val="7"/>
        </w:numPr>
        <w:rPr>
          <w:lang w:val="es-ES" w:eastAsia="en-GB"/>
        </w:rPr>
      </w:pPr>
      <w:r w:rsidRPr="00DF7268">
        <w:rPr>
          <w:rFonts w:eastAsia="Arial"/>
          <w:szCs w:val="22"/>
          <w:bdr w:val="nil"/>
          <w:lang w:val="es-ES" w:eastAsia="en-GB"/>
        </w:rPr>
        <w:t xml:space="preserve">La </w:t>
      </w:r>
      <w:r w:rsidRPr="00DF7268">
        <w:rPr>
          <w:rFonts w:eastAsia="Arial"/>
          <w:szCs w:val="22"/>
          <w:u w:color="FF0000"/>
          <w:bdr w:val="nil"/>
          <w:lang w:val="es-ES" w:eastAsia="en-GB"/>
        </w:rPr>
        <w:t>OMPI</w:t>
      </w:r>
      <w:r w:rsidRPr="00DF7268">
        <w:rPr>
          <w:rFonts w:eastAsia="Arial"/>
          <w:szCs w:val="22"/>
          <w:bdr w:val="nil"/>
          <w:lang w:val="es-ES" w:eastAsia="en-GB"/>
        </w:rPr>
        <w:t xml:space="preserve"> participó en la semana de evaluación del </w:t>
      </w:r>
      <w:r w:rsidRPr="00DF7268">
        <w:rPr>
          <w:rFonts w:eastAsia="Arial"/>
          <w:szCs w:val="22"/>
          <w:u w:color="FF0000"/>
          <w:bdr w:val="nil"/>
          <w:lang w:val="es-ES" w:eastAsia="en-GB"/>
        </w:rPr>
        <w:t>UNEG</w:t>
      </w:r>
      <w:r w:rsidRPr="00DF7268">
        <w:rPr>
          <w:rFonts w:eastAsia="Arial"/>
          <w:szCs w:val="22"/>
          <w:bdr w:val="nil"/>
          <w:lang w:val="es-ES" w:eastAsia="en-GB"/>
        </w:rPr>
        <w:t>, que tuvo lugar del 7 al 10 de mayo de 2018 en Roma (Italia).</w:t>
      </w:r>
    </w:p>
    <w:p w:rsidR="00D23C8A" w:rsidRPr="00DF7268" w:rsidRDefault="001E5D8A" w:rsidP="00D23C8A">
      <w:pPr>
        <w:pStyle w:val="Heading1"/>
        <w:rPr>
          <w:lang w:val="es-ES"/>
        </w:rPr>
      </w:pPr>
      <w:bookmarkStart w:id="44" w:name="_Toc518890539"/>
      <w:r w:rsidRPr="00DF7268">
        <w:rPr>
          <w:rFonts w:eastAsia="Arial"/>
          <w:szCs w:val="22"/>
          <w:bdr w:val="nil"/>
          <w:lang w:val="es-ES"/>
        </w:rPr>
        <w:t xml:space="preserve">INDEPENDENCIA OPERATIVA DE LA </w:t>
      </w:r>
      <w:r w:rsidRPr="00DF7268">
        <w:rPr>
          <w:rFonts w:eastAsia="Arial"/>
          <w:szCs w:val="22"/>
          <w:u w:color="FF0000"/>
          <w:bdr w:val="nil"/>
          <w:lang w:val="es-ES"/>
        </w:rPr>
        <w:t>DSI</w:t>
      </w:r>
      <w:bookmarkEnd w:id="44"/>
    </w:p>
    <w:p w:rsidR="00D23C8A" w:rsidRPr="00DF7268" w:rsidRDefault="001E5D8A" w:rsidP="00D23C8A">
      <w:pPr>
        <w:pStyle w:val="ONUME"/>
        <w:rPr>
          <w:lang w:val="es-ES"/>
        </w:rPr>
      </w:pPr>
      <w:r w:rsidRPr="00DF7268">
        <w:rPr>
          <w:rFonts w:eastAsia="Arial"/>
          <w:szCs w:val="22"/>
          <w:bdr w:val="nil"/>
          <w:lang w:val="es-ES"/>
        </w:rPr>
        <w:t>92.</w:t>
      </w:r>
      <w:r w:rsidRPr="00DF7268">
        <w:rPr>
          <w:rFonts w:eastAsia="Arial"/>
          <w:szCs w:val="22"/>
          <w:bdr w:val="nil"/>
          <w:lang w:val="es-ES"/>
        </w:rPr>
        <w:tab/>
        <w:t xml:space="preserve">La Carta de Supervisión Interna </w:t>
      </w:r>
      <w:r w:rsidRPr="00DF7268">
        <w:rPr>
          <w:rFonts w:eastAsia="Arial"/>
          <w:szCs w:val="22"/>
          <w:u w:color="FF0000"/>
          <w:bdr w:val="nil"/>
          <w:lang w:val="es-ES"/>
        </w:rPr>
        <w:t>exige</w:t>
      </w:r>
      <w:r w:rsidRPr="00DF7268">
        <w:rPr>
          <w:rStyle w:val="FootnoteReference"/>
          <w:u w:color="FF0000"/>
          <w:lang w:val="es-ES"/>
        </w:rPr>
        <w:footnoteReference w:id="12"/>
      </w:r>
      <w:r w:rsidRPr="00DF7268">
        <w:rPr>
          <w:rFonts w:eastAsia="Arial"/>
          <w:szCs w:val="22"/>
          <w:bdr w:val="nil"/>
          <w:lang w:val="es-ES"/>
        </w:rPr>
        <w:t xml:space="preserve"> que el director de la </w:t>
      </w:r>
      <w:r w:rsidRPr="00DF7268">
        <w:rPr>
          <w:rFonts w:eastAsia="Arial"/>
          <w:szCs w:val="22"/>
          <w:u w:color="FF0000"/>
          <w:bdr w:val="nil"/>
          <w:lang w:val="es-ES"/>
        </w:rPr>
        <w:t>DSI</w:t>
      </w:r>
      <w:r w:rsidRPr="00DF7268">
        <w:rPr>
          <w:rFonts w:eastAsia="Arial"/>
          <w:szCs w:val="22"/>
          <w:bdr w:val="nil"/>
          <w:lang w:val="es-ES"/>
        </w:rPr>
        <w:t xml:space="preserve"> confirme su independencia operativa y formule comentarios acerca del alcance de sus actividades y de la adecuación de los recursos asignados a la función de supervisión interna.</w:t>
      </w:r>
    </w:p>
    <w:p w:rsidR="00D23C8A" w:rsidRPr="00DF7268" w:rsidRDefault="001E5D8A" w:rsidP="00D23C8A">
      <w:pPr>
        <w:pStyle w:val="ONUME"/>
        <w:rPr>
          <w:lang w:val="es-ES"/>
        </w:rPr>
      </w:pPr>
      <w:bookmarkStart w:id="45" w:name="_Toc420663573"/>
      <w:r w:rsidRPr="00DF7268">
        <w:rPr>
          <w:rFonts w:eastAsia="Arial"/>
          <w:szCs w:val="22"/>
          <w:bdr w:val="nil"/>
          <w:lang w:val="es-ES"/>
        </w:rPr>
        <w:lastRenderedPageBreak/>
        <w:t>93.</w:t>
      </w:r>
      <w:r w:rsidRPr="00DF7268">
        <w:rPr>
          <w:rFonts w:eastAsia="Arial"/>
          <w:szCs w:val="22"/>
          <w:bdr w:val="nil"/>
          <w:lang w:val="es-ES"/>
        </w:rPr>
        <w:tab/>
        <w:t xml:space="preserve">Durante el ejercicio en examen, no se presentó ninguna situación o actividad que pudiera considerarse como una amenaza para la independencia operativa de la </w:t>
      </w:r>
      <w:r w:rsidRPr="00DF7268">
        <w:rPr>
          <w:rFonts w:eastAsia="Arial"/>
          <w:szCs w:val="22"/>
          <w:u w:color="FF0000"/>
          <w:bdr w:val="nil"/>
          <w:lang w:val="es-ES"/>
        </w:rPr>
        <w:t>DSI</w:t>
      </w:r>
      <w:r w:rsidRPr="00DF7268">
        <w:rPr>
          <w:rFonts w:eastAsia="Arial"/>
          <w:szCs w:val="22"/>
          <w:bdr w:val="nil"/>
          <w:lang w:val="es-ES"/>
        </w:rPr>
        <w:t xml:space="preserve">. La </w:t>
      </w:r>
      <w:r w:rsidRPr="00DF7268">
        <w:rPr>
          <w:rFonts w:eastAsia="Arial"/>
          <w:szCs w:val="22"/>
          <w:u w:color="FF0000"/>
          <w:bdr w:val="nil"/>
          <w:lang w:val="es-ES"/>
        </w:rPr>
        <w:t>DSI</w:t>
      </w:r>
      <w:r w:rsidRPr="00DF7268">
        <w:rPr>
          <w:rFonts w:eastAsia="Arial"/>
          <w:szCs w:val="22"/>
          <w:bdr w:val="nil"/>
          <w:lang w:val="es-ES"/>
        </w:rPr>
        <w:t xml:space="preserve"> decidió sobre el alcance de sus propias actividades de supervisión sobre la base de la evaluación de riesgos y las observaciones y sugerencias de la Dirección de la </w:t>
      </w:r>
      <w:r w:rsidRPr="00DF7268">
        <w:rPr>
          <w:rFonts w:eastAsia="Arial"/>
          <w:szCs w:val="22"/>
          <w:u w:color="FF0000"/>
          <w:bdr w:val="nil"/>
          <w:lang w:val="es-ES"/>
        </w:rPr>
        <w:t>OMPI</w:t>
      </w:r>
      <w:r w:rsidRPr="00DF7268">
        <w:rPr>
          <w:rFonts w:eastAsia="Arial"/>
          <w:szCs w:val="22"/>
          <w:bdr w:val="nil"/>
          <w:lang w:val="es-ES"/>
        </w:rPr>
        <w:t xml:space="preserve">, la </w:t>
      </w:r>
      <w:r w:rsidRPr="00DF7268">
        <w:rPr>
          <w:rFonts w:eastAsia="Arial"/>
          <w:szCs w:val="22"/>
          <w:u w:color="FF0000"/>
          <w:bdr w:val="nil"/>
          <w:lang w:val="es-ES"/>
        </w:rPr>
        <w:t>CCIS</w:t>
      </w:r>
      <w:r w:rsidRPr="00DF7268">
        <w:rPr>
          <w:rFonts w:eastAsia="Arial"/>
          <w:szCs w:val="22"/>
          <w:bdr w:val="nil"/>
          <w:lang w:val="es-ES"/>
        </w:rPr>
        <w:t xml:space="preserve"> y los Estados miembros, según correspondiera.</w:t>
      </w:r>
      <w:r w:rsidR="007F2F3B" w:rsidRPr="00DF7268">
        <w:rPr>
          <w:rFonts w:eastAsia="Arial"/>
          <w:szCs w:val="22"/>
          <w:bdr w:val="nil"/>
          <w:lang w:val="es-ES"/>
        </w:rPr>
        <w:t xml:space="preserve"> </w:t>
      </w:r>
    </w:p>
    <w:p w:rsidR="00D23C8A" w:rsidRPr="00DF7268" w:rsidRDefault="001E5D8A" w:rsidP="00D23C8A">
      <w:pPr>
        <w:pStyle w:val="Heading1"/>
        <w:rPr>
          <w:lang w:val="es-ES"/>
        </w:rPr>
      </w:pPr>
      <w:bookmarkStart w:id="46" w:name="_Toc518890540"/>
      <w:bookmarkEnd w:id="45"/>
      <w:r w:rsidRPr="00DF7268">
        <w:rPr>
          <w:rFonts w:eastAsia="Arial"/>
          <w:szCs w:val="22"/>
          <w:bdr w:val="nil"/>
          <w:lang w:val="es-ES"/>
        </w:rPr>
        <w:t>RECURSOS DE SUPERVISIÓN</w:t>
      </w:r>
      <w:bookmarkEnd w:id="46"/>
    </w:p>
    <w:p w:rsidR="00D23C8A" w:rsidRPr="00DF7268" w:rsidRDefault="001E5D8A" w:rsidP="00D23C8A">
      <w:pPr>
        <w:pStyle w:val="Heading2"/>
        <w:rPr>
          <w:lang w:val="es-ES"/>
        </w:rPr>
      </w:pPr>
      <w:r w:rsidRPr="00DF7268">
        <w:rPr>
          <w:rFonts w:eastAsia="Arial"/>
          <w:szCs w:val="22"/>
          <w:bdr w:val="nil"/>
          <w:lang w:val="es-ES"/>
        </w:rPr>
        <w:t>PRESUPUESTO Y PERSONAL</w:t>
      </w:r>
    </w:p>
    <w:p w:rsidR="00D23C8A" w:rsidRPr="00DF7268" w:rsidRDefault="001E5D8A" w:rsidP="00D23C8A">
      <w:pPr>
        <w:pStyle w:val="ONUME"/>
        <w:rPr>
          <w:lang w:val="es-ES"/>
        </w:rPr>
      </w:pPr>
      <w:r w:rsidRPr="00DF7268">
        <w:rPr>
          <w:rFonts w:eastAsia="Arial"/>
          <w:szCs w:val="22"/>
          <w:bdr w:val="nil"/>
          <w:lang w:val="es-ES"/>
        </w:rPr>
        <w:t>94.</w:t>
      </w:r>
      <w:r w:rsidRPr="00DF7268">
        <w:rPr>
          <w:rFonts w:eastAsia="Arial"/>
          <w:szCs w:val="22"/>
          <w:bdr w:val="nil"/>
          <w:lang w:val="es-ES"/>
        </w:rPr>
        <w:tab/>
        <w:t xml:space="preserve">Para el desempeño de su mandato, se ha dotado a la </w:t>
      </w:r>
      <w:r w:rsidRPr="00DF7268">
        <w:rPr>
          <w:rFonts w:eastAsia="Arial"/>
          <w:szCs w:val="22"/>
          <w:u w:color="FF0000"/>
          <w:bdr w:val="nil"/>
          <w:lang w:val="es-ES"/>
        </w:rPr>
        <w:t>DSI</w:t>
      </w:r>
      <w:r w:rsidRPr="00DF7268">
        <w:rPr>
          <w:rFonts w:eastAsia="Arial"/>
          <w:szCs w:val="22"/>
          <w:bdr w:val="nil"/>
          <w:lang w:val="es-ES"/>
        </w:rPr>
        <w:t xml:space="preserve"> de un presupuesto bienal de 5.163 millones de francos suizos, que representa el 0,73%</w:t>
      </w:r>
      <w:r w:rsidRPr="00DF7268">
        <w:rPr>
          <w:rStyle w:val="FootnoteReference"/>
          <w:lang w:val="es-ES"/>
        </w:rPr>
        <w:footnoteReference w:id="13"/>
      </w:r>
      <w:r w:rsidRPr="00DF7268">
        <w:rPr>
          <w:rFonts w:eastAsia="Arial"/>
          <w:szCs w:val="22"/>
          <w:bdr w:val="nil"/>
          <w:lang w:val="es-ES"/>
        </w:rPr>
        <w:t xml:space="preserve"> del presupuesto de la </w:t>
      </w:r>
      <w:r w:rsidRPr="00DF7268">
        <w:rPr>
          <w:rFonts w:eastAsia="Arial"/>
          <w:szCs w:val="22"/>
          <w:u w:color="FF0000"/>
          <w:bdr w:val="nil"/>
          <w:lang w:val="es-ES"/>
        </w:rPr>
        <w:t>OMPI</w:t>
      </w:r>
      <w:r w:rsidRPr="00DF7268">
        <w:rPr>
          <w:rFonts w:eastAsia="Arial"/>
          <w:szCs w:val="22"/>
          <w:bdr w:val="nil"/>
          <w:lang w:val="es-ES"/>
        </w:rPr>
        <w:t xml:space="preserve"> para el bienio 2016/2017. En términos generales, la actual dotación de recursos humanos y financieros ha permitido a la </w:t>
      </w:r>
      <w:r w:rsidRPr="00DF7268">
        <w:rPr>
          <w:rFonts w:eastAsia="Arial"/>
          <w:szCs w:val="22"/>
          <w:u w:color="FF0000"/>
          <w:bdr w:val="nil"/>
          <w:lang w:val="es-ES"/>
        </w:rPr>
        <w:t>DSI</w:t>
      </w:r>
      <w:r w:rsidRPr="00DF7268">
        <w:rPr>
          <w:rFonts w:eastAsia="Arial"/>
          <w:szCs w:val="22"/>
          <w:bdr w:val="nil"/>
          <w:lang w:val="es-ES"/>
        </w:rPr>
        <w:t xml:space="preserve"> cubrir eficazmente las esferas de alta prioridad definidas en sus planes de trabajo. El intercambio de planes de supervisión y la coordinación continua de las actividades de supervisión con el auditor externo, así como la utilización eficaz de las herramientas de TI, también contribuyeron a lograr una mayor eficiencia y eficacia en la cobertura de las esferas de riesgo.</w:t>
      </w:r>
    </w:p>
    <w:p w:rsidR="00D23C8A" w:rsidRPr="00DF7268" w:rsidRDefault="00D23C8A">
      <w:pPr>
        <w:rPr>
          <w:rFonts w:eastAsia="Times New Roman"/>
          <w:b/>
          <w:bCs/>
          <w:sz w:val="18"/>
          <w:szCs w:val="18"/>
          <w:lang w:val="es-ES" w:eastAsia="en-US"/>
        </w:rPr>
      </w:pPr>
    </w:p>
    <w:p w:rsidR="00D23C8A" w:rsidRPr="00DF7268" w:rsidRDefault="001E5D8A" w:rsidP="00D23C8A">
      <w:pPr>
        <w:pStyle w:val="NormalWeb"/>
        <w:keepNext/>
        <w:keepLines/>
        <w:spacing w:before="0" w:beforeAutospacing="0" w:after="0" w:afterAutospacing="0"/>
        <w:jc w:val="center"/>
        <w:rPr>
          <w:b/>
          <w:bCs/>
          <w:lang w:val="es-ES"/>
        </w:rPr>
      </w:pPr>
      <w:r w:rsidRPr="00DF7268">
        <w:rPr>
          <w:rFonts w:eastAsia="Arial"/>
          <w:b/>
          <w:bCs/>
          <w:bdr w:val="nil"/>
          <w:lang w:val="es-ES"/>
        </w:rPr>
        <w:t xml:space="preserve">Cuadro 3: Presupuesto y gastos de la </w:t>
      </w:r>
      <w:r w:rsidRPr="00DF7268">
        <w:rPr>
          <w:rFonts w:eastAsia="Arial"/>
          <w:b/>
          <w:bCs/>
          <w:u w:color="FF0000"/>
          <w:bdr w:val="nil"/>
          <w:lang w:val="es-ES"/>
        </w:rPr>
        <w:t>DSI</w:t>
      </w:r>
      <w:r w:rsidRPr="00DF7268">
        <w:rPr>
          <w:rFonts w:eastAsia="Arial"/>
          <w:b/>
          <w:bCs/>
          <w:bdr w:val="nil"/>
          <w:lang w:val="es-ES"/>
        </w:rPr>
        <w:t xml:space="preserve"> en el bienio 2016/2017</w:t>
      </w:r>
      <w:r w:rsidRPr="00DF7268">
        <w:rPr>
          <w:rStyle w:val="FootnoteReference"/>
          <w:b/>
          <w:bCs/>
          <w:lang w:val="es-ES"/>
        </w:rPr>
        <w:footnoteReference w:id="14"/>
      </w:r>
    </w:p>
    <w:p w:rsidR="00D23C8A" w:rsidRPr="00DF7268" w:rsidRDefault="00D23C8A" w:rsidP="00D23C8A">
      <w:pPr>
        <w:pStyle w:val="NormalWeb"/>
        <w:keepNext/>
        <w:keepLines/>
        <w:spacing w:before="0" w:beforeAutospacing="0" w:after="0" w:afterAutospacing="0"/>
        <w:jc w:val="center"/>
        <w:rPr>
          <w:i/>
          <w:iCs/>
          <w:sz w:val="20"/>
          <w:szCs w:val="20"/>
          <w:lang w:val="es-E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665"/>
        <w:gridCol w:w="1438"/>
        <w:gridCol w:w="1716"/>
      </w:tblGrid>
      <w:tr w:rsidR="00D23C8A" w:rsidRPr="00DF7268" w:rsidTr="007F2F3B">
        <w:trPr>
          <w:trHeight w:val="720"/>
          <w:jc w:val="center"/>
        </w:trPr>
        <w:tc>
          <w:tcPr>
            <w:tcW w:w="1980" w:type="dxa"/>
            <w:shd w:val="clear" w:color="000000" w:fill="CCFFFF"/>
            <w:noWrap/>
            <w:vAlign w:val="center"/>
            <w:hideMark/>
          </w:tcPr>
          <w:p w:rsidR="00D23C8A" w:rsidRPr="00DF7268" w:rsidRDefault="001E5D8A" w:rsidP="00D23C8A">
            <w:pPr>
              <w:rPr>
                <w:sz w:val="16"/>
                <w:szCs w:val="16"/>
                <w:lang w:val="es-ES"/>
              </w:rPr>
            </w:pPr>
            <w:r w:rsidRPr="00DF7268">
              <w:rPr>
                <w:sz w:val="16"/>
                <w:szCs w:val="16"/>
                <w:lang w:val="es-ES"/>
              </w:rPr>
              <w:t> </w:t>
            </w:r>
          </w:p>
        </w:tc>
        <w:tc>
          <w:tcPr>
            <w:tcW w:w="1701" w:type="dxa"/>
            <w:shd w:val="clear" w:color="000000" w:fill="CCFFFF"/>
            <w:vAlign w:val="center"/>
            <w:hideMark/>
          </w:tcPr>
          <w:p w:rsidR="00D23C8A" w:rsidRPr="00DF7268" w:rsidRDefault="001E5D8A" w:rsidP="00D23C8A">
            <w:pPr>
              <w:jc w:val="center"/>
              <w:rPr>
                <w:b/>
                <w:bCs/>
                <w:sz w:val="16"/>
                <w:szCs w:val="16"/>
                <w:lang w:val="es-ES"/>
              </w:rPr>
            </w:pPr>
            <w:r w:rsidRPr="00DF7268">
              <w:rPr>
                <w:rFonts w:eastAsia="Arial"/>
                <w:b/>
                <w:bCs/>
                <w:sz w:val="16"/>
                <w:szCs w:val="16"/>
                <w:bdr w:val="nil"/>
                <w:lang w:val="es-ES"/>
              </w:rPr>
              <w:t>Presupuesto aprobado 2016/17</w:t>
            </w:r>
          </w:p>
        </w:tc>
        <w:tc>
          <w:tcPr>
            <w:tcW w:w="1665" w:type="dxa"/>
            <w:shd w:val="clear" w:color="000000" w:fill="CCFFFF"/>
            <w:vAlign w:val="center"/>
            <w:hideMark/>
          </w:tcPr>
          <w:p w:rsidR="00D23C8A" w:rsidRPr="00DF7268" w:rsidRDefault="00D23C8A" w:rsidP="00D23C8A">
            <w:pPr>
              <w:jc w:val="center"/>
              <w:rPr>
                <w:b/>
                <w:bCs/>
                <w:sz w:val="16"/>
                <w:szCs w:val="16"/>
                <w:lang w:val="es-ES"/>
              </w:rPr>
            </w:pPr>
          </w:p>
          <w:p w:rsidR="00D23C8A" w:rsidRPr="00DF7268" w:rsidRDefault="001E5D8A" w:rsidP="00D23C8A">
            <w:pPr>
              <w:jc w:val="center"/>
              <w:rPr>
                <w:b/>
                <w:bCs/>
                <w:sz w:val="16"/>
                <w:szCs w:val="16"/>
                <w:lang w:val="es-ES"/>
              </w:rPr>
            </w:pPr>
            <w:r w:rsidRPr="00DF7268">
              <w:rPr>
                <w:rFonts w:eastAsia="Arial"/>
                <w:b/>
                <w:bCs/>
                <w:sz w:val="16"/>
                <w:szCs w:val="16"/>
                <w:bdr w:val="nil"/>
                <w:lang w:val="es-ES"/>
              </w:rPr>
              <w:t>Presupuesto tras las transferencias 2016/17</w:t>
            </w:r>
          </w:p>
        </w:tc>
        <w:tc>
          <w:tcPr>
            <w:tcW w:w="1438" w:type="dxa"/>
            <w:shd w:val="clear" w:color="000000" w:fill="CCFFFF"/>
            <w:vAlign w:val="center"/>
            <w:hideMark/>
          </w:tcPr>
          <w:p w:rsidR="00D23C8A" w:rsidRPr="00DF7268" w:rsidRDefault="007F2F3B" w:rsidP="00D23C8A">
            <w:pPr>
              <w:jc w:val="center"/>
              <w:rPr>
                <w:b/>
                <w:bCs/>
                <w:sz w:val="16"/>
                <w:szCs w:val="16"/>
                <w:lang w:val="es-ES"/>
              </w:rPr>
            </w:pPr>
            <w:r w:rsidRPr="00DF7268">
              <w:rPr>
                <w:rFonts w:eastAsia="Arial"/>
                <w:b/>
                <w:bCs/>
                <w:sz w:val="16"/>
                <w:szCs w:val="16"/>
                <w:bdr w:val="nil"/>
                <w:lang w:val="es-ES"/>
              </w:rPr>
              <w:t>Gasto en</w:t>
            </w:r>
            <w:r w:rsidR="001E5D8A" w:rsidRPr="00DF7268">
              <w:rPr>
                <w:rFonts w:eastAsia="Arial"/>
                <w:b/>
                <w:bCs/>
                <w:sz w:val="16"/>
                <w:szCs w:val="16"/>
                <w:bdr w:val="nil"/>
                <w:lang w:val="es-ES"/>
              </w:rPr>
              <w:t xml:space="preserve"> 2016/17*</w:t>
            </w:r>
          </w:p>
        </w:tc>
        <w:tc>
          <w:tcPr>
            <w:tcW w:w="1716" w:type="dxa"/>
            <w:shd w:val="clear" w:color="000000" w:fill="CCFFFF"/>
            <w:vAlign w:val="center"/>
            <w:hideMark/>
          </w:tcPr>
          <w:p w:rsidR="00D23C8A" w:rsidRPr="00DF7268" w:rsidRDefault="001E5D8A" w:rsidP="00D23C8A">
            <w:pPr>
              <w:jc w:val="center"/>
              <w:rPr>
                <w:b/>
                <w:bCs/>
                <w:sz w:val="16"/>
                <w:szCs w:val="16"/>
                <w:lang w:val="es-ES"/>
              </w:rPr>
            </w:pPr>
            <w:r w:rsidRPr="00DF7268">
              <w:rPr>
                <w:rFonts w:eastAsia="Arial"/>
                <w:b/>
                <w:bCs/>
                <w:sz w:val="16"/>
                <w:szCs w:val="16"/>
                <w:bdr w:val="nil"/>
                <w:lang w:val="es-ES"/>
              </w:rPr>
              <w:t>Índice de utilización presupuestaria (%)</w:t>
            </w:r>
          </w:p>
        </w:tc>
      </w:tr>
      <w:tr w:rsidR="00D23C8A" w:rsidRPr="00DF7268" w:rsidTr="007F2F3B">
        <w:trPr>
          <w:trHeight w:val="315"/>
          <w:jc w:val="center"/>
        </w:trPr>
        <w:tc>
          <w:tcPr>
            <w:tcW w:w="1980" w:type="dxa"/>
            <w:shd w:val="clear" w:color="auto" w:fill="auto"/>
            <w:noWrap/>
            <w:vAlign w:val="center"/>
            <w:hideMark/>
          </w:tcPr>
          <w:p w:rsidR="00D23C8A" w:rsidRPr="00DF7268" w:rsidRDefault="001E5D8A" w:rsidP="00D23C8A">
            <w:pPr>
              <w:rPr>
                <w:sz w:val="16"/>
                <w:szCs w:val="16"/>
                <w:lang w:val="es-ES"/>
              </w:rPr>
            </w:pPr>
            <w:r w:rsidRPr="00DF7268">
              <w:rPr>
                <w:rFonts w:eastAsia="Arial"/>
                <w:sz w:val="16"/>
                <w:szCs w:val="16"/>
                <w:bdr w:val="nil"/>
                <w:lang w:val="es-ES"/>
              </w:rPr>
              <w:t xml:space="preserve"> Recursos de personal </w:t>
            </w:r>
          </w:p>
        </w:tc>
        <w:tc>
          <w:tcPr>
            <w:tcW w:w="1701" w:type="dxa"/>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 xml:space="preserve">4.658 </w:t>
            </w:r>
          </w:p>
        </w:tc>
        <w:tc>
          <w:tcPr>
            <w:tcW w:w="1665" w:type="dxa"/>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 xml:space="preserve">4.429 </w:t>
            </w:r>
          </w:p>
        </w:tc>
        <w:tc>
          <w:tcPr>
            <w:tcW w:w="1438" w:type="dxa"/>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4.239</w:t>
            </w:r>
          </w:p>
        </w:tc>
        <w:tc>
          <w:tcPr>
            <w:tcW w:w="1716" w:type="dxa"/>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96%</w:t>
            </w:r>
          </w:p>
        </w:tc>
      </w:tr>
      <w:tr w:rsidR="00D23C8A" w:rsidRPr="00DF7268" w:rsidTr="007F2F3B">
        <w:trPr>
          <w:trHeight w:val="315"/>
          <w:jc w:val="center"/>
        </w:trPr>
        <w:tc>
          <w:tcPr>
            <w:tcW w:w="1980" w:type="dxa"/>
            <w:tcBorders>
              <w:bottom w:val="single" w:sz="4" w:space="0" w:color="auto"/>
            </w:tcBorders>
            <w:shd w:val="clear" w:color="auto" w:fill="auto"/>
            <w:noWrap/>
            <w:vAlign w:val="center"/>
            <w:hideMark/>
          </w:tcPr>
          <w:p w:rsidR="00D23C8A" w:rsidRPr="00DF7268" w:rsidRDefault="001E5D8A" w:rsidP="007F2F3B">
            <w:pPr>
              <w:ind w:left="29"/>
              <w:rPr>
                <w:sz w:val="16"/>
                <w:szCs w:val="16"/>
                <w:lang w:val="es-ES"/>
              </w:rPr>
            </w:pPr>
            <w:r w:rsidRPr="00DF7268">
              <w:rPr>
                <w:rFonts w:eastAsia="Arial"/>
                <w:sz w:val="16"/>
                <w:szCs w:val="16"/>
                <w:bdr w:val="nil"/>
                <w:lang w:val="es-ES"/>
              </w:rPr>
              <w:t xml:space="preserve">Recursos no relativos al personal </w:t>
            </w:r>
          </w:p>
        </w:tc>
        <w:tc>
          <w:tcPr>
            <w:tcW w:w="1701" w:type="dxa"/>
            <w:tcBorders>
              <w:bottom w:val="single" w:sz="4" w:space="0" w:color="auto"/>
            </w:tcBorders>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 xml:space="preserve">700 </w:t>
            </w:r>
          </w:p>
        </w:tc>
        <w:tc>
          <w:tcPr>
            <w:tcW w:w="1665" w:type="dxa"/>
            <w:tcBorders>
              <w:bottom w:val="single" w:sz="4" w:space="0" w:color="auto"/>
            </w:tcBorders>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734</w:t>
            </w:r>
          </w:p>
        </w:tc>
        <w:tc>
          <w:tcPr>
            <w:tcW w:w="1438" w:type="dxa"/>
            <w:tcBorders>
              <w:bottom w:val="single" w:sz="4" w:space="0" w:color="auto"/>
            </w:tcBorders>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543</w:t>
            </w:r>
          </w:p>
        </w:tc>
        <w:tc>
          <w:tcPr>
            <w:tcW w:w="1716" w:type="dxa"/>
            <w:tcBorders>
              <w:bottom w:val="single" w:sz="4" w:space="0" w:color="auto"/>
            </w:tcBorders>
            <w:shd w:val="clear" w:color="auto" w:fill="auto"/>
            <w:vAlign w:val="center"/>
            <w:hideMark/>
          </w:tcPr>
          <w:p w:rsidR="00D23C8A" w:rsidRPr="00DF7268" w:rsidRDefault="001E5D8A" w:rsidP="00D23C8A">
            <w:pPr>
              <w:jc w:val="center"/>
              <w:rPr>
                <w:sz w:val="16"/>
                <w:szCs w:val="16"/>
                <w:lang w:val="es-ES"/>
              </w:rPr>
            </w:pPr>
            <w:r w:rsidRPr="00DF7268">
              <w:rPr>
                <w:sz w:val="16"/>
                <w:szCs w:val="16"/>
                <w:lang w:val="es-ES"/>
              </w:rPr>
              <w:t>74%</w:t>
            </w:r>
          </w:p>
        </w:tc>
      </w:tr>
      <w:tr w:rsidR="00D23C8A" w:rsidRPr="00DF7268" w:rsidTr="007F2F3B">
        <w:trPr>
          <w:trHeight w:val="225"/>
          <w:jc w:val="center"/>
        </w:trPr>
        <w:tc>
          <w:tcPr>
            <w:tcW w:w="1980" w:type="dxa"/>
            <w:tcBorders>
              <w:bottom w:val="single" w:sz="4" w:space="0" w:color="auto"/>
            </w:tcBorders>
            <w:shd w:val="clear" w:color="000000" w:fill="CCFFFF"/>
            <w:noWrap/>
            <w:vAlign w:val="center"/>
            <w:hideMark/>
          </w:tcPr>
          <w:p w:rsidR="00D23C8A" w:rsidRPr="00DF7268" w:rsidRDefault="001E5D8A" w:rsidP="00D23C8A">
            <w:pPr>
              <w:jc w:val="right"/>
              <w:rPr>
                <w:b/>
                <w:bCs/>
                <w:sz w:val="16"/>
                <w:szCs w:val="16"/>
                <w:lang w:val="es-ES"/>
              </w:rPr>
            </w:pPr>
            <w:r w:rsidRPr="00DF7268">
              <w:rPr>
                <w:rFonts w:eastAsia="Arial"/>
                <w:b/>
                <w:bCs/>
                <w:sz w:val="16"/>
                <w:szCs w:val="16"/>
                <w:bdr w:val="nil"/>
                <w:lang w:val="es-ES"/>
              </w:rPr>
              <w:t xml:space="preserve"> Total </w:t>
            </w:r>
          </w:p>
        </w:tc>
        <w:tc>
          <w:tcPr>
            <w:tcW w:w="1701" w:type="dxa"/>
            <w:tcBorders>
              <w:bottom w:val="single" w:sz="4" w:space="0" w:color="auto"/>
            </w:tcBorders>
            <w:shd w:val="clear" w:color="000000" w:fill="CCFFFF"/>
            <w:vAlign w:val="center"/>
            <w:hideMark/>
          </w:tcPr>
          <w:p w:rsidR="00D23C8A" w:rsidRPr="00DF7268" w:rsidRDefault="001E5D8A" w:rsidP="00D23C8A">
            <w:pPr>
              <w:jc w:val="center"/>
              <w:rPr>
                <w:b/>
                <w:bCs/>
                <w:sz w:val="16"/>
                <w:szCs w:val="16"/>
                <w:lang w:val="es-ES"/>
              </w:rPr>
            </w:pPr>
            <w:r w:rsidRPr="00DF7268">
              <w:rPr>
                <w:b/>
                <w:bCs/>
                <w:sz w:val="16"/>
                <w:szCs w:val="16"/>
                <w:lang w:val="es-ES"/>
              </w:rPr>
              <w:t xml:space="preserve">5.358 </w:t>
            </w:r>
          </w:p>
        </w:tc>
        <w:tc>
          <w:tcPr>
            <w:tcW w:w="1665" w:type="dxa"/>
            <w:tcBorders>
              <w:bottom w:val="single" w:sz="4" w:space="0" w:color="auto"/>
            </w:tcBorders>
            <w:shd w:val="clear" w:color="000000" w:fill="CCFFFF"/>
            <w:vAlign w:val="center"/>
            <w:hideMark/>
          </w:tcPr>
          <w:p w:rsidR="00D23C8A" w:rsidRPr="00DF7268" w:rsidRDefault="001E5D8A" w:rsidP="00D23C8A">
            <w:pPr>
              <w:jc w:val="center"/>
              <w:rPr>
                <w:b/>
                <w:bCs/>
                <w:sz w:val="16"/>
                <w:szCs w:val="16"/>
                <w:lang w:val="es-ES"/>
              </w:rPr>
            </w:pPr>
            <w:r w:rsidRPr="00DF7268">
              <w:rPr>
                <w:b/>
                <w:bCs/>
                <w:sz w:val="16"/>
                <w:szCs w:val="16"/>
                <w:lang w:val="es-ES"/>
              </w:rPr>
              <w:t>5.163</w:t>
            </w:r>
          </w:p>
        </w:tc>
        <w:tc>
          <w:tcPr>
            <w:tcW w:w="1438" w:type="dxa"/>
            <w:tcBorders>
              <w:bottom w:val="single" w:sz="4" w:space="0" w:color="auto"/>
            </w:tcBorders>
            <w:shd w:val="clear" w:color="000000" w:fill="CCFFFF"/>
            <w:vAlign w:val="center"/>
            <w:hideMark/>
          </w:tcPr>
          <w:p w:rsidR="00D23C8A" w:rsidRPr="00DF7268" w:rsidRDefault="001E5D8A" w:rsidP="00D23C8A">
            <w:pPr>
              <w:jc w:val="center"/>
              <w:rPr>
                <w:b/>
                <w:bCs/>
                <w:sz w:val="16"/>
                <w:szCs w:val="16"/>
                <w:lang w:val="es-ES"/>
              </w:rPr>
            </w:pPr>
            <w:r w:rsidRPr="00DF7268">
              <w:rPr>
                <w:b/>
                <w:bCs/>
                <w:sz w:val="16"/>
                <w:szCs w:val="16"/>
                <w:lang w:val="es-ES"/>
              </w:rPr>
              <w:t xml:space="preserve">4.781 </w:t>
            </w:r>
          </w:p>
        </w:tc>
        <w:tc>
          <w:tcPr>
            <w:tcW w:w="1716" w:type="dxa"/>
            <w:tcBorders>
              <w:bottom w:val="single" w:sz="4" w:space="0" w:color="auto"/>
            </w:tcBorders>
            <w:shd w:val="clear" w:color="000000" w:fill="CCFFFF"/>
            <w:vAlign w:val="center"/>
            <w:hideMark/>
          </w:tcPr>
          <w:p w:rsidR="00D23C8A" w:rsidRPr="00DF7268" w:rsidRDefault="001E5D8A" w:rsidP="00D23C8A">
            <w:pPr>
              <w:jc w:val="center"/>
              <w:rPr>
                <w:b/>
                <w:bCs/>
                <w:sz w:val="16"/>
                <w:szCs w:val="16"/>
                <w:lang w:val="es-ES"/>
              </w:rPr>
            </w:pPr>
            <w:r w:rsidRPr="00DF7268">
              <w:rPr>
                <w:b/>
                <w:bCs/>
                <w:sz w:val="16"/>
                <w:szCs w:val="16"/>
                <w:lang w:val="es-ES"/>
              </w:rPr>
              <w:t>93%</w:t>
            </w:r>
          </w:p>
        </w:tc>
      </w:tr>
    </w:tbl>
    <w:p w:rsidR="00D23C8A" w:rsidRPr="00DF7268" w:rsidRDefault="00D23C8A" w:rsidP="00D23C8A">
      <w:pPr>
        <w:rPr>
          <w:sz w:val="20"/>
          <w:lang w:val="es-ES"/>
        </w:rPr>
      </w:pPr>
    </w:p>
    <w:p w:rsidR="00D23C8A" w:rsidRPr="00DF7268" w:rsidRDefault="001E5D8A" w:rsidP="00D23C8A">
      <w:pPr>
        <w:pStyle w:val="ONUME"/>
        <w:rPr>
          <w:lang w:val="es-ES"/>
        </w:rPr>
      </w:pPr>
      <w:r w:rsidRPr="00DF7268">
        <w:rPr>
          <w:rFonts w:eastAsia="Arial"/>
          <w:szCs w:val="22"/>
          <w:bdr w:val="nil"/>
          <w:lang w:val="es-ES"/>
        </w:rPr>
        <w:t>95.</w:t>
      </w:r>
      <w:r w:rsidRPr="00DF7268">
        <w:rPr>
          <w:rFonts w:eastAsia="Arial"/>
          <w:szCs w:val="22"/>
          <w:bdr w:val="nil"/>
          <w:lang w:val="es-ES"/>
        </w:rPr>
        <w:tab/>
        <w:t xml:space="preserve">El proceso de contratación del jefe de la </w:t>
      </w:r>
      <w:r w:rsidRPr="00DF7268">
        <w:rPr>
          <w:rFonts w:eastAsia="Arial"/>
          <w:szCs w:val="22"/>
          <w:u w:color="FF0000"/>
          <w:bdr w:val="nil"/>
          <w:lang w:val="es-ES"/>
        </w:rPr>
        <w:t>DSI</w:t>
      </w:r>
      <w:r w:rsidRPr="00DF7268">
        <w:rPr>
          <w:rFonts w:eastAsia="Arial"/>
          <w:szCs w:val="22"/>
          <w:bdr w:val="nil"/>
          <w:lang w:val="es-ES"/>
        </w:rPr>
        <w:t xml:space="preserve"> concluyó y el titular seleccionado asumió sus funciones el 1 de septiembre de 2017.</w:t>
      </w:r>
    </w:p>
    <w:p w:rsidR="00D23C8A" w:rsidRPr="00E2647A" w:rsidRDefault="001E5D8A" w:rsidP="00D23C8A">
      <w:pPr>
        <w:pStyle w:val="ONUME"/>
        <w:rPr>
          <w:lang w:val="es-ES"/>
        </w:rPr>
      </w:pPr>
      <w:r w:rsidRPr="00E2647A">
        <w:rPr>
          <w:rFonts w:eastAsia="Arial"/>
          <w:szCs w:val="22"/>
          <w:bdr w:val="nil"/>
          <w:lang w:val="es-ES"/>
        </w:rPr>
        <w:t>96.</w:t>
      </w:r>
      <w:r w:rsidRPr="00E2647A">
        <w:rPr>
          <w:rFonts w:eastAsia="Arial"/>
          <w:szCs w:val="22"/>
          <w:bdr w:val="nil"/>
          <w:lang w:val="es-ES"/>
        </w:rPr>
        <w:tab/>
        <w:t xml:space="preserve">El proceso de contratación del jefe de la Sección de Auditoría Interna en el nivel </w:t>
      </w:r>
      <w:r w:rsidRPr="00E2647A">
        <w:rPr>
          <w:rFonts w:eastAsia="Arial"/>
          <w:szCs w:val="22"/>
          <w:u w:color="FF0000"/>
          <w:bdr w:val="nil"/>
          <w:lang w:val="es-ES"/>
        </w:rPr>
        <w:t>P5</w:t>
      </w:r>
      <w:r w:rsidRPr="00E2647A">
        <w:rPr>
          <w:rFonts w:eastAsia="Arial"/>
          <w:szCs w:val="22"/>
          <w:bdr w:val="nil"/>
          <w:lang w:val="es-ES"/>
        </w:rPr>
        <w:t xml:space="preserve"> sigue en curso.</w:t>
      </w:r>
    </w:p>
    <w:p w:rsidR="00D23C8A" w:rsidRPr="00E2647A" w:rsidRDefault="001E5D8A" w:rsidP="00D23C8A">
      <w:pPr>
        <w:pStyle w:val="ONUME"/>
        <w:rPr>
          <w:lang w:val="es-ES"/>
        </w:rPr>
      </w:pPr>
      <w:r w:rsidRPr="00E2647A">
        <w:rPr>
          <w:rFonts w:eastAsia="Arial"/>
          <w:szCs w:val="22"/>
          <w:bdr w:val="nil"/>
          <w:lang w:val="es-ES"/>
        </w:rPr>
        <w:t>97.</w:t>
      </w:r>
      <w:r w:rsidRPr="00E2647A">
        <w:rPr>
          <w:rFonts w:eastAsia="Arial"/>
          <w:szCs w:val="22"/>
          <w:bdr w:val="nil"/>
          <w:lang w:val="es-ES"/>
        </w:rPr>
        <w:tab/>
        <w:t xml:space="preserve">El proceso de selección de un investigador temporal en el nivel </w:t>
      </w:r>
      <w:r w:rsidRPr="00E2647A">
        <w:rPr>
          <w:rFonts w:eastAsia="Arial"/>
          <w:szCs w:val="22"/>
          <w:u w:color="FF0000"/>
          <w:bdr w:val="nil"/>
          <w:lang w:val="es-ES"/>
        </w:rPr>
        <w:t>P3</w:t>
      </w:r>
      <w:r w:rsidRPr="00E2647A">
        <w:rPr>
          <w:rFonts w:eastAsia="Arial"/>
          <w:szCs w:val="22"/>
          <w:bdr w:val="nil"/>
          <w:lang w:val="es-ES"/>
        </w:rPr>
        <w:t xml:space="preserve"> ha culminado, y el candidato que resultó elegido se incorporó a la </w:t>
      </w:r>
      <w:r w:rsidRPr="00E2647A">
        <w:rPr>
          <w:rFonts w:eastAsia="Arial"/>
          <w:szCs w:val="22"/>
          <w:u w:color="FF0000"/>
          <w:bdr w:val="nil"/>
          <w:lang w:val="es-ES"/>
        </w:rPr>
        <w:t>DSI</w:t>
      </w:r>
      <w:r w:rsidRPr="00E2647A">
        <w:rPr>
          <w:rFonts w:eastAsia="Arial"/>
          <w:szCs w:val="22"/>
          <w:bdr w:val="nil"/>
          <w:lang w:val="es-ES"/>
        </w:rPr>
        <w:t xml:space="preserve"> el 1 de abril de 2018.</w:t>
      </w:r>
    </w:p>
    <w:p w:rsidR="00D23C8A" w:rsidRPr="00E2647A" w:rsidRDefault="001E5D8A" w:rsidP="00D23C8A">
      <w:pPr>
        <w:pStyle w:val="ONUME"/>
        <w:rPr>
          <w:lang w:val="es-ES"/>
        </w:rPr>
      </w:pPr>
      <w:r w:rsidRPr="00E2647A">
        <w:rPr>
          <w:rFonts w:eastAsia="Arial"/>
          <w:szCs w:val="22"/>
          <w:bdr w:val="nil"/>
          <w:lang w:val="es-ES"/>
        </w:rPr>
        <w:t>98.</w:t>
      </w:r>
      <w:r w:rsidRPr="00E2647A">
        <w:rPr>
          <w:rFonts w:eastAsia="Arial"/>
          <w:szCs w:val="22"/>
          <w:bdr w:val="nil"/>
          <w:lang w:val="es-ES"/>
        </w:rPr>
        <w:tab/>
        <w:t xml:space="preserve">El proceso de contratación de un puesto de investigador experimentado en el nivel </w:t>
      </w:r>
      <w:r w:rsidRPr="00E2647A">
        <w:rPr>
          <w:rFonts w:eastAsia="Arial"/>
          <w:szCs w:val="22"/>
          <w:u w:color="FF0000"/>
          <w:bdr w:val="nil"/>
          <w:lang w:val="es-ES"/>
        </w:rPr>
        <w:t>P4</w:t>
      </w:r>
      <w:r w:rsidRPr="00E2647A">
        <w:rPr>
          <w:rFonts w:eastAsia="Arial"/>
          <w:szCs w:val="22"/>
          <w:bdr w:val="nil"/>
          <w:lang w:val="es-ES"/>
        </w:rPr>
        <w:t xml:space="preserve"> sigue en curso.</w:t>
      </w:r>
    </w:p>
    <w:p w:rsidR="00D23C8A" w:rsidRPr="00E2647A" w:rsidRDefault="001E5D8A" w:rsidP="00D23C8A">
      <w:pPr>
        <w:pStyle w:val="ONUME"/>
        <w:rPr>
          <w:lang w:val="es-ES"/>
        </w:rPr>
      </w:pPr>
      <w:r w:rsidRPr="00E2647A">
        <w:rPr>
          <w:rFonts w:eastAsia="Arial"/>
          <w:szCs w:val="22"/>
          <w:bdr w:val="nil"/>
          <w:lang w:val="es-ES"/>
        </w:rPr>
        <w:t>99.</w:t>
      </w:r>
      <w:r w:rsidRPr="00E2647A">
        <w:rPr>
          <w:rFonts w:eastAsia="Arial"/>
          <w:szCs w:val="22"/>
          <w:bdr w:val="nil"/>
          <w:lang w:val="es-ES"/>
        </w:rPr>
        <w:tab/>
        <w:t xml:space="preserve">El proceso de contratación de un oficial de evaluaciones en el nivel </w:t>
      </w:r>
      <w:r w:rsidRPr="00E2647A">
        <w:rPr>
          <w:rFonts w:eastAsia="Arial"/>
          <w:szCs w:val="22"/>
          <w:u w:color="FF0000"/>
          <w:bdr w:val="nil"/>
          <w:lang w:val="es-ES"/>
        </w:rPr>
        <w:t>P3</w:t>
      </w:r>
      <w:r w:rsidRPr="00E2647A">
        <w:rPr>
          <w:rFonts w:eastAsia="Arial"/>
          <w:szCs w:val="22"/>
          <w:bdr w:val="nil"/>
          <w:lang w:val="es-ES"/>
        </w:rPr>
        <w:t xml:space="preserve"> para reemplazar al anterior titular del puesto, cuyo contrato venció en mayo de 2018, se encuentra en la etapa inicial.</w:t>
      </w:r>
    </w:p>
    <w:p w:rsidR="00D23C8A" w:rsidRPr="00DF7268" w:rsidRDefault="001E5D8A" w:rsidP="00D23C8A">
      <w:pPr>
        <w:pStyle w:val="Heading2"/>
        <w:rPr>
          <w:lang w:val="es-ES"/>
        </w:rPr>
      </w:pPr>
      <w:r w:rsidRPr="00DF7268">
        <w:rPr>
          <w:rFonts w:eastAsia="Arial"/>
          <w:szCs w:val="22"/>
          <w:bdr w:val="nil"/>
          <w:lang w:val="es-ES"/>
        </w:rPr>
        <w:t>Formación</w:t>
      </w:r>
    </w:p>
    <w:p w:rsidR="00D23C8A" w:rsidRPr="00DF7268" w:rsidRDefault="001E5D8A" w:rsidP="00D23C8A">
      <w:pPr>
        <w:pStyle w:val="ONUME"/>
        <w:rPr>
          <w:lang w:val="es-ES"/>
        </w:rPr>
      </w:pPr>
      <w:r w:rsidRPr="00DF7268">
        <w:rPr>
          <w:rFonts w:eastAsia="Arial"/>
          <w:szCs w:val="22"/>
          <w:bdr w:val="nil"/>
          <w:lang w:val="es-ES"/>
        </w:rPr>
        <w:t>100.</w:t>
      </w:r>
      <w:r w:rsidRPr="00DF7268">
        <w:rPr>
          <w:rFonts w:eastAsia="Arial"/>
          <w:szCs w:val="22"/>
          <w:bdr w:val="nil"/>
          <w:lang w:val="es-ES"/>
        </w:rPr>
        <w:tab/>
        <w:t xml:space="preserve">Dado que la formación es un aspecto fundamental para el perfeccionamiento profesional continuo del personal, y con arreglo a la política de formación de la </w:t>
      </w:r>
      <w:r w:rsidRPr="00DF7268">
        <w:rPr>
          <w:rFonts w:eastAsia="Arial"/>
          <w:szCs w:val="22"/>
          <w:u w:color="FF0000"/>
          <w:bdr w:val="nil"/>
          <w:lang w:val="es-ES"/>
        </w:rPr>
        <w:t>OMPI</w:t>
      </w:r>
      <w:r w:rsidRPr="00DF7268">
        <w:rPr>
          <w:rFonts w:eastAsia="Arial"/>
          <w:szCs w:val="22"/>
          <w:bdr w:val="nil"/>
          <w:lang w:val="es-ES"/>
        </w:rPr>
        <w:t xml:space="preserve">, el personal de la </w:t>
      </w:r>
      <w:r w:rsidRPr="00DF7268">
        <w:rPr>
          <w:rFonts w:eastAsia="Arial"/>
          <w:szCs w:val="22"/>
          <w:u w:color="FF0000"/>
          <w:bdr w:val="nil"/>
          <w:lang w:val="es-ES"/>
        </w:rPr>
        <w:t>DSI</w:t>
      </w:r>
      <w:r w:rsidRPr="00DF7268">
        <w:rPr>
          <w:rFonts w:eastAsia="Arial"/>
          <w:szCs w:val="22"/>
          <w:bdr w:val="nil"/>
          <w:lang w:val="es-ES"/>
        </w:rPr>
        <w:t xml:space="preserve"> asistió a distintas actividades de formación para adquirir nuevos conocimientos, aptitudes técnicas y otras competencias, con miras a aumentar la eficiencia y eficacia operativa de la </w:t>
      </w:r>
      <w:r w:rsidRPr="00DF7268">
        <w:rPr>
          <w:rFonts w:eastAsia="Arial"/>
          <w:szCs w:val="22"/>
          <w:u w:color="FF0000"/>
          <w:bdr w:val="nil"/>
          <w:lang w:val="es-ES"/>
        </w:rPr>
        <w:t>DSI</w:t>
      </w:r>
      <w:r w:rsidRPr="00DF7268">
        <w:rPr>
          <w:rFonts w:eastAsia="Arial"/>
          <w:szCs w:val="22"/>
          <w:bdr w:val="nil"/>
          <w:lang w:val="es-ES"/>
        </w:rPr>
        <w:t xml:space="preserve"> para la realización de las tareas de supervisión.</w:t>
      </w:r>
    </w:p>
    <w:p w:rsidR="00D23C8A" w:rsidRPr="00E2647A" w:rsidRDefault="001E5D8A" w:rsidP="00D23C8A">
      <w:pPr>
        <w:pStyle w:val="ONUME"/>
        <w:rPr>
          <w:lang w:val="es-ES"/>
        </w:rPr>
      </w:pPr>
      <w:r w:rsidRPr="00E2647A">
        <w:rPr>
          <w:rFonts w:eastAsia="Arial"/>
          <w:szCs w:val="22"/>
          <w:bdr w:val="nil"/>
          <w:lang w:val="es-ES"/>
        </w:rPr>
        <w:lastRenderedPageBreak/>
        <w:t>101.</w:t>
      </w:r>
      <w:r w:rsidRPr="00E2647A">
        <w:rPr>
          <w:rFonts w:eastAsia="Arial"/>
          <w:szCs w:val="22"/>
          <w:bdr w:val="nil"/>
          <w:lang w:val="es-ES"/>
        </w:rPr>
        <w:tab/>
        <w:t xml:space="preserve">En promedio, cada funcionario de la </w:t>
      </w:r>
      <w:r w:rsidRPr="00E2647A">
        <w:rPr>
          <w:rFonts w:eastAsia="Arial"/>
          <w:szCs w:val="22"/>
          <w:u w:color="FF0000"/>
          <w:bdr w:val="nil"/>
          <w:lang w:val="es-ES"/>
        </w:rPr>
        <w:t>DSI</w:t>
      </w:r>
      <w:r w:rsidRPr="00E2647A">
        <w:rPr>
          <w:rFonts w:eastAsia="Arial"/>
          <w:szCs w:val="22"/>
          <w:bdr w:val="nil"/>
          <w:lang w:val="es-ES"/>
        </w:rPr>
        <w:t xml:space="preserve"> asistió a 10 días de formación, que incluye: prevención y detección de fraudes, técnicas de investigación, análisis de datos, aplicación de visualización </w:t>
      </w:r>
      <w:r w:rsidRPr="00E2647A">
        <w:rPr>
          <w:rFonts w:eastAsia="Arial"/>
          <w:szCs w:val="22"/>
          <w:u w:color="FF0000"/>
          <w:bdr w:val="nil"/>
          <w:lang w:val="es-ES"/>
        </w:rPr>
        <w:t>Tableau</w:t>
      </w:r>
      <w:r w:rsidRPr="00E2647A">
        <w:rPr>
          <w:rFonts w:eastAsia="Arial"/>
          <w:sz w:val="18"/>
          <w:szCs w:val="18"/>
          <w:u w:color="FF0000"/>
          <w:bdr w:val="nil"/>
          <w:vertAlign w:val="superscript"/>
          <w:lang w:val="es-ES"/>
        </w:rPr>
        <w:t>TM</w:t>
      </w:r>
      <w:r w:rsidRPr="00E2647A">
        <w:rPr>
          <w:rFonts w:eastAsia="Arial"/>
          <w:szCs w:val="22"/>
          <w:bdr w:val="nil"/>
          <w:lang w:val="es-ES"/>
        </w:rPr>
        <w:t xml:space="preserve">, captura de datos digitales, </w:t>
      </w:r>
      <w:r w:rsidRPr="00E2647A">
        <w:rPr>
          <w:rFonts w:eastAsia="Arial"/>
          <w:szCs w:val="22"/>
          <w:u w:color="FF0000"/>
          <w:bdr w:val="nil"/>
          <w:lang w:val="es-ES"/>
        </w:rPr>
        <w:t>ciberseguridad</w:t>
      </w:r>
      <w:r w:rsidRPr="00E2647A">
        <w:rPr>
          <w:rFonts w:eastAsia="Arial"/>
          <w:szCs w:val="22"/>
          <w:bdr w:val="nil"/>
          <w:lang w:val="es-ES"/>
        </w:rPr>
        <w:t>, gestión de conflictos, políticas en materia de evaluación de la ciencia y la innovación, gestión de los recursos humanos, evaluación de la calidad de la auditoría interna, auditoría de los procesos de adquisición, contratación y subcontratación.</w:t>
      </w:r>
    </w:p>
    <w:p w:rsidR="00D23C8A" w:rsidRPr="00E2647A" w:rsidRDefault="001E5D8A" w:rsidP="00D23C8A">
      <w:pPr>
        <w:keepLines/>
        <w:tabs>
          <w:tab w:val="left" w:pos="5529"/>
        </w:tabs>
        <w:ind w:firstLine="5529"/>
        <w:rPr>
          <w:lang w:val="es-ES"/>
        </w:rPr>
      </w:pPr>
      <w:r w:rsidRPr="00E2647A">
        <w:rPr>
          <w:rFonts w:eastAsia="Arial"/>
          <w:szCs w:val="22"/>
          <w:bdr w:val="nil"/>
          <w:lang w:val="es-ES"/>
        </w:rPr>
        <w:t>[Sigue el Anexo]</w:t>
      </w:r>
    </w:p>
    <w:p w:rsidR="00D23C8A" w:rsidRPr="00E2647A" w:rsidRDefault="00D23C8A" w:rsidP="00D23C8A">
      <w:pPr>
        <w:pStyle w:val="ONUME"/>
        <w:keepLines/>
        <w:jc w:val="right"/>
        <w:rPr>
          <w:lang w:val="es-ES"/>
        </w:rPr>
        <w:sectPr w:rsidR="00D23C8A" w:rsidRPr="00E2647A" w:rsidSect="00DF7268">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pgNumType w:start="1"/>
          <w:cols w:space="720"/>
          <w:titlePg/>
          <w:docGrid w:linePitch="299"/>
        </w:sectPr>
      </w:pPr>
    </w:p>
    <w:p w:rsidR="00D23C8A" w:rsidRPr="00E2647A" w:rsidRDefault="001E5D8A" w:rsidP="00D23C8A">
      <w:pPr>
        <w:keepLines/>
        <w:jc w:val="center"/>
        <w:rPr>
          <w:b/>
          <w:bCs/>
          <w:lang w:val="es-ES"/>
        </w:rPr>
      </w:pPr>
      <w:r w:rsidRPr="00E2647A">
        <w:rPr>
          <w:rFonts w:eastAsia="Arial"/>
          <w:b/>
          <w:bCs/>
          <w:szCs w:val="22"/>
          <w:bdr w:val="nil"/>
          <w:lang w:val="es-ES"/>
        </w:rPr>
        <w:lastRenderedPageBreak/>
        <w:t xml:space="preserve">Lista de informes de la </w:t>
      </w:r>
      <w:r w:rsidRPr="00E2647A">
        <w:rPr>
          <w:rFonts w:eastAsia="Arial"/>
          <w:b/>
          <w:bCs/>
          <w:szCs w:val="22"/>
          <w:u w:color="FF0000"/>
          <w:bdr w:val="nil"/>
          <w:lang w:val="es-ES"/>
        </w:rPr>
        <w:t>DSI</w:t>
      </w:r>
      <w:r w:rsidRPr="00E2647A">
        <w:rPr>
          <w:rFonts w:eastAsia="Arial"/>
          <w:b/>
          <w:bCs/>
          <w:szCs w:val="22"/>
          <w:bdr w:val="nil"/>
          <w:lang w:val="es-ES"/>
        </w:rPr>
        <w:t xml:space="preserve"> </w:t>
      </w:r>
      <w:r w:rsidRPr="00E2647A">
        <w:rPr>
          <w:rFonts w:eastAsia="Arial"/>
          <w:b/>
          <w:bCs/>
          <w:szCs w:val="22"/>
          <w:bdr w:val="nil"/>
          <w:lang w:val="es-ES"/>
        </w:rPr>
        <w:br/>
        <w:t>1 de julio de 2017 a 30 de junio de 2018</w:t>
      </w:r>
    </w:p>
    <w:p w:rsidR="00D23C8A" w:rsidRPr="00E2647A" w:rsidRDefault="00D23C8A" w:rsidP="00D23C8A">
      <w:pPr>
        <w:keepLines/>
        <w:jc w:val="center"/>
        <w:rPr>
          <w:b/>
          <w:bCs/>
          <w:lang w:val="es-ES"/>
        </w:rPr>
      </w:pPr>
    </w:p>
    <w:p w:rsidR="00D23C8A" w:rsidRPr="00E2647A" w:rsidRDefault="00D23C8A" w:rsidP="00D23C8A">
      <w:pPr>
        <w:keepLines/>
        <w:ind w:left="5533"/>
        <w:jc w:val="right"/>
        <w:rPr>
          <w:lang w:val="es-ES"/>
        </w:rPr>
      </w:pPr>
    </w:p>
    <w:tbl>
      <w:tblPr>
        <w:tblStyle w:val="TableGrid"/>
        <w:tblW w:w="9639" w:type="dxa"/>
        <w:tblLook w:val="04A0" w:firstRow="1" w:lastRow="0" w:firstColumn="1" w:lastColumn="0" w:noHBand="0" w:noVBand="1"/>
      </w:tblPr>
      <w:tblGrid>
        <w:gridCol w:w="7655"/>
        <w:gridCol w:w="1984"/>
      </w:tblGrid>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Auditoría de la gestión de eventos de terceros org</w:t>
            </w:r>
            <w:r w:rsidR="00673E0C" w:rsidRPr="00DF7268">
              <w:rPr>
                <w:rFonts w:eastAsia="Arial"/>
                <w:szCs w:val="22"/>
                <w:bdr w:val="nil"/>
                <w:lang w:val="es-ES"/>
              </w:rPr>
              <w:t xml:space="preserve">anizados o acogidos por la </w:t>
            </w:r>
            <w:r w:rsidR="00673E0C" w:rsidRPr="00DF7268">
              <w:rPr>
                <w:rFonts w:eastAsia="Arial"/>
                <w:szCs w:val="22"/>
                <w:u w:color="FF0000"/>
                <w:bdr w:val="nil"/>
                <w:lang w:val="es-ES"/>
              </w:rPr>
              <w:t>OMPI</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u w:color="FF0000"/>
                <w:bdr w:val="nil"/>
                <w:lang w:val="es-ES" w:eastAsia="en-US"/>
              </w:rPr>
              <w:t>IA</w:t>
            </w:r>
            <w:r w:rsidRPr="00DF7268">
              <w:rPr>
                <w:rFonts w:eastAsia="Arial"/>
                <w:sz w:val="24"/>
                <w:szCs w:val="24"/>
                <w:bdr w:val="nil"/>
                <w:lang w:val="es-ES" w:eastAsia="en-US"/>
              </w:rPr>
              <w:t xml:space="preserve"> 2017-02</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Auditoría de la gestión de activos de programas informáticos</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u w:color="FF0000"/>
                <w:bdr w:val="nil"/>
                <w:lang w:val="es-ES" w:eastAsia="en-US"/>
              </w:rPr>
              <w:t>IA</w:t>
            </w:r>
            <w:r w:rsidRPr="00DF7268">
              <w:rPr>
                <w:rFonts w:eastAsia="Arial"/>
                <w:sz w:val="24"/>
                <w:szCs w:val="24"/>
                <w:bdr w:val="nil"/>
                <w:lang w:val="es-ES" w:eastAsia="en-US"/>
              </w:rPr>
              <w:t xml:space="preserve"> 2017-03</w:t>
            </w:r>
          </w:p>
        </w:tc>
      </w:tr>
      <w:tr w:rsidR="00D23C8A" w:rsidRPr="00DF7268" w:rsidTr="00D23C8A">
        <w:tc>
          <w:tcPr>
            <w:tcW w:w="7655" w:type="dxa"/>
            <w:vAlign w:val="center"/>
          </w:tcPr>
          <w:p w:rsidR="00D23C8A" w:rsidRPr="00DF7268" w:rsidRDefault="005525AE" w:rsidP="005525AE">
            <w:pPr>
              <w:pStyle w:val="ONUME"/>
              <w:ind w:left="0"/>
              <w:rPr>
                <w:lang w:val="es-ES"/>
              </w:rPr>
            </w:pPr>
            <w:r w:rsidRPr="00DF7268">
              <w:rPr>
                <w:rFonts w:eastAsia="Arial"/>
                <w:szCs w:val="22"/>
                <w:bdr w:val="nil"/>
                <w:lang w:val="es-ES"/>
              </w:rPr>
              <w:t xml:space="preserve">Auditoría del proceso de </w:t>
            </w:r>
            <w:r w:rsidR="001E5D8A" w:rsidRPr="00DF7268">
              <w:rPr>
                <w:rFonts w:eastAsia="Arial"/>
                <w:szCs w:val="22"/>
                <w:bdr w:val="nil"/>
                <w:lang w:val="es-ES"/>
              </w:rPr>
              <w:t>contratación de personal</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u w:color="FF0000"/>
                <w:bdr w:val="nil"/>
                <w:lang w:val="es-ES" w:eastAsia="en-US"/>
              </w:rPr>
              <w:t>IA</w:t>
            </w:r>
            <w:r w:rsidRPr="00DF7268">
              <w:rPr>
                <w:rFonts w:eastAsia="Arial"/>
                <w:sz w:val="24"/>
                <w:szCs w:val="24"/>
                <w:bdr w:val="nil"/>
                <w:lang w:val="es-ES" w:eastAsia="en-US"/>
              </w:rPr>
              <w:t xml:space="preserve"> 2017-04</w:t>
            </w:r>
          </w:p>
        </w:tc>
      </w:tr>
      <w:tr w:rsidR="00D23C8A" w:rsidRPr="00DF7268" w:rsidTr="00D23C8A">
        <w:tc>
          <w:tcPr>
            <w:tcW w:w="7655" w:type="dxa"/>
            <w:vAlign w:val="center"/>
          </w:tcPr>
          <w:p w:rsidR="00D23C8A" w:rsidRPr="00DF7268" w:rsidRDefault="001E5D8A" w:rsidP="00673E0C">
            <w:pPr>
              <w:pStyle w:val="ONUME"/>
              <w:ind w:left="0"/>
              <w:rPr>
                <w:lang w:val="es-ES"/>
              </w:rPr>
            </w:pPr>
            <w:r w:rsidRPr="00DF7268">
              <w:rPr>
                <w:rFonts w:eastAsia="Arial"/>
                <w:szCs w:val="22"/>
                <w:bdr w:val="nil"/>
                <w:lang w:val="es-ES"/>
              </w:rPr>
              <w:t xml:space="preserve">Auditoría de la gestión de </w:t>
            </w:r>
            <w:r w:rsidR="00673E0C" w:rsidRPr="00DF7268">
              <w:rPr>
                <w:rFonts w:eastAsia="Arial"/>
                <w:szCs w:val="22"/>
                <w:bdr w:val="nil"/>
                <w:lang w:val="es-ES"/>
              </w:rPr>
              <w:t>v</w:t>
            </w:r>
            <w:r w:rsidRPr="00DF7268">
              <w:rPr>
                <w:rFonts w:eastAsia="Arial"/>
                <w:szCs w:val="22"/>
                <w:bdr w:val="nil"/>
                <w:lang w:val="es-ES"/>
              </w:rPr>
              <w:t>iajes</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u w:color="FF0000"/>
                <w:bdr w:val="nil"/>
                <w:lang w:val="es-ES" w:eastAsia="en-US"/>
              </w:rPr>
              <w:t>IA</w:t>
            </w:r>
            <w:r w:rsidRPr="00DF7268">
              <w:rPr>
                <w:rFonts w:eastAsia="Arial"/>
                <w:sz w:val="24"/>
                <w:szCs w:val="24"/>
                <w:bdr w:val="nil"/>
                <w:lang w:val="es-ES" w:eastAsia="en-US"/>
              </w:rPr>
              <w:t xml:space="preserve"> 2018-01</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Auditoría de la División Lingüística</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u w:color="FF0000"/>
                <w:bdr w:val="nil"/>
                <w:lang w:val="es-ES" w:eastAsia="en-US"/>
              </w:rPr>
              <w:t>IA</w:t>
            </w:r>
            <w:r w:rsidRPr="00DF7268">
              <w:rPr>
                <w:rFonts w:eastAsia="Arial"/>
                <w:sz w:val="24"/>
                <w:szCs w:val="24"/>
                <w:bdr w:val="nil"/>
                <w:lang w:val="es-ES" w:eastAsia="en-US"/>
              </w:rPr>
              <w:t xml:space="preserve"> 2018-02</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Memorando de auditoría continua</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bdr w:val="nil"/>
                <w:lang w:val="es-ES" w:eastAsia="en-US"/>
              </w:rPr>
              <w:t>CA 2017-02</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 xml:space="preserve">Evaluación de las actividades de comunicación institucional de la </w:t>
            </w:r>
            <w:r w:rsidRPr="00DF7268">
              <w:rPr>
                <w:rFonts w:eastAsia="Arial"/>
                <w:szCs w:val="22"/>
                <w:u w:color="FF0000"/>
                <w:bdr w:val="nil"/>
                <w:lang w:val="es-ES"/>
              </w:rPr>
              <w:t>OMPI</w:t>
            </w:r>
            <w:r w:rsidRPr="00DF7268">
              <w:rPr>
                <w:rFonts w:eastAsia="Arial"/>
                <w:szCs w:val="22"/>
                <w:bdr w:val="nil"/>
                <w:lang w:val="es-ES"/>
              </w:rPr>
              <w:t xml:space="preserve"> y </w:t>
            </w:r>
            <w:r w:rsidR="00673E0C" w:rsidRPr="00DF7268">
              <w:rPr>
                <w:rFonts w:eastAsia="Arial"/>
                <w:szCs w:val="22"/>
                <w:bdr w:val="nil"/>
                <w:lang w:val="es-ES"/>
              </w:rPr>
              <w:t xml:space="preserve">su contribución a la imagen institucional y la reputación de la </w:t>
            </w:r>
            <w:r w:rsidR="00673E0C" w:rsidRPr="00DF7268">
              <w:rPr>
                <w:rFonts w:eastAsia="Arial"/>
                <w:szCs w:val="22"/>
                <w:u w:color="FF0000"/>
                <w:bdr w:val="nil"/>
                <w:lang w:val="es-ES"/>
              </w:rPr>
              <w:t>OMPI</w:t>
            </w:r>
          </w:p>
        </w:tc>
        <w:tc>
          <w:tcPr>
            <w:tcW w:w="1984" w:type="dxa"/>
            <w:vAlign w:val="center"/>
          </w:tcPr>
          <w:p w:rsidR="00D23C8A" w:rsidRPr="00DF7268" w:rsidRDefault="001E5D8A" w:rsidP="00D23C8A">
            <w:pPr>
              <w:pStyle w:val="ONUME"/>
              <w:ind w:left="34"/>
              <w:rPr>
                <w:lang w:val="es-ES"/>
              </w:rPr>
            </w:pPr>
            <w:r w:rsidRPr="00DF7268">
              <w:rPr>
                <w:rFonts w:eastAsia="Arial"/>
                <w:sz w:val="24"/>
                <w:szCs w:val="24"/>
                <w:u w:color="FF0000"/>
                <w:bdr w:val="nil"/>
                <w:lang w:val="es-ES" w:eastAsia="en-US"/>
              </w:rPr>
              <w:t>EVAL</w:t>
            </w:r>
            <w:r w:rsidRPr="00DF7268">
              <w:rPr>
                <w:rFonts w:eastAsia="Arial"/>
                <w:sz w:val="24"/>
                <w:szCs w:val="24"/>
                <w:bdr w:val="nil"/>
                <w:lang w:val="es-ES" w:eastAsia="en-US"/>
              </w:rPr>
              <w:t xml:space="preserve"> 17-01</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Evaluación de la Oficina Regional en la sede para América Latina y el Caribe</w:t>
            </w:r>
          </w:p>
        </w:tc>
        <w:tc>
          <w:tcPr>
            <w:tcW w:w="1984" w:type="dxa"/>
            <w:vAlign w:val="center"/>
          </w:tcPr>
          <w:p w:rsidR="00D23C8A" w:rsidRPr="00DF7268" w:rsidRDefault="001E5D8A" w:rsidP="00D23C8A">
            <w:pPr>
              <w:keepLines/>
              <w:ind w:left="34"/>
              <w:rPr>
                <w:lang w:val="es-ES"/>
              </w:rPr>
            </w:pPr>
            <w:r w:rsidRPr="00DF7268">
              <w:rPr>
                <w:rFonts w:eastAsia="Arial"/>
                <w:sz w:val="24"/>
                <w:szCs w:val="24"/>
                <w:u w:color="FF0000"/>
                <w:bdr w:val="nil"/>
                <w:lang w:val="es-ES" w:eastAsia="en-US"/>
              </w:rPr>
              <w:t>EVAL</w:t>
            </w:r>
            <w:r w:rsidRPr="00DF7268">
              <w:rPr>
                <w:rFonts w:eastAsia="Arial"/>
                <w:sz w:val="24"/>
                <w:szCs w:val="24"/>
                <w:bdr w:val="nil"/>
                <w:lang w:val="es-ES" w:eastAsia="en-US"/>
              </w:rPr>
              <w:t xml:space="preserve"> 17-04</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 xml:space="preserve">Evaluación del programa 18: La </w:t>
            </w:r>
            <w:r w:rsidRPr="00DF7268">
              <w:rPr>
                <w:rFonts w:eastAsia="Arial"/>
                <w:szCs w:val="22"/>
                <w:u w:color="FF0000"/>
                <w:bdr w:val="nil"/>
                <w:lang w:val="es-ES"/>
              </w:rPr>
              <w:t>PI</w:t>
            </w:r>
            <w:r w:rsidRPr="00DF7268">
              <w:rPr>
                <w:rFonts w:eastAsia="Arial"/>
                <w:szCs w:val="22"/>
                <w:bdr w:val="nil"/>
                <w:lang w:val="es-ES"/>
              </w:rPr>
              <w:t xml:space="preserve"> y los desafíos mundiales</w:t>
            </w:r>
          </w:p>
        </w:tc>
        <w:tc>
          <w:tcPr>
            <w:tcW w:w="1984" w:type="dxa"/>
            <w:vAlign w:val="center"/>
          </w:tcPr>
          <w:p w:rsidR="00D23C8A" w:rsidRPr="00DF7268" w:rsidRDefault="001E5D8A" w:rsidP="00D23C8A">
            <w:pPr>
              <w:keepLines/>
              <w:ind w:left="34"/>
              <w:rPr>
                <w:lang w:val="es-ES"/>
              </w:rPr>
            </w:pPr>
            <w:r w:rsidRPr="00DF7268">
              <w:rPr>
                <w:rFonts w:eastAsia="Arial"/>
                <w:sz w:val="24"/>
                <w:szCs w:val="24"/>
                <w:u w:color="FF0000"/>
                <w:bdr w:val="nil"/>
                <w:lang w:val="es-ES" w:eastAsia="en-US"/>
              </w:rPr>
              <w:t>EVAL</w:t>
            </w:r>
            <w:r w:rsidRPr="00DF7268">
              <w:rPr>
                <w:rFonts w:eastAsia="Arial"/>
                <w:sz w:val="24"/>
                <w:szCs w:val="24"/>
                <w:bdr w:val="nil"/>
                <w:lang w:val="es-ES" w:eastAsia="en-US"/>
              </w:rPr>
              <w:t xml:space="preserve"> 17-03</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Evaluación del desarrollo de competencias en materia de propiedad intelectual</w:t>
            </w:r>
          </w:p>
        </w:tc>
        <w:tc>
          <w:tcPr>
            <w:tcW w:w="1984" w:type="dxa"/>
            <w:vAlign w:val="center"/>
          </w:tcPr>
          <w:p w:rsidR="00D23C8A" w:rsidRPr="00DF7268" w:rsidRDefault="001E5D8A" w:rsidP="00D23C8A">
            <w:pPr>
              <w:keepLines/>
              <w:ind w:left="34"/>
              <w:rPr>
                <w:lang w:val="es-ES"/>
              </w:rPr>
            </w:pPr>
            <w:r w:rsidRPr="00DF7268">
              <w:rPr>
                <w:rFonts w:eastAsia="Arial"/>
                <w:sz w:val="24"/>
                <w:szCs w:val="24"/>
                <w:u w:color="FF0000"/>
                <w:bdr w:val="nil"/>
                <w:lang w:val="es-ES" w:eastAsia="en-US"/>
              </w:rPr>
              <w:t>EVAL</w:t>
            </w:r>
            <w:r w:rsidRPr="00DF7268">
              <w:rPr>
                <w:rFonts w:eastAsia="Arial"/>
                <w:sz w:val="24"/>
                <w:szCs w:val="24"/>
                <w:bdr w:val="nil"/>
                <w:lang w:val="es-ES" w:eastAsia="en-US"/>
              </w:rPr>
              <w:t xml:space="preserve"> 17-05</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 xml:space="preserve">Informe de validación por la </w:t>
            </w:r>
            <w:r w:rsidRPr="00DF7268">
              <w:rPr>
                <w:rFonts w:eastAsia="Arial"/>
                <w:szCs w:val="22"/>
                <w:u w:color="FF0000"/>
                <w:bdr w:val="nil"/>
                <w:lang w:val="es-ES"/>
              </w:rPr>
              <w:t>DSI</w:t>
            </w:r>
            <w:r w:rsidRPr="00DF7268">
              <w:rPr>
                <w:rFonts w:eastAsia="Arial"/>
                <w:szCs w:val="22"/>
                <w:bdr w:val="nil"/>
                <w:lang w:val="es-ES"/>
              </w:rPr>
              <w:t xml:space="preserve"> del Informe sobre el rendimiento de la </w:t>
            </w:r>
            <w:r w:rsidRPr="00DF7268">
              <w:rPr>
                <w:rFonts w:eastAsia="Arial"/>
                <w:szCs w:val="22"/>
                <w:u w:color="FF0000"/>
                <w:bdr w:val="nil"/>
                <w:lang w:val="es-ES"/>
              </w:rPr>
              <w:t>OMPI</w:t>
            </w:r>
            <w:r w:rsidRPr="00DF7268">
              <w:rPr>
                <w:rFonts w:eastAsia="Arial"/>
                <w:szCs w:val="22"/>
                <w:bdr w:val="nil"/>
                <w:lang w:val="es-ES"/>
              </w:rPr>
              <w:t xml:space="preserve"> en el bienio 2016/17</w:t>
            </w:r>
          </w:p>
        </w:tc>
        <w:tc>
          <w:tcPr>
            <w:tcW w:w="1984" w:type="dxa"/>
            <w:vAlign w:val="center"/>
          </w:tcPr>
          <w:p w:rsidR="00D23C8A" w:rsidRPr="00DF7268" w:rsidRDefault="001E5D8A" w:rsidP="00D23C8A">
            <w:pPr>
              <w:keepLines/>
              <w:ind w:left="34"/>
              <w:rPr>
                <w:rFonts w:eastAsia="Times New Roman"/>
                <w:sz w:val="24"/>
                <w:szCs w:val="24"/>
                <w:lang w:val="es-ES" w:eastAsia="en-US"/>
              </w:rPr>
            </w:pPr>
            <w:r w:rsidRPr="00DF7268">
              <w:rPr>
                <w:rFonts w:eastAsia="Arial"/>
                <w:sz w:val="24"/>
                <w:szCs w:val="24"/>
                <w:u w:color="FF0000"/>
                <w:bdr w:val="nil"/>
                <w:lang w:val="es-ES" w:eastAsia="en-US"/>
              </w:rPr>
              <w:t>VALID</w:t>
            </w:r>
            <w:r w:rsidRPr="00DF7268">
              <w:rPr>
                <w:rFonts w:eastAsia="Arial"/>
                <w:sz w:val="24"/>
                <w:szCs w:val="24"/>
                <w:bdr w:val="nil"/>
                <w:lang w:val="es-ES" w:eastAsia="en-US"/>
              </w:rPr>
              <w:t xml:space="preserve"> 2018-01</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Informe sobre las consecuencias para la dirección de las normas de tráfico en las zonas de aparcamiento</w:t>
            </w:r>
          </w:p>
        </w:tc>
        <w:tc>
          <w:tcPr>
            <w:tcW w:w="1984" w:type="dxa"/>
            <w:vAlign w:val="center"/>
          </w:tcPr>
          <w:p w:rsidR="00D23C8A" w:rsidRPr="00DF7268" w:rsidRDefault="001E5D8A" w:rsidP="00D23C8A">
            <w:pPr>
              <w:keepLines/>
              <w:ind w:left="34"/>
              <w:rPr>
                <w:lang w:val="es-ES"/>
              </w:rPr>
            </w:pPr>
            <w:r w:rsidRPr="00DF7268">
              <w:rPr>
                <w:rFonts w:eastAsia="Arial"/>
                <w:sz w:val="24"/>
                <w:szCs w:val="24"/>
                <w:u w:color="FF0000"/>
                <w:bdr w:val="nil"/>
                <w:lang w:val="es-ES" w:eastAsia="en-US"/>
              </w:rPr>
              <w:t>MIR</w:t>
            </w:r>
            <w:r w:rsidRPr="00DF7268">
              <w:rPr>
                <w:rFonts w:eastAsia="Arial"/>
                <w:sz w:val="24"/>
                <w:szCs w:val="24"/>
                <w:bdr w:val="nil"/>
                <w:lang w:val="es-ES" w:eastAsia="en-US"/>
              </w:rPr>
              <w:t xml:space="preserve"> 2017-11</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Informe sobre las consecuencias para la dirección del acceso y la utilización de las zonas de aparcamiento por los funcionarios</w:t>
            </w:r>
          </w:p>
        </w:tc>
        <w:tc>
          <w:tcPr>
            <w:tcW w:w="1984" w:type="dxa"/>
            <w:vAlign w:val="center"/>
          </w:tcPr>
          <w:p w:rsidR="00D23C8A" w:rsidRPr="00DF7268" w:rsidRDefault="001E5D8A" w:rsidP="00D23C8A">
            <w:pPr>
              <w:keepLines/>
              <w:ind w:left="34"/>
              <w:rPr>
                <w:lang w:val="es-ES"/>
              </w:rPr>
            </w:pPr>
            <w:r w:rsidRPr="00DF7268">
              <w:rPr>
                <w:rFonts w:eastAsia="Arial"/>
                <w:sz w:val="24"/>
                <w:szCs w:val="24"/>
                <w:u w:color="FF0000"/>
                <w:bdr w:val="nil"/>
                <w:lang w:val="es-ES" w:eastAsia="en-US"/>
              </w:rPr>
              <w:t>MIR</w:t>
            </w:r>
            <w:r w:rsidRPr="00DF7268">
              <w:rPr>
                <w:rFonts w:eastAsia="Arial"/>
                <w:sz w:val="24"/>
                <w:szCs w:val="24"/>
                <w:bdr w:val="nil"/>
                <w:lang w:val="es-ES" w:eastAsia="en-US"/>
              </w:rPr>
              <w:t xml:space="preserve"> 2018-01</w:t>
            </w:r>
          </w:p>
        </w:tc>
      </w:tr>
      <w:tr w:rsidR="00D23C8A" w:rsidRPr="00DF7268" w:rsidTr="00D23C8A">
        <w:tc>
          <w:tcPr>
            <w:tcW w:w="7655" w:type="dxa"/>
            <w:vAlign w:val="center"/>
          </w:tcPr>
          <w:p w:rsidR="00D23C8A" w:rsidRPr="00DF7268" w:rsidRDefault="001E5D8A" w:rsidP="00D23C8A">
            <w:pPr>
              <w:pStyle w:val="ONUME"/>
              <w:ind w:left="0"/>
              <w:rPr>
                <w:lang w:val="es-ES"/>
              </w:rPr>
            </w:pPr>
            <w:r w:rsidRPr="00DF7268">
              <w:rPr>
                <w:rFonts w:eastAsia="Arial"/>
                <w:szCs w:val="22"/>
                <w:bdr w:val="nil"/>
                <w:lang w:val="es-ES"/>
              </w:rPr>
              <w:t>Informe sobre las consecuencias para la dirección de las solicitudes de adquisiciones</w:t>
            </w:r>
          </w:p>
        </w:tc>
        <w:tc>
          <w:tcPr>
            <w:tcW w:w="1984" w:type="dxa"/>
            <w:vAlign w:val="center"/>
          </w:tcPr>
          <w:p w:rsidR="00D23C8A" w:rsidRPr="00DF7268" w:rsidRDefault="001E5D8A" w:rsidP="00D23C8A">
            <w:pPr>
              <w:keepLines/>
              <w:ind w:left="34"/>
              <w:rPr>
                <w:rFonts w:eastAsia="Times New Roman"/>
                <w:sz w:val="24"/>
                <w:szCs w:val="24"/>
                <w:lang w:val="es-ES" w:eastAsia="en-US"/>
              </w:rPr>
            </w:pPr>
            <w:r w:rsidRPr="00DF7268">
              <w:rPr>
                <w:rFonts w:eastAsia="Arial"/>
                <w:sz w:val="24"/>
                <w:szCs w:val="24"/>
                <w:u w:color="FF0000"/>
                <w:bdr w:val="nil"/>
                <w:lang w:val="es-ES" w:eastAsia="en-US"/>
              </w:rPr>
              <w:t>MIR</w:t>
            </w:r>
            <w:r w:rsidRPr="00DF7268">
              <w:rPr>
                <w:rFonts w:eastAsia="Arial"/>
                <w:sz w:val="24"/>
                <w:szCs w:val="24"/>
                <w:bdr w:val="nil"/>
                <w:lang w:val="es-ES" w:eastAsia="en-US"/>
              </w:rPr>
              <w:t xml:space="preserve"> 2017-35</w:t>
            </w:r>
          </w:p>
        </w:tc>
      </w:tr>
    </w:tbl>
    <w:p w:rsidR="00D23C8A" w:rsidRPr="00DF7268" w:rsidRDefault="001E5D8A" w:rsidP="00D23C8A">
      <w:pPr>
        <w:keepLines/>
        <w:spacing w:before="480"/>
        <w:ind w:left="5534"/>
        <w:rPr>
          <w:lang w:val="es-ES"/>
        </w:rPr>
      </w:pPr>
      <w:r w:rsidRPr="00DF7268">
        <w:rPr>
          <w:rFonts w:eastAsia="Arial"/>
          <w:szCs w:val="22"/>
          <w:bdr w:val="nil"/>
          <w:lang w:val="es-ES"/>
        </w:rPr>
        <w:t>[Fin del Anexo y del documento]</w:t>
      </w:r>
    </w:p>
    <w:sectPr w:rsidR="00D23C8A" w:rsidRPr="00DF7268" w:rsidSect="00DF7268">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13" w:rsidRDefault="00626513">
      <w:r>
        <w:separator/>
      </w:r>
    </w:p>
  </w:endnote>
  <w:endnote w:type="continuationSeparator" w:id="0">
    <w:p w:rsidR="00626513" w:rsidRDefault="00626513" w:rsidP="00D23C8A">
      <w:r>
        <w:separator/>
      </w:r>
    </w:p>
    <w:p w:rsidR="00626513" w:rsidRPr="00E2647A" w:rsidRDefault="00626513" w:rsidP="00D23C8A">
      <w:pPr>
        <w:spacing w:after="60"/>
        <w:rPr>
          <w:sz w:val="17"/>
          <w:lang w:val="en-US"/>
        </w:rPr>
      </w:pPr>
      <w:r w:rsidRPr="00E2647A">
        <w:rPr>
          <w:sz w:val="17"/>
          <w:lang w:val="en-US"/>
        </w:rPr>
        <w:t>[Endnote continued from previous page]</w:t>
      </w:r>
    </w:p>
  </w:endnote>
  <w:endnote w:type="continuationNotice" w:id="1">
    <w:p w:rsidR="00626513" w:rsidRPr="00E2647A" w:rsidRDefault="00626513" w:rsidP="00D23C8A">
      <w:pPr>
        <w:spacing w:before="60"/>
        <w:jc w:val="right"/>
        <w:rPr>
          <w:sz w:val="17"/>
          <w:szCs w:val="17"/>
          <w:lang w:val="en-US"/>
        </w:rPr>
      </w:pPr>
      <w:r w:rsidRPr="00E2647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TITUS1FooterEvenPages"/>
  <w:p w:rsidR="00626513" w:rsidRDefault="00626513" w:rsidP="00D23C8A">
    <w:pPr>
      <w:pStyle w:val="Footer"/>
      <w:jc w:val="center"/>
      <w:rPr>
        <w:color w:val="000000"/>
        <w:sz w:val="17"/>
      </w:rPr>
    </w:pPr>
    <w:r>
      <w:rPr>
        <w:noProof/>
        <w:color w:val="000000"/>
        <w:sz w:val="17"/>
        <w:lang w:val="en-US" w:eastAsia="en-US"/>
      </w:rPr>
      <mc:AlternateContent>
        <mc:Choice Requires="wps">
          <w:drawing>
            <wp:anchor distT="558800" distB="0" distL="114300" distR="114300" simplePos="0" relativeHeight="251656192" behindDoc="0" locked="0" layoutInCell="0" allowOverlap="1" wp14:anchorId="6C7786D4" wp14:editId="407C753E">
              <wp:simplePos x="0" y="0"/>
              <wp:positionH relativeFrom="margin">
                <wp:align>center</wp:align>
              </wp:positionH>
              <wp:positionV relativeFrom="bottomMargin">
                <wp:posOffset>558800</wp:posOffset>
              </wp:positionV>
              <wp:extent cx="1826895" cy="221615"/>
              <wp:effectExtent l="0" t="0" r="1905" b="635"/>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895"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3" w:rsidRDefault="00626513" w:rsidP="00D23C8A">
                          <w:pPr>
                            <w:jc w:val="center"/>
                          </w:pPr>
                          <w:r>
                            <w:rPr>
                              <w:rFonts w:eastAsia="Arial"/>
                              <w:color w:val="000000"/>
                              <w:sz w:val="17"/>
                              <w:szCs w:val="17"/>
                              <w:bdr w:val="nil"/>
                              <w:lang w:val="es-ES_tradnl"/>
                            </w:rPr>
                            <w:t>PARA USO EXCLUSIVO DE LA OMPI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143.85pt;height:17.45pt;z-index:251656192;visibility:visible;mso-wrap-style:non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" o:allowincell="f" filled="f" fillcolor="black" stroked="f" strokeweight=".5pt">
              <v:textbox style="mso-fit-shape-to-text:t">
                <w:txbxContent>
                  <w:p w:rsidR="00626513" w:rsidRDefault="00626513" w:rsidP="00D23C8A">
                    <w:pPr>
                      <w:jc w:val="center"/>
                    </w:pPr>
                    <w:r>
                      <w:rPr>
                        <w:rFonts w:eastAsia="Arial"/>
                        <w:color w:val="000000"/>
                        <w:sz w:val="17"/>
                        <w:szCs w:val="17"/>
                        <w:bdr w:val="nil"/>
                        <w:lang w:val="es-ES_tradnl"/>
                      </w:rPr>
                      <w:t>PARA USO EXCLUSIVO DE LA OMPI</w:t>
                    </w:r>
                  </w:p>
                </w:txbxContent>
              </v:textbox>
              <w10:wrap anchorx="margin" anchory="margin"/>
            </v:shape>
          </w:pict>
        </mc:Fallback>
      </mc:AlternateContent>
    </w:r>
  </w:p>
  <w:bookmarkEnd w:id="6"/>
  <w:p w:rsidR="00626513" w:rsidRDefault="0062651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0" w:name="TITUS5FooterPrimary"/>
  <w:p w:rsidR="00626513" w:rsidRDefault="00626513">
    <w:pPr>
      <w:pStyle w:val="Footer"/>
      <w:jc w:val="center"/>
      <w:rPr>
        <w:color w:val="000000"/>
        <w:sz w:val="17"/>
      </w:rPr>
    </w:pPr>
    <w:r>
      <w:rPr>
        <w:noProof/>
        <w:color w:val="000000"/>
        <w:sz w:val="17"/>
        <w:lang w:val="en-US" w:eastAsia="en-US"/>
      </w:rPr>
      <mc:AlternateContent>
        <mc:Choice Requires="wps">
          <w:drawing>
            <wp:anchor distT="558800" distB="0" distL="114300" distR="114300" simplePos="0" relativeHeight="251659264" behindDoc="0" locked="0" layoutInCell="0" allowOverlap="1" wp14:anchorId="33FB8B02" wp14:editId="54109648">
              <wp:simplePos x="0" y="0"/>
              <wp:positionH relativeFrom="margin">
                <wp:align>center</wp:align>
              </wp:positionH>
              <wp:positionV relativeFrom="bottomMargin">
                <wp:posOffset>558800</wp:posOffset>
              </wp:positionV>
              <wp:extent cx="1826895" cy="221615"/>
              <wp:effectExtent l="0" t="0" r="1905" b="635"/>
              <wp:wrapNone/>
              <wp:docPr id="1"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895"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3" w:rsidRDefault="00626513" w:rsidP="00D23C8A">
                          <w:pPr>
                            <w:jc w:val="center"/>
                          </w:pPr>
                          <w:r>
                            <w:rPr>
                              <w:rFonts w:eastAsia="Arial"/>
                              <w:color w:val="000000"/>
                              <w:sz w:val="17"/>
                              <w:szCs w:val="17"/>
                              <w:bdr w:val="nil"/>
                              <w:lang w:val="es-ES_tradnl"/>
                            </w:rPr>
                            <w:t>PARA USO EXCLUSIVO DE LA OMPI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O4footer" o:spid="_x0000_s1031" type="#_x0000_t202" style="position:absolute;left:0;text-align:left;margin-left:0;margin-top:44pt;width:143.85pt;height:17.45pt;z-index:251659264;visibility:visible;mso-wrap-style:non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" o:allowincell="f" filled="f" fillcolor="black" stroked="f" strokeweight=".5pt">
              <v:textbox style="mso-fit-shape-to-text:t">
                <w:txbxContent>
                  <w:p w:rsidR="00626513" w:rsidRDefault="00626513" w:rsidP="00D23C8A">
                    <w:pPr>
                      <w:jc w:val="center"/>
                    </w:pPr>
                    <w:r>
                      <w:rPr>
                        <w:rFonts w:eastAsia="Arial"/>
                        <w:color w:val="000000"/>
                        <w:sz w:val="17"/>
                        <w:szCs w:val="17"/>
                        <w:bdr w:val="nil"/>
                        <w:lang w:val="es-ES_tradnl"/>
                      </w:rPr>
                      <w:t>PARA USO EXCLUSIVO DE LA OMPI</w:t>
                    </w:r>
                  </w:p>
                </w:txbxContent>
              </v:textbox>
              <w10:wrap anchorx="margin" anchory="margin"/>
            </v:shape>
          </w:pict>
        </mc:Fallback>
      </mc:AlternateContent>
    </w:r>
  </w:p>
  <w:bookmarkEnd w:id="50"/>
  <w:p w:rsidR="00626513" w:rsidRDefault="00626513" w:rsidP="00D23C8A">
    <w:pPr>
      <w:pStyle w:val="Footer"/>
      <w:jc w:val="center"/>
      <w:rPr>
        <w:color w:val="000000"/>
        <w:sz w:val="17"/>
      </w:rPr>
    </w:pPr>
  </w:p>
  <w:p w:rsidR="00626513" w:rsidRDefault="00626513" w:rsidP="00D23C8A">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AB374B" w:rsidRDefault="00626513" w:rsidP="00D23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 w:name="TITUS1FooterPrimary"/>
  <w:p w:rsidR="00626513" w:rsidRDefault="00626513" w:rsidP="00D23C8A">
    <w:pPr>
      <w:pStyle w:val="Footer"/>
      <w:jc w:val="center"/>
      <w:rPr>
        <w:color w:val="000000"/>
        <w:sz w:val="17"/>
      </w:rPr>
    </w:pPr>
    <w:r>
      <w:rPr>
        <w:noProof/>
        <w:color w:val="000000"/>
        <w:sz w:val="17"/>
        <w:lang w:val="en-US" w:eastAsia="en-US"/>
      </w:rPr>
      <mc:AlternateContent>
        <mc:Choice Requires="wps">
          <w:drawing>
            <wp:anchor distT="558800" distB="0" distL="114300" distR="114300" simplePos="0" relativeHeight="251655168" behindDoc="0" locked="0" layoutInCell="0" allowOverlap="1" wp14:anchorId="01AA9987" wp14:editId="08D086E5">
              <wp:simplePos x="0" y="0"/>
              <wp:positionH relativeFrom="margin">
                <wp:align>center</wp:align>
              </wp:positionH>
              <wp:positionV relativeFrom="bottomMargin">
                <wp:posOffset>558800</wp:posOffset>
              </wp:positionV>
              <wp:extent cx="1826895" cy="221615"/>
              <wp:effectExtent l="0" t="0" r="1905" b="635"/>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895"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3" w:rsidRDefault="00626513" w:rsidP="00D23C8A">
                          <w:pPr>
                            <w:jc w:val="center"/>
                          </w:pPr>
                          <w:r>
                            <w:rPr>
                              <w:rFonts w:eastAsia="Arial"/>
                              <w:color w:val="000000"/>
                              <w:sz w:val="17"/>
                              <w:szCs w:val="17"/>
                              <w:bdr w:val="nil"/>
                              <w:lang w:val="es-ES_tradnl"/>
                            </w:rPr>
                            <w:t>PARA USO EXCLUSIVO DE LA OMPI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143.85pt;height:17.45pt;z-index:251655168;visibility:visible;mso-wrap-style:non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" o:allowincell="f" filled="f" fillcolor="black" stroked="f" strokeweight=".5pt">
              <v:textbox style="mso-fit-shape-to-text:t">
                <w:txbxContent>
                  <w:p w:rsidR="00626513" w:rsidRDefault="00626513" w:rsidP="00D23C8A">
                    <w:pPr>
                      <w:jc w:val="center"/>
                    </w:pPr>
                    <w:r>
                      <w:rPr>
                        <w:rFonts w:eastAsia="Arial"/>
                        <w:color w:val="000000"/>
                        <w:sz w:val="17"/>
                        <w:szCs w:val="17"/>
                        <w:bdr w:val="nil"/>
                        <w:lang w:val="es-ES_tradnl"/>
                      </w:rPr>
                      <w:t>PARA USO EXCLUSIVO DE LA OMPI</w:t>
                    </w:r>
                  </w:p>
                </w:txbxContent>
              </v:textbox>
              <w10:wrap anchorx="margin" anchory="margin"/>
            </v:shape>
          </w:pict>
        </mc:Fallback>
      </mc:AlternateContent>
    </w:r>
  </w:p>
  <w:bookmarkEnd w:id="7"/>
  <w:p w:rsidR="00626513" w:rsidRDefault="00626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8" w:name="TITUS2FooterEvenPages"/>
  <w:p w:rsidR="00626513" w:rsidRDefault="00626513" w:rsidP="00D23C8A">
    <w:pPr>
      <w:pStyle w:val="Footer"/>
      <w:jc w:val="center"/>
      <w:rPr>
        <w:color w:val="000000"/>
        <w:sz w:val="17"/>
      </w:rPr>
    </w:pPr>
    <w:r>
      <w:rPr>
        <w:noProof/>
        <w:color w:val="000000"/>
        <w:sz w:val="17"/>
        <w:lang w:val="en-US" w:eastAsia="en-US"/>
      </w:rPr>
      <mc:AlternateContent>
        <mc:Choice Requires="wps">
          <w:drawing>
            <wp:anchor distT="558800" distB="0" distL="114300" distR="114300" simplePos="0" relativeHeight="251658240" behindDoc="0" locked="0" layoutInCell="0" allowOverlap="1" wp14:anchorId="42D3B12C" wp14:editId="4E40B55F">
              <wp:simplePos x="0" y="0"/>
              <wp:positionH relativeFrom="margin">
                <wp:align>center</wp:align>
              </wp:positionH>
              <wp:positionV relativeFrom="bottomMargin">
                <wp:posOffset>558800</wp:posOffset>
              </wp:positionV>
              <wp:extent cx="1826895" cy="221615"/>
              <wp:effectExtent l="0" t="0" r="1905" b="635"/>
              <wp:wrapNone/>
              <wp:docPr id="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895"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3" w:rsidRDefault="00626513" w:rsidP="00D23C8A">
                          <w:pPr>
                            <w:jc w:val="center"/>
                          </w:pPr>
                          <w:r>
                            <w:rPr>
                              <w:rFonts w:eastAsia="Arial"/>
                              <w:color w:val="000000"/>
                              <w:sz w:val="17"/>
                              <w:szCs w:val="17"/>
                              <w:bdr w:val="nil"/>
                              <w:lang w:val="es-ES_tradnl"/>
                            </w:rPr>
                            <w:t>PARA USO EXCLUSIVO DE LA OMPI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2footer" o:spid="_x0000_s1028" type="#_x0000_t202" style="position:absolute;left:0;text-align:left;margin-left:0;margin-top:44pt;width:143.85pt;height:17.45pt;z-index:251658240;visibility:visible;mso-wrap-style:non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" o:allowincell="f" filled="f" fillcolor="black" stroked="f" strokeweight=".5pt">
              <v:textbox style="mso-fit-shape-to-text:t">
                <w:txbxContent>
                  <w:p w:rsidR="00626513" w:rsidRDefault="00626513" w:rsidP="00D23C8A">
                    <w:pPr>
                      <w:jc w:val="center"/>
                    </w:pPr>
                    <w:r>
                      <w:rPr>
                        <w:rFonts w:eastAsia="Arial"/>
                        <w:color w:val="000000"/>
                        <w:sz w:val="17"/>
                        <w:szCs w:val="17"/>
                        <w:bdr w:val="nil"/>
                        <w:lang w:val="es-ES_tradnl"/>
                      </w:rPr>
                      <w:t>PARA USO EXCLUSIVO DE LA OMPI</w:t>
                    </w:r>
                  </w:p>
                </w:txbxContent>
              </v:textbox>
              <w10:wrap anchorx="margin" anchory="margin"/>
            </v:shape>
          </w:pict>
        </mc:Fallback>
      </mc:AlternateContent>
    </w:r>
  </w:p>
  <w:bookmarkEnd w:id="8"/>
  <w:p w:rsidR="00626513" w:rsidRDefault="00626513" w:rsidP="00D23C8A">
    <w:pPr>
      <w:pStyle w:val="Footer"/>
      <w:jc w:val="center"/>
      <w:rPr>
        <w:color w:val="000000"/>
        <w:sz w:val="17"/>
      </w:rPr>
    </w:pPr>
  </w:p>
  <w:p w:rsidR="00626513" w:rsidRDefault="00626513" w:rsidP="00D23C8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TITUS2FooterPrimary"/>
  <w:p w:rsidR="00626513" w:rsidRDefault="00626513" w:rsidP="00D23C8A">
    <w:pPr>
      <w:pStyle w:val="Footer"/>
      <w:jc w:val="center"/>
      <w:rPr>
        <w:color w:val="000000"/>
        <w:sz w:val="17"/>
      </w:rPr>
    </w:pPr>
    <w:r>
      <w:rPr>
        <w:noProof/>
        <w:color w:val="000000"/>
        <w:sz w:val="17"/>
        <w:lang w:val="en-US" w:eastAsia="en-US"/>
      </w:rPr>
      <mc:AlternateContent>
        <mc:Choice Requires="wps">
          <w:drawing>
            <wp:anchor distT="558800" distB="0" distL="114300" distR="114300" simplePos="0" relativeHeight="251657216" behindDoc="0" locked="0" layoutInCell="0" allowOverlap="1" wp14:anchorId="237AEA9C" wp14:editId="3D872822">
              <wp:simplePos x="0" y="0"/>
              <wp:positionH relativeFrom="margin">
                <wp:align>center</wp:align>
              </wp:positionH>
              <wp:positionV relativeFrom="bottomMargin">
                <wp:posOffset>558800</wp:posOffset>
              </wp:positionV>
              <wp:extent cx="1826895" cy="221615"/>
              <wp:effectExtent l="0" t="0" r="1905" b="635"/>
              <wp:wrapNone/>
              <wp:docPr id="3"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895"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3" w:rsidRDefault="00626513" w:rsidP="00D23C8A">
                          <w:pPr>
                            <w:jc w:val="center"/>
                          </w:pPr>
                          <w:r>
                            <w:rPr>
                              <w:rFonts w:eastAsia="Arial"/>
                              <w:color w:val="000000"/>
                              <w:sz w:val="17"/>
                              <w:szCs w:val="17"/>
                              <w:bdr w:val="nil"/>
                              <w:lang w:val="es-ES_tradnl"/>
                            </w:rPr>
                            <w:t>PARA USO EXCLUSIVO DE LA OMPI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O2footer" o:spid="_x0000_s1029" type="#_x0000_t202" style="position:absolute;left:0;text-align:left;margin-left:0;margin-top:44pt;width:143.85pt;height:17.45pt;z-index:251657216;visibility:visible;mso-wrap-style:non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" o:allowincell="f" filled="f" fillcolor="black" stroked="f" strokeweight=".5pt">
              <v:textbox style="mso-fit-shape-to-text:t">
                <w:txbxContent>
                  <w:p w:rsidR="00626513" w:rsidRDefault="00626513" w:rsidP="00D23C8A">
                    <w:pPr>
                      <w:jc w:val="center"/>
                    </w:pPr>
                    <w:r>
                      <w:rPr>
                        <w:rFonts w:eastAsia="Arial"/>
                        <w:color w:val="000000"/>
                        <w:sz w:val="17"/>
                        <w:szCs w:val="17"/>
                        <w:bdr w:val="nil"/>
                        <w:lang w:val="es-ES_tradnl"/>
                      </w:rPr>
                      <w:t>PARA USO EXCLUSIVO DE LA OMPI</w:t>
                    </w:r>
                  </w:p>
                </w:txbxContent>
              </v:textbox>
              <w10:wrap anchorx="margin" anchory="margin"/>
            </v:shape>
          </w:pict>
        </mc:Fallback>
      </mc:AlternateContent>
    </w:r>
  </w:p>
  <w:bookmarkEnd w:id="9"/>
  <w:p w:rsidR="00626513" w:rsidRDefault="00626513" w:rsidP="00D23C8A">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6C358A" w:rsidRDefault="00626513" w:rsidP="00D23C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E2647A" w:rsidRDefault="00626513" w:rsidP="00E2647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49376E" w:rsidRDefault="00626513" w:rsidP="00D23C8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49376E" w:rsidRDefault="00626513" w:rsidP="00D23C8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9" w:name="TITUS5FooterEvenPages"/>
  <w:p w:rsidR="00626513" w:rsidRDefault="00626513">
    <w:pPr>
      <w:pStyle w:val="Footer"/>
      <w:jc w:val="center"/>
      <w:rPr>
        <w:color w:val="000000"/>
        <w:sz w:val="17"/>
      </w:rPr>
    </w:pPr>
    <w:r>
      <w:rPr>
        <w:noProof/>
        <w:color w:val="000000"/>
        <w:sz w:val="17"/>
        <w:lang w:val="en-US" w:eastAsia="en-US"/>
      </w:rPr>
      <mc:AlternateContent>
        <mc:Choice Requires="wps">
          <w:drawing>
            <wp:anchor distT="558800" distB="0" distL="114300" distR="114300" simplePos="0" relativeHeight="251660288" behindDoc="0" locked="0" layoutInCell="0" allowOverlap="1" wp14:anchorId="051B6271" wp14:editId="069C4479">
              <wp:simplePos x="0" y="0"/>
              <wp:positionH relativeFrom="margin">
                <wp:align>center</wp:align>
              </wp:positionH>
              <wp:positionV relativeFrom="bottomMargin">
                <wp:posOffset>558800</wp:posOffset>
              </wp:positionV>
              <wp:extent cx="1826895" cy="221615"/>
              <wp:effectExtent l="0" t="0" r="1905" b="635"/>
              <wp:wrapNone/>
              <wp:docPr id="2"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6895" cy="2216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3" w:rsidRDefault="00626513" w:rsidP="00D23C8A">
                          <w:pPr>
                            <w:jc w:val="center"/>
                          </w:pPr>
                          <w:r>
                            <w:rPr>
                              <w:rFonts w:eastAsia="Arial"/>
                              <w:color w:val="000000"/>
                              <w:sz w:val="17"/>
                              <w:szCs w:val="17"/>
                              <w:bdr w:val="nil"/>
                              <w:lang w:val="es-ES_tradnl"/>
                            </w:rPr>
                            <w:t>PARA USO EXCLUSIVO DE LA OMPI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4footer" o:spid="_x0000_s1030" type="#_x0000_t202" style="position:absolute;left:0;text-align:left;margin-left:0;margin-top:44pt;width:143.85pt;height:17.45pt;z-index:251660288;visibility:visible;mso-wrap-style:non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" o:allowincell="f" filled="f" fillcolor="black" stroked="f" strokeweight=".5pt">
              <v:textbox style="mso-fit-shape-to-text:t">
                <w:txbxContent>
                  <w:p w:rsidR="00626513" w:rsidRDefault="00626513" w:rsidP="00D23C8A">
                    <w:pPr>
                      <w:jc w:val="center"/>
                    </w:pPr>
                    <w:r>
                      <w:rPr>
                        <w:rFonts w:eastAsia="Arial"/>
                        <w:color w:val="000000"/>
                        <w:sz w:val="17"/>
                        <w:szCs w:val="17"/>
                        <w:bdr w:val="nil"/>
                        <w:lang w:val="es-ES_tradnl"/>
                      </w:rPr>
                      <w:t>PARA USO EXCLUSIVO DE LA OMPI</w:t>
                    </w:r>
                  </w:p>
                </w:txbxContent>
              </v:textbox>
              <w10:wrap anchorx="margin" anchory="margin"/>
            </v:shape>
          </w:pict>
        </mc:Fallback>
      </mc:AlternateContent>
    </w:r>
  </w:p>
  <w:bookmarkEnd w:id="49"/>
  <w:p w:rsidR="00626513" w:rsidRDefault="00626513" w:rsidP="00D23C8A">
    <w:pPr>
      <w:pStyle w:val="Footer"/>
      <w:jc w:val="center"/>
      <w:rPr>
        <w:color w:val="000000"/>
        <w:sz w:val="17"/>
      </w:rPr>
    </w:pPr>
  </w:p>
  <w:p w:rsidR="00626513" w:rsidRDefault="00626513" w:rsidP="00D23C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13" w:rsidRDefault="00626513">
      <w:r>
        <w:separator/>
      </w:r>
    </w:p>
  </w:footnote>
  <w:footnote w:type="continuationSeparator" w:id="0">
    <w:p w:rsidR="00626513" w:rsidRDefault="00626513" w:rsidP="00D23C8A">
      <w:r>
        <w:separator/>
      </w:r>
    </w:p>
    <w:p w:rsidR="00626513" w:rsidRPr="00E2647A" w:rsidRDefault="00626513" w:rsidP="00D23C8A">
      <w:pPr>
        <w:spacing w:after="60"/>
        <w:rPr>
          <w:sz w:val="17"/>
          <w:szCs w:val="17"/>
          <w:lang w:val="en-US"/>
        </w:rPr>
      </w:pPr>
      <w:r w:rsidRPr="00E2647A">
        <w:rPr>
          <w:sz w:val="17"/>
          <w:szCs w:val="17"/>
          <w:lang w:val="en-US"/>
        </w:rPr>
        <w:t>[Footnote continued from previous page]</w:t>
      </w:r>
    </w:p>
  </w:footnote>
  <w:footnote w:type="continuationNotice" w:id="1">
    <w:p w:rsidR="00626513" w:rsidRPr="00E2647A" w:rsidRDefault="00626513" w:rsidP="00D23C8A">
      <w:pPr>
        <w:spacing w:before="60"/>
        <w:jc w:val="right"/>
        <w:rPr>
          <w:sz w:val="17"/>
          <w:szCs w:val="17"/>
          <w:lang w:val="en-US"/>
        </w:rPr>
      </w:pPr>
      <w:r w:rsidRPr="00E2647A">
        <w:rPr>
          <w:sz w:val="17"/>
          <w:szCs w:val="17"/>
          <w:lang w:val="en-US"/>
        </w:rPr>
        <w:t>[Footnote continued on next page]</w:t>
      </w:r>
    </w:p>
  </w:footnote>
  <w:footnote w:id="2">
    <w:p w:rsidR="00626513" w:rsidRPr="00012317" w:rsidRDefault="00626513" w:rsidP="00D23C8A">
      <w:pPr>
        <w:pStyle w:val="FootnoteText"/>
        <w:rPr>
          <w:lang w:val="es-ES"/>
        </w:rPr>
      </w:pPr>
      <w:r>
        <w:rPr>
          <w:rStyle w:val="FootnoteReference"/>
        </w:rPr>
        <w:footnoteRef/>
      </w:r>
      <w:r>
        <w:rPr>
          <w:rFonts w:eastAsia="Arial"/>
          <w:szCs w:val="18"/>
          <w:bdr w:val="nil"/>
          <w:lang w:val="es-ES_tradnl"/>
        </w:rPr>
        <w:t xml:space="preserve"> </w:t>
      </w:r>
      <w:r w:rsidRPr="00DD6BD7">
        <w:rPr>
          <w:rFonts w:eastAsia="Arial"/>
          <w:szCs w:val="18"/>
          <w:bdr w:val="nil"/>
          <w:lang w:val="es-ES_tradnl"/>
        </w:rPr>
        <w:t>Véanse los párrafos 44 y 45 de la Carta de Supervisión Interna</w:t>
      </w:r>
      <w:r>
        <w:rPr>
          <w:rFonts w:eastAsia="Arial"/>
          <w:color w:val="808080"/>
          <w:szCs w:val="18"/>
          <w:bdr w:val="nil"/>
          <w:lang w:val="es-ES_tradnl"/>
        </w:rPr>
        <w:t>.</w:t>
      </w:r>
    </w:p>
  </w:footnote>
  <w:footnote w:id="3">
    <w:p w:rsidR="00626513" w:rsidRPr="00DD6BD7" w:rsidRDefault="00626513" w:rsidP="00D23C8A">
      <w:pPr>
        <w:pStyle w:val="FootnoteText"/>
        <w:rPr>
          <w:lang w:val="es-ES"/>
        </w:rPr>
      </w:pPr>
      <w:r>
        <w:rPr>
          <w:rStyle w:val="FootnoteReference"/>
        </w:rPr>
        <w:footnoteRef/>
      </w:r>
      <w:r>
        <w:rPr>
          <w:rFonts w:eastAsia="Arial"/>
          <w:szCs w:val="18"/>
          <w:bdr w:val="nil"/>
          <w:lang w:val="es-ES_tradnl"/>
        </w:rPr>
        <w:t xml:space="preserve"> </w:t>
      </w:r>
      <w:r w:rsidRPr="00DD6BD7">
        <w:rPr>
          <w:rFonts w:eastAsia="Arial"/>
          <w:szCs w:val="18"/>
          <w:bdr w:val="nil"/>
          <w:lang w:val="es-ES_tradnl"/>
        </w:rPr>
        <w:t>La lista de los informes figura en el Anexo I.</w:t>
      </w:r>
    </w:p>
  </w:footnote>
  <w:footnote w:id="4">
    <w:p w:rsidR="00626513" w:rsidRPr="00DD6BD7" w:rsidRDefault="00626513" w:rsidP="00D23C8A">
      <w:pPr>
        <w:pStyle w:val="FootnoteText"/>
        <w:rPr>
          <w:lang w:val="es-ES"/>
        </w:rPr>
      </w:pPr>
      <w:r w:rsidRPr="00DD6BD7">
        <w:rPr>
          <w:rStyle w:val="FootnoteReference"/>
        </w:rPr>
        <w:footnoteRef/>
      </w:r>
      <w:r w:rsidRPr="00DD6BD7">
        <w:rPr>
          <w:rFonts w:eastAsia="Arial"/>
          <w:szCs w:val="18"/>
          <w:bdr w:val="nil"/>
          <w:lang w:val="es-ES_tradnl"/>
        </w:rPr>
        <w:t xml:space="preserve"> TeamCentral©, que es un módulo de TeamMate, es un programa informático especializado en la labor de auditoría que incluye diversos módulos funcionales como la gestión de documentos de trabajo electrónicos, el seguimiento de las recomendaciones, la evaluación de riesgos y la programación de los plazos.</w:t>
      </w:r>
    </w:p>
  </w:footnote>
  <w:footnote w:id="5">
    <w:p w:rsidR="00626513" w:rsidRPr="00031392" w:rsidRDefault="00626513" w:rsidP="00D23C8A">
      <w:pPr>
        <w:pStyle w:val="FootnoteText"/>
        <w:rPr>
          <w:lang w:val="pt-PT"/>
        </w:rPr>
      </w:pPr>
      <w:r>
        <w:rPr>
          <w:rStyle w:val="FootnoteReference"/>
        </w:rPr>
        <w:footnoteRef/>
      </w:r>
      <w:r>
        <w:rPr>
          <w:rFonts w:eastAsia="Arial"/>
          <w:szCs w:val="18"/>
          <w:bdr w:val="nil"/>
          <w:lang w:val="es-ES_tradnl"/>
        </w:rPr>
        <w:t xml:space="preserve"> IA 2012-02</w:t>
      </w:r>
    </w:p>
  </w:footnote>
  <w:footnote w:id="6">
    <w:p w:rsidR="00626513" w:rsidRPr="00DD6BD7" w:rsidRDefault="00626513" w:rsidP="00D23C8A">
      <w:pPr>
        <w:pStyle w:val="FootnoteText"/>
        <w:rPr>
          <w:lang w:val="es-ES_tradnl"/>
        </w:rPr>
      </w:pPr>
      <w:r>
        <w:rPr>
          <w:rStyle w:val="FootnoteReference"/>
        </w:rPr>
        <w:footnoteRef/>
      </w:r>
      <w:r>
        <w:rPr>
          <w:rFonts w:eastAsia="Arial"/>
          <w:szCs w:val="18"/>
          <w:bdr w:val="nil"/>
          <w:lang w:val="es-ES_tradnl"/>
        </w:rPr>
        <w:t xml:space="preserve"> </w:t>
      </w:r>
      <w:r w:rsidRPr="00DD6BD7">
        <w:rPr>
          <w:rFonts w:eastAsia="Arial"/>
          <w:szCs w:val="18"/>
          <w:bdr w:val="nil"/>
          <w:lang w:val="es-ES_tradnl"/>
        </w:rPr>
        <w:t>Véanse los párrafos 18, 19, 21, 22 y 23 de la Carta de Supervisión Interna.</w:t>
      </w:r>
    </w:p>
  </w:footnote>
  <w:footnote w:id="7">
    <w:p w:rsidR="00626513" w:rsidRPr="000B308E" w:rsidRDefault="00626513" w:rsidP="00D23C8A">
      <w:pPr>
        <w:pStyle w:val="FootnoteText"/>
        <w:rPr>
          <w:lang w:val="es-ES_tradnl"/>
        </w:rPr>
      </w:pPr>
      <w:r w:rsidRPr="000B308E">
        <w:rPr>
          <w:rStyle w:val="FootnoteReference"/>
        </w:rPr>
        <w:footnoteRef/>
      </w:r>
      <w:r w:rsidRPr="000B308E">
        <w:rPr>
          <w:rFonts w:eastAsia="Arial"/>
          <w:szCs w:val="18"/>
          <w:bdr w:val="nil"/>
          <w:lang w:val="es-ES_tradnl"/>
        </w:rPr>
        <w:t xml:space="preserve"> Véase el párrafo 42 de la Carta de Supervisión Interna.</w:t>
      </w:r>
    </w:p>
  </w:footnote>
  <w:footnote w:id="8">
    <w:p w:rsidR="00626513" w:rsidRPr="000B308E" w:rsidRDefault="00626513" w:rsidP="00D23C8A">
      <w:pPr>
        <w:pStyle w:val="FootnoteText"/>
        <w:rPr>
          <w:lang w:val="es-ES_tradnl"/>
        </w:rPr>
      </w:pPr>
      <w:r w:rsidRPr="000B308E">
        <w:rPr>
          <w:rStyle w:val="FootnoteReference"/>
        </w:rPr>
        <w:footnoteRef/>
      </w:r>
      <w:r w:rsidRPr="000B308E">
        <w:rPr>
          <w:rFonts w:eastAsia="Arial"/>
          <w:szCs w:val="18"/>
          <w:bdr w:val="nil"/>
          <w:lang w:val="es-ES_tradnl"/>
        </w:rPr>
        <w:t xml:space="preserve"> Véase la Orden de servicio 16/2010, párrafo 7.</w:t>
      </w:r>
    </w:p>
  </w:footnote>
  <w:footnote w:id="9">
    <w:p w:rsidR="00626513" w:rsidRPr="000B308E" w:rsidRDefault="00626513" w:rsidP="00D23C8A">
      <w:pPr>
        <w:pStyle w:val="FootnoteText"/>
        <w:rPr>
          <w:lang w:val="es-ES"/>
        </w:rPr>
      </w:pPr>
      <w:r w:rsidRPr="000B308E">
        <w:rPr>
          <w:rStyle w:val="FootnoteReference"/>
        </w:rPr>
        <w:footnoteRef/>
      </w:r>
      <w:r w:rsidRPr="000B308E">
        <w:rPr>
          <w:rFonts w:eastAsia="Arial"/>
          <w:szCs w:val="18"/>
          <w:bdr w:val="nil"/>
          <w:lang w:val="es-ES_tradnl"/>
        </w:rPr>
        <w:t xml:space="preserve"> Véase la Orden de servicio 16/2010, párrafo 8.</w:t>
      </w:r>
    </w:p>
  </w:footnote>
  <w:footnote w:id="10">
    <w:p w:rsidR="00626513" w:rsidRPr="000B308E" w:rsidRDefault="00626513">
      <w:pPr>
        <w:pStyle w:val="FootnoteText"/>
        <w:rPr>
          <w:lang w:val="es-ES_tradnl"/>
        </w:rPr>
      </w:pPr>
      <w:r>
        <w:rPr>
          <w:rStyle w:val="FootnoteReference"/>
        </w:rPr>
        <w:footnoteRef/>
      </w:r>
      <w:r>
        <w:rPr>
          <w:rFonts w:eastAsia="Arial"/>
          <w:szCs w:val="18"/>
          <w:bdr w:val="nil"/>
          <w:lang w:val="es-ES_tradnl"/>
        </w:rPr>
        <w:t xml:space="preserve"> </w:t>
      </w:r>
      <w:proofErr w:type="spellStart"/>
      <w:r w:rsidRP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w:t>
      </w:r>
      <w:r w:rsidRPr="000B308E">
        <w:rPr>
          <w:rFonts w:eastAsia="Arial"/>
          <w:szCs w:val="18"/>
          <w:bdr w:val="nil"/>
          <w:lang w:val="es-ES_tradnl"/>
        </w:rPr>
        <w:t xml:space="preserve">: Derecho de patentes; </w:t>
      </w:r>
      <w:proofErr w:type="spellStart"/>
      <w:r w:rsidRP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w:t>
      </w:r>
      <w:r w:rsidRPr="000B308E">
        <w:rPr>
          <w:rFonts w:eastAsia="Arial"/>
          <w:szCs w:val="18"/>
          <w:bdr w:val="nil"/>
          <w:lang w:val="es-ES_tradnl"/>
        </w:rPr>
        <w:t xml:space="preserve">: Marcas, diseños industriales e indicaciones geográficas; </w:t>
      </w:r>
      <w:proofErr w:type="spellStart"/>
      <w:r w:rsidRP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3</w:t>
      </w:r>
      <w:r w:rsidRPr="000B308E">
        <w:rPr>
          <w:rFonts w:eastAsia="Arial"/>
          <w:szCs w:val="18"/>
          <w:bdr w:val="nil"/>
          <w:lang w:val="es-ES_tradnl"/>
        </w:rPr>
        <w:t xml:space="preserve">: Derecho de autor y derechos conexos;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4</w:t>
      </w:r>
      <w:r w:rsidRPr="000B308E">
        <w:rPr>
          <w:rFonts w:eastAsia="Arial"/>
          <w:szCs w:val="18"/>
          <w:bdr w:val="nil"/>
          <w:lang w:val="es-ES_tradnl"/>
        </w:rPr>
        <w:t xml:space="preserve">: Conocimientos tradicionales, expresiones culturales tradicionales y recursos genéticos;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5</w:t>
      </w:r>
      <w:r w:rsidRPr="000B308E">
        <w:rPr>
          <w:rFonts w:eastAsia="Arial"/>
          <w:szCs w:val="18"/>
          <w:bdr w:val="nil"/>
          <w:lang w:val="es-ES_tradnl"/>
        </w:rPr>
        <w:t xml:space="preserve">: Sistema del PCT;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6</w:t>
      </w:r>
      <w:r w:rsidRPr="000B308E">
        <w:rPr>
          <w:rFonts w:eastAsia="Arial"/>
          <w:szCs w:val="18"/>
          <w:bdr w:val="nil"/>
          <w:lang w:val="es-ES_tradnl"/>
        </w:rPr>
        <w:t xml:space="preserve">: Sistema de Madrid;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7</w:t>
      </w:r>
      <w:r w:rsidRPr="000B308E">
        <w:rPr>
          <w:rFonts w:eastAsia="Arial"/>
          <w:szCs w:val="18"/>
          <w:bdr w:val="nil"/>
          <w:lang w:val="es-ES_tradnl"/>
        </w:rPr>
        <w:t xml:space="preserve">: Centro de Arbitraje y Mediación;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8: </w:t>
      </w:r>
      <w:r w:rsidRPr="000B308E">
        <w:rPr>
          <w:rFonts w:eastAsia="Arial"/>
          <w:szCs w:val="18"/>
          <w:bdr w:val="nil"/>
          <w:lang w:val="es-ES_tradnl"/>
        </w:rPr>
        <w:t xml:space="preserve">Coordinación de la Agenda para el Desarrollo;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9</w:t>
      </w:r>
      <w:r w:rsidRPr="000B308E">
        <w:rPr>
          <w:rFonts w:eastAsia="Arial"/>
          <w:szCs w:val="18"/>
          <w:bdr w:val="nil"/>
          <w:lang w:val="es-ES_tradnl"/>
        </w:rPr>
        <w:t xml:space="preserve">: Países africanos, árabes, de América Latina y el Caribe, de Asia y el Pacífico, y países menos adelantados;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10</w:t>
      </w:r>
      <w:r w:rsidRPr="000B308E">
        <w:rPr>
          <w:rFonts w:eastAsia="Arial"/>
          <w:szCs w:val="18"/>
          <w:bdr w:val="nil"/>
          <w:lang w:val="es-ES_tradnl"/>
        </w:rPr>
        <w:t xml:space="preserve">: Países con economías en transición y países desarrollados;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11</w:t>
      </w:r>
      <w:r w:rsidRPr="000B308E">
        <w:rPr>
          <w:rFonts w:eastAsia="Arial"/>
          <w:szCs w:val="18"/>
          <w:bdr w:val="nil"/>
          <w:lang w:val="es-ES_tradnl"/>
        </w:rPr>
        <w:t xml:space="preserve">: Academia de la OMPI;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12</w:t>
      </w:r>
      <w:r w:rsidRPr="000B308E">
        <w:rPr>
          <w:rFonts w:eastAsia="Arial"/>
          <w:szCs w:val="18"/>
          <w:bdr w:val="nil"/>
          <w:lang w:val="es-ES_tradnl"/>
        </w:rPr>
        <w:t xml:space="preserve">: Clasificaciones internacionales y normas técnicas;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13</w:t>
      </w:r>
      <w:r w:rsidRPr="000B308E">
        <w:rPr>
          <w:rFonts w:eastAsia="Arial"/>
          <w:szCs w:val="18"/>
          <w:bdr w:val="nil"/>
          <w:lang w:val="es-ES_tradnl"/>
        </w:rPr>
        <w:t xml:space="preserve">: Bases mundiales de datos;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14</w:t>
      </w:r>
      <w:r w:rsidRPr="000B308E">
        <w:rPr>
          <w:rFonts w:eastAsia="Arial"/>
          <w:szCs w:val="18"/>
          <w:bdr w:val="nil"/>
          <w:lang w:val="es-ES_tradnl"/>
        </w:rPr>
        <w:t xml:space="preserve">: Servicios de acceso a la información y a los conocimientos;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15</w:t>
      </w:r>
      <w:r w:rsidRPr="000B308E">
        <w:rPr>
          <w:rFonts w:eastAsia="Arial"/>
          <w:szCs w:val="18"/>
          <w:bdr w:val="nil"/>
          <w:lang w:val="es-ES_tradnl"/>
        </w:rPr>
        <w:t xml:space="preserve">: Soluciones operativas para las oficinas de PI;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16</w:t>
      </w:r>
      <w:r w:rsidRPr="000B308E">
        <w:rPr>
          <w:rFonts w:eastAsia="Arial"/>
          <w:szCs w:val="18"/>
          <w:bdr w:val="nil"/>
          <w:lang w:val="es-ES_tradnl"/>
        </w:rPr>
        <w:t xml:space="preserve">: Economía y estadística;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17</w:t>
      </w:r>
      <w:r w:rsidRPr="000B308E">
        <w:rPr>
          <w:rFonts w:eastAsia="Arial"/>
          <w:szCs w:val="18"/>
          <w:bdr w:val="nil"/>
          <w:lang w:val="es-ES_tradnl"/>
        </w:rPr>
        <w:t xml:space="preserve">: Fomentar el respeto por la PI;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18</w:t>
      </w:r>
      <w:r w:rsidRPr="000B308E">
        <w:rPr>
          <w:rFonts w:eastAsia="Arial"/>
          <w:szCs w:val="18"/>
          <w:bdr w:val="nil"/>
          <w:lang w:val="es-ES_tradnl"/>
        </w:rPr>
        <w:t xml:space="preserve">: La PI y los desafíos mundiales;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19</w:t>
      </w:r>
      <w:r w:rsidRPr="000B308E">
        <w:rPr>
          <w:rFonts w:eastAsia="Arial"/>
          <w:szCs w:val="18"/>
          <w:bdr w:val="nil"/>
          <w:lang w:val="es-ES_tradnl"/>
        </w:rPr>
        <w:t xml:space="preserve">: Comunicaciones;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20</w:t>
      </w:r>
      <w:r w:rsidRPr="000B308E">
        <w:rPr>
          <w:rFonts w:eastAsia="Arial"/>
          <w:szCs w:val="18"/>
          <w:bdr w:val="nil"/>
          <w:lang w:val="es-ES_tradnl"/>
        </w:rPr>
        <w:t xml:space="preserve">: Relaciones exteriores, alianzas y oficinas en el exterior;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21</w:t>
      </w:r>
      <w:r w:rsidRPr="000B308E">
        <w:rPr>
          <w:rFonts w:eastAsia="Arial"/>
          <w:szCs w:val="18"/>
          <w:bdr w:val="nil"/>
          <w:lang w:val="es-ES_tradnl"/>
        </w:rPr>
        <w:t xml:space="preserve">: Gestión ejecutiva;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22</w:t>
      </w:r>
      <w:r w:rsidRPr="000B308E">
        <w:rPr>
          <w:rFonts w:eastAsia="Arial"/>
          <w:szCs w:val="18"/>
          <w:bdr w:val="nil"/>
          <w:lang w:val="es-ES_tradnl"/>
        </w:rPr>
        <w:t xml:space="preserve">: Gestión de </w:t>
      </w:r>
      <w:r w:rsidR="000B308E">
        <w:rPr>
          <w:rFonts w:eastAsia="Arial"/>
          <w:szCs w:val="18"/>
          <w:bdr w:val="nil"/>
          <w:lang w:val="es-ES_tradnl"/>
        </w:rPr>
        <w:t>programa</w:t>
      </w:r>
      <w:r w:rsidR="000B308E" w:rsidRPr="000B308E">
        <w:rPr>
          <w:rFonts w:eastAsia="Arial"/>
          <w:szCs w:val="18"/>
          <w:bdr w:val="nil"/>
          <w:lang w:val="es-ES_tradnl"/>
        </w:rPr>
        <w:t xml:space="preserve">s </w:t>
      </w:r>
      <w:r w:rsidRPr="000B308E">
        <w:rPr>
          <w:rFonts w:eastAsia="Arial"/>
          <w:szCs w:val="18"/>
          <w:bdr w:val="nil"/>
          <w:lang w:val="es-ES_tradnl"/>
        </w:rPr>
        <w:t xml:space="preserve">y recursos;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23</w:t>
      </w:r>
      <w:r w:rsidRPr="000B308E">
        <w:rPr>
          <w:rFonts w:eastAsia="Arial"/>
          <w:szCs w:val="18"/>
          <w:bdr w:val="nil"/>
          <w:lang w:val="es-ES_tradnl"/>
        </w:rPr>
        <w:t xml:space="preserve">: Gestión y desarrollo de los recursos humanos;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24</w:t>
      </w:r>
      <w:r w:rsidRPr="000B308E">
        <w:rPr>
          <w:rFonts w:eastAsia="Arial"/>
          <w:szCs w:val="18"/>
          <w:bdr w:val="nil"/>
          <w:lang w:val="es-ES_tradnl"/>
        </w:rPr>
        <w:t xml:space="preserve">: Servicios generales de apoyo;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25</w:t>
      </w:r>
      <w:r w:rsidRPr="000B308E">
        <w:rPr>
          <w:rFonts w:eastAsia="Arial"/>
          <w:szCs w:val="18"/>
          <w:bdr w:val="nil"/>
          <w:lang w:val="es-ES_tradnl"/>
        </w:rPr>
        <w:t xml:space="preserve">: Tecnologías de la información y de las comunicaciones;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26</w:t>
      </w:r>
      <w:r w:rsidRPr="000B308E">
        <w:rPr>
          <w:rFonts w:eastAsia="Arial"/>
          <w:szCs w:val="18"/>
          <w:bdr w:val="nil"/>
          <w:lang w:val="es-ES_tradnl"/>
        </w:rPr>
        <w:t xml:space="preserve">: Supervisión interna;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27</w:t>
      </w:r>
      <w:r w:rsidRPr="000B308E">
        <w:rPr>
          <w:rFonts w:eastAsia="Arial"/>
          <w:szCs w:val="18"/>
          <w:bdr w:val="nil"/>
          <w:lang w:val="es-ES_tradnl"/>
        </w:rPr>
        <w:t xml:space="preserve">: Servicios de conferencias y lingüísticos;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28</w:t>
      </w:r>
      <w:r w:rsidRPr="000B308E">
        <w:rPr>
          <w:rFonts w:eastAsia="Arial"/>
          <w:szCs w:val="18"/>
          <w:bdr w:val="nil"/>
          <w:lang w:val="es-ES_tradnl"/>
        </w:rPr>
        <w:t xml:space="preserve">: Aseguramiento de la información, seguridad y vigilancia;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30</w:t>
      </w:r>
      <w:r w:rsidRPr="000B308E">
        <w:rPr>
          <w:rFonts w:eastAsia="Arial"/>
          <w:szCs w:val="18"/>
          <w:bdr w:val="nil"/>
          <w:lang w:val="es-ES_tradnl"/>
        </w:rPr>
        <w:t xml:space="preserve">: Apoyo a las pequeñas y medianas empresas (pymes) y a la capacidad empresarial;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31</w:t>
      </w:r>
      <w:r w:rsidRPr="000B308E">
        <w:rPr>
          <w:rFonts w:eastAsia="Arial"/>
          <w:szCs w:val="18"/>
          <w:bdr w:val="nil"/>
          <w:lang w:val="es-ES_tradnl"/>
        </w:rPr>
        <w:t xml:space="preserve">: Sistema de la Haya; </w:t>
      </w:r>
      <w:proofErr w:type="spellStart"/>
      <w:r w:rsidR="000B308E">
        <w:rPr>
          <w:rFonts w:eastAsia="Arial"/>
          <w:b/>
          <w:bCs/>
          <w:szCs w:val="18"/>
          <w:bdr w:val="nil"/>
          <w:lang w:val="es-ES_tradnl"/>
        </w:rPr>
        <w:t>Prog</w:t>
      </w:r>
      <w:proofErr w:type="spellEnd"/>
      <w:r w:rsidR="000B308E">
        <w:rPr>
          <w:rFonts w:eastAsia="Arial"/>
          <w:b/>
          <w:bCs/>
          <w:szCs w:val="18"/>
          <w:bdr w:val="nil"/>
          <w:lang w:val="es-ES_tradnl"/>
        </w:rPr>
        <w:t>.</w:t>
      </w:r>
      <w:r w:rsidRPr="000B308E">
        <w:rPr>
          <w:rFonts w:eastAsia="Arial"/>
          <w:b/>
          <w:bCs/>
          <w:szCs w:val="18"/>
          <w:bdr w:val="nil"/>
          <w:lang w:val="es-ES_tradnl"/>
        </w:rPr>
        <w:t xml:space="preserve"> 32</w:t>
      </w:r>
      <w:r w:rsidRPr="000B308E">
        <w:rPr>
          <w:rFonts w:eastAsia="Arial"/>
          <w:szCs w:val="18"/>
          <w:bdr w:val="nil"/>
          <w:lang w:val="es-ES_tradnl"/>
        </w:rPr>
        <w:t>: Sistema de Lisboa.</w:t>
      </w:r>
    </w:p>
  </w:footnote>
  <w:footnote w:id="11">
    <w:p w:rsidR="00626513" w:rsidRPr="00DF7268" w:rsidRDefault="00626513" w:rsidP="00D23C8A">
      <w:pPr>
        <w:pStyle w:val="FootnoteText"/>
        <w:rPr>
          <w:lang w:val="es-ES"/>
        </w:rPr>
      </w:pPr>
      <w:r w:rsidRPr="00DF7268">
        <w:rPr>
          <w:rStyle w:val="FootnoteReference"/>
        </w:rPr>
        <w:footnoteRef/>
      </w:r>
      <w:r w:rsidRPr="00DF7268">
        <w:rPr>
          <w:rFonts w:eastAsia="Arial"/>
          <w:szCs w:val="18"/>
          <w:bdr w:val="nil"/>
          <w:lang w:val="es-ES_tradnl"/>
        </w:rPr>
        <w:t xml:space="preserve"> Véase la Carta de Supervisión Interna, párrafo 26.g)</w:t>
      </w:r>
    </w:p>
  </w:footnote>
  <w:footnote w:id="12">
    <w:p w:rsidR="00626513" w:rsidRPr="00DF7268" w:rsidRDefault="00626513" w:rsidP="00D23C8A">
      <w:pPr>
        <w:pStyle w:val="FootnoteText"/>
        <w:rPr>
          <w:lang w:val="es-ES"/>
        </w:rPr>
      </w:pPr>
      <w:r w:rsidRPr="00DF7268">
        <w:rPr>
          <w:rStyle w:val="FootnoteReference"/>
        </w:rPr>
        <w:footnoteRef/>
      </w:r>
      <w:r w:rsidRPr="00DF7268">
        <w:rPr>
          <w:rFonts w:eastAsia="Arial"/>
          <w:szCs w:val="18"/>
          <w:bdr w:val="nil"/>
          <w:lang w:val="es-ES_tradnl"/>
        </w:rPr>
        <w:t xml:space="preserve"> Véase la Carta de Supervisión Interna, párrafo 45.i).</w:t>
      </w:r>
    </w:p>
  </w:footnote>
  <w:footnote w:id="13">
    <w:p w:rsidR="00626513" w:rsidRPr="00E2647A" w:rsidRDefault="00626513">
      <w:pPr>
        <w:pStyle w:val="FootnoteText"/>
        <w:rPr>
          <w:lang w:val="es-ES_tradnl"/>
        </w:rPr>
      </w:pPr>
      <w:r>
        <w:rPr>
          <w:rStyle w:val="FootnoteReference"/>
        </w:rPr>
        <w:footnoteRef/>
      </w:r>
      <w:r>
        <w:rPr>
          <w:rFonts w:eastAsia="Arial"/>
          <w:szCs w:val="18"/>
          <w:bdr w:val="nil"/>
          <w:lang w:val="es-ES_tradnl"/>
        </w:rPr>
        <w:t xml:space="preserve"> Este porcentaje se basa en el presupuesto después de transferir la cifra de la DSI.</w:t>
      </w:r>
    </w:p>
  </w:footnote>
  <w:footnote w:id="14">
    <w:p w:rsidR="00626513" w:rsidRPr="00E2647A" w:rsidRDefault="00626513">
      <w:pPr>
        <w:pStyle w:val="FootnoteText"/>
        <w:rPr>
          <w:lang w:val="es-ES_tradnl"/>
        </w:rPr>
      </w:pPr>
      <w:r>
        <w:rPr>
          <w:rStyle w:val="FootnoteReference"/>
        </w:rPr>
        <w:footnoteRef/>
      </w:r>
      <w:r>
        <w:rPr>
          <w:rFonts w:eastAsia="Arial"/>
          <w:szCs w:val="18"/>
          <w:bdr w:val="nil"/>
          <w:lang w:val="es-ES_tradnl"/>
        </w:rPr>
        <w:t xml:space="preserve"> Cifras en miles de francos suizos.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Default="00626513" w:rsidP="00D23C8A">
    <w:pPr>
      <w:jc w:val="center"/>
      <w:rPr>
        <w:color w:val="000000"/>
        <w:sz w:val="17"/>
      </w:rPr>
    </w:pPr>
  </w:p>
  <w:p w:rsidR="00626513" w:rsidRDefault="00626513" w:rsidP="00D23C8A">
    <w:pPr>
      <w:jc w:val="right"/>
    </w:pPr>
    <w:r>
      <w:rPr>
        <w:rFonts w:eastAsia="Arial"/>
        <w:szCs w:val="22"/>
        <w:bdr w:val="nil"/>
        <w:lang w:val="es-ES_tradnl"/>
      </w:rPr>
      <w:t>WO/GA/46/</w:t>
    </w:r>
  </w:p>
  <w:p w:rsidR="00626513" w:rsidRDefault="00626513" w:rsidP="00D23C8A">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CB098C">
      <w:rPr>
        <w:noProof/>
      </w:rPr>
      <w:t>21</w:t>
    </w:r>
    <w:r>
      <w:fldChar w:fldCharType="end"/>
    </w:r>
  </w:p>
  <w:p w:rsidR="00626513" w:rsidRDefault="00626513" w:rsidP="00D23C8A">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Default="00626513">
    <w:pPr>
      <w:jc w:val="center"/>
      <w:rPr>
        <w:color w:val="000000"/>
        <w:sz w:val="17"/>
      </w:rPr>
    </w:pPr>
    <w:bookmarkStart w:id="48" w:name="TITUS5HeaderPrimary"/>
  </w:p>
  <w:p w:rsidR="00626513" w:rsidRDefault="00626513">
    <w:pPr>
      <w:jc w:val="center"/>
      <w:rPr>
        <w:color w:val="000000"/>
        <w:sz w:val="17"/>
      </w:rPr>
    </w:pPr>
  </w:p>
  <w:bookmarkEnd w:id="48"/>
  <w:p w:rsidR="00626513" w:rsidRDefault="00626513" w:rsidP="00D23C8A">
    <w:pPr>
      <w:jc w:val="center"/>
      <w:rPr>
        <w:color w:val="000000"/>
        <w:sz w:val="17"/>
      </w:rPr>
    </w:pPr>
  </w:p>
  <w:p w:rsidR="00626513" w:rsidRPr="00F87303" w:rsidRDefault="00626513" w:rsidP="00D23C8A">
    <w:pPr>
      <w:jc w:val="right"/>
    </w:pPr>
    <w:r>
      <w:rPr>
        <w:rFonts w:eastAsia="Arial"/>
        <w:szCs w:val="22"/>
        <w:bdr w:val="nil"/>
        <w:lang w:val="es-ES_tradnl"/>
      </w:rPr>
      <w:t>WO/PBC/28/5</w:t>
    </w:r>
  </w:p>
  <w:p w:rsidR="00626513" w:rsidRPr="00E365E6" w:rsidRDefault="00626513" w:rsidP="00D23C8A">
    <w:pPr>
      <w:pStyle w:val="Heade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CB098C">
      <w:rPr>
        <w:noProof/>
      </w:rPr>
      <w:t>21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524915" w:rsidRDefault="00626513" w:rsidP="00D23C8A">
    <w:pPr>
      <w:jc w:val="right"/>
      <w:rPr>
        <w:lang w:val="fr-FR"/>
      </w:rPr>
    </w:pPr>
    <w:r>
      <w:rPr>
        <w:rFonts w:eastAsia="Arial"/>
        <w:szCs w:val="22"/>
        <w:bdr w:val="nil"/>
        <w:lang w:val="es-ES_tradnl"/>
      </w:rPr>
      <w:t>WO/PBC/28/5</w:t>
    </w:r>
  </w:p>
  <w:p w:rsidR="00626513" w:rsidRPr="00524915" w:rsidRDefault="00626513" w:rsidP="00D23C8A">
    <w:pPr>
      <w:pStyle w:val="Header"/>
      <w:jc w:val="right"/>
      <w:rPr>
        <w:lang w:val="fr-FR"/>
      </w:rPr>
    </w:pPr>
    <w:r>
      <w:rPr>
        <w:rFonts w:eastAsia="Arial"/>
        <w:szCs w:val="22"/>
        <w:bdr w:val="nil"/>
        <w:lang w:val="es-ES_tradnl"/>
      </w:rPr>
      <w:t>ANEXO</w:t>
    </w:r>
  </w:p>
  <w:p w:rsidR="00626513" w:rsidRPr="00524915" w:rsidRDefault="00626513" w:rsidP="00E2647A">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Default="00626513" w:rsidP="00D23C8A">
    <w:pPr>
      <w:jc w:val="right"/>
    </w:pPr>
    <w:bookmarkStart w:id="5" w:name="Code2"/>
    <w:bookmarkEnd w:id="5"/>
    <w:r>
      <w:rPr>
        <w:rFonts w:eastAsia="Arial"/>
        <w:szCs w:val="22"/>
        <w:bdr w:val="nil"/>
        <w:lang w:val="es-ES_tradnl"/>
      </w:rPr>
      <w:t>WO/GA/46/</w:t>
    </w:r>
  </w:p>
  <w:p w:rsidR="00626513" w:rsidRDefault="00626513" w:rsidP="00D23C8A">
    <w:pPr>
      <w:jc w:val="center"/>
      <w:rPr>
        <w:color w:val="000000"/>
        <w:sz w:val="17"/>
      </w:rPr>
    </w:pPr>
  </w:p>
  <w:p w:rsidR="00626513" w:rsidRDefault="00626513" w:rsidP="00D23C8A">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CB098C">
      <w:rPr>
        <w:noProof/>
      </w:rPr>
      <w:t>21</w:t>
    </w:r>
    <w:r>
      <w:fldChar w:fldCharType="end"/>
    </w:r>
  </w:p>
  <w:p w:rsidR="00626513" w:rsidRDefault="00626513" w:rsidP="00D23C8A">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Default="00626513" w:rsidP="00D23C8A">
    <w:pPr>
      <w:jc w:val="center"/>
      <w:rPr>
        <w:color w:val="000000"/>
        <w:sz w:val="17"/>
      </w:rPr>
    </w:pPr>
  </w:p>
  <w:p w:rsidR="00626513" w:rsidRDefault="00626513" w:rsidP="00D23C8A">
    <w:pPr>
      <w:jc w:val="right"/>
    </w:pPr>
    <w:r>
      <w:rPr>
        <w:rFonts w:eastAsia="Arial"/>
        <w:szCs w:val="22"/>
        <w:bdr w:val="nil"/>
        <w:lang w:val="es-ES_tradnl"/>
      </w:rPr>
      <w:t>WO/GA/46/</w:t>
    </w:r>
  </w:p>
  <w:p w:rsidR="00626513" w:rsidRDefault="00626513" w:rsidP="00D23C8A">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CB098C">
      <w:rPr>
        <w:noProof/>
      </w:rPr>
      <w:t>21</w:t>
    </w:r>
    <w:r>
      <w:fldChar w:fldCharType="end"/>
    </w:r>
  </w:p>
  <w:p w:rsidR="00626513" w:rsidRDefault="00626513" w:rsidP="00D23C8A">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Default="00626513" w:rsidP="00D23C8A">
    <w:pPr>
      <w:jc w:val="center"/>
      <w:rPr>
        <w:color w:val="000000"/>
        <w:sz w:val="17"/>
      </w:rPr>
    </w:pPr>
  </w:p>
  <w:p w:rsidR="00626513" w:rsidRDefault="00626513" w:rsidP="00D23C8A">
    <w:pPr>
      <w:jc w:val="right"/>
    </w:pPr>
    <w:r>
      <w:rPr>
        <w:rFonts w:eastAsia="Arial"/>
        <w:szCs w:val="22"/>
        <w:bdr w:val="nil"/>
        <w:lang w:val="es-ES_tradnl"/>
      </w:rPr>
      <w:t>WO/GA/46/</w:t>
    </w:r>
  </w:p>
  <w:p w:rsidR="00626513" w:rsidRDefault="00626513" w:rsidP="00D23C8A">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CB098C">
      <w:rPr>
        <w:noProof/>
      </w:rPr>
      <w:t>21</w:t>
    </w:r>
    <w:r>
      <w:fldChar w:fldCharType="end"/>
    </w:r>
  </w:p>
  <w:p w:rsidR="00626513" w:rsidRDefault="00626513" w:rsidP="00D23C8A">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49376E" w:rsidRDefault="00626513" w:rsidP="00D23C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6C358A" w:rsidRDefault="00626513" w:rsidP="00D23C8A">
    <w:pPr>
      <w:jc w:val="right"/>
      <w:rPr>
        <w:lang w:val="es-ES"/>
      </w:rPr>
    </w:pPr>
    <w:r>
      <w:rPr>
        <w:rFonts w:eastAsia="Arial"/>
        <w:szCs w:val="22"/>
        <w:bdr w:val="nil"/>
        <w:lang w:val="es-ES_tradnl"/>
      </w:rPr>
      <w:t>WO/PBC/28/5</w:t>
    </w:r>
  </w:p>
  <w:p w:rsidR="00626513" w:rsidRPr="006C358A" w:rsidRDefault="00626513" w:rsidP="00D23C8A">
    <w:pPr>
      <w:pStyle w:val="Header"/>
      <w:jc w:val="right"/>
      <w:rPr>
        <w:noProof/>
        <w:lang w:val="es-ES"/>
      </w:rPr>
    </w:pPr>
    <w:r>
      <w:rPr>
        <w:rFonts w:eastAsia="Arial"/>
        <w:szCs w:val="22"/>
        <w:bdr w:val="nil"/>
        <w:lang w:val="es-ES_tradnl"/>
      </w:rPr>
      <w:t xml:space="preserve">página </w:t>
    </w:r>
    <w:r w:rsidRPr="006C358A">
      <w:rPr>
        <w:lang w:val="es-ES"/>
      </w:rPr>
      <w:fldChar w:fldCharType="begin"/>
    </w:r>
    <w:r w:rsidRPr="006C358A">
      <w:rPr>
        <w:lang w:val="es-ES"/>
      </w:rPr>
      <w:instrText xml:space="preserve"> PAGE  \* MERGEFORMAT </w:instrText>
    </w:r>
    <w:r w:rsidRPr="006C358A">
      <w:rPr>
        <w:lang w:val="es-ES"/>
      </w:rPr>
      <w:fldChar w:fldCharType="separate"/>
    </w:r>
    <w:r w:rsidR="00975342">
      <w:rPr>
        <w:noProof/>
        <w:lang w:val="es-ES"/>
      </w:rPr>
      <w:t>22</w:t>
    </w:r>
    <w:r w:rsidRPr="006C358A">
      <w:rPr>
        <w:noProof/>
        <w:lang w:val="es-ES"/>
      </w:rPr>
      <w:fldChar w:fldCharType="end"/>
    </w:r>
  </w:p>
  <w:p w:rsidR="00626513" w:rsidRPr="006C358A" w:rsidRDefault="00626513" w:rsidP="00D23C8A">
    <w:pPr>
      <w:pStyle w:val="Header"/>
      <w:jc w:val="right"/>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F87303" w:rsidRDefault="00626513" w:rsidP="00D23C8A">
    <w:pPr>
      <w:jc w:val="right"/>
    </w:pPr>
    <w:r>
      <w:rPr>
        <w:rFonts w:eastAsia="Arial"/>
        <w:szCs w:val="22"/>
        <w:bdr w:val="nil"/>
        <w:lang w:val="es-ES_tradnl"/>
      </w:rPr>
      <w:t>WO/PBC/28/5</w:t>
    </w:r>
  </w:p>
  <w:p w:rsidR="00626513" w:rsidRDefault="00626513" w:rsidP="00D23C8A">
    <w:pPr>
      <w:pStyle w:val="Header"/>
      <w:jc w:val="right"/>
      <w:rPr>
        <w:noProof/>
      </w:rPr>
    </w:pPr>
    <w:r>
      <w:rPr>
        <w:rFonts w:eastAsia="Arial"/>
        <w:szCs w:val="22"/>
        <w:bdr w:val="nil"/>
        <w:lang w:val="es-ES_tradnl"/>
      </w:rPr>
      <w:t xml:space="preserve">página </w:t>
    </w:r>
    <w:r>
      <w:fldChar w:fldCharType="begin"/>
    </w:r>
    <w:r>
      <w:instrText xml:space="preserve"> PAGE  \* MERGEFORMAT </w:instrText>
    </w:r>
    <w:r>
      <w:fldChar w:fldCharType="separate"/>
    </w:r>
    <w:r w:rsidR="00975342">
      <w:rPr>
        <w:noProof/>
      </w:rPr>
      <w:t>21</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Pr="006C358A" w:rsidRDefault="00626513" w:rsidP="00D23C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3" w:rsidRDefault="00626513">
    <w:pPr>
      <w:jc w:val="center"/>
      <w:rPr>
        <w:color w:val="000000"/>
        <w:sz w:val="17"/>
      </w:rPr>
    </w:pPr>
    <w:bookmarkStart w:id="47" w:name="TITUS5HeaderEvenPages"/>
  </w:p>
  <w:p w:rsidR="00626513" w:rsidRDefault="00626513">
    <w:pPr>
      <w:jc w:val="center"/>
      <w:rPr>
        <w:color w:val="000000"/>
        <w:sz w:val="17"/>
      </w:rPr>
    </w:pPr>
  </w:p>
  <w:bookmarkEnd w:id="47"/>
  <w:p w:rsidR="00626513" w:rsidRDefault="00626513" w:rsidP="00D23C8A">
    <w:pPr>
      <w:jc w:val="center"/>
      <w:rPr>
        <w:color w:val="000000"/>
        <w:sz w:val="17"/>
      </w:rPr>
    </w:pPr>
  </w:p>
  <w:p w:rsidR="00626513" w:rsidRPr="00F87303" w:rsidRDefault="00626513" w:rsidP="00D23C8A">
    <w:pPr>
      <w:jc w:val="right"/>
    </w:pPr>
    <w:r>
      <w:rPr>
        <w:rFonts w:eastAsia="Arial"/>
        <w:szCs w:val="22"/>
        <w:bdr w:val="nil"/>
        <w:lang w:val="es-ES_tradnl"/>
      </w:rPr>
      <w:t>WO/PBC/28/5</w:t>
    </w:r>
  </w:p>
  <w:p w:rsidR="00626513" w:rsidRPr="00E365E6" w:rsidRDefault="00626513" w:rsidP="00D23C8A">
    <w:pPr>
      <w:pStyle w:val="Heade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CB098C">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AC0"/>
    <w:multiLevelType w:val="hybridMultilevel"/>
    <w:tmpl w:val="91EEBD98"/>
    <w:lvl w:ilvl="0" w:tplc="CBCE2634">
      <w:start w:val="1"/>
      <w:numFmt w:val="decimal"/>
      <w:lvlText w:val="%1)"/>
      <w:lvlJc w:val="left"/>
      <w:pPr>
        <w:ind w:left="720" w:hanging="360"/>
      </w:pPr>
    </w:lvl>
    <w:lvl w:ilvl="1" w:tplc="F5569880" w:tentative="1">
      <w:start w:val="1"/>
      <w:numFmt w:val="lowerLetter"/>
      <w:lvlText w:val="%2."/>
      <w:lvlJc w:val="left"/>
      <w:pPr>
        <w:ind w:left="1440" w:hanging="360"/>
      </w:pPr>
    </w:lvl>
    <w:lvl w:ilvl="2" w:tplc="036460B0" w:tentative="1">
      <w:start w:val="1"/>
      <w:numFmt w:val="lowerRoman"/>
      <w:lvlText w:val="%3."/>
      <w:lvlJc w:val="right"/>
      <w:pPr>
        <w:ind w:left="2160" w:hanging="180"/>
      </w:pPr>
    </w:lvl>
    <w:lvl w:ilvl="3" w:tplc="A9606150" w:tentative="1">
      <w:start w:val="1"/>
      <w:numFmt w:val="decimal"/>
      <w:lvlText w:val="%4."/>
      <w:lvlJc w:val="left"/>
      <w:pPr>
        <w:ind w:left="2880" w:hanging="360"/>
      </w:pPr>
    </w:lvl>
    <w:lvl w:ilvl="4" w:tplc="CC706802" w:tentative="1">
      <w:start w:val="1"/>
      <w:numFmt w:val="lowerLetter"/>
      <w:lvlText w:val="%5."/>
      <w:lvlJc w:val="left"/>
      <w:pPr>
        <w:ind w:left="3600" w:hanging="360"/>
      </w:pPr>
    </w:lvl>
    <w:lvl w:ilvl="5" w:tplc="AC42DDAE" w:tentative="1">
      <w:start w:val="1"/>
      <w:numFmt w:val="lowerRoman"/>
      <w:lvlText w:val="%6."/>
      <w:lvlJc w:val="right"/>
      <w:pPr>
        <w:ind w:left="4320" w:hanging="180"/>
      </w:pPr>
    </w:lvl>
    <w:lvl w:ilvl="6" w:tplc="DE38994A" w:tentative="1">
      <w:start w:val="1"/>
      <w:numFmt w:val="decimal"/>
      <w:lvlText w:val="%7."/>
      <w:lvlJc w:val="left"/>
      <w:pPr>
        <w:ind w:left="5040" w:hanging="360"/>
      </w:pPr>
    </w:lvl>
    <w:lvl w:ilvl="7" w:tplc="52B4245A" w:tentative="1">
      <w:start w:val="1"/>
      <w:numFmt w:val="lowerLetter"/>
      <w:lvlText w:val="%8."/>
      <w:lvlJc w:val="left"/>
      <w:pPr>
        <w:ind w:left="5760" w:hanging="360"/>
      </w:pPr>
    </w:lvl>
    <w:lvl w:ilvl="8" w:tplc="129C582A" w:tentative="1">
      <w:start w:val="1"/>
      <w:numFmt w:val="lowerRoman"/>
      <w:lvlText w:val="%9."/>
      <w:lvlJc w:val="right"/>
      <w:pPr>
        <w:ind w:left="6480" w:hanging="180"/>
      </w:pPr>
    </w:lvl>
  </w:abstractNum>
  <w:abstractNum w:abstractNumId="1">
    <w:nsid w:val="062D13F5"/>
    <w:multiLevelType w:val="hybridMultilevel"/>
    <w:tmpl w:val="A5067B14"/>
    <w:lvl w:ilvl="0" w:tplc="AB9634AE">
      <w:start w:val="1"/>
      <w:numFmt w:val="lowerLetter"/>
      <w:lvlText w:val="(%1)"/>
      <w:lvlJc w:val="left"/>
      <w:pPr>
        <w:ind w:left="720" w:hanging="360"/>
      </w:pPr>
      <w:rPr>
        <w:rFonts w:hint="default"/>
      </w:rPr>
    </w:lvl>
    <w:lvl w:ilvl="1" w:tplc="4DBA6376" w:tentative="1">
      <w:start w:val="1"/>
      <w:numFmt w:val="lowerLetter"/>
      <w:lvlText w:val="%2."/>
      <w:lvlJc w:val="left"/>
      <w:pPr>
        <w:ind w:left="1440" w:hanging="360"/>
      </w:pPr>
    </w:lvl>
    <w:lvl w:ilvl="2" w:tplc="063C667E" w:tentative="1">
      <w:start w:val="1"/>
      <w:numFmt w:val="lowerRoman"/>
      <w:lvlText w:val="%3."/>
      <w:lvlJc w:val="right"/>
      <w:pPr>
        <w:ind w:left="2160" w:hanging="180"/>
      </w:pPr>
    </w:lvl>
    <w:lvl w:ilvl="3" w:tplc="55CE4486" w:tentative="1">
      <w:start w:val="1"/>
      <w:numFmt w:val="decimal"/>
      <w:lvlText w:val="%4."/>
      <w:lvlJc w:val="left"/>
      <w:pPr>
        <w:ind w:left="2880" w:hanging="360"/>
      </w:pPr>
    </w:lvl>
    <w:lvl w:ilvl="4" w:tplc="21949DB6" w:tentative="1">
      <w:start w:val="1"/>
      <w:numFmt w:val="lowerLetter"/>
      <w:lvlText w:val="%5."/>
      <w:lvlJc w:val="left"/>
      <w:pPr>
        <w:ind w:left="3600" w:hanging="360"/>
      </w:pPr>
    </w:lvl>
    <w:lvl w:ilvl="5" w:tplc="D4B0FBBC" w:tentative="1">
      <w:start w:val="1"/>
      <w:numFmt w:val="lowerRoman"/>
      <w:lvlText w:val="%6."/>
      <w:lvlJc w:val="right"/>
      <w:pPr>
        <w:ind w:left="4320" w:hanging="180"/>
      </w:pPr>
    </w:lvl>
    <w:lvl w:ilvl="6" w:tplc="1506D6A0" w:tentative="1">
      <w:start w:val="1"/>
      <w:numFmt w:val="decimal"/>
      <w:lvlText w:val="%7."/>
      <w:lvlJc w:val="left"/>
      <w:pPr>
        <w:ind w:left="5040" w:hanging="360"/>
      </w:pPr>
    </w:lvl>
    <w:lvl w:ilvl="7" w:tplc="55AE830E" w:tentative="1">
      <w:start w:val="1"/>
      <w:numFmt w:val="lowerLetter"/>
      <w:lvlText w:val="%8."/>
      <w:lvlJc w:val="left"/>
      <w:pPr>
        <w:ind w:left="5760" w:hanging="360"/>
      </w:pPr>
    </w:lvl>
    <w:lvl w:ilvl="8" w:tplc="1526AD64" w:tentative="1">
      <w:start w:val="1"/>
      <w:numFmt w:val="lowerRoman"/>
      <w:lvlText w:val="%9."/>
      <w:lvlJc w:val="right"/>
      <w:pPr>
        <w:ind w:left="6480" w:hanging="180"/>
      </w:pPr>
    </w:lvl>
  </w:abstractNum>
  <w:abstractNum w:abstractNumId="2">
    <w:nsid w:val="06CD29E3"/>
    <w:multiLevelType w:val="multilevel"/>
    <w:tmpl w:val="8AE86C52"/>
    <w:lvl w:ilvl="0">
      <w:start w:val="1"/>
      <w:numFmt w:val="decimal"/>
      <w:lvlText w:val="%1."/>
      <w:lvlJc w:val="left"/>
      <w:pPr>
        <w:tabs>
          <w:tab w:val="num" w:pos="7047"/>
        </w:tabs>
        <w:ind w:left="6480" w:firstLine="0"/>
      </w:pPr>
      <w:rPr>
        <w:rFonts w:hint="default"/>
      </w:rPr>
    </w:lvl>
    <w:lvl w:ilvl="1">
      <w:start w:val="1"/>
      <w:numFmt w:val="lowerLetter"/>
      <w:lvlText w:val="(%2)"/>
      <w:lvlJc w:val="left"/>
      <w:pPr>
        <w:tabs>
          <w:tab w:val="num" w:pos="1277"/>
        </w:tabs>
        <w:ind w:left="710"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BCA5574"/>
    <w:multiLevelType w:val="multilevel"/>
    <w:tmpl w:val="2D022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FFB19A2"/>
    <w:multiLevelType w:val="multilevel"/>
    <w:tmpl w:val="962A2EC8"/>
    <w:lvl w:ilvl="0">
      <w:start w:val="1"/>
      <w:numFmt w:val="decimal"/>
      <w:pStyle w:val="ONUMFS"/>
      <w:lvlText w:val="%1."/>
      <w:lvlJc w:val="left"/>
      <w:pPr>
        <w:tabs>
          <w:tab w:val="num" w:pos="567"/>
        </w:tabs>
        <w:ind w:left="0" w:firstLine="0"/>
      </w:pPr>
      <w:rPr>
        <w:b w:val="0"/>
        <w:bCs w:val="0"/>
        <w:i w:val="0"/>
        <w:iCs w:val="0"/>
        <w:caps w:val="0"/>
        <w:smallCaps w:val="0"/>
        <w:strike w:val="0"/>
        <w:dstrike w:val="0"/>
        <w:noProof w:val="0"/>
        <w:vanish w:val="0"/>
        <w:color w:val="auto"/>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140DDE"/>
    <w:multiLevelType w:val="multilevel"/>
    <w:tmpl w:val="07A46D88"/>
    <w:lvl w:ilvl="0">
      <w:start w:val="1"/>
      <w:numFmt w:val="decimal"/>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3B53AD"/>
    <w:multiLevelType w:val="multilevel"/>
    <w:tmpl w:val="07A46D88"/>
    <w:lvl w:ilvl="0">
      <w:start w:val="1"/>
      <w:numFmt w:val="decimal"/>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1C63E0B"/>
    <w:multiLevelType w:val="multilevel"/>
    <w:tmpl w:val="F1C241E0"/>
    <w:lvl w:ilvl="0">
      <w:start w:val="1"/>
      <w:numFmt w:val="decimal"/>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32AC3569"/>
    <w:multiLevelType w:val="multilevel"/>
    <w:tmpl w:val="592692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B196DCA"/>
    <w:multiLevelType w:val="hybridMultilevel"/>
    <w:tmpl w:val="44A61012"/>
    <w:lvl w:ilvl="0" w:tplc="056ECB5C">
      <w:start w:val="1"/>
      <w:numFmt w:val="decimal"/>
      <w:lvlText w:val="%1."/>
      <w:lvlJc w:val="left"/>
      <w:pPr>
        <w:ind w:left="720" w:hanging="360"/>
      </w:pPr>
    </w:lvl>
    <w:lvl w:ilvl="1" w:tplc="0C1CEB26" w:tentative="1">
      <w:start w:val="1"/>
      <w:numFmt w:val="lowerLetter"/>
      <w:lvlText w:val="%2."/>
      <w:lvlJc w:val="left"/>
      <w:pPr>
        <w:ind w:left="1440" w:hanging="360"/>
      </w:pPr>
    </w:lvl>
    <w:lvl w:ilvl="2" w:tplc="C128D2E6" w:tentative="1">
      <w:start w:val="1"/>
      <w:numFmt w:val="lowerRoman"/>
      <w:lvlText w:val="%3."/>
      <w:lvlJc w:val="right"/>
      <w:pPr>
        <w:ind w:left="2160" w:hanging="180"/>
      </w:pPr>
    </w:lvl>
    <w:lvl w:ilvl="3" w:tplc="375E894E" w:tentative="1">
      <w:start w:val="1"/>
      <w:numFmt w:val="decimal"/>
      <w:lvlText w:val="%4."/>
      <w:lvlJc w:val="left"/>
      <w:pPr>
        <w:ind w:left="2880" w:hanging="360"/>
      </w:pPr>
    </w:lvl>
    <w:lvl w:ilvl="4" w:tplc="0C1ABC6C" w:tentative="1">
      <w:start w:val="1"/>
      <w:numFmt w:val="lowerLetter"/>
      <w:lvlText w:val="%5."/>
      <w:lvlJc w:val="left"/>
      <w:pPr>
        <w:ind w:left="3600" w:hanging="360"/>
      </w:pPr>
    </w:lvl>
    <w:lvl w:ilvl="5" w:tplc="33A0F524" w:tentative="1">
      <w:start w:val="1"/>
      <w:numFmt w:val="lowerRoman"/>
      <w:lvlText w:val="%6."/>
      <w:lvlJc w:val="right"/>
      <w:pPr>
        <w:ind w:left="4320" w:hanging="180"/>
      </w:pPr>
    </w:lvl>
    <w:lvl w:ilvl="6" w:tplc="2F8EE00E" w:tentative="1">
      <w:start w:val="1"/>
      <w:numFmt w:val="decimal"/>
      <w:lvlText w:val="%7."/>
      <w:lvlJc w:val="left"/>
      <w:pPr>
        <w:ind w:left="5040" w:hanging="360"/>
      </w:pPr>
    </w:lvl>
    <w:lvl w:ilvl="7" w:tplc="2450748C" w:tentative="1">
      <w:start w:val="1"/>
      <w:numFmt w:val="lowerLetter"/>
      <w:lvlText w:val="%8."/>
      <w:lvlJc w:val="left"/>
      <w:pPr>
        <w:ind w:left="5760" w:hanging="360"/>
      </w:pPr>
    </w:lvl>
    <w:lvl w:ilvl="8" w:tplc="A9047AC2" w:tentative="1">
      <w:start w:val="1"/>
      <w:numFmt w:val="lowerRoman"/>
      <w:lvlText w:val="%9."/>
      <w:lvlJc w:val="right"/>
      <w:pPr>
        <w:ind w:left="6480" w:hanging="180"/>
      </w:pPr>
    </w:lvl>
  </w:abstractNum>
  <w:abstractNum w:abstractNumId="10">
    <w:nsid w:val="414413F5"/>
    <w:multiLevelType w:val="multilevel"/>
    <w:tmpl w:val="07A46D88"/>
    <w:lvl w:ilvl="0">
      <w:start w:val="1"/>
      <w:numFmt w:val="decimal"/>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2E639B5"/>
    <w:multiLevelType w:val="multilevel"/>
    <w:tmpl w:val="32A0B2B4"/>
    <w:lvl w:ilvl="0">
      <w:start w:val="1"/>
      <w:numFmt w:val="decimal"/>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tabs>
          <w:tab w:val="num" w:pos="1134"/>
        </w:tabs>
        <w:ind w:left="567" w:firstLine="0"/>
      </w:pPr>
      <w:rPr>
        <w:rFonts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C8B3C46"/>
    <w:multiLevelType w:val="hybridMultilevel"/>
    <w:tmpl w:val="799E19C6"/>
    <w:lvl w:ilvl="0" w:tplc="909C5218">
      <w:start w:val="1"/>
      <w:numFmt w:val="decimal"/>
      <w:pStyle w:val="ListNumber"/>
      <w:lvlText w:val="03.%1."/>
      <w:lvlJc w:val="left"/>
      <w:pPr>
        <w:tabs>
          <w:tab w:val="num" w:pos="567"/>
        </w:tabs>
        <w:ind w:left="0" w:firstLine="0"/>
      </w:pPr>
      <w:rPr>
        <w:rFonts w:hint="default"/>
      </w:rPr>
    </w:lvl>
    <w:lvl w:ilvl="1" w:tplc="F3DE1D32" w:tentative="1">
      <w:start w:val="1"/>
      <w:numFmt w:val="lowerLetter"/>
      <w:lvlText w:val="%2."/>
      <w:lvlJc w:val="left"/>
      <w:pPr>
        <w:tabs>
          <w:tab w:val="num" w:pos="1440"/>
        </w:tabs>
        <w:ind w:left="1440" w:hanging="360"/>
      </w:pPr>
    </w:lvl>
    <w:lvl w:ilvl="2" w:tplc="67F0F862" w:tentative="1">
      <w:start w:val="1"/>
      <w:numFmt w:val="lowerRoman"/>
      <w:lvlText w:val="%3."/>
      <w:lvlJc w:val="right"/>
      <w:pPr>
        <w:tabs>
          <w:tab w:val="num" w:pos="2160"/>
        </w:tabs>
        <w:ind w:left="2160" w:hanging="180"/>
      </w:pPr>
    </w:lvl>
    <w:lvl w:ilvl="3" w:tplc="75BC46C4" w:tentative="1">
      <w:start w:val="1"/>
      <w:numFmt w:val="decimal"/>
      <w:lvlText w:val="%4."/>
      <w:lvlJc w:val="left"/>
      <w:pPr>
        <w:tabs>
          <w:tab w:val="num" w:pos="2880"/>
        </w:tabs>
        <w:ind w:left="2880" w:hanging="360"/>
      </w:pPr>
    </w:lvl>
    <w:lvl w:ilvl="4" w:tplc="24BCAA48" w:tentative="1">
      <w:start w:val="1"/>
      <w:numFmt w:val="lowerLetter"/>
      <w:lvlText w:val="%5."/>
      <w:lvlJc w:val="left"/>
      <w:pPr>
        <w:tabs>
          <w:tab w:val="num" w:pos="3600"/>
        </w:tabs>
        <w:ind w:left="3600" w:hanging="360"/>
      </w:pPr>
    </w:lvl>
    <w:lvl w:ilvl="5" w:tplc="24F89EF4" w:tentative="1">
      <w:start w:val="1"/>
      <w:numFmt w:val="lowerRoman"/>
      <w:lvlText w:val="%6."/>
      <w:lvlJc w:val="right"/>
      <w:pPr>
        <w:tabs>
          <w:tab w:val="num" w:pos="4320"/>
        </w:tabs>
        <w:ind w:left="4320" w:hanging="180"/>
      </w:pPr>
    </w:lvl>
    <w:lvl w:ilvl="6" w:tplc="6C0A438E" w:tentative="1">
      <w:start w:val="1"/>
      <w:numFmt w:val="decimal"/>
      <w:lvlText w:val="%7."/>
      <w:lvlJc w:val="left"/>
      <w:pPr>
        <w:tabs>
          <w:tab w:val="num" w:pos="5040"/>
        </w:tabs>
        <w:ind w:left="5040" w:hanging="360"/>
      </w:pPr>
    </w:lvl>
    <w:lvl w:ilvl="7" w:tplc="054444EE" w:tentative="1">
      <w:start w:val="1"/>
      <w:numFmt w:val="lowerLetter"/>
      <w:lvlText w:val="%8."/>
      <w:lvlJc w:val="left"/>
      <w:pPr>
        <w:tabs>
          <w:tab w:val="num" w:pos="5760"/>
        </w:tabs>
        <w:ind w:left="5760" w:hanging="360"/>
      </w:pPr>
    </w:lvl>
    <w:lvl w:ilvl="8" w:tplc="CA8AB77E" w:tentative="1">
      <w:start w:val="1"/>
      <w:numFmt w:val="lowerRoman"/>
      <w:lvlText w:val="%9."/>
      <w:lvlJc w:val="right"/>
      <w:pPr>
        <w:tabs>
          <w:tab w:val="num" w:pos="6480"/>
        </w:tabs>
        <w:ind w:left="6480" w:hanging="180"/>
      </w:pPr>
    </w:lvl>
  </w:abstractNum>
  <w:abstractNum w:abstractNumId="13">
    <w:nsid w:val="65A363E4"/>
    <w:multiLevelType w:val="hybridMultilevel"/>
    <w:tmpl w:val="C4187640"/>
    <w:lvl w:ilvl="0" w:tplc="C0864D00">
      <w:start w:val="1"/>
      <w:numFmt w:val="decimal"/>
      <w:lvlText w:val="%1."/>
      <w:lvlJc w:val="left"/>
      <w:pPr>
        <w:ind w:left="6253" w:hanging="360"/>
      </w:pPr>
    </w:lvl>
    <w:lvl w:ilvl="1" w:tplc="62FA6658" w:tentative="1">
      <w:start w:val="1"/>
      <w:numFmt w:val="lowerLetter"/>
      <w:lvlText w:val="%2."/>
      <w:lvlJc w:val="left"/>
      <w:pPr>
        <w:ind w:left="6973" w:hanging="360"/>
      </w:pPr>
    </w:lvl>
    <w:lvl w:ilvl="2" w:tplc="94726A24" w:tentative="1">
      <w:start w:val="1"/>
      <w:numFmt w:val="lowerRoman"/>
      <w:lvlText w:val="%3."/>
      <w:lvlJc w:val="right"/>
      <w:pPr>
        <w:ind w:left="7693" w:hanging="180"/>
      </w:pPr>
    </w:lvl>
    <w:lvl w:ilvl="3" w:tplc="641CE072" w:tentative="1">
      <w:start w:val="1"/>
      <w:numFmt w:val="decimal"/>
      <w:lvlText w:val="%4."/>
      <w:lvlJc w:val="left"/>
      <w:pPr>
        <w:ind w:left="8413" w:hanging="360"/>
      </w:pPr>
    </w:lvl>
    <w:lvl w:ilvl="4" w:tplc="00E0CDF0" w:tentative="1">
      <w:start w:val="1"/>
      <w:numFmt w:val="lowerLetter"/>
      <w:lvlText w:val="%5."/>
      <w:lvlJc w:val="left"/>
      <w:pPr>
        <w:ind w:left="9133" w:hanging="360"/>
      </w:pPr>
    </w:lvl>
    <w:lvl w:ilvl="5" w:tplc="22628684" w:tentative="1">
      <w:start w:val="1"/>
      <w:numFmt w:val="lowerRoman"/>
      <w:lvlText w:val="%6."/>
      <w:lvlJc w:val="right"/>
      <w:pPr>
        <w:ind w:left="9853" w:hanging="180"/>
      </w:pPr>
    </w:lvl>
    <w:lvl w:ilvl="6" w:tplc="1D98C0C8" w:tentative="1">
      <w:start w:val="1"/>
      <w:numFmt w:val="decimal"/>
      <w:lvlText w:val="%7."/>
      <w:lvlJc w:val="left"/>
      <w:pPr>
        <w:ind w:left="10573" w:hanging="360"/>
      </w:pPr>
    </w:lvl>
    <w:lvl w:ilvl="7" w:tplc="6DEEC696" w:tentative="1">
      <w:start w:val="1"/>
      <w:numFmt w:val="lowerLetter"/>
      <w:lvlText w:val="%8."/>
      <w:lvlJc w:val="left"/>
      <w:pPr>
        <w:ind w:left="11293" w:hanging="360"/>
      </w:pPr>
    </w:lvl>
    <w:lvl w:ilvl="8" w:tplc="F5266B8A" w:tentative="1">
      <w:start w:val="1"/>
      <w:numFmt w:val="lowerRoman"/>
      <w:lvlText w:val="%9."/>
      <w:lvlJc w:val="right"/>
      <w:pPr>
        <w:ind w:left="12013" w:hanging="180"/>
      </w:pPr>
    </w:lvl>
  </w:abstractNum>
  <w:abstractNum w:abstractNumId="14">
    <w:nsid w:val="67DB0FF2"/>
    <w:multiLevelType w:val="multilevel"/>
    <w:tmpl w:val="113A5B54"/>
    <w:lvl w:ilvl="0">
      <w:start w:val="1"/>
      <w:numFmt w:val="decimal"/>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lowerLetter"/>
      <w:lvlText w:val="%2)"/>
      <w:lvlJc w:val="left"/>
      <w:pPr>
        <w:tabs>
          <w:tab w:val="num" w:pos="1134"/>
        </w:tabs>
        <w:ind w:left="567" w:firstLine="0"/>
      </w:pPr>
      <w:rPr>
        <w:rFonts w:hint="default"/>
        <w:color w:val="auto"/>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6C956EB9"/>
    <w:multiLevelType w:val="multilevel"/>
    <w:tmpl w:val="F1C241E0"/>
    <w:lvl w:ilvl="0">
      <w:start w:val="1"/>
      <w:numFmt w:val="decimal"/>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5D11C28"/>
    <w:multiLevelType w:val="multilevel"/>
    <w:tmpl w:val="07A46D88"/>
    <w:lvl w:ilvl="0">
      <w:start w:val="1"/>
      <w:numFmt w:val="decimal"/>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71A70AE"/>
    <w:multiLevelType w:val="hybridMultilevel"/>
    <w:tmpl w:val="1792A1F6"/>
    <w:lvl w:ilvl="0" w:tplc="D2DE13A6">
      <w:start w:val="1"/>
      <w:numFmt w:val="decimal"/>
      <w:lvlText w:val="%1."/>
      <w:lvlJc w:val="left"/>
      <w:pPr>
        <w:ind w:left="720" w:hanging="360"/>
      </w:pPr>
    </w:lvl>
    <w:lvl w:ilvl="1" w:tplc="081693F8" w:tentative="1">
      <w:start w:val="1"/>
      <w:numFmt w:val="lowerLetter"/>
      <w:lvlText w:val="%2."/>
      <w:lvlJc w:val="left"/>
      <w:pPr>
        <w:ind w:left="1440" w:hanging="360"/>
      </w:pPr>
    </w:lvl>
    <w:lvl w:ilvl="2" w:tplc="0930D638" w:tentative="1">
      <w:start w:val="1"/>
      <w:numFmt w:val="lowerRoman"/>
      <w:lvlText w:val="%3."/>
      <w:lvlJc w:val="right"/>
      <w:pPr>
        <w:ind w:left="2160" w:hanging="180"/>
      </w:pPr>
    </w:lvl>
    <w:lvl w:ilvl="3" w:tplc="D0B669FE" w:tentative="1">
      <w:start w:val="1"/>
      <w:numFmt w:val="decimal"/>
      <w:lvlText w:val="%4."/>
      <w:lvlJc w:val="left"/>
      <w:pPr>
        <w:ind w:left="2880" w:hanging="360"/>
      </w:pPr>
    </w:lvl>
    <w:lvl w:ilvl="4" w:tplc="9DC65328" w:tentative="1">
      <w:start w:val="1"/>
      <w:numFmt w:val="lowerLetter"/>
      <w:lvlText w:val="%5."/>
      <w:lvlJc w:val="left"/>
      <w:pPr>
        <w:ind w:left="3600" w:hanging="360"/>
      </w:pPr>
    </w:lvl>
    <w:lvl w:ilvl="5" w:tplc="81F65E8E" w:tentative="1">
      <w:start w:val="1"/>
      <w:numFmt w:val="lowerRoman"/>
      <w:lvlText w:val="%6."/>
      <w:lvlJc w:val="right"/>
      <w:pPr>
        <w:ind w:left="4320" w:hanging="180"/>
      </w:pPr>
    </w:lvl>
    <w:lvl w:ilvl="6" w:tplc="DF64BD30" w:tentative="1">
      <w:start w:val="1"/>
      <w:numFmt w:val="decimal"/>
      <w:lvlText w:val="%7."/>
      <w:lvlJc w:val="left"/>
      <w:pPr>
        <w:ind w:left="5040" w:hanging="360"/>
      </w:pPr>
    </w:lvl>
    <w:lvl w:ilvl="7" w:tplc="8D662624" w:tentative="1">
      <w:start w:val="1"/>
      <w:numFmt w:val="lowerLetter"/>
      <w:lvlText w:val="%8."/>
      <w:lvlJc w:val="left"/>
      <w:pPr>
        <w:ind w:left="5760" w:hanging="360"/>
      </w:pPr>
    </w:lvl>
    <w:lvl w:ilvl="8" w:tplc="B84E3CB2" w:tentative="1">
      <w:start w:val="1"/>
      <w:numFmt w:val="lowerRoman"/>
      <w:lvlText w:val="%9."/>
      <w:lvlJc w:val="right"/>
      <w:pPr>
        <w:ind w:left="6480" w:hanging="180"/>
      </w:pPr>
    </w:lvl>
  </w:abstractNum>
  <w:num w:numId="1">
    <w:abstractNumId w:val="12"/>
  </w:num>
  <w:num w:numId="2">
    <w:abstractNumId w:val="4"/>
  </w:num>
  <w:num w:numId="3">
    <w:abstractNumId w:val="14"/>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6"/>
  </w:num>
  <w:num w:numId="10">
    <w:abstractNumId w:val="5"/>
  </w:num>
  <w:num w:numId="11">
    <w:abstractNumId w:val="10"/>
  </w:num>
  <w:num w:numId="12">
    <w:abstractNumId w:val="15"/>
  </w:num>
  <w:num w:numId="13">
    <w:abstractNumId w:val="7"/>
  </w:num>
  <w:num w:numId="14">
    <w:abstractNumId w:val="1"/>
  </w:num>
  <w:num w:numId="15">
    <w:abstractNumId w:val="14"/>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14"/>
  </w:num>
  <w:num w:numId="26">
    <w:abstractNumId w:val="0"/>
  </w:num>
  <w:num w:numId="27">
    <w:abstractNumId w:val="13"/>
  </w:num>
  <w:num w:numId="28">
    <w:abstractNumId w:val="11"/>
  </w:num>
  <w:num w:numId="29">
    <w:abstractNumId w:val="17"/>
  </w:num>
  <w:num w:numId="30">
    <w:abstractNumId w:val="4"/>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wd6eebd590" w:val="1094795120"/>
    <w:docVar w:name="SourceLng" w:val="eng"/>
    <w:docVar w:name="TargetLng" w:val="spa"/>
    <w:docVar w:name="TermBases" w:val="WIPOLDTERM"/>
    <w:docVar w:name="TermBaseURL" w:val="empty"/>
    <w:docVar w:name="TextBases" w:val="TextBase TMs\WorkspaceSTS\Ad-hoc\Auxiliar_Pool_STS|TextBase TMs\WorkspaceSTS\Administration &amp; Finance\FAB Main|TextBase TMs\WorkspaceSTS\Administration &amp; Finance\FAB Instruments|TextBase TMs\WorkspaceSTS\Administration &amp; Finance\WIPO Staff Rules|TextBase TMs\WorkspaceSTS\Administration &amp; Finance\FStatements|TextBase TMs\WorkspaceSTS\Administration &amp; Finance\UN Staff Rules|TextBase TMs\WorkspaceSTS\UPOV\TGPs|TextBase TMs\WorkspaceSTS\UPOV\TGs|TextBase TMs\WorkspaceSTS\UPOV\TGs Template|TextBase TMs\WorkspaceSTS\UPOV\U Instruments|TextBase TMs\WorkspaceSTS\UPOV\UPOV Main|TextBase TMs\WorkspaceSTS\Treaties &amp; Laws\WIPO Lex|TextBase TMs\WorkspaceSTS\GRTKF\G Instruments|TextBase TMs\WorkspaceSTS\GRTKF\GRTKF|TextBase TMs\WorkspaceSTS\Patents &amp; Innovation\P Instruments|TextBase TMs\WorkspaceSTS\Patents &amp; Innovation\Patents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Administration &amp; Finance\Current Budget"/>
    <w:docVar w:name="TextBaseURL" w:val="empty"/>
    <w:docVar w:name="UILng" w:val="en"/>
  </w:docVars>
  <w:rsids>
    <w:rsidRoot w:val="0075536D"/>
    <w:rsid w:val="0000255B"/>
    <w:rsid w:val="00026B75"/>
    <w:rsid w:val="0008734F"/>
    <w:rsid w:val="000954F5"/>
    <w:rsid w:val="000A11A3"/>
    <w:rsid w:val="000B308E"/>
    <w:rsid w:val="000E2AB9"/>
    <w:rsid w:val="000E4E89"/>
    <w:rsid w:val="0015448C"/>
    <w:rsid w:val="00157935"/>
    <w:rsid w:val="00172413"/>
    <w:rsid w:val="001E2046"/>
    <w:rsid w:val="001E5D8A"/>
    <w:rsid w:val="00206030"/>
    <w:rsid w:val="002477BB"/>
    <w:rsid w:val="00252130"/>
    <w:rsid w:val="00261F5A"/>
    <w:rsid w:val="002A4815"/>
    <w:rsid w:val="002B38DB"/>
    <w:rsid w:val="00305269"/>
    <w:rsid w:val="00313144"/>
    <w:rsid w:val="00353977"/>
    <w:rsid w:val="00386DDB"/>
    <w:rsid w:val="003914FB"/>
    <w:rsid w:val="003E2379"/>
    <w:rsid w:val="00430857"/>
    <w:rsid w:val="00431720"/>
    <w:rsid w:val="004C50FE"/>
    <w:rsid w:val="00537D27"/>
    <w:rsid w:val="00545A5E"/>
    <w:rsid w:val="005525AE"/>
    <w:rsid w:val="0057080C"/>
    <w:rsid w:val="005C7FEF"/>
    <w:rsid w:val="005F0FFE"/>
    <w:rsid w:val="005F2EAC"/>
    <w:rsid w:val="00604E43"/>
    <w:rsid w:val="00626513"/>
    <w:rsid w:val="00627136"/>
    <w:rsid w:val="00636064"/>
    <w:rsid w:val="00673E0C"/>
    <w:rsid w:val="006E2501"/>
    <w:rsid w:val="006E52E6"/>
    <w:rsid w:val="00721C34"/>
    <w:rsid w:val="00746229"/>
    <w:rsid w:val="0075536D"/>
    <w:rsid w:val="0077333B"/>
    <w:rsid w:val="007F2F3B"/>
    <w:rsid w:val="00815672"/>
    <w:rsid w:val="00824993"/>
    <w:rsid w:val="0086625A"/>
    <w:rsid w:val="00872B07"/>
    <w:rsid w:val="008C25BC"/>
    <w:rsid w:val="008D5CE2"/>
    <w:rsid w:val="008F19C5"/>
    <w:rsid w:val="009149C9"/>
    <w:rsid w:val="009204E6"/>
    <w:rsid w:val="00975342"/>
    <w:rsid w:val="009B2CCA"/>
    <w:rsid w:val="009E695B"/>
    <w:rsid w:val="00A6508C"/>
    <w:rsid w:val="00AD08A4"/>
    <w:rsid w:val="00AD3DEE"/>
    <w:rsid w:val="00B15BFA"/>
    <w:rsid w:val="00B948BB"/>
    <w:rsid w:val="00BB5D9C"/>
    <w:rsid w:val="00BF6F0F"/>
    <w:rsid w:val="00C01326"/>
    <w:rsid w:val="00C23978"/>
    <w:rsid w:val="00C57AC0"/>
    <w:rsid w:val="00C823D1"/>
    <w:rsid w:val="00C95C33"/>
    <w:rsid w:val="00CB098C"/>
    <w:rsid w:val="00CC0FDD"/>
    <w:rsid w:val="00CC5797"/>
    <w:rsid w:val="00CF27B1"/>
    <w:rsid w:val="00D23C8A"/>
    <w:rsid w:val="00D42382"/>
    <w:rsid w:val="00D53C20"/>
    <w:rsid w:val="00D901A2"/>
    <w:rsid w:val="00D90853"/>
    <w:rsid w:val="00DD6BD7"/>
    <w:rsid w:val="00DE08C5"/>
    <w:rsid w:val="00DF7268"/>
    <w:rsid w:val="00E2647A"/>
    <w:rsid w:val="00E45D22"/>
    <w:rsid w:val="00E70BE6"/>
    <w:rsid w:val="00E725EF"/>
    <w:rsid w:val="00E72A26"/>
    <w:rsid w:val="00E966A8"/>
    <w:rsid w:val="00EA5727"/>
    <w:rsid w:val="00EB126E"/>
    <w:rsid w:val="00EE021A"/>
    <w:rsid w:val="00F138CF"/>
    <w:rsid w:val="00F26C01"/>
    <w:rsid w:val="00F42DA3"/>
    <w:rsid w:val="00F504DB"/>
    <w:rsid w:val="00FB692C"/>
    <w:rsid w:val="00FE14D1"/>
  </w:rsids>
  <m:mathPr>
    <m:mathFont m:val="Cambria Math"/>
    <m:brkBin m:val="before"/>
    <m:brkBinSub m:val="--"/>
    <m:smallFrac m:val="0"/>
    <m:dispDef/>
    <m:lMargin m:val="0"/>
    <m:rMargin m:val="0"/>
    <m:defJc m:val="centerGroup"/>
    <m:wrapRight/>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Char,Footnote"/>
    <w:basedOn w:val="Normal"/>
    <w:link w:val="FootnoteTextChar"/>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Char Char,Footnote Char"/>
    <w:link w:val="FootnoteText"/>
    <w:uiPriority w:val="99"/>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link w:val="ListParagraphChar"/>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Calibri" w:eastAsia="Times New Roman" w:hAnsi="Calibr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Calibri" w:eastAsia="Times New Roman" w:hAnsi="Calibri"/>
      <w:szCs w:val="22"/>
      <w:lang w:eastAsia="ja-JP"/>
    </w:rPr>
  </w:style>
  <w:style w:type="character" w:customStyle="1" w:styleId="ONUMECharChar">
    <w:name w:val="ONUM E Char Char"/>
    <w:locked/>
    <w:rsid w:val="002C535F"/>
    <w:rPr>
      <w:rFonts w:ascii="Arial" w:hAnsi="Arial"/>
      <w:sz w:val="22"/>
      <w:lang w:val="" w:eastAsia=""/>
    </w:rPr>
  </w:style>
  <w:style w:type="paragraph" w:styleId="Revision">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DefaultParagraphFont"/>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60657"/>
    <w:rPr>
      <w:rFonts w:ascii="Arial" w:eastAsia="SimSun" w:hAnsi="Arial" w:cs="Arial"/>
      <w:sz w:val="22"/>
      <w:lang w:eastAsia="zh-CN"/>
    </w:rPr>
  </w:style>
  <w:style w:type="character" w:styleId="FollowedHyperlink">
    <w:name w:val="FollowedHyperlink"/>
    <w:basedOn w:val="DefaultParagraphFont"/>
    <w:semiHidden/>
    <w:unhideWhenUsed/>
    <w:rsid w:val="00DD68E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Char,Footnote"/>
    <w:basedOn w:val="Normal"/>
    <w:link w:val="FootnoteTextChar"/>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Char Char,Footnote Char"/>
    <w:link w:val="FootnoteText"/>
    <w:uiPriority w:val="99"/>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link w:val="ListParagraphChar"/>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Calibri" w:eastAsia="Times New Roman" w:hAnsi="Calibr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Calibri" w:eastAsia="Times New Roman" w:hAnsi="Calibri"/>
      <w:szCs w:val="22"/>
      <w:lang w:eastAsia="ja-JP"/>
    </w:rPr>
  </w:style>
  <w:style w:type="character" w:customStyle="1" w:styleId="ONUMECharChar">
    <w:name w:val="ONUM E Char Char"/>
    <w:locked/>
    <w:rsid w:val="002C535F"/>
    <w:rPr>
      <w:rFonts w:ascii="Arial" w:hAnsi="Arial"/>
      <w:sz w:val="22"/>
      <w:lang w:val="" w:eastAsia=""/>
    </w:rPr>
  </w:style>
  <w:style w:type="paragraph" w:styleId="Revision">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DefaultParagraphFont"/>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60657"/>
    <w:rPr>
      <w:rFonts w:ascii="Arial" w:eastAsia="SimSun" w:hAnsi="Arial" w:cs="Arial"/>
      <w:sz w:val="22"/>
      <w:lang w:eastAsia="zh-CN"/>
    </w:rPr>
  </w:style>
  <w:style w:type="character" w:styleId="FollowedHyperlink">
    <w:name w:val="FollowedHyperlink"/>
    <w:basedOn w:val="DefaultParagraphFont"/>
    <w:semiHidden/>
    <w:unhideWhenUsed/>
    <w:rsid w:val="00DD68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2810">
      <w:bodyDiv w:val="1"/>
      <w:marLeft w:val="0"/>
      <w:marRight w:val="0"/>
      <w:marTop w:val="0"/>
      <w:marBottom w:val="0"/>
      <w:divBdr>
        <w:top w:val="none" w:sz="0" w:space="0" w:color="auto"/>
        <w:left w:val="none" w:sz="0" w:space="0" w:color="auto"/>
        <w:bottom w:val="none" w:sz="0" w:space="0" w:color="auto"/>
        <w:right w:val="none" w:sz="0" w:space="0" w:color="auto"/>
      </w:divBdr>
    </w:div>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591934274">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654453286">
      <w:bodyDiv w:val="1"/>
      <w:marLeft w:val="0"/>
      <w:marRight w:val="0"/>
      <w:marTop w:val="0"/>
      <w:marBottom w:val="0"/>
      <w:divBdr>
        <w:top w:val="none" w:sz="0" w:space="0" w:color="auto"/>
        <w:left w:val="none" w:sz="0" w:space="0" w:color="auto"/>
        <w:bottom w:val="none" w:sz="0" w:space="0" w:color="auto"/>
        <w:right w:val="none" w:sz="0" w:space="0" w:color="auto"/>
      </w:divBdr>
    </w:div>
    <w:div w:id="702751507">
      <w:bodyDiv w:val="1"/>
      <w:marLeft w:val="0"/>
      <w:marRight w:val="0"/>
      <w:marTop w:val="0"/>
      <w:marBottom w:val="0"/>
      <w:divBdr>
        <w:top w:val="none" w:sz="0" w:space="0" w:color="auto"/>
        <w:left w:val="none" w:sz="0" w:space="0" w:color="auto"/>
        <w:bottom w:val="none" w:sz="0" w:space="0" w:color="auto"/>
        <w:right w:val="none" w:sz="0" w:space="0" w:color="auto"/>
      </w:divBdr>
    </w:div>
    <w:div w:id="815689020">
      <w:bodyDiv w:val="1"/>
      <w:marLeft w:val="0"/>
      <w:marRight w:val="0"/>
      <w:marTop w:val="0"/>
      <w:marBottom w:val="0"/>
      <w:divBdr>
        <w:top w:val="none" w:sz="0" w:space="0" w:color="auto"/>
        <w:left w:val="none" w:sz="0" w:space="0" w:color="auto"/>
        <w:bottom w:val="none" w:sz="0" w:space="0" w:color="auto"/>
        <w:right w:val="none" w:sz="0" w:space="0" w:color="auto"/>
      </w:divBdr>
    </w:div>
    <w:div w:id="823475740">
      <w:bodyDiv w:val="1"/>
      <w:marLeft w:val="0"/>
      <w:marRight w:val="0"/>
      <w:marTop w:val="0"/>
      <w:marBottom w:val="0"/>
      <w:divBdr>
        <w:top w:val="none" w:sz="0" w:space="0" w:color="auto"/>
        <w:left w:val="none" w:sz="0" w:space="0" w:color="auto"/>
        <w:bottom w:val="none" w:sz="0" w:space="0" w:color="auto"/>
        <w:right w:val="none" w:sz="0" w:space="0" w:color="auto"/>
      </w:divBdr>
    </w:div>
    <w:div w:id="827406160">
      <w:bodyDiv w:val="1"/>
      <w:marLeft w:val="0"/>
      <w:marRight w:val="0"/>
      <w:marTop w:val="0"/>
      <w:marBottom w:val="0"/>
      <w:divBdr>
        <w:top w:val="none" w:sz="0" w:space="0" w:color="auto"/>
        <w:left w:val="none" w:sz="0" w:space="0" w:color="auto"/>
        <w:bottom w:val="none" w:sz="0" w:space="0" w:color="auto"/>
        <w:right w:val="none" w:sz="0" w:space="0" w:color="auto"/>
      </w:divBdr>
    </w:div>
    <w:div w:id="1075279655">
      <w:bodyDiv w:val="1"/>
      <w:marLeft w:val="0"/>
      <w:marRight w:val="0"/>
      <w:marTop w:val="0"/>
      <w:marBottom w:val="0"/>
      <w:divBdr>
        <w:top w:val="none" w:sz="0" w:space="0" w:color="auto"/>
        <w:left w:val="none" w:sz="0" w:space="0" w:color="auto"/>
        <w:bottom w:val="none" w:sz="0" w:space="0" w:color="auto"/>
        <w:right w:val="none" w:sz="0" w:space="0" w:color="auto"/>
      </w:divBdr>
    </w:div>
    <w:div w:id="1089541615">
      <w:bodyDiv w:val="1"/>
      <w:marLeft w:val="0"/>
      <w:marRight w:val="0"/>
      <w:marTop w:val="0"/>
      <w:marBottom w:val="0"/>
      <w:divBdr>
        <w:top w:val="none" w:sz="0" w:space="0" w:color="auto"/>
        <w:left w:val="none" w:sz="0" w:space="0" w:color="auto"/>
        <w:bottom w:val="none" w:sz="0" w:space="0" w:color="auto"/>
        <w:right w:val="none" w:sz="0" w:space="0" w:color="auto"/>
      </w:divBdr>
    </w:div>
    <w:div w:id="1167599902">
      <w:bodyDiv w:val="1"/>
      <w:marLeft w:val="0"/>
      <w:marRight w:val="0"/>
      <w:marTop w:val="0"/>
      <w:marBottom w:val="0"/>
      <w:divBdr>
        <w:top w:val="none" w:sz="0" w:space="0" w:color="auto"/>
        <w:left w:val="none" w:sz="0" w:space="0" w:color="auto"/>
        <w:bottom w:val="none" w:sz="0" w:space="0" w:color="auto"/>
        <w:right w:val="none" w:sz="0" w:space="0" w:color="auto"/>
      </w:divBdr>
    </w:div>
    <w:div w:id="1202324259">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48944220">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607078228">
      <w:bodyDiv w:val="1"/>
      <w:marLeft w:val="0"/>
      <w:marRight w:val="0"/>
      <w:marTop w:val="0"/>
      <w:marBottom w:val="0"/>
      <w:divBdr>
        <w:top w:val="none" w:sz="0" w:space="0" w:color="auto"/>
        <w:left w:val="none" w:sz="0" w:space="0" w:color="auto"/>
        <w:bottom w:val="none" w:sz="0" w:space="0" w:color="auto"/>
        <w:right w:val="none" w:sz="0" w:space="0" w:color="auto"/>
      </w:divBdr>
    </w:div>
    <w:div w:id="1820414578">
      <w:bodyDiv w:val="1"/>
      <w:marLeft w:val="0"/>
      <w:marRight w:val="0"/>
      <w:marTop w:val="0"/>
      <w:marBottom w:val="0"/>
      <w:divBdr>
        <w:top w:val="none" w:sz="0" w:space="0" w:color="auto"/>
        <w:left w:val="none" w:sz="0" w:space="0" w:color="auto"/>
        <w:bottom w:val="none" w:sz="0" w:space="0" w:color="auto"/>
        <w:right w:val="none" w:sz="0" w:space="0" w:color="auto"/>
      </w:divBdr>
    </w:div>
    <w:div w:id="1864594365">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 w:id="206328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8.png"/><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footer" Target="footer8.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footer" Target="footer6.xml"/><Relationship Id="rId35" Type="http://schemas.openxmlformats.org/officeDocument/2006/relationships/header" Target="header10.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A462-BF54-4949-9299-6ED23333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8256</Words>
  <Characters>44185</Characters>
  <Application>Microsoft Office Word</Application>
  <DocSecurity>0</DocSecurity>
  <Lines>368</Lines>
  <Paragraphs>104</Paragraphs>
  <ScaleCrop>false</ScaleCrop>
  <HeadingPairs>
    <vt:vector size="10" baseType="variant">
      <vt:variant>
        <vt:lpstr>Title</vt:lpstr>
      </vt:variant>
      <vt:variant>
        <vt:i4>1</vt:i4>
      </vt:variant>
      <vt:variant>
        <vt:lpstr>Título</vt:lpstr>
      </vt:variant>
      <vt:variant>
        <vt:i4>1</vt:i4>
      </vt:variant>
      <vt:variant>
        <vt:lpstr>Títulos</vt:lpstr>
      </vt:variant>
      <vt:variant>
        <vt:i4>36</vt:i4>
      </vt:variant>
      <vt:variant>
        <vt:lpstr>Titre</vt:lpstr>
      </vt:variant>
      <vt:variant>
        <vt:i4>1</vt:i4>
      </vt:variant>
      <vt:variant>
        <vt:lpstr>Titel</vt:lpstr>
      </vt:variant>
      <vt:variant>
        <vt:i4>1</vt:i4>
      </vt:variant>
    </vt:vector>
  </HeadingPairs>
  <TitlesOfParts>
    <vt:vector size="40" baseType="lpstr">
      <vt:lpstr>WO/GA/46/</vt:lpstr>
      <vt:lpstr>WO/GA/46/</vt:lpstr>
      <vt:lpstr>Asamblea General de la OMPI</vt:lpstr>
      <vt:lpstr>SIGLAS</vt:lpstr>
      <vt:lpstr>ANTECEDENTES</vt:lpstr>
      <vt:lpstr>PRINCIPIOS DE PLANIFICACIÓN</vt:lpstr>
      <vt:lpstr>NORMAS PROFESIONALES</vt:lpstr>
      <vt:lpstr>PRINCIPALES CUESTIONES Y RECOMENDACIONES DE ALTA PRIORIDAD EN MATERIA DE SUPERVI</vt:lpstr>
      <vt:lpstr>    AUDITORÍA DE LA GESTIÓN DE EVENTOS DE TERCEROS ORGANIZADOS O ACOGIDOS POR LA OMP</vt:lpstr>
      <vt:lpstr>    Auditoría de la gestión de activos de programas informáticos</vt:lpstr>
      <vt:lpstr>    AUDITORÍA DEL PROCESO DE CONTRATACIÓN DE PERSONAL</vt:lpstr>
      <vt:lpstr>    AUDITORÍA DE LA DIVISIÓN LINGÜÍSTICA</vt:lpstr>
      <vt:lpstr>    Auditoría de la gestión de VIAJES</vt:lpstr>
      <vt:lpstr>    Otros: Informe de validación por la DSI del Informe sobre el rendimiento de la O</vt:lpstr>
      <vt:lpstr>    OTROS: MEMORANDO DE AUDITORÍA CONTINUA</vt:lpstr>
      <vt:lpstr>    OTROS: AUTOEVALUACIÓN DE LA CALIDAD DE LA FUNCIÓN DE AUDITORÍA INTERNA</vt:lpstr>
      <vt:lpstr>    Evaluación de las actividades de comunicación institucional de la OMPI y su cont</vt:lpstr>
      <vt:lpstr>    Evaluación de la Oficina Regional en la sede para América Latina y el Caribe</vt:lpstr>
      <vt:lpstr>    Evaluación del programa 18: La PI y los desafíos mundiales</vt:lpstr>
      <vt:lpstr>    Evaluación del desarrollo de competencias en materia de propiedad intelectual</vt:lpstr>
      <vt:lpstr>ACTIVIDADES DE INVESTIGACIÓN</vt:lpstr>
      <vt:lpstr>    RESUMEN DE LOS CASOS</vt:lpstr>
      <vt:lpstr>    RESULTADO DE LAS ACTIVIDADES DE INVESTIGACIÓN</vt:lpstr>
      <vt:lpstr>CASOS EN LOS QUE SE DENEGÓ INFORMACIÓN O ASISTENCIA</vt:lpstr>
      <vt:lpstr>ESTADO DE APLICACIÓN DE LAS RECOMENDACIONES EN MATERIA DE SUPERVISIÓN</vt:lpstr>
      <vt:lpstr>LABOR CONSULTIVA Y DE ASESORAMIENTO EN MATERIA DE SUPERVISIÓN</vt:lpstr>
      <vt:lpstr>COOPERACIÓN CON ORGANISMOS DE SUPERVISIÓN EXTERNOS</vt:lpstr>
      <vt:lpstr>    La Comisión Consultiva Independiente de Supervisión (CCIS)</vt:lpstr>
      <vt:lpstr>    AUDITOR EXTERNO</vt:lpstr>
      <vt:lpstr>COOPERACIÓN CON LA OFICINA DEL MEDIADOR Y LA OFICINA DE ÉTICA PROFESIONAL</vt:lpstr>
      <vt:lpstr>OTRAS FUNCIONES DE SUPERVISIÓN</vt:lpstr>
      <vt:lpstr>    ACTIVIDADES DE DIVULGACIÓN EN LA ORGANIZACIÓN</vt:lpstr>
      <vt:lpstr>    ENCUESTAS DE SATISFACCIÓN</vt:lpstr>
      <vt:lpstr>    VÍNCULOS CON OTROS SERVICIOS DE SUPERVISIÓN</vt:lpstr>
      <vt:lpstr>INDEPENDENCIA OPERATIVA DE LA DSI</vt:lpstr>
      <vt:lpstr>RECURSOS DE SUPERVISIÓN</vt:lpstr>
      <vt:lpstr>    PRESUPUESTO Y PERSONAL</vt:lpstr>
      <vt:lpstr>    Formación</vt:lpstr>
      <vt:lpstr>WO/GA/46/</vt:lpstr>
      <vt:lpstr>WO/GA/46/</vt:lpstr>
    </vt:vector>
  </TitlesOfParts>
  <Company>WIPO</Company>
  <LinksUpToDate>false</LinksUpToDate>
  <CharactersWithSpaces>52337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keywords>FOUO</cp:keywords>
  <cp:lastModifiedBy>BOU LLORET Amparo</cp:lastModifiedBy>
  <cp:revision>3</cp:revision>
  <cp:lastPrinted>2018-07-16T15:26:00Z</cp:lastPrinted>
  <dcterms:created xsi:type="dcterms:W3CDTF">2018-07-16T15:36:00Z</dcterms:created>
  <dcterms:modified xsi:type="dcterms:W3CDTF">2018-07-18T08:53:00Z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FOUO</vt:lpwstr>
  </property>
  <property fmtid="{D5CDD505-2E9C-101B-9397-08002B2CF9AE}" pid="3" name="TitusGUID">
    <vt:lpwstr>a157265b-363c-44ef-a816-56ef2969d08d</vt:lpwstr>
  </property>
  <property fmtid="{D5CDD505-2E9C-101B-9397-08002B2CF9AE}" pid="4" name="VisualMarkings">
    <vt:lpwstr>Footer</vt:lpwstr>
  </property>
</Properties>
</file>