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123893" w:rsidRDefault="00DC0BA7" w:rsidP="006E4F5F">
      <w:pPr>
        <w:widowControl w:val="0"/>
        <w:jc w:val="right"/>
        <w:rPr>
          <w:b/>
          <w:sz w:val="2"/>
          <w:szCs w:val="40"/>
        </w:rPr>
      </w:pPr>
      <w:r>
        <w:rPr>
          <w:b/>
          <w:sz w:val="40"/>
          <w:szCs w:val="40"/>
        </w:rPr>
        <w:t>S</w:t>
      </w:r>
    </w:p>
    <w:p w:rsidR="006E4F5F" w:rsidRDefault="00DC0BA7" w:rsidP="006E4F5F">
      <w:pPr>
        <w:spacing w:line="360" w:lineRule="auto"/>
        <w:ind w:left="4592"/>
        <w:rPr>
          <w:rFonts w:ascii="Arial Black" w:hAnsi="Arial Black"/>
          <w:caps/>
          <w:sz w:val="15"/>
        </w:rPr>
      </w:pPr>
      <w:bookmarkStart w:id="0" w:name="_GoBack"/>
      <w:bookmarkEnd w:id="0"/>
      <w:r>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0A5216" w:rsidRDefault="00CB4377" w:rsidP="00AA2DD4">
      <w:pPr>
        <w:pBdr>
          <w:top w:val="single" w:sz="4" w:space="10" w:color="auto"/>
        </w:pBdr>
        <w:spacing w:before="120"/>
        <w:jc w:val="right"/>
        <w:rPr>
          <w:rFonts w:ascii="Arial Black" w:hAnsi="Arial Black"/>
          <w:b/>
          <w:caps/>
          <w:sz w:val="15"/>
          <w:lang w:val="es-ES"/>
        </w:rPr>
      </w:pPr>
      <w:r w:rsidRPr="000A5216">
        <w:rPr>
          <w:rFonts w:ascii="Arial Black" w:hAnsi="Arial Black"/>
          <w:b/>
          <w:caps/>
          <w:sz w:val="15"/>
          <w:lang w:val="es-ES"/>
        </w:rPr>
        <w:t>WO/GA/</w:t>
      </w:r>
      <w:r w:rsidR="00AF4932" w:rsidRPr="000A5216">
        <w:rPr>
          <w:rFonts w:ascii="Arial Black" w:hAnsi="Arial Black"/>
          <w:b/>
          <w:caps/>
          <w:sz w:val="15"/>
          <w:lang w:val="es-ES"/>
        </w:rPr>
        <w:t>5</w:t>
      </w:r>
      <w:r w:rsidRPr="000A5216">
        <w:rPr>
          <w:rFonts w:ascii="Arial Black" w:hAnsi="Arial Black"/>
          <w:b/>
          <w:caps/>
          <w:sz w:val="15"/>
          <w:lang w:val="es-ES"/>
        </w:rPr>
        <w:t>0</w:t>
      </w:r>
      <w:r w:rsidR="00F66CE0" w:rsidRPr="000A5216">
        <w:rPr>
          <w:rFonts w:ascii="Arial Black" w:hAnsi="Arial Black"/>
          <w:b/>
          <w:caps/>
          <w:sz w:val="15"/>
          <w:lang w:val="es-ES"/>
        </w:rPr>
        <w:t>/</w:t>
      </w:r>
      <w:bookmarkStart w:id="1" w:name="Code"/>
      <w:bookmarkEnd w:id="1"/>
      <w:r w:rsidR="000A5216" w:rsidRPr="000A5216">
        <w:rPr>
          <w:rFonts w:ascii="Arial Black" w:hAnsi="Arial Black"/>
          <w:b/>
          <w:caps/>
          <w:sz w:val="15"/>
          <w:lang w:val="es-ES"/>
        </w:rPr>
        <w:t>11</w:t>
      </w:r>
    </w:p>
    <w:p w:rsidR="006E4F5F" w:rsidRPr="000A5216" w:rsidRDefault="006E4F5F" w:rsidP="006E4F5F">
      <w:pPr>
        <w:jc w:val="right"/>
        <w:rPr>
          <w:rFonts w:ascii="Arial Black" w:hAnsi="Arial Black"/>
          <w:b/>
          <w:caps/>
          <w:sz w:val="15"/>
          <w:lang w:val="es-ES"/>
        </w:rPr>
      </w:pPr>
      <w:r w:rsidRPr="000A5216">
        <w:rPr>
          <w:rFonts w:ascii="Arial Black" w:hAnsi="Arial Black"/>
          <w:b/>
          <w:caps/>
          <w:sz w:val="15"/>
          <w:lang w:val="es-ES"/>
        </w:rPr>
        <w:t xml:space="preserve">ORIGINAL: </w:t>
      </w:r>
      <w:bookmarkStart w:id="2" w:name="Original"/>
      <w:bookmarkEnd w:id="2"/>
      <w:r w:rsidR="000A5216" w:rsidRPr="000A5216">
        <w:rPr>
          <w:rFonts w:ascii="Arial Black" w:hAnsi="Arial Black"/>
          <w:b/>
          <w:caps/>
          <w:sz w:val="15"/>
          <w:lang w:val="es-ES"/>
        </w:rPr>
        <w:t>INGLÉS</w:t>
      </w:r>
    </w:p>
    <w:p w:rsidR="006E4F5F" w:rsidRPr="000A5216" w:rsidRDefault="00DC0BA7" w:rsidP="006E4F5F">
      <w:pPr>
        <w:spacing w:line="1680" w:lineRule="auto"/>
        <w:jc w:val="right"/>
        <w:rPr>
          <w:rFonts w:ascii="Arial Black" w:hAnsi="Arial Black"/>
          <w:b/>
          <w:caps/>
          <w:sz w:val="15"/>
          <w:lang w:val="es-ES"/>
        </w:rPr>
      </w:pPr>
      <w:r w:rsidRPr="000A5216">
        <w:rPr>
          <w:rFonts w:ascii="Arial Black" w:hAnsi="Arial Black"/>
          <w:b/>
          <w:caps/>
          <w:sz w:val="15"/>
          <w:lang w:val="es-ES"/>
        </w:rPr>
        <w:t>Fecha</w:t>
      </w:r>
      <w:r w:rsidR="006E4F5F" w:rsidRPr="000A5216">
        <w:rPr>
          <w:rFonts w:ascii="Arial Black" w:hAnsi="Arial Black"/>
          <w:b/>
          <w:caps/>
          <w:sz w:val="15"/>
          <w:lang w:val="es-ES"/>
        </w:rPr>
        <w:t xml:space="preserve">: </w:t>
      </w:r>
      <w:bookmarkStart w:id="3" w:name="Date"/>
      <w:bookmarkEnd w:id="3"/>
      <w:r w:rsidR="000A5216" w:rsidRPr="000A5216">
        <w:rPr>
          <w:rFonts w:ascii="Arial Black" w:hAnsi="Arial Black"/>
          <w:b/>
          <w:caps/>
          <w:sz w:val="15"/>
          <w:lang w:val="es-ES"/>
        </w:rPr>
        <w:t>25 DE JUNIO DE 2018</w:t>
      </w:r>
    </w:p>
    <w:p w:rsidR="00944B90" w:rsidRPr="00944B90" w:rsidRDefault="00CB4377" w:rsidP="00944B90">
      <w:pPr>
        <w:pStyle w:val="Heading1"/>
        <w:rPr>
          <w:lang w:val="es-ES"/>
        </w:rPr>
      </w:pPr>
      <w:r>
        <w:rPr>
          <w:lang w:val="es-ES"/>
        </w:rPr>
        <w:t>Asamblea General</w:t>
      </w:r>
      <w:r w:rsidR="00D10BC5">
        <w:rPr>
          <w:lang w:val="es-ES"/>
        </w:rPr>
        <w:t xml:space="preserve"> de la OMPI</w:t>
      </w:r>
    </w:p>
    <w:p w:rsidR="008B2CC1" w:rsidRPr="000A5216" w:rsidRDefault="00CB4377" w:rsidP="000A4DB4">
      <w:pPr>
        <w:spacing w:after="720"/>
        <w:rPr>
          <w:b/>
          <w:sz w:val="24"/>
          <w:lang w:val="es-ES"/>
        </w:rPr>
      </w:pPr>
      <w:r>
        <w:rPr>
          <w:b/>
          <w:sz w:val="24"/>
          <w:lang w:val="es-ES"/>
        </w:rPr>
        <w:t>Quincuagésimo per</w:t>
      </w:r>
      <w:r w:rsidRPr="00CB4377">
        <w:rPr>
          <w:b/>
          <w:sz w:val="24"/>
          <w:lang w:val="es-ES"/>
        </w:rPr>
        <w:t>í</w:t>
      </w:r>
      <w:r>
        <w:rPr>
          <w:b/>
          <w:sz w:val="24"/>
          <w:lang w:val="es-ES"/>
        </w:rPr>
        <w:t>odo de sesiones (27º extraordinario</w:t>
      </w:r>
      <w:r w:rsidR="00944B90" w:rsidRPr="00944B90">
        <w:rPr>
          <w:b/>
          <w:sz w:val="24"/>
          <w:lang w:val="es-ES"/>
        </w:rPr>
        <w:t>)</w:t>
      </w:r>
      <w:r w:rsidR="003D57B0" w:rsidRPr="000A5216">
        <w:rPr>
          <w:b/>
          <w:sz w:val="24"/>
          <w:lang w:val="es-ES"/>
        </w:rPr>
        <w:br/>
      </w:r>
      <w:r w:rsidR="00DC0BA7" w:rsidRPr="000A5216">
        <w:rPr>
          <w:b/>
          <w:sz w:val="24"/>
          <w:lang w:val="es-ES"/>
        </w:rPr>
        <w:t>Ginebra</w:t>
      </w:r>
      <w:r w:rsidR="00DF023A" w:rsidRPr="000A5216">
        <w:rPr>
          <w:b/>
          <w:sz w:val="24"/>
          <w:lang w:val="es-ES"/>
        </w:rPr>
        <w:t xml:space="preserve">, </w:t>
      </w:r>
      <w:r w:rsidR="002A633A" w:rsidRPr="000A5216">
        <w:rPr>
          <w:b/>
          <w:sz w:val="24"/>
          <w:lang w:val="es-ES"/>
        </w:rPr>
        <w:t>24</w:t>
      </w:r>
      <w:r w:rsidR="00D10BC5" w:rsidRPr="000A5216">
        <w:rPr>
          <w:b/>
          <w:sz w:val="24"/>
          <w:lang w:val="es-ES"/>
        </w:rPr>
        <w:t xml:space="preserve"> de</w:t>
      </w:r>
      <w:r w:rsidR="002A633A" w:rsidRPr="000A5216">
        <w:rPr>
          <w:b/>
          <w:sz w:val="24"/>
          <w:lang w:val="es-ES"/>
        </w:rPr>
        <w:t xml:space="preserve"> s</w:t>
      </w:r>
      <w:r w:rsidR="00217165" w:rsidRPr="000A5216">
        <w:rPr>
          <w:b/>
          <w:sz w:val="24"/>
          <w:lang w:val="es-ES"/>
        </w:rPr>
        <w:t>ept</w:t>
      </w:r>
      <w:r w:rsidR="00DC0BA7" w:rsidRPr="000A5216">
        <w:rPr>
          <w:b/>
          <w:sz w:val="24"/>
          <w:lang w:val="es-ES"/>
        </w:rPr>
        <w:t>iembre a</w:t>
      </w:r>
      <w:r w:rsidR="002A633A" w:rsidRPr="000A5216">
        <w:rPr>
          <w:b/>
          <w:sz w:val="24"/>
          <w:lang w:val="es-ES"/>
        </w:rPr>
        <w:t xml:space="preserve"> 2 </w:t>
      </w:r>
      <w:r w:rsidR="00DC0BA7" w:rsidRPr="000A5216">
        <w:rPr>
          <w:b/>
          <w:sz w:val="24"/>
          <w:lang w:val="es-ES"/>
        </w:rPr>
        <w:t xml:space="preserve">de </w:t>
      </w:r>
      <w:r w:rsidR="002A633A" w:rsidRPr="000A5216">
        <w:rPr>
          <w:b/>
          <w:sz w:val="24"/>
          <w:lang w:val="es-ES"/>
        </w:rPr>
        <w:t>o</w:t>
      </w:r>
      <w:r w:rsidR="00DC0BA7" w:rsidRPr="000A5216">
        <w:rPr>
          <w:b/>
          <w:sz w:val="24"/>
          <w:lang w:val="es-ES"/>
        </w:rPr>
        <w:t>ctu</w:t>
      </w:r>
      <w:r w:rsidR="00217165" w:rsidRPr="000A5216">
        <w:rPr>
          <w:b/>
          <w:sz w:val="24"/>
          <w:lang w:val="es-ES"/>
        </w:rPr>
        <w:t>bre</w:t>
      </w:r>
      <w:r w:rsidR="00DC0BA7" w:rsidRPr="000A5216">
        <w:rPr>
          <w:b/>
          <w:sz w:val="24"/>
          <w:lang w:val="es-ES"/>
        </w:rPr>
        <w:t xml:space="preserve"> de</w:t>
      </w:r>
      <w:r w:rsidR="00DF023A" w:rsidRPr="000A5216">
        <w:rPr>
          <w:b/>
          <w:sz w:val="24"/>
          <w:lang w:val="es-ES"/>
        </w:rPr>
        <w:t xml:space="preserve"> 2018</w:t>
      </w:r>
    </w:p>
    <w:p w:rsidR="008B2CC1" w:rsidRPr="000A5216" w:rsidRDefault="000A5216" w:rsidP="000A4DB4">
      <w:pPr>
        <w:spacing w:after="360"/>
        <w:rPr>
          <w:caps/>
          <w:sz w:val="24"/>
          <w:lang w:val="es-ES"/>
        </w:rPr>
      </w:pPr>
      <w:bookmarkStart w:id="4" w:name="TitleOfDoc"/>
      <w:bookmarkEnd w:id="4"/>
      <w:r w:rsidRPr="000A5216">
        <w:rPr>
          <w:rFonts w:eastAsia="Times New Roman"/>
          <w:color w:val="000000"/>
          <w:sz w:val="24"/>
          <w:szCs w:val="24"/>
          <w:lang w:val="es-ES" w:eastAsia="en-US"/>
        </w:rPr>
        <w:t>APERTURA DE NUEVAS OFICINAS DE LA OMPI EN EL EXTERIOR DURANTE EL BIENIO 2018/19</w:t>
      </w:r>
    </w:p>
    <w:p w:rsidR="008B2CC1" w:rsidRPr="000A5216" w:rsidRDefault="000A5216" w:rsidP="009C127D">
      <w:pPr>
        <w:spacing w:after="960"/>
        <w:rPr>
          <w:i/>
          <w:lang w:val="es-ES"/>
        </w:rPr>
      </w:pPr>
      <w:bookmarkStart w:id="5" w:name="Prepared"/>
      <w:bookmarkEnd w:id="5"/>
      <w:r w:rsidRPr="000A5216">
        <w:rPr>
          <w:rFonts w:eastAsia="Times New Roman"/>
          <w:i/>
          <w:color w:val="000000"/>
          <w:szCs w:val="22"/>
          <w:lang w:val="es-ES" w:eastAsia="en-US"/>
        </w:rPr>
        <w:t>Documento preparado por la Secretaría</w:t>
      </w:r>
    </w:p>
    <w:p w:rsidR="000A5216" w:rsidRDefault="000A5216" w:rsidP="000A5216">
      <w:pPr>
        <w:autoSpaceDE w:val="0"/>
        <w:autoSpaceDN w:val="0"/>
        <w:adjustRightInd w:val="0"/>
        <w:rPr>
          <w:szCs w:val="22"/>
          <w:lang w:val="es-ES_tradnl"/>
        </w:rPr>
      </w:pPr>
      <w:r>
        <w:rPr>
          <w:szCs w:val="22"/>
          <w:lang w:val="es-ES_tradnl"/>
        </w:rPr>
        <w:fldChar w:fldCharType="begin"/>
      </w:r>
      <w:r>
        <w:rPr>
          <w:szCs w:val="22"/>
          <w:lang w:val="es-ES_tradnl"/>
        </w:rPr>
        <w:instrText xml:space="preserve"> AUTONUM  </w:instrText>
      </w:r>
      <w:r>
        <w:rPr>
          <w:szCs w:val="22"/>
          <w:lang w:val="es-ES_tradnl"/>
        </w:rPr>
        <w:fldChar w:fldCharType="end"/>
      </w:r>
      <w:r>
        <w:rPr>
          <w:szCs w:val="22"/>
          <w:lang w:val="es-ES_tradnl"/>
        </w:rPr>
        <w:tab/>
      </w:r>
      <w:r w:rsidRPr="00265C7B">
        <w:rPr>
          <w:szCs w:val="22"/>
          <w:lang w:val="es-ES_tradnl"/>
        </w:rPr>
        <w:t>E</w:t>
      </w:r>
      <w:r>
        <w:rPr>
          <w:szCs w:val="22"/>
          <w:lang w:val="es-ES_tradnl"/>
        </w:rPr>
        <w:t>n su cuadragésimo noveno período de sesiones (23</w:t>
      </w:r>
      <w:proofErr w:type="gramStart"/>
      <w:r>
        <w:rPr>
          <w:szCs w:val="22"/>
          <w:lang w:val="es-ES_tradnl"/>
        </w:rPr>
        <w:t>.º</w:t>
      </w:r>
      <w:proofErr w:type="gramEnd"/>
      <w:r>
        <w:rPr>
          <w:szCs w:val="22"/>
          <w:lang w:val="es-ES_tradnl"/>
        </w:rPr>
        <w:t xml:space="preserve"> ordinario), celebrado en octubre de 2017, la Asamblea General de la OMPI adoptó la decisión siguiente en lo que respecta a las nuevas oficinas de la OMPI en el exterior (véase el documento A/57/12, párrafo 160):</w:t>
      </w:r>
    </w:p>
    <w:p w:rsidR="000A5216" w:rsidRDefault="000A5216" w:rsidP="000A5216">
      <w:pPr>
        <w:autoSpaceDE w:val="0"/>
        <w:autoSpaceDN w:val="0"/>
        <w:adjustRightInd w:val="0"/>
        <w:rPr>
          <w:szCs w:val="22"/>
          <w:lang w:val="es-ES_tradnl"/>
        </w:rPr>
      </w:pPr>
    </w:p>
    <w:p w:rsidR="000A5216" w:rsidRPr="000A5216" w:rsidRDefault="000A5216" w:rsidP="000A5216">
      <w:pPr>
        <w:autoSpaceDE w:val="0"/>
        <w:autoSpaceDN w:val="0"/>
        <w:adjustRightInd w:val="0"/>
        <w:ind w:left="567"/>
        <w:rPr>
          <w:rFonts w:eastAsia="Times New Roman"/>
          <w:color w:val="000000"/>
          <w:szCs w:val="22"/>
          <w:lang w:val="es-ES" w:eastAsia="en-US"/>
        </w:rPr>
      </w:pPr>
      <w:r>
        <w:rPr>
          <w:szCs w:val="22"/>
          <w:lang w:val="es-ES_tradnl"/>
        </w:rPr>
        <w:t>“</w:t>
      </w:r>
      <w:r w:rsidRPr="000A5216">
        <w:rPr>
          <w:lang w:val="es-ES"/>
        </w:rPr>
        <w:t>La Asamblea General de la OMPI decidió que la Asamblea General de 2018 estudiará la posibilidad de abrir hasta cuatro oficinas de la OMPI en el exterior durante el bienio 2018/19, incluida una en Colombia.”</w:t>
      </w:r>
    </w:p>
    <w:p w:rsidR="000A5216" w:rsidRPr="000A5216" w:rsidRDefault="000A5216" w:rsidP="000A5216">
      <w:pPr>
        <w:autoSpaceDE w:val="0"/>
        <w:autoSpaceDN w:val="0"/>
        <w:adjustRightInd w:val="0"/>
        <w:rPr>
          <w:rFonts w:eastAsia="Times New Roman"/>
          <w:color w:val="000000"/>
          <w:szCs w:val="22"/>
          <w:lang w:val="es-ES" w:eastAsia="en-US"/>
        </w:rPr>
      </w:pPr>
    </w:p>
    <w:p w:rsidR="000A5216" w:rsidRPr="000A5216" w:rsidRDefault="000A5216" w:rsidP="000A5216">
      <w:pPr>
        <w:autoSpaceDE w:val="0"/>
        <w:autoSpaceDN w:val="0"/>
        <w:adjustRightInd w:val="0"/>
        <w:rPr>
          <w:rFonts w:eastAsia="Times New Roman"/>
          <w:color w:val="000000"/>
          <w:szCs w:val="22"/>
          <w:lang w:val="es-ES" w:eastAsia="en-US"/>
        </w:rPr>
      </w:pPr>
      <w:r>
        <w:rPr>
          <w:rFonts w:eastAsia="Times New Roman"/>
          <w:color w:val="000000"/>
          <w:szCs w:val="22"/>
          <w:lang w:eastAsia="en-US"/>
        </w:rPr>
        <w:fldChar w:fldCharType="begin"/>
      </w:r>
      <w:r w:rsidRPr="000A5216">
        <w:rPr>
          <w:rFonts w:eastAsia="Times New Roman"/>
          <w:color w:val="000000"/>
          <w:szCs w:val="22"/>
          <w:lang w:val="es-ES" w:eastAsia="en-US"/>
        </w:rPr>
        <w:instrText xml:space="preserve"> AUTONUM  </w:instrText>
      </w:r>
      <w:r>
        <w:rPr>
          <w:rFonts w:eastAsia="Times New Roman"/>
          <w:color w:val="000000"/>
          <w:szCs w:val="22"/>
          <w:lang w:eastAsia="en-US"/>
        </w:rPr>
        <w:fldChar w:fldCharType="end"/>
      </w:r>
      <w:r w:rsidRPr="000A5216">
        <w:rPr>
          <w:rFonts w:eastAsia="Times New Roman"/>
          <w:color w:val="000000"/>
          <w:szCs w:val="22"/>
          <w:lang w:val="es-ES" w:eastAsia="en-US"/>
        </w:rPr>
        <w:tab/>
        <w:t xml:space="preserve">De </w:t>
      </w:r>
      <w:r w:rsidRPr="001A76EB">
        <w:rPr>
          <w:szCs w:val="22"/>
          <w:lang w:val="es-ES_tradnl"/>
        </w:rPr>
        <w:t>conformidad</w:t>
      </w:r>
      <w:r w:rsidRPr="000A5216">
        <w:rPr>
          <w:rFonts w:eastAsia="Times New Roman"/>
          <w:color w:val="000000"/>
          <w:szCs w:val="22"/>
          <w:lang w:val="es-ES" w:eastAsia="en-US"/>
        </w:rPr>
        <w:t xml:space="preserve"> con el proceso establecido en los “Principios rectores relativos a las oficinas de la OMPI en el exterior” (véase el documento A/55/13, informe general aprobado por las Asambleas de la OMPI), nueve Estados miembros han presentado propuestas para abrir oficinas en sus respectivos países durante el bienio 2018/19, a saber:  Azerbaiyán, Colombia, India, Irán (República Islámica del), Omán, República de Corea, Rumania, Arabia Saudita, Turquía, Emiratos Árabes Unidos (según el orden alfabético del inglés).  Se pueden consultar esas propuestas en la página del sitio web de la OMPI dedicada a la vigesimosexta sesión del Comité del Programa y Presupuesto de la OMPI, cuyo URL es el siguiente:  </w:t>
      </w:r>
      <w:hyperlink r:id="rId10" w:history="1">
        <w:r w:rsidRPr="00B66F8D">
          <w:rPr>
            <w:rStyle w:val="Hyperlink"/>
            <w:rFonts w:eastAsia="Times New Roman"/>
            <w:color w:val="auto"/>
            <w:szCs w:val="22"/>
            <w:u w:val="none"/>
            <w:lang w:val="es-ES" w:eastAsia="en-US"/>
          </w:rPr>
          <w:t>http://www.wipo.int/meetings/es/details.jsp?meeting_id=42294</w:t>
        </w:r>
      </w:hyperlink>
      <w:r w:rsidRPr="00B66F8D">
        <w:rPr>
          <w:rFonts w:eastAsia="Times New Roman"/>
          <w:szCs w:val="22"/>
          <w:lang w:val="es-ES" w:eastAsia="en-US"/>
        </w:rPr>
        <w:t>.</w:t>
      </w:r>
      <w:r w:rsidRPr="000A5216">
        <w:rPr>
          <w:rFonts w:eastAsia="Times New Roman"/>
          <w:color w:val="000000"/>
          <w:szCs w:val="22"/>
          <w:lang w:val="es-ES" w:eastAsia="en-US"/>
        </w:rPr>
        <w:t xml:space="preserve">  El informe separado, fáctico y técnico de esas propuestas realizado por la Secretaría figura en el documento WO/PBC/26/7.</w:t>
      </w:r>
    </w:p>
    <w:p w:rsidR="000A5216" w:rsidRPr="000A5216" w:rsidRDefault="000A5216" w:rsidP="000A5216">
      <w:pPr>
        <w:autoSpaceDE w:val="0"/>
        <w:autoSpaceDN w:val="0"/>
        <w:adjustRightInd w:val="0"/>
        <w:rPr>
          <w:rFonts w:eastAsia="Times New Roman"/>
          <w:color w:val="000000"/>
          <w:szCs w:val="22"/>
          <w:lang w:val="es-ES" w:eastAsia="en-US"/>
        </w:rPr>
      </w:pPr>
    </w:p>
    <w:p w:rsidR="000A5216" w:rsidRPr="000A5216" w:rsidRDefault="000A5216" w:rsidP="000A5216">
      <w:pPr>
        <w:autoSpaceDE w:val="0"/>
        <w:autoSpaceDN w:val="0"/>
        <w:adjustRightInd w:val="0"/>
        <w:rPr>
          <w:rFonts w:eastAsia="Times New Roman"/>
          <w:color w:val="000000"/>
          <w:szCs w:val="22"/>
          <w:lang w:val="es-ES" w:eastAsia="en-US"/>
        </w:rPr>
      </w:pPr>
      <w:r>
        <w:rPr>
          <w:rFonts w:eastAsia="Times New Roman"/>
          <w:color w:val="000000"/>
          <w:szCs w:val="22"/>
          <w:lang w:eastAsia="en-US"/>
        </w:rPr>
        <w:fldChar w:fldCharType="begin"/>
      </w:r>
      <w:r w:rsidRPr="000A5216">
        <w:rPr>
          <w:rFonts w:eastAsia="Times New Roman"/>
          <w:color w:val="000000"/>
          <w:szCs w:val="22"/>
          <w:lang w:val="es-ES" w:eastAsia="en-US"/>
        </w:rPr>
        <w:instrText xml:space="preserve"> AUTONUM  </w:instrText>
      </w:r>
      <w:r>
        <w:rPr>
          <w:rFonts w:eastAsia="Times New Roman"/>
          <w:color w:val="000000"/>
          <w:szCs w:val="22"/>
          <w:lang w:eastAsia="en-US"/>
        </w:rPr>
        <w:fldChar w:fldCharType="end"/>
      </w:r>
      <w:r w:rsidRPr="000A5216">
        <w:rPr>
          <w:rFonts w:eastAsia="Times New Roman"/>
          <w:color w:val="000000"/>
          <w:szCs w:val="22"/>
          <w:lang w:val="es-ES" w:eastAsia="en-US"/>
        </w:rPr>
        <w:tab/>
        <w:t xml:space="preserve">Además, la Asamblea General de la OMPI decidió que la propuesta de abrir una oficina de la OMPI en Colombia también sea considerada para el bienio 2018/19.  La propuesta de Colombia, presentada para el bienio 2016/17 con arreglo al proceso establecido en los </w:t>
      </w:r>
      <w:r w:rsidRPr="000A5216">
        <w:rPr>
          <w:rFonts w:eastAsia="Times New Roman"/>
          <w:color w:val="000000"/>
          <w:szCs w:val="22"/>
          <w:lang w:val="es-ES" w:eastAsia="en-US"/>
        </w:rPr>
        <w:lastRenderedPageBreak/>
        <w:t xml:space="preserve">“Principios rectores relativos a las oficinas de la OMPI en el exterior”, puede ser consultada en la página del sitio web de la OMPI dedicada a la vigesimoquinta sesión del Comité del Programa y Presupuesto de la OMPI, cuyo URL es el siguiente:  </w:t>
      </w:r>
      <w:hyperlink r:id="rId11" w:history="1">
        <w:r w:rsidRPr="00B66F8D">
          <w:rPr>
            <w:rStyle w:val="Hyperlink"/>
            <w:rFonts w:eastAsia="Times New Roman"/>
            <w:color w:val="auto"/>
            <w:szCs w:val="22"/>
            <w:u w:val="none"/>
            <w:lang w:val="es-ES" w:eastAsia="en-US"/>
          </w:rPr>
          <w:t>http://www.wipo.int/meetings/es/details.jsp?meeting_id=39942</w:t>
        </w:r>
      </w:hyperlink>
      <w:r w:rsidRPr="00B66F8D">
        <w:rPr>
          <w:rFonts w:eastAsia="Times New Roman"/>
          <w:szCs w:val="22"/>
          <w:lang w:val="es-ES" w:eastAsia="en-US"/>
        </w:rPr>
        <w:t>.</w:t>
      </w:r>
      <w:r w:rsidRPr="000A5216">
        <w:rPr>
          <w:rFonts w:eastAsia="Times New Roman"/>
          <w:color w:val="000000"/>
          <w:szCs w:val="22"/>
          <w:lang w:val="es-ES" w:eastAsia="en-US"/>
        </w:rPr>
        <w:t xml:space="preserve">  El informe separado, fáctico y técnico de esa propuesta realizado por la Secretaría figura en el documento WO/PBC/25/12.</w:t>
      </w:r>
    </w:p>
    <w:p w:rsidR="000A5216" w:rsidRPr="000A5216" w:rsidRDefault="000A5216" w:rsidP="000A5216">
      <w:pPr>
        <w:autoSpaceDE w:val="0"/>
        <w:autoSpaceDN w:val="0"/>
        <w:adjustRightInd w:val="0"/>
        <w:rPr>
          <w:rFonts w:eastAsia="Times New Roman"/>
          <w:color w:val="000000"/>
          <w:szCs w:val="22"/>
          <w:lang w:val="es-ES" w:eastAsia="en-US"/>
        </w:rPr>
      </w:pPr>
    </w:p>
    <w:p w:rsidR="000A5216" w:rsidRPr="000A5216" w:rsidRDefault="000A5216" w:rsidP="000A5216">
      <w:pPr>
        <w:autoSpaceDE w:val="0"/>
        <w:autoSpaceDN w:val="0"/>
        <w:adjustRightInd w:val="0"/>
        <w:rPr>
          <w:rFonts w:eastAsia="Times New Roman"/>
          <w:color w:val="000000"/>
          <w:szCs w:val="22"/>
          <w:lang w:val="es-ES" w:eastAsia="en-US"/>
        </w:rPr>
      </w:pPr>
      <w:r>
        <w:rPr>
          <w:rFonts w:eastAsia="Times New Roman"/>
          <w:color w:val="000000"/>
          <w:szCs w:val="22"/>
          <w:lang w:eastAsia="en-US"/>
        </w:rPr>
        <w:fldChar w:fldCharType="begin"/>
      </w:r>
      <w:r w:rsidRPr="000A5216">
        <w:rPr>
          <w:rFonts w:eastAsia="Times New Roman"/>
          <w:color w:val="000000"/>
          <w:szCs w:val="22"/>
          <w:lang w:val="es-ES" w:eastAsia="en-US"/>
        </w:rPr>
        <w:instrText xml:space="preserve"> AUTONUM  </w:instrText>
      </w:r>
      <w:r>
        <w:rPr>
          <w:rFonts w:eastAsia="Times New Roman"/>
          <w:color w:val="000000"/>
          <w:szCs w:val="22"/>
          <w:lang w:eastAsia="en-US"/>
        </w:rPr>
        <w:fldChar w:fldCharType="end"/>
      </w:r>
      <w:r w:rsidRPr="000A5216">
        <w:rPr>
          <w:rFonts w:eastAsia="Times New Roman"/>
          <w:color w:val="000000"/>
          <w:szCs w:val="22"/>
          <w:lang w:val="es-ES" w:eastAsia="en-US"/>
        </w:rPr>
        <w:tab/>
        <w:t>Por consiguiente, la Asamblea General de la OMPI, reunida en su quincuagésimo período de sesiones (27</w:t>
      </w:r>
      <w:proofErr w:type="gramStart"/>
      <w:r w:rsidRPr="000A5216">
        <w:rPr>
          <w:rFonts w:eastAsia="Times New Roman"/>
          <w:color w:val="000000"/>
          <w:szCs w:val="22"/>
          <w:lang w:val="es-ES" w:eastAsia="en-US"/>
        </w:rPr>
        <w:t>.º</w:t>
      </w:r>
      <w:proofErr w:type="gramEnd"/>
      <w:r w:rsidRPr="000A5216">
        <w:rPr>
          <w:rFonts w:eastAsia="Times New Roman"/>
          <w:color w:val="000000"/>
          <w:szCs w:val="22"/>
          <w:lang w:val="es-ES" w:eastAsia="en-US"/>
        </w:rPr>
        <w:t xml:space="preserve"> ordinario), debe examinar, en relación con la apertura de nuevas oficinas de la OMPI en el exterior, las propuestas de los siguientes diez Estados miembros (según el orden alfabético del inglés):</w:t>
      </w:r>
    </w:p>
    <w:p w:rsidR="000A5216" w:rsidRPr="000A5216" w:rsidRDefault="000A5216" w:rsidP="000A5216">
      <w:pPr>
        <w:autoSpaceDE w:val="0"/>
        <w:autoSpaceDN w:val="0"/>
        <w:adjustRightInd w:val="0"/>
        <w:rPr>
          <w:rFonts w:eastAsia="Times New Roman"/>
          <w:color w:val="000000"/>
          <w:szCs w:val="22"/>
          <w:lang w:val="es-ES" w:eastAsia="en-US"/>
        </w:rPr>
      </w:pPr>
    </w:p>
    <w:p w:rsidR="000A5216" w:rsidRPr="00941953" w:rsidRDefault="000A5216" w:rsidP="000A5216">
      <w:pPr>
        <w:pStyle w:val="ListParagraph"/>
        <w:numPr>
          <w:ilvl w:val="0"/>
          <w:numId w:val="7"/>
        </w:numPr>
        <w:autoSpaceDE w:val="0"/>
        <w:autoSpaceDN w:val="0"/>
        <w:adjustRightInd w:val="0"/>
        <w:ind w:left="993" w:hanging="426"/>
        <w:rPr>
          <w:rFonts w:eastAsia="Times New Roman"/>
          <w:color w:val="000000"/>
          <w:szCs w:val="22"/>
          <w:lang w:eastAsia="en-US"/>
        </w:rPr>
      </w:pPr>
      <w:r w:rsidRPr="00941953">
        <w:rPr>
          <w:rFonts w:eastAsia="Times New Roman"/>
          <w:color w:val="000000"/>
          <w:szCs w:val="22"/>
          <w:lang w:val="es-ES" w:eastAsia="en-US"/>
        </w:rPr>
        <w:t>Azerbaiyán</w:t>
      </w:r>
      <w:r w:rsidRPr="00941953">
        <w:rPr>
          <w:rFonts w:eastAsia="Times New Roman"/>
          <w:color w:val="000000"/>
          <w:szCs w:val="22"/>
          <w:lang w:eastAsia="en-US"/>
        </w:rPr>
        <w:t>.</w:t>
      </w:r>
    </w:p>
    <w:p w:rsidR="000A5216" w:rsidRPr="00941953" w:rsidRDefault="000A5216" w:rsidP="000A5216">
      <w:pPr>
        <w:pStyle w:val="ListParagraph"/>
        <w:numPr>
          <w:ilvl w:val="0"/>
          <w:numId w:val="7"/>
        </w:numPr>
        <w:autoSpaceDE w:val="0"/>
        <w:autoSpaceDN w:val="0"/>
        <w:adjustRightInd w:val="0"/>
        <w:ind w:left="993" w:hanging="426"/>
        <w:rPr>
          <w:rFonts w:eastAsia="Times New Roman"/>
          <w:color w:val="000000"/>
          <w:szCs w:val="22"/>
          <w:lang w:eastAsia="en-US"/>
        </w:rPr>
      </w:pPr>
      <w:r w:rsidRPr="00941953">
        <w:rPr>
          <w:rFonts w:eastAsia="Times New Roman"/>
          <w:color w:val="000000"/>
          <w:szCs w:val="22"/>
          <w:lang w:eastAsia="en-US"/>
        </w:rPr>
        <w:t>Colombia.</w:t>
      </w:r>
    </w:p>
    <w:p w:rsidR="000A5216" w:rsidRPr="00941953" w:rsidRDefault="000A5216" w:rsidP="000A5216">
      <w:pPr>
        <w:pStyle w:val="ListParagraph"/>
        <w:numPr>
          <w:ilvl w:val="0"/>
          <w:numId w:val="7"/>
        </w:numPr>
        <w:autoSpaceDE w:val="0"/>
        <w:autoSpaceDN w:val="0"/>
        <w:adjustRightInd w:val="0"/>
        <w:ind w:left="993" w:hanging="426"/>
        <w:rPr>
          <w:rFonts w:eastAsia="Times New Roman"/>
          <w:color w:val="000000"/>
          <w:szCs w:val="22"/>
          <w:lang w:eastAsia="en-US"/>
        </w:rPr>
      </w:pPr>
      <w:r w:rsidRPr="00941953">
        <w:rPr>
          <w:rFonts w:eastAsia="Times New Roman"/>
          <w:color w:val="000000"/>
          <w:szCs w:val="22"/>
          <w:lang w:eastAsia="en-US"/>
        </w:rPr>
        <w:t>India.</w:t>
      </w:r>
    </w:p>
    <w:p w:rsidR="000A5216" w:rsidRPr="00941953" w:rsidRDefault="000A5216" w:rsidP="000A5216">
      <w:pPr>
        <w:pStyle w:val="ListParagraph"/>
        <w:numPr>
          <w:ilvl w:val="0"/>
          <w:numId w:val="7"/>
        </w:numPr>
        <w:autoSpaceDE w:val="0"/>
        <w:autoSpaceDN w:val="0"/>
        <w:adjustRightInd w:val="0"/>
        <w:ind w:left="993" w:hanging="426"/>
        <w:rPr>
          <w:rFonts w:eastAsia="Times New Roman"/>
          <w:color w:val="000000"/>
          <w:szCs w:val="22"/>
          <w:lang w:eastAsia="en-US"/>
        </w:rPr>
      </w:pPr>
      <w:r w:rsidRPr="00941953">
        <w:rPr>
          <w:rFonts w:eastAsia="Times New Roman"/>
          <w:color w:val="000000"/>
          <w:szCs w:val="22"/>
          <w:lang w:eastAsia="en-US"/>
        </w:rPr>
        <w:t xml:space="preserve">Irán (República Islámica </w:t>
      </w:r>
      <w:proofErr w:type="gramStart"/>
      <w:r w:rsidRPr="00941953">
        <w:rPr>
          <w:rFonts w:eastAsia="Times New Roman"/>
          <w:color w:val="000000"/>
          <w:szCs w:val="22"/>
          <w:lang w:eastAsia="en-US"/>
        </w:rPr>
        <w:t>del</w:t>
      </w:r>
      <w:proofErr w:type="gramEnd"/>
      <w:r w:rsidRPr="00941953">
        <w:rPr>
          <w:rFonts w:eastAsia="Times New Roman"/>
          <w:color w:val="000000"/>
          <w:szCs w:val="22"/>
          <w:lang w:eastAsia="en-US"/>
        </w:rPr>
        <w:t>).</w:t>
      </w:r>
    </w:p>
    <w:p w:rsidR="000A5216" w:rsidRPr="00941953" w:rsidRDefault="000A5216" w:rsidP="000A5216">
      <w:pPr>
        <w:pStyle w:val="ListParagraph"/>
        <w:numPr>
          <w:ilvl w:val="0"/>
          <w:numId w:val="7"/>
        </w:numPr>
        <w:autoSpaceDE w:val="0"/>
        <w:autoSpaceDN w:val="0"/>
        <w:adjustRightInd w:val="0"/>
        <w:ind w:left="993" w:hanging="426"/>
        <w:rPr>
          <w:rFonts w:eastAsia="Times New Roman"/>
          <w:color w:val="000000"/>
          <w:szCs w:val="22"/>
          <w:lang w:eastAsia="en-US"/>
        </w:rPr>
      </w:pPr>
      <w:r w:rsidRPr="00941953">
        <w:rPr>
          <w:rFonts w:eastAsia="Times New Roman"/>
          <w:color w:val="000000"/>
          <w:szCs w:val="22"/>
          <w:lang w:eastAsia="en-US"/>
        </w:rPr>
        <w:t>Omán.</w:t>
      </w:r>
    </w:p>
    <w:p w:rsidR="000A5216" w:rsidRPr="00941953" w:rsidRDefault="000A5216" w:rsidP="000A5216">
      <w:pPr>
        <w:pStyle w:val="ListParagraph"/>
        <w:numPr>
          <w:ilvl w:val="0"/>
          <w:numId w:val="7"/>
        </w:numPr>
        <w:autoSpaceDE w:val="0"/>
        <w:autoSpaceDN w:val="0"/>
        <w:adjustRightInd w:val="0"/>
        <w:ind w:left="993" w:hanging="426"/>
        <w:rPr>
          <w:rFonts w:eastAsia="Times New Roman"/>
          <w:color w:val="000000"/>
          <w:szCs w:val="22"/>
          <w:lang w:eastAsia="en-US"/>
        </w:rPr>
      </w:pPr>
      <w:r w:rsidRPr="00941953">
        <w:rPr>
          <w:rFonts w:eastAsia="Times New Roman"/>
          <w:color w:val="000000"/>
          <w:szCs w:val="22"/>
          <w:lang w:eastAsia="en-US"/>
        </w:rPr>
        <w:t>República de Corea.</w:t>
      </w:r>
    </w:p>
    <w:p w:rsidR="000A5216" w:rsidRPr="00941953" w:rsidRDefault="000A5216" w:rsidP="000A5216">
      <w:pPr>
        <w:pStyle w:val="ListParagraph"/>
        <w:numPr>
          <w:ilvl w:val="0"/>
          <w:numId w:val="7"/>
        </w:numPr>
        <w:autoSpaceDE w:val="0"/>
        <w:autoSpaceDN w:val="0"/>
        <w:adjustRightInd w:val="0"/>
        <w:ind w:left="993" w:hanging="426"/>
        <w:rPr>
          <w:rFonts w:eastAsia="Times New Roman"/>
          <w:color w:val="000000"/>
          <w:szCs w:val="22"/>
          <w:lang w:eastAsia="en-US"/>
        </w:rPr>
      </w:pPr>
      <w:r w:rsidRPr="00941953">
        <w:rPr>
          <w:rFonts w:eastAsia="Times New Roman"/>
          <w:color w:val="000000"/>
          <w:szCs w:val="22"/>
          <w:lang w:eastAsia="en-US"/>
        </w:rPr>
        <w:t>Rumania.</w:t>
      </w:r>
    </w:p>
    <w:p w:rsidR="000A5216" w:rsidRPr="00941953" w:rsidRDefault="000A5216" w:rsidP="000A5216">
      <w:pPr>
        <w:pStyle w:val="ListParagraph"/>
        <w:numPr>
          <w:ilvl w:val="0"/>
          <w:numId w:val="7"/>
        </w:numPr>
        <w:autoSpaceDE w:val="0"/>
        <w:autoSpaceDN w:val="0"/>
        <w:adjustRightInd w:val="0"/>
        <w:ind w:left="993" w:hanging="426"/>
        <w:rPr>
          <w:rFonts w:eastAsia="Times New Roman"/>
          <w:color w:val="000000"/>
          <w:szCs w:val="22"/>
          <w:lang w:eastAsia="en-US"/>
        </w:rPr>
      </w:pPr>
      <w:r w:rsidRPr="00941953">
        <w:rPr>
          <w:rFonts w:eastAsia="Times New Roman"/>
          <w:color w:val="000000"/>
          <w:szCs w:val="22"/>
          <w:lang w:eastAsia="en-US"/>
        </w:rPr>
        <w:t>Arabia Saudita.</w:t>
      </w:r>
    </w:p>
    <w:p w:rsidR="000A5216" w:rsidRPr="00941953" w:rsidRDefault="000A5216" w:rsidP="000A5216">
      <w:pPr>
        <w:pStyle w:val="ListParagraph"/>
        <w:numPr>
          <w:ilvl w:val="0"/>
          <w:numId w:val="7"/>
        </w:numPr>
        <w:autoSpaceDE w:val="0"/>
        <w:autoSpaceDN w:val="0"/>
        <w:adjustRightInd w:val="0"/>
        <w:ind w:left="993" w:hanging="426"/>
        <w:rPr>
          <w:rFonts w:eastAsia="Times New Roman"/>
          <w:color w:val="000000"/>
          <w:szCs w:val="22"/>
          <w:lang w:eastAsia="en-US"/>
        </w:rPr>
      </w:pPr>
      <w:r w:rsidRPr="00941953">
        <w:rPr>
          <w:rFonts w:eastAsia="Times New Roman"/>
          <w:color w:val="000000"/>
          <w:szCs w:val="22"/>
          <w:lang w:eastAsia="en-US"/>
        </w:rPr>
        <w:t>Turquía.</w:t>
      </w:r>
    </w:p>
    <w:p w:rsidR="000A5216" w:rsidRPr="00941953" w:rsidRDefault="000A5216" w:rsidP="000A5216">
      <w:pPr>
        <w:pStyle w:val="ListParagraph"/>
        <w:numPr>
          <w:ilvl w:val="0"/>
          <w:numId w:val="7"/>
        </w:numPr>
        <w:autoSpaceDE w:val="0"/>
        <w:autoSpaceDN w:val="0"/>
        <w:adjustRightInd w:val="0"/>
        <w:ind w:left="993" w:hanging="426"/>
        <w:rPr>
          <w:rFonts w:eastAsia="Times New Roman"/>
          <w:color w:val="000000"/>
          <w:szCs w:val="22"/>
          <w:lang w:eastAsia="en-US"/>
        </w:rPr>
      </w:pPr>
      <w:r w:rsidRPr="00941953">
        <w:rPr>
          <w:rFonts w:eastAsia="Times New Roman"/>
          <w:color w:val="000000"/>
          <w:szCs w:val="22"/>
          <w:lang w:eastAsia="en-US"/>
        </w:rPr>
        <w:t>Emiratos Árabes Unidos.</w:t>
      </w:r>
    </w:p>
    <w:p w:rsidR="000A5216" w:rsidRDefault="000A5216" w:rsidP="000A5216">
      <w:pPr>
        <w:autoSpaceDE w:val="0"/>
        <w:autoSpaceDN w:val="0"/>
        <w:adjustRightInd w:val="0"/>
        <w:rPr>
          <w:rFonts w:eastAsia="Times New Roman"/>
          <w:color w:val="000000"/>
          <w:szCs w:val="22"/>
          <w:lang w:eastAsia="en-US"/>
        </w:rPr>
      </w:pPr>
    </w:p>
    <w:p w:rsidR="000A5216" w:rsidRPr="000A5216" w:rsidRDefault="000A5216" w:rsidP="000A5216">
      <w:pPr>
        <w:tabs>
          <w:tab w:val="left" w:pos="6096"/>
        </w:tabs>
        <w:autoSpaceDE w:val="0"/>
        <w:autoSpaceDN w:val="0"/>
        <w:adjustRightInd w:val="0"/>
        <w:ind w:left="5533"/>
        <w:rPr>
          <w:rFonts w:eastAsia="Times New Roman"/>
          <w:iCs/>
          <w:color w:val="000000"/>
          <w:szCs w:val="22"/>
          <w:lang w:val="es-ES" w:eastAsia="en-US"/>
        </w:rPr>
      </w:pPr>
      <w:r>
        <w:rPr>
          <w:rFonts w:eastAsia="Times New Roman"/>
          <w:i/>
          <w:iCs/>
          <w:color w:val="000000"/>
          <w:szCs w:val="22"/>
          <w:lang w:eastAsia="en-US"/>
        </w:rPr>
        <w:fldChar w:fldCharType="begin"/>
      </w:r>
      <w:r w:rsidRPr="000A5216">
        <w:rPr>
          <w:rFonts w:eastAsia="Times New Roman"/>
          <w:i/>
          <w:iCs/>
          <w:color w:val="000000"/>
          <w:szCs w:val="22"/>
          <w:lang w:val="es-ES" w:eastAsia="en-US"/>
        </w:rPr>
        <w:instrText xml:space="preserve"> AUTONUM  </w:instrText>
      </w:r>
      <w:r>
        <w:rPr>
          <w:rFonts w:eastAsia="Times New Roman"/>
          <w:i/>
          <w:iCs/>
          <w:color w:val="000000"/>
          <w:szCs w:val="22"/>
          <w:lang w:eastAsia="en-US"/>
        </w:rPr>
        <w:fldChar w:fldCharType="end"/>
      </w:r>
      <w:r w:rsidRPr="000A5216">
        <w:rPr>
          <w:rFonts w:eastAsia="Times New Roman"/>
          <w:i/>
          <w:iCs/>
          <w:color w:val="000000"/>
          <w:szCs w:val="22"/>
          <w:lang w:val="es-ES" w:eastAsia="en-US"/>
        </w:rPr>
        <w:tab/>
        <w:t>Se invita a la Asamblea General de la OMPI a considerar la apertura de hasta cuatro oficinas de la OMPI en el exterior durante el bienio 2018/19.</w:t>
      </w:r>
    </w:p>
    <w:p w:rsidR="000A5216" w:rsidRPr="000A5216" w:rsidRDefault="000A5216" w:rsidP="000A5216">
      <w:pPr>
        <w:tabs>
          <w:tab w:val="left" w:pos="6096"/>
        </w:tabs>
        <w:autoSpaceDE w:val="0"/>
        <w:autoSpaceDN w:val="0"/>
        <w:adjustRightInd w:val="0"/>
        <w:rPr>
          <w:rFonts w:eastAsia="Times New Roman"/>
          <w:iCs/>
          <w:color w:val="000000"/>
          <w:szCs w:val="22"/>
          <w:lang w:val="es-ES" w:eastAsia="en-US"/>
        </w:rPr>
      </w:pPr>
    </w:p>
    <w:p w:rsidR="000A5216" w:rsidRPr="000A5216" w:rsidRDefault="000A5216" w:rsidP="000A5216">
      <w:pPr>
        <w:tabs>
          <w:tab w:val="left" w:pos="6096"/>
        </w:tabs>
        <w:autoSpaceDE w:val="0"/>
        <w:autoSpaceDN w:val="0"/>
        <w:adjustRightInd w:val="0"/>
        <w:rPr>
          <w:rFonts w:eastAsia="Times New Roman"/>
          <w:iCs/>
          <w:color w:val="000000"/>
          <w:szCs w:val="22"/>
          <w:lang w:val="es-ES" w:eastAsia="en-US"/>
        </w:rPr>
      </w:pPr>
    </w:p>
    <w:p w:rsidR="000A5216" w:rsidRPr="00EB0D10" w:rsidRDefault="000A5216" w:rsidP="000A5216">
      <w:pPr>
        <w:tabs>
          <w:tab w:val="left" w:pos="6096"/>
        </w:tabs>
        <w:autoSpaceDE w:val="0"/>
        <w:autoSpaceDN w:val="0"/>
        <w:adjustRightInd w:val="0"/>
        <w:ind w:left="5533"/>
        <w:rPr>
          <w:rFonts w:eastAsia="Times New Roman"/>
          <w:iCs/>
          <w:color w:val="000000"/>
          <w:szCs w:val="22"/>
          <w:lang w:eastAsia="en-US"/>
        </w:rPr>
      </w:pPr>
      <w:r>
        <w:rPr>
          <w:rFonts w:eastAsia="Times New Roman"/>
          <w:iCs/>
          <w:color w:val="000000"/>
          <w:szCs w:val="22"/>
          <w:lang w:eastAsia="en-US"/>
        </w:rPr>
        <w:t xml:space="preserve">[Fin </w:t>
      </w:r>
      <w:proofErr w:type="gramStart"/>
      <w:r>
        <w:rPr>
          <w:rFonts w:eastAsia="Times New Roman"/>
          <w:iCs/>
          <w:color w:val="000000"/>
          <w:szCs w:val="22"/>
          <w:lang w:eastAsia="en-US"/>
        </w:rPr>
        <w:t>del</w:t>
      </w:r>
      <w:proofErr w:type="gramEnd"/>
      <w:r>
        <w:rPr>
          <w:rFonts w:eastAsia="Times New Roman"/>
          <w:iCs/>
          <w:color w:val="000000"/>
          <w:szCs w:val="22"/>
          <w:lang w:eastAsia="en-US"/>
        </w:rPr>
        <w:t xml:space="preserve"> documento]</w:t>
      </w:r>
    </w:p>
    <w:p w:rsidR="000765C4" w:rsidRPr="000A5216" w:rsidRDefault="000765C4" w:rsidP="000765C4">
      <w:pPr>
        <w:rPr>
          <w:lang w:val="es-ES"/>
        </w:rPr>
      </w:pPr>
    </w:p>
    <w:sectPr w:rsidR="000765C4" w:rsidRPr="000A5216" w:rsidSect="000A5216">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216" w:rsidRDefault="000A5216">
      <w:r>
        <w:separator/>
      </w:r>
    </w:p>
  </w:endnote>
  <w:endnote w:type="continuationSeparator" w:id="0">
    <w:p w:rsidR="000A5216" w:rsidRDefault="000A5216" w:rsidP="003B38C1">
      <w:r>
        <w:separator/>
      </w:r>
    </w:p>
    <w:p w:rsidR="000A5216" w:rsidRPr="003B38C1" w:rsidRDefault="000A5216" w:rsidP="003B38C1">
      <w:pPr>
        <w:spacing w:after="60"/>
        <w:rPr>
          <w:sz w:val="17"/>
        </w:rPr>
      </w:pPr>
      <w:r>
        <w:rPr>
          <w:sz w:val="17"/>
        </w:rPr>
        <w:t>[Endnote continued from previous page]</w:t>
      </w:r>
    </w:p>
  </w:endnote>
  <w:endnote w:type="continuationNotice" w:id="1">
    <w:p w:rsidR="000A5216" w:rsidRPr="003B38C1" w:rsidRDefault="000A521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216" w:rsidRDefault="000A5216">
      <w:r>
        <w:separator/>
      </w:r>
    </w:p>
  </w:footnote>
  <w:footnote w:type="continuationSeparator" w:id="0">
    <w:p w:rsidR="000A5216" w:rsidRDefault="000A5216" w:rsidP="008B60B2">
      <w:r>
        <w:separator/>
      </w:r>
    </w:p>
    <w:p w:rsidR="000A5216" w:rsidRPr="00ED77FB" w:rsidRDefault="000A5216" w:rsidP="008B60B2">
      <w:pPr>
        <w:spacing w:after="60"/>
        <w:rPr>
          <w:sz w:val="17"/>
          <w:szCs w:val="17"/>
        </w:rPr>
      </w:pPr>
      <w:r w:rsidRPr="00ED77FB">
        <w:rPr>
          <w:sz w:val="17"/>
          <w:szCs w:val="17"/>
        </w:rPr>
        <w:t>[Footnote continued from previous page]</w:t>
      </w:r>
    </w:p>
  </w:footnote>
  <w:footnote w:type="continuationNotice" w:id="1">
    <w:p w:rsidR="000A5216" w:rsidRPr="00ED77FB" w:rsidRDefault="000A521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DB4" w:rsidRDefault="000A5216" w:rsidP="00477D6B">
    <w:pPr>
      <w:jc w:val="right"/>
    </w:pPr>
    <w:bookmarkStart w:id="6" w:name="Code2"/>
    <w:bookmarkEnd w:id="6"/>
    <w:r>
      <w:t>WO/GA/50/11</w:t>
    </w:r>
  </w:p>
  <w:p w:rsidR="00EC4E49" w:rsidRDefault="00E147AE" w:rsidP="00477D6B">
    <w:pPr>
      <w:jc w:val="right"/>
    </w:pPr>
    <w:proofErr w:type="gramStart"/>
    <w:r w:rsidRPr="00E147AE">
      <w:t>página</w:t>
    </w:r>
    <w:proofErr w:type="gramEnd"/>
    <w:r w:rsidR="00EC4E49">
      <w:t xml:space="preserve"> </w:t>
    </w:r>
    <w:r w:rsidR="00EC4E49">
      <w:fldChar w:fldCharType="begin"/>
    </w:r>
    <w:r w:rsidR="00EC4E49">
      <w:instrText xml:space="preserve"> PAGE  \* MERGEFORMAT </w:instrText>
    </w:r>
    <w:r w:rsidR="00EC4E49">
      <w:fldChar w:fldCharType="separate"/>
    </w:r>
    <w:r w:rsidR="003D0EEF">
      <w:rPr>
        <w:noProof/>
      </w:rPr>
      <w:t>2</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0FC249B"/>
    <w:multiLevelType w:val="hybridMultilevel"/>
    <w:tmpl w:val="2A14A47C"/>
    <w:lvl w:ilvl="0" w:tplc="0409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216"/>
    <w:rsid w:val="00043CAA"/>
    <w:rsid w:val="00075432"/>
    <w:rsid w:val="000765C4"/>
    <w:rsid w:val="000968ED"/>
    <w:rsid w:val="000A4DB4"/>
    <w:rsid w:val="000A5216"/>
    <w:rsid w:val="000C117A"/>
    <w:rsid w:val="000F5E56"/>
    <w:rsid w:val="001362EE"/>
    <w:rsid w:val="00156693"/>
    <w:rsid w:val="001647D5"/>
    <w:rsid w:val="001832A6"/>
    <w:rsid w:val="0021217E"/>
    <w:rsid w:val="00217165"/>
    <w:rsid w:val="002634C4"/>
    <w:rsid w:val="002928D3"/>
    <w:rsid w:val="002A1C08"/>
    <w:rsid w:val="002A633A"/>
    <w:rsid w:val="002F1FE6"/>
    <w:rsid w:val="002F4E68"/>
    <w:rsid w:val="00312F7F"/>
    <w:rsid w:val="00350AE2"/>
    <w:rsid w:val="00361450"/>
    <w:rsid w:val="003673CF"/>
    <w:rsid w:val="003845C1"/>
    <w:rsid w:val="003A6F89"/>
    <w:rsid w:val="003B38C1"/>
    <w:rsid w:val="003D0EEF"/>
    <w:rsid w:val="003D57B0"/>
    <w:rsid w:val="00423E3E"/>
    <w:rsid w:val="00427AF4"/>
    <w:rsid w:val="004647DA"/>
    <w:rsid w:val="00474062"/>
    <w:rsid w:val="00477D6B"/>
    <w:rsid w:val="005019FF"/>
    <w:rsid w:val="0053057A"/>
    <w:rsid w:val="00560A29"/>
    <w:rsid w:val="005C6649"/>
    <w:rsid w:val="00605827"/>
    <w:rsid w:val="00646050"/>
    <w:rsid w:val="006713CA"/>
    <w:rsid w:val="00676C5C"/>
    <w:rsid w:val="006E4043"/>
    <w:rsid w:val="006E4F5F"/>
    <w:rsid w:val="0074566F"/>
    <w:rsid w:val="00752A8D"/>
    <w:rsid w:val="007D1613"/>
    <w:rsid w:val="007E4C0E"/>
    <w:rsid w:val="00860537"/>
    <w:rsid w:val="00877718"/>
    <w:rsid w:val="008A134B"/>
    <w:rsid w:val="008B2CC1"/>
    <w:rsid w:val="008B60B2"/>
    <w:rsid w:val="0090731E"/>
    <w:rsid w:val="00916EE2"/>
    <w:rsid w:val="00923C9B"/>
    <w:rsid w:val="00944B90"/>
    <w:rsid w:val="00966A22"/>
    <w:rsid w:val="0096722F"/>
    <w:rsid w:val="00980843"/>
    <w:rsid w:val="009C127D"/>
    <w:rsid w:val="009E2791"/>
    <w:rsid w:val="009E3F6F"/>
    <w:rsid w:val="009F499F"/>
    <w:rsid w:val="00A37342"/>
    <w:rsid w:val="00A42DAF"/>
    <w:rsid w:val="00A45BD8"/>
    <w:rsid w:val="00A869B7"/>
    <w:rsid w:val="00AA2DD4"/>
    <w:rsid w:val="00AC205C"/>
    <w:rsid w:val="00AD7EBF"/>
    <w:rsid w:val="00AF0A6B"/>
    <w:rsid w:val="00AF4932"/>
    <w:rsid w:val="00B05A69"/>
    <w:rsid w:val="00B66F8D"/>
    <w:rsid w:val="00B851F5"/>
    <w:rsid w:val="00B9734B"/>
    <w:rsid w:val="00BA30E2"/>
    <w:rsid w:val="00C11BFE"/>
    <w:rsid w:val="00C5068F"/>
    <w:rsid w:val="00C86D74"/>
    <w:rsid w:val="00CB4377"/>
    <w:rsid w:val="00CD04F1"/>
    <w:rsid w:val="00CD7F59"/>
    <w:rsid w:val="00D10BC5"/>
    <w:rsid w:val="00D44A0B"/>
    <w:rsid w:val="00D45252"/>
    <w:rsid w:val="00D66E37"/>
    <w:rsid w:val="00D71B4D"/>
    <w:rsid w:val="00D93D55"/>
    <w:rsid w:val="00DC0BA7"/>
    <w:rsid w:val="00DF023A"/>
    <w:rsid w:val="00DF383E"/>
    <w:rsid w:val="00E147AE"/>
    <w:rsid w:val="00E15015"/>
    <w:rsid w:val="00E335FE"/>
    <w:rsid w:val="00E85557"/>
    <w:rsid w:val="00EA7D6E"/>
    <w:rsid w:val="00EC4E49"/>
    <w:rsid w:val="00ED77FB"/>
    <w:rsid w:val="00EE45FA"/>
    <w:rsid w:val="00F66152"/>
    <w:rsid w:val="00F66CE0"/>
    <w:rsid w:val="00F70EE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0A5216"/>
    <w:pPr>
      <w:ind w:left="720"/>
      <w:contextualSpacing/>
    </w:pPr>
  </w:style>
  <w:style w:type="character" w:styleId="Hyperlink">
    <w:name w:val="Hyperlink"/>
    <w:basedOn w:val="DefaultParagraphFont"/>
    <w:rsid w:val="000A52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0A5216"/>
    <w:pPr>
      <w:ind w:left="720"/>
      <w:contextualSpacing/>
    </w:pPr>
  </w:style>
  <w:style w:type="character" w:styleId="Hyperlink">
    <w:name w:val="Hyperlink"/>
    <w:basedOn w:val="DefaultParagraphFont"/>
    <w:rsid w:val="000A52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s/details.jsp?meeting_id=39942" TargetMode="External"/><Relationship Id="rId5" Type="http://schemas.openxmlformats.org/officeDocument/2006/relationships/settings" Target="settings.xml"/><Relationship Id="rId10" Type="http://schemas.openxmlformats.org/officeDocument/2006/relationships/hyperlink" Target="http://www.wipo.int/meetings/es/details.jsp?meeting_id=4229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52E6D-9377-4E96-AA88-8936D279C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(S)</Template>
  <TotalTime>9</TotalTime>
  <Pages>2</Pages>
  <Words>472</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WO/GA/50/11</vt:lpstr>
    </vt:vector>
  </TitlesOfParts>
  <Company>WIPO</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WO/GA/50/11</dc:title>
  <dc:subject>Quincuagésimo período de sesiones (27º extraordinario)</dc:subject>
  <dc:creator>CEVALLOS DUQUE Nilo</dc:creator>
  <cp:lastModifiedBy>HÄFLIGER Patience</cp:lastModifiedBy>
  <cp:revision>8</cp:revision>
  <cp:lastPrinted>2018-05-30T08:22:00Z</cp:lastPrinted>
  <dcterms:created xsi:type="dcterms:W3CDTF">2018-05-30T07:27:00Z</dcterms:created>
  <dcterms:modified xsi:type="dcterms:W3CDTF">2018-05-30T08:22:00Z</dcterms:modified>
  <cp:category>Asamblea General de Ia OMPI</cp:category>
</cp:coreProperties>
</file>