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974F7F" w14:paraId="40066A12" w14:textId="77777777" w:rsidTr="00361450">
        <w:tc>
          <w:tcPr>
            <w:tcW w:w="4513" w:type="dxa"/>
            <w:tcBorders>
              <w:bottom w:val="single" w:sz="4" w:space="0" w:color="auto"/>
            </w:tcBorders>
            <w:tcMar>
              <w:bottom w:w="170" w:type="dxa"/>
            </w:tcMar>
          </w:tcPr>
          <w:p w14:paraId="09B0963E" w14:textId="77777777" w:rsidR="00EC4E49" w:rsidRPr="00974F7F" w:rsidRDefault="00EC4E49" w:rsidP="00916EE2">
            <w:pPr>
              <w:rPr>
                <w:lang w:val="es-ES"/>
              </w:rPr>
            </w:pPr>
          </w:p>
        </w:tc>
        <w:tc>
          <w:tcPr>
            <w:tcW w:w="4337" w:type="dxa"/>
            <w:tcBorders>
              <w:bottom w:val="single" w:sz="4" w:space="0" w:color="auto"/>
            </w:tcBorders>
            <w:tcMar>
              <w:left w:w="0" w:type="dxa"/>
              <w:right w:w="0" w:type="dxa"/>
            </w:tcMar>
          </w:tcPr>
          <w:p w14:paraId="56807195" w14:textId="6543B35C" w:rsidR="00EC4E49" w:rsidRPr="00974F7F" w:rsidRDefault="00974F7F" w:rsidP="00916EE2">
            <w:pPr>
              <w:rPr>
                <w:lang w:val="es-ES"/>
              </w:rPr>
            </w:pPr>
            <w:r w:rsidRPr="00974F7F">
              <w:rPr>
                <w:noProof/>
                <w:lang w:eastAsia="en-US"/>
              </w:rPr>
              <w:drawing>
                <wp:inline distT="0" distB="0" distL="0" distR="0" wp14:anchorId="7144B1AD" wp14:editId="73613135">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18924FA7" w14:textId="7147CAED" w:rsidR="00EC4E49" w:rsidRPr="00974F7F" w:rsidRDefault="00974F7F" w:rsidP="00974F7F">
            <w:pPr>
              <w:jc w:val="right"/>
              <w:rPr>
                <w:lang w:val="es-ES"/>
              </w:rPr>
            </w:pPr>
            <w:r w:rsidRPr="00974F7F">
              <w:rPr>
                <w:b/>
                <w:sz w:val="40"/>
                <w:szCs w:val="40"/>
                <w:lang w:val="es-ES"/>
              </w:rPr>
              <w:t>S</w:t>
            </w:r>
          </w:p>
        </w:tc>
      </w:tr>
      <w:tr w:rsidR="008B2CC1" w:rsidRPr="00974F7F" w14:paraId="57C89A68"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51201B6A" w14:textId="087B6EAB" w:rsidR="008B2CC1" w:rsidRPr="00974F7F" w:rsidRDefault="00CA5DC5" w:rsidP="00916EE2">
            <w:pPr>
              <w:jc w:val="right"/>
              <w:rPr>
                <w:rFonts w:ascii="Arial Black" w:hAnsi="Arial Black"/>
                <w:caps/>
                <w:sz w:val="15"/>
                <w:lang w:val="es-ES"/>
              </w:rPr>
            </w:pPr>
            <w:r w:rsidRPr="00974F7F">
              <w:rPr>
                <w:rFonts w:ascii="Arial Black" w:hAnsi="Arial Black"/>
                <w:caps/>
                <w:sz w:val="15"/>
                <w:lang w:val="es-ES"/>
              </w:rPr>
              <w:t>WO/GA/49/</w:t>
            </w:r>
            <w:bookmarkStart w:id="0" w:name="Code"/>
            <w:bookmarkEnd w:id="0"/>
            <w:r w:rsidR="008A4ADD" w:rsidRPr="00974F7F">
              <w:rPr>
                <w:rFonts w:ascii="Arial Black" w:hAnsi="Arial Black"/>
                <w:caps/>
                <w:sz w:val="15"/>
                <w:lang w:val="es-ES"/>
              </w:rPr>
              <w:t>19</w:t>
            </w:r>
          </w:p>
        </w:tc>
      </w:tr>
      <w:tr w:rsidR="008B2CC1" w:rsidRPr="00974F7F" w14:paraId="1ADACEC7" w14:textId="77777777" w:rsidTr="00916EE2">
        <w:trPr>
          <w:trHeight w:hRule="exact" w:val="170"/>
        </w:trPr>
        <w:tc>
          <w:tcPr>
            <w:tcW w:w="9356" w:type="dxa"/>
            <w:gridSpan w:val="3"/>
            <w:noWrap/>
            <w:tcMar>
              <w:left w:w="0" w:type="dxa"/>
              <w:right w:w="0" w:type="dxa"/>
            </w:tcMar>
            <w:vAlign w:val="bottom"/>
          </w:tcPr>
          <w:p w14:paraId="45D86D02" w14:textId="45884291" w:rsidR="008B2CC1" w:rsidRPr="00974F7F" w:rsidRDefault="008B2CC1" w:rsidP="00974F7F">
            <w:pPr>
              <w:jc w:val="right"/>
              <w:rPr>
                <w:rFonts w:ascii="Arial Black" w:hAnsi="Arial Black"/>
                <w:caps/>
                <w:sz w:val="15"/>
                <w:lang w:val="es-ES"/>
              </w:rPr>
            </w:pPr>
            <w:r w:rsidRPr="00974F7F">
              <w:rPr>
                <w:rFonts w:ascii="Arial Black" w:hAnsi="Arial Black"/>
                <w:caps/>
                <w:sz w:val="15"/>
                <w:lang w:val="es-ES"/>
              </w:rPr>
              <w:t>ORIGINAL:</w:t>
            </w:r>
            <w:r w:rsidR="001647D5" w:rsidRPr="00974F7F">
              <w:rPr>
                <w:rFonts w:ascii="Arial Black" w:hAnsi="Arial Black"/>
                <w:caps/>
                <w:sz w:val="15"/>
                <w:lang w:val="es-ES"/>
              </w:rPr>
              <w:t xml:space="preserve">  </w:t>
            </w:r>
            <w:bookmarkStart w:id="1" w:name="Original"/>
            <w:bookmarkEnd w:id="1"/>
            <w:r w:rsidR="00974F7F" w:rsidRPr="00974F7F">
              <w:rPr>
                <w:rFonts w:ascii="Arial Black" w:hAnsi="Arial Black"/>
                <w:caps/>
                <w:sz w:val="15"/>
                <w:lang w:val="es-ES"/>
              </w:rPr>
              <w:t>inglés</w:t>
            </w:r>
            <w:r w:rsidRPr="00974F7F">
              <w:rPr>
                <w:rFonts w:ascii="Arial Black" w:hAnsi="Arial Black"/>
                <w:caps/>
                <w:sz w:val="15"/>
                <w:lang w:val="es-ES"/>
              </w:rPr>
              <w:t xml:space="preserve"> </w:t>
            </w:r>
          </w:p>
        </w:tc>
      </w:tr>
      <w:tr w:rsidR="008B2CC1" w:rsidRPr="00974F7F" w14:paraId="1F07FA87" w14:textId="77777777" w:rsidTr="00916EE2">
        <w:trPr>
          <w:trHeight w:hRule="exact" w:val="198"/>
        </w:trPr>
        <w:tc>
          <w:tcPr>
            <w:tcW w:w="9356" w:type="dxa"/>
            <w:gridSpan w:val="3"/>
            <w:tcMar>
              <w:left w:w="0" w:type="dxa"/>
              <w:right w:w="0" w:type="dxa"/>
            </w:tcMar>
            <w:vAlign w:val="bottom"/>
          </w:tcPr>
          <w:p w14:paraId="573B7518" w14:textId="144E7834" w:rsidR="008B2CC1" w:rsidRPr="00974F7F" w:rsidRDefault="00974F7F" w:rsidP="00974F7F">
            <w:pPr>
              <w:jc w:val="right"/>
              <w:rPr>
                <w:rFonts w:ascii="Arial Black" w:hAnsi="Arial Black"/>
                <w:caps/>
                <w:sz w:val="15"/>
                <w:lang w:val="es-ES"/>
              </w:rPr>
            </w:pPr>
            <w:r w:rsidRPr="00974F7F">
              <w:rPr>
                <w:rFonts w:ascii="Arial Black" w:hAnsi="Arial Black"/>
                <w:caps/>
                <w:sz w:val="15"/>
                <w:lang w:val="es-ES"/>
              </w:rPr>
              <w:t>fecha</w:t>
            </w:r>
            <w:r w:rsidR="008B2CC1" w:rsidRPr="00974F7F">
              <w:rPr>
                <w:rFonts w:ascii="Arial Black" w:hAnsi="Arial Black"/>
                <w:caps/>
                <w:sz w:val="15"/>
                <w:lang w:val="es-ES"/>
              </w:rPr>
              <w:t>:</w:t>
            </w:r>
            <w:r w:rsidR="001647D5" w:rsidRPr="00974F7F">
              <w:rPr>
                <w:rFonts w:ascii="Arial Black" w:hAnsi="Arial Black"/>
                <w:caps/>
                <w:sz w:val="15"/>
                <w:lang w:val="es-ES"/>
              </w:rPr>
              <w:t xml:space="preserve">  </w:t>
            </w:r>
            <w:bookmarkStart w:id="2" w:name="Date"/>
            <w:bookmarkEnd w:id="2"/>
            <w:r w:rsidRPr="00974F7F">
              <w:rPr>
                <w:rFonts w:ascii="Arial Black" w:hAnsi="Arial Black"/>
                <w:caps/>
                <w:sz w:val="15"/>
                <w:lang w:val="es-ES"/>
              </w:rPr>
              <w:t>4 de octubre de</w:t>
            </w:r>
            <w:r w:rsidR="00DE0EAD" w:rsidRPr="00974F7F">
              <w:rPr>
                <w:rFonts w:ascii="Arial Black" w:hAnsi="Arial Black"/>
                <w:caps/>
                <w:sz w:val="15"/>
                <w:lang w:val="es-ES"/>
              </w:rPr>
              <w:t xml:space="preserve"> 2017</w:t>
            </w:r>
            <w:r w:rsidR="008B2CC1" w:rsidRPr="00974F7F">
              <w:rPr>
                <w:rFonts w:ascii="Arial Black" w:hAnsi="Arial Black"/>
                <w:caps/>
                <w:sz w:val="15"/>
                <w:lang w:val="es-ES"/>
              </w:rPr>
              <w:t xml:space="preserve"> </w:t>
            </w:r>
          </w:p>
        </w:tc>
      </w:tr>
    </w:tbl>
    <w:p w14:paraId="1022DA99" w14:textId="77777777" w:rsidR="008B2CC1" w:rsidRPr="00974F7F" w:rsidRDefault="008B2CC1" w:rsidP="008B2CC1">
      <w:pPr>
        <w:rPr>
          <w:lang w:val="es-ES"/>
        </w:rPr>
      </w:pPr>
    </w:p>
    <w:p w14:paraId="2428D2FC" w14:textId="77777777" w:rsidR="008B2CC1" w:rsidRPr="00974F7F" w:rsidRDefault="008B2CC1" w:rsidP="008B2CC1">
      <w:pPr>
        <w:rPr>
          <w:lang w:val="es-ES"/>
        </w:rPr>
      </w:pPr>
    </w:p>
    <w:p w14:paraId="4D32D840" w14:textId="77777777" w:rsidR="008B2CC1" w:rsidRPr="00974F7F" w:rsidRDefault="008B2CC1" w:rsidP="008B2CC1">
      <w:pPr>
        <w:rPr>
          <w:lang w:val="es-ES"/>
        </w:rPr>
      </w:pPr>
    </w:p>
    <w:p w14:paraId="329EECC3" w14:textId="77777777" w:rsidR="008B2CC1" w:rsidRPr="00974F7F" w:rsidRDefault="008B2CC1" w:rsidP="008B2CC1">
      <w:pPr>
        <w:rPr>
          <w:lang w:val="es-ES"/>
        </w:rPr>
      </w:pPr>
    </w:p>
    <w:p w14:paraId="15EDC2B1" w14:textId="77777777" w:rsidR="008B2CC1" w:rsidRPr="00974F7F" w:rsidRDefault="008B2CC1" w:rsidP="008B2CC1">
      <w:pPr>
        <w:rPr>
          <w:lang w:val="es-ES"/>
        </w:rPr>
      </w:pPr>
    </w:p>
    <w:p w14:paraId="68001BC5" w14:textId="77777777" w:rsidR="00974F7F" w:rsidRPr="00974F7F" w:rsidRDefault="00974F7F" w:rsidP="00974F7F">
      <w:pPr>
        <w:rPr>
          <w:b/>
          <w:sz w:val="28"/>
          <w:szCs w:val="28"/>
          <w:lang w:val="es-ES"/>
        </w:rPr>
      </w:pPr>
      <w:r w:rsidRPr="00974F7F">
        <w:rPr>
          <w:b/>
          <w:sz w:val="28"/>
          <w:szCs w:val="28"/>
          <w:lang w:val="es-ES"/>
        </w:rPr>
        <w:t>Asamblea General de la OMPI</w:t>
      </w:r>
    </w:p>
    <w:p w14:paraId="673635F9" w14:textId="77777777" w:rsidR="00974F7F" w:rsidRPr="00974F7F" w:rsidRDefault="00974F7F" w:rsidP="00974F7F">
      <w:pPr>
        <w:rPr>
          <w:lang w:val="es-ES"/>
        </w:rPr>
      </w:pPr>
    </w:p>
    <w:p w14:paraId="25C17065" w14:textId="77777777" w:rsidR="00974F7F" w:rsidRPr="00974F7F" w:rsidRDefault="00974F7F" w:rsidP="00974F7F">
      <w:pPr>
        <w:rPr>
          <w:lang w:val="es-ES"/>
        </w:rPr>
      </w:pPr>
    </w:p>
    <w:p w14:paraId="09018B7E" w14:textId="77777777" w:rsidR="00974F7F" w:rsidRPr="00974F7F" w:rsidRDefault="00974F7F" w:rsidP="00974F7F">
      <w:pPr>
        <w:rPr>
          <w:b/>
          <w:sz w:val="24"/>
          <w:szCs w:val="24"/>
          <w:lang w:val="es-ES"/>
        </w:rPr>
      </w:pPr>
      <w:r w:rsidRPr="00974F7F">
        <w:rPr>
          <w:b/>
          <w:sz w:val="24"/>
          <w:szCs w:val="24"/>
          <w:lang w:val="es-ES"/>
        </w:rPr>
        <w:t>Cuadragésimo noveno período de sesiones (23º ordinario)</w:t>
      </w:r>
    </w:p>
    <w:p w14:paraId="1B51081D" w14:textId="77777777" w:rsidR="00974F7F" w:rsidRPr="00974F7F" w:rsidRDefault="00974F7F" w:rsidP="00974F7F">
      <w:pPr>
        <w:rPr>
          <w:b/>
          <w:sz w:val="24"/>
          <w:szCs w:val="24"/>
          <w:lang w:val="es-ES"/>
        </w:rPr>
      </w:pPr>
      <w:r w:rsidRPr="00974F7F">
        <w:rPr>
          <w:b/>
          <w:sz w:val="24"/>
          <w:szCs w:val="24"/>
          <w:lang w:val="es-ES"/>
        </w:rPr>
        <w:t>Ginebra, 2 a 11 de octubre de 2017</w:t>
      </w:r>
    </w:p>
    <w:p w14:paraId="6C7BBEF6" w14:textId="77777777" w:rsidR="0081310A" w:rsidRPr="00974F7F" w:rsidRDefault="0081310A" w:rsidP="0081310A">
      <w:pPr>
        <w:rPr>
          <w:lang w:val="es-ES"/>
        </w:rPr>
      </w:pPr>
    </w:p>
    <w:p w14:paraId="6259DF5F" w14:textId="77777777" w:rsidR="0081310A" w:rsidRPr="00974F7F" w:rsidRDefault="0081310A" w:rsidP="0081310A">
      <w:pPr>
        <w:rPr>
          <w:lang w:val="es-ES"/>
        </w:rPr>
      </w:pPr>
    </w:p>
    <w:p w14:paraId="2CDB3108" w14:textId="77777777" w:rsidR="0081310A" w:rsidRPr="00974F7F" w:rsidRDefault="0081310A" w:rsidP="0081310A">
      <w:pPr>
        <w:rPr>
          <w:lang w:val="es-ES"/>
        </w:rPr>
      </w:pPr>
    </w:p>
    <w:p w14:paraId="5950697A" w14:textId="1ECF7849" w:rsidR="00974F7F" w:rsidRPr="00016505" w:rsidRDefault="00974F7F" w:rsidP="00974F7F">
      <w:pPr>
        <w:rPr>
          <w:sz w:val="24"/>
          <w:szCs w:val="24"/>
          <w:lang w:val="es-ES"/>
        </w:rPr>
      </w:pPr>
      <w:r w:rsidRPr="00016505">
        <w:rPr>
          <w:sz w:val="24"/>
          <w:szCs w:val="24"/>
          <w:lang w:val="es-ES"/>
        </w:rPr>
        <w:t xml:space="preserve">PROPUESTA DE LOS ESTADOS UNIDOS DE AMÉRICA </w:t>
      </w:r>
      <w:r w:rsidR="00016505" w:rsidRPr="00016505">
        <w:rPr>
          <w:sz w:val="24"/>
          <w:szCs w:val="24"/>
          <w:lang w:val="es-ES"/>
        </w:rPr>
        <w:t xml:space="preserve">Y DEL JAPÓN </w:t>
      </w:r>
      <w:r w:rsidRPr="00016505">
        <w:rPr>
          <w:sz w:val="24"/>
          <w:szCs w:val="24"/>
          <w:lang w:val="es-ES"/>
        </w:rPr>
        <w:t>RELATIVA AL MANDATO Y AL PROGRAMA DE TRABAJO DEL CIG PARA EL BIENIO 2018/2019</w:t>
      </w:r>
    </w:p>
    <w:p w14:paraId="1AA39BFD" w14:textId="77777777" w:rsidR="0081310A" w:rsidRPr="00974F7F" w:rsidRDefault="0081310A" w:rsidP="0081310A">
      <w:pPr>
        <w:rPr>
          <w:lang w:val="es-ES"/>
        </w:rPr>
      </w:pPr>
    </w:p>
    <w:p w14:paraId="11A40A83" w14:textId="18463E05" w:rsidR="0081310A" w:rsidRPr="00974F7F" w:rsidRDefault="00974F7F" w:rsidP="0081310A">
      <w:pPr>
        <w:rPr>
          <w:i/>
          <w:lang w:val="es-ES"/>
        </w:rPr>
      </w:pPr>
      <w:bookmarkStart w:id="3" w:name="Prepared"/>
      <w:bookmarkEnd w:id="3"/>
      <w:r>
        <w:rPr>
          <w:i/>
          <w:lang w:val="es-ES"/>
        </w:rPr>
        <w:t xml:space="preserve">presentada por las delegaciones de </w:t>
      </w:r>
      <w:r w:rsidR="00016505">
        <w:rPr>
          <w:i/>
          <w:lang w:val="es-ES"/>
        </w:rPr>
        <w:t xml:space="preserve">los </w:t>
      </w:r>
      <w:r>
        <w:rPr>
          <w:i/>
          <w:lang w:val="es-ES"/>
        </w:rPr>
        <w:t>Estados Unidos de América y el Japón</w:t>
      </w:r>
    </w:p>
    <w:p w14:paraId="5D33EFA5" w14:textId="77777777" w:rsidR="0081310A" w:rsidRPr="00974F7F" w:rsidRDefault="0081310A" w:rsidP="0081310A">
      <w:pPr>
        <w:rPr>
          <w:lang w:val="es-ES"/>
        </w:rPr>
      </w:pPr>
    </w:p>
    <w:p w14:paraId="2C7D85A7" w14:textId="77777777" w:rsidR="0081310A" w:rsidRPr="00974F7F" w:rsidRDefault="0081310A" w:rsidP="0081310A">
      <w:pPr>
        <w:rPr>
          <w:lang w:val="es-ES"/>
        </w:rPr>
      </w:pPr>
    </w:p>
    <w:p w14:paraId="667D230B" w14:textId="77777777" w:rsidR="0081310A" w:rsidRPr="00974F7F" w:rsidRDefault="0081310A" w:rsidP="0081310A">
      <w:pPr>
        <w:rPr>
          <w:lang w:val="es-ES"/>
        </w:rPr>
      </w:pPr>
      <w:bookmarkStart w:id="4" w:name="_GoBack"/>
      <w:bookmarkEnd w:id="4"/>
    </w:p>
    <w:p w14:paraId="69B652DB" w14:textId="77777777" w:rsidR="0081310A" w:rsidRPr="00974F7F" w:rsidRDefault="0081310A" w:rsidP="0081310A">
      <w:pPr>
        <w:rPr>
          <w:szCs w:val="22"/>
          <w:lang w:val="es-ES"/>
        </w:rPr>
      </w:pPr>
    </w:p>
    <w:p w14:paraId="445FDE05" w14:textId="064A464D" w:rsidR="00974F7F" w:rsidRPr="00974F7F" w:rsidRDefault="00974F7F" w:rsidP="00974F7F">
      <w:pPr>
        <w:autoSpaceDE w:val="0"/>
        <w:autoSpaceDN w:val="0"/>
        <w:adjustRightInd w:val="0"/>
        <w:rPr>
          <w:szCs w:val="22"/>
          <w:lang w:val="es-ES"/>
        </w:rPr>
      </w:pPr>
      <w:r w:rsidRPr="00974F7F">
        <w:rPr>
          <w:noProof/>
          <w:szCs w:val="22"/>
          <w:lang w:eastAsia="en-US"/>
        </w:rPr>
        <mc:AlternateContent>
          <mc:Choice Requires="wps">
            <w:drawing>
              <wp:anchor distT="0" distB="0" distL="114300" distR="114300" simplePos="0" relativeHeight="251659264" behindDoc="0" locked="0" layoutInCell="1" allowOverlap="1" wp14:anchorId="52D0C89E" wp14:editId="401F60D4">
                <wp:simplePos x="0" y="0"/>
                <wp:positionH relativeFrom="column">
                  <wp:posOffset>-843280</wp:posOffset>
                </wp:positionH>
                <wp:positionV relativeFrom="paragraph">
                  <wp:posOffset>347980</wp:posOffset>
                </wp:positionV>
                <wp:extent cx="317500" cy="63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464D3992" w14:textId="7A6E8FB3" w:rsidR="008A4ADD" w:rsidRPr="00974F7F" w:rsidRDefault="008A4ADD" w:rsidP="008A4ADD">
                            <w:pPr>
                              <w:jc w:val="right"/>
                              <w:rPr>
                                <w:i/>
                                <w:iCs/>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6.4pt;margin-top:27.4pt;width:25pt;height: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" fillcolor="black" strokeweight=".5pt">
                <v:fill opacity="0"/>
                <v:stroke opacity="0" joinstyle="round"/>
                <v:textbox style="mso-fit-shape-to-text:t" inset="0,0,0,0">
                  <w:txbxContent>
                    <w:p w14:paraId="464D3992" w14:textId="7A6E8FB3" w:rsidR="008A4ADD" w:rsidRPr="00974F7F" w:rsidRDefault="008A4ADD" w:rsidP="008A4ADD">
                      <w:pPr>
                        <w:jc w:val="right"/>
                        <w:rPr>
                          <w:i/>
                          <w:iCs/>
                          <w:sz w:val="20"/>
                        </w:rPr>
                      </w:pPr>
                    </w:p>
                  </w:txbxContent>
                </v:textbox>
              </v:shape>
            </w:pict>
          </mc:Fallback>
        </mc:AlternateContent>
      </w:r>
      <w:r w:rsidRPr="00974F7F">
        <w:rPr>
          <w:szCs w:val="22"/>
          <w:lang w:val="es-ES"/>
        </w:rPr>
        <w:t xml:space="preserve">En una comunicación a la Secretaría recibida el </w:t>
      </w:r>
      <w:r>
        <w:rPr>
          <w:szCs w:val="22"/>
          <w:lang w:val="es-ES"/>
        </w:rPr>
        <w:t xml:space="preserve">4 </w:t>
      </w:r>
      <w:r w:rsidRPr="00974F7F">
        <w:rPr>
          <w:szCs w:val="22"/>
          <w:lang w:val="es-ES"/>
        </w:rPr>
        <w:t xml:space="preserve">de </w:t>
      </w:r>
      <w:r>
        <w:rPr>
          <w:szCs w:val="22"/>
          <w:lang w:val="es-ES"/>
        </w:rPr>
        <w:t xml:space="preserve">octubre </w:t>
      </w:r>
      <w:r w:rsidRPr="00974F7F">
        <w:rPr>
          <w:szCs w:val="22"/>
          <w:lang w:val="es-ES"/>
        </w:rPr>
        <w:t xml:space="preserve">de 2017, la delegación de </w:t>
      </w:r>
      <w:r>
        <w:rPr>
          <w:szCs w:val="22"/>
          <w:lang w:val="es-ES"/>
        </w:rPr>
        <w:t>los Estados Unidos de América</w:t>
      </w:r>
      <w:r w:rsidRPr="00974F7F">
        <w:rPr>
          <w:szCs w:val="22"/>
          <w:lang w:val="es-ES"/>
        </w:rPr>
        <w:t xml:space="preserve">, </w:t>
      </w:r>
      <w:r>
        <w:rPr>
          <w:szCs w:val="22"/>
          <w:lang w:val="es-ES"/>
        </w:rPr>
        <w:t xml:space="preserve">en nombre de las delegaciones de los Estados Unidos de América y el Japón, </w:t>
      </w:r>
      <w:r w:rsidRPr="00974F7F">
        <w:rPr>
          <w:szCs w:val="22"/>
          <w:lang w:val="es-ES"/>
        </w:rPr>
        <w:t>presentó la propuesta adjunta en el marco del punto del orden del día “Informe del Comité Intergubernamental sobre Propiedad Intelectual y Recursos Genéticos, Conocimientos Tradicionales y Folclore (CIG)”.</w:t>
      </w:r>
    </w:p>
    <w:p w14:paraId="2CD53312" w14:textId="77777777" w:rsidR="00974F7F" w:rsidRPr="00974F7F" w:rsidRDefault="00974F7F" w:rsidP="00974F7F">
      <w:pPr>
        <w:rPr>
          <w:i/>
          <w:lang w:val="es-ES"/>
        </w:rPr>
      </w:pPr>
    </w:p>
    <w:p w14:paraId="0FADB770" w14:textId="6B9C41F0" w:rsidR="00DE0EAD" w:rsidRPr="00974F7F" w:rsidRDefault="00DE0EAD" w:rsidP="00974F7F">
      <w:pPr>
        <w:autoSpaceDE w:val="0"/>
        <w:autoSpaceDN w:val="0"/>
        <w:adjustRightInd w:val="0"/>
        <w:rPr>
          <w:i/>
          <w:lang w:val="es-ES"/>
        </w:rPr>
      </w:pPr>
    </w:p>
    <w:p w14:paraId="0B40540C" w14:textId="77777777" w:rsidR="0081310A" w:rsidRPr="00974F7F" w:rsidRDefault="0081310A" w:rsidP="00DE0EAD">
      <w:pPr>
        <w:pStyle w:val="ONUME"/>
        <w:numPr>
          <w:ilvl w:val="0"/>
          <w:numId w:val="0"/>
        </w:numPr>
        <w:spacing w:after="0"/>
        <w:ind w:left="5501"/>
        <w:rPr>
          <w:i/>
          <w:lang w:val="es-ES"/>
        </w:rPr>
      </w:pPr>
    </w:p>
    <w:p w14:paraId="3DE502C9" w14:textId="77777777" w:rsidR="0081310A" w:rsidRPr="00974F7F" w:rsidRDefault="0081310A" w:rsidP="00DE0EAD">
      <w:pPr>
        <w:pStyle w:val="ONUME"/>
        <w:numPr>
          <w:ilvl w:val="0"/>
          <w:numId w:val="0"/>
        </w:numPr>
        <w:spacing w:after="0"/>
        <w:ind w:left="5501"/>
        <w:rPr>
          <w:i/>
          <w:lang w:val="es-ES"/>
        </w:rPr>
      </w:pPr>
    </w:p>
    <w:p w14:paraId="1662F97D" w14:textId="0C7DBE36" w:rsidR="00DE0EAD" w:rsidRPr="00974F7F" w:rsidRDefault="00DE0EAD" w:rsidP="00DE0EAD">
      <w:pPr>
        <w:spacing w:after="120" w:line="260" w:lineRule="atLeast"/>
        <w:ind w:left="5500"/>
        <w:contextualSpacing/>
        <w:rPr>
          <w:lang w:val="es-ES"/>
        </w:rPr>
      </w:pPr>
      <w:r w:rsidRPr="00974F7F">
        <w:rPr>
          <w:lang w:val="es-ES"/>
        </w:rPr>
        <w:t>[</w:t>
      </w:r>
      <w:r w:rsidR="00974F7F">
        <w:rPr>
          <w:lang w:val="es-ES"/>
        </w:rPr>
        <w:t>Sigue el Anexo</w:t>
      </w:r>
      <w:r w:rsidRPr="00974F7F">
        <w:rPr>
          <w:lang w:val="es-ES"/>
        </w:rPr>
        <w:t>]</w:t>
      </w:r>
    </w:p>
    <w:p w14:paraId="6E09F3EB" w14:textId="77777777" w:rsidR="00D70B35" w:rsidRPr="00974F7F" w:rsidRDefault="00D70B35" w:rsidP="00D70B35">
      <w:pPr>
        <w:spacing w:after="120" w:line="260" w:lineRule="atLeast"/>
        <w:contextualSpacing/>
        <w:rPr>
          <w:szCs w:val="22"/>
          <w:lang w:val="es-ES"/>
        </w:rPr>
      </w:pPr>
    </w:p>
    <w:p w14:paraId="0EDF7177" w14:textId="77777777" w:rsidR="00D70B35" w:rsidRPr="00974F7F" w:rsidRDefault="00D70B35" w:rsidP="00D70B35">
      <w:pPr>
        <w:spacing w:after="120" w:line="260" w:lineRule="atLeast"/>
        <w:ind w:left="5500"/>
        <w:contextualSpacing/>
        <w:rPr>
          <w:szCs w:val="22"/>
          <w:lang w:val="es-ES"/>
        </w:rPr>
        <w:sectPr w:rsidR="00D70B35" w:rsidRPr="00974F7F" w:rsidSect="00885AD5">
          <w:headerReference w:type="default" r:id="rId10"/>
          <w:endnotePr>
            <w:numFmt w:val="decimal"/>
          </w:endnotePr>
          <w:pgSz w:w="11907" w:h="16840" w:code="9"/>
          <w:pgMar w:top="567" w:right="1134" w:bottom="1418" w:left="1418" w:header="510" w:footer="1021" w:gutter="0"/>
          <w:cols w:space="720"/>
          <w:titlePg/>
          <w:docGrid w:linePitch="299"/>
        </w:sectPr>
      </w:pPr>
    </w:p>
    <w:p w14:paraId="0B2806D8" w14:textId="77777777" w:rsidR="0081310A" w:rsidRPr="00974F7F" w:rsidRDefault="0081310A" w:rsidP="0081310A">
      <w:pPr>
        <w:jc w:val="right"/>
        <w:rPr>
          <w:lang w:val="es-ES"/>
        </w:rPr>
      </w:pPr>
    </w:p>
    <w:p w14:paraId="43C98B6D" w14:textId="3F368F8B" w:rsidR="0001730C" w:rsidRPr="00974F7F" w:rsidRDefault="00A130BE" w:rsidP="0001730C">
      <w:pPr>
        <w:pStyle w:val="Default"/>
        <w:jc w:val="center"/>
        <w:rPr>
          <w:sz w:val="22"/>
          <w:lang w:val="es-ES"/>
        </w:rPr>
      </w:pPr>
      <w:r>
        <w:rPr>
          <w:b/>
          <w:sz w:val="22"/>
          <w:lang w:val="es-ES"/>
        </w:rPr>
        <w:t>Asambl</w:t>
      </w:r>
      <w:r w:rsidR="0001730C" w:rsidRPr="00974F7F">
        <w:rPr>
          <w:b/>
          <w:sz w:val="22"/>
          <w:lang w:val="es-ES"/>
        </w:rPr>
        <w:t>e</w:t>
      </w:r>
      <w:r>
        <w:rPr>
          <w:b/>
          <w:sz w:val="22"/>
          <w:lang w:val="es-ES"/>
        </w:rPr>
        <w:t>a</w:t>
      </w:r>
      <w:r w:rsidR="0001730C" w:rsidRPr="00974F7F">
        <w:rPr>
          <w:b/>
          <w:sz w:val="22"/>
          <w:lang w:val="es-ES"/>
        </w:rPr>
        <w:t xml:space="preserve">s </w:t>
      </w:r>
      <w:r>
        <w:rPr>
          <w:b/>
          <w:sz w:val="22"/>
          <w:lang w:val="es-ES"/>
        </w:rPr>
        <w:t>de los Estados miembros de la OMPI</w:t>
      </w:r>
    </w:p>
    <w:p w14:paraId="25F69FE7" w14:textId="01E14033" w:rsidR="0001730C" w:rsidRPr="00974F7F" w:rsidRDefault="00A130BE" w:rsidP="0001730C">
      <w:pPr>
        <w:pStyle w:val="Default"/>
        <w:jc w:val="center"/>
        <w:rPr>
          <w:sz w:val="22"/>
          <w:lang w:val="es-ES"/>
        </w:rPr>
      </w:pPr>
      <w:r>
        <w:rPr>
          <w:b/>
          <w:sz w:val="22"/>
          <w:lang w:val="es-ES"/>
        </w:rPr>
        <w:t>Quincuagésima séptima serie de reuniones</w:t>
      </w:r>
    </w:p>
    <w:p w14:paraId="01612974" w14:textId="78007B02" w:rsidR="0001730C" w:rsidRPr="00974F7F" w:rsidRDefault="0001730C" w:rsidP="0001730C">
      <w:pPr>
        <w:pStyle w:val="Default"/>
        <w:jc w:val="center"/>
        <w:rPr>
          <w:sz w:val="22"/>
          <w:lang w:val="es-ES"/>
        </w:rPr>
      </w:pPr>
      <w:r w:rsidRPr="00974F7F">
        <w:rPr>
          <w:b/>
          <w:sz w:val="22"/>
          <w:lang w:val="es-ES"/>
        </w:rPr>
        <w:t xml:space="preserve">2 </w:t>
      </w:r>
      <w:r w:rsidR="00A130BE">
        <w:rPr>
          <w:b/>
          <w:sz w:val="22"/>
          <w:lang w:val="es-ES"/>
        </w:rPr>
        <w:t>a 11 de octubre de</w:t>
      </w:r>
      <w:r w:rsidRPr="00974F7F">
        <w:rPr>
          <w:b/>
          <w:sz w:val="22"/>
          <w:lang w:val="es-ES"/>
        </w:rPr>
        <w:t xml:space="preserve"> 2017</w:t>
      </w:r>
    </w:p>
    <w:p w14:paraId="2E539057" w14:textId="77777777" w:rsidR="002537CB" w:rsidRDefault="00A130BE" w:rsidP="0001730C">
      <w:pPr>
        <w:pStyle w:val="Default"/>
        <w:jc w:val="center"/>
        <w:rPr>
          <w:b/>
          <w:sz w:val="22"/>
          <w:lang w:val="es-ES_tradnl"/>
        </w:rPr>
      </w:pPr>
      <w:r>
        <w:rPr>
          <w:b/>
          <w:sz w:val="22"/>
          <w:lang w:val="es-ES"/>
        </w:rPr>
        <w:t xml:space="preserve">Asuntos relativos al </w:t>
      </w:r>
      <w:r w:rsidRPr="00A130BE">
        <w:rPr>
          <w:b/>
          <w:sz w:val="22"/>
          <w:lang w:val="es-ES_tradnl"/>
        </w:rPr>
        <w:t xml:space="preserve">Comité Intergubernamental sobre Propiedad Intelectual y </w:t>
      </w:r>
    </w:p>
    <w:p w14:paraId="5F049E0D" w14:textId="56D524E8" w:rsidR="0001730C" w:rsidRDefault="00A130BE" w:rsidP="0001730C">
      <w:pPr>
        <w:pStyle w:val="Default"/>
        <w:jc w:val="center"/>
        <w:rPr>
          <w:b/>
          <w:sz w:val="22"/>
          <w:lang w:val="es-ES_tradnl"/>
        </w:rPr>
      </w:pPr>
      <w:r w:rsidRPr="00A130BE">
        <w:rPr>
          <w:b/>
          <w:sz w:val="22"/>
          <w:lang w:val="es-ES_tradnl"/>
        </w:rPr>
        <w:t>Recursos Genéticos, Conocimientos Tradicionales y Folclore</w:t>
      </w:r>
    </w:p>
    <w:p w14:paraId="57A9857D" w14:textId="77777777" w:rsidR="002537CB" w:rsidRPr="00974F7F" w:rsidRDefault="002537CB" w:rsidP="0001730C">
      <w:pPr>
        <w:pStyle w:val="Default"/>
        <w:jc w:val="center"/>
        <w:rPr>
          <w:sz w:val="22"/>
          <w:lang w:val="es-ES"/>
        </w:rPr>
      </w:pPr>
    </w:p>
    <w:p w14:paraId="08556160" w14:textId="770F5118" w:rsidR="0001730C" w:rsidRDefault="00A130BE" w:rsidP="0001730C">
      <w:pPr>
        <w:pStyle w:val="Default"/>
        <w:jc w:val="center"/>
        <w:rPr>
          <w:b/>
          <w:sz w:val="22"/>
          <w:lang w:val="es-ES"/>
        </w:rPr>
      </w:pPr>
      <w:r>
        <w:rPr>
          <w:b/>
          <w:sz w:val="22"/>
          <w:lang w:val="es-ES"/>
        </w:rPr>
        <w:t>Pro</w:t>
      </w:r>
      <w:r w:rsidR="002537CB">
        <w:rPr>
          <w:b/>
          <w:sz w:val="22"/>
          <w:lang w:val="es-ES"/>
        </w:rPr>
        <w:t>puesta de los Estados Unidos</w:t>
      </w:r>
      <w:r w:rsidR="00016505">
        <w:rPr>
          <w:b/>
          <w:sz w:val="22"/>
          <w:lang w:val="es-ES"/>
        </w:rPr>
        <w:t xml:space="preserve"> de América</w:t>
      </w:r>
      <w:r w:rsidR="002537CB">
        <w:rPr>
          <w:b/>
          <w:sz w:val="22"/>
          <w:lang w:val="es-ES"/>
        </w:rPr>
        <w:t xml:space="preserve"> y </w:t>
      </w:r>
      <w:r>
        <w:rPr>
          <w:b/>
          <w:sz w:val="22"/>
          <w:lang w:val="es-ES"/>
        </w:rPr>
        <w:t>el Japón</w:t>
      </w:r>
    </w:p>
    <w:p w14:paraId="395DCB9C" w14:textId="77777777" w:rsidR="00A130BE" w:rsidRPr="00974F7F" w:rsidRDefault="00A130BE" w:rsidP="0001730C">
      <w:pPr>
        <w:pStyle w:val="Default"/>
        <w:jc w:val="center"/>
        <w:rPr>
          <w:b/>
          <w:sz w:val="22"/>
          <w:lang w:val="es-ES"/>
        </w:rPr>
      </w:pPr>
    </w:p>
    <w:p w14:paraId="4E854D95" w14:textId="1D72F72F" w:rsidR="0001730C" w:rsidRPr="00974F7F" w:rsidRDefault="00933BC2" w:rsidP="0001730C">
      <w:pPr>
        <w:pStyle w:val="Default"/>
        <w:jc w:val="center"/>
        <w:rPr>
          <w:b/>
          <w:sz w:val="22"/>
          <w:lang w:val="es-ES"/>
        </w:rPr>
      </w:pPr>
      <w:r>
        <w:rPr>
          <w:b/>
          <w:sz w:val="22"/>
          <w:lang w:val="es-ES"/>
        </w:rPr>
        <w:t>relativa al</w:t>
      </w:r>
      <w:r w:rsidR="00A130BE">
        <w:rPr>
          <w:b/>
          <w:sz w:val="22"/>
          <w:lang w:val="es-ES"/>
        </w:rPr>
        <w:t xml:space="preserve"> mandato</w:t>
      </w:r>
      <w:r w:rsidR="0001730C" w:rsidRPr="00974F7F">
        <w:rPr>
          <w:b/>
          <w:sz w:val="22"/>
          <w:lang w:val="es-ES"/>
        </w:rPr>
        <w:t xml:space="preserve"> </w:t>
      </w:r>
      <w:r w:rsidR="00A130BE">
        <w:rPr>
          <w:b/>
          <w:sz w:val="22"/>
          <w:lang w:val="es-ES"/>
        </w:rPr>
        <w:t>del C</w:t>
      </w:r>
      <w:r w:rsidR="0001730C" w:rsidRPr="00974F7F">
        <w:rPr>
          <w:b/>
          <w:sz w:val="22"/>
          <w:lang w:val="es-ES"/>
        </w:rPr>
        <w:t xml:space="preserve">IG </w:t>
      </w:r>
      <w:r w:rsidR="002537CB">
        <w:rPr>
          <w:b/>
          <w:sz w:val="22"/>
          <w:lang w:val="es-ES"/>
        </w:rPr>
        <w:t>de la OMPI</w:t>
      </w:r>
    </w:p>
    <w:p w14:paraId="6AFE1F53" w14:textId="7F423108" w:rsidR="0001730C" w:rsidRPr="00974F7F" w:rsidRDefault="00A130BE" w:rsidP="0001730C">
      <w:pPr>
        <w:pStyle w:val="Default"/>
        <w:jc w:val="center"/>
        <w:rPr>
          <w:sz w:val="22"/>
          <w:lang w:val="es-ES"/>
        </w:rPr>
      </w:pPr>
      <w:r>
        <w:rPr>
          <w:b/>
          <w:sz w:val="22"/>
          <w:lang w:val="es-ES"/>
        </w:rPr>
        <w:t xml:space="preserve">para el bienio </w:t>
      </w:r>
      <w:r w:rsidR="0001730C" w:rsidRPr="00974F7F">
        <w:rPr>
          <w:b/>
          <w:sz w:val="22"/>
          <w:lang w:val="es-ES"/>
        </w:rPr>
        <w:t xml:space="preserve">2018/2019 </w:t>
      </w:r>
    </w:p>
    <w:p w14:paraId="320496F5" w14:textId="77777777" w:rsidR="0001730C" w:rsidRPr="00974F7F" w:rsidRDefault="0001730C" w:rsidP="0001730C">
      <w:pPr>
        <w:pStyle w:val="Default"/>
        <w:rPr>
          <w:sz w:val="22"/>
          <w:lang w:val="es-ES"/>
        </w:rPr>
      </w:pPr>
    </w:p>
    <w:p w14:paraId="75200CBE" w14:textId="77777777" w:rsidR="0001730C" w:rsidRPr="00974F7F" w:rsidRDefault="0001730C" w:rsidP="0001730C">
      <w:pPr>
        <w:pStyle w:val="Default"/>
        <w:rPr>
          <w:sz w:val="22"/>
          <w:lang w:val="es-ES"/>
        </w:rPr>
      </w:pPr>
    </w:p>
    <w:p w14:paraId="6995C9C2" w14:textId="670938FA" w:rsidR="0001730C" w:rsidRPr="00974F7F" w:rsidRDefault="00EA62C1" w:rsidP="0001730C">
      <w:pPr>
        <w:pStyle w:val="Default"/>
        <w:rPr>
          <w:sz w:val="22"/>
          <w:lang w:val="es-ES"/>
        </w:rPr>
      </w:pPr>
      <w:r w:rsidRPr="00EA62C1">
        <w:rPr>
          <w:sz w:val="22"/>
          <w:lang w:val="es-ES_tradnl"/>
        </w:rPr>
        <w:t>Teniendo presentes las recomendaciones de la Agenda para el Desarrollo</w:t>
      </w:r>
      <w:r>
        <w:rPr>
          <w:sz w:val="22"/>
          <w:lang w:val="es-ES_tradnl"/>
        </w:rPr>
        <w:t>,</w:t>
      </w:r>
      <w:r w:rsidRPr="00EA62C1">
        <w:rPr>
          <w:sz w:val="22"/>
          <w:lang w:val="es-ES_tradnl"/>
        </w:rPr>
        <w:t xml:space="preserve"> la Asamblea General de la OMPI conviene en prorrogar el mandato del Comité Intergubernamental sobre Propiedad Intelectual y Recursos Genéticos, Conocimientos Tradicionales y Folclore </w:t>
      </w:r>
      <w:r>
        <w:rPr>
          <w:sz w:val="22"/>
          <w:lang w:val="es-ES_tradnl"/>
        </w:rPr>
        <w:t xml:space="preserve">(el Comité) </w:t>
      </w:r>
      <w:r w:rsidRPr="00EA62C1">
        <w:rPr>
          <w:sz w:val="22"/>
          <w:lang w:val="es-ES_tradnl"/>
        </w:rPr>
        <w:t>en los siguientes términos, sin pe</w:t>
      </w:r>
      <w:r>
        <w:rPr>
          <w:sz w:val="22"/>
          <w:lang w:val="es-ES_tradnl"/>
        </w:rPr>
        <w:t>rjuicio de la labor que se lleve</w:t>
      </w:r>
      <w:r w:rsidRPr="00EA62C1">
        <w:rPr>
          <w:sz w:val="22"/>
          <w:lang w:val="es-ES_tradnl"/>
        </w:rPr>
        <w:t xml:space="preserve"> a cabo en otras instancias:</w:t>
      </w:r>
    </w:p>
    <w:p w14:paraId="326A1788" w14:textId="77777777" w:rsidR="0001730C" w:rsidRPr="00974F7F" w:rsidRDefault="0001730C" w:rsidP="0001730C">
      <w:pPr>
        <w:pStyle w:val="Default"/>
        <w:ind w:left="720"/>
        <w:rPr>
          <w:sz w:val="22"/>
          <w:lang w:val="es-ES"/>
        </w:rPr>
      </w:pPr>
    </w:p>
    <w:p w14:paraId="2B158025" w14:textId="46940984" w:rsidR="0001730C" w:rsidRPr="00974F7F" w:rsidRDefault="0001730C" w:rsidP="0001730C">
      <w:pPr>
        <w:pStyle w:val="Default"/>
        <w:ind w:left="720"/>
        <w:rPr>
          <w:sz w:val="22"/>
          <w:lang w:val="es-ES"/>
        </w:rPr>
      </w:pPr>
      <w:r w:rsidRPr="00974F7F">
        <w:rPr>
          <w:sz w:val="22"/>
          <w:lang w:val="es-ES"/>
        </w:rPr>
        <w:t xml:space="preserve">a) </w:t>
      </w:r>
      <w:r w:rsidR="00D67AA3" w:rsidRPr="00974F7F">
        <w:rPr>
          <w:sz w:val="22"/>
          <w:lang w:val="es-ES"/>
        </w:rPr>
        <w:t xml:space="preserve"> </w:t>
      </w:r>
      <w:r w:rsidR="00D542E3">
        <w:rPr>
          <w:sz w:val="22"/>
          <w:lang w:val="es-ES"/>
        </w:rPr>
        <w:t xml:space="preserve">La labor del Comité en el bienio </w:t>
      </w:r>
      <w:r w:rsidRPr="00974F7F">
        <w:rPr>
          <w:sz w:val="22"/>
          <w:lang w:val="es-ES"/>
        </w:rPr>
        <w:t>2018/2019</w:t>
      </w:r>
      <w:r w:rsidR="00D542E3">
        <w:rPr>
          <w:sz w:val="22"/>
          <w:lang w:val="es-ES"/>
        </w:rPr>
        <w:t xml:space="preserve"> se basará en la labor existente llevada a cabo por el Comité centrándose principalmente en lograr un entendimiento común sobre las cuestiones esenciales, como las definiciones, la materia objeto de protección, los objetivos, los beneficiarios, el alcance de la protección, la salvaguardia y la relación con el dominio público.  El CIG estudiará la posibilidad de convocar una conferencia diplomática únicamente después de que se haya llegado a un acuerdo sobre las definiciones, los objetivos, los beneficiarios y el alcance, así como sobre la naturaleza del instrumento.</w:t>
      </w:r>
    </w:p>
    <w:p w14:paraId="72E1C6B5" w14:textId="77777777" w:rsidR="0001730C" w:rsidRPr="00974F7F" w:rsidRDefault="0001730C" w:rsidP="0001730C">
      <w:pPr>
        <w:pStyle w:val="Default"/>
        <w:ind w:left="720"/>
        <w:rPr>
          <w:sz w:val="22"/>
          <w:lang w:val="es-ES"/>
        </w:rPr>
      </w:pPr>
    </w:p>
    <w:p w14:paraId="5A910197" w14:textId="191BA5D0" w:rsidR="0001730C" w:rsidRPr="00974F7F" w:rsidRDefault="0001730C" w:rsidP="0001730C">
      <w:pPr>
        <w:pStyle w:val="Default"/>
        <w:ind w:left="720"/>
        <w:rPr>
          <w:sz w:val="22"/>
          <w:lang w:val="es-ES"/>
        </w:rPr>
      </w:pPr>
      <w:r w:rsidRPr="00974F7F">
        <w:rPr>
          <w:sz w:val="22"/>
          <w:lang w:val="es-ES"/>
        </w:rPr>
        <w:t>b</w:t>
      </w:r>
      <w:r w:rsidRPr="00D542E3">
        <w:rPr>
          <w:color w:val="auto"/>
          <w:sz w:val="22"/>
          <w:lang w:val="es-ES"/>
        </w:rPr>
        <w:t xml:space="preserve">) </w:t>
      </w:r>
      <w:r w:rsidR="00D67AA3" w:rsidRPr="00D542E3">
        <w:rPr>
          <w:color w:val="auto"/>
          <w:sz w:val="22"/>
          <w:lang w:val="es-ES"/>
        </w:rPr>
        <w:t xml:space="preserve"> </w:t>
      </w:r>
      <w:r w:rsidR="00EA62C1" w:rsidRPr="00D542E3">
        <w:rPr>
          <w:color w:val="auto"/>
          <w:sz w:val="22"/>
          <w:lang w:val="es-ES_tradnl"/>
        </w:rPr>
        <w:t>E</w:t>
      </w:r>
      <w:r w:rsidR="00D542E3" w:rsidRPr="00D542E3">
        <w:rPr>
          <w:color w:val="auto"/>
          <w:sz w:val="22"/>
          <w:lang w:val="es-ES_tradnl"/>
        </w:rPr>
        <w:t>n</w:t>
      </w:r>
      <w:r w:rsidR="00EA62C1" w:rsidRPr="00D542E3">
        <w:rPr>
          <w:color w:val="auto"/>
          <w:sz w:val="22"/>
          <w:lang w:val="es-ES_tradnl"/>
        </w:rPr>
        <w:t xml:space="preserve"> el bienio 2018/2019</w:t>
      </w:r>
      <w:r w:rsidR="00D542E3" w:rsidRPr="00D542E3">
        <w:rPr>
          <w:color w:val="auto"/>
          <w:sz w:val="22"/>
          <w:lang w:val="es-ES_tradnl"/>
        </w:rPr>
        <w:t>, el Comité</w:t>
      </w:r>
      <w:r w:rsidR="00EA62C1" w:rsidRPr="00D542E3">
        <w:rPr>
          <w:color w:val="auto"/>
          <w:sz w:val="22"/>
          <w:lang w:val="es-ES_tradnl"/>
        </w:rPr>
        <w:t xml:space="preserve"> </w:t>
      </w:r>
      <w:r w:rsidR="00D542E3" w:rsidRPr="00D542E3">
        <w:rPr>
          <w:color w:val="auto"/>
          <w:sz w:val="22"/>
          <w:lang w:val="es-ES_tradnl"/>
        </w:rPr>
        <w:t xml:space="preserve">se atendrá a </w:t>
      </w:r>
      <w:r w:rsidR="00EA62C1" w:rsidRPr="00D542E3">
        <w:rPr>
          <w:color w:val="auto"/>
          <w:sz w:val="22"/>
          <w:lang w:val="es-ES_tradnl"/>
        </w:rPr>
        <w:t>un programa de trabajo claramente definido</w:t>
      </w:r>
      <w:r w:rsidR="00D542E3" w:rsidRPr="00D542E3">
        <w:rPr>
          <w:color w:val="auto"/>
          <w:sz w:val="22"/>
          <w:lang w:val="es-ES_tradnl"/>
        </w:rPr>
        <w:t>,</w:t>
      </w:r>
      <w:r w:rsidR="00EA62C1" w:rsidRPr="00D542E3">
        <w:rPr>
          <w:color w:val="auto"/>
          <w:sz w:val="22"/>
          <w:lang w:val="es-ES_tradnl"/>
        </w:rPr>
        <w:t xml:space="preserve"> según consta en el cuadro</w:t>
      </w:r>
      <w:r w:rsidR="00D542E3" w:rsidRPr="00D542E3">
        <w:rPr>
          <w:color w:val="auto"/>
          <w:sz w:val="22"/>
          <w:lang w:val="es-ES_tradnl"/>
        </w:rPr>
        <w:t xml:space="preserve"> que figura más adelante,</w:t>
      </w:r>
      <w:r w:rsidR="00EA62C1" w:rsidRPr="00D542E3">
        <w:rPr>
          <w:color w:val="auto"/>
          <w:sz w:val="22"/>
          <w:lang w:val="es-ES_tradnl"/>
        </w:rPr>
        <w:t xml:space="preserve"> </w:t>
      </w:r>
      <w:r w:rsidR="00D542E3" w:rsidRPr="00D542E3">
        <w:rPr>
          <w:color w:val="auto"/>
          <w:sz w:val="22"/>
          <w:lang w:val="es-ES_tradnl"/>
        </w:rPr>
        <w:t>sobre la base de métodos de trabajo adecuados</w:t>
      </w:r>
      <w:r w:rsidR="00EA62C1" w:rsidRPr="00D542E3">
        <w:rPr>
          <w:color w:val="auto"/>
          <w:sz w:val="22"/>
          <w:lang w:val="es-ES_tradnl"/>
        </w:rPr>
        <w:t>.</w:t>
      </w:r>
      <w:r w:rsidR="00EA62C1" w:rsidRPr="00017F71">
        <w:rPr>
          <w:color w:val="auto"/>
          <w:sz w:val="22"/>
          <w:lang w:val="es-ES"/>
        </w:rPr>
        <w:t xml:space="preserve">  </w:t>
      </w:r>
      <w:r w:rsidR="00EA62C1" w:rsidRPr="00D542E3">
        <w:rPr>
          <w:color w:val="auto"/>
          <w:sz w:val="22"/>
          <w:lang w:val="es-ES_tradnl"/>
        </w:rPr>
        <w:t xml:space="preserve">En dicho programa de trabajo se preverán </w:t>
      </w:r>
      <w:r w:rsidR="00D542E3" w:rsidRPr="00D542E3">
        <w:rPr>
          <w:color w:val="auto"/>
          <w:sz w:val="22"/>
          <w:lang w:val="es-ES_tradnl"/>
        </w:rPr>
        <w:t xml:space="preserve">cuatro </w:t>
      </w:r>
      <w:r w:rsidR="00EA62C1" w:rsidRPr="00D542E3">
        <w:rPr>
          <w:color w:val="auto"/>
          <w:sz w:val="22"/>
          <w:lang w:val="es-ES_tradnl"/>
        </w:rPr>
        <w:t xml:space="preserve">sesiones del Comité en 2018/17, incluidas sesiones temáticas, generales y de evaluación. </w:t>
      </w:r>
    </w:p>
    <w:p w14:paraId="07F6F705" w14:textId="77777777" w:rsidR="0001730C" w:rsidRPr="00974F7F" w:rsidRDefault="0001730C" w:rsidP="0001730C">
      <w:pPr>
        <w:pStyle w:val="Default"/>
        <w:ind w:left="1080"/>
        <w:rPr>
          <w:b/>
          <w:sz w:val="22"/>
          <w:lang w:val="es-ES"/>
        </w:rPr>
      </w:pPr>
    </w:p>
    <w:p w14:paraId="286F2348" w14:textId="3443D06F" w:rsidR="0001730C" w:rsidRPr="00974F7F" w:rsidRDefault="0001730C" w:rsidP="0001730C">
      <w:pPr>
        <w:pStyle w:val="Default"/>
        <w:ind w:left="720"/>
        <w:rPr>
          <w:sz w:val="22"/>
          <w:lang w:val="es-ES"/>
        </w:rPr>
      </w:pPr>
      <w:r w:rsidRPr="00974F7F">
        <w:rPr>
          <w:sz w:val="22"/>
          <w:lang w:val="es-ES"/>
        </w:rPr>
        <w:t xml:space="preserve">c) </w:t>
      </w:r>
      <w:r w:rsidR="00D67AA3" w:rsidRPr="00974F7F">
        <w:rPr>
          <w:sz w:val="22"/>
          <w:lang w:val="es-ES"/>
        </w:rPr>
        <w:t xml:space="preserve"> </w:t>
      </w:r>
      <w:r w:rsidR="003759C6" w:rsidRPr="003759C6">
        <w:rPr>
          <w:sz w:val="22"/>
          <w:lang w:val="es-ES"/>
        </w:rPr>
        <w:t>El Comité hará uso de todos los documentos de trabajo de la OMPI, así como cualquier otra aportación de los Estados miembros, siguiendo un enfoque empírico, como estudios y ejemplos de experiencias nacionales, incluida la legislación nacional y ejemplos de materia que puede ser objeto de protección y m</w:t>
      </w:r>
      <w:r w:rsidR="003759C6">
        <w:rPr>
          <w:sz w:val="22"/>
          <w:lang w:val="es-ES"/>
        </w:rPr>
        <w:t>ateria que no se prevé proteger.</w:t>
      </w:r>
    </w:p>
    <w:p w14:paraId="4AA937EE" w14:textId="77777777" w:rsidR="0001730C" w:rsidRPr="00974F7F" w:rsidRDefault="0001730C" w:rsidP="0001730C">
      <w:pPr>
        <w:pStyle w:val="Default"/>
        <w:ind w:left="720"/>
        <w:rPr>
          <w:sz w:val="22"/>
          <w:lang w:val="es-ES"/>
        </w:rPr>
      </w:pPr>
    </w:p>
    <w:p w14:paraId="58D376D5" w14:textId="21367D99" w:rsidR="0001730C" w:rsidRPr="00974F7F" w:rsidRDefault="0001730C" w:rsidP="0001730C">
      <w:pPr>
        <w:pStyle w:val="Default"/>
        <w:ind w:left="720"/>
        <w:rPr>
          <w:sz w:val="22"/>
          <w:lang w:val="es-ES"/>
        </w:rPr>
      </w:pPr>
      <w:r w:rsidRPr="00974F7F">
        <w:rPr>
          <w:sz w:val="22"/>
          <w:lang w:val="es-ES"/>
        </w:rPr>
        <w:t xml:space="preserve">d) </w:t>
      </w:r>
      <w:r w:rsidR="00D67AA3" w:rsidRPr="00974F7F">
        <w:rPr>
          <w:sz w:val="22"/>
          <w:lang w:val="es-ES"/>
        </w:rPr>
        <w:t xml:space="preserve"> </w:t>
      </w:r>
      <w:r w:rsidR="00AD74D1">
        <w:rPr>
          <w:sz w:val="22"/>
          <w:lang w:val="es-ES"/>
        </w:rPr>
        <w:t xml:space="preserve">El Comité utilizará la asistencia de la Secretaría de la OMPI para realizar los estudios contenidos en los documentos </w:t>
      </w:r>
      <w:r w:rsidR="00AD74D1" w:rsidRPr="00AD74D1">
        <w:rPr>
          <w:sz w:val="22"/>
          <w:lang w:val="es-ES"/>
        </w:rPr>
        <w:t>WIPO/GRTKF/IC/32/8 y WIPO/GRTKF/IC/32/9.</w:t>
      </w:r>
      <w:r w:rsidR="00AD74D1">
        <w:rPr>
          <w:sz w:val="22"/>
          <w:lang w:val="es-ES"/>
        </w:rPr>
        <w:t xml:space="preserve">  Los resultados de los estudios se pondrán a disposición del Comité antes de la primera sesión de 2019 del CIG.  Los estudios se realizarán paralelamente a la labor del CIG, y no han de retrasar los avances.</w:t>
      </w:r>
    </w:p>
    <w:p w14:paraId="4382AD42" w14:textId="77777777" w:rsidR="0001730C" w:rsidRPr="00974F7F" w:rsidRDefault="0001730C" w:rsidP="0001730C">
      <w:pPr>
        <w:pStyle w:val="Default"/>
        <w:ind w:left="720"/>
        <w:rPr>
          <w:sz w:val="22"/>
          <w:lang w:val="es-ES"/>
        </w:rPr>
      </w:pPr>
    </w:p>
    <w:p w14:paraId="185826DE" w14:textId="7381EF87" w:rsidR="0001730C" w:rsidRDefault="0001730C" w:rsidP="00AD74D1">
      <w:pPr>
        <w:pStyle w:val="Default"/>
        <w:ind w:left="720"/>
        <w:rPr>
          <w:sz w:val="22"/>
          <w:lang w:val="es-ES"/>
        </w:rPr>
      </w:pPr>
      <w:r w:rsidRPr="00974F7F">
        <w:rPr>
          <w:sz w:val="22"/>
          <w:lang w:val="es-ES"/>
        </w:rPr>
        <w:t xml:space="preserve">e) </w:t>
      </w:r>
      <w:r w:rsidR="00D67AA3" w:rsidRPr="00974F7F">
        <w:rPr>
          <w:sz w:val="22"/>
          <w:lang w:val="es-ES"/>
        </w:rPr>
        <w:t xml:space="preserve"> </w:t>
      </w:r>
      <w:r w:rsidR="00AD74D1" w:rsidRPr="00AD74D1">
        <w:rPr>
          <w:sz w:val="22"/>
          <w:lang w:val="es-ES"/>
        </w:rPr>
        <w:t xml:space="preserve">El Comité </w:t>
      </w:r>
      <w:r w:rsidR="00AD74D1">
        <w:rPr>
          <w:sz w:val="22"/>
          <w:lang w:val="es-ES"/>
        </w:rPr>
        <w:t xml:space="preserve">también </w:t>
      </w:r>
      <w:r w:rsidR="00AD74D1" w:rsidRPr="00AD74D1">
        <w:rPr>
          <w:sz w:val="22"/>
          <w:lang w:val="es-ES"/>
        </w:rPr>
        <w:t xml:space="preserve">utilizará la asistencia de la Secretaría de la OMPI para </w:t>
      </w:r>
      <w:r w:rsidR="00AD74D1">
        <w:rPr>
          <w:sz w:val="22"/>
          <w:lang w:val="es-ES"/>
        </w:rPr>
        <w:t xml:space="preserve">acelerar su labor sobre las propuestas de bases de datos que figuran en los documentos </w:t>
      </w:r>
      <w:r w:rsidRPr="00974F7F">
        <w:rPr>
          <w:sz w:val="22"/>
          <w:lang w:val="es-ES"/>
        </w:rPr>
        <w:t xml:space="preserve">WIPO/GRTKF/IC/32/6 </w:t>
      </w:r>
      <w:r w:rsidR="00AD74D1">
        <w:rPr>
          <w:sz w:val="22"/>
          <w:lang w:val="es-ES"/>
        </w:rPr>
        <w:t xml:space="preserve">y </w:t>
      </w:r>
      <w:r w:rsidRPr="00974F7F">
        <w:rPr>
          <w:sz w:val="22"/>
          <w:lang w:val="es-ES"/>
        </w:rPr>
        <w:t xml:space="preserve">WIPO/GRTKF/IC/32/7.  </w:t>
      </w:r>
      <w:r w:rsidR="00AD74D1">
        <w:rPr>
          <w:sz w:val="22"/>
          <w:lang w:val="es-ES"/>
        </w:rPr>
        <w:t xml:space="preserve">Esta labor estará lista para ser adoptada por el CIG y examinada por la Asamblea General de la OMPI en </w:t>
      </w:r>
      <w:r w:rsidRPr="00974F7F">
        <w:rPr>
          <w:sz w:val="22"/>
          <w:lang w:val="es-ES"/>
        </w:rPr>
        <w:t>2019.</w:t>
      </w:r>
      <w:r w:rsidR="00AD74D1" w:rsidRPr="00AD74D1">
        <w:rPr>
          <w:rFonts w:eastAsia="SimSun"/>
          <w:color w:val="auto"/>
          <w:sz w:val="22"/>
          <w:lang w:val="es-ES" w:eastAsia="zh-CN"/>
        </w:rPr>
        <w:t xml:space="preserve"> </w:t>
      </w:r>
    </w:p>
    <w:p w14:paraId="41A2A270" w14:textId="77777777" w:rsidR="00AD74D1" w:rsidRPr="00974F7F" w:rsidRDefault="00AD74D1" w:rsidP="0001730C">
      <w:pPr>
        <w:pStyle w:val="Default"/>
        <w:ind w:left="720"/>
        <w:rPr>
          <w:sz w:val="22"/>
          <w:lang w:val="es-ES"/>
        </w:rPr>
      </w:pPr>
    </w:p>
    <w:p w14:paraId="41270D69" w14:textId="2695E4BD" w:rsidR="0001730C" w:rsidRPr="00974F7F" w:rsidRDefault="0001730C" w:rsidP="0001730C">
      <w:pPr>
        <w:pStyle w:val="Default"/>
        <w:ind w:left="720"/>
        <w:rPr>
          <w:sz w:val="22"/>
          <w:lang w:val="es-ES"/>
        </w:rPr>
      </w:pPr>
      <w:r w:rsidRPr="00974F7F">
        <w:rPr>
          <w:sz w:val="22"/>
          <w:lang w:val="es-ES"/>
        </w:rPr>
        <w:t xml:space="preserve">f) </w:t>
      </w:r>
      <w:r w:rsidR="00D67AA3" w:rsidRPr="00974F7F">
        <w:rPr>
          <w:sz w:val="22"/>
          <w:lang w:val="es-ES"/>
        </w:rPr>
        <w:t xml:space="preserve"> </w:t>
      </w:r>
      <w:r w:rsidR="00AD74D1">
        <w:rPr>
          <w:sz w:val="22"/>
          <w:lang w:val="es-ES"/>
        </w:rPr>
        <w:t xml:space="preserve">El Comité utilizará además la asistencia de la Secretaría de la OMPI para realizar estudios sobre la aplicación nacional del requisito de divulgación y las disposiciones nacionales de protección de los CC.TT. y las ECT.  La Secretaría propondrá el mandato de esos estudios, que los miembros de la OMPI </w:t>
      </w:r>
      <w:r w:rsidR="00540C20">
        <w:rPr>
          <w:sz w:val="22"/>
          <w:lang w:val="es-ES"/>
        </w:rPr>
        <w:t xml:space="preserve">han de examinar </w:t>
      </w:r>
      <w:r w:rsidR="00AD74D1">
        <w:rPr>
          <w:sz w:val="22"/>
          <w:lang w:val="es-ES"/>
        </w:rPr>
        <w:t>en la primera sesión de 2018 del CIG.</w:t>
      </w:r>
    </w:p>
    <w:p w14:paraId="08D7D2DE" w14:textId="77777777" w:rsidR="0001730C" w:rsidRPr="00974F7F" w:rsidRDefault="0001730C" w:rsidP="0001730C">
      <w:pPr>
        <w:pStyle w:val="Default"/>
        <w:ind w:left="720"/>
        <w:rPr>
          <w:sz w:val="22"/>
          <w:lang w:val="es-ES"/>
        </w:rPr>
      </w:pPr>
    </w:p>
    <w:p w14:paraId="35091F0A" w14:textId="59DDC602" w:rsidR="0001730C" w:rsidRPr="00974F7F" w:rsidRDefault="0001730C" w:rsidP="00AD74D1">
      <w:pPr>
        <w:pStyle w:val="Default"/>
        <w:spacing w:after="269"/>
        <w:ind w:left="720"/>
        <w:rPr>
          <w:sz w:val="22"/>
          <w:lang w:val="es-ES"/>
        </w:rPr>
      </w:pPr>
      <w:r w:rsidRPr="00974F7F">
        <w:rPr>
          <w:sz w:val="22"/>
          <w:lang w:val="es-ES"/>
        </w:rPr>
        <w:t xml:space="preserve">g) </w:t>
      </w:r>
      <w:r w:rsidR="00D67AA3" w:rsidRPr="00974F7F">
        <w:rPr>
          <w:sz w:val="22"/>
          <w:lang w:val="es-ES"/>
        </w:rPr>
        <w:t xml:space="preserve"> </w:t>
      </w:r>
      <w:r w:rsidR="00AD74D1">
        <w:rPr>
          <w:sz w:val="22"/>
          <w:lang w:val="es-ES"/>
        </w:rPr>
        <w:t>Se pide al Comité que, e</w:t>
      </w:r>
      <w:r w:rsidRPr="00974F7F">
        <w:rPr>
          <w:sz w:val="22"/>
          <w:lang w:val="es-ES"/>
        </w:rPr>
        <w:t>n 2018,</w:t>
      </w:r>
      <w:r w:rsidR="00AD74D1">
        <w:rPr>
          <w:sz w:val="22"/>
          <w:lang w:val="es-ES"/>
        </w:rPr>
        <w:t xml:space="preserve"> presente a la Asamblea General de la OMPI, a título informativo únicamente, un informe fáctico sobre la labor efectuada hasta la fecha y que, en 2019, presente a la Asamblea General los resultados de su labor.</w:t>
      </w:r>
      <w:r w:rsidRPr="00974F7F">
        <w:rPr>
          <w:sz w:val="22"/>
          <w:lang w:val="es-ES"/>
        </w:rPr>
        <w:t xml:space="preserve"> </w:t>
      </w:r>
    </w:p>
    <w:p w14:paraId="104FEE60" w14:textId="066479BC" w:rsidR="0001730C" w:rsidRDefault="00EA62C1" w:rsidP="0001730C">
      <w:pPr>
        <w:pStyle w:val="Default"/>
        <w:ind w:left="720"/>
        <w:rPr>
          <w:sz w:val="22"/>
          <w:lang w:val="es-ES_tradnl"/>
        </w:rPr>
      </w:pPr>
      <w:r>
        <w:rPr>
          <w:sz w:val="22"/>
          <w:lang w:val="es-ES_tradnl"/>
        </w:rPr>
        <w:t>h)</w:t>
      </w:r>
      <w:r>
        <w:rPr>
          <w:sz w:val="22"/>
          <w:lang w:val="es-ES_tradnl"/>
        </w:rPr>
        <w:tab/>
      </w:r>
      <w:r w:rsidRPr="00EA62C1">
        <w:rPr>
          <w:sz w:val="22"/>
          <w:lang w:val="es-ES_tradnl"/>
        </w:rPr>
        <w:t xml:space="preserve">La Asamblea General de la OMPI pide a la Oficina Internacional que siga prestando asistencia al Comité proporcionando a los Estados miembros los conocimientos especializados necesarios y financiando, del modo más eficiente posible, la participación de expertos de países en desarrollo y </w:t>
      </w:r>
      <w:r w:rsidR="00D542E3">
        <w:rPr>
          <w:sz w:val="22"/>
          <w:lang w:val="es-ES_tradnl"/>
        </w:rPr>
        <w:t>PMA</w:t>
      </w:r>
      <w:r w:rsidRPr="00EA62C1">
        <w:rPr>
          <w:sz w:val="22"/>
          <w:lang w:val="es-ES_tradnl"/>
        </w:rPr>
        <w:t>, segú</w:t>
      </w:r>
      <w:r w:rsidR="00D542E3">
        <w:rPr>
          <w:sz w:val="22"/>
          <w:lang w:val="es-ES_tradnl"/>
        </w:rPr>
        <w:t>n la práctica habitual del CIG.</w:t>
      </w:r>
    </w:p>
    <w:p w14:paraId="66B60F6C" w14:textId="77777777" w:rsidR="00D542E3" w:rsidRPr="00974F7F" w:rsidRDefault="00D542E3" w:rsidP="0001730C">
      <w:pPr>
        <w:pStyle w:val="Default"/>
        <w:ind w:left="720"/>
        <w:rPr>
          <w:sz w:val="22"/>
          <w:lang w:val="es-ES"/>
        </w:rPr>
      </w:pPr>
    </w:p>
    <w:p w14:paraId="2B40D46B" w14:textId="158451FE" w:rsidR="0001730C" w:rsidRPr="00974F7F" w:rsidRDefault="0001730C" w:rsidP="0001730C">
      <w:pPr>
        <w:jc w:val="center"/>
        <w:rPr>
          <w:b/>
          <w:szCs w:val="22"/>
          <w:u w:val="single"/>
          <w:lang w:val="es-ES"/>
        </w:rPr>
      </w:pPr>
      <w:r w:rsidRPr="00974F7F">
        <w:rPr>
          <w:b/>
          <w:szCs w:val="22"/>
          <w:u w:val="single"/>
          <w:lang w:val="es-ES"/>
        </w:rPr>
        <w:t>Program</w:t>
      </w:r>
      <w:r w:rsidR="00974F7F">
        <w:rPr>
          <w:b/>
          <w:szCs w:val="22"/>
          <w:u w:val="single"/>
          <w:lang w:val="es-ES"/>
        </w:rPr>
        <w:t>a de trabajo</w:t>
      </w:r>
    </w:p>
    <w:p w14:paraId="50BFEABD" w14:textId="77777777" w:rsidR="0001730C" w:rsidRPr="00974F7F" w:rsidRDefault="0001730C" w:rsidP="0001730C">
      <w:pPr>
        <w:jc w:val="center"/>
        <w:rPr>
          <w:b/>
          <w:szCs w:val="22"/>
          <w:u w:val="single"/>
          <w:lang w:val="es-ES"/>
        </w:rPr>
      </w:pPr>
    </w:p>
    <w:tbl>
      <w:tblPr>
        <w:tblStyle w:val="TableGrid"/>
        <w:tblW w:w="0" w:type="auto"/>
        <w:tblLook w:val="04A0" w:firstRow="1" w:lastRow="0" w:firstColumn="1" w:lastColumn="0" w:noHBand="0" w:noVBand="1"/>
      </w:tblPr>
      <w:tblGrid>
        <w:gridCol w:w="2335"/>
        <w:gridCol w:w="6930"/>
      </w:tblGrid>
      <w:tr w:rsidR="0001730C" w:rsidRPr="00974F7F" w14:paraId="0423592D" w14:textId="77777777" w:rsidTr="003074D6">
        <w:trPr>
          <w:trHeight w:val="449"/>
        </w:trPr>
        <w:tc>
          <w:tcPr>
            <w:tcW w:w="2335" w:type="dxa"/>
            <w:vAlign w:val="center"/>
          </w:tcPr>
          <w:p w14:paraId="7121E1B0" w14:textId="7BAD3B6C" w:rsidR="0001730C" w:rsidRPr="00974F7F" w:rsidRDefault="00974F7F" w:rsidP="00974F7F">
            <w:pPr>
              <w:rPr>
                <w:b/>
                <w:lang w:val="es-ES"/>
              </w:rPr>
            </w:pPr>
            <w:r>
              <w:rPr>
                <w:b/>
                <w:lang w:val="es-ES"/>
              </w:rPr>
              <w:t>Fechas indicativas</w:t>
            </w:r>
          </w:p>
        </w:tc>
        <w:tc>
          <w:tcPr>
            <w:tcW w:w="6930" w:type="dxa"/>
            <w:vAlign w:val="center"/>
          </w:tcPr>
          <w:p w14:paraId="3BDC0E74" w14:textId="4FC9BF8C" w:rsidR="0001730C" w:rsidRPr="00974F7F" w:rsidRDefault="00974F7F" w:rsidP="003074D6">
            <w:pPr>
              <w:rPr>
                <w:b/>
                <w:lang w:val="es-ES"/>
              </w:rPr>
            </w:pPr>
            <w:r>
              <w:rPr>
                <w:b/>
                <w:lang w:val="es-ES"/>
              </w:rPr>
              <w:t>Actividad</w:t>
            </w:r>
          </w:p>
        </w:tc>
      </w:tr>
      <w:tr w:rsidR="0001730C" w:rsidRPr="002119D8" w14:paraId="7856FD09" w14:textId="77777777" w:rsidTr="003074D6">
        <w:trPr>
          <w:trHeight w:val="1043"/>
        </w:trPr>
        <w:tc>
          <w:tcPr>
            <w:tcW w:w="2335" w:type="dxa"/>
          </w:tcPr>
          <w:p w14:paraId="5B20CF70" w14:textId="690589AE" w:rsidR="0001730C" w:rsidRPr="00974F7F" w:rsidRDefault="00974F7F" w:rsidP="003074D6">
            <w:pPr>
              <w:rPr>
                <w:lang w:val="es-ES"/>
              </w:rPr>
            </w:pPr>
            <w:r>
              <w:rPr>
                <w:lang w:val="es-ES"/>
              </w:rPr>
              <w:t>Febrero/Marzo de</w:t>
            </w:r>
            <w:r w:rsidR="0001730C" w:rsidRPr="00974F7F">
              <w:rPr>
                <w:lang w:val="es-ES"/>
              </w:rPr>
              <w:t xml:space="preserve"> 2018</w:t>
            </w:r>
          </w:p>
        </w:tc>
        <w:tc>
          <w:tcPr>
            <w:tcW w:w="6930" w:type="dxa"/>
          </w:tcPr>
          <w:p w14:paraId="14C2EF74" w14:textId="37BC3C1C" w:rsidR="0001730C" w:rsidRPr="00974F7F" w:rsidRDefault="00974F7F" w:rsidP="003074D6">
            <w:pPr>
              <w:rPr>
                <w:lang w:val="es-ES"/>
              </w:rPr>
            </w:pPr>
            <w:r>
              <w:rPr>
                <w:lang w:val="es-ES"/>
              </w:rPr>
              <w:t>35</w:t>
            </w:r>
            <w:r w:rsidRPr="00974F7F">
              <w:rPr>
                <w:lang w:val="es-ES"/>
              </w:rPr>
              <w:t>ª sesión del CIG</w:t>
            </w:r>
            <w:r w:rsidR="0001730C" w:rsidRPr="00974F7F">
              <w:rPr>
                <w:lang w:val="es-ES"/>
              </w:rPr>
              <w:t xml:space="preserve">: </w:t>
            </w:r>
            <w:r>
              <w:rPr>
                <w:lang w:val="es-ES"/>
              </w:rPr>
              <w:t xml:space="preserve"> Recursos gené</w:t>
            </w:r>
            <w:r w:rsidR="0001730C" w:rsidRPr="00974F7F">
              <w:rPr>
                <w:lang w:val="es-ES"/>
              </w:rPr>
              <w:t>tic</w:t>
            </w:r>
            <w:r>
              <w:rPr>
                <w:lang w:val="es-ES"/>
              </w:rPr>
              <w:t>os</w:t>
            </w:r>
            <w:r w:rsidR="0001730C" w:rsidRPr="00974F7F">
              <w:rPr>
                <w:lang w:val="es-ES"/>
              </w:rPr>
              <w:t xml:space="preserve"> </w:t>
            </w:r>
          </w:p>
          <w:p w14:paraId="156900F9" w14:textId="26FAD45D" w:rsidR="0001730C" w:rsidRPr="00974F7F" w:rsidRDefault="00974F7F" w:rsidP="003074D6">
            <w:pPr>
              <w:rPr>
                <w:lang w:val="es-ES"/>
              </w:rPr>
            </w:pPr>
            <w:r>
              <w:rPr>
                <w:lang w:val="es-ES"/>
              </w:rPr>
              <w:t>Duración:  5 días</w:t>
            </w:r>
          </w:p>
        </w:tc>
      </w:tr>
      <w:tr w:rsidR="0001730C" w:rsidRPr="002119D8" w14:paraId="5D8647DF" w14:textId="77777777" w:rsidTr="003074D6">
        <w:trPr>
          <w:trHeight w:val="980"/>
        </w:trPr>
        <w:tc>
          <w:tcPr>
            <w:tcW w:w="2335" w:type="dxa"/>
          </w:tcPr>
          <w:p w14:paraId="3C364565" w14:textId="69B7391F" w:rsidR="0001730C" w:rsidRPr="00974F7F" w:rsidRDefault="00974F7F" w:rsidP="003074D6">
            <w:pPr>
              <w:rPr>
                <w:lang w:val="es-ES"/>
              </w:rPr>
            </w:pPr>
            <w:r>
              <w:rPr>
                <w:lang w:val="es-ES"/>
              </w:rPr>
              <w:t>Septiembre de</w:t>
            </w:r>
            <w:r w:rsidR="0001730C" w:rsidRPr="00974F7F">
              <w:rPr>
                <w:lang w:val="es-ES"/>
              </w:rPr>
              <w:t xml:space="preserve"> 2018</w:t>
            </w:r>
          </w:p>
        </w:tc>
        <w:tc>
          <w:tcPr>
            <w:tcW w:w="6930" w:type="dxa"/>
          </w:tcPr>
          <w:p w14:paraId="09110897" w14:textId="7E64B570" w:rsidR="0001730C" w:rsidRPr="00974F7F" w:rsidRDefault="00974F7F" w:rsidP="003074D6">
            <w:pPr>
              <w:rPr>
                <w:lang w:val="es-ES"/>
              </w:rPr>
            </w:pPr>
            <w:r>
              <w:rPr>
                <w:lang w:val="es-ES"/>
              </w:rPr>
              <w:t>36</w:t>
            </w:r>
            <w:r w:rsidRPr="00974F7F">
              <w:rPr>
                <w:lang w:val="es-ES"/>
              </w:rPr>
              <w:t>ª sesión del CIG</w:t>
            </w:r>
            <w:r w:rsidR="0001730C" w:rsidRPr="00974F7F">
              <w:rPr>
                <w:lang w:val="es-ES"/>
              </w:rPr>
              <w:t xml:space="preserve">: </w:t>
            </w:r>
            <w:r>
              <w:rPr>
                <w:lang w:val="es-ES"/>
              </w:rPr>
              <w:t>Conocimientos tradicionales</w:t>
            </w:r>
          </w:p>
          <w:p w14:paraId="6D83349C" w14:textId="5FC06C1C" w:rsidR="0001730C" w:rsidRPr="00974F7F" w:rsidRDefault="00974F7F" w:rsidP="003074D6">
            <w:pPr>
              <w:rPr>
                <w:lang w:val="es-ES"/>
              </w:rPr>
            </w:pPr>
            <w:r>
              <w:rPr>
                <w:lang w:val="es-ES"/>
              </w:rPr>
              <w:t>Duración:  5 días</w:t>
            </w:r>
          </w:p>
        </w:tc>
      </w:tr>
      <w:tr w:rsidR="0001730C" w:rsidRPr="002119D8" w14:paraId="466E85FA" w14:textId="77777777" w:rsidTr="003074D6">
        <w:trPr>
          <w:trHeight w:val="575"/>
        </w:trPr>
        <w:tc>
          <w:tcPr>
            <w:tcW w:w="2335" w:type="dxa"/>
          </w:tcPr>
          <w:p w14:paraId="038011F4" w14:textId="1E465111" w:rsidR="0001730C" w:rsidRPr="00974F7F" w:rsidRDefault="00974F7F" w:rsidP="003074D6">
            <w:pPr>
              <w:rPr>
                <w:lang w:val="es-ES"/>
              </w:rPr>
            </w:pPr>
            <w:r>
              <w:rPr>
                <w:lang w:val="es-ES"/>
              </w:rPr>
              <w:t>Octubre de</w:t>
            </w:r>
            <w:r w:rsidR="0001730C" w:rsidRPr="00974F7F">
              <w:rPr>
                <w:lang w:val="es-ES"/>
              </w:rPr>
              <w:t xml:space="preserve"> 2018</w:t>
            </w:r>
          </w:p>
        </w:tc>
        <w:tc>
          <w:tcPr>
            <w:tcW w:w="6930" w:type="dxa"/>
          </w:tcPr>
          <w:p w14:paraId="633D6C3F" w14:textId="10A33657" w:rsidR="0001730C" w:rsidRPr="00974F7F" w:rsidRDefault="00974F7F" w:rsidP="003074D6">
            <w:pPr>
              <w:rPr>
                <w:lang w:val="es-ES"/>
              </w:rPr>
            </w:pPr>
            <w:r>
              <w:rPr>
                <w:lang w:val="es-ES"/>
              </w:rPr>
              <w:t>Asamblea General de la OMPI</w:t>
            </w:r>
          </w:p>
        </w:tc>
      </w:tr>
      <w:tr w:rsidR="0001730C" w:rsidRPr="00974F7F" w14:paraId="7ABCB8DB" w14:textId="77777777" w:rsidTr="003074D6">
        <w:trPr>
          <w:trHeight w:val="1061"/>
        </w:trPr>
        <w:tc>
          <w:tcPr>
            <w:tcW w:w="2335" w:type="dxa"/>
          </w:tcPr>
          <w:p w14:paraId="1916A08A" w14:textId="07AED6CC" w:rsidR="0001730C" w:rsidRPr="00974F7F" w:rsidRDefault="00974F7F" w:rsidP="003074D6">
            <w:pPr>
              <w:rPr>
                <w:lang w:val="es-ES"/>
              </w:rPr>
            </w:pPr>
            <w:r>
              <w:rPr>
                <w:lang w:val="es-ES"/>
              </w:rPr>
              <w:t>Mayo/Junio</w:t>
            </w:r>
            <w:r w:rsidR="0001730C" w:rsidRPr="00974F7F">
              <w:rPr>
                <w:lang w:val="es-ES"/>
              </w:rPr>
              <w:t xml:space="preserve"> </w:t>
            </w:r>
            <w:r>
              <w:rPr>
                <w:lang w:val="es-ES"/>
              </w:rPr>
              <w:t xml:space="preserve">de </w:t>
            </w:r>
            <w:r w:rsidR="0001730C" w:rsidRPr="00974F7F">
              <w:rPr>
                <w:lang w:val="es-ES"/>
              </w:rPr>
              <w:t>2019</w:t>
            </w:r>
          </w:p>
        </w:tc>
        <w:tc>
          <w:tcPr>
            <w:tcW w:w="6930" w:type="dxa"/>
          </w:tcPr>
          <w:p w14:paraId="14198402" w14:textId="55A2ACEA" w:rsidR="0001730C" w:rsidRPr="00974F7F" w:rsidRDefault="00974F7F" w:rsidP="003074D6">
            <w:pPr>
              <w:rPr>
                <w:lang w:val="es-ES"/>
              </w:rPr>
            </w:pPr>
            <w:r>
              <w:rPr>
                <w:lang w:val="es-ES"/>
              </w:rPr>
              <w:t>37ª sesión del C</w:t>
            </w:r>
            <w:r w:rsidR="0001730C" w:rsidRPr="00974F7F">
              <w:rPr>
                <w:lang w:val="es-ES"/>
              </w:rPr>
              <w:t xml:space="preserve">IG: </w:t>
            </w:r>
            <w:r>
              <w:rPr>
                <w:lang w:val="es-ES"/>
              </w:rPr>
              <w:t xml:space="preserve"> Expresiones culturales tradicionales</w:t>
            </w:r>
            <w:r w:rsidR="0001730C" w:rsidRPr="00974F7F">
              <w:rPr>
                <w:lang w:val="es-ES"/>
              </w:rPr>
              <w:t xml:space="preserve"> </w:t>
            </w:r>
          </w:p>
          <w:p w14:paraId="31EA0B35" w14:textId="4D91C1D3" w:rsidR="0001730C" w:rsidRPr="00974F7F" w:rsidRDefault="00974F7F" w:rsidP="003074D6">
            <w:pPr>
              <w:rPr>
                <w:lang w:val="es-ES"/>
              </w:rPr>
            </w:pPr>
            <w:r>
              <w:rPr>
                <w:lang w:val="es-ES"/>
              </w:rPr>
              <w:t>Duración:  5 días</w:t>
            </w:r>
          </w:p>
        </w:tc>
      </w:tr>
      <w:tr w:rsidR="0001730C" w:rsidRPr="00974F7F" w14:paraId="6443756C" w14:textId="77777777" w:rsidTr="003074D6">
        <w:trPr>
          <w:trHeight w:val="1079"/>
        </w:trPr>
        <w:tc>
          <w:tcPr>
            <w:tcW w:w="2335" w:type="dxa"/>
          </w:tcPr>
          <w:p w14:paraId="350CAA23" w14:textId="41021365" w:rsidR="0001730C" w:rsidRPr="00974F7F" w:rsidRDefault="0001730C" w:rsidP="003074D6">
            <w:pPr>
              <w:rPr>
                <w:lang w:val="es-ES"/>
              </w:rPr>
            </w:pPr>
            <w:r w:rsidRPr="00974F7F">
              <w:rPr>
                <w:lang w:val="es-ES"/>
              </w:rPr>
              <w:t>Sept</w:t>
            </w:r>
            <w:r w:rsidR="00974F7F">
              <w:rPr>
                <w:lang w:val="es-ES"/>
              </w:rPr>
              <w:t>iemb</w:t>
            </w:r>
            <w:r w:rsidRPr="00974F7F">
              <w:rPr>
                <w:lang w:val="es-ES"/>
              </w:rPr>
              <w:t>r</w:t>
            </w:r>
            <w:r w:rsidR="00974F7F">
              <w:rPr>
                <w:lang w:val="es-ES"/>
              </w:rPr>
              <w:t>e</w:t>
            </w:r>
            <w:r w:rsidRPr="00974F7F">
              <w:rPr>
                <w:lang w:val="es-ES"/>
              </w:rPr>
              <w:t xml:space="preserve"> </w:t>
            </w:r>
            <w:r w:rsidR="00974F7F">
              <w:rPr>
                <w:lang w:val="es-ES"/>
              </w:rPr>
              <w:t xml:space="preserve">de </w:t>
            </w:r>
            <w:r w:rsidRPr="00974F7F">
              <w:rPr>
                <w:lang w:val="es-ES"/>
              </w:rPr>
              <w:t>2019</w:t>
            </w:r>
          </w:p>
        </w:tc>
        <w:tc>
          <w:tcPr>
            <w:tcW w:w="6930" w:type="dxa"/>
          </w:tcPr>
          <w:p w14:paraId="41E7CEDE" w14:textId="424EC2E4" w:rsidR="0001730C" w:rsidRPr="00974F7F" w:rsidRDefault="0001730C" w:rsidP="003074D6">
            <w:pPr>
              <w:rPr>
                <w:lang w:val="es-ES"/>
              </w:rPr>
            </w:pPr>
            <w:r w:rsidRPr="00974F7F">
              <w:rPr>
                <w:lang w:val="es-ES"/>
              </w:rPr>
              <w:t>C</w:t>
            </w:r>
            <w:r w:rsidR="00974F7F">
              <w:rPr>
                <w:lang w:val="es-ES"/>
              </w:rPr>
              <w:t xml:space="preserve">uestiones transversales y </w:t>
            </w:r>
            <w:r w:rsidR="00540C20">
              <w:rPr>
                <w:lang w:val="es-ES"/>
              </w:rPr>
              <w:t>evaluación</w:t>
            </w:r>
            <w:r w:rsidR="00974F7F">
              <w:rPr>
                <w:lang w:val="es-ES"/>
              </w:rPr>
              <w:t xml:space="preserve"> de los avances</w:t>
            </w:r>
          </w:p>
          <w:p w14:paraId="74F7DF6E" w14:textId="60BFB043" w:rsidR="0001730C" w:rsidRPr="00974F7F" w:rsidRDefault="00974F7F" w:rsidP="003074D6">
            <w:pPr>
              <w:rPr>
                <w:lang w:val="es-ES"/>
              </w:rPr>
            </w:pPr>
            <w:r>
              <w:rPr>
                <w:lang w:val="es-ES"/>
              </w:rPr>
              <w:t>Duración:  5 días</w:t>
            </w:r>
          </w:p>
        </w:tc>
      </w:tr>
    </w:tbl>
    <w:p w14:paraId="0AFC90D2" w14:textId="77777777" w:rsidR="0001730C" w:rsidRPr="00974F7F" w:rsidRDefault="0001730C" w:rsidP="0001730C">
      <w:pPr>
        <w:rPr>
          <w:szCs w:val="22"/>
          <w:lang w:val="es-ES"/>
        </w:rPr>
      </w:pPr>
    </w:p>
    <w:p w14:paraId="41203221" w14:textId="512C8C24" w:rsidR="00416CCD" w:rsidRPr="00974F7F" w:rsidRDefault="00416CCD" w:rsidP="0001730C">
      <w:pPr>
        <w:autoSpaceDE w:val="0"/>
        <w:autoSpaceDN w:val="0"/>
        <w:adjustRightInd w:val="0"/>
        <w:ind w:left="567"/>
        <w:rPr>
          <w:rFonts w:eastAsia="Calibri"/>
          <w:szCs w:val="22"/>
          <w:lang w:val="es-ES" w:eastAsia="en-US"/>
        </w:rPr>
      </w:pPr>
    </w:p>
    <w:p w14:paraId="304BBACA" w14:textId="7197F350" w:rsidR="00FD1C08" w:rsidRPr="00974F7F" w:rsidRDefault="00FD1C08" w:rsidP="00A56479">
      <w:pPr>
        <w:pStyle w:val="Endofdocument-Annex"/>
        <w:rPr>
          <w:lang w:val="es-ES" w:eastAsia="en-US"/>
        </w:rPr>
      </w:pPr>
      <w:r w:rsidRPr="00974F7F">
        <w:rPr>
          <w:lang w:val="es-ES" w:eastAsia="en-US"/>
        </w:rPr>
        <w:t>[</w:t>
      </w:r>
      <w:r w:rsidR="00974F7F">
        <w:rPr>
          <w:lang w:val="es-ES" w:eastAsia="en-US"/>
        </w:rPr>
        <w:t>Fin del</w:t>
      </w:r>
      <w:r w:rsidRPr="00974F7F">
        <w:rPr>
          <w:lang w:val="es-ES" w:eastAsia="en-US"/>
        </w:rPr>
        <w:t xml:space="preserve"> </w:t>
      </w:r>
      <w:r w:rsidR="00974F7F">
        <w:rPr>
          <w:lang w:val="es-ES" w:eastAsia="en-US"/>
        </w:rPr>
        <w:t>Anexo y del documento</w:t>
      </w:r>
      <w:r w:rsidRPr="00974F7F">
        <w:rPr>
          <w:lang w:val="es-ES" w:eastAsia="en-US"/>
        </w:rPr>
        <w:t>]</w:t>
      </w:r>
    </w:p>
    <w:sectPr w:rsidR="00FD1C08" w:rsidRPr="00974F7F" w:rsidSect="00D70B35">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B4F88" w14:textId="77777777" w:rsidR="00DE0EAD" w:rsidRDefault="00DE0EAD">
      <w:r>
        <w:separator/>
      </w:r>
    </w:p>
  </w:endnote>
  <w:endnote w:type="continuationSeparator" w:id="0">
    <w:p w14:paraId="0FD59C92" w14:textId="77777777" w:rsidR="00DE0EAD" w:rsidRDefault="00DE0EAD" w:rsidP="003B38C1">
      <w:r>
        <w:separator/>
      </w:r>
    </w:p>
    <w:p w14:paraId="10E44CBB" w14:textId="77777777" w:rsidR="00DE0EAD" w:rsidRPr="003B38C1" w:rsidRDefault="00DE0EAD" w:rsidP="003B38C1">
      <w:pPr>
        <w:spacing w:after="60"/>
        <w:rPr>
          <w:sz w:val="17"/>
        </w:rPr>
      </w:pPr>
      <w:r>
        <w:rPr>
          <w:sz w:val="17"/>
        </w:rPr>
        <w:t>[Endnote continued from previous page]</w:t>
      </w:r>
    </w:p>
  </w:endnote>
  <w:endnote w:type="continuationNotice" w:id="1">
    <w:p w14:paraId="09FE14B2" w14:textId="77777777" w:rsidR="00DE0EAD" w:rsidRPr="003B38C1" w:rsidRDefault="00DE0EA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8E148" w14:textId="77777777" w:rsidR="00DE0EAD" w:rsidRDefault="00DE0EAD">
      <w:r>
        <w:separator/>
      </w:r>
    </w:p>
  </w:footnote>
  <w:footnote w:type="continuationSeparator" w:id="0">
    <w:p w14:paraId="22083A0B" w14:textId="77777777" w:rsidR="00DE0EAD" w:rsidRDefault="00DE0EAD" w:rsidP="008B60B2">
      <w:r>
        <w:separator/>
      </w:r>
    </w:p>
    <w:p w14:paraId="30A78D31" w14:textId="77777777" w:rsidR="00DE0EAD" w:rsidRPr="00ED77FB" w:rsidRDefault="00DE0EAD" w:rsidP="008B60B2">
      <w:pPr>
        <w:spacing w:after="60"/>
        <w:rPr>
          <w:sz w:val="17"/>
          <w:szCs w:val="17"/>
        </w:rPr>
      </w:pPr>
      <w:r w:rsidRPr="00ED77FB">
        <w:rPr>
          <w:sz w:val="17"/>
          <w:szCs w:val="17"/>
        </w:rPr>
        <w:t>[Footnote continued from previous page]</w:t>
      </w:r>
    </w:p>
  </w:footnote>
  <w:footnote w:type="continuationNotice" w:id="1">
    <w:p w14:paraId="07AD66AE" w14:textId="77777777" w:rsidR="00DE0EAD" w:rsidRPr="00ED77FB" w:rsidRDefault="00DE0EA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8AE0E" w14:textId="77777777" w:rsidR="00D70B35" w:rsidRPr="00D13C08" w:rsidRDefault="00D70B35" w:rsidP="00477D6B">
    <w:pPr>
      <w:jc w:val="right"/>
      <w:rPr>
        <w:szCs w:val="22"/>
      </w:rPr>
    </w:pPr>
    <w:r w:rsidRPr="00D13C08">
      <w:rPr>
        <w:caps/>
        <w:szCs w:val="22"/>
      </w:rPr>
      <w:t>WO/GA/4</w:t>
    </w:r>
    <w:r>
      <w:rPr>
        <w:caps/>
        <w:szCs w:val="22"/>
      </w:rPr>
      <w:t>7/XX</w:t>
    </w:r>
  </w:p>
  <w:p w14:paraId="3A1A227B" w14:textId="77777777" w:rsidR="00D70B35" w:rsidRPr="00D13C08" w:rsidRDefault="00D70B35" w:rsidP="00477D6B">
    <w:pPr>
      <w:jc w:val="right"/>
      <w:rPr>
        <w:szCs w:val="22"/>
      </w:rPr>
    </w:pPr>
    <w:r w:rsidRPr="00D13C08">
      <w:rPr>
        <w:szCs w:val="22"/>
      </w:rPr>
      <w:t xml:space="preserve">page </w:t>
    </w:r>
    <w:r w:rsidRPr="00D13C08">
      <w:rPr>
        <w:szCs w:val="22"/>
      </w:rPr>
      <w:fldChar w:fldCharType="begin"/>
    </w:r>
    <w:r w:rsidRPr="00D13C08">
      <w:rPr>
        <w:szCs w:val="22"/>
      </w:rPr>
      <w:instrText xml:space="preserve"> PAGE  \* MERGEFORMAT </w:instrText>
    </w:r>
    <w:r w:rsidRPr="00D13C08">
      <w:rPr>
        <w:szCs w:val="22"/>
      </w:rPr>
      <w:fldChar w:fldCharType="separate"/>
    </w:r>
    <w:r w:rsidR="006A708C">
      <w:rPr>
        <w:noProof/>
        <w:szCs w:val="22"/>
      </w:rPr>
      <w:t>1</w:t>
    </w:r>
    <w:r w:rsidRPr="00D13C08">
      <w:rPr>
        <w:szCs w:val="22"/>
      </w:rPr>
      <w:fldChar w:fldCharType="end"/>
    </w:r>
  </w:p>
  <w:p w14:paraId="17A9A8E5" w14:textId="77777777" w:rsidR="00D70B35" w:rsidRDefault="00D70B3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8B351" w14:textId="70268D6F" w:rsidR="00EC4E49" w:rsidRPr="00974F7F" w:rsidRDefault="00DE0EAD" w:rsidP="00477D6B">
    <w:pPr>
      <w:jc w:val="right"/>
      <w:rPr>
        <w:lang w:val="es-ES"/>
      </w:rPr>
    </w:pPr>
    <w:bookmarkStart w:id="5" w:name="Code2"/>
    <w:bookmarkEnd w:id="5"/>
    <w:r w:rsidRPr="00974F7F">
      <w:rPr>
        <w:lang w:val="es-ES"/>
      </w:rPr>
      <w:t>WO/GA/49/</w:t>
    </w:r>
    <w:r w:rsidR="00C46E17" w:rsidRPr="00974F7F">
      <w:rPr>
        <w:lang w:val="es-ES"/>
      </w:rPr>
      <w:t>19</w:t>
    </w:r>
  </w:p>
  <w:p w14:paraId="22A422B0" w14:textId="63AC5AEF" w:rsidR="00EC4E49" w:rsidRPr="00974F7F" w:rsidRDefault="00974F7F" w:rsidP="00477D6B">
    <w:pPr>
      <w:jc w:val="right"/>
      <w:rPr>
        <w:lang w:val="es-ES"/>
      </w:rPr>
    </w:pPr>
    <w:r w:rsidRPr="00974F7F">
      <w:rPr>
        <w:lang w:val="es-ES"/>
      </w:rPr>
      <w:t>An</w:t>
    </w:r>
    <w:r w:rsidR="00D70B35" w:rsidRPr="00974F7F">
      <w:rPr>
        <w:lang w:val="es-ES"/>
      </w:rPr>
      <w:t>ex</w:t>
    </w:r>
    <w:r w:rsidRPr="00974F7F">
      <w:rPr>
        <w:lang w:val="es-ES"/>
      </w:rPr>
      <w:t>o</w:t>
    </w:r>
    <w:r w:rsidR="00D70B35" w:rsidRPr="00974F7F">
      <w:rPr>
        <w:lang w:val="es-ES"/>
      </w:rPr>
      <w:t xml:space="preserve">, </w:t>
    </w:r>
    <w:r w:rsidRPr="00974F7F">
      <w:rPr>
        <w:lang w:val="es-ES"/>
      </w:rPr>
      <w:t>página</w:t>
    </w:r>
    <w:r w:rsidR="00EC4E49" w:rsidRPr="00974F7F">
      <w:rPr>
        <w:lang w:val="es-ES"/>
      </w:rPr>
      <w:t xml:space="preserve"> </w:t>
    </w:r>
    <w:r w:rsidR="00EC4E49" w:rsidRPr="00974F7F">
      <w:rPr>
        <w:lang w:val="es-ES"/>
      </w:rPr>
      <w:fldChar w:fldCharType="begin"/>
    </w:r>
    <w:r w:rsidR="00EC4E49" w:rsidRPr="00974F7F">
      <w:rPr>
        <w:lang w:val="es-ES"/>
      </w:rPr>
      <w:instrText xml:space="preserve"> PAGE  \* MERGEFORMAT </w:instrText>
    </w:r>
    <w:r w:rsidR="00EC4E49" w:rsidRPr="00974F7F">
      <w:rPr>
        <w:lang w:val="es-ES"/>
      </w:rPr>
      <w:fldChar w:fldCharType="separate"/>
    </w:r>
    <w:r w:rsidR="006A708C">
      <w:rPr>
        <w:noProof/>
        <w:lang w:val="es-ES"/>
      </w:rPr>
      <w:t>2</w:t>
    </w:r>
    <w:r w:rsidR="00EC4E49" w:rsidRPr="00974F7F">
      <w:rPr>
        <w:lang w:val="es-ES"/>
      </w:rPr>
      <w:fldChar w:fldCharType="end"/>
    </w:r>
  </w:p>
  <w:p w14:paraId="0DD381DF" w14:textId="77777777" w:rsidR="008A134B" w:rsidRPr="00974F7F" w:rsidRDefault="008A134B" w:rsidP="00477D6B">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9A341" w14:textId="0B857A94" w:rsidR="00D70B35" w:rsidRPr="00EA62C1" w:rsidRDefault="00D70B35" w:rsidP="00D70B35">
    <w:pPr>
      <w:pStyle w:val="Header"/>
      <w:jc w:val="right"/>
      <w:rPr>
        <w:lang w:val="es-ES"/>
      </w:rPr>
    </w:pPr>
    <w:r w:rsidRPr="00EA62C1">
      <w:rPr>
        <w:lang w:val="es-ES"/>
      </w:rPr>
      <w:t>WO/GA/49/</w:t>
    </w:r>
    <w:r w:rsidR="00C46E17" w:rsidRPr="00EA62C1">
      <w:rPr>
        <w:lang w:val="es-ES"/>
      </w:rPr>
      <w:t>19</w:t>
    </w:r>
  </w:p>
  <w:p w14:paraId="7388B606" w14:textId="0E574590" w:rsidR="00D70B35" w:rsidRPr="00EA62C1" w:rsidRDefault="00D70B35" w:rsidP="00D70B35">
    <w:pPr>
      <w:pStyle w:val="Header"/>
      <w:jc w:val="right"/>
      <w:rPr>
        <w:lang w:val="es-ES"/>
      </w:rPr>
    </w:pPr>
    <w:r w:rsidRPr="00EA62C1">
      <w:rPr>
        <w:lang w:val="es-ES"/>
      </w:rPr>
      <w:t>ANEX</w:t>
    </w:r>
    <w:r w:rsidR="00974F7F" w:rsidRPr="00EA62C1">
      <w:rPr>
        <w:lang w:val="es-ES"/>
      </w:rPr>
      <w:t>O</w:t>
    </w:r>
  </w:p>
  <w:p w14:paraId="5EBBF3F9" w14:textId="77777777" w:rsidR="00D70B35" w:rsidRPr="00EA62C1" w:rsidRDefault="00D70B35" w:rsidP="00D70B35">
    <w:pPr>
      <w:pStyle w:val="Heade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15267"/>
    <w:multiLevelType w:val="hybridMultilevel"/>
    <w:tmpl w:val="E7F06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4704FD5"/>
    <w:multiLevelType w:val="hybridMultilevel"/>
    <w:tmpl w:val="E4A88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425DAD"/>
    <w:multiLevelType w:val="hybridMultilevel"/>
    <w:tmpl w:val="07602EE6"/>
    <w:lvl w:ilvl="0" w:tplc="10BC53CC">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7570B23"/>
    <w:multiLevelType w:val="hybridMultilevel"/>
    <w:tmpl w:val="BCC8F33A"/>
    <w:lvl w:ilvl="0" w:tplc="ACD60694">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2F4A94"/>
    <w:multiLevelType w:val="hybridMultilevel"/>
    <w:tmpl w:val="A7526C36"/>
    <w:lvl w:ilvl="0" w:tplc="31C80DAA">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9"/>
  </w:num>
  <w:num w:numId="5">
    <w:abstractNumId w:val="2"/>
  </w:num>
  <w:num w:numId="6">
    <w:abstractNumId w:val="5"/>
  </w:num>
  <w:num w:numId="7">
    <w:abstractNumId w:val="1"/>
  </w:num>
  <w:num w:numId="8">
    <w:abstractNumId w:val="3"/>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EAD"/>
    <w:rsid w:val="00016505"/>
    <w:rsid w:val="0001730C"/>
    <w:rsid w:val="00017F71"/>
    <w:rsid w:val="00030FBE"/>
    <w:rsid w:val="00043CAA"/>
    <w:rsid w:val="0004632A"/>
    <w:rsid w:val="00075432"/>
    <w:rsid w:val="000968ED"/>
    <w:rsid w:val="000B45EE"/>
    <w:rsid w:val="000F5E56"/>
    <w:rsid w:val="001101D0"/>
    <w:rsid w:val="001362EE"/>
    <w:rsid w:val="001647D5"/>
    <w:rsid w:val="00170016"/>
    <w:rsid w:val="001825D8"/>
    <w:rsid w:val="001832A6"/>
    <w:rsid w:val="002119D8"/>
    <w:rsid w:val="0021217E"/>
    <w:rsid w:val="002537CB"/>
    <w:rsid w:val="00254057"/>
    <w:rsid w:val="002634C4"/>
    <w:rsid w:val="002928D3"/>
    <w:rsid w:val="002F1FE6"/>
    <w:rsid w:val="002F4E68"/>
    <w:rsid w:val="00312F7F"/>
    <w:rsid w:val="003245D4"/>
    <w:rsid w:val="00361450"/>
    <w:rsid w:val="003673CF"/>
    <w:rsid w:val="003759C6"/>
    <w:rsid w:val="003845C1"/>
    <w:rsid w:val="003A6F89"/>
    <w:rsid w:val="003B38C1"/>
    <w:rsid w:val="003D171D"/>
    <w:rsid w:val="003F1390"/>
    <w:rsid w:val="00407453"/>
    <w:rsid w:val="00416CCD"/>
    <w:rsid w:val="00423E3E"/>
    <w:rsid w:val="00427AF4"/>
    <w:rsid w:val="004647DA"/>
    <w:rsid w:val="00474062"/>
    <w:rsid w:val="00477D6B"/>
    <w:rsid w:val="004B5B96"/>
    <w:rsid w:val="004D45EA"/>
    <w:rsid w:val="005019FF"/>
    <w:rsid w:val="00513424"/>
    <w:rsid w:val="0053057A"/>
    <w:rsid w:val="00540C20"/>
    <w:rsid w:val="00543F97"/>
    <w:rsid w:val="00560A29"/>
    <w:rsid w:val="005C6649"/>
    <w:rsid w:val="005E1912"/>
    <w:rsid w:val="00605827"/>
    <w:rsid w:val="00646050"/>
    <w:rsid w:val="006713CA"/>
    <w:rsid w:val="00676C5C"/>
    <w:rsid w:val="00684BB5"/>
    <w:rsid w:val="00685859"/>
    <w:rsid w:val="006A708C"/>
    <w:rsid w:val="006F6288"/>
    <w:rsid w:val="0075196E"/>
    <w:rsid w:val="007D1613"/>
    <w:rsid w:val="007E4C0E"/>
    <w:rsid w:val="0081310A"/>
    <w:rsid w:val="008239E9"/>
    <w:rsid w:val="00895F7C"/>
    <w:rsid w:val="008A134B"/>
    <w:rsid w:val="008A2CB2"/>
    <w:rsid w:val="008A4ADD"/>
    <w:rsid w:val="008B2CC1"/>
    <w:rsid w:val="008B60B2"/>
    <w:rsid w:val="008C574C"/>
    <w:rsid w:val="008D5F7C"/>
    <w:rsid w:val="008D6BC4"/>
    <w:rsid w:val="0090731E"/>
    <w:rsid w:val="00916EE2"/>
    <w:rsid w:val="00933BC2"/>
    <w:rsid w:val="00954BA1"/>
    <w:rsid w:val="00964907"/>
    <w:rsid w:val="00966A22"/>
    <w:rsid w:val="0096722F"/>
    <w:rsid w:val="00974F7F"/>
    <w:rsid w:val="00980843"/>
    <w:rsid w:val="00987C92"/>
    <w:rsid w:val="009E2791"/>
    <w:rsid w:val="009E3F6F"/>
    <w:rsid w:val="009F499F"/>
    <w:rsid w:val="00A07101"/>
    <w:rsid w:val="00A130BE"/>
    <w:rsid w:val="00A30352"/>
    <w:rsid w:val="00A42DAF"/>
    <w:rsid w:val="00A45BD8"/>
    <w:rsid w:val="00A56479"/>
    <w:rsid w:val="00A83646"/>
    <w:rsid w:val="00A869B7"/>
    <w:rsid w:val="00AC205C"/>
    <w:rsid w:val="00AD74D1"/>
    <w:rsid w:val="00AF0A6B"/>
    <w:rsid w:val="00B05A69"/>
    <w:rsid w:val="00B05D88"/>
    <w:rsid w:val="00B366B3"/>
    <w:rsid w:val="00B85C60"/>
    <w:rsid w:val="00B9734B"/>
    <w:rsid w:val="00BA30E2"/>
    <w:rsid w:val="00BB30D2"/>
    <w:rsid w:val="00C0254D"/>
    <w:rsid w:val="00C0463A"/>
    <w:rsid w:val="00C11BFE"/>
    <w:rsid w:val="00C12EE4"/>
    <w:rsid w:val="00C46E17"/>
    <w:rsid w:val="00C5068F"/>
    <w:rsid w:val="00C86D74"/>
    <w:rsid w:val="00CA5DC5"/>
    <w:rsid w:val="00CC5032"/>
    <w:rsid w:val="00CD04F1"/>
    <w:rsid w:val="00D45252"/>
    <w:rsid w:val="00D542E3"/>
    <w:rsid w:val="00D67AA3"/>
    <w:rsid w:val="00D70B35"/>
    <w:rsid w:val="00D71B4D"/>
    <w:rsid w:val="00D93D55"/>
    <w:rsid w:val="00DA35E7"/>
    <w:rsid w:val="00DE0EAD"/>
    <w:rsid w:val="00E15015"/>
    <w:rsid w:val="00E335FE"/>
    <w:rsid w:val="00EA62C1"/>
    <w:rsid w:val="00EA7D6E"/>
    <w:rsid w:val="00EB6278"/>
    <w:rsid w:val="00EC4E49"/>
    <w:rsid w:val="00ED77FB"/>
    <w:rsid w:val="00EE45FA"/>
    <w:rsid w:val="00EE7952"/>
    <w:rsid w:val="00F019EC"/>
    <w:rsid w:val="00F10ED0"/>
    <w:rsid w:val="00F44256"/>
    <w:rsid w:val="00F5277F"/>
    <w:rsid w:val="00F66152"/>
    <w:rsid w:val="00F708ED"/>
    <w:rsid w:val="00F70BF3"/>
    <w:rsid w:val="00F8567F"/>
    <w:rsid w:val="00FA7208"/>
    <w:rsid w:val="00FB63C6"/>
    <w:rsid w:val="00FD1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5F44D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E0EAD"/>
    <w:rPr>
      <w:rFonts w:ascii="Tahoma" w:hAnsi="Tahoma" w:cs="Tahoma"/>
      <w:sz w:val="16"/>
      <w:szCs w:val="16"/>
    </w:rPr>
  </w:style>
  <w:style w:type="character" w:customStyle="1" w:styleId="BalloonTextChar">
    <w:name w:val="Balloon Text Char"/>
    <w:basedOn w:val="DefaultParagraphFont"/>
    <w:link w:val="BalloonText"/>
    <w:rsid w:val="00DE0EAD"/>
    <w:rPr>
      <w:rFonts w:ascii="Tahoma" w:eastAsia="SimSun" w:hAnsi="Tahoma" w:cs="Tahoma"/>
      <w:sz w:val="16"/>
      <w:szCs w:val="16"/>
      <w:lang w:val="en-US" w:eastAsia="zh-CN"/>
    </w:rPr>
  </w:style>
  <w:style w:type="character" w:customStyle="1" w:styleId="ONUMEChar">
    <w:name w:val="ONUM E Char"/>
    <w:link w:val="ONUME"/>
    <w:rsid w:val="00DE0EAD"/>
    <w:rPr>
      <w:rFonts w:ascii="Arial" w:eastAsia="SimSun" w:hAnsi="Arial" w:cs="Arial"/>
      <w:sz w:val="22"/>
      <w:lang w:val="en-US" w:eastAsia="zh-CN"/>
    </w:rPr>
  </w:style>
  <w:style w:type="character" w:customStyle="1" w:styleId="HeaderChar">
    <w:name w:val="Header Char"/>
    <w:link w:val="Header"/>
    <w:uiPriority w:val="99"/>
    <w:locked/>
    <w:rsid w:val="00D70B35"/>
    <w:rPr>
      <w:rFonts w:ascii="Arial" w:eastAsia="SimSun" w:hAnsi="Arial" w:cs="Arial"/>
      <w:sz w:val="22"/>
      <w:lang w:val="en-US" w:eastAsia="zh-CN"/>
    </w:rPr>
  </w:style>
  <w:style w:type="paragraph" w:styleId="ListParagraph">
    <w:name w:val="List Paragraph"/>
    <w:basedOn w:val="Normal"/>
    <w:uiPriority w:val="34"/>
    <w:qFormat/>
    <w:rsid w:val="00EE7952"/>
    <w:pPr>
      <w:spacing w:after="200" w:line="276" w:lineRule="auto"/>
      <w:ind w:left="720"/>
      <w:contextualSpacing/>
    </w:pPr>
    <w:rPr>
      <w:rFonts w:ascii="Calibri" w:eastAsia="Calibri" w:hAnsi="Calibri" w:cs="Times New Roman"/>
      <w:szCs w:val="22"/>
      <w:lang w:val="es-SV" w:eastAsia="en-US"/>
    </w:rPr>
  </w:style>
  <w:style w:type="paragraph" w:customStyle="1" w:styleId="Default">
    <w:name w:val="Default"/>
    <w:uiPriority w:val="99"/>
    <w:rsid w:val="0001730C"/>
    <w:rPr>
      <w:rFonts w:ascii="Arial" w:hAnsi="Arial" w:cs="Arial"/>
      <w:color w:val="000000"/>
      <w:sz w:val="24"/>
      <w:lang w:val="en-US" w:eastAsia="en-US"/>
    </w:rPr>
  </w:style>
  <w:style w:type="table" w:styleId="TableGrid">
    <w:name w:val="Table Grid"/>
    <w:basedOn w:val="TableNormal"/>
    <w:uiPriority w:val="59"/>
    <w:rsid w:val="0001730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E0EAD"/>
    <w:rPr>
      <w:rFonts w:ascii="Tahoma" w:hAnsi="Tahoma" w:cs="Tahoma"/>
      <w:sz w:val="16"/>
      <w:szCs w:val="16"/>
    </w:rPr>
  </w:style>
  <w:style w:type="character" w:customStyle="1" w:styleId="BalloonTextChar">
    <w:name w:val="Balloon Text Char"/>
    <w:basedOn w:val="DefaultParagraphFont"/>
    <w:link w:val="BalloonText"/>
    <w:rsid w:val="00DE0EAD"/>
    <w:rPr>
      <w:rFonts w:ascii="Tahoma" w:eastAsia="SimSun" w:hAnsi="Tahoma" w:cs="Tahoma"/>
      <w:sz w:val="16"/>
      <w:szCs w:val="16"/>
      <w:lang w:val="en-US" w:eastAsia="zh-CN"/>
    </w:rPr>
  </w:style>
  <w:style w:type="character" w:customStyle="1" w:styleId="ONUMEChar">
    <w:name w:val="ONUM E Char"/>
    <w:link w:val="ONUME"/>
    <w:rsid w:val="00DE0EAD"/>
    <w:rPr>
      <w:rFonts w:ascii="Arial" w:eastAsia="SimSun" w:hAnsi="Arial" w:cs="Arial"/>
      <w:sz w:val="22"/>
      <w:lang w:val="en-US" w:eastAsia="zh-CN"/>
    </w:rPr>
  </w:style>
  <w:style w:type="character" w:customStyle="1" w:styleId="HeaderChar">
    <w:name w:val="Header Char"/>
    <w:link w:val="Header"/>
    <w:uiPriority w:val="99"/>
    <w:locked/>
    <w:rsid w:val="00D70B35"/>
    <w:rPr>
      <w:rFonts w:ascii="Arial" w:eastAsia="SimSun" w:hAnsi="Arial" w:cs="Arial"/>
      <w:sz w:val="22"/>
      <w:lang w:val="en-US" w:eastAsia="zh-CN"/>
    </w:rPr>
  </w:style>
  <w:style w:type="paragraph" w:styleId="ListParagraph">
    <w:name w:val="List Paragraph"/>
    <w:basedOn w:val="Normal"/>
    <w:uiPriority w:val="34"/>
    <w:qFormat/>
    <w:rsid w:val="00EE7952"/>
    <w:pPr>
      <w:spacing w:after="200" w:line="276" w:lineRule="auto"/>
      <w:ind w:left="720"/>
      <w:contextualSpacing/>
    </w:pPr>
    <w:rPr>
      <w:rFonts w:ascii="Calibri" w:eastAsia="Calibri" w:hAnsi="Calibri" w:cs="Times New Roman"/>
      <w:szCs w:val="22"/>
      <w:lang w:val="es-SV" w:eastAsia="en-US"/>
    </w:rPr>
  </w:style>
  <w:style w:type="paragraph" w:customStyle="1" w:styleId="Default">
    <w:name w:val="Default"/>
    <w:uiPriority w:val="99"/>
    <w:rsid w:val="0001730C"/>
    <w:rPr>
      <w:rFonts w:ascii="Arial" w:hAnsi="Arial" w:cs="Arial"/>
      <w:color w:val="000000"/>
      <w:sz w:val="24"/>
      <w:lang w:val="en-US" w:eastAsia="en-US"/>
    </w:rPr>
  </w:style>
  <w:style w:type="table" w:styleId="TableGrid">
    <w:name w:val="Table Grid"/>
    <w:basedOn w:val="TableNormal"/>
    <w:uiPriority w:val="59"/>
    <w:rsid w:val="0001730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55BD6-07FA-45DE-9CC8-74AEDF607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49 (E)</Template>
  <TotalTime>33</TotalTime>
  <Pages>3</Pages>
  <Words>825</Words>
  <Characters>4158</Characters>
  <Application>Microsoft Office Word</Application>
  <DocSecurity>0</DocSecurity>
  <Lines>1039</Lines>
  <Paragraphs>311</Paragraphs>
  <ScaleCrop>false</ScaleCrop>
  <HeadingPairs>
    <vt:vector size="2" baseType="variant">
      <vt:variant>
        <vt:lpstr>Title</vt:lpstr>
      </vt:variant>
      <vt:variant>
        <vt:i4>1</vt:i4>
      </vt:variant>
    </vt:vector>
  </HeadingPairs>
  <TitlesOfParts>
    <vt:vector size="1" baseType="lpstr">
      <vt:lpstr>WO/GA/49/19</vt:lpstr>
    </vt:vector>
  </TitlesOfParts>
  <Company>WIPO</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WO/GA/49/19</dc:title>
  <dc:creator>HÄFLIGER Patience</dc:creator>
  <cp:lastModifiedBy>HÄFLIGER Patience</cp:lastModifiedBy>
  <cp:revision>19</cp:revision>
  <cp:lastPrinted>2017-10-04T15:51:00Z</cp:lastPrinted>
  <dcterms:created xsi:type="dcterms:W3CDTF">2017-10-04T14:09:00Z</dcterms:created>
  <dcterms:modified xsi:type="dcterms:W3CDTF">2017-10-04T15:51:00Z</dcterms:modified>
</cp:coreProperties>
</file>