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452548" w:rsidTr="00361450">
        <w:tc>
          <w:tcPr>
            <w:tcW w:w="4513" w:type="dxa"/>
            <w:tcBorders>
              <w:bottom w:val="single" w:sz="4" w:space="0" w:color="auto"/>
            </w:tcBorders>
            <w:tcMar>
              <w:bottom w:w="170" w:type="dxa"/>
            </w:tcMar>
          </w:tcPr>
          <w:p w:rsidR="00EC4E49" w:rsidRPr="004F2C20" w:rsidRDefault="00EC4E49" w:rsidP="00916EE2">
            <w:pPr>
              <w:rPr>
                <w:lang w:val="es-ES"/>
              </w:rPr>
            </w:pPr>
          </w:p>
        </w:tc>
        <w:tc>
          <w:tcPr>
            <w:tcW w:w="4337" w:type="dxa"/>
            <w:tcBorders>
              <w:bottom w:val="single" w:sz="4" w:space="0" w:color="auto"/>
            </w:tcBorders>
            <w:tcMar>
              <w:left w:w="0" w:type="dxa"/>
              <w:right w:w="0" w:type="dxa"/>
            </w:tcMar>
          </w:tcPr>
          <w:p w:rsidR="00EC4E49" w:rsidRPr="00452548" w:rsidRDefault="0008323F" w:rsidP="00916EE2">
            <w:pPr>
              <w:rPr>
                <w:lang w:val="es-ES"/>
              </w:rPr>
            </w:pPr>
            <w:r w:rsidRPr="00452548">
              <w:rPr>
                <w:noProof/>
                <w:lang w:eastAsia="en-US"/>
              </w:rPr>
              <w:drawing>
                <wp:inline distT="0" distB="0" distL="0" distR="0" wp14:anchorId="7DC72649" wp14:editId="5C14B2E2">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52548" w:rsidRDefault="0008323F" w:rsidP="0008323F">
            <w:pPr>
              <w:jc w:val="right"/>
              <w:rPr>
                <w:lang w:val="es-ES"/>
              </w:rPr>
            </w:pPr>
            <w:r w:rsidRPr="00452548">
              <w:rPr>
                <w:b/>
                <w:sz w:val="40"/>
                <w:szCs w:val="40"/>
                <w:lang w:val="es-ES"/>
              </w:rPr>
              <w:t>S</w:t>
            </w:r>
          </w:p>
        </w:tc>
      </w:tr>
      <w:tr w:rsidR="008B2CC1" w:rsidRPr="00452548"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452548" w:rsidRDefault="00494B30" w:rsidP="00916EE2">
            <w:pPr>
              <w:jc w:val="right"/>
              <w:rPr>
                <w:rFonts w:ascii="Arial Black" w:hAnsi="Arial Black"/>
                <w:caps/>
                <w:sz w:val="15"/>
                <w:lang w:val="es-ES"/>
              </w:rPr>
            </w:pPr>
            <w:r w:rsidRPr="00452548">
              <w:rPr>
                <w:rFonts w:ascii="Arial Black" w:hAnsi="Arial Black"/>
                <w:caps/>
                <w:sz w:val="15"/>
                <w:lang w:val="es-ES"/>
              </w:rPr>
              <w:t>WO/GA/48/</w:t>
            </w:r>
            <w:bookmarkStart w:id="0" w:name="Code"/>
            <w:bookmarkEnd w:id="0"/>
            <w:r w:rsidR="0086744D" w:rsidRPr="00452548">
              <w:rPr>
                <w:rFonts w:ascii="Arial Black" w:hAnsi="Arial Black"/>
                <w:caps/>
                <w:sz w:val="15"/>
                <w:lang w:val="es-ES"/>
              </w:rPr>
              <w:t>5</w:t>
            </w:r>
            <w:r w:rsidR="008B2CC1" w:rsidRPr="00452548">
              <w:rPr>
                <w:rFonts w:ascii="Arial Black" w:hAnsi="Arial Black"/>
                <w:caps/>
                <w:sz w:val="15"/>
                <w:lang w:val="es-ES"/>
              </w:rPr>
              <w:t xml:space="preserve">  </w:t>
            </w:r>
          </w:p>
        </w:tc>
      </w:tr>
      <w:tr w:rsidR="008B2CC1" w:rsidRPr="00452548" w:rsidTr="00916EE2">
        <w:trPr>
          <w:trHeight w:hRule="exact" w:val="170"/>
        </w:trPr>
        <w:tc>
          <w:tcPr>
            <w:tcW w:w="9356" w:type="dxa"/>
            <w:gridSpan w:val="3"/>
            <w:noWrap/>
            <w:tcMar>
              <w:left w:w="0" w:type="dxa"/>
              <w:right w:w="0" w:type="dxa"/>
            </w:tcMar>
            <w:vAlign w:val="bottom"/>
          </w:tcPr>
          <w:p w:rsidR="008B2CC1" w:rsidRPr="00452548" w:rsidRDefault="008B2CC1" w:rsidP="0008323F">
            <w:pPr>
              <w:jc w:val="right"/>
              <w:rPr>
                <w:rFonts w:ascii="Arial Black" w:hAnsi="Arial Black"/>
                <w:caps/>
                <w:sz w:val="15"/>
                <w:lang w:val="es-ES"/>
              </w:rPr>
            </w:pPr>
            <w:r w:rsidRPr="00452548">
              <w:rPr>
                <w:rFonts w:ascii="Arial Black" w:hAnsi="Arial Black"/>
                <w:caps/>
                <w:sz w:val="15"/>
                <w:lang w:val="es-ES"/>
              </w:rPr>
              <w:t>ORIGINAL:</w:t>
            </w:r>
            <w:r w:rsidR="002E43D8" w:rsidRPr="00452548">
              <w:rPr>
                <w:rFonts w:ascii="Arial Black" w:hAnsi="Arial Black"/>
                <w:caps/>
                <w:sz w:val="15"/>
                <w:lang w:val="es-ES"/>
              </w:rPr>
              <w:t xml:space="preserve">  </w:t>
            </w:r>
            <w:r w:rsidR="0008323F" w:rsidRPr="00452548">
              <w:rPr>
                <w:rFonts w:ascii="Arial Black" w:hAnsi="Arial Black"/>
                <w:caps/>
                <w:sz w:val="15"/>
                <w:lang w:val="es-ES"/>
              </w:rPr>
              <w:t>inglés</w:t>
            </w:r>
            <w:r w:rsidRPr="00452548">
              <w:rPr>
                <w:rFonts w:ascii="Arial Black" w:hAnsi="Arial Black"/>
                <w:caps/>
                <w:sz w:val="15"/>
                <w:lang w:val="es-ES"/>
              </w:rPr>
              <w:t xml:space="preserve"> </w:t>
            </w:r>
            <w:bookmarkStart w:id="1" w:name="Original"/>
            <w:bookmarkEnd w:id="1"/>
          </w:p>
        </w:tc>
      </w:tr>
      <w:tr w:rsidR="008B2CC1" w:rsidRPr="00452548" w:rsidTr="00916EE2">
        <w:trPr>
          <w:trHeight w:hRule="exact" w:val="198"/>
        </w:trPr>
        <w:tc>
          <w:tcPr>
            <w:tcW w:w="9356" w:type="dxa"/>
            <w:gridSpan w:val="3"/>
            <w:tcMar>
              <w:left w:w="0" w:type="dxa"/>
              <w:right w:w="0" w:type="dxa"/>
            </w:tcMar>
            <w:vAlign w:val="bottom"/>
          </w:tcPr>
          <w:p w:rsidR="008B2CC1" w:rsidRPr="00452548" w:rsidRDefault="0008323F" w:rsidP="0008323F">
            <w:pPr>
              <w:jc w:val="right"/>
              <w:rPr>
                <w:rFonts w:ascii="Arial Black" w:hAnsi="Arial Black"/>
                <w:caps/>
                <w:sz w:val="15"/>
                <w:lang w:val="es-ES"/>
              </w:rPr>
            </w:pPr>
            <w:r w:rsidRPr="00452548">
              <w:rPr>
                <w:rFonts w:ascii="Arial Black" w:hAnsi="Arial Black"/>
                <w:caps/>
                <w:sz w:val="15"/>
                <w:lang w:val="es-ES"/>
              </w:rPr>
              <w:t>fecha</w:t>
            </w:r>
            <w:r w:rsidR="008B2CC1" w:rsidRPr="00452548">
              <w:rPr>
                <w:rFonts w:ascii="Arial Black" w:hAnsi="Arial Black"/>
                <w:caps/>
                <w:sz w:val="15"/>
                <w:lang w:val="es-ES"/>
              </w:rPr>
              <w:t>:</w:t>
            </w:r>
            <w:r w:rsidR="00AF76A6" w:rsidRPr="00452548">
              <w:rPr>
                <w:rFonts w:ascii="Arial Black" w:hAnsi="Arial Black"/>
                <w:caps/>
                <w:sz w:val="15"/>
                <w:lang w:val="es-ES"/>
              </w:rPr>
              <w:t xml:space="preserve"> </w:t>
            </w:r>
            <w:r w:rsidR="002954CA" w:rsidRPr="00452548">
              <w:rPr>
                <w:rFonts w:ascii="Arial Black" w:hAnsi="Arial Black"/>
                <w:caps/>
                <w:sz w:val="15"/>
                <w:lang w:val="es-ES"/>
              </w:rPr>
              <w:t xml:space="preserve"> </w:t>
            </w:r>
            <w:r w:rsidR="00AF76A6" w:rsidRPr="00452548">
              <w:rPr>
                <w:rFonts w:ascii="Arial Black" w:hAnsi="Arial Black"/>
                <w:caps/>
                <w:sz w:val="15"/>
                <w:lang w:val="es-ES"/>
              </w:rPr>
              <w:t>4</w:t>
            </w:r>
            <w:r w:rsidRPr="00452548">
              <w:rPr>
                <w:rFonts w:ascii="Arial Black" w:hAnsi="Arial Black"/>
                <w:caps/>
                <w:sz w:val="15"/>
                <w:lang w:val="es-ES"/>
              </w:rPr>
              <w:t xml:space="preserve"> de julio de</w:t>
            </w:r>
            <w:r w:rsidR="00AF76A6" w:rsidRPr="00452548">
              <w:rPr>
                <w:rFonts w:ascii="Arial Black" w:hAnsi="Arial Black"/>
                <w:caps/>
                <w:sz w:val="15"/>
                <w:lang w:val="es-ES"/>
              </w:rPr>
              <w:t xml:space="preserve"> 2016</w:t>
            </w:r>
            <w:r w:rsidR="008B2CC1" w:rsidRPr="00452548">
              <w:rPr>
                <w:rFonts w:ascii="Arial Black" w:hAnsi="Arial Black"/>
                <w:caps/>
                <w:sz w:val="15"/>
                <w:lang w:val="es-ES"/>
              </w:rPr>
              <w:t xml:space="preserve"> </w:t>
            </w:r>
            <w:bookmarkStart w:id="2" w:name="Date"/>
            <w:bookmarkEnd w:id="2"/>
          </w:p>
        </w:tc>
      </w:tr>
    </w:tbl>
    <w:p w:rsidR="008B2CC1" w:rsidRPr="00452548" w:rsidRDefault="008B2CC1" w:rsidP="008B2CC1">
      <w:pPr>
        <w:rPr>
          <w:lang w:val="es-ES"/>
        </w:rPr>
      </w:pPr>
    </w:p>
    <w:p w:rsidR="008B2CC1" w:rsidRPr="00452548" w:rsidRDefault="008B2CC1" w:rsidP="008B2CC1">
      <w:pPr>
        <w:rPr>
          <w:lang w:val="es-ES"/>
        </w:rPr>
      </w:pPr>
    </w:p>
    <w:p w:rsidR="008B2CC1" w:rsidRPr="00452548" w:rsidRDefault="008B2CC1" w:rsidP="008B2CC1">
      <w:pPr>
        <w:rPr>
          <w:lang w:val="es-ES"/>
        </w:rPr>
      </w:pPr>
    </w:p>
    <w:p w:rsidR="008B2CC1" w:rsidRPr="00452548" w:rsidRDefault="008B2CC1" w:rsidP="008B2CC1">
      <w:pPr>
        <w:rPr>
          <w:lang w:val="es-ES"/>
        </w:rPr>
      </w:pPr>
    </w:p>
    <w:p w:rsidR="008B2CC1" w:rsidRPr="00452548" w:rsidRDefault="008B2CC1" w:rsidP="008B2CC1">
      <w:pPr>
        <w:rPr>
          <w:lang w:val="es-ES"/>
        </w:rPr>
      </w:pPr>
    </w:p>
    <w:p w:rsidR="0008323F" w:rsidRPr="00452548" w:rsidRDefault="003D1DA7" w:rsidP="0008323F">
      <w:pPr>
        <w:rPr>
          <w:b/>
          <w:sz w:val="28"/>
          <w:szCs w:val="28"/>
          <w:lang w:val="es-ES"/>
        </w:rPr>
      </w:pPr>
      <w:r>
        <w:rPr>
          <w:b/>
          <w:sz w:val="28"/>
          <w:szCs w:val="28"/>
          <w:lang w:val="es-ES"/>
        </w:rPr>
        <w:t>Asamblea General de la OMPI</w:t>
      </w:r>
    </w:p>
    <w:p w:rsidR="0008323F" w:rsidRPr="00452548" w:rsidRDefault="0008323F" w:rsidP="0008323F">
      <w:pPr>
        <w:rPr>
          <w:lang w:val="es-ES"/>
        </w:rPr>
      </w:pPr>
    </w:p>
    <w:p w:rsidR="0008323F" w:rsidRPr="00452548" w:rsidRDefault="0008323F" w:rsidP="0008323F">
      <w:pPr>
        <w:rPr>
          <w:lang w:val="es-ES"/>
        </w:rPr>
      </w:pPr>
    </w:p>
    <w:p w:rsidR="0008323F" w:rsidRPr="00452548" w:rsidRDefault="0008323F" w:rsidP="0008323F">
      <w:pPr>
        <w:rPr>
          <w:b/>
          <w:sz w:val="24"/>
          <w:szCs w:val="24"/>
          <w:lang w:val="es-ES"/>
        </w:rPr>
      </w:pPr>
      <w:r w:rsidRPr="00452548">
        <w:rPr>
          <w:b/>
          <w:sz w:val="24"/>
          <w:szCs w:val="24"/>
          <w:lang w:val="es-ES"/>
        </w:rPr>
        <w:t>Cuadragésimo octavo período de sesiones (26º extraordinario)</w:t>
      </w:r>
    </w:p>
    <w:p w:rsidR="0008323F" w:rsidRPr="00452548" w:rsidRDefault="0008323F" w:rsidP="0008323F">
      <w:pPr>
        <w:rPr>
          <w:b/>
          <w:sz w:val="24"/>
          <w:szCs w:val="24"/>
          <w:lang w:val="es-ES"/>
        </w:rPr>
      </w:pPr>
      <w:r w:rsidRPr="00452548">
        <w:rPr>
          <w:b/>
          <w:sz w:val="24"/>
          <w:szCs w:val="24"/>
          <w:lang w:val="es-ES"/>
        </w:rPr>
        <w:t>Ginebra, 3 a 11 de octubre de 2016</w:t>
      </w:r>
    </w:p>
    <w:p w:rsidR="008B2CC1" w:rsidRPr="00452548" w:rsidRDefault="008B2CC1" w:rsidP="008B2CC1">
      <w:pPr>
        <w:rPr>
          <w:lang w:val="es-ES"/>
        </w:rPr>
      </w:pPr>
    </w:p>
    <w:p w:rsidR="0086744D" w:rsidRPr="00452548" w:rsidRDefault="0086744D" w:rsidP="008B2CC1">
      <w:pPr>
        <w:rPr>
          <w:lang w:val="es-ES"/>
        </w:rPr>
      </w:pPr>
    </w:p>
    <w:p w:rsidR="008B2CC1" w:rsidRPr="00452548" w:rsidRDefault="008B2CC1" w:rsidP="008B2CC1">
      <w:pPr>
        <w:rPr>
          <w:lang w:val="es-ES"/>
        </w:rPr>
      </w:pPr>
    </w:p>
    <w:p w:rsidR="0008323F" w:rsidRPr="00452548" w:rsidRDefault="0008323F" w:rsidP="0008323F">
      <w:pPr>
        <w:rPr>
          <w:caps/>
          <w:sz w:val="24"/>
          <w:lang w:val="es-ES"/>
        </w:rPr>
      </w:pPr>
      <w:r w:rsidRPr="00452548">
        <w:rPr>
          <w:caps/>
          <w:sz w:val="24"/>
          <w:lang w:val="es-ES"/>
        </w:rPr>
        <w:t>Informe del Comité Permanente sobre el Derecho de Marcas, Diseños Industriales e Indicaciones Geográficas (SCT)</w:t>
      </w:r>
    </w:p>
    <w:p w:rsidR="0008323F" w:rsidRPr="00452548" w:rsidRDefault="0008323F" w:rsidP="0008323F">
      <w:pPr>
        <w:rPr>
          <w:lang w:val="es-ES"/>
        </w:rPr>
      </w:pPr>
    </w:p>
    <w:p w:rsidR="008A5847" w:rsidRPr="00452548" w:rsidRDefault="008A5847" w:rsidP="0008323F">
      <w:pPr>
        <w:rPr>
          <w:i/>
          <w:lang w:val="es-ES"/>
        </w:rPr>
      </w:pPr>
      <w:r w:rsidRPr="00452548">
        <w:rPr>
          <w:i/>
          <w:lang w:val="es-ES"/>
        </w:rPr>
        <w:t>preparado por la Secretaría</w:t>
      </w:r>
    </w:p>
    <w:p w:rsidR="0086744D" w:rsidRPr="00452548" w:rsidRDefault="0086744D" w:rsidP="0086744D">
      <w:pPr>
        <w:rPr>
          <w:lang w:val="es-ES"/>
        </w:rPr>
      </w:pPr>
    </w:p>
    <w:p w:rsidR="0086744D" w:rsidRPr="00452548" w:rsidRDefault="0086744D" w:rsidP="0086744D">
      <w:pPr>
        <w:rPr>
          <w:b/>
          <w:color w:val="000000"/>
          <w:szCs w:val="22"/>
          <w:lang w:val="es-ES"/>
        </w:rPr>
      </w:pPr>
    </w:p>
    <w:p w:rsidR="0086744D" w:rsidRPr="00452548" w:rsidRDefault="0086744D" w:rsidP="0086744D">
      <w:pPr>
        <w:rPr>
          <w:b/>
          <w:color w:val="000000"/>
          <w:szCs w:val="22"/>
          <w:lang w:val="es-ES"/>
        </w:rPr>
      </w:pPr>
    </w:p>
    <w:p w:rsidR="0086744D" w:rsidRPr="00452548" w:rsidRDefault="0086744D" w:rsidP="0086744D">
      <w:pPr>
        <w:rPr>
          <w:b/>
          <w:color w:val="000000"/>
          <w:szCs w:val="22"/>
          <w:lang w:val="es-ES"/>
        </w:rPr>
      </w:pPr>
    </w:p>
    <w:p w:rsidR="0086744D" w:rsidRPr="00452548" w:rsidRDefault="0086744D" w:rsidP="008A5847">
      <w:pPr>
        <w:rPr>
          <w:lang w:val="es-ES"/>
        </w:rPr>
      </w:pPr>
      <w:r w:rsidRPr="00452548">
        <w:rPr>
          <w:lang w:val="es-ES"/>
        </w:rPr>
        <w:fldChar w:fldCharType="begin"/>
      </w:r>
      <w:r w:rsidRPr="00452548">
        <w:rPr>
          <w:lang w:val="es-ES"/>
        </w:rPr>
        <w:instrText xml:space="preserve"> AUTONUM  </w:instrText>
      </w:r>
      <w:r w:rsidRPr="00452548">
        <w:rPr>
          <w:lang w:val="es-ES"/>
        </w:rPr>
        <w:fldChar w:fldCharType="end"/>
      </w:r>
      <w:r w:rsidRPr="00452548">
        <w:rPr>
          <w:lang w:val="es-ES"/>
        </w:rPr>
        <w:tab/>
      </w:r>
      <w:r w:rsidR="0008323F" w:rsidRPr="00452548">
        <w:rPr>
          <w:lang w:val="es-ES"/>
        </w:rPr>
        <w:t>Durante el período objeto de examen, el Comité Permanente sobre el Derecho de Marcas, Diseños Industriales e Indicaciones Geográficas (SCT) celebró dos sesiones, a saber, la trigésima</w:t>
      </w:r>
      <w:r w:rsidR="00BA2C52" w:rsidRPr="00452548">
        <w:rPr>
          <w:lang w:val="es-ES"/>
        </w:rPr>
        <w:t xml:space="preserve"> </w:t>
      </w:r>
      <w:r w:rsidR="00B90E96" w:rsidRPr="00452548">
        <w:rPr>
          <w:lang w:val="es-ES"/>
        </w:rPr>
        <w:t>cuarta</w:t>
      </w:r>
      <w:r w:rsidR="0008323F" w:rsidRPr="00452548">
        <w:rPr>
          <w:lang w:val="es-ES"/>
        </w:rPr>
        <w:t xml:space="preserve"> sesión (</w:t>
      </w:r>
      <w:r w:rsidR="00BA2C52" w:rsidRPr="00452548">
        <w:rPr>
          <w:lang w:val="es-ES"/>
        </w:rPr>
        <w:t>16</w:t>
      </w:r>
      <w:r w:rsidR="0008323F" w:rsidRPr="00452548">
        <w:rPr>
          <w:lang w:val="es-ES"/>
        </w:rPr>
        <w:t xml:space="preserve"> a </w:t>
      </w:r>
      <w:r w:rsidR="00BA2C52" w:rsidRPr="00452548">
        <w:rPr>
          <w:lang w:val="es-ES"/>
        </w:rPr>
        <w:t>18 de noviembre de 2015</w:t>
      </w:r>
      <w:r w:rsidR="0008323F" w:rsidRPr="00452548">
        <w:rPr>
          <w:lang w:val="es-ES"/>
        </w:rPr>
        <w:t xml:space="preserve">) y la trigésima </w:t>
      </w:r>
      <w:r w:rsidR="00B90E96" w:rsidRPr="00452548">
        <w:rPr>
          <w:lang w:val="es-ES"/>
        </w:rPr>
        <w:t xml:space="preserve">quinta </w:t>
      </w:r>
      <w:r w:rsidR="0008323F" w:rsidRPr="00452548">
        <w:rPr>
          <w:lang w:val="es-ES"/>
        </w:rPr>
        <w:t>sesión (</w:t>
      </w:r>
      <w:r w:rsidR="00BA2C52" w:rsidRPr="00452548">
        <w:rPr>
          <w:lang w:val="es-ES"/>
        </w:rPr>
        <w:t>25</w:t>
      </w:r>
      <w:r w:rsidR="0008323F" w:rsidRPr="00452548">
        <w:rPr>
          <w:lang w:val="es-ES"/>
        </w:rPr>
        <w:t xml:space="preserve"> a 2</w:t>
      </w:r>
      <w:r w:rsidR="00BA2C52" w:rsidRPr="00452548">
        <w:rPr>
          <w:lang w:val="es-ES"/>
        </w:rPr>
        <w:t>7</w:t>
      </w:r>
      <w:r w:rsidR="00BE780C">
        <w:rPr>
          <w:lang w:val="es-ES"/>
        </w:rPr>
        <w:t> </w:t>
      </w:r>
      <w:r w:rsidR="0008323F" w:rsidRPr="00452548">
        <w:rPr>
          <w:lang w:val="es-ES"/>
        </w:rPr>
        <w:t xml:space="preserve">de </w:t>
      </w:r>
      <w:r w:rsidR="00BA2C52" w:rsidRPr="00452548">
        <w:rPr>
          <w:lang w:val="es-ES"/>
        </w:rPr>
        <w:t>abril de 2016</w:t>
      </w:r>
      <w:r w:rsidR="0008323F" w:rsidRPr="00452548">
        <w:rPr>
          <w:lang w:val="es-ES"/>
        </w:rPr>
        <w:t>).  Ambas sesiones estuvieron presididas por el Sr. Adil El Maliki (Marruecos).</w:t>
      </w:r>
    </w:p>
    <w:p w:rsidR="0086744D" w:rsidRPr="00452548" w:rsidRDefault="0086744D" w:rsidP="008A5847">
      <w:pPr>
        <w:rPr>
          <w:lang w:val="es-ES"/>
        </w:rPr>
      </w:pPr>
    </w:p>
    <w:p w:rsidR="0086744D" w:rsidRPr="00452548" w:rsidRDefault="0086744D" w:rsidP="0086744D">
      <w:pPr>
        <w:rPr>
          <w:lang w:val="es-ES"/>
        </w:rPr>
      </w:pPr>
    </w:p>
    <w:p w:rsidR="0086744D" w:rsidRPr="00452548" w:rsidRDefault="00A77D20" w:rsidP="0086744D">
      <w:pPr>
        <w:rPr>
          <w:lang w:val="es-ES"/>
        </w:rPr>
      </w:pPr>
      <w:r w:rsidRPr="00452548">
        <w:rPr>
          <w:lang w:val="es-ES"/>
        </w:rPr>
        <w:t>MARCAS</w:t>
      </w:r>
    </w:p>
    <w:p w:rsidR="0086744D" w:rsidRPr="00452548" w:rsidRDefault="0086744D" w:rsidP="0086744D">
      <w:pPr>
        <w:rPr>
          <w:lang w:val="es-ES"/>
        </w:rPr>
      </w:pPr>
    </w:p>
    <w:p w:rsidR="0086744D" w:rsidRPr="00452548" w:rsidRDefault="0086744D" w:rsidP="0086744D">
      <w:pPr>
        <w:tabs>
          <w:tab w:val="left" w:pos="567"/>
        </w:tabs>
        <w:rPr>
          <w:lang w:val="es-ES"/>
        </w:rPr>
      </w:pPr>
      <w:r w:rsidRPr="00452548">
        <w:rPr>
          <w:lang w:val="es-ES"/>
        </w:rPr>
        <w:fldChar w:fldCharType="begin"/>
      </w:r>
      <w:r w:rsidRPr="00452548">
        <w:rPr>
          <w:lang w:val="es-ES"/>
        </w:rPr>
        <w:instrText xml:space="preserve"> AUTONUM  </w:instrText>
      </w:r>
      <w:r w:rsidRPr="00452548">
        <w:rPr>
          <w:lang w:val="es-ES"/>
        </w:rPr>
        <w:fldChar w:fldCharType="end"/>
      </w:r>
      <w:r w:rsidRPr="00452548">
        <w:rPr>
          <w:lang w:val="es-ES"/>
        </w:rPr>
        <w:tab/>
      </w:r>
      <w:r w:rsidR="00F71C21" w:rsidRPr="00452548">
        <w:rPr>
          <w:lang w:val="es-ES"/>
        </w:rPr>
        <w:t xml:space="preserve">En su trigésima cuarta sesión, el SCT adoptó el proyecto revisado de documento de referencia sobre la protección de los nombres de países contra su registro y uso como marcas (documento SCT/34/2 Prov.2) como documento de referencia.  Al final de la sesión, el Presidente pidió a la Secretaría que </w:t>
      </w:r>
      <w:r w:rsidR="00B90E96" w:rsidRPr="00452548">
        <w:rPr>
          <w:lang w:val="es-ES"/>
        </w:rPr>
        <w:t>preparara</w:t>
      </w:r>
      <w:r w:rsidR="00F71C21" w:rsidRPr="00452548">
        <w:rPr>
          <w:lang w:val="es-ES"/>
        </w:rPr>
        <w:t xml:space="preserve"> un nuevo documento, basado en el documento SCT/34/2, a fin de que </w:t>
      </w:r>
      <w:r w:rsidR="00B90E96" w:rsidRPr="00452548">
        <w:rPr>
          <w:lang w:val="es-ES"/>
        </w:rPr>
        <w:t xml:space="preserve">fuera </w:t>
      </w:r>
      <w:r w:rsidR="00F71C21" w:rsidRPr="00452548">
        <w:rPr>
          <w:lang w:val="es-ES"/>
        </w:rPr>
        <w:t>examinado en su trigésima quinta sesión en el marco de este punto del or</w:t>
      </w:r>
      <w:r w:rsidR="00B90E96" w:rsidRPr="00452548">
        <w:rPr>
          <w:lang w:val="es-ES"/>
        </w:rPr>
        <w:t>den del día, en el que se señalara</w:t>
      </w:r>
      <w:r w:rsidR="00F71C21" w:rsidRPr="00452548">
        <w:rPr>
          <w:lang w:val="es-ES"/>
        </w:rPr>
        <w:t>n distintas prácticas y enfoques y los ámbitos de convergencia existentes respecto de la protección de los nombres de países.</w:t>
      </w:r>
    </w:p>
    <w:p w:rsidR="0086744D" w:rsidRPr="00452548" w:rsidRDefault="0086744D" w:rsidP="0086744D">
      <w:pPr>
        <w:tabs>
          <w:tab w:val="left" w:pos="567"/>
        </w:tabs>
        <w:rPr>
          <w:lang w:val="es-ES"/>
        </w:rPr>
      </w:pPr>
    </w:p>
    <w:bookmarkStart w:id="3" w:name="TitleOfDoc"/>
    <w:bookmarkEnd w:id="3"/>
    <w:p w:rsidR="0008323F" w:rsidRPr="00452548" w:rsidRDefault="0086744D" w:rsidP="008B2CC1">
      <w:pPr>
        <w:rPr>
          <w:lang w:val="es-ES"/>
        </w:rPr>
      </w:pPr>
      <w:r w:rsidRPr="00452548">
        <w:rPr>
          <w:caps/>
          <w:sz w:val="24"/>
          <w:lang w:val="es-ES"/>
        </w:rPr>
        <w:fldChar w:fldCharType="begin"/>
      </w:r>
      <w:r w:rsidRPr="00452548">
        <w:rPr>
          <w:caps/>
          <w:sz w:val="24"/>
          <w:lang w:val="es-ES"/>
        </w:rPr>
        <w:instrText xml:space="preserve"> AUTONUM  </w:instrText>
      </w:r>
      <w:r w:rsidRPr="00452548">
        <w:rPr>
          <w:caps/>
          <w:sz w:val="24"/>
          <w:lang w:val="es-ES"/>
        </w:rPr>
        <w:fldChar w:fldCharType="end"/>
      </w:r>
      <w:r w:rsidRPr="00452548">
        <w:rPr>
          <w:caps/>
          <w:sz w:val="24"/>
          <w:lang w:val="es-ES"/>
        </w:rPr>
        <w:tab/>
      </w:r>
      <w:r w:rsidR="009E0016" w:rsidRPr="00452548">
        <w:rPr>
          <w:lang w:val="es-ES"/>
        </w:rPr>
        <w:t>Tal y como pidió el Presidente de la trigésima cuarta sesión del SCT, la Secretaría preparó el documento SCT/35/4 (Protección de los nombres de países contra su registro y uso como marcas</w:t>
      </w:r>
      <w:proofErr w:type="gramStart"/>
      <w:r w:rsidR="009E0016" w:rsidRPr="00452548">
        <w:rPr>
          <w:lang w:val="es-ES"/>
        </w:rPr>
        <w:t xml:space="preserve">: </w:t>
      </w:r>
      <w:r w:rsidR="00F83DF9">
        <w:rPr>
          <w:lang w:val="es-ES"/>
        </w:rPr>
        <w:t xml:space="preserve"> </w:t>
      </w:r>
      <w:r w:rsidR="009E0016" w:rsidRPr="00452548">
        <w:rPr>
          <w:lang w:val="es-ES"/>
        </w:rPr>
        <w:t>prácticas</w:t>
      </w:r>
      <w:proofErr w:type="gramEnd"/>
      <w:r w:rsidR="009E0016" w:rsidRPr="00452548">
        <w:rPr>
          <w:lang w:val="es-ES"/>
        </w:rPr>
        <w:t>, enfoques y posibles ámbitos de convergencia) y lo presentó al SCT para su examen en la trigésima quinta sesión.  Al final de esa sesión, el Presidente concluyó que el punto de la protección de los nombres de países contra su registro y uso como marcas se mantendrá en el orden del día y que el SCT volverá a tratarlo en su siguiente sesión, con tiempo suficiente para que se lleve a cabo un debate completo.</w:t>
      </w:r>
    </w:p>
    <w:p w:rsidR="009E0016" w:rsidRPr="00452548" w:rsidRDefault="009E0016" w:rsidP="008B2CC1">
      <w:pPr>
        <w:rPr>
          <w:lang w:val="es-ES"/>
        </w:rPr>
      </w:pPr>
    </w:p>
    <w:p w:rsidR="0086744D" w:rsidRPr="00452548" w:rsidRDefault="0086744D" w:rsidP="0008323F">
      <w:pPr>
        <w:rPr>
          <w:lang w:val="es-ES"/>
        </w:rPr>
      </w:pPr>
      <w:r w:rsidRPr="00452548">
        <w:rPr>
          <w:lang w:val="es-ES"/>
        </w:rPr>
        <w:lastRenderedPageBreak/>
        <w:fldChar w:fldCharType="begin"/>
      </w:r>
      <w:r w:rsidRPr="00452548">
        <w:rPr>
          <w:lang w:val="es-ES"/>
        </w:rPr>
        <w:instrText xml:space="preserve"> AUTONUM  </w:instrText>
      </w:r>
      <w:r w:rsidRPr="00452548">
        <w:rPr>
          <w:lang w:val="es-ES"/>
        </w:rPr>
        <w:fldChar w:fldCharType="end"/>
      </w:r>
      <w:r w:rsidRPr="00452548">
        <w:rPr>
          <w:lang w:val="es-ES"/>
        </w:rPr>
        <w:tab/>
      </w:r>
      <w:r w:rsidR="0008323F" w:rsidRPr="00452548">
        <w:rPr>
          <w:lang w:val="es-ES"/>
        </w:rPr>
        <w:t>Además, en esas dos sesiones la Secretaría dio a conocer las últimas novedades sobre los aspectos relacionados con las marcas en la ampliación del Sistema de Nombres de Dominio</w:t>
      </w:r>
      <w:r w:rsidR="008D0EDE" w:rsidRPr="00452548">
        <w:rPr>
          <w:lang w:val="es-ES"/>
        </w:rPr>
        <w:t xml:space="preserve"> (DNS)</w:t>
      </w:r>
      <w:r w:rsidR="0008323F" w:rsidRPr="00452548">
        <w:rPr>
          <w:lang w:val="es-ES"/>
        </w:rPr>
        <w:t xml:space="preserve">, de lo cual el SCT tomó nota y solicitó a la Secretaría que lo </w:t>
      </w:r>
      <w:r w:rsidR="00B90E96" w:rsidRPr="00452548">
        <w:rPr>
          <w:lang w:val="es-ES"/>
        </w:rPr>
        <w:t>mantenga</w:t>
      </w:r>
      <w:r w:rsidR="0008323F" w:rsidRPr="00452548">
        <w:rPr>
          <w:lang w:val="es-ES"/>
        </w:rPr>
        <w:t xml:space="preserve"> informado de la</w:t>
      </w:r>
      <w:r w:rsidR="00671455" w:rsidRPr="00452548">
        <w:rPr>
          <w:lang w:val="es-ES"/>
        </w:rPr>
        <w:t>s novedades</w:t>
      </w:r>
      <w:r w:rsidR="0008323F" w:rsidRPr="00452548">
        <w:rPr>
          <w:lang w:val="es-ES"/>
        </w:rPr>
        <w:t xml:space="preserve"> </w:t>
      </w:r>
      <w:r w:rsidR="00671455" w:rsidRPr="00452548">
        <w:rPr>
          <w:lang w:val="es-ES"/>
        </w:rPr>
        <w:t xml:space="preserve">que se </w:t>
      </w:r>
      <w:r w:rsidR="00B90E96" w:rsidRPr="00452548">
        <w:rPr>
          <w:lang w:val="es-ES"/>
        </w:rPr>
        <w:t xml:space="preserve">produzcan </w:t>
      </w:r>
      <w:r w:rsidR="00671455" w:rsidRPr="00452548">
        <w:rPr>
          <w:lang w:val="es-ES"/>
        </w:rPr>
        <w:t xml:space="preserve">en </w:t>
      </w:r>
      <w:r w:rsidR="0008323F" w:rsidRPr="00452548">
        <w:rPr>
          <w:lang w:val="es-ES"/>
        </w:rPr>
        <w:t xml:space="preserve">el </w:t>
      </w:r>
      <w:r w:rsidR="00ED74B0" w:rsidRPr="00452548">
        <w:rPr>
          <w:lang w:val="es-ES"/>
        </w:rPr>
        <w:t>DNS</w:t>
      </w:r>
      <w:r w:rsidR="0008323F" w:rsidRPr="00452548">
        <w:rPr>
          <w:lang w:val="es-ES"/>
        </w:rPr>
        <w:t>.</w:t>
      </w:r>
    </w:p>
    <w:p w:rsidR="0086744D" w:rsidRPr="00452548" w:rsidRDefault="0086744D" w:rsidP="0086744D">
      <w:pPr>
        <w:tabs>
          <w:tab w:val="left" w:pos="567"/>
        </w:tabs>
        <w:rPr>
          <w:lang w:val="es-ES"/>
        </w:rPr>
      </w:pPr>
    </w:p>
    <w:p w:rsidR="0086744D" w:rsidRPr="00452548" w:rsidRDefault="0086744D" w:rsidP="0086744D">
      <w:pPr>
        <w:tabs>
          <w:tab w:val="left" w:pos="567"/>
        </w:tabs>
        <w:rPr>
          <w:lang w:val="es-ES"/>
        </w:rPr>
      </w:pPr>
    </w:p>
    <w:p w:rsidR="0086744D" w:rsidRPr="00452548" w:rsidRDefault="00A77D20" w:rsidP="0086744D">
      <w:pPr>
        <w:tabs>
          <w:tab w:val="left" w:pos="567"/>
        </w:tabs>
        <w:rPr>
          <w:lang w:val="es-ES"/>
        </w:rPr>
      </w:pPr>
      <w:r w:rsidRPr="00452548">
        <w:rPr>
          <w:lang w:val="es-ES"/>
        </w:rPr>
        <w:t xml:space="preserve">DISEÑOS </w:t>
      </w:r>
      <w:r w:rsidR="0086744D" w:rsidRPr="00452548">
        <w:rPr>
          <w:lang w:val="es-ES"/>
        </w:rPr>
        <w:t>INDUSTRIAL</w:t>
      </w:r>
      <w:r w:rsidRPr="00452548">
        <w:rPr>
          <w:lang w:val="es-ES"/>
        </w:rPr>
        <w:t>ES</w:t>
      </w:r>
    </w:p>
    <w:p w:rsidR="0086744D" w:rsidRPr="00452548" w:rsidRDefault="0086744D" w:rsidP="0086744D">
      <w:pPr>
        <w:tabs>
          <w:tab w:val="left" w:pos="567"/>
        </w:tabs>
        <w:rPr>
          <w:lang w:val="es-ES"/>
        </w:rPr>
      </w:pPr>
    </w:p>
    <w:p w:rsidR="00AB40A2" w:rsidRPr="00452548" w:rsidRDefault="0086744D" w:rsidP="00D64EBE">
      <w:pPr>
        <w:pStyle w:val="NoSpacing"/>
        <w:ind w:right="57"/>
        <w:rPr>
          <w:rFonts w:ascii="Arial" w:hAnsi="Arial" w:cs="Arial"/>
          <w:lang w:val="es-ES"/>
        </w:rPr>
      </w:pPr>
      <w:r w:rsidRPr="00452548">
        <w:rPr>
          <w:rFonts w:ascii="Arial" w:hAnsi="Arial" w:cs="Arial"/>
          <w:lang w:val="es-ES"/>
        </w:rPr>
        <w:fldChar w:fldCharType="begin"/>
      </w:r>
      <w:r w:rsidRPr="00452548">
        <w:rPr>
          <w:rFonts w:ascii="Arial" w:hAnsi="Arial" w:cs="Arial"/>
          <w:lang w:val="es-ES"/>
        </w:rPr>
        <w:instrText xml:space="preserve"> AUTONUM  </w:instrText>
      </w:r>
      <w:r w:rsidRPr="00452548">
        <w:rPr>
          <w:rFonts w:ascii="Arial" w:hAnsi="Arial" w:cs="Arial"/>
          <w:lang w:val="es-ES"/>
        </w:rPr>
        <w:fldChar w:fldCharType="end"/>
      </w:r>
      <w:r w:rsidRPr="00452548">
        <w:rPr>
          <w:rFonts w:ascii="Arial" w:hAnsi="Arial" w:cs="Arial"/>
          <w:lang w:val="es-ES"/>
        </w:rPr>
        <w:tab/>
      </w:r>
      <w:r w:rsidR="0008323F" w:rsidRPr="00452548">
        <w:rPr>
          <w:rFonts w:ascii="Arial" w:hAnsi="Arial" w:cs="Arial"/>
          <w:lang w:val="es-ES"/>
        </w:rPr>
        <w:t>En cuanto a la labor del SCT relativa al proyecto de tratado sobre el Derecho de los diseños (DLT), cabe remitirse al documento WO/GA/48/6 (Cuestiones relativas a la convocación de una conferencia diplomática para la adopción de un tratado sobre el Derecho de los diseños).</w:t>
      </w:r>
    </w:p>
    <w:p w:rsidR="0008323F" w:rsidRPr="00452548" w:rsidRDefault="0008323F" w:rsidP="00D64EBE">
      <w:pPr>
        <w:pStyle w:val="NoSpacing"/>
        <w:ind w:right="57"/>
        <w:rPr>
          <w:rFonts w:ascii="Arial" w:hAnsi="Arial" w:cs="Arial"/>
          <w:lang w:val="es-ES"/>
        </w:rPr>
      </w:pPr>
    </w:p>
    <w:p w:rsidR="003F7481" w:rsidRPr="00452548" w:rsidRDefault="00AB40A2" w:rsidP="00D64EBE">
      <w:pPr>
        <w:pStyle w:val="NoSpacing"/>
        <w:ind w:right="57"/>
        <w:rPr>
          <w:rFonts w:ascii="Arial" w:hAnsi="Arial" w:cs="Arial"/>
          <w:iCs/>
          <w:lang w:val="es-ES"/>
        </w:rPr>
      </w:pPr>
      <w:r w:rsidRPr="00452548">
        <w:rPr>
          <w:rFonts w:ascii="Arial" w:hAnsi="Arial" w:cs="Arial"/>
          <w:lang w:val="es-ES"/>
        </w:rPr>
        <w:fldChar w:fldCharType="begin"/>
      </w:r>
      <w:r w:rsidRPr="00452548">
        <w:rPr>
          <w:rFonts w:ascii="Arial" w:hAnsi="Arial" w:cs="Arial"/>
          <w:lang w:val="es-ES"/>
        </w:rPr>
        <w:instrText xml:space="preserve"> AUTONUM  </w:instrText>
      </w:r>
      <w:r w:rsidRPr="00452548">
        <w:rPr>
          <w:rFonts w:ascii="Arial" w:hAnsi="Arial" w:cs="Arial"/>
          <w:lang w:val="es-ES"/>
        </w:rPr>
        <w:fldChar w:fldCharType="end"/>
      </w:r>
      <w:r w:rsidRPr="00452548">
        <w:rPr>
          <w:rFonts w:ascii="Arial" w:hAnsi="Arial" w:cs="Arial"/>
          <w:lang w:val="es-ES"/>
        </w:rPr>
        <w:tab/>
      </w:r>
      <w:r w:rsidR="00301A7E" w:rsidRPr="00452548">
        <w:rPr>
          <w:rFonts w:ascii="Arial" w:hAnsi="Arial" w:cs="Arial"/>
          <w:lang w:val="es-ES"/>
        </w:rPr>
        <w:t xml:space="preserve">Además de la labor relativa al proyecto de DLT, en la trigésima quinta sesión se consideró una propuesta denominada </w:t>
      </w:r>
      <w:r w:rsidR="005E2564" w:rsidRPr="00452548">
        <w:rPr>
          <w:rFonts w:ascii="Arial" w:hAnsi="Arial" w:cs="Arial"/>
          <w:lang w:val="es-ES"/>
        </w:rPr>
        <w:t>“</w:t>
      </w:r>
      <w:r w:rsidR="00301A7E" w:rsidRPr="00452548">
        <w:rPr>
          <w:rFonts w:ascii="Arial" w:hAnsi="Arial" w:cs="Arial"/>
          <w:lang w:val="es-ES"/>
        </w:rPr>
        <w:t>Los diseños industriales y las tecnologías emergentes: similitudes y diferencias en la protección de nuevos diseños tecnológicos</w:t>
      </w:r>
      <w:r w:rsidR="005E2564" w:rsidRPr="00452548">
        <w:rPr>
          <w:rFonts w:ascii="Arial" w:hAnsi="Arial" w:cs="Arial"/>
          <w:lang w:val="es-ES"/>
        </w:rPr>
        <w:t>”</w:t>
      </w:r>
      <w:r w:rsidR="00301A7E" w:rsidRPr="00452548">
        <w:rPr>
          <w:rFonts w:ascii="Arial" w:hAnsi="Arial" w:cs="Arial"/>
          <w:lang w:val="es-ES"/>
        </w:rPr>
        <w:t xml:space="preserve">, presentada por las Delegaciones de los Estados Unidos de América, el Japón e Israel en el documento </w:t>
      </w:r>
      <w:r w:rsidR="00301A7E" w:rsidRPr="00452548">
        <w:rPr>
          <w:rFonts w:ascii="Arial" w:hAnsi="Arial" w:cs="Arial"/>
          <w:iCs/>
          <w:lang w:val="es-ES"/>
        </w:rPr>
        <w:t>SCT/35/6.  Tuvo lugar un intercambio de opiniones sobre dicha propuesta.</w:t>
      </w:r>
    </w:p>
    <w:p w:rsidR="003F7481" w:rsidRPr="00452548" w:rsidRDefault="003F7481" w:rsidP="008A5847">
      <w:pPr>
        <w:rPr>
          <w:lang w:val="es-ES"/>
        </w:rPr>
      </w:pPr>
    </w:p>
    <w:p w:rsidR="003F7481" w:rsidRPr="00452548" w:rsidRDefault="003F7481" w:rsidP="00301A7E">
      <w:pPr>
        <w:tabs>
          <w:tab w:val="left" w:pos="0"/>
          <w:tab w:val="left" w:pos="540"/>
        </w:tabs>
        <w:rPr>
          <w:iCs/>
          <w:lang w:val="es-ES"/>
        </w:rPr>
      </w:pPr>
      <w:r w:rsidRPr="00452548">
        <w:rPr>
          <w:iCs/>
          <w:lang w:val="es-ES"/>
        </w:rPr>
        <w:fldChar w:fldCharType="begin"/>
      </w:r>
      <w:r w:rsidRPr="00452548">
        <w:rPr>
          <w:iCs/>
          <w:lang w:val="es-ES"/>
        </w:rPr>
        <w:instrText xml:space="preserve"> AUTONUM  </w:instrText>
      </w:r>
      <w:r w:rsidRPr="00452548">
        <w:rPr>
          <w:iCs/>
          <w:lang w:val="es-ES"/>
        </w:rPr>
        <w:fldChar w:fldCharType="end"/>
      </w:r>
      <w:r w:rsidRPr="00452548">
        <w:rPr>
          <w:iCs/>
          <w:lang w:val="es-ES"/>
        </w:rPr>
        <w:tab/>
      </w:r>
      <w:r w:rsidR="00301A7E" w:rsidRPr="00452548">
        <w:rPr>
          <w:iCs/>
          <w:lang w:val="es-ES"/>
        </w:rPr>
        <w:t>Al final de la trigésima quinta sesión, el Presidente pidió a la Secretaría que prepar</w:t>
      </w:r>
      <w:r w:rsidR="008B0430" w:rsidRPr="00452548">
        <w:rPr>
          <w:iCs/>
          <w:lang w:val="es-ES"/>
        </w:rPr>
        <w:t>e</w:t>
      </w:r>
      <w:r w:rsidR="00301A7E" w:rsidRPr="00452548">
        <w:rPr>
          <w:iCs/>
          <w:lang w:val="es-ES"/>
        </w:rPr>
        <w:t xml:space="preserve"> un cuestionario, basado en el documento </w:t>
      </w:r>
      <w:r w:rsidRPr="00452548">
        <w:rPr>
          <w:iCs/>
          <w:lang w:val="es-ES"/>
        </w:rPr>
        <w:t xml:space="preserve">SCT/35/6, </w:t>
      </w:r>
      <w:r w:rsidR="00301A7E" w:rsidRPr="00452548">
        <w:rPr>
          <w:iCs/>
          <w:lang w:val="es-ES"/>
        </w:rPr>
        <w:t>dirigido a todos los Estados miembros de la OMPI.  Además, pidió a la Secretaría que prepare un documento en el que figuren las respuestas al cuestionario, para que sea presentado en la siguiente sesión del</w:t>
      </w:r>
      <w:r w:rsidRPr="00452548">
        <w:rPr>
          <w:iCs/>
          <w:lang w:val="es-ES"/>
        </w:rPr>
        <w:t xml:space="preserve"> SCT.</w:t>
      </w:r>
      <w:r w:rsidR="00301A7E" w:rsidRPr="00452548">
        <w:rPr>
          <w:iCs/>
          <w:lang w:val="es-ES"/>
        </w:rPr>
        <w:t xml:space="preserve"> </w:t>
      </w:r>
    </w:p>
    <w:p w:rsidR="003F7481" w:rsidRPr="00452548" w:rsidRDefault="003F7481" w:rsidP="003F7481">
      <w:pPr>
        <w:tabs>
          <w:tab w:val="left" w:pos="1170"/>
        </w:tabs>
        <w:rPr>
          <w:iCs/>
          <w:lang w:val="es-ES"/>
        </w:rPr>
      </w:pPr>
    </w:p>
    <w:p w:rsidR="00AB40A2" w:rsidRPr="00452548" w:rsidRDefault="00D64EBE" w:rsidP="008A5847">
      <w:pPr>
        <w:rPr>
          <w:lang w:val="es-ES"/>
        </w:rPr>
      </w:pPr>
      <w:r w:rsidRPr="00452548">
        <w:rPr>
          <w:lang w:val="es-ES"/>
        </w:rPr>
        <w:fldChar w:fldCharType="begin"/>
      </w:r>
      <w:r w:rsidRPr="00452548">
        <w:rPr>
          <w:lang w:val="es-ES"/>
        </w:rPr>
        <w:instrText xml:space="preserve"> AUTONUM  </w:instrText>
      </w:r>
      <w:r w:rsidRPr="00452548">
        <w:rPr>
          <w:lang w:val="es-ES"/>
        </w:rPr>
        <w:fldChar w:fldCharType="end"/>
      </w:r>
      <w:r w:rsidRPr="00452548">
        <w:rPr>
          <w:lang w:val="es-ES"/>
        </w:rPr>
        <w:tab/>
      </w:r>
      <w:r w:rsidR="00301A7E" w:rsidRPr="00452548">
        <w:rPr>
          <w:lang w:val="es-ES"/>
        </w:rPr>
        <w:t xml:space="preserve">Además, en la trigésima quinta sesión </w:t>
      </w:r>
      <w:r w:rsidR="009E08A0" w:rsidRPr="00452548">
        <w:rPr>
          <w:lang w:val="es-ES"/>
        </w:rPr>
        <w:t>del SCT, la Delegació</w:t>
      </w:r>
      <w:r w:rsidR="00301A7E" w:rsidRPr="00452548">
        <w:rPr>
          <w:lang w:val="es-ES"/>
        </w:rPr>
        <w:t xml:space="preserve">n de los Estados Unidos de América </w:t>
      </w:r>
      <w:r w:rsidR="009E08A0" w:rsidRPr="00452548">
        <w:rPr>
          <w:lang w:val="es-ES"/>
        </w:rPr>
        <w:t>expresó interés por escuchar información sobre el Servicio de Acceso Digital a los Documentos de Prioridad (DAS), al recordar que dicho servicio, utilizado en el contexto de las patentes, está listo para ser utilizado con los documentos de prioridad de los diseños industriales, pero no se ha utilizado todavía en ese contexto.  El Presidente tomó nota de la petición formulada por la Delegación de los Estados Unidos de América.</w:t>
      </w:r>
    </w:p>
    <w:p w:rsidR="00D64EBE" w:rsidRPr="00452548" w:rsidRDefault="00D64EBE" w:rsidP="008A5847">
      <w:pPr>
        <w:rPr>
          <w:lang w:val="es-ES"/>
        </w:rPr>
      </w:pPr>
    </w:p>
    <w:p w:rsidR="008B2CC1" w:rsidRPr="00452548" w:rsidRDefault="008B2CC1" w:rsidP="008A5847">
      <w:pPr>
        <w:rPr>
          <w:lang w:val="es-ES"/>
        </w:rPr>
      </w:pPr>
    </w:p>
    <w:p w:rsidR="008A5847" w:rsidRPr="00452548" w:rsidRDefault="00A77D20" w:rsidP="008B2CC1">
      <w:pPr>
        <w:rPr>
          <w:i/>
          <w:lang w:val="es-ES"/>
        </w:rPr>
      </w:pPr>
      <w:bookmarkStart w:id="4" w:name="Prepared"/>
      <w:bookmarkEnd w:id="4"/>
      <w:r w:rsidRPr="00452548">
        <w:rPr>
          <w:lang w:val="es-ES"/>
        </w:rPr>
        <w:t>INDICACIONES GEOGRÁFICAS</w:t>
      </w:r>
    </w:p>
    <w:p w:rsidR="00AC205C" w:rsidRPr="00452548" w:rsidRDefault="00AC205C">
      <w:pPr>
        <w:rPr>
          <w:lang w:val="es-ES"/>
        </w:rPr>
      </w:pPr>
    </w:p>
    <w:p w:rsidR="008B0430" w:rsidRPr="00452548" w:rsidRDefault="005C6BD5">
      <w:pPr>
        <w:rPr>
          <w:szCs w:val="22"/>
          <w:lang w:val="es-ES"/>
        </w:rPr>
      </w:pPr>
      <w:r w:rsidRPr="00452548">
        <w:rPr>
          <w:lang w:val="es-ES"/>
        </w:rPr>
        <w:fldChar w:fldCharType="begin"/>
      </w:r>
      <w:r w:rsidRPr="00452548">
        <w:rPr>
          <w:lang w:val="es-ES"/>
        </w:rPr>
        <w:instrText xml:space="preserve"> AUTONUM  </w:instrText>
      </w:r>
      <w:r w:rsidRPr="00452548">
        <w:rPr>
          <w:lang w:val="es-ES"/>
        </w:rPr>
        <w:fldChar w:fldCharType="end"/>
      </w:r>
      <w:r w:rsidRPr="00452548">
        <w:rPr>
          <w:lang w:val="es-ES"/>
        </w:rPr>
        <w:tab/>
      </w:r>
      <w:r w:rsidR="0008323F" w:rsidRPr="00452548">
        <w:rPr>
          <w:lang w:val="es-ES"/>
        </w:rPr>
        <w:t xml:space="preserve">En la trigésima cuarta sesión del SCT se examinaron tres propuestas de trabajo en materia de indicaciones geográficas, a saber, una propuesta de la Delegación de los Estados Unidos de América en el sentido de preparar un estudio de los regímenes nacionales vigentes de indicaciones geográficas (documento SCT/31/7), una propuesta conjunta de las Delegaciones de Alemania, España, Francia, Hungría, Italia, Portugal, la República Checa, la República de Moldova y Suiza, acerca de la protección de las indicaciones geográficas y los nombres de países en el DNS </w:t>
      </w:r>
      <w:r w:rsidR="008B0430" w:rsidRPr="00452548">
        <w:rPr>
          <w:lang w:val="es-ES"/>
        </w:rPr>
        <w:t>(documento SCT/31/8 Rev.4)</w:t>
      </w:r>
      <w:r w:rsidR="0008323F" w:rsidRPr="00452548">
        <w:rPr>
          <w:lang w:val="es-ES"/>
        </w:rPr>
        <w:t xml:space="preserve"> </w:t>
      </w:r>
      <w:r w:rsidR="004F2C20" w:rsidRPr="00452548">
        <w:rPr>
          <w:lang w:val="es-ES"/>
        </w:rPr>
        <w:t>y una propuesta de la Delegación de Francia, presentada en la trigésima cuarta sesión del SCT, relativa a un estudio sobre la protección de las indicaciones geográficas en los sistemas nacionales y un estudio sobre la protección de las indicaciones geográficas en el DNS (</w:t>
      </w:r>
      <w:r w:rsidR="00CB6E36" w:rsidRPr="00452548">
        <w:rPr>
          <w:lang w:val="es-ES"/>
        </w:rPr>
        <w:t>document</w:t>
      </w:r>
      <w:r w:rsidR="004F2C20" w:rsidRPr="00452548">
        <w:rPr>
          <w:lang w:val="es-ES"/>
        </w:rPr>
        <w:t>o</w:t>
      </w:r>
      <w:r w:rsidR="00CB6E36" w:rsidRPr="00452548">
        <w:rPr>
          <w:lang w:val="es-ES"/>
        </w:rPr>
        <w:t xml:space="preserve"> SCT/34/6).</w:t>
      </w:r>
      <w:r w:rsidR="00D80B01" w:rsidRPr="00452548">
        <w:rPr>
          <w:lang w:val="es-ES"/>
        </w:rPr>
        <w:t xml:space="preserve">  </w:t>
      </w:r>
      <w:r w:rsidR="004F2C20" w:rsidRPr="00452548">
        <w:rPr>
          <w:lang w:val="es-ES"/>
        </w:rPr>
        <w:t xml:space="preserve">Al final de la trigésima cuarta sesión del SCT, el Presidente señaló que todos los asuntos </w:t>
      </w:r>
      <w:r w:rsidR="008B0430" w:rsidRPr="00452548">
        <w:rPr>
          <w:lang w:val="es-ES"/>
        </w:rPr>
        <w:t>que figura</w:t>
      </w:r>
      <w:r w:rsidR="004F2C20" w:rsidRPr="00452548">
        <w:rPr>
          <w:lang w:val="es-ES"/>
        </w:rPr>
        <w:t xml:space="preserve">n en el punto relativo a las indicaciones geográficas permanecerán en el orden del día, a fin de ser examinados en la siguiente sesión del </w:t>
      </w:r>
      <w:r w:rsidR="00D80B01" w:rsidRPr="00452548">
        <w:rPr>
          <w:szCs w:val="22"/>
          <w:lang w:val="es-ES"/>
        </w:rPr>
        <w:t>SCT.</w:t>
      </w:r>
      <w:r w:rsidR="004F2C20" w:rsidRPr="00452548">
        <w:rPr>
          <w:szCs w:val="22"/>
          <w:lang w:val="es-ES"/>
        </w:rPr>
        <w:t xml:space="preserve"> </w:t>
      </w:r>
    </w:p>
    <w:p w:rsidR="008B0430" w:rsidRPr="00452548" w:rsidRDefault="008B0430">
      <w:pPr>
        <w:rPr>
          <w:szCs w:val="22"/>
          <w:lang w:val="es-ES"/>
        </w:rPr>
      </w:pPr>
      <w:r w:rsidRPr="00452548">
        <w:rPr>
          <w:szCs w:val="22"/>
          <w:lang w:val="es-ES"/>
        </w:rPr>
        <w:br w:type="page"/>
      </w:r>
    </w:p>
    <w:p w:rsidR="00D80B01" w:rsidRPr="00452548" w:rsidRDefault="00D80B01" w:rsidP="00D80B01">
      <w:pPr>
        <w:widowControl w:val="0"/>
        <w:tabs>
          <w:tab w:val="left" w:pos="0"/>
        </w:tabs>
        <w:autoSpaceDE w:val="0"/>
        <w:autoSpaceDN w:val="0"/>
        <w:adjustRightInd w:val="0"/>
        <w:rPr>
          <w:szCs w:val="22"/>
          <w:lang w:val="es-ES"/>
        </w:rPr>
      </w:pPr>
      <w:r w:rsidRPr="00452548">
        <w:rPr>
          <w:lang w:val="es-ES"/>
        </w:rPr>
        <w:lastRenderedPageBreak/>
        <w:fldChar w:fldCharType="begin"/>
      </w:r>
      <w:r w:rsidRPr="00452548">
        <w:rPr>
          <w:lang w:val="es-ES"/>
        </w:rPr>
        <w:instrText xml:space="preserve"> AUTONUM  </w:instrText>
      </w:r>
      <w:r w:rsidRPr="00452548">
        <w:rPr>
          <w:lang w:val="es-ES"/>
        </w:rPr>
        <w:fldChar w:fldCharType="end"/>
      </w:r>
      <w:r w:rsidRPr="00452548">
        <w:rPr>
          <w:lang w:val="es-ES"/>
        </w:rPr>
        <w:tab/>
      </w:r>
      <w:r w:rsidR="0008323F" w:rsidRPr="00452548">
        <w:rPr>
          <w:rFonts w:eastAsia="Times New Roman"/>
          <w:szCs w:val="22"/>
          <w:lang w:val="es-ES" w:eastAsia="en-US"/>
        </w:rPr>
        <w:t>En la trigésima quinta sesión del SCT, tuvo lugar un intercambio de opiniones sobre las propuestas contenid</w:t>
      </w:r>
      <w:r w:rsidR="000D59E4">
        <w:rPr>
          <w:rFonts w:eastAsia="Times New Roman"/>
          <w:szCs w:val="22"/>
          <w:lang w:val="es-ES" w:eastAsia="en-US"/>
        </w:rPr>
        <w:t xml:space="preserve">as en los documentos SCT/31/7, </w:t>
      </w:r>
      <w:r w:rsidR="0008323F" w:rsidRPr="00452548">
        <w:rPr>
          <w:rFonts w:eastAsia="Times New Roman"/>
          <w:szCs w:val="22"/>
          <w:lang w:val="es-ES" w:eastAsia="en-US"/>
        </w:rPr>
        <w:t xml:space="preserve">SCT/31/8 Rev.5 y SCT/34/6.  </w:t>
      </w:r>
      <w:r w:rsidR="004F2C20" w:rsidRPr="00452548">
        <w:rPr>
          <w:rFonts w:eastAsia="Times New Roman"/>
          <w:szCs w:val="22"/>
          <w:lang w:val="es-ES" w:eastAsia="en-US"/>
        </w:rPr>
        <w:t xml:space="preserve">El Presidente concluyó que todos los asuntos </w:t>
      </w:r>
      <w:r w:rsidR="008B0430" w:rsidRPr="00452548">
        <w:rPr>
          <w:rFonts w:eastAsia="Times New Roman"/>
          <w:szCs w:val="22"/>
          <w:lang w:val="es-ES" w:eastAsia="en-US"/>
        </w:rPr>
        <w:t>que figuran en el</w:t>
      </w:r>
      <w:r w:rsidR="004F2C20" w:rsidRPr="00452548">
        <w:rPr>
          <w:rFonts w:eastAsia="Times New Roman"/>
          <w:szCs w:val="22"/>
          <w:lang w:val="es-ES" w:eastAsia="en-US"/>
        </w:rPr>
        <w:t xml:space="preserve"> punto </w:t>
      </w:r>
      <w:r w:rsidR="008B0430" w:rsidRPr="00452548">
        <w:rPr>
          <w:rFonts w:eastAsia="Times New Roman"/>
          <w:szCs w:val="22"/>
          <w:lang w:val="es-ES" w:eastAsia="en-US"/>
        </w:rPr>
        <w:t xml:space="preserve">relativo a las indicaciones geográficas </w:t>
      </w:r>
      <w:r w:rsidR="004F2C20" w:rsidRPr="00452548">
        <w:rPr>
          <w:rFonts w:eastAsia="Times New Roman"/>
          <w:szCs w:val="22"/>
          <w:lang w:val="es-ES" w:eastAsia="en-US"/>
        </w:rPr>
        <w:t xml:space="preserve">se mantendrán en el orden del día, y que el SCT volverá a tratar este punto en su siguiente sesión, con tiempo suficiente para que se lleve a cabo un debate completo acerca de un programa de trabajo sobre las indicaciones geográficas en el seno del Comité </w:t>
      </w:r>
      <w:r w:rsidR="00AF76A6" w:rsidRPr="00452548">
        <w:rPr>
          <w:szCs w:val="22"/>
          <w:lang w:val="es-ES"/>
        </w:rPr>
        <w:t>(document</w:t>
      </w:r>
      <w:r w:rsidR="004F2C20" w:rsidRPr="00452548">
        <w:rPr>
          <w:szCs w:val="22"/>
          <w:lang w:val="es-ES"/>
        </w:rPr>
        <w:t>o</w:t>
      </w:r>
      <w:r w:rsidR="00EF227F" w:rsidRPr="00452548">
        <w:rPr>
          <w:szCs w:val="22"/>
          <w:lang w:val="es-ES"/>
        </w:rPr>
        <w:t xml:space="preserve"> SCT/35/7</w:t>
      </w:r>
      <w:r w:rsidR="00AF76A6" w:rsidRPr="00452548">
        <w:rPr>
          <w:szCs w:val="22"/>
          <w:lang w:val="es-ES"/>
        </w:rPr>
        <w:t xml:space="preserve">, </w:t>
      </w:r>
      <w:r w:rsidR="004F2C20" w:rsidRPr="00452548">
        <w:rPr>
          <w:szCs w:val="22"/>
          <w:lang w:val="es-ES"/>
        </w:rPr>
        <w:t xml:space="preserve">párrafo </w:t>
      </w:r>
      <w:r w:rsidR="00AF76A6" w:rsidRPr="00452548">
        <w:rPr>
          <w:szCs w:val="22"/>
          <w:lang w:val="es-ES"/>
        </w:rPr>
        <w:t>14</w:t>
      </w:r>
      <w:r w:rsidR="00545526" w:rsidRPr="00452548">
        <w:rPr>
          <w:szCs w:val="22"/>
          <w:lang w:val="es-ES"/>
        </w:rPr>
        <w:t>)</w:t>
      </w:r>
      <w:r w:rsidRPr="00452548">
        <w:rPr>
          <w:szCs w:val="22"/>
          <w:lang w:val="es-ES"/>
        </w:rPr>
        <w:t>.</w:t>
      </w:r>
    </w:p>
    <w:p w:rsidR="002928D3" w:rsidRPr="00452548" w:rsidRDefault="002928D3" w:rsidP="0053057A">
      <w:pPr>
        <w:rPr>
          <w:lang w:val="es-ES"/>
        </w:rPr>
      </w:pPr>
    </w:p>
    <w:p w:rsidR="008A5847" w:rsidRPr="00452548" w:rsidRDefault="008A5847" w:rsidP="00D80B01">
      <w:pPr>
        <w:ind w:left="5533"/>
        <w:rPr>
          <w:i/>
          <w:lang w:val="es-ES"/>
        </w:rPr>
      </w:pPr>
      <w:r w:rsidRPr="00452548">
        <w:rPr>
          <w:i/>
          <w:lang w:val="es-ES"/>
        </w:rPr>
        <w:fldChar w:fldCharType="begin"/>
      </w:r>
      <w:r w:rsidRPr="00452548">
        <w:rPr>
          <w:i/>
          <w:lang w:val="es-ES"/>
        </w:rPr>
        <w:instrText xml:space="preserve"> AUTONUM  </w:instrText>
      </w:r>
      <w:r w:rsidRPr="00452548">
        <w:rPr>
          <w:i/>
          <w:lang w:val="es-ES"/>
        </w:rPr>
        <w:fldChar w:fldCharType="end"/>
      </w:r>
      <w:r w:rsidRPr="00452548">
        <w:rPr>
          <w:i/>
          <w:lang w:val="es-ES"/>
        </w:rPr>
        <w:tab/>
        <w:t>Se invita a la Asamblea General de la OMPI a tomar nota del “Informe del Comité Permanente sobre el Derecho de Marcas, Diseños Industriales e</w:t>
      </w:r>
      <w:bookmarkStart w:id="5" w:name="_GoBack"/>
      <w:bookmarkEnd w:id="5"/>
      <w:r w:rsidRPr="00452548">
        <w:rPr>
          <w:i/>
          <w:lang w:val="es-ES"/>
        </w:rPr>
        <w:t xml:space="preserve"> Indicaciones Geográficas” (documento WO/GA/48/5).</w:t>
      </w:r>
    </w:p>
    <w:p w:rsidR="00D80B01" w:rsidRPr="00452548" w:rsidRDefault="00D80B01" w:rsidP="00D80B01">
      <w:pPr>
        <w:autoSpaceDE w:val="0"/>
        <w:autoSpaceDN w:val="0"/>
        <w:adjustRightInd w:val="0"/>
        <w:rPr>
          <w:szCs w:val="22"/>
          <w:lang w:val="es-ES"/>
        </w:rPr>
      </w:pPr>
    </w:p>
    <w:p w:rsidR="00600153" w:rsidRPr="00452548" w:rsidRDefault="00600153" w:rsidP="00D80B01">
      <w:pPr>
        <w:autoSpaceDE w:val="0"/>
        <w:autoSpaceDN w:val="0"/>
        <w:adjustRightInd w:val="0"/>
        <w:rPr>
          <w:szCs w:val="22"/>
          <w:lang w:val="es-ES"/>
        </w:rPr>
      </w:pPr>
    </w:p>
    <w:p w:rsidR="00D80B01" w:rsidRPr="00452548" w:rsidRDefault="00D80B01" w:rsidP="00D80B01">
      <w:pPr>
        <w:autoSpaceDE w:val="0"/>
        <w:autoSpaceDN w:val="0"/>
        <w:adjustRightInd w:val="0"/>
        <w:rPr>
          <w:lang w:val="es-ES"/>
        </w:rPr>
      </w:pPr>
    </w:p>
    <w:p w:rsidR="00D80B01" w:rsidRPr="004F2C20" w:rsidRDefault="00D80B01" w:rsidP="00285795">
      <w:pPr>
        <w:pStyle w:val="Endofdocument-Annex"/>
        <w:rPr>
          <w:lang w:val="es-ES"/>
        </w:rPr>
      </w:pPr>
      <w:r w:rsidRPr="00452548">
        <w:rPr>
          <w:lang w:val="es-ES"/>
        </w:rPr>
        <w:t>[</w:t>
      </w:r>
      <w:r w:rsidR="0008323F" w:rsidRPr="00452548">
        <w:rPr>
          <w:lang w:val="es-ES"/>
        </w:rPr>
        <w:t>Fin del</w:t>
      </w:r>
      <w:r w:rsidRPr="00452548">
        <w:rPr>
          <w:lang w:val="es-ES"/>
        </w:rPr>
        <w:t xml:space="preserve"> document</w:t>
      </w:r>
      <w:r w:rsidR="0008323F" w:rsidRPr="00452548">
        <w:rPr>
          <w:lang w:val="es-ES"/>
        </w:rPr>
        <w:t>o</w:t>
      </w:r>
      <w:r w:rsidRPr="00452548">
        <w:rPr>
          <w:lang w:val="es-ES"/>
        </w:rPr>
        <w:t>]</w:t>
      </w:r>
      <w:r w:rsidRPr="004F2C20">
        <w:rPr>
          <w:lang w:val="es-ES"/>
        </w:rPr>
        <w:t xml:space="preserve"> </w:t>
      </w:r>
    </w:p>
    <w:sectPr w:rsidR="00D80B01" w:rsidRPr="004F2C20" w:rsidSect="0086744D">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44D" w:rsidRDefault="0086744D">
      <w:r>
        <w:separator/>
      </w:r>
    </w:p>
  </w:endnote>
  <w:endnote w:type="continuationSeparator" w:id="0">
    <w:p w:rsidR="0086744D" w:rsidRDefault="0086744D" w:rsidP="003B38C1">
      <w:r>
        <w:separator/>
      </w:r>
    </w:p>
    <w:p w:rsidR="0086744D" w:rsidRPr="003B38C1" w:rsidRDefault="0086744D" w:rsidP="003B38C1">
      <w:pPr>
        <w:spacing w:after="60"/>
        <w:rPr>
          <w:sz w:val="17"/>
        </w:rPr>
      </w:pPr>
      <w:r>
        <w:rPr>
          <w:sz w:val="17"/>
        </w:rPr>
        <w:t>[Endnote continued from previous page]</w:t>
      </w:r>
    </w:p>
  </w:endnote>
  <w:endnote w:type="continuationNotice" w:id="1">
    <w:p w:rsidR="0086744D" w:rsidRPr="003B38C1" w:rsidRDefault="008674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44D" w:rsidRDefault="0086744D">
      <w:r>
        <w:separator/>
      </w:r>
    </w:p>
  </w:footnote>
  <w:footnote w:type="continuationSeparator" w:id="0">
    <w:p w:rsidR="0086744D" w:rsidRDefault="0086744D" w:rsidP="008B60B2">
      <w:r>
        <w:separator/>
      </w:r>
    </w:p>
    <w:p w:rsidR="0086744D" w:rsidRPr="00ED77FB" w:rsidRDefault="0086744D" w:rsidP="008B60B2">
      <w:pPr>
        <w:spacing w:after="60"/>
        <w:rPr>
          <w:sz w:val="17"/>
          <w:szCs w:val="17"/>
        </w:rPr>
      </w:pPr>
      <w:r w:rsidRPr="00ED77FB">
        <w:rPr>
          <w:sz w:val="17"/>
          <w:szCs w:val="17"/>
        </w:rPr>
        <w:t>[Footnote continued from previous page]</w:t>
      </w:r>
    </w:p>
  </w:footnote>
  <w:footnote w:type="continuationNotice" w:id="1">
    <w:p w:rsidR="0086744D" w:rsidRPr="00ED77FB" w:rsidRDefault="0086744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6744D" w:rsidP="00477D6B">
    <w:pPr>
      <w:jc w:val="right"/>
    </w:pPr>
    <w:bookmarkStart w:id="6" w:name="Code2"/>
    <w:bookmarkEnd w:id="6"/>
    <w:r>
      <w:t>WO/GA/48/5</w:t>
    </w:r>
  </w:p>
  <w:p w:rsidR="00EC4E49" w:rsidRDefault="00EC4E49" w:rsidP="00477D6B">
    <w:pPr>
      <w:jc w:val="right"/>
    </w:pPr>
    <w:r>
      <w:t>p</w:t>
    </w:r>
    <w:r w:rsidR="00A77D20">
      <w:t>ágina</w:t>
    </w:r>
    <w:r>
      <w:t xml:space="preserve"> </w:t>
    </w:r>
    <w:r>
      <w:fldChar w:fldCharType="begin"/>
    </w:r>
    <w:r>
      <w:instrText xml:space="preserve"> PAGE  \* MERGEFORMAT </w:instrText>
    </w:r>
    <w:r>
      <w:fldChar w:fldCharType="separate"/>
    </w:r>
    <w:r w:rsidR="00F83DF9">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4D"/>
    <w:rsid w:val="00043CAA"/>
    <w:rsid w:val="00075432"/>
    <w:rsid w:val="0008323F"/>
    <w:rsid w:val="000968ED"/>
    <w:rsid w:val="000D59E4"/>
    <w:rsid w:val="000F5E56"/>
    <w:rsid w:val="001173C1"/>
    <w:rsid w:val="001362EE"/>
    <w:rsid w:val="001832A6"/>
    <w:rsid w:val="001E6F87"/>
    <w:rsid w:val="001E745D"/>
    <w:rsid w:val="002634C4"/>
    <w:rsid w:val="0028456A"/>
    <w:rsid w:val="00285795"/>
    <w:rsid w:val="002928D3"/>
    <w:rsid w:val="002954CA"/>
    <w:rsid w:val="002E43D8"/>
    <w:rsid w:val="002F1FE6"/>
    <w:rsid w:val="002F4E68"/>
    <w:rsid w:val="00301A7E"/>
    <w:rsid w:val="00312F7F"/>
    <w:rsid w:val="00354896"/>
    <w:rsid w:val="00361450"/>
    <w:rsid w:val="003673CF"/>
    <w:rsid w:val="00373269"/>
    <w:rsid w:val="003845C1"/>
    <w:rsid w:val="003A6F89"/>
    <w:rsid w:val="003B38C1"/>
    <w:rsid w:val="003D1DA7"/>
    <w:rsid w:val="003F7481"/>
    <w:rsid w:val="00405075"/>
    <w:rsid w:val="00423455"/>
    <w:rsid w:val="00423E3E"/>
    <w:rsid w:val="00427AF4"/>
    <w:rsid w:val="004504EC"/>
    <w:rsid w:val="00452548"/>
    <w:rsid w:val="004647DA"/>
    <w:rsid w:val="00474062"/>
    <w:rsid w:val="00477D6B"/>
    <w:rsid w:val="00494B30"/>
    <w:rsid w:val="004A3EDA"/>
    <w:rsid w:val="004F1AA5"/>
    <w:rsid w:val="004F2C20"/>
    <w:rsid w:val="005019FF"/>
    <w:rsid w:val="0053057A"/>
    <w:rsid w:val="00545526"/>
    <w:rsid w:val="00560A29"/>
    <w:rsid w:val="005C6649"/>
    <w:rsid w:val="005C6BD5"/>
    <w:rsid w:val="005E2564"/>
    <w:rsid w:val="00600153"/>
    <w:rsid w:val="00605827"/>
    <w:rsid w:val="00646050"/>
    <w:rsid w:val="006713CA"/>
    <w:rsid w:val="00671455"/>
    <w:rsid w:val="00676C5C"/>
    <w:rsid w:val="00775199"/>
    <w:rsid w:val="007D1613"/>
    <w:rsid w:val="008208C1"/>
    <w:rsid w:val="0086744D"/>
    <w:rsid w:val="008A5847"/>
    <w:rsid w:val="008B0430"/>
    <w:rsid w:val="008B2CC1"/>
    <w:rsid w:val="008B60B2"/>
    <w:rsid w:val="008D0EDE"/>
    <w:rsid w:val="0090731E"/>
    <w:rsid w:val="00916EE2"/>
    <w:rsid w:val="009227F4"/>
    <w:rsid w:val="00966A22"/>
    <w:rsid w:val="0096722F"/>
    <w:rsid w:val="00980843"/>
    <w:rsid w:val="009A207D"/>
    <w:rsid w:val="009E0016"/>
    <w:rsid w:val="009E08A0"/>
    <w:rsid w:val="009E2791"/>
    <w:rsid w:val="009E3F6F"/>
    <w:rsid w:val="009F499F"/>
    <w:rsid w:val="009F4B10"/>
    <w:rsid w:val="00A42DAF"/>
    <w:rsid w:val="00A45BD8"/>
    <w:rsid w:val="00A77D20"/>
    <w:rsid w:val="00A869B7"/>
    <w:rsid w:val="00AB40A2"/>
    <w:rsid w:val="00AC205C"/>
    <w:rsid w:val="00AF0A6B"/>
    <w:rsid w:val="00AF3378"/>
    <w:rsid w:val="00AF76A6"/>
    <w:rsid w:val="00B05A69"/>
    <w:rsid w:val="00B90E96"/>
    <w:rsid w:val="00B94449"/>
    <w:rsid w:val="00B9734B"/>
    <w:rsid w:val="00BA2C52"/>
    <w:rsid w:val="00BA30E2"/>
    <w:rsid w:val="00BE780C"/>
    <w:rsid w:val="00C03B70"/>
    <w:rsid w:val="00C11BFE"/>
    <w:rsid w:val="00CB6E36"/>
    <w:rsid w:val="00CD04F1"/>
    <w:rsid w:val="00CE74F2"/>
    <w:rsid w:val="00D34AD7"/>
    <w:rsid w:val="00D45252"/>
    <w:rsid w:val="00D64EBE"/>
    <w:rsid w:val="00D71B4D"/>
    <w:rsid w:val="00D80B01"/>
    <w:rsid w:val="00D93D55"/>
    <w:rsid w:val="00E270D7"/>
    <w:rsid w:val="00E335FE"/>
    <w:rsid w:val="00EC4E49"/>
    <w:rsid w:val="00ED74B0"/>
    <w:rsid w:val="00ED77FB"/>
    <w:rsid w:val="00EE45FA"/>
    <w:rsid w:val="00EF227F"/>
    <w:rsid w:val="00F66152"/>
    <w:rsid w:val="00F71C21"/>
    <w:rsid w:val="00F8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character" w:customStyle="1" w:styleId="ONUMEChar">
    <w:name w:val="ONUM E Char"/>
    <w:link w:val="ONUME"/>
    <w:rsid w:val="0086744D"/>
    <w:rPr>
      <w:rFonts w:ascii="Arial" w:eastAsia="SimSun" w:hAnsi="Arial" w:cs="Arial"/>
      <w:sz w:val="22"/>
      <w:lang w:eastAsia="zh-CN"/>
    </w:rPr>
  </w:style>
  <w:style w:type="paragraph" w:styleId="NoSpacing">
    <w:name w:val="No Spacing"/>
    <w:uiPriority w:val="1"/>
    <w:qFormat/>
    <w:rsid w:val="00D64EBE"/>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character" w:customStyle="1" w:styleId="ONUMEChar">
    <w:name w:val="ONUM E Char"/>
    <w:link w:val="ONUME"/>
    <w:rsid w:val="0086744D"/>
    <w:rPr>
      <w:rFonts w:ascii="Arial" w:eastAsia="SimSun" w:hAnsi="Arial" w:cs="Arial"/>
      <w:sz w:val="22"/>
      <w:lang w:eastAsia="zh-CN"/>
    </w:rPr>
  </w:style>
  <w:style w:type="paragraph" w:styleId="NoSpacing">
    <w:name w:val="No Spacing"/>
    <w:uiPriority w:val="1"/>
    <w:qFormat/>
    <w:rsid w:val="00D64EB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21595">
      <w:bodyDiv w:val="1"/>
      <w:marLeft w:val="0"/>
      <w:marRight w:val="0"/>
      <w:marTop w:val="0"/>
      <w:marBottom w:val="0"/>
      <w:divBdr>
        <w:top w:val="none" w:sz="0" w:space="0" w:color="auto"/>
        <w:left w:val="none" w:sz="0" w:space="0" w:color="auto"/>
        <w:bottom w:val="none" w:sz="0" w:space="0" w:color="auto"/>
        <w:right w:val="none" w:sz="0" w:space="0" w:color="auto"/>
      </w:divBdr>
      <w:divsChild>
        <w:div w:id="876816948">
          <w:marLeft w:val="0"/>
          <w:marRight w:val="0"/>
          <w:marTop w:val="0"/>
          <w:marBottom w:val="0"/>
          <w:divBdr>
            <w:top w:val="none" w:sz="0" w:space="0" w:color="auto"/>
            <w:left w:val="none" w:sz="0" w:space="0" w:color="auto"/>
            <w:bottom w:val="none" w:sz="0" w:space="0" w:color="auto"/>
            <w:right w:val="none" w:sz="0" w:space="0" w:color="auto"/>
          </w:divBdr>
        </w:div>
        <w:div w:id="655690245">
          <w:marLeft w:val="0"/>
          <w:marRight w:val="0"/>
          <w:marTop w:val="0"/>
          <w:marBottom w:val="0"/>
          <w:divBdr>
            <w:top w:val="none" w:sz="0" w:space="0" w:color="auto"/>
            <w:left w:val="none" w:sz="0" w:space="0" w:color="auto"/>
            <w:bottom w:val="none" w:sz="0" w:space="0" w:color="auto"/>
            <w:right w:val="none" w:sz="0" w:space="0" w:color="auto"/>
          </w:divBdr>
        </w:div>
        <w:div w:id="1510414314">
          <w:marLeft w:val="0"/>
          <w:marRight w:val="0"/>
          <w:marTop w:val="0"/>
          <w:marBottom w:val="0"/>
          <w:divBdr>
            <w:top w:val="none" w:sz="0" w:space="0" w:color="auto"/>
            <w:left w:val="none" w:sz="0" w:space="0" w:color="auto"/>
            <w:bottom w:val="none" w:sz="0" w:space="0" w:color="auto"/>
            <w:right w:val="none" w:sz="0" w:space="0" w:color="auto"/>
          </w:divBdr>
        </w:div>
        <w:div w:id="13073252">
          <w:marLeft w:val="0"/>
          <w:marRight w:val="0"/>
          <w:marTop w:val="0"/>
          <w:marBottom w:val="0"/>
          <w:divBdr>
            <w:top w:val="none" w:sz="0" w:space="0" w:color="auto"/>
            <w:left w:val="none" w:sz="0" w:space="0" w:color="auto"/>
            <w:bottom w:val="none" w:sz="0" w:space="0" w:color="auto"/>
            <w:right w:val="none" w:sz="0" w:space="0" w:color="auto"/>
          </w:divBdr>
        </w:div>
        <w:div w:id="1184855710">
          <w:marLeft w:val="0"/>
          <w:marRight w:val="0"/>
          <w:marTop w:val="0"/>
          <w:marBottom w:val="0"/>
          <w:divBdr>
            <w:top w:val="none" w:sz="0" w:space="0" w:color="auto"/>
            <w:left w:val="none" w:sz="0" w:space="0" w:color="auto"/>
            <w:bottom w:val="none" w:sz="0" w:space="0" w:color="auto"/>
            <w:right w:val="none" w:sz="0" w:space="0" w:color="auto"/>
          </w:divBdr>
        </w:div>
        <w:div w:id="1198591195">
          <w:marLeft w:val="0"/>
          <w:marRight w:val="0"/>
          <w:marTop w:val="0"/>
          <w:marBottom w:val="0"/>
          <w:divBdr>
            <w:top w:val="none" w:sz="0" w:space="0" w:color="auto"/>
            <w:left w:val="none" w:sz="0" w:space="0" w:color="auto"/>
            <w:bottom w:val="none" w:sz="0" w:space="0" w:color="auto"/>
            <w:right w:val="none" w:sz="0" w:space="0" w:color="auto"/>
          </w:divBdr>
        </w:div>
        <w:div w:id="718166897">
          <w:marLeft w:val="0"/>
          <w:marRight w:val="0"/>
          <w:marTop w:val="0"/>
          <w:marBottom w:val="0"/>
          <w:divBdr>
            <w:top w:val="none" w:sz="0" w:space="0" w:color="auto"/>
            <w:left w:val="none" w:sz="0" w:space="0" w:color="auto"/>
            <w:bottom w:val="none" w:sz="0" w:space="0" w:color="auto"/>
            <w:right w:val="none" w:sz="0" w:space="0" w:color="auto"/>
          </w:divBdr>
        </w:div>
        <w:div w:id="525675985">
          <w:marLeft w:val="0"/>
          <w:marRight w:val="0"/>
          <w:marTop w:val="0"/>
          <w:marBottom w:val="0"/>
          <w:divBdr>
            <w:top w:val="none" w:sz="0" w:space="0" w:color="auto"/>
            <w:left w:val="none" w:sz="0" w:space="0" w:color="auto"/>
            <w:bottom w:val="none" w:sz="0" w:space="0" w:color="auto"/>
            <w:right w:val="none" w:sz="0" w:space="0" w:color="auto"/>
          </w:divBdr>
        </w:div>
        <w:div w:id="1287001356">
          <w:marLeft w:val="0"/>
          <w:marRight w:val="0"/>
          <w:marTop w:val="0"/>
          <w:marBottom w:val="0"/>
          <w:divBdr>
            <w:top w:val="none" w:sz="0" w:space="0" w:color="auto"/>
            <w:left w:val="none" w:sz="0" w:space="0" w:color="auto"/>
            <w:bottom w:val="none" w:sz="0" w:space="0" w:color="auto"/>
            <w:right w:val="none" w:sz="0" w:space="0" w:color="auto"/>
          </w:divBdr>
        </w:div>
        <w:div w:id="171726960">
          <w:marLeft w:val="0"/>
          <w:marRight w:val="0"/>
          <w:marTop w:val="0"/>
          <w:marBottom w:val="0"/>
          <w:divBdr>
            <w:top w:val="none" w:sz="0" w:space="0" w:color="auto"/>
            <w:left w:val="none" w:sz="0" w:space="0" w:color="auto"/>
            <w:bottom w:val="none" w:sz="0" w:space="0" w:color="auto"/>
            <w:right w:val="none" w:sz="0" w:space="0" w:color="auto"/>
          </w:divBdr>
        </w:div>
        <w:div w:id="1614241605">
          <w:marLeft w:val="0"/>
          <w:marRight w:val="0"/>
          <w:marTop w:val="0"/>
          <w:marBottom w:val="0"/>
          <w:divBdr>
            <w:top w:val="none" w:sz="0" w:space="0" w:color="auto"/>
            <w:left w:val="none" w:sz="0" w:space="0" w:color="auto"/>
            <w:bottom w:val="none" w:sz="0" w:space="0" w:color="auto"/>
            <w:right w:val="none" w:sz="0" w:space="0" w:color="auto"/>
          </w:divBdr>
        </w:div>
        <w:div w:id="156461696">
          <w:marLeft w:val="0"/>
          <w:marRight w:val="0"/>
          <w:marTop w:val="0"/>
          <w:marBottom w:val="0"/>
          <w:divBdr>
            <w:top w:val="none" w:sz="0" w:space="0" w:color="auto"/>
            <w:left w:val="none" w:sz="0" w:space="0" w:color="auto"/>
            <w:bottom w:val="none" w:sz="0" w:space="0" w:color="auto"/>
            <w:right w:val="none" w:sz="0" w:space="0" w:color="auto"/>
          </w:divBdr>
        </w:div>
        <w:div w:id="1416128315">
          <w:marLeft w:val="0"/>
          <w:marRight w:val="0"/>
          <w:marTop w:val="0"/>
          <w:marBottom w:val="0"/>
          <w:divBdr>
            <w:top w:val="none" w:sz="0" w:space="0" w:color="auto"/>
            <w:left w:val="none" w:sz="0" w:space="0" w:color="auto"/>
            <w:bottom w:val="none" w:sz="0" w:space="0" w:color="auto"/>
            <w:right w:val="none" w:sz="0" w:space="0" w:color="auto"/>
          </w:divBdr>
        </w:div>
        <w:div w:id="1979601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1C7A-7845-49ED-B111-A9FC0385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(E)</Template>
  <TotalTime>1</TotalTime>
  <Pages>3</Pages>
  <Words>944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WO/GA/48/5</vt:lpstr>
    </vt:vector>
  </TitlesOfParts>
  <Company>WIPO</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WO/GA/48/5</dc:title>
  <dc:creator>CILLERO</dc:creator>
  <cp:lastModifiedBy>MARIN-CUDRAZ DAVI Nicoletta</cp:lastModifiedBy>
  <cp:revision>5</cp:revision>
  <cp:lastPrinted>2016-06-01T07:11:00Z</cp:lastPrinted>
  <dcterms:created xsi:type="dcterms:W3CDTF">2016-06-01T07:10:00Z</dcterms:created>
  <dcterms:modified xsi:type="dcterms:W3CDTF">2016-06-01T14:17:00Z</dcterms:modified>
</cp:coreProperties>
</file>