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A5AD3" w:rsidTr="0088395E">
        <w:tc>
          <w:tcPr>
            <w:tcW w:w="4513" w:type="dxa"/>
            <w:tcBorders>
              <w:bottom w:val="single" w:sz="4" w:space="0" w:color="auto"/>
            </w:tcBorders>
            <w:tcMar>
              <w:bottom w:w="170" w:type="dxa"/>
            </w:tcMar>
          </w:tcPr>
          <w:p w:rsidR="00E504E5" w:rsidRPr="006A5AD3" w:rsidRDefault="00E504E5" w:rsidP="00AB613D"/>
        </w:tc>
        <w:tc>
          <w:tcPr>
            <w:tcW w:w="4337" w:type="dxa"/>
            <w:tcBorders>
              <w:bottom w:val="single" w:sz="4" w:space="0" w:color="auto"/>
            </w:tcBorders>
            <w:tcMar>
              <w:left w:w="0" w:type="dxa"/>
              <w:right w:w="0" w:type="dxa"/>
            </w:tcMar>
          </w:tcPr>
          <w:p w:rsidR="00E504E5" w:rsidRPr="006A5AD3" w:rsidRDefault="000B566B" w:rsidP="00AB613D">
            <w:r w:rsidRPr="006A5AD3">
              <w:rPr>
                <w:noProof/>
                <w:lang w:val="en-US" w:eastAsia="en-US"/>
              </w:rPr>
              <w:drawing>
                <wp:inline distT="0" distB="0" distL="0" distR="0" wp14:anchorId="65257E62" wp14:editId="6A6E5EE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A5AD3" w:rsidRDefault="00E504E5" w:rsidP="00AB613D">
            <w:pPr>
              <w:jc w:val="right"/>
            </w:pPr>
            <w:r w:rsidRPr="006A5AD3">
              <w:rPr>
                <w:b/>
                <w:sz w:val="40"/>
                <w:szCs w:val="40"/>
              </w:rPr>
              <w:t>S</w:t>
            </w:r>
          </w:p>
        </w:tc>
      </w:tr>
      <w:tr w:rsidR="008B2CC1" w:rsidRPr="006A5AD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5AD3" w:rsidRDefault="006A5D9E" w:rsidP="00AB613D">
            <w:pPr>
              <w:jc w:val="right"/>
              <w:rPr>
                <w:rFonts w:ascii="Arial Black" w:hAnsi="Arial Black"/>
                <w:caps/>
                <w:sz w:val="15"/>
              </w:rPr>
            </w:pPr>
            <w:r w:rsidRPr="006A5AD3">
              <w:rPr>
                <w:rFonts w:ascii="Arial Black" w:hAnsi="Arial Black"/>
                <w:caps/>
                <w:sz w:val="15"/>
              </w:rPr>
              <w:t>WO/GA/48/</w:t>
            </w:r>
            <w:bookmarkStart w:id="0" w:name="Code"/>
            <w:bookmarkEnd w:id="0"/>
            <w:r w:rsidR="00FF4BD2" w:rsidRPr="006A5AD3">
              <w:rPr>
                <w:rFonts w:ascii="Arial Black" w:hAnsi="Arial Black"/>
                <w:caps/>
                <w:sz w:val="15"/>
              </w:rPr>
              <w:t>4</w:t>
            </w:r>
          </w:p>
        </w:tc>
      </w:tr>
      <w:tr w:rsidR="008B2CC1" w:rsidRPr="006A5AD3" w:rsidTr="00AB613D">
        <w:trPr>
          <w:trHeight w:hRule="exact" w:val="170"/>
        </w:trPr>
        <w:tc>
          <w:tcPr>
            <w:tcW w:w="9356" w:type="dxa"/>
            <w:gridSpan w:val="3"/>
            <w:noWrap/>
            <w:tcMar>
              <w:left w:w="0" w:type="dxa"/>
              <w:right w:w="0" w:type="dxa"/>
            </w:tcMar>
            <w:vAlign w:val="bottom"/>
          </w:tcPr>
          <w:p w:rsidR="008B2CC1" w:rsidRPr="006A5AD3" w:rsidRDefault="008B2CC1" w:rsidP="0046793F">
            <w:pPr>
              <w:jc w:val="right"/>
              <w:rPr>
                <w:rFonts w:ascii="Arial Black" w:hAnsi="Arial Black"/>
                <w:caps/>
                <w:sz w:val="15"/>
              </w:rPr>
            </w:pPr>
            <w:r w:rsidRPr="006A5AD3">
              <w:rPr>
                <w:rFonts w:ascii="Arial Black" w:hAnsi="Arial Black"/>
                <w:caps/>
                <w:sz w:val="15"/>
              </w:rPr>
              <w:t xml:space="preserve">ORIGINAL: </w:t>
            </w:r>
            <w:bookmarkStart w:id="1" w:name="Original"/>
            <w:bookmarkEnd w:id="1"/>
            <w:r w:rsidR="00317300" w:rsidRPr="006A5AD3">
              <w:rPr>
                <w:rFonts w:ascii="Arial Black" w:hAnsi="Arial Black"/>
                <w:caps/>
                <w:sz w:val="15"/>
              </w:rPr>
              <w:t xml:space="preserve"> </w:t>
            </w:r>
            <w:r w:rsidR="00FF4BD2" w:rsidRPr="006A5AD3">
              <w:rPr>
                <w:rFonts w:ascii="Arial Black" w:hAnsi="Arial Black"/>
                <w:caps/>
                <w:sz w:val="15"/>
              </w:rPr>
              <w:t>INGLÉS</w:t>
            </w:r>
          </w:p>
        </w:tc>
      </w:tr>
      <w:tr w:rsidR="008B2CC1" w:rsidRPr="006A5AD3" w:rsidTr="00AB613D">
        <w:trPr>
          <w:trHeight w:hRule="exact" w:val="198"/>
        </w:trPr>
        <w:tc>
          <w:tcPr>
            <w:tcW w:w="9356" w:type="dxa"/>
            <w:gridSpan w:val="3"/>
            <w:tcMar>
              <w:left w:w="0" w:type="dxa"/>
              <w:right w:w="0" w:type="dxa"/>
            </w:tcMar>
            <w:vAlign w:val="bottom"/>
          </w:tcPr>
          <w:p w:rsidR="008B2CC1" w:rsidRPr="006A5AD3" w:rsidRDefault="00675021" w:rsidP="0046793F">
            <w:pPr>
              <w:jc w:val="right"/>
              <w:rPr>
                <w:rFonts w:ascii="Arial Black" w:hAnsi="Arial Black"/>
                <w:caps/>
                <w:sz w:val="15"/>
              </w:rPr>
            </w:pPr>
            <w:r w:rsidRPr="006A5AD3">
              <w:rPr>
                <w:rFonts w:ascii="Arial Black" w:hAnsi="Arial Black"/>
                <w:caps/>
                <w:sz w:val="15"/>
              </w:rPr>
              <w:t>fecha</w:t>
            </w:r>
            <w:r w:rsidR="008B2CC1" w:rsidRPr="006A5AD3">
              <w:rPr>
                <w:rFonts w:ascii="Arial Black" w:hAnsi="Arial Black"/>
                <w:caps/>
                <w:sz w:val="15"/>
              </w:rPr>
              <w:t>:</w:t>
            </w:r>
            <w:r w:rsidR="00317300" w:rsidRPr="006A5AD3">
              <w:rPr>
                <w:rFonts w:ascii="Arial Black" w:hAnsi="Arial Black"/>
                <w:caps/>
                <w:sz w:val="15"/>
              </w:rPr>
              <w:t xml:space="preserve"> </w:t>
            </w:r>
            <w:r w:rsidR="008B2CC1" w:rsidRPr="006A5AD3">
              <w:rPr>
                <w:rFonts w:ascii="Arial Black" w:hAnsi="Arial Black"/>
                <w:caps/>
                <w:sz w:val="15"/>
              </w:rPr>
              <w:t xml:space="preserve"> </w:t>
            </w:r>
            <w:bookmarkStart w:id="2" w:name="Date"/>
            <w:bookmarkEnd w:id="2"/>
            <w:r w:rsidR="00FF4BD2" w:rsidRPr="006A5AD3">
              <w:rPr>
                <w:rFonts w:ascii="Arial Black" w:hAnsi="Arial Black"/>
                <w:caps/>
                <w:sz w:val="15"/>
              </w:rPr>
              <w:t>2 DE AGOSTO DE 2016</w:t>
            </w:r>
          </w:p>
        </w:tc>
      </w:tr>
    </w:tbl>
    <w:p w:rsidR="008B2CC1" w:rsidRPr="006A5AD3" w:rsidRDefault="008B2CC1" w:rsidP="008B2CC1"/>
    <w:p w:rsidR="008B2CC1" w:rsidRPr="006A5AD3" w:rsidRDefault="008B2CC1" w:rsidP="008B2CC1"/>
    <w:p w:rsidR="008B2CC1" w:rsidRPr="006A5AD3" w:rsidRDefault="008B2CC1" w:rsidP="008B2CC1"/>
    <w:p w:rsidR="008B2CC1" w:rsidRPr="006A5AD3" w:rsidRDefault="008B2CC1" w:rsidP="008B2CC1"/>
    <w:p w:rsidR="008B2CC1" w:rsidRPr="006A5AD3" w:rsidRDefault="008B2CC1" w:rsidP="008B2CC1"/>
    <w:p w:rsidR="00B67CDC" w:rsidRPr="006A5AD3" w:rsidRDefault="006A5D9E" w:rsidP="00B67CDC">
      <w:pPr>
        <w:rPr>
          <w:b/>
          <w:sz w:val="28"/>
          <w:szCs w:val="28"/>
        </w:rPr>
      </w:pPr>
      <w:r w:rsidRPr="006A5AD3">
        <w:rPr>
          <w:b/>
          <w:sz w:val="28"/>
          <w:szCs w:val="28"/>
        </w:rPr>
        <w:t>Asamblea General de la OMPI</w:t>
      </w:r>
      <w:r w:rsidR="00B67CDC" w:rsidRPr="006A5AD3">
        <w:rPr>
          <w:b/>
          <w:sz w:val="28"/>
          <w:szCs w:val="28"/>
        </w:rPr>
        <w:t xml:space="preserve"> </w:t>
      </w:r>
    </w:p>
    <w:p w:rsidR="003845C1" w:rsidRPr="006A5AD3" w:rsidRDefault="003845C1" w:rsidP="003845C1"/>
    <w:p w:rsidR="003845C1" w:rsidRPr="006A5AD3" w:rsidRDefault="003845C1" w:rsidP="003845C1"/>
    <w:p w:rsidR="00B67CDC" w:rsidRPr="006A5AD3" w:rsidRDefault="001E712D" w:rsidP="00B67CDC">
      <w:pPr>
        <w:rPr>
          <w:b/>
          <w:sz w:val="24"/>
          <w:szCs w:val="24"/>
        </w:rPr>
      </w:pPr>
      <w:r w:rsidRPr="006A5AD3">
        <w:rPr>
          <w:b/>
          <w:sz w:val="24"/>
          <w:szCs w:val="24"/>
        </w:rPr>
        <w:t>Cuadragésimo octavo período de sesiones (26º extraordinario)</w:t>
      </w:r>
    </w:p>
    <w:p w:rsidR="00B67CDC" w:rsidRPr="006A5AD3" w:rsidRDefault="006A5D9E" w:rsidP="00B67CDC">
      <w:pPr>
        <w:rPr>
          <w:b/>
          <w:sz w:val="24"/>
          <w:szCs w:val="24"/>
        </w:rPr>
      </w:pPr>
      <w:r w:rsidRPr="006A5AD3">
        <w:rPr>
          <w:b/>
          <w:sz w:val="24"/>
          <w:szCs w:val="24"/>
        </w:rPr>
        <w:t>Ginebra, 3 a 11 de octubre de 2016</w:t>
      </w:r>
    </w:p>
    <w:p w:rsidR="008B2CC1" w:rsidRPr="006A5AD3" w:rsidRDefault="008B2CC1" w:rsidP="008B2CC1"/>
    <w:p w:rsidR="008B2CC1" w:rsidRPr="006A5AD3" w:rsidRDefault="008B2CC1" w:rsidP="008B2CC1"/>
    <w:p w:rsidR="008B2CC1" w:rsidRPr="006A5AD3" w:rsidRDefault="008B2CC1" w:rsidP="008B2CC1"/>
    <w:p w:rsidR="00FF4BD2" w:rsidRPr="006A5AD3" w:rsidRDefault="00EE13FB" w:rsidP="00250A45">
      <w:pPr>
        <w:rPr>
          <w:caps/>
          <w:sz w:val="24"/>
          <w:szCs w:val="24"/>
        </w:rPr>
      </w:pPr>
      <w:bookmarkStart w:id="3" w:name="TitleOfDoc"/>
      <w:bookmarkEnd w:id="3"/>
      <w:r w:rsidRPr="006A5AD3">
        <w:rPr>
          <w:sz w:val="24"/>
          <w:szCs w:val="24"/>
        </w:rPr>
        <w:t xml:space="preserve">INFORME </w:t>
      </w:r>
      <w:r w:rsidR="00250A45" w:rsidRPr="006A5AD3">
        <w:rPr>
          <w:sz w:val="24"/>
          <w:szCs w:val="24"/>
        </w:rPr>
        <w:t>DEL</w:t>
      </w:r>
      <w:r w:rsidRPr="006A5AD3">
        <w:rPr>
          <w:sz w:val="24"/>
          <w:szCs w:val="24"/>
        </w:rPr>
        <w:t xml:space="preserve"> COMITÉ PERMANENTE SOBRE EL DERECHO DE PATENTES</w:t>
      </w:r>
      <w:r w:rsidR="00FF4BD2" w:rsidRPr="006A5AD3">
        <w:rPr>
          <w:sz w:val="24"/>
          <w:szCs w:val="24"/>
        </w:rPr>
        <w:t xml:space="preserve"> (SCP)</w:t>
      </w:r>
    </w:p>
    <w:p w:rsidR="00FF4BD2" w:rsidRPr="006A5AD3" w:rsidRDefault="00FF4BD2" w:rsidP="00FF4BD2"/>
    <w:p w:rsidR="00FF4BD2" w:rsidRPr="006A5AD3" w:rsidRDefault="00EE13FB" w:rsidP="00FF4BD2">
      <w:pPr>
        <w:rPr>
          <w:i/>
        </w:rPr>
      </w:pPr>
      <w:bookmarkStart w:id="4" w:name="Prepared"/>
      <w:bookmarkEnd w:id="4"/>
      <w:r w:rsidRPr="006A5AD3">
        <w:rPr>
          <w:i/>
        </w:rPr>
        <w:t>preparado por la Secretaría</w:t>
      </w:r>
    </w:p>
    <w:p w:rsidR="00FF4BD2" w:rsidRPr="006A5AD3" w:rsidRDefault="00FF4BD2" w:rsidP="00FF4BD2"/>
    <w:p w:rsidR="00FF4BD2" w:rsidRPr="006A5AD3" w:rsidRDefault="00FF4BD2" w:rsidP="00FF4BD2">
      <w:pPr>
        <w:rPr>
          <w:color w:val="000000"/>
          <w:szCs w:val="22"/>
        </w:rPr>
      </w:pPr>
    </w:p>
    <w:p w:rsidR="00FF4BD2" w:rsidRPr="006A5AD3" w:rsidRDefault="00FF4BD2" w:rsidP="00FF4BD2">
      <w:pPr>
        <w:rPr>
          <w:color w:val="000000"/>
          <w:szCs w:val="22"/>
        </w:rPr>
      </w:pPr>
    </w:p>
    <w:p w:rsidR="00FF4BD2" w:rsidRPr="006A5AD3" w:rsidRDefault="00FF4BD2" w:rsidP="00FF4BD2">
      <w:pPr>
        <w:rPr>
          <w:color w:val="000000"/>
          <w:szCs w:val="22"/>
        </w:rPr>
      </w:pPr>
    </w:p>
    <w:p w:rsidR="00FF4BD2" w:rsidRPr="006A5AD3" w:rsidRDefault="00FF4BD2" w:rsidP="00CC4583">
      <w:pPr>
        <w:pStyle w:val="ONUME"/>
        <w:numPr>
          <w:ilvl w:val="0"/>
          <w:numId w:val="0"/>
        </w:numPr>
        <w:spacing w:after="0"/>
      </w:pPr>
      <w:r w:rsidRPr="006A5AD3">
        <w:fldChar w:fldCharType="begin"/>
      </w:r>
      <w:r w:rsidRPr="006A5AD3">
        <w:instrText xml:space="preserve"> AUTONUM  </w:instrText>
      </w:r>
      <w:r w:rsidRPr="006A5AD3">
        <w:fldChar w:fldCharType="end"/>
      </w:r>
      <w:r w:rsidRPr="006A5AD3">
        <w:tab/>
      </w:r>
      <w:r w:rsidR="00EE13FB" w:rsidRPr="006A5AD3">
        <w:t xml:space="preserve">Durante el período que se examina, el Comité Permanente sobre el Derecho de Patentes (SCP) celebró dos sesiones, a saber, la </w:t>
      </w:r>
      <w:r w:rsidR="00173CC4" w:rsidRPr="006A5AD3">
        <w:t>vigesimotercera</w:t>
      </w:r>
      <w:r w:rsidR="00EE13FB" w:rsidRPr="006A5AD3">
        <w:t xml:space="preserve"> sesión, de</w:t>
      </w:r>
      <w:r w:rsidR="00CC4583" w:rsidRPr="006A5AD3">
        <w:t>l</w:t>
      </w:r>
      <w:r w:rsidR="00EE13FB" w:rsidRPr="006A5AD3">
        <w:t xml:space="preserve"> 30 de noviembre al 4 de diciembre de 2015, y la </w:t>
      </w:r>
      <w:r w:rsidR="00173CC4" w:rsidRPr="006A5AD3">
        <w:t>vigesimocuarta</w:t>
      </w:r>
      <w:r w:rsidR="00EE13FB" w:rsidRPr="006A5AD3">
        <w:t xml:space="preserve"> sesión, del 27 al 30 de junio de 2016.  Presidió ambas sesiones la Sra. </w:t>
      </w:r>
      <w:r w:rsidRPr="006A5AD3">
        <w:rPr>
          <w:szCs w:val="22"/>
        </w:rPr>
        <w:t>Bucura Ionescu</w:t>
      </w:r>
      <w:r w:rsidR="00EE13FB" w:rsidRPr="006A5AD3">
        <w:rPr>
          <w:szCs w:val="22"/>
        </w:rPr>
        <w:t>, de Rumania</w:t>
      </w:r>
      <w:r w:rsidRPr="006A5AD3">
        <w:rPr>
          <w:szCs w:val="22"/>
        </w:rPr>
        <w:t>.</w:t>
      </w:r>
    </w:p>
    <w:p w:rsidR="00FF4BD2" w:rsidRPr="006A5AD3" w:rsidRDefault="00FF4BD2" w:rsidP="00FF4BD2">
      <w:pPr>
        <w:pStyle w:val="ONUME"/>
        <w:numPr>
          <w:ilvl w:val="0"/>
          <w:numId w:val="0"/>
        </w:numPr>
        <w:spacing w:after="0"/>
      </w:pPr>
    </w:p>
    <w:p w:rsidR="00FF4BD2" w:rsidRPr="006A5AD3" w:rsidRDefault="00FF4BD2" w:rsidP="006F5EE3">
      <w:pPr>
        <w:pStyle w:val="ONUME"/>
        <w:numPr>
          <w:ilvl w:val="0"/>
          <w:numId w:val="0"/>
        </w:numPr>
      </w:pPr>
      <w:r w:rsidRPr="006A5AD3">
        <w:fldChar w:fldCharType="begin"/>
      </w:r>
      <w:r w:rsidRPr="006A5AD3">
        <w:instrText xml:space="preserve"> AUTONUM  </w:instrText>
      </w:r>
      <w:r w:rsidRPr="006A5AD3">
        <w:fldChar w:fldCharType="end"/>
      </w:r>
      <w:r w:rsidRPr="006A5AD3">
        <w:tab/>
      </w:r>
      <w:r w:rsidR="00FF2E3F" w:rsidRPr="006A5AD3">
        <w:t>En esas dos sesiones, el SCP siguió examinando los temas siguientes:</w:t>
      </w:r>
      <w:r w:rsidR="00FF2E3F" w:rsidRPr="006A5AD3">
        <w:rPr>
          <w:rStyle w:val="FootnoteReference"/>
        </w:rPr>
        <w:t xml:space="preserve"> </w:t>
      </w:r>
      <w:r w:rsidR="00FF2E3F" w:rsidRPr="006A5AD3">
        <w:rPr>
          <w:rStyle w:val="FootnoteReference"/>
        </w:rPr>
        <w:footnoteReference w:id="2"/>
      </w:r>
      <w:r w:rsidR="00FF2E3F" w:rsidRPr="006A5AD3">
        <w:t xml:space="preserve">  i) excepciones y limitaciones </w:t>
      </w:r>
      <w:r w:rsidR="005E7125" w:rsidRPr="006A5AD3">
        <w:t>de</w:t>
      </w:r>
      <w:r w:rsidR="00FF2E3F" w:rsidRPr="006A5AD3">
        <w:t xml:space="preserve"> los derechos conferidos por las patentes;  ii) calidad de las patentes, incluidos los sistemas de oposición;  iii) patentes y salud;  iv) confidencialidad de las comunicaciones entre clientes y asesores de patentes;  y v) transferencia de tecnología</w:t>
      </w:r>
      <w:r w:rsidRPr="006A5AD3">
        <w:t xml:space="preserve">.  </w:t>
      </w:r>
    </w:p>
    <w:p w:rsidR="00FF4BD2" w:rsidRPr="006A5AD3" w:rsidRDefault="00FF4BD2" w:rsidP="004644B4">
      <w:pPr>
        <w:pStyle w:val="ONUME"/>
        <w:numPr>
          <w:ilvl w:val="0"/>
          <w:numId w:val="0"/>
        </w:numPr>
      </w:pPr>
      <w:r w:rsidRPr="006A5AD3">
        <w:fldChar w:fldCharType="begin"/>
      </w:r>
      <w:r w:rsidRPr="006A5AD3">
        <w:instrText xml:space="preserve"> AUTONUM  </w:instrText>
      </w:r>
      <w:r w:rsidRPr="006A5AD3">
        <w:fldChar w:fldCharType="end"/>
      </w:r>
      <w:r w:rsidRPr="006A5AD3">
        <w:tab/>
      </w:r>
      <w:r w:rsidR="005E7125" w:rsidRPr="006A5AD3">
        <w:t xml:space="preserve">Los debates de </w:t>
      </w:r>
      <w:r w:rsidR="00250A45" w:rsidRPr="006A5AD3">
        <w:t>ambas</w:t>
      </w:r>
      <w:r w:rsidR="005E7125" w:rsidRPr="006A5AD3">
        <w:t xml:space="preserve"> sesiones se basaron en distintas propuestas presentadas por varias delegaciones y </w:t>
      </w:r>
      <w:r w:rsidR="00C408F2" w:rsidRPr="006A5AD3">
        <w:t xml:space="preserve">en </w:t>
      </w:r>
      <w:r w:rsidR="005E7125" w:rsidRPr="006A5AD3">
        <w:t xml:space="preserve">documentos preparados por la Secretaría.  Las delegaciones examinaron </w:t>
      </w:r>
      <w:r w:rsidR="004644B4" w:rsidRPr="006A5AD3">
        <w:t>dichas</w:t>
      </w:r>
      <w:r w:rsidR="005E7125" w:rsidRPr="006A5AD3">
        <w:t xml:space="preserve"> propuestas y documentos desde varios puntos de vista e intercambiaron sus opiniones y experiencias, lo que les ayudó a entender mejor los distintos temas.  En particular, el seminario sobre la relación entre los sistemas de patentes y, entre otras cuestiones, las dificultades asociadas a la disponibilidad de medicamentos en los p</w:t>
      </w:r>
      <w:r w:rsidR="00063C24">
        <w:t xml:space="preserve">aíses en desarrollo y los </w:t>
      </w:r>
      <w:proofErr w:type="spellStart"/>
      <w:r w:rsidR="00063C24">
        <w:t>PMA</w:t>
      </w:r>
      <w:proofErr w:type="spellEnd"/>
      <w:r w:rsidR="00063C24">
        <w:t>, principalmente</w:t>
      </w:r>
      <w:r w:rsidR="005E7125" w:rsidRPr="006A5AD3">
        <w:t xml:space="preserve"> la</w:t>
      </w:r>
      <w:r w:rsidR="00063C24">
        <w:t>s</w:t>
      </w:r>
      <w:r w:rsidR="005E7125" w:rsidRPr="006A5AD3">
        <w:t xml:space="preserve"> relativas al fomento de la innovación y la transferencia de tecnología necesaria para facilitar en esos países el acceso a los medicamentos genéricos y patentados, así como dos sesiones de información acerca de la evaluación de la actividad inventiva y la protección de la confidencialidad </w:t>
      </w:r>
      <w:r w:rsidR="00063C24">
        <w:t xml:space="preserve">en lo relativo a </w:t>
      </w:r>
      <w:r w:rsidR="005E7125" w:rsidRPr="006A5AD3">
        <w:t>distintos tipos de profesion</w:t>
      </w:r>
      <w:r w:rsidR="00063C24">
        <w:t xml:space="preserve">ales </w:t>
      </w:r>
      <w:r w:rsidR="00063C24">
        <w:lastRenderedPageBreak/>
        <w:t xml:space="preserve">en </w:t>
      </w:r>
      <w:r w:rsidR="005E7125" w:rsidRPr="006A5AD3">
        <w:t xml:space="preserve">el ámbito de las patentes, </w:t>
      </w:r>
      <w:r w:rsidR="00063C24">
        <w:t>brindaron</w:t>
      </w:r>
      <w:r w:rsidR="00C408F2" w:rsidRPr="006A5AD3">
        <w:t xml:space="preserve"> a los Estados miembros una buena oportunidad para intercambiar puntos de vista y experiencias</w:t>
      </w:r>
      <w:r w:rsidR="00063C24">
        <w:t xml:space="preserve"> así como</w:t>
      </w:r>
      <w:r w:rsidR="00C408F2" w:rsidRPr="006A5AD3">
        <w:t xml:space="preserve"> </w:t>
      </w:r>
      <w:r w:rsidR="00250A45" w:rsidRPr="006A5AD3">
        <w:t>comentar</w:t>
      </w:r>
      <w:r w:rsidR="00C408F2" w:rsidRPr="006A5AD3">
        <w:t xml:space="preserve"> problemas y soluciones en cada uno de esos asuntos</w:t>
      </w:r>
      <w:r w:rsidRPr="006A5AD3">
        <w:t xml:space="preserve">.  </w:t>
      </w:r>
    </w:p>
    <w:p w:rsidR="00FF4BD2" w:rsidRPr="006A5AD3" w:rsidRDefault="00FF4BD2" w:rsidP="00250A45">
      <w:pPr>
        <w:rPr>
          <w:rFonts w:eastAsia="MS Mincho"/>
          <w:szCs w:val="22"/>
          <w:lang w:eastAsia="ja-JP"/>
        </w:rPr>
      </w:pPr>
      <w:r w:rsidRPr="006A5AD3">
        <w:fldChar w:fldCharType="begin"/>
      </w:r>
      <w:r w:rsidRPr="006A5AD3">
        <w:instrText xml:space="preserve"> AUTONUM  </w:instrText>
      </w:r>
      <w:r w:rsidRPr="006A5AD3">
        <w:fldChar w:fldCharType="end"/>
      </w:r>
      <w:r w:rsidRPr="006A5AD3">
        <w:tab/>
      </w:r>
      <w:r w:rsidR="00C408F2" w:rsidRPr="006A5AD3">
        <w:t xml:space="preserve">Además, en su </w:t>
      </w:r>
      <w:r w:rsidR="00173CC4" w:rsidRPr="006A5AD3">
        <w:t>vigesimo</w:t>
      </w:r>
      <w:r w:rsidR="00250A45" w:rsidRPr="006A5AD3">
        <w:t>tercera</w:t>
      </w:r>
      <w:r w:rsidR="00C408F2" w:rsidRPr="006A5AD3">
        <w:t xml:space="preserve"> sesión, el Comité celebró debates acerca de las experiencias y estudios de casos prácticos de los Estados miembros sobre la eficacia de las excepciones y las limitaciones y sobre la transferencia de tecnología </w:t>
      </w:r>
      <w:r w:rsidR="00C117BD" w:rsidRPr="006A5AD3">
        <w:t xml:space="preserve">en relación con la suficiencia de la divulgación.  Asimismo, siguió examinando el estudio de viabilidad sobre la divulgación de las denominaciones comunes internacionales (DCI) en las solicitudes de patentes y/o en patentes concedidas.  Por otra parte, en la </w:t>
      </w:r>
      <w:r w:rsidR="00173CC4" w:rsidRPr="006A5AD3">
        <w:t>vigesimocuarta</w:t>
      </w:r>
      <w:r w:rsidR="00C117BD" w:rsidRPr="006A5AD3">
        <w:t xml:space="preserve"> sesión, la Secretaría present</w:t>
      </w:r>
      <w:r w:rsidR="00250A45" w:rsidRPr="006A5AD3">
        <w:t>ó l</w:t>
      </w:r>
      <w:r w:rsidR="00C117BD" w:rsidRPr="006A5AD3">
        <w:t xml:space="preserve">a mejora introducida en un sitio web sobre </w:t>
      </w:r>
      <w:r w:rsidR="00063C24">
        <w:t>la</w:t>
      </w:r>
      <w:r w:rsidR="00C117BD" w:rsidRPr="006A5AD3">
        <w:t xml:space="preserve"> reutilización de </w:t>
      </w:r>
      <w:r w:rsidR="00063C24">
        <w:t xml:space="preserve">los </w:t>
      </w:r>
      <w:r w:rsidR="00C117BD" w:rsidRPr="006A5AD3">
        <w:t>resultados</w:t>
      </w:r>
      <w:r w:rsidR="00063C24">
        <w:t xml:space="preserve"> de la búsqueda y el examen</w:t>
      </w:r>
      <w:r w:rsidR="00C117BD" w:rsidRPr="006A5AD3">
        <w:t xml:space="preserve"> y </w:t>
      </w:r>
      <w:r w:rsidR="00063C24">
        <w:t xml:space="preserve">otras actividades </w:t>
      </w:r>
      <w:r w:rsidR="00C117BD" w:rsidRPr="006A5AD3">
        <w:t>de colaboración</w:t>
      </w:r>
      <w:r w:rsidRPr="006A5AD3">
        <w:rPr>
          <w:rFonts w:eastAsia="MS Mincho"/>
          <w:szCs w:val="22"/>
          <w:lang w:eastAsia="ja-JP"/>
        </w:rPr>
        <w:t xml:space="preserve">. </w:t>
      </w:r>
    </w:p>
    <w:p w:rsidR="00FF4BD2" w:rsidRPr="006A5AD3" w:rsidRDefault="00FF4BD2" w:rsidP="00FF4BD2"/>
    <w:p w:rsidR="00FF4BD2" w:rsidRPr="006A5AD3" w:rsidRDefault="00FF4BD2" w:rsidP="004644B4">
      <w:pPr>
        <w:tabs>
          <w:tab w:val="left" w:pos="567"/>
        </w:tabs>
      </w:pPr>
      <w:r w:rsidRPr="006A5AD3">
        <w:fldChar w:fldCharType="begin"/>
      </w:r>
      <w:r w:rsidRPr="006A5AD3">
        <w:instrText xml:space="preserve"> AUTONUM  </w:instrText>
      </w:r>
      <w:r w:rsidRPr="006A5AD3">
        <w:fldChar w:fldCharType="end"/>
      </w:r>
      <w:r w:rsidRPr="006A5AD3">
        <w:tab/>
      </w:r>
      <w:r w:rsidR="00CC4583" w:rsidRPr="006A5AD3">
        <w:t>El Comité seguirá impulsando su labor a partir del acuerdo sobre su futura labor, alcanzado en su vig</w:t>
      </w:r>
      <w:r w:rsidR="00784671" w:rsidRPr="006A5AD3">
        <w:t>e</w:t>
      </w:r>
      <w:r w:rsidR="00CC4583" w:rsidRPr="006A5AD3">
        <w:t>simocuarta sesión.  El Comité convino en que la lista no exhaustiva de cuestiones seguirá sobre el tapete para seguir elaborándola y discuti</w:t>
      </w:r>
      <w:r w:rsidR="004644B4" w:rsidRPr="006A5AD3">
        <w:t>éndola en su</w:t>
      </w:r>
      <w:r w:rsidR="00CC4583" w:rsidRPr="006A5AD3">
        <w:t xml:space="preserve"> vig</w:t>
      </w:r>
      <w:r w:rsidR="00784671" w:rsidRPr="006A5AD3">
        <w:t>e</w:t>
      </w:r>
      <w:r w:rsidR="00CC4583" w:rsidRPr="006A5AD3">
        <w:t xml:space="preserve">simoquinta sesión.  Además, sin perjuicio de su mandato, el Comité convino en que la labor de su siguiente sesión se limite a la investigación y que no se aspire, en esa etapa, a </w:t>
      </w:r>
      <w:r w:rsidR="00063C24">
        <w:t>abordar la</w:t>
      </w:r>
      <w:r w:rsidR="00CC4583" w:rsidRPr="006A5AD3">
        <w:t xml:space="preserve"> armonización.  </w:t>
      </w:r>
      <w:r w:rsidRPr="006A5AD3">
        <w:t xml:space="preserve">  </w:t>
      </w:r>
    </w:p>
    <w:p w:rsidR="00FF4BD2" w:rsidRPr="006A5AD3" w:rsidRDefault="00FF4BD2" w:rsidP="00FF4BD2"/>
    <w:p w:rsidR="00FF4BD2" w:rsidRPr="006A5AD3" w:rsidRDefault="00FF4BD2" w:rsidP="006F5EE3">
      <w:r w:rsidRPr="006A5AD3">
        <w:fldChar w:fldCharType="begin"/>
      </w:r>
      <w:r w:rsidRPr="006A5AD3">
        <w:instrText xml:space="preserve"> AUTONUM  </w:instrText>
      </w:r>
      <w:r w:rsidRPr="006A5AD3">
        <w:fldChar w:fldCharType="end"/>
      </w:r>
      <w:r w:rsidRPr="006A5AD3">
        <w:tab/>
      </w:r>
      <w:r w:rsidR="00CC4583" w:rsidRPr="006A5AD3">
        <w:t xml:space="preserve">En lo que respecta </w:t>
      </w:r>
      <w:r w:rsidR="006F5EE3" w:rsidRPr="006A5AD3">
        <w:t>al tema</w:t>
      </w:r>
      <w:r w:rsidR="00CC4583" w:rsidRPr="006A5AD3">
        <w:t xml:space="preserve"> “excepciones y limitaciones de los derechos conferidos por las patentes”, el Comité convino en que la Secretaría prepare un documento en el que se recoja la información que deben presentar los miembros y observadores del SCP sobre sus experiencias prácticas </w:t>
      </w:r>
      <w:r w:rsidR="00F16AAD" w:rsidRPr="006A5AD3">
        <w:t>en</w:t>
      </w:r>
      <w:r w:rsidR="00CC4583" w:rsidRPr="006A5AD3">
        <w:t xml:space="preserve"> la eficacia de las </w:t>
      </w:r>
      <w:r w:rsidR="00F26E3E" w:rsidRPr="006A5AD3">
        <w:t>excepciones y las limitaciones</w:t>
      </w:r>
      <w:r w:rsidR="00063C24">
        <w:t>,</w:t>
      </w:r>
      <w:r w:rsidR="00F26E3E" w:rsidRPr="006A5AD3">
        <w:t xml:space="preserve"> y sobre los </w:t>
      </w:r>
      <w:r w:rsidR="00CC4583" w:rsidRPr="006A5AD3">
        <w:t xml:space="preserve">problemas </w:t>
      </w:r>
      <w:r w:rsidR="00F26E3E" w:rsidRPr="006A5AD3">
        <w:t>que se les han planteado en dicho ámbito</w:t>
      </w:r>
      <w:r w:rsidR="00551565" w:rsidRPr="006A5AD3">
        <w:t xml:space="preserve">, en particular, </w:t>
      </w:r>
      <w:r w:rsidR="00F26E3E" w:rsidRPr="006A5AD3">
        <w:t>al tratar</w:t>
      </w:r>
      <w:r w:rsidR="00551565" w:rsidRPr="006A5AD3">
        <w:t xml:space="preserve"> cuestiones de desarrollo.  Asimismo, se celebró una sesión de información entre los Estados miembros sobre estudios de casos prácticos, incluidos casos judiciales, </w:t>
      </w:r>
      <w:r w:rsidR="00F16AAD" w:rsidRPr="006A5AD3">
        <w:t>relativos a</w:t>
      </w:r>
      <w:r w:rsidR="00551565" w:rsidRPr="006A5AD3">
        <w:t xml:space="preserve"> excepciones y </w:t>
      </w:r>
      <w:r w:rsidR="00F16AAD" w:rsidRPr="006A5AD3">
        <w:t>l</w:t>
      </w:r>
      <w:r w:rsidR="00551565" w:rsidRPr="006A5AD3">
        <w:t xml:space="preserve">imitaciones que hayan resultado </w:t>
      </w:r>
      <w:r w:rsidR="00784671" w:rsidRPr="006A5AD3">
        <w:t>eficaces</w:t>
      </w:r>
      <w:r w:rsidR="00551565" w:rsidRPr="006A5AD3">
        <w:t xml:space="preserve"> </w:t>
      </w:r>
      <w:r w:rsidR="00F26E3E" w:rsidRPr="006A5AD3">
        <w:t>en materia</w:t>
      </w:r>
      <w:r w:rsidR="00551565" w:rsidRPr="006A5AD3">
        <w:t xml:space="preserve"> de desarrollo </w:t>
      </w:r>
      <w:r w:rsidR="00F16AAD" w:rsidRPr="006A5AD3">
        <w:t xml:space="preserve">y </w:t>
      </w:r>
      <w:r w:rsidR="00F26E3E" w:rsidRPr="006A5AD3">
        <w:t>de</w:t>
      </w:r>
      <w:r w:rsidR="00F16AAD" w:rsidRPr="006A5AD3">
        <w:t xml:space="preserve"> fortalecimiento</w:t>
      </w:r>
      <w:r w:rsidR="00551565" w:rsidRPr="006A5AD3">
        <w:t xml:space="preserve"> económico.</w:t>
      </w:r>
    </w:p>
    <w:p w:rsidR="00FF4BD2" w:rsidRPr="006A5AD3" w:rsidRDefault="00FF4BD2" w:rsidP="00FF4BD2"/>
    <w:p w:rsidR="00FF4BD2" w:rsidRPr="006A5AD3" w:rsidRDefault="00FF4BD2" w:rsidP="006F5EE3">
      <w:r w:rsidRPr="006A5AD3">
        <w:fldChar w:fldCharType="begin"/>
      </w:r>
      <w:r w:rsidRPr="006A5AD3">
        <w:instrText xml:space="preserve"> AUTONUM  </w:instrText>
      </w:r>
      <w:r w:rsidRPr="006A5AD3">
        <w:fldChar w:fldCharType="end"/>
      </w:r>
      <w:r w:rsidRPr="006A5AD3">
        <w:tab/>
      </w:r>
      <w:r w:rsidR="00DA15DB" w:rsidRPr="006A5AD3">
        <w:t xml:space="preserve">En lo que respecta </w:t>
      </w:r>
      <w:r w:rsidR="006F5EE3" w:rsidRPr="006A5AD3">
        <w:t>al tema</w:t>
      </w:r>
      <w:r w:rsidR="00DA15DB" w:rsidRPr="006A5AD3">
        <w:t xml:space="preserve"> “calidad de las patentes, incluidos los sistemas de oposición”, se decidió que la Secretaría distribuiría un proyecto de cuestionario antes de la </w:t>
      </w:r>
      <w:r w:rsidR="00784671" w:rsidRPr="006A5AD3">
        <w:t>vigesimoquinta</w:t>
      </w:r>
      <w:r w:rsidR="00DA15DB" w:rsidRPr="006A5AD3">
        <w:t xml:space="preserve"> sesión del SCP para recabar la opinión de los Estados miembros y las oficinas </w:t>
      </w:r>
      <w:r w:rsidR="00F26E3E" w:rsidRPr="006A5AD3">
        <w:t xml:space="preserve">regionales </w:t>
      </w:r>
      <w:r w:rsidR="00DA15DB" w:rsidRPr="006A5AD3">
        <w:t xml:space="preserve">de patentes que </w:t>
      </w:r>
      <w:r w:rsidR="00F26E3E" w:rsidRPr="006A5AD3">
        <w:t>comprendería</w:t>
      </w:r>
      <w:r w:rsidR="00DA15DB" w:rsidRPr="006A5AD3">
        <w:t xml:space="preserve"> lo siguiente:  i) qué entiende cada Estado miembro por “</w:t>
      </w:r>
      <w:r w:rsidR="00F26E3E" w:rsidRPr="006A5AD3">
        <w:t xml:space="preserve">la </w:t>
      </w:r>
      <w:r w:rsidR="00DA15DB" w:rsidRPr="006A5AD3">
        <w:t xml:space="preserve">calidad de las patentes”;  y ii) </w:t>
      </w:r>
      <w:r w:rsidR="00730B9D" w:rsidRPr="006A5AD3">
        <w:t>actividades de</w:t>
      </w:r>
      <w:r w:rsidR="00DA15DB" w:rsidRPr="006A5AD3">
        <w:t xml:space="preserve"> cooperación y colaboración entre las oficinas de patentes </w:t>
      </w:r>
      <w:r w:rsidR="004F17AE" w:rsidRPr="006A5AD3">
        <w:t>en lo que respecta a la</w:t>
      </w:r>
      <w:r w:rsidR="00DA15DB" w:rsidRPr="006A5AD3">
        <w:t xml:space="preserve"> búsqueda y examen de solicitudes de patente,</w:t>
      </w:r>
      <w:r w:rsidR="00063C24">
        <w:t xml:space="preserve"> tomando en consideración las</w:t>
      </w:r>
      <w:r w:rsidR="00DA15DB" w:rsidRPr="006A5AD3">
        <w:t xml:space="preserve"> </w:t>
      </w:r>
      <w:r w:rsidR="00730B9D" w:rsidRPr="006A5AD3">
        <w:t>experiencias</w:t>
      </w:r>
      <w:r w:rsidR="00063C24">
        <w:t xml:space="preserve"> adquiridas</w:t>
      </w:r>
      <w:r w:rsidR="00730B9D" w:rsidRPr="006A5AD3">
        <w:t xml:space="preserve"> y sus efectos</w:t>
      </w:r>
      <w:r w:rsidR="00063C24">
        <w:t>,</w:t>
      </w:r>
      <w:r w:rsidR="00730B9D" w:rsidRPr="006A5AD3">
        <w:t xml:space="preserve"> </w:t>
      </w:r>
      <w:r w:rsidR="004F17AE" w:rsidRPr="006A5AD3">
        <w:t>e</w:t>
      </w:r>
      <w:r w:rsidR="00063C24">
        <w:t>l</w:t>
      </w:r>
      <w:r w:rsidR="004F17AE" w:rsidRPr="006A5AD3">
        <w:t xml:space="preserve"> intercambio de</w:t>
      </w:r>
      <w:r w:rsidR="00DA15DB" w:rsidRPr="006A5AD3">
        <w:t xml:space="preserve"> estrategias de búsqueda, </w:t>
      </w:r>
      <w:r w:rsidR="00063C24">
        <w:t xml:space="preserve">las </w:t>
      </w:r>
      <w:r w:rsidR="00DA15DB" w:rsidRPr="006A5AD3">
        <w:t>herramientas para compartir información y</w:t>
      </w:r>
      <w:r w:rsidR="00063C24">
        <w:t xml:space="preserve"> las</w:t>
      </w:r>
      <w:r w:rsidR="00DA15DB" w:rsidRPr="006A5AD3">
        <w:t xml:space="preserve"> necesidades de capacitación en </w:t>
      </w:r>
      <w:r w:rsidR="00730B9D" w:rsidRPr="006A5AD3">
        <w:t>el marco de dichas</w:t>
      </w:r>
      <w:r w:rsidR="00DA15DB" w:rsidRPr="006A5AD3">
        <w:t xml:space="preserve"> </w:t>
      </w:r>
      <w:r w:rsidR="00063C24">
        <w:t xml:space="preserve">actividades de </w:t>
      </w:r>
      <w:r w:rsidR="00DA15DB" w:rsidRPr="006A5AD3">
        <w:t>cooperación y colaboraci</w:t>
      </w:r>
      <w:r w:rsidR="00F704C6" w:rsidRPr="006A5AD3">
        <w:t xml:space="preserve">ón.  La Secretaría </w:t>
      </w:r>
      <w:r w:rsidR="004F17AE" w:rsidRPr="006A5AD3">
        <w:t>presentará</w:t>
      </w:r>
      <w:r w:rsidR="00F704C6" w:rsidRPr="006A5AD3">
        <w:t xml:space="preserve"> la información </w:t>
      </w:r>
      <w:r w:rsidR="004F17AE" w:rsidRPr="006A5AD3">
        <w:t>recabada a partir de</w:t>
      </w:r>
      <w:r w:rsidR="00F704C6" w:rsidRPr="006A5AD3">
        <w:t xml:space="preserve"> las respuestas al cuestionario en la </w:t>
      </w:r>
      <w:r w:rsidR="00173CC4" w:rsidRPr="006A5AD3">
        <w:t>vigesimosexta</w:t>
      </w:r>
      <w:r w:rsidR="00F704C6" w:rsidRPr="006A5AD3">
        <w:t xml:space="preserve"> sesión del SCP.  Además, a partir de los comentarios recibidos de los Estados miembros y de las oficinas regionales de patentes, la Secretaría actualizará la información contenida en el documento SCP/18/4 (sistemas de oposición y otros mecanismos de revocación o invalidación administrativa) y </w:t>
      </w:r>
      <w:r w:rsidR="004F17AE" w:rsidRPr="006A5AD3">
        <w:t xml:space="preserve">la </w:t>
      </w:r>
      <w:r w:rsidR="00F704C6" w:rsidRPr="006A5AD3">
        <w:t xml:space="preserve">publicará en el foro electrónico </w:t>
      </w:r>
      <w:r w:rsidR="002A52E1" w:rsidRPr="006A5AD3">
        <w:t xml:space="preserve">del SCP en un formato más accesible y </w:t>
      </w:r>
      <w:r w:rsidR="004F17AE" w:rsidRPr="006A5AD3">
        <w:t>sencillo</w:t>
      </w:r>
      <w:r w:rsidR="002A52E1" w:rsidRPr="006A5AD3">
        <w:t xml:space="preserve">.  Asimismo, en </w:t>
      </w:r>
      <w:r w:rsidR="004F17AE" w:rsidRPr="006A5AD3">
        <w:t>su siguiente</w:t>
      </w:r>
      <w:r w:rsidR="002A52E1" w:rsidRPr="006A5AD3">
        <w:t xml:space="preserve"> sesión, el Comité celebrará una sesión de información sobre ejemplos y casos relativos a la evaluación de la actividad inventiva, incluidos, entro otros, los temas que se sugieren en el párrafo 8 del documento SCP/24/3</w:t>
      </w:r>
      <w:r w:rsidRPr="006A5AD3">
        <w:t>.</w:t>
      </w:r>
    </w:p>
    <w:p w:rsidR="00FF4BD2" w:rsidRPr="006A5AD3" w:rsidRDefault="00FF4BD2" w:rsidP="00FF4BD2"/>
    <w:bookmarkStart w:id="5" w:name="_GoBack"/>
    <w:bookmarkEnd w:id="5"/>
    <w:p w:rsidR="00FF4BD2" w:rsidRPr="006A5AD3" w:rsidRDefault="00FF4BD2" w:rsidP="006F5EE3">
      <w:r w:rsidRPr="006A5AD3">
        <w:fldChar w:fldCharType="begin"/>
      </w:r>
      <w:r w:rsidRPr="006A5AD3">
        <w:instrText xml:space="preserve"> AUTONUM  </w:instrText>
      </w:r>
      <w:r w:rsidRPr="006A5AD3">
        <w:fldChar w:fldCharType="end"/>
      </w:r>
      <w:r w:rsidRPr="006A5AD3">
        <w:tab/>
      </w:r>
      <w:r w:rsidR="00173CC4" w:rsidRPr="006A5AD3">
        <w:t xml:space="preserve">En lo que respecta al tema “patentes y salud”, se decidió que, en su vigesimoquinta sesión, el Comité </w:t>
      </w:r>
      <w:r w:rsidR="004F17AE" w:rsidRPr="006A5AD3">
        <w:t>celebr</w:t>
      </w:r>
      <w:r w:rsidR="00063C24">
        <w:t>e</w:t>
      </w:r>
      <w:r w:rsidR="00173CC4" w:rsidRPr="006A5AD3">
        <w:t xml:space="preserve"> una sesión de intercambio de experiencias nacionales en la aplicación de flexibilidades en el ámbito de las patentes relacionadas con la salud para impulsar los objetivos de salud pública</w:t>
      </w:r>
      <w:r w:rsidR="00F26E3E" w:rsidRPr="006A5AD3">
        <w:t>,</w:t>
      </w:r>
      <w:r w:rsidR="00173CC4" w:rsidRPr="006A5AD3">
        <w:t xml:space="preserve"> o en las dificultades </w:t>
      </w:r>
      <w:r w:rsidR="00F26E3E" w:rsidRPr="006A5AD3">
        <w:t>que se hayan planteado a ese respecto</w:t>
      </w:r>
      <w:r w:rsidR="00F20512" w:rsidRPr="006A5AD3">
        <w:t>,</w:t>
      </w:r>
      <w:r w:rsidR="00173CC4" w:rsidRPr="006A5AD3">
        <w:t xml:space="preserve"> a fin de analizar las cuestiones que deben examinarse en el estudio que se presentará en la vigesimosexta sesión.  </w:t>
      </w:r>
      <w:r w:rsidR="00F20512" w:rsidRPr="006A5AD3">
        <w:t>El estudio será elaborado por l</w:t>
      </w:r>
      <w:r w:rsidR="00173CC4" w:rsidRPr="006A5AD3">
        <w:t>a Secretaría mediante consulta</w:t>
      </w:r>
      <w:r w:rsidR="00F26E3E" w:rsidRPr="006A5AD3">
        <w:t>s</w:t>
      </w:r>
      <w:r w:rsidR="00173CC4" w:rsidRPr="006A5AD3">
        <w:t xml:space="preserve"> con expertos independientes, la Organización Mundial de la Salud (OMS) y la Organización Mundial del Comercio (OMC)</w:t>
      </w:r>
      <w:r w:rsidR="00F20512" w:rsidRPr="006A5AD3">
        <w:t>,</w:t>
      </w:r>
      <w:r w:rsidR="00173CC4" w:rsidRPr="006A5AD3">
        <w:t xml:space="preserve"> y en él se examinarán las dificultades que han afrontado los </w:t>
      </w:r>
      <w:r w:rsidR="006372FD" w:rsidRPr="006A5AD3">
        <w:t xml:space="preserve">países en desarrollo y los países menos adelantados a la hora de hacer pleno </w:t>
      </w:r>
      <w:r w:rsidR="006372FD" w:rsidRPr="006A5AD3">
        <w:lastRenderedPageBreak/>
        <w:t xml:space="preserve">uso de las flexibilidades en el ámbito de las patentes así como </w:t>
      </w:r>
      <w:r w:rsidR="00F20512" w:rsidRPr="006A5AD3">
        <w:t>su incidencia</w:t>
      </w:r>
      <w:r w:rsidR="006372FD" w:rsidRPr="006A5AD3">
        <w:t xml:space="preserve"> en el acceso</w:t>
      </w:r>
      <w:r w:rsidR="00F20512" w:rsidRPr="006A5AD3">
        <w:t xml:space="preserve"> por tales países</w:t>
      </w:r>
      <w:r w:rsidR="006372FD" w:rsidRPr="006A5AD3">
        <w:t xml:space="preserve"> a medicamentos asequibles y</w:t>
      </w:r>
      <w:r w:rsidR="006612F5" w:rsidRPr="006A5AD3">
        <w:t xml:space="preserve">, </w:t>
      </w:r>
      <w:r w:rsidR="00F26E3E" w:rsidRPr="006A5AD3">
        <w:t>especialmente</w:t>
      </w:r>
      <w:r w:rsidR="006612F5" w:rsidRPr="006A5AD3">
        <w:t>, medicamentos</w:t>
      </w:r>
      <w:r w:rsidR="006372FD" w:rsidRPr="006A5AD3">
        <w:t xml:space="preserve"> esenciales</w:t>
      </w:r>
      <w:r w:rsidR="006612F5" w:rsidRPr="006A5AD3">
        <w:t>,</w:t>
      </w:r>
      <w:r w:rsidR="006372FD" w:rsidRPr="006A5AD3">
        <w:t xml:space="preserve"> </w:t>
      </w:r>
      <w:r w:rsidR="00F20512" w:rsidRPr="006A5AD3">
        <w:t>a los fines de potenciar</w:t>
      </w:r>
      <w:r w:rsidR="006372FD" w:rsidRPr="006A5AD3">
        <w:t xml:space="preserve"> la salud pública.  El SCP decidió asimismo seguir examinando el estudio de viabilidad sobre la divulgación de las </w:t>
      </w:r>
      <w:r w:rsidR="006612F5" w:rsidRPr="006A5AD3">
        <w:t>DCI</w:t>
      </w:r>
      <w:r w:rsidR="006372FD" w:rsidRPr="006A5AD3">
        <w:t xml:space="preserve"> en las solicitudes de patente y en las patentes concedidas (documento SCP/21/9), especialmente si los solicitantes conocen </w:t>
      </w:r>
      <w:r w:rsidR="006612F5" w:rsidRPr="006A5AD3">
        <w:t>tales DCI</w:t>
      </w:r>
      <w:r w:rsidR="006372FD" w:rsidRPr="006A5AD3">
        <w:t xml:space="preserve"> en el momento de presentar la solicitud.  Se invita a l</w:t>
      </w:r>
      <w:r w:rsidR="006612F5" w:rsidRPr="006A5AD3">
        <w:t>os Estados miembros y a las</w:t>
      </w:r>
      <w:r w:rsidR="006372FD" w:rsidRPr="006A5AD3">
        <w:t xml:space="preserve"> oficinas regionales de patentes a que presenten contribuciones para aclarar </w:t>
      </w:r>
      <w:r w:rsidR="006F5EE3" w:rsidRPr="006A5AD3">
        <w:t>tales</w:t>
      </w:r>
      <w:r w:rsidR="006372FD" w:rsidRPr="006A5AD3">
        <w:t xml:space="preserve"> cuestiones y</w:t>
      </w:r>
      <w:r w:rsidR="006612F5" w:rsidRPr="006A5AD3">
        <w:t xml:space="preserve"> manifestar</w:t>
      </w:r>
      <w:r w:rsidR="006372FD" w:rsidRPr="006A5AD3">
        <w:t xml:space="preserve"> sus preocupaciones.  Se invita también a la Secretaría a que </w:t>
      </w:r>
      <w:r w:rsidR="00F20512" w:rsidRPr="006A5AD3">
        <w:t>presente información acerca del proyecto Chemsearch de PATENTSCOPE, cuyo objeto es facilitar la búsqueda de patentes mediante la utilización de las DCI</w:t>
      </w:r>
      <w:r w:rsidRPr="006A5AD3">
        <w:t>.</w:t>
      </w:r>
    </w:p>
    <w:p w:rsidR="00FF4BD2" w:rsidRPr="006A5AD3" w:rsidRDefault="00FF4BD2" w:rsidP="00FF4BD2"/>
    <w:p w:rsidR="00FF4BD2" w:rsidRPr="006A5AD3" w:rsidRDefault="00FF4BD2" w:rsidP="006F5EE3">
      <w:r w:rsidRPr="006A5AD3">
        <w:fldChar w:fldCharType="begin"/>
      </w:r>
      <w:r w:rsidRPr="006A5AD3">
        <w:instrText xml:space="preserve"> AUTONUM  </w:instrText>
      </w:r>
      <w:r w:rsidRPr="006A5AD3">
        <w:fldChar w:fldCharType="end"/>
      </w:r>
      <w:r w:rsidRPr="006A5AD3">
        <w:tab/>
      </w:r>
      <w:r w:rsidR="00F20512" w:rsidRPr="006A5AD3">
        <w:t xml:space="preserve">En lo </w:t>
      </w:r>
      <w:r w:rsidR="00056534" w:rsidRPr="006A5AD3">
        <w:t>que respecta</w:t>
      </w:r>
      <w:r w:rsidR="00F20512" w:rsidRPr="006A5AD3">
        <w:t xml:space="preserve"> </w:t>
      </w:r>
      <w:r w:rsidR="006F5EE3" w:rsidRPr="006A5AD3">
        <w:t>al tema</w:t>
      </w:r>
      <w:r w:rsidR="00F20512" w:rsidRPr="006A5AD3">
        <w:t xml:space="preserve"> “confidencialidad de las comunicaciones entre clientes y asesores de patentes”, el SCP convino en que, a partir de la información recibida de los miembros y observadores del SCP, la Secretaría preparará una compilación de casos judiciales con respecto a los aspectos del secreto profesional </w:t>
      </w:r>
      <w:r w:rsidR="000C4B1B" w:rsidRPr="006A5AD3">
        <w:t>en la relación cliente-asesor</w:t>
      </w:r>
      <w:r w:rsidR="00F20512" w:rsidRPr="006A5AD3">
        <w:t xml:space="preserve"> de patentes, incluida</w:t>
      </w:r>
      <w:r w:rsidR="00056534" w:rsidRPr="006A5AD3">
        <w:t xml:space="preserve">s deficiencias o </w:t>
      </w:r>
      <w:r w:rsidR="00F20512" w:rsidRPr="006A5AD3">
        <w:t xml:space="preserve">dificultades </w:t>
      </w:r>
      <w:r w:rsidR="00056534" w:rsidRPr="006A5AD3">
        <w:t>que se hayan planteado a ese respecto.</w:t>
      </w:r>
    </w:p>
    <w:p w:rsidR="00056534" w:rsidRPr="006A5AD3" w:rsidRDefault="00056534" w:rsidP="00056534"/>
    <w:p w:rsidR="00FF4BD2" w:rsidRPr="006A5AD3" w:rsidRDefault="00FF4BD2" w:rsidP="006F5EE3">
      <w:r w:rsidRPr="006A5AD3">
        <w:fldChar w:fldCharType="begin"/>
      </w:r>
      <w:r w:rsidRPr="006A5AD3">
        <w:instrText xml:space="preserve"> AUTONUM  </w:instrText>
      </w:r>
      <w:r w:rsidRPr="006A5AD3">
        <w:fldChar w:fldCharType="end"/>
      </w:r>
      <w:r w:rsidRPr="006A5AD3">
        <w:tab/>
      </w:r>
      <w:r w:rsidR="00F20512" w:rsidRPr="006A5AD3">
        <w:t xml:space="preserve">En lo que respecta </w:t>
      </w:r>
      <w:r w:rsidR="006F5EE3" w:rsidRPr="006A5AD3">
        <w:t>al tema</w:t>
      </w:r>
      <w:r w:rsidR="00F20512" w:rsidRPr="006A5AD3">
        <w:t xml:space="preserve"> “transferencia de tecnología”, el Comité decidió celebrar una sesión de información sobre la relación entre los sistemas de patentes y la transferencia de tecnología y ejemplos y casos prácticos presentados por expertos de diferentes regiones a fin de que se comprenda mejor la incidencia de la suficiencia de la divulgación en la transferencia de tecnología.  La Secretaría actualizará además el sitio web de la OMPI sobre transferencia de tecnología</w:t>
      </w:r>
      <w:r w:rsidRPr="006A5AD3">
        <w:t>.</w:t>
      </w:r>
    </w:p>
    <w:p w:rsidR="00FF4BD2" w:rsidRPr="006A5AD3" w:rsidRDefault="00FF4BD2" w:rsidP="00FF4BD2"/>
    <w:p w:rsidR="00FF4BD2" w:rsidRPr="006A5AD3" w:rsidRDefault="00FF4BD2" w:rsidP="009E33B3">
      <w:r w:rsidRPr="006A5AD3">
        <w:fldChar w:fldCharType="begin"/>
      </w:r>
      <w:r w:rsidRPr="006A5AD3">
        <w:instrText xml:space="preserve"> AUTONUM  </w:instrText>
      </w:r>
      <w:r w:rsidRPr="006A5AD3">
        <w:fldChar w:fldCharType="end"/>
      </w:r>
      <w:r w:rsidRPr="006A5AD3">
        <w:tab/>
      </w:r>
      <w:r w:rsidR="00F20512" w:rsidRPr="006A5AD3">
        <w:t xml:space="preserve">El Comité </w:t>
      </w:r>
      <w:r w:rsidR="009E33B3" w:rsidRPr="006A5AD3">
        <w:t>convino asimismo en actualizar la información relativa a determinados aspectos de las leyes nacionales y regionales de patentes a partir de los comentarios recibidos de los Estados miembros</w:t>
      </w:r>
      <w:r w:rsidRPr="006A5AD3">
        <w:t xml:space="preserve">.  </w:t>
      </w:r>
    </w:p>
    <w:p w:rsidR="00FF4BD2" w:rsidRPr="006A5AD3" w:rsidRDefault="00FF4BD2" w:rsidP="00FF4BD2"/>
    <w:p w:rsidR="00FF4BD2" w:rsidRPr="006A5AD3" w:rsidRDefault="00FF4BD2" w:rsidP="000C4B1B">
      <w:r w:rsidRPr="006A5AD3">
        <w:fldChar w:fldCharType="begin"/>
      </w:r>
      <w:r w:rsidRPr="006A5AD3">
        <w:instrText xml:space="preserve"> AUTONUM  </w:instrText>
      </w:r>
      <w:r w:rsidRPr="006A5AD3">
        <w:fldChar w:fldCharType="end"/>
      </w:r>
      <w:r w:rsidRPr="006A5AD3">
        <w:tab/>
      </w:r>
      <w:r w:rsidR="008034D6" w:rsidRPr="006A5AD3">
        <w:t>Además, en sus sesiones vigesimotercera y vigesimocuarta, el Comité examinó una propuesta presentada por el Grupo de Países de América Latina y el Caribe (GRULAC)</w:t>
      </w:r>
      <w:r w:rsidR="000C4B1B" w:rsidRPr="006A5AD3">
        <w:t xml:space="preserve">, a saber, </w:t>
      </w:r>
      <w:r w:rsidR="008034D6" w:rsidRPr="006A5AD3">
        <w:t xml:space="preserve">“Revisión de la ley tipo de 1979 de la OMPI para los países en desarrollo sobre invenciones”.  Tras la celebración de algunos debates, el Presidente propuso que </w:t>
      </w:r>
      <w:r w:rsidR="000C4B1B" w:rsidRPr="006A5AD3">
        <w:t>siga</w:t>
      </w:r>
      <w:r w:rsidR="008034D6" w:rsidRPr="006A5AD3">
        <w:t xml:space="preserve"> examinándose el asunto en la siguiente sesión del SCP y que las delegaciones interesadas </w:t>
      </w:r>
      <w:r w:rsidR="000C4B1B" w:rsidRPr="006A5AD3">
        <w:t>presenten</w:t>
      </w:r>
      <w:r w:rsidR="008034D6" w:rsidRPr="006A5AD3">
        <w:t xml:space="preserve"> contribuciones</w:t>
      </w:r>
      <w:r w:rsidRPr="006A5AD3">
        <w:t xml:space="preserve">.  </w:t>
      </w:r>
    </w:p>
    <w:p w:rsidR="00FF4BD2" w:rsidRPr="006A5AD3" w:rsidRDefault="00FF4BD2" w:rsidP="00FF4BD2"/>
    <w:p w:rsidR="008034D6" w:rsidRPr="006A5AD3" w:rsidRDefault="00FF4BD2" w:rsidP="00156886">
      <w:pPr>
        <w:tabs>
          <w:tab w:val="left" w:pos="6096"/>
        </w:tabs>
        <w:ind w:left="5533"/>
        <w:rPr>
          <w:i/>
        </w:rPr>
      </w:pPr>
      <w:r w:rsidRPr="006A5AD3">
        <w:rPr>
          <w:i/>
        </w:rPr>
        <w:fldChar w:fldCharType="begin"/>
      </w:r>
      <w:r w:rsidRPr="006A5AD3">
        <w:rPr>
          <w:i/>
        </w:rPr>
        <w:instrText xml:space="preserve"> AUTONUM  </w:instrText>
      </w:r>
      <w:r w:rsidRPr="006A5AD3">
        <w:rPr>
          <w:i/>
        </w:rPr>
        <w:fldChar w:fldCharType="end"/>
      </w:r>
      <w:r w:rsidRPr="006A5AD3">
        <w:rPr>
          <w:i/>
        </w:rPr>
        <w:tab/>
      </w:r>
      <w:r w:rsidR="008034D6" w:rsidRPr="006A5AD3">
        <w:rPr>
          <w:i/>
        </w:rPr>
        <w:t xml:space="preserve">Se invita a la Asamblea General de la OMPI a tomar nota del “Informe </w:t>
      </w:r>
      <w:r w:rsidR="00F34C65" w:rsidRPr="006A5AD3">
        <w:rPr>
          <w:i/>
        </w:rPr>
        <w:t>del</w:t>
      </w:r>
      <w:r w:rsidR="008034D6" w:rsidRPr="006A5AD3">
        <w:rPr>
          <w:i/>
        </w:rPr>
        <w:t xml:space="preserve"> Comité Permanente sobre el Derecho de Patentes” (documento </w:t>
      </w:r>
    </w:p>
    <w:p w:rsidR="00FF4BD2" w:rsidRPr="006A5AD3" w:rsidRDefault="00FF4BD2" w:rsidP="00FF4BD2">
      <w:pPr>
        <w:ind w:left="5533"/>
        <w:rPr>
          <w:i/>
        </w:rPr>
      </w:pPr>
      <w:r w:rsidRPr="006A5AD3">
        <w:rPr>
          <w:i/>
        </w:rPr>
        <w:t>WO/GA/48/4).</w:t>
      </w:r>
    </w:p>
    <w:p w:rsidR="00FF4BD2" w:rsidRPr="006A5AD3" w:rsidRDefault="00FF4BD2" w:rsidP="00317300"/>
    <w:p w:rsidR="00FF4BD2" w:rsidRPr="006A5AD3" w:rsidRDefault="00FF4BD2" w:rsidP="00317300"/>
    <w:p w:rsidR="00FF4BD2" w:rsidRPr="006A5AD3" w:rsidRDefault="00FF4BD2" w:rsidP="00317300"/>
    <w:p w:rsidR="00152CEA" w:rsidRPr="006A5AD3" w:rsidRDefault="00FF4BD2" w:rsidP="008034D6">
      <w:pPr>
        <w:pStyle w:val="ONUME"/>
        <w:numPr>
          <w:ilvl w:val="0"/>
          <w:numId w:val="0"/>
        </w:numPr>
        <w:ind w:left="5533"/>
      </w:pPr>
      <w:r w:rsidRPr="006A5AD3">
        <w:t>[</w:t>
      </w:r>
      <w:r w:rsidR="008034D6" w:rsidRPr="006A5AD3">
        <w:t>Fin del documento</w:t>
      </w:r>
      <w:r w:rsidRPr="006A5AD3">
        <w:t xml:space="preserve">] </w:t>
      </w:r>
    </w:p>
    <w:sectPr w:rsidR="00152CEA" w:rsidRPr="006A5AD3" w:rsidSect="00FF4BD2">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D2" w:rsidRDefault="00FF4BD2">
      <w:r>
        <w:separator/>
      </w:r>
    </w:p>
  </w:endnote>
  <w:endnote w:type="continuationSeparator" w:id="0">
    <w:p w:rsidR="00FF4BD2" w:rsidRPr="009D30E6" w:rsidRDefault="00FF4BD2" w:rsidP="007E663E">
      <w:pPr>
        <w:rPr>
          <w:sz w:val="17"/>
          <w:szCs w:val="17"/>
        </w:rPr>
      </w:pPr>
      <w:r w:rsidRPr="009D30E6">
        <w:rPr>
          <w:sz w:val="17"/>
          <w:szCs w:val="17"/>
        </w:rPr>
        <w:separator/>
      </w:r>
    </w:p>
    <w:p w:rsidR="00FF4BD2" w:rsidRPr="007E663E" w:rsidRDefault="00FF4BD2" w:rsidP="007E663E">
      <w:pPr>
        <w:spacing w:after="60"/>
        <w:rPr>
          <w:sz w:val="17"/>
          <w:szCs w:val="17"/>
        </w:rPr>
      </w:pPr>
      <w:r>
        <w:rPr>
          <w:sz w:val="17"/>
        </w:rPr>
        <w:t>[Continuación de la nota de la página anterior]</w:t>
      </w:r>
    </w:p>
  </w:endnote>
  <w:endnote w:type="continuationNotice" w:id="1">
    <w:p w:rsidR="00FF4BD2" w:rsidRPr="007E663E" w:rsidRDefault="00FF4BD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D2" w:rsidRDefault="00FF4BD2">
      <w:r>
        <w:separator/>
      </w:r>
    </w:p>
  </w:footnote>
  <w:footnote w:type="continuationSeparator" w:id="0">
    <w:p w:rsidR="00FF4BD2" w:rsidRPr="009D30E6" w:rsidRDefault="00FF4BD2" w:rsidP="007E663E">
      <w:pPr>
        <w:rPr>
          <w:sz w:val="17"/>
          <w:szCs w:val="17"/>
        </w:rPr>
      </w:pPr>
      <w:r w:rsidRPr="009D30E6">
        <w:rPr>
          <w:sz w:val="17"/>
          <w:szCs w:val="17"/>
        </w:rPr>
        <w:separator/>
      </w:r>
    </w:p>
    <w:p w:rsidR="00FF4BD2" w:rsidRPr="007E663E" w:rsidRDefault="00FF4BD2" w:rsidP="007E663E">
      <w:pPr>
        <w:spacing w:after="60"/>
        <w:rPr>
          <w:sz w:val="17"/>
          <w:szCs w:val="17"/>
        </w:rPr>
      </w:pPr>
      <w:r>
        <w:rPr>
          <w:sz w:val="17"/>
        </w:rPr>
        <w:t>[Continuación de la nota de la página anterior]</w:t>
      </w:r>
    </w:p>
  </w:footnote>
  <w:footnote w:type="continuationNotice" w:id="1">
    <w:p w:rsidR="00FF4BD2" w:rsidRPr="007E663E" w:rsidRDefault="00FF4BD2" w:rsidP="007E663E">
      <w:pPr>
        <w:spacing w:before="60"/>
        <w:jc w:val="right"/>
        <w:rPr>
          <w:sz w:val="17"/>
          <w:szCs w:val="17"/>
        </w:rPr>
      </w:pPr>
      <w:r w:rsidRPr="007E663E">
        <w:rPr>
          <w:sz w:val="17"/>
          <w:szCs w:val="17"/>
        </w:rPr>
        <w:t>[Sigue la nota en la página siguiente]</w:t>
      </w:r>
    </w:p>
  </w:footnote>
  <w:footnote w:id="2">
    <w:p w:rsidR="00FF2E3F" w:rsidRPr="00250A45" w:rsidRDefault="00FF2E3F" w:rsidP="004644B4">
      <w:pPr>
        <w:pStyle w:val="FootnoteText"/>
      </w:pPr>
      <w:r w:rsidRPr="00317300">
        <w:rPr>
          <w:rStyle w:val="FootnoteReference"/>
        </w:rPr>
        <w:footnoteRef/>
      </w:r>
      <w:r w:rsidRPr="00250A45">
        <w:t xml:space="preserve"> </w:t>
      </w:r>
      <w:r w:rsidRPr="00250A45">
        <w:tab/>
      </w:r>
      <w:r w:rsidR="00250A45" w:rsidRPr="00250A45">
        <w:t>Los resúmenes de los debates de la vigesimotercera y vigesimocuarta sesiones del SCP se recogen en el “Resumen de la Presidencia”</w:t>
      </w:r>
      <w:r w:rsidRPr="00250A45">
        <w:t xml:space="preserve"> (document</w:t>
      </w:r>
      <w:r w:rsidR="00250A45" w:rsidRPr="00250A45">
        <w:t>o</w:t>
      </w:r>
      <w:r w:rsidRPr="00250A45">
        <w:t xml:space="preserve">s SCP/23/5 </w:t>
      </w:r>
      <w:r w:rsidR="00250A45">
        <w:t>y</w:t>
      </w:r>
      <w:r w:rsidRPr="00250A45">
        <w:t xml:space="preserve"> SCP/24/5), </w:t>
      </w:r>
      <w:r w:rsidR="00250A45">
        <w:t>disponible en</w:t>
      </w:r>
      <w:r w:rsidRPr="00250A45">
        <w:t xml:space="preserve">: </w:t>
      </w:r>
      <w:r w:rsidR="00250A45" w:rsidRPr="00250A45">
        <w:t>http://www.wipo.int/meetings/es/doc_details.jsp?doc_id=323086</w:t>
      </w:r>
      <w:r w:rsidRPr="00250A45">
        <w:t xml:space="preserve"> </w:t>
      </w:r>
      <w:r w:rsidR="00250A45">
        <w:t>y</w:t>
      </w:r>
      <w:r w:rsidRPr="00250A45">
        <w:t xml:space="preserve"> http://www.wipo.int/meetings/e</w:t>
      </w:r>
      <w:r w:rsidR="00250A45">
        <w:t>s</w:t>
      </w:r>
      <w:r w:rsidRPr="00250A45">
        <w:t xml:space="preserve">/doc_details.jsp?doc_id=342596, </w:t>
      </w:r>
      <w:r w:rsidR="00250A45">
        <w:t>respectivamente</w:t>
      </w:r>
      <w:r w:rsidRPr="00250A4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F4BD2" w:rsidP="00477D6B">
    <w:pPr>
      <w:jc w:val="right"/>
    </w:pPr>
    <w:bookmarkStart w:id="6" w:name="Code2"/>
    <w:bookmarkEnd w:id="6"/>
    <w:r>
      <w:t>WO/GA/48/4</w:t>
    </w:r>
  </w:p>
  <w:p w:rsidR="00AE7F20" w:rsidRDefault="00AE7F20" w:rsidP="00477D6B">
    <w:pPr>
      <w:jc w:val="right"/>
    </w:pPr>
    <w:r>
      <w:t xml:space="preserve">página </w:t>
    </w:r>
    <w:r>
      <w:fldChar w:fldCharType="begin"/>
    </w:r>
    <w:r>
      <w:instrText xml:space="preserve"> PAGE  \* MERGEFORMAT </w:instrText>
    </w:r>
    <w:r>
      <w:fldChar w:fldCharType="separate"/>
    </w:r>
    <w:r w:rsidR="00156886">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D2"/>
    <w:rsid w:val="00010686"/>
    <w:rsid w:val="00052915"/>
    <w:rsid w:val="00056534"/>
    <w:rsid w:val="00063C24"/>
    <w:rsid w:val="000B566B"/>
    <w:rsid w:val="000C4B1B"/>
    <w:rsid w:val="000E3BB3"/>
    <w:rsid w:val="000F5E56"/>
    <w:rsid w:val="001362EE"/>
    <w:rsid w:val="00152CEA"/>
    <w:rsid w:val="00156886"/>
    <w:rsid w:val="00173CC4"/>
    <w:rsid w:val="001832A6"/>
    <w:rsid w:val="001E712D"/>
    <w:rsid w:val="00250A45"/>
    <w:rsid w:val="002634C4"/>
    <w:rsid w:val="002A52E1"/>
    <w:rsid w:val="002E0F47"/>
    <w:rsid w:val="002E6005"/>
    <w:rsid w:val="002F4E68"/>
    <w:rsid w:val="00317300"/>
    <w:rsid w:val="00354647"/>
    <w:rsid w:val="00377273"/>
    <w:rsid w:val="003845C1"/>
    <w:rsid w:val="00387287"/>
    <w:rsid w:val="003E48F1"/>
    <w:rsid w:val="003F347A"/>
    <w:rsid w:val="00423E3E"/>
    <w:rsid w:val="00427AF4"/>
    <w:rsid w:val="0045231F"/>
    <w:rsid w:val="004644B4"/>
    <w:rsid w:val="004647DA"/>
    <w:rsid w:val="0046793F"/>
    <w:rsid w:val="00477808"/>
    <w:rsid w:val="00477D6B"/>
    <w:rsid w:val="004A6C37"/>
    <w:rsid w:val="004E297D"/>
    <w:rsid w:val="004F17AE"/>
    <w:rsid w:val="00531B02"/>
    <w:rsid w:val="005332F0"/>
    <w:rsid w:val="0055013B"/>
    <w:rsid w:val="00551565"/>
    <w:rsid w:val="00571B99"/>
    <w:rsid w:val="005E7125"/>
    <w:rsid w:val="00605827"/>
    <w:rsid w:val="006372FD"/>
    <w:rsid w:val="006612F5"/>
    <w:rsid w:val="00675021"/>
    <w:rsid w:val="006A06C6"/>
    <w:rsid w:val="006A5AD3"/>
    <w:rsid w:val="006A5D9E"/>
    <w:rsid w:val="006F5EE3"/>
    <w:rsid w:val="00702C63"/>
    <w:rsid w:val="007224C8"/>
    <w:rsid w:val="00730B9D"/>
    <w:rsid w:val="00784671"/>
    <w:rsid w:val="00794BE2"/>
    <w:rsid w:val="007B71FE"/>
    <w:rsid w:val="007D781E"/>
    <w:rsid w:val="007E663E"/>
    <w:rsid w:val="008034D6"/>
    <w:rsid w:val="00815082"/>
    <w:rsid w:val="0088395E"/>
    <w:rsid w:val="008B2CC1"/>
    <w:rsid w:val="008E6BD6"/>
    <w:rsid w:val="0090731E"/>
    <w:rsid w:val="00966A22"/>
    <w:rsid w:val="00972F03"/>
    <w:rsid w:val="009A0C8B"/>
    <w:rsid w:val="009B6241"/>
    <w:rsid w:val="009E33B3"/>
    <w:rsid w:val="00A16FC0"/>
    <w:rsid w:val="00A32C9E"/>
    <w:rsid w:val="00AB613D"/>
    <w:rsid w:val="00AE7F20"/>
    <w:rsid w:val="00B65A0A"/>
    <w:rsid w:val="00B67CDC"/>
    <w:rsid w:val="00B72D36"/>
    <w:rsid w:val="00BC4164"/>
    <w:rsid w:val="00BD2DCC"/>
    <w:rsid w:val="00BF1098"/>
    <w:rsid w:val="00C117BD"/>
    <w:rsid w:val="00C408F2"/>
    <w:rsid w:val="00C90559"/>
    <w:rsid w:val="00CA2251"/>
    <w:rsid w:val="00CC4583"/>
    <w:rsid w:val="00D56C7C"/>
    <w:rsid w:val="00D71B4D"/>
    <w:rsid w:val="00D90289"/>
    <w:rsid w:val="00D93D55"/>
    <w:rsid w:val="00DA15DB"/>
    <w:rsid w:val="00DC4C60"/>
    <w:rsid w:val="00E0079A"/>
    <w:rsid w:val="00E444DA"/>
    <w:rsid w:val="00E45C84"/>
    <w:rsid w:val="00E504E5"/>
    <w:rsid w:val="00EB7A3E"/>
    <w:rsid w:val="00EC401A"/>
    <w:rsid w:val="00EE13FB"/>
    <w:rsid w:val="00EF530A"/>
    <w:rsid w:val="00EF6622"/>
    <w:rsid w:val="00F16AAD"/>
    <w:rsid w:val="00F20512"/>
    <w:rsid w:val="00F26E3E"/>
    <w:rsid w:val="00F34C65"/>
    <w:rsid w:val="00F55408"/>
    <w:rsid w:val="00F66152"/>
    <w:rsid w:val="00F704C6"/>
    <w:rsid w:val="00F80845"/>
    <w:rsid w:val="00F84474"/>
    <w:rsid w:val="00FA0F0D"/>
    <w:rsid w:val="00FC0726"/>
    <w:rsid w:val="00FD59D1"/>
    <w:rsid w:val="00FF2E3F"/>
    <w:rsid w:val="00FF4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rsid w:val="00FF4BD2"/>
    <w:rPr>
      <w:rFonts w:ascii="Arial" w:eastAsia="SimSun" w:hAnsi="Arial" w:cs="Arial"/>
      <w:sz w:val="22"/>
      <w:lang w:val="es-ES" w:eastAsia="zh-CN"/>
    </w:rPr>
  </w:style>
  <w:style w:type="character" w:styleId="FootnoteReference">
    <w:name w:val="footnote reference"/>
    <w:basedOn w:val="DefaultParagraphFont"/>
    <w:uiPriority w:val="99"/>
    <w:rsid w:val="00FF4B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rsid w:val="00FF4BD2"/>
    <w:rPr>
      <w:rFonts w:ascii="Arial" w:eastAsia="SimSun" w:hAnsi="Arial" w:cs="Arial"/>
      <w:sz w:val="22"/>
      <w:lang w:val="es-ES" w:eastAsia="zh-CN"/>
    </w:rPr>
  </w:style>
  <w:style w:type="character" w:styleId="FootnoteReference">
    <w:name w:val="footnote reference"/>
    <w:basedOn w:val="DefaultParagraphFont"/>
    <w:uiPriority w:val="99"/>
    <w:rsid w:val="00FF4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6BAC-7843-40A0-A64D-0B6B9AB6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(S).dotm</Template>
  <TotalTime>13</TotalTime>
  <Pages>3</Pages>
  <Words>1389</Words>
  <Characters>7674</Characters>
  <Application>Microsoft Office Word</Application>
  <DocSecurity>0</DocSecurity>
  <Lines>590</Lines>
  <Paragraphs>348</Paragraphs>
  <ScaleCrop>false</ScaleCrop>
  <HeadingPairs>
    <vt:vector size="2" baseType="variant">
      <vt:variant>
        <vt:lpstr>Title</vt:lpstr>
      </vt:variant>
      <vt:variant>
        <vt:i4>1</vt:i4>
      </vt:variant>
    </vt:vector>
  </HeadingPairs>
  <TitlesOfParts>
    <vt:vector size="1" baseType="lpstr">
      <vt:lpstr>WO/GA/48/4</vt:lpstr>
    </vt:vector>
  </TitlesOfParts>
  <Company>WIPO</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WO/GA/48/4</dc:title>
  <dc:creator>DIAZ DE ATAURI MATAMALA Inés</dc:creator>
  <dc:description>ID - 15/7/2016</dc:description>
  <cp:lastModifiedBy>HALLER Mario</cp:lastModifiedBy>
  <cp:revision>3</cp:revision>
  <cp:lastPrinted>2016-07-15T13:26:00Z</cp:lastPrinted>
  <dcterms:created xsi:type="dcterms:W3CDTF">2016-07-15T15:17:00Z</dcterms:created>
  <dcterms:modified xsi:type="dcterms:W3CDTF">2016-07-15T15:58:00Z</dcterms:modified>
</cp:coreProperties>
</file>