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438E8" w:rsidTr="00A7453D">
        <w:tc>
          <w:tcPr>
            <w:tcW w:w="4513" w:type="dxa"/>
            <w:tcBorders>
              <w:bottom w:val="single" w:sz="4" w:space="0" w:color="auto"/>
            </w:tcBorders>
            <w:tcMar>
              <w:bottom w:w="170" w:type="dxa"/>
            </w:tcMar>
          </w:tcPr>
          <w:p w:rsidR="00E504E5" w:rsidRPr="00D438E8" w:rsidRDefault="00E504E5" w:rsidP="00AB613D">
            <w:pPr>
              <w:rPr>
                <w:lang w:val="es-ES_tradnl"/>
              </w:rPr>
            </w:pPr>
          </w:p>
        </w:tc>
        <w:tc>
          <w:tcPr>
            <w:tcW w:w="4337" w:type="dxa"/>
            <w:tcBorders>
              <w:bottom w:val="single" w:sz="4" w:space="0" w:color="auto"/>
            </w:tcBorders>
            <w:tcMar>
              <w:left w:w="0" w:type="dxa"/>
              <w:right w:w="0" w:type="dxa"/>
            </w:tcMar>
          </w:tcPr>
          <w:p w:rsidR="00E504E5" w:rsidRPr="00D438E8" w:rsidRDefault="00EF104E" w:rsidP="00AB613D">
            <w:pPr>
              <w:rPr>
                <w:lang w:val="es-ES_tradnl"/>
              </w:rPr>
            </w:pPr>
            <w:r w:rsidRPr="00D438E8">
              <w:rPr>
                <w:noProof/>
                <w:lang w:val="en-US" w:eastAsia="en-US"/>
              </w:rPr>
              <w:drawing>
                <wp:inline distT="0" distB="0" distL="0" distR="0" wp14:anchorId="4434131E" wp14:editId="1CCE48B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438E8" w:rsidRDefault="00E504E5" w:rsidP="00AB613D">
            <w:pPr>
              <w:jc w:val="right"/>
              <w:rPr>
                <w:lang w:val="es-ES_tradnl"/>
              </w:rPr>
            </w:pPr>
            <w:r w:rsidRPr="00D438E8">
              <w:rPr>
                <w:b/>
                <w:sz w:val="40"/>
                <w:szCs w:val="40"/>
                <w:lang w:val="es-ES_tradnl"/>
              </w:rPr>
              <w:t>S</w:t>
            </w:r>
          </w:p>
        </w:tc>
      </w:tr>
      <w:tr w:rsidR="008B2CC1" w:rsidRPr="00D438E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438E8" w:rsidRDefault="003C7E59" w:rsidP="00750886">
            <w:pPr>
              <w:jc w:val="right"/>
              <w:rPr>
                <w:rFonts w:ascii="Arial Black" w:hAnsi="Arial Black"/>
                <w:caps/>
                <w:sz w:val="15"/>
                <w:lang w:val="es-ES_tradnl"/>
              </w:rPr>
            </w:pPr>
            <w:r w:rsidRPr="00D438E8">
              <w:rPr>
                <w:rFonts w:ascii="Arial Black" w:hAnsi="Arial Black"/>
                <w:caps/>
                <w:sz w:val="15"/>
                <w:lang w:val="es-ES_tradnl"/>
              </w:rPr>
              <w:t>WO/GA/47/</w:t>
            </w:r>
            <w:bookmarkStart w:id="0" w:name="Code"/>
            <w:bookmarkEnd w:id="0"/>
            <w:r w:rsidR="00395138" w:rsidRPr="00D438E8">
              <w:rPr>
                <w:rFonts w:ascii="Arial Black" w:hAnsi="Arial Black"/>
                <w:caps/>
                <w:sz w:val="15"/>
                <w:lang w:val="es-ES_tradnl"/>
              </w:rPr>
              <w:t>11</w:t>
            </w:r>
          </w:p>
        </w:tc>
      </w:tr>
      <w:tr w:rsidR="008B2CC1" w:rsidRPr="00D438E8" w:rsidTr="00AB613D">
        <w:trPr>
          <w:trHeight w:hRule="exact" w:val="170"/>
        </w:trPr>
        <w:tc>
          <w:tcPr>
            <w:tcW w:w="9356" w:type="dxa"/>
            <w:gridSpan w:val="3"/>
            <w:noWrap/>
            <w:tcMar>
              <w:left w:w="0" w:type="dxa"/>
              <w:right w:w="0" w:type="dxa"/>
            </w:tcMar>
            <w:vAlign w:val="bottom"/>
          </w:tcPr>
          <w:p w:rsidR="008B2CC1" w:rsidRPr="00D438E8" w:rsidRDefault="008B2CC1" w:rsidP="00750886">
            <w:pPr>
              <w:jc w:val="right"/>
              <w:rPr>
                <w:rFonts w:ascii="Arial Black" w:hAnsi="Arial Black"/>
                <w:caps/>
                <w:sz w:val="15"/>
                <w:lang w:val="es-ES_tradnl"/>
              </w:rPr>
            </w:pPr>
            <w:r w:rsidRPr="00D438E8">
              <w:rPr>
                <w:rFonts w:ascii="Arial Black" w:hAnsi="Arial Black"/>
                <w:caps/>
                <w:sz w:val="15"/>
                <w:lang w:val="es-ES_tradnl"/>
              </w:rPr>
              <w:t>ORIGINAL:</w:t>
            </w:r>
            <w:r w:rsidR="00F84474" w:rsidRPr="00D438E8">
              <w:rPr>
                <w:rFonts w:ascii="Arial Black" w:hAnsi="Arial Black"/>
                <w:caps/>
                <w:sz w:val="15"/>
                <w:lang w:val="es-ES_tradnl"/>
              </w:rPr>
              <w:t xml:space="preserve"> </w:t>
            </w:r>
            <w:r w:rsidRPr="00D438E8">
              <w:rPr>
                <w:rFonts w:ascii="Arial Black" w:hAnsi="Arial Black"/>
                <w:caps/>
                <w:sz w:val="15"/>
                <w:lang w:val="es-ES_tradnl"/>
              </w:rPr>
              <w:t xml:space="preserve"> </w:t>
            </w:r>
            <w:bookmarkStart w:id="1" w:name="Original"/>
            <w:bookmarkEnd w:id="1"/>
            <w:r w:rsidR="00395138" w:rsidRPr="00D438E8">
              <w:rPr>
                <w:rFonts w:ascii="Arial Black" w:hAnsi="Arial Black"/>
                <w:caps/>
                <w:sz w:val="15"/>
                <w:lang w:val="es-ES_tradnl"/>
              </w:rPr>
              <w:t>INGLÉS</w:t>
            </w:r>
          </w:p>
        </w:tc>
      </w:tr>
      <w:tr w:rsidR="008B2CC1" w:rsidRPr="00D438E8" w:rsidTr="00AB613D">
        <w:trPr>
          <w:trHeight w:hRule="exact" w:val="198"/>
        </w:trPr>
        <w:tc>
          <w:tcPr>
            <w:tcW w:w="9356" w:type="dxa"/>
            <w:gridSpan w:val="3"/>
            <w:tcMar>
              <w:left w:w="0" w:type="dxa"/>
              <w:right w:w="0" w:type="dxa"/>
            </w:tcMar>
            <w:vAlign w:val="bottom"/>
          </w:tcPr>
          <w:p w:rsidR="008B2CC1" w:rsidRPr="00D438E8" w:rsidRDefault="00675021" w:rsidP="00750886">
            <w:pPr>
              <w:jc w:val="right"/>
              <w:rPr>
                <w:rFonts w:ascii="Arial Black" w:hAnsi="Arial Black"/>
                <w:caps/>
                <w:sz w:val="15"/>
                <w:lang w:val="es-ES_tradnl"/>
              </w:rPr>
            </w:pPr>
            <w:r w:rsidRPr="00D438E8">
              <w:rPr>
                <w:rFonts w:ascii="Arial Black" w:hAnsi="Arial Black"/>
                <w:caps/>
                <w:sz w:val="15"/>
                <w:lang w:val="es-ES_tradnl"/>
              </w:rPr>
              <w:t>fecha</w:t>
            </w:r>
            <w:r w:rsidR="008B2CC1" w:rsidRPr="00D438E8">
              <w:rPr>
                <w:rFonts w:ascii="Arial Black" w:hAnsi="Arial Black"/>
                <w:caps/>
                <w:sz w:val="15"/>
                <w:lang w:val="es-ES_tradnl"/>
              </w:rPr>
              <w:t>:</w:t>
            </w:r>
            <w:r w:rsidR="00F84474" w:rsidRPr="00D438E8">
              <w:rPr>
                <w:rFonts w:ascii="Arial Black" w:hAnsi="Arial Black"/>
                <w:caps/>
                <w:sz w:val="15"/>
                <w:lang w:val="es-ES_tradnl"/>
              </w:rPr>
              <w:t xml:space="preserve"> </w:t>
            </w:r>
            <w:r w:rsidR="008B2CC1" w:rsidRPr="00D438E8">
              <w:rPr>
                <w:rFonts w:ascii="Arial Black" w:hAnsi="Arial Black"/>
                <w:caps/>
                <w:sz w:val="15"/>
                <w:lang w:val="es-ES_tradnl"/>
              </w:rPr>
              <w:t xml:space="preserve"> </w:t>
            </w:r>
            <w:bookmarkStart w:id="2" w:name="Date"/>
            <w:bookmarkEnd w:id="2"/>
            <w:r w:rsidR="00750886" w:rsidRPr="00D438E8">
              <w:rPr>
                <w:rFonts w:ascii="Arial Black" w:hAnsi="Arial Black"/>
                <w:caps/>
                <w:sz w:val="15"/>
                <w:lang w:val="es-ES_tradnl"/>
              </w:rPr>
              <w:t>7 DE JULIO DE 2015</w:t>
            </w:r>
          </w:p>
        </w:tc>
      </w:tr>
    </w:tbl>
    <w:p w:rsidR="008B2CC1" w:rsidRPr="00D438E8" w:rsidRDefault="008B2CC1" w:rsidP="008B2CC1">
      <w:pPr>
        <w:rPr>
          <w:lang w:val="es-ES_tradnl"/>
        </w:rPr>
      </w:pPr>
    </w:p>
    <w:p w:rsidR="008B2CC1" w:rsidRPr="00D438E8" w:rsidRDefault="008B2CC1" w:rsidP="008B2CC1">
      <w:pPr>
        <w:rPr>
          <w:lang w:val="es-ES_tradnl"/>
        </w:rPr>
      </w:pPr>
    </w:p>
    <w:p w:rsidR="008B2CC1" w:rsidRPr="00D438E8" w:rsidRDefault="008B2CC1" w:rsidP="008B2CC1">
      <w:pPr>
        <w:rPr>
          <w:lang w:val="es-ES_tradnl"/>
        </w:rPr>
      </w:pPr>
    </w:p>
    <w:p w:rsidR="008B2CC1" w:rsidRPr="00D438E8" w:rsidRDefault="008B2CC1" w:rsidP="008B2CC1">
      <w:pPr>
        <w:rPr>
          <w:lang w:val="es-ES_tradnl"/>
        </w:rPr>
      </w:pPr>
    </w:p>
    <w:p w:rsidR="008B2CC1" w:rsidRPr="00D438E8" w:rsidRDefault="008B2CC1" w:rsidP="008B2CC1">
      <w:pPr>
        <w:rPr>
          <w:lang w:val="es-ES_tradnl"/>
        </w:rPr>
      </w:pPr>
    </w:p>
    <w:p w:rsidR="008B2CC1" w:rsidRPr="00D438E8" w:rsidRDefault="003C7E59" w:rsidP="008B2CC1">
      <w:pPr>
        <w:rPr>
          <w:b/>
          <w:sz w:val="28"/>
          <w:szCs w:val="28"/>
          <w:lang w:val="es-ES_tradnl"/>
        </w:rPr>
      </w:pPr>
      <w:r w:rsidRPr="00D438E8">
        <w:rPr>
          <w:b/>
          <w:sz w:val="28"/>
          <w:szCs w:val="28"/>
          <w:lang w:val="es-ES_tradnl"/>
        </w:rPr>
        <w:t>Asamblea General de Ia OMPI</w:t>
      </w:r>
      <w:r w:rsidR="00D90289" w:rsidRPr="00D438E8">
        <w:rPr>
          <w:b/>
          <w:sz w:val="28"/>
          <w:szCs w:val="28"/>
          <w:lang w:val="es-ES_tradnl"/>
        </w:rPr>
        <w:t xml:space="preserve"> </w:t>
      </w:r>
    </w:p>
    <w:p w:rsidR="003845C1" w:rsidRPr="00D438E8" w:rsidRDefault="003845C1" w:rsidP="003845C1">
      <w:pPr>
        <w:rPr>
          <w:lang w:val="es-ES_tradnl"/>
        </w:rPr>
      </w:pPr>
    </w:p>
    <w:p w:rsidR="001C4DD3" w:rsidRPr="00D438E8" w:rsidRDefault="001C4DD3" w:rsidP="003845C1">
      <w:pPr>
        <w:rPr>
          <w:lang w:val="es-ES_tradnl"/>
        </w:rPr>
      </w:pPr>
    </w:p>
    <w:p w:rsidR="003C7E59" w:rsidRPr="00D438E8" w:rsidRDefault="003C7E59" w:rsidP="003C7E59">
      <w:pPr>
        <w:rPr>
          <w:b/>
          <w:sz w:val="24"/>
          <w:szCs w:val="24"/>
          <w:lang w:val="es-ES_tradnl"/>
        </w:rPr>
      </w:pPr>
      <w:r w:rsidRPr="00D438E8">
        <w:rPr>
          <w:b/>
          <w:sz w:val="24"/>
          <w:szCs w:val="24"/>
          <w:lang w:val="es-ES_tradnl"/>
        </w:rPr>
        <w:t>Cuadragésimo séptimo periodo de sesiones (22° ordinari</w:t>
      </w:r>
      <w:r w:rsidR="001B06FB" w:rsidRPr="00D438E8">
        <w:rPr>
          <w:b/>
          <w:sz w:val="24"/>
          <w:szCs w:val="24"/>
          <w:lang w:val="es-ES_tradnl"/>
        </w:rPr>
        <w:t>o</w:t>
      </w:r>
      <w:r w:rsidRPr="00D438E8">
        <w:rPr>
          <w:b/>
          <w:sz w:val="24"/>
          <w:szCs w:val="24"/>
          <w:lang w:val="es-ES_tradnl"/>
        </w:rPr>
        <w:t>)</w:t>
      </w:r>
    </w:p>
    <w:p w:rsidR="008B2CC1" w:rsidRPr="00D438E8" w:rsidRDefault="003C7E59" w:rsidP="003C7E59">
      <w:pPr>
        <w:rPr>
          <w:b/>
          <w:sz w:val="24"/>
          <w:szCs w:val="24"/>
          <w:lang w:val="es-ES_tradnl"/>
        </w:rPr>
      </w:pPr>
      <w:r w:rsidRPr="00D438E8">
        <w:rPr>
          <w:b/>
          <w:sz w:val="24"/>
          <w:szCs w:val="24"/>
          <w:lang w:val="es-ES_tradnl"/>
        </w:rPr>
        <w:t>Ginebra, 5 a 14 de octubre de 2015</w:t>
      </w:r>
    </w:p>
    <w:p w:rsidR="00750886" w:rsidRPr="00D438E8" w:rsidRDefault="00750886" w:rsidP="00750886">
      <w:pPr>
        <w:rPr>
          <w:b/>
          <w:sz w:val="24"/>
          <w:szCs w:val="24"/>
          <w:lang w:val="es-ES_tradnl"/>
        </w:rPr>
      </w:pPr>
    </w:p>
    <w:p w:rsidR="00750886" w:rsidRPr="00D438E8" w:rsidRDefault="00750886" w:rsidP="00750886">
      <w:pPr>
        <w:rPr>
          <w:b/>
          <w:sz w:val="24"/>
          <w:szCs w:val="24"/>
          <w:lang w:val="es-ES_tradnl"/>
        </w:rPr>
      </w:pPr>
    </w:p>
    <w:p w:rsidR="00750886" w:rsidRPr="00D438E8" w:rsidRDefault="00750886" w:rsidP="00750886">
      <w:pPr>
        <w:rPr>
          <w:b/>
          <w:sz w:val="24"/>
          <w:szCs w:val="24"/>
          <w:lang w:val="es-ES_tradnl"/>
        </w:rPr>
      </w:pPr>
    </w:p>
    <w:p w:rsidR="00750886" w:rsidRPr="00D438E8" w:rsidRDefault="008B78C0" w:rsidP="00750886">
      <w:pPr>
        <w:rPr>
          <w:caps/>
          <w:sz w:val="24"/>
          <w:highlight w:val="red"/>
          <w:lang w:val="es-ES_tradnl"/>
        </w:rPr>
      </w:pPr>
      <w:bookmarkStart w:id="3" w:name="TitleOfDoc"/>
      <w:bookmarkEnd w:id="3"/>
      <w:r w:rsidRPr="00D438E8">
        <w:rPr>
          <w:caps/>
          <w:sz w:val="24"/>
          <w:lang w:val="es-ES_tradnl"/>
        </w:rPr>
        <w:t>DecisiÓn sobre LOS ASUNTOS RELATIVOS AL comité de DESARROLLO Y PROPIEDAD INTELECTUAL (CDIP)</w:t>
      </w:r>
    </w:p>
    <w:p w:rsidR="00750886" w:rsidRPr="00D438E8" w:rsidRDefault="00750886" w:rsidP="00750886">
      <w:pPr>
        <w:rPr>
          <w:lang w:val="es-ES_tradnl"/>
        </w:rPr>
      </w:pPr>
    </w:p>
    <w:p w:rsidR="00750886" w:rsidRPr="00D438E8" w:rsidRDefault="008B78C0" w:rsidP="00750886">
      <w:pPr>
        <w:rPr>
          <w:lang w:val="es-ES_tradnl"/>
        </w:rPr>
      </w:pPr>
      <w:bookmarkStart w:id="4" w:name="Prepared"/>
      <w:bookmarkEnd w:id="4"/>
      <w:r w:rsidRPr="00D438E8">
        <w:rPr>
          <w:i/>
          <w:lang w:val="es-ES_tradnl"/>
        </w:rPr>
        <w:t>Documento preparado por la Secretaría</w:t>
      </w:r>
    </w:p>
    <w:p w:rsidR="00750886" w:rsidRPr="00D438E8" w:rsidRDefault="00750886" w:rsidP="00750886">
      <w:pPr>
        <w:rPr>
          <w:lang w:val="es-ES_tradnl"/>
        </w:rPr>
      </w:pPr>
    </w:p>
    <w:p w:rsidR="00750886" w:rsidRPr="00D438E8" w:rsidRDefault="00750886" w:rsidP="00750886">
      <w:pPr>
        <w:rPr>
          <w:lang w:val="es-ES_tradnl"/>
        </w:rPr>
      </w:pPr>
    </w:p>
    <w:p w:rsidR="00750886" w:rsidRPr="00D438E8" w:rsidRDefault="00750886" w:rsidP="00750886">
      <w:pPr>
        <w:rPr>
          <w:lang w:val="es-ES_tradnl"/>
        </w:rPr>
      </w:pPr>
    </w:p>
    <w:p w:rsidR="00750886" w:rsidRPr="00D438E8" w:rsidRDefault="00750886" w:rsidP="00750886">
      <w:pPr>
        <w:rPr>
          <w:lang w:val="es-ES_tradnl"/>
        </w:rPr>
      </w:pPr>
    </w:p>
    <w:p w:rsidR="00750886" w:rsidRPr="00D438E8" w:rsidRDefault="00750886" w:rsidP="00750886">
      <w:pPr>
        <w:pStyle w:val="Default"/>
        <w:rPr>
          <w:rFonts w:eastAsia="SimSun"/>
          <w:color w:val="auto"/>
          <w:sz w:val="22"/>
          <w:szCs w:val="20"/>
          <w:lang w:val="es-ES_tradnl" w:eastAsia="zh-CN"/>
        </w:rPr>
      </w:pPr>
      <w:r w:rsidRPr="00D438E8">
        <w:rPr>
          <w:lang w:val="es-ES_tradnl"/>
        </w:rPr>
        <w:fldChar w:fldCharType="begin"/>
      </w:r>
      <w:r w:rsidRPr="00D438E8">
        <w:rPr>
          <w:rFonts w:eastAsia="SimSun"/>
          <w:color w:val="auto"/>
          <w:sz w:val="22"/>
          <w:szCs w:val="20"/>
          <w:lang w:val="es-ES_tradnl" w:eastAsia="zh-CN"/>
        </w:rPr>
        <w:instrText xml:space="preserve"> AUTONUM  </w:instrText>
      </w:r>
      <w:r w:rsidRPr="00D438E8">
        <w:rPr>
          <w:lang w:val="es-ES_tradnl"/>
        </w:rPr>
        <w:fldChar w:fldCharType="end"/>
      </w:r>
      <w:r w:rsidRPr="00D438E8">
        <w:rPr>
          <w:rFonts w:eastAsia="SimSun"/>
          <w:color w:val="auto"/>
          <w:sz w:val="22"/>
          <w:szCs w:val="20"/>
          <w:lang w:val="es-ES_tradnl" w:eastAsia="zh-CN"/>
        </w:rPr>
        <w:tab/>
      </w:r>
      <w:r w:rsidR="008B78C0" w:rsidRPr="00D438E8">
        <w:rPr>
          <w:rFonts w:eastAsia="SimSun"/>
          <w:color w:val="auto"/>
          <w:sz w:val="22"/>
          <w:szCs w:val="20"/>
          <w:lang w:val="es-ES_tradnl" w:eastAsia="zh-CN"/>
        </w:rPr>
        <w:t>La Asamblea General de la Organización Mundial de la Propiedad Intelectual (OMPI)</w:t>
      </w:r>
      <w:r w:rsidRPr="00D438E8">
        <w:rPr>
          <w:rFonts w:eastAsia="SimSun"/>
          <w:color w:val="auto"/>
          <w:sz w:val="22"/>
          <w:szCs w:val="20"/>
          <w:lang w:val="es-ES_tradnl" w:eastAsia="zh-CN"/>
        </w:rPr>
        <w:t xml:space="preserve">, </w:t>
      </w:r>
      <w:r w:rsidR="008B78C0" w:rsidRPr="00D438E8">
        <w:rPr>
          <w:rFonts w:eastAsia="SimSun"/>
          <w:color w:val="auto"/>
          <w:sz w:val="22"/>
          <w:szCs w:val="20"/>
          <w:lang w:val="es-ES_tradnl" w:eastAsia="zh-CN"/>
        </w:rPr>
        <w:t>en su cuadragésimo tercer período de sesiones</w:t>
      </w:r>
      <w:r w:rsidR="003A31D7" w:rsidRPr="00D438E8">
        <w:rPr>
          <w:rFonts w:eastAsia="SimSun"/>
          <w:color w:val="auto"/>
          <w:sz w:val="22"/>
          <w:szCs w:val="20"/>
          <w:lang w:val="es-ES_tradnl" w:eastAsia="zh-CN"/>
        </w:rPr>
        <w:t>,</w:t>
      </w:r>
      <w:r w:rsidR="008B78C0" w:rsidRPr="00D438E8">
        <w:rPr>
          <w:rFonts w:eastAsia="SimSun"/>
          <w:color w:val="auto"/>
          <w:sz w:val="22"/>
          <w:szCs w:val="20"/>
          <w:lang w:val="es-ES_tradnl" w:eastAsia="zh-CN"/>
        </w:rPr>
        <w:t xml:space="preserve"> celebrado del 23 de septiembre al 2 de octubre de 2013</w:t>
      </w:r>
      <w:r w:rsidRPr="00D438E8">
        <w:rPr>
          <w:rFonts w:eastAsia="SimSun"/>
          <w:color w:val="auto"/>
          <w:sz w:val="22"/>
          <w:szCs w:val="20"/>
          <w:lang w:val="es-ES_tradnl" w:eastAsia="zh-CN"/>
        </w:rPr>
        <w:t xml:space="preserve">, </w:t>
      </w:r>
      <w:r w:rsidR="008B78C0" w:rsidRPr="00D438E8">
        <w:rPr>
          <w:rFonts w:eastAsia="SimSun"/>
          <w:color w:val="auto"/>
          <w:sz w:val="22"/>
          <w:szCs w:val="20"/>
          <w:lang w:val="es-ES_tradnl" w:eastAsia="zh-CN"/>
        </w:rPr>
        <w:t xml:space="preserve">pidió al Comité de Desarrollo y Propiedad Intelectual (CDIP) que examinara la cuestión </w:t>
      </w:r>
      <w:r w:rsidR="00856FA6" w:rsidRPr="00D438E8">
        <w:rPr>
          <w:rFonts w:eastAsia="SimSun"/>
          <w:color w:val="auto"/>
          <w:sz w:val="22"/>
          <w:szCs w:val="20"/>
          <w:lang w:val="es-ES_tradnl" w:eastAsia="zh-CN"/>
        </w:rPr>
        <w:t>relativa a l</w:t>
      </w:r>
      <w:r w:rsidR="008B78C0" w:rsidRPr="00D438E8">
        <w:rPr>
          <w:rFonts w:eastAsia="SimSun"/>
          <w:color w:val="auto"/>
          <w:sz w:val="22"/>
          <w:szCs w:val="20"/>
          <w:lang w:val="es-ES_tradnl" w:eastAsia="zh-CN"/>
        </w:rPr>
        <w:t>a “</w:t>
      </w:r>
      <w:r w:rsidR="008B78C0" w:rsidRPr="00D438E8">
        <w:rPr>
          <w:rFonts w:eastAsia="SimSun"/>
          <w:i/>
          <w:color w:val="auto"/>
          <w:sz w:val="22"/>
          <w:szCs w:val="20"/>
          <w:lang w:val="es-ES_tradnl" w:eastAsia="zh-CN"/>
        </w:rPr>
        <w:t>ejecución del mandato del CDIP</w:t>
      </w:r>
      <w:r w:rsidR="00856FA6" w:rsidRPr="00D438E8">
        <w:rPr>
          <w:rFonts w:eastAsia="SimSun"/>
          <w:color w:val="auto"/>
          <w:sz w:val="22"/>
          <w:szCs w:val="20"/>
          <w:lang w:val="es-ES_tradnl" w:eastAsia="zh-CN"/>
        </w:rPr>
        <w:t>”</w:t>
      </w:r>
      <w:r w:rsidR="008B78C0" w:rsidRPr="00D438E8">
        <w:rPr>
          <w:rFonts w:eastAsia="SimSun"/>
          <w:color w:val="auto"/>
          <w:sz w:val="22"/>
          <w:szCs w:val="20"/>
          <w:lang w:val="es-ES_tradnl" w:eastAsia="zh-CN"/>
        </w:rPr>
        <w:t xml:space="preserve"> y la </w:t>
      </w:r>
      <w:r w:rsidR="00856FA6" w:rsidRPr="00D438E8">
        <w:rPr>
          <w:rFonts w:eastAsia="SimSun"/>
          <w:color w:val="auto"/>
          <w:sz w:val="22"/>
          <w:szCs w:val="20"/>
          <w:lang w:val="es-ES_tradnl" w:eastAsia="zh-CN"/>
        </w:rPr>
        <w:t>“</w:t>
      </w:r>
      <w:r w:rsidR="008B78C0" w:rsidRPr="00D438E8">
        <w:rPr>
          <w:rFonts w:eastAsia="SimSun"/>
          <w:i/>
          <w:color w:val="auto"/>
          <w:sz w:val="22"/>
          <w:szCs w:val="20"/>
          <w:lang w:val="es-ES_tradnl" w:eastAsia="zh-CN"/>
        </w:rPr>
        <w:t>aplicación de los mecanismos de coordinación</w:t>
      </w:r>
      <w:r w:rsidR="008B78C0" w:rsidRPr="00D438E8">
        <w:rPr>
          <w:rFonts w:eastAsia="SimSun"/>
          <w:color w:val="auto"/>
          <w:sz w:val="22"/>
          <w:szCs w:val="20"/>
          <w:lang w:val="es-ES_tradnl" w:eastAsia="zh-CN"/>
        </w:rPr>
        <w:t xml:space="preserve">” </w:t>
      </w:r>
      <w:r w:rsidR="004F4A22" w:rsidRPr="00D438E8">
        <w:rPr>
          <w:rFonts w:eastAsia="SimSun"/>
          <w:color w:val="auto"/>
          <w:sz w:val="22"/>
          <w:szCs w:val="20"/>
          <w:lang w:val="es-ES_tradnl" w:eastAsia="zh-CN"/>
        </w:rPr>
        <w:t>en</w:t>
      </w:r>
      <w:r w:rsidR="008B78C0" w:rsidRPr="00D438E8">
        <w:rPr>
          <w:rFonts w:eastAsia="SimSun"/>
          <w:color w:val="auto"/>
          <w:sz w:val="22"/>
          <w:szCs w:val="20"/>
          <w:lang w:val="es-ES_tradnl" w:eastAsia="zh-CN"/>
        </w:rPr>
        <w:t xml:space="preserve"> su duod</w:t>
      </w:r>
      <w:r w:rsidR="004F4A22" w:rsidRPr="00D438E8">
        <w:rPr>
          <w:rFonts w:eastAsia="SimSun"/>
          <w:color w:val="auto"/>
          <w:sz w:val="22"/>
          <w:szCs w:val="20"/>
          <w:lang w:val="es-ES_tradnl" w:eastAsia="zh-CN"/>
        </w:rPr>
        <w:t>écima y decimotercera sesiones</w:t>
      </w:r>
      <w:r w:rsidRPr="00D438E8">
        <w:rPr>
          <w:rFonts w:eastAsia="SimSun"/>
          <w:color w:val="auto"/>
          <w:sz w:val="22"/>
          <w:szCs w:val="20"/>
          <w:lang w:val="es-ES_tradnl" w:eastAsia="zh-CN"/>
        </w:rPr>
        <w:t xml:space="preserve"> (</w:t>
      </w:r>
      <w:r w:rsidR="004F4A22" w:rsidRPr="00D438E8">
        <w:rPr>
          <w:rFonts w:eastAsia="SimSun"/>
          <w:color w:val="auto"/>
          <w:sz w:val="22"/>
          <w:szCs w:val="20"/>
          <w:lang w:val="es-ES_tradnl" w:eastAsia="zh-CN"/>
        </w:rPr>
        <w:t>documento</w:t>
      </w:r>
      <w:r w:rsidRPr="00D438E8">
        <w:rPr>
          <w:rFonts w:eastAsia="SimSun"/>
          <w:color w:val="auto"/>
          <w:sz w:val="22"/>
          <w:szCs w:val="20"/>
          <w:lang w:val="es-ES_tradnl" w:eastAsia="zh-CN"/>
        </w:rPr>
        <w:t xml:space="preserve"> </w:t>
      </w:r>
      <w:r w:rsidRPr="00D438E8">
        <w:rPr>
          <w:sz w:val="22"/>
          <w:szCs w:val="22"/>
          <w:lang w:val="es-ES_tradnl"/>
        </w:rPr>
        <w:t>WO/GA/43/22</w:t>
      </w:r>
      <w:r w:rsidRPr="00D438E8">
        <w:rPr>
          <w:rFonts w:eastAsia="SimSun"/>
          <w:color w:val="auto"/>
          <w:sz w:val="22"/>
          <w:szCs w:val="20"/>
          <w:lang w:val="es-ES_tradnl" w:eastAsia="zh-CN"/>
        </w:rPr>
        <w:t>).</w:t>
      </w:r>
    </w:p>
    <w:p w:rsidR="00750886" w:rsidRPr="00D438E8" w:rsidRDefault="00750886" w:rsidP="00750886">
      <w:pPr>
        <w:pStyle w:val="Default"/>
        <w:rPr>
          <w:rFonts w:eastAsia="SimSun"/>
          <w:color w:val="auto"/>
          <w:sz w:val="22"/>
          <w:szCs w:val="20"/>
          <w:lang w:val="es-ES_tradnl" w:eastAsia="zh-CN"/>
        </w:rPr>
      </w:pPr>
    </w:p>
    <w:p w:rsidR="00750886" w:rsidRPr="00D438E8" w:rsidRDefault="00750886" w:rsidP="00750886">
      <w:pPr>
        <w:pStyle w:val="Default"/>
        <w:rPr>
          <w:rFonts w:eastAsia="SimSun"/>
          <w:color w:val="auto"/>
          <w:sz w:val="22"/>
          <w:szCs w:val="20"/>
          <w:lang w:val="es-ES_tradnl" w:eastAsia="zh-CN"/>
        </w:rPr>
      </w:pPr>
      <w:r w:rsidRPr="00D438E8">
        <w:rPr>
          <w:lang w:val="es-ES_tradnl"/>
        </w:rPr>
        <w:fldChar w:fldCharType="begin"/>
      </w:r>
      <w:r w:rsidRPr="00D438E8">
        <w:rPr>
          <w:rFonts w:eastAsia="SimSun"/>
          <w:color w:val="auto"/>
          <w:sz w:val="22"/>
          <w:szCs w:val="20"/>
          <w:lang w:val="es-ES_tradnl" w:eastAsia="zh-CN"/>
        </w:rPr>
        <w:instrText xml:space="preserve"> AUTONUM  </w:instrText>
      </w:r>
      <w:r w:rsidRPr="00D438E8">
        <w:rPr>
          <w:lang w:val="es-ES_tradnl"/>
        </w:rPr>
        <w:fldChar w:fldCharType="end"/>
      </w:r>
      <w:r w:rsidR="004F4A22" w:rsidRPr="00D438E8">
        <w:rPr>
          <w:rFonts w:eastAsia="SimSun"/>
          <w:color w:val="auto"/>
          <w:sz w:val="22"/>
          <w:szCs w:val="20"/>
          <w:lang w:val="es-ES_tradnl" w:eastAsia="zh-CN"/>
        </w:rPr>
        <w:tab/>
        <w:t xml:space="preserve">La Asamblea General de la OMPI, en su cuadragésimo sexto período de sesiones, celebrado del 22 al 30 de septiembre de </w:t>
      </w:r>
      <w:r w:rsidRPr="00D438E8">
        <w:rPr>
          <w:rFonts w:eastAsia="SimSun"/>
          <w:color w:val="auto"/>
          <w:sz w:val="22"/>
          <w:szCs w:val="20"/>
          <w:lang w:val="es-ES_tradnl" w:eastAsia="zh-CN"/>
        </w:rPr>
        <w:t xml:space="preserve">2014, </w:t>
      </w:r>
      <w:r w:rsidR="004F4A22" w:rsidRPr="00D438E8">
        <w:rPr>
          <w:rFonts w:eastAsia="SimSun"/>
          <w:color w:val="auto"/>
          <w:sz w:val="22"/>
          <w:szCs w:val="20"/>
          <w:lang w:val="es-ES_tradnl" w:eastAsia="zh-CN"/>
        </w:rPr>
        <w:t xml:space="preserve">y durante el examen del documento </w:t>
      </w:r>
      <w:r w:rsidRPr="00D438E8">
        <w:rPr>
          <w:rFonts w:eastAsia="SimSun"/>
          <w:color w:val="auto"/>
          <w:sz w:val="22"/>
          <w:szCs w:val="20"/>
          <w:lang w:val="es-ES_tradnl" w:eastAsia="zh-CN"/>
        </w:rPr>
        <w:t xml:space="preserve">WO/GA/46/10, </w:t>
      </w:r>
      <w:r w:rsidR="004F4A22" w:rsidRPr="00D438E8">
        <w:rPr>
          <w:rFonts w:eastAsia="SimSun"/>
          <w:color w:val="auto"/>
          <w:sz w:val="22"/>
          <w:szCs w:val="20"/>
          <w:lang w:val="es-ES_tradnl" w:eastAsia="zh-CN"/>
        </w:rPr>
        <w:t xml:space="preserve">aprobó la petición del Comité de que se le permitiera proseguir </w:t>
      </w:r>
      <w:r w:rsidR="003A31D7" w:rsidRPr="00D438E8">
        <w:rPr>
          <w:rFonts w:eastAsia="SimSun"/>
          <w:color w:val="auto"/>
          <w:sz w:val="22"/>
          <w:szCs w:val="20"/>
          <w:lang w:val="es-ES_tradnl" w:eastAsia="zh-CN"/>
        </w:rPr>
        <w:t xml:space="preserve">el debate sobre </w:t>
      </w:r>
      <w:r w:rsidR="004F4A22" w:rsidRPr="00D438E8">
        <w:rPr>
          <w:rFonts w:eastAsia="SimSun"/>
          <w:color w:val="auto"/>
          <w:sz w:val="22"/>
          <w:szCs w:val="20"/>
          <w:lang w:val="es-ES_tradnl" w:eastAsia="zh-CN"/>
        </w:rPr>
        <w:t xml:space="preserve">esas cuestiones </w:t>
      </w:r>
      <w:r w:rsidR="003A31D7" w:rsidRPr="00D438E8">
        <w:rPr>
          <w:rFonts w:eastAsia="SimSun"/>
          <w:color w:val="auto"/>
          <w:sz w:val="22"/>
          <w:szCs w:val="20"/>
          <w:lang w:val="es-ES_tradnl" w:eastAsia="zh-CN"/>
        </w:rPr>
        <w:t>durante su decimocuarta y decimoquinta sesiones</w:t>
      </w:r>
      <w:r w:rsidRPr="00D438E8">
        <w:rPr>
          <w:rFonts w:eastAsia="SimSun"/>
          <w:color w:val="auto"/>
          <w:sz w:val="22"/>
          <w:szCs w:val="20"/>
          <w:lang w:val="es-ES_tradnl" w:eastAsia="zh-CN"/>
        </w:rPr>
        <w:t xml:space="preserve">.  </w:t>
      </w:r>
    </w:p>
    <w:p w:rsidR="00750886" w:rsidRPr="00D438E8" w:rsidRDefault="00750886" w:rsidP="0032267F">
      <w:pPr>
        <w:pStyle w:val="ListParagraph"/>
        <w:ind w:left="0"/>
        <w:rPr>
          <w:lang w:val="es-ES_tradnl"/>
        </w:rPr>
      </w:pPr>
    </w:p>
    <w:p w:rsidR="00750886" w:rsidRPr="00D438E8" w:rsidRDefault="00750886" w:rsidP="00750886">
      <w:pPr>
        <w:pStyle w:val="Default"/>
        <w:rPr>
          <w:rFonts w:eastAsia="SimSun"/>
          <w:color w:val="auto"/>
          <w:sz w:val="22"/>
          <w:szCs w:val="20"/>
          <w:lang w:val="es-ES_tradnl" w:eastAsia="zh-CN"/>
        </w:rPr>
      </w:pPr>
      <w:r w:rsidRPr="00D438E8">
        <w:rPr>
          <w:rFonts w:eastAsia="SimSun"/>
          <w:color w:val="auto"/>
          <w:sz w:val="22"/>
          <w:szCs w:val="20"/>
          <w:lang w:val="es-ES_tradnl" w:eastAsia="zh-CN"/>
        </w:rPr>
        <w:fldChar w:fldCharType="begin"/>
      </w:r>
      <w:r w:rsidRPr="00D438E8">
        <w:rPr>
          <w:rFonts w:eastAsia="SimSun"/>
          <w:color w:val="auto"/>
          <w:sz w:val="22"/>
          <w:szCs w:val="20"/>
          <w:lang w:val="es-ES_tradnl" w:eastAsia="zh-CN"/>
        </w:rPr>
        <w:instrText xml:space="preserve"> AUTONUM  </w:instrText>
      </w:r>
      <w:r w:rsidRPr="00D438E8">
        <w:rPr>
          <w:rFonts w:eastAsia="SimSun"/>
          <w:color w:val="auto"/>
          <w:sz w:val="22"/>
          <w:szCs w:val="20"/>
          <w:lang w:val="es-ES_tradnl" w:eastAsia="zh-CN"/>
        </w:rPr>
        <w:fldChar w:fldCharType="end"/>
      </w:r>
      <w:r w:rsidRPr="00D438E8">
        <w:rPr>
          <w:rFonts w:eastAsia="SimSun"/>
          <w:color w:val="auto"/>
          <w:sz w:val="22"/>
          <w:szCs w:val="20"/>
          <w:lang w:val="es-ES_tradnl" w:eastAsia="zh-CN"/>
        </w:rPr>
        <w:tab/>
      </w:r>
      <w:r w:rsidR="004F4A22" w:rsidRPr="00D438E8">
        <w:rPr>
          <w:rFonts w:eastAsia="SimSun"/>
          <w:color w:val="auto"/>
          <w:sz w:val="22"/>
          <w:szCs w:val="20"/>
          <w:lang w:val="es-ES_tradnl" w:eastAsia="zh-CN"/>
        </w:rPr>
        <w:t xml:space="preserve">En su decimoquinta sesión, el </w:t>
      </w:r>
      <w:r w:rsidRPr="00D438E8">
        <w:rPr>
          <w:rFonts w:eastAsia="SimSun"/>
          <w:color w:val="auto"/>
          <w:sz w:val="22"/>
          <w:szCs w:val="20"/>
          <w:lang w:val="es-ES_tradnl" w:eastAsia="zh-CN"/>
        </w:rPr>
        <w:t>CDIP</w:t>
      </w:r>
      <w:r w:rsidR="004F4A22" w:rsidRPr="00D438E8">
        <w:rPr>
          <w:rFonts w:eastAsia="SimSun"/>
          <w:color w:val="auto"/>
          <w:sz w:val="22"/>
          <w:szCs w:val="20"/>
          <w:lang w:val="es-ES_tradnl" w:eastAsia="zh-CN"/>
        </w:rPr>
        <w:t xml:space="preserve"> adoptó la siguiente decisión</w:t>
      </w:r>
      <w:r w:rsidRPr="00D438E8">
        <w:rPr>
          <w:rFonts w:eastAsia="SimSun"/>
          <w:color w:val="auto"/>
          <w:sz w:val="22"/>
          <w:szCs w:val="20"/>
          <w:lang w:val="es-ES_tradnl" w:eastAsia="zh-CN"/>
        </w:rPr>
        <w:t xml:space="preserve">, </w:t>
      </w:r>
      <w:r w:rsidR="003A31D7" w:rsidRPr="00D438E8">
        <w:rPr>
          <w:rFonts w:eastAsia="SimSun"/>
          <w:color w:val="auto"/>
          <w:sz w:val="22"/>
          <w:szCs w:val="20"/>
          <w:lang w:val="es-ES_tradnl" w:eastAsia="zh-CN"/>
        </w:rPr>
        <w:t>recogida en</w:t>
      </w:r>
      <w:r w:rsidR="001D7293">
        <w:rPr>
          <w:rFonts w:eastAsia="SimSun"/>
          <w:color w:val="auto"/>
          <w:sz w:val="22"/>
          <w:szCs w:val="20"/>
          <w:lang w:val="es-ES_tradnl" w:eastAsia="zh-CN"/>
        </w:rPr>
        <w:t xml:space="preserve"> el párrafo </w:t>
      </w:r>
      <w:r w:rsidR="004F4A22" w:rsidRPr="00D438E8">
        <w:rPr>
          <w:rFonts w:eastAsia="SimSun"/>
          <w:color w:val="auto"/>
          <w:sz w:val="22"/>
          <w:szCs w:val="20"/>
          <w:lang w:val="es-ES_tradnl" w:eastAsia="zh-CN"/>
        </w:rPr>
        <w:t>10 del Resumen de la Presidencia</w:t>
      </w:r>
      <w:r w:rsidRPr="00D438E8">
        <w:rPr>
          <w:rFonts w:eastAsia="SimSun"/>
          <w:color w:val="auto"/>
          <w:sz w:val="22"/>
          <w:szCs w:val="20"/>
          <w:lang w:val="es-ES_tradnl" w:eastAsia="zh-CN"/>
        </w:rPr>
        <w:t>:</w:t>
      </w:r>
    </w:p>
    <w:p w:rsidR="00750886" w:rsidRPr="00D438E8" w:rsidRDefault="00750886" w:rsidP="00750886">
      <w:pPr>
        <w:pStyle w:val="Default"/>
        <w:rPr>
          <w:rFonts w:eastAsia="SimSun"/>
          <w:color w:val="auto"/>
          <w:sz w:val="22"/>
          <w:szCs w:val="20"/>
          <w:lang w:val="es-ES_tradnl" w:eastAsia="zh-CN"/>
        </w:rPr>
      </w:pPr>
    </w:p>
    <w:p w:rsidR="00750886" w:rsidRPr="00D438E8" w:rsidRDefault="004F4A22" w:rsidP="00750886">
      <w:pPr>
        <w:ind w:left="567"/>
        <w:rPr>
          <w:rFonts w:eastAsia="Times New Roman"/>
          <w:i/>
          <w:iCs/>
          <w:color w:val="000000"/>
          <w:szCs w:val="22"/>
          <w:lang w:val="es-ES_tradnl" w:eastAsia="en-US"/>
        </w:rPr>
      </w:pPr>
      <w:r w:rsidRPr="00D438E8">
        <w:rPr>
          <w:rFonts w:eastAsia="Times New Roman"/>
          <w:i/>
          <w:iCs/>
          <w:color w:val="000000"/>
          <w:szCs w:val="22"/>
          <w:lang w:val="es-ES_tradnl" w:eastAsia="en-US"/>
        </w:rPr>
        <w:t>“…el Comité examinó la Decisión de la Asamblea General sobre asuntos relativos al CDIP, documentos de referencia CDIP/14/11 y CDIP/12/5.</w:t>
      </w:r>
      <w:r w:rsidR="00750886" w:rsidRPr="00D438E8">
        <w:rPr>
          <w:rFonts w:eastAsia="Times New Roman"/>
          <w:i/>
          <w:iCs/>
          <w:color w:val="000000"/>
          <w:szCs w:val="22"/>
          <w:lang w:val="es-ES_tradnl" w:eastAsia="en-US"/>
        </w:rPr>
        <w:t xml:space="preserve"> </w:t>
      </w:r>
      <w:r w:rsidR="00856FA6" w:rsidRPr="00D438E8">
        <w:rPr>
          <w:rFonts w:eastAsia="Times New Roman"/>
          <w:i/>
          <w:iCs/>
          <w:color w:val="000000"/>
          <w:szCs w:val="22"/>
          <w:lang w:val="es-ES_tradnl" w:eastAsia="en-US"/>
        </w:rPr>
        <w:t>El Comité no pudo alcanzar un acuerdo sobre esos asuntos.  Se solicitó al Presidente del Comité que, de ser factible, mantenga consultas informales en paralelo con el período de sesiones de 2015 de la Asamblea General de la OMPI, sin interferir con otras cuestiones que se traten en la Asamblea, sobre la base de un documento informal presentado por la Presidencia y de una lista de ejemplos de actividades que puedan ser examinadas en el CDIP, presentada por las Delegaciones de Argelia y Nigeria.</w:t>
      </w:r>
      <w:r w:rsidR="00750886" w:rsidRPr="00D438E8">
        <w:rPr>
          <w:rFonts w:eastAsia="Times New Roman"/>
          <w:i/>
          <w:iCs/>
          <w:color w:val="000000"/>
          <w:szCs w:val="22"/>
          <w:lang w:val="es-ES_tradnl" w:eastAsia="en-US"/>
        </w:rPr>
        <w:t xml:space="preserve">  </w:t>
      </w:r>
      <w:r w:rsidR="00856FA6" w:rsidRPr="00D438E8">
        <w:rPr>
          <w:rFonts w:eastAsia="Times New Roman"/>
          <w:i/>
          <w:iCs/>
          <w:color w:val="000000"/>
          <w:szCs w:val="22"/>
          <w:lang w:val="es-ES_tradnl" w:eastAsia="en-US"/>
        </w:rPr>
        <w:t>En consecuencia, el Comité pide a la Asamblea General que le permita seguir el debate durante sus sesiones decimosexta y decimoséptima, y presentar informes y formular recomendaciones sobre las dos cuestiones a la Asamblea General en 2016</w:t>
      </w:r>
      <w:r w:rsidR="00750886" w:rsidRPr="00D438E8">
        <w:rPr>
          <w:rFonts w:eastAsia="Times New Roman"/>
          <w:i/>
          <w:iCs/>
          <w:color w:val="000000"/>
          <w:szCs w:val="22"/>
          <w:lang w:val="es-ES_tradnl" w:eastAsia="en-US"/>
        </w:rPr>
        <w:t>.”</w:t>
      </w:r>
    </w:p>
    <w:p w:rsidR="00750886" w:rsidRPr="00E82851" w:rsidRDefault="00750886" w:rsidP="00750886">
      <w:pPr>
        <w:pStyle w:val="Default"/>
        <w:ind w:left="5533"/>
        <w:rPr>
          <w:i/>
          <w:sz w:val="22"/>
          <w:szCs w:val="22"/>
          <w:lang w:val="es-ES_tradnl"/>
        </w:rPr>
      </w:pPr>
      <w:r w:rsidRPr="00E82851">
        <w:rPr>
          <w:i/>
          <w:sz w:val="22"/>
          <w:szCs w:val="22"/>
          <w:lang w:val="es-ES_tradnl"/>
        </w:rPr>
        <w:lastRenderedPageBreak/>
        <w:fldChar w:fldCharType="begin"/>
      </w:r>
      <w:r w:rsidRPr="00E82851">
        <w:rPr>
          <w:i/>
          <w:sz w:val="22"/>
          <w:szCs w:val="22"/>
          <w:lang w:val="es-ES_tradnl"/>
        </w:rPr>
        <w:instrText xml:space="preserve"> AUTONUM  </w:instrText>
      </w:r>
      <w:r w:rsidRPr="00E82851">
        <w:rPr>
          <w:i/>
          <w:sz w:val="22"/>
          <w:szCs w:val="22"/>
          <w:lang w:val="es-ES_tradnl"/>
        </w:rPr>
        <w:fldChar w:fldCharType="end"/>
      </w:r>
      <w:r w:rsidRPr="00E82851">
        <w:rPr>
          <w:i/>
          <w:sz w:val="22"/>
          <w:szCs w:val="22"/>
          <w:lang w:val="es-ES_tradnl"/>
        </w:rPr>
        <w:tab/>
      </w:r>
      <w:r w:rsidR="00856FA6" w:rsidRPr="00E82851">
        <w:rPr>
          <w:i/>
          <w:sz w:val="22"/>
          <w:szCs w:val="22"/>
          <w:lang w:val="es-ES_tradnl"/>
        </w:rPr>
        <w:t xml:space="preserve">Se invita a la Asamblea General de la OMPI a que </w:t>
      </w:r>
      <w:r w:rsidR="00BD42E8" w:rsidRPr="00E82851">
        <w:rPr>
          <w:i/>
          <w:sz w:val="22"/>
          <w:szCs w:val="22"/>
          <w:lang w:val="es-ES_tradnl"/>
        </w:rPr>
        <w:t>permita</w:t>
      </w:r>
      <w:r w:rsidR="003A31D7" w:rsidRPr="00E82851">
        <w:rPr>
          <w:i/>
          <w:sz w:val="22"/>
          <w:szCs w:val="22"/>
          <w:lang w:val="es-ES_tradnl"/>
        </w:rPr>
        <w:t xml:space="preserve"> </w:t>
      </w:r>
      <w:r w:rsidR="00D438E8" w:rsidRPr="00E82851">
        <w:rPr>
          <w:i/>
          <w:sz w:val="22"/>
          <w:szCs w:val="22"/>
          <w:lang w:val="es-ES_tradnl"/>
        </w:rPr>
        <w:t>que el</w:t>
      </w:r>
      <w:r w:rsidR="00856FA6" w:rsidRPr="00E82851">
        <w:rPr>
          <w:i/>
          <w:sz w:val="22"/>
          <w:szCs w:val="22"/>
          <w:lang w:val="es-ES_tradnl"/>
        </w:rPr>
        <w:t xml:space="preserve"> Comité de Desarrollo</w:t>
      </w:r>
      <w:r w:rsidR="004F3808" w:rsidRPr="00E82851">
        <w:rPr>
          <w:i/>
          <w:sz w:val="22"/>
          <w:szCs w:val="22"/>
          <w:lang w:val="es-ES_tradnl"/>
        </w:rPr>
        <w:t xml:space="preserve"> y Propiedad Intelectual (CDIP)</w:t>
      </w:r>
      <w:r w:rsidR="004F3808" w:rsidRPr="00E82851">
        <w:rPr>
          <w:rFonts w:eastAsia="SimSun"/>
          <w:i/>
          <w:color w:val="auto"/>
          <w:sz w:val="22"/>
          <w:szCs w:val="22"/>
          <w:lang w:val="es-ES_tradnl" w:eastAsia="zh-CN"/>
        </w:rPr>
        <w:t xml:space="preserve"> </w:t>
      </w:r>
      <w:r w:rsidR="009161BE" w:rsidRPr="00E82851">
        <w:rPr>
          <w:rFonts w:eastAsia="SimSun"/>
          <w:i/>
          <w:color w:val="auto"/>
          <w:sz w:val="22"/>
          <w:szCs w:val="22"/>
          <w:lang w:val="es-ES_tradnl" w:eastAsia="zh-CN"/>
        </w:rPr>
        <w:t>pro</w:t>
      </w:r>
      <w:r w:rsidR="00D438E8" w:rsidRPr="00E82851">
        <w:rPr>
          <w:rFonts w:eastAsia="SimSun"/>
          <w:i/>
          <w:color w:val="auto"/>
          <w:sz w:val="22"/>
          <w:szCs w:val="22"/>
          <w:lang w:val="es-ES_tradnl" w:eastAsia="zh-CN"/>
        </w:rPr>
        <w:t>siga</w:t>
      </w:r>
      <w:r w:rsidR="004F3808" w:rsidRPr="00E82851">
        <w:rPr>
          <w:i/>
          <w:sz w:val="22"/>
          <w:szCs w:val="22"/>
          <w:lang w:val="es-ES_tradnl"/>
        </w:rPr>
        <w:t xml:space="preserve"> </w:t>
      </w:r>
      <w:r w:rsidR="009161BE" w:rsidRPr="00E82851">
        <w:rPr>
          <w:i/>
          <w:sz w:val="22"/>
          <w:szCs w:val="22"/>
          <w:lang w:val="es-ES_tradnl"/>
        </w:rPr>
        <w:t>el examen</w:t>
      </w:r>
      <w:r w:rsidR="00BD42E8" w:rsidRPr="00E82851">
        <w:rPr>
          <w:i/>
          <w:sz w:val="22"/>
          <w:szCs w:val="22"/>
          <w:lang w:val="es-ES_tradnl"/>
        </w:rPr>
        <w:t>,</w:t>
      </w:r>
      <w:r w:rsidR="004F3808" w:rsidRPr="00E82851">
        <w:rPr>
          <w:i/>
          <w:sz w:val="22"/>
          <w:szCs w:val="22"/>
          <w:lang w:val="es-ES_tradnl"/>
        </w:rPr>
        <w:t xml:space="preserve"> </w:t>
      </w:r>
      <w:r w:rsidR="00BD42E8" w:rsidRPr="00E82851">
        <w:rPr>
          <w:i/>
          <w:sz w:val="22"/>
          <w:szCs w:val="22"/>
          <w:lang w:val="es-ES_tradnl"/>
        </w:rPr>
        <w:t xml:space="preserve">en su  decimosexta y decimoséptima sesiones, </w:t>
      </w:r>
      <w:r w:rsidR="009161BE" w:rsidRPr="00E82851">
        <w:rPr>
          <w:i/>
          <w:sz w:val="22"/>
          <w:szCs w:val="22"/>
          <w:lang w:val="es-ES_tradnl"/>
        </w:rPr>
        <w:t xml:space="preserve">de </w:t>
      </w:r>
      <w:r w:rsidR="00856FA6" w:rsidRPr="00E82851">
        <w:rPr>
          <w:i/>
          <w:sz w:val="22"/>
          <w:szCs w:val="22"/>
          <w:lang w:val="es-ES_tradnl"/>
        </w:rPr>
        <w:t>la decisión sobre los asuntos relativos al CDIP</w:t>
      </w:r>
      <w:r w:rsidR="004F3808" w:rsidRPr="00E82851">
        <w:rPr>
          <w:i/>
          <w:sz w:val="22"/>
          <w:szCs w:val="22"/>
          <w:lang w:val="es-ES_tradnl"/>
        </w:rPr>
        <w:t>,</w:t>
      </w:r>
      <w:r w:rsidR="00856FA6" w:rsidRPr="00E82851">
        <w:rPr>
          <w:i/>
          <w:sz w:val="22"/>
          <w:szCs w:val="22"/>
          <w:lang w:val="es-ES_tradnl"/>
        </w:rPr>
        <w:t xml:space="preserve"> adoptada en el cuadragésimo tercer período de sesiones de la Asamblea General de la OMPI</w:t>
      </w:r>
      <w:r w:rsidR="004F3808" w:rsidRPr="00E82851">
        <w:rPr>
          <w:i/>
          <w:sz w:val="22"/>
          <w:szCs w:val="22"/>
          <w:lang w:val="es-ES_tradnl"/>
        </w:rPr>
        <w:t>,</w:t>
      </w:r>
      <w:r w:rsidR="00856FA6" w:rsidRPr="00E82851">
        <w:rPr>
          <w:i/>
          <w:sz w:val="22"/>
          <w:szCs w:val="22"/>
          <w:lang w:val="es-ES_tradnl"/>
        </w:rPr>
        <w:t xml:space="preserve"> y presente informes y formule recomendaciones sobre las dos cuestiones a la Asamblea General de la OMPI en </w:t>
      </w:r>
      <w:r w:rsidRPr="00E82851">
        <w:rPr>
          <w:i/>
          <w:sz w:val="22"/>
          <w:szCs w:val="22"/>
          <w:lang w:val="es-ES_tradnl"/>
        </w:rPr>
        <w:t>2016.</w:t>
      </w:r>
    </w:p>
    <w:p w:rsidR="00750886" w:rsidRPr="00E82851" w:rsidRDefault="00750886" w:rsidP="00750886">
      <w:pPr>
        <w:pStyle w:val="Endofdocument-Annex"/>
        <w:ind w:left="4678"/>
        <w:rPr>
          <w:szCs w:val="22"/>
          <w:lang w:val="es-ES_tradnl"/>
        </w:rPr>
      </w:pPr>
    </w:p>
    <w:p w:rsidR="00750886" w:rsidRPr="00E82851" w:rsidRDefault="00750886" w:rsidP="00750886">
      <w:pPr>
        <w:pStyle w:val="Endofdocument-Annex"/>
        <w:ind w:left="4678"/>
        <w:rPr>
          <w:szCs w:val="22"/>
          <w:lang w:val="es-ES_tradnl"/>
        </w:rPr>
      </w:pPr>
    </w:p>
    <w:p w:rsidR="00750886" w:rsidRPr="00E82851" w:rsidRDefault="00750886" w:rsidP="00750886">
      <w:pPr>
        <w:pStyle w:val="Endofdocument-Annex"/>
        <w:ind w:left="4678"/>
        <w:rPr>
          <w:szCs w:val="22"/>
          <w:lang w:val="es-ES_tradnl"/>
        </w:rPr>
      </w:pPr>
    </w:p>
    <w:p w:rsidR="00750886" w:rsidRPr="00D438E8" w:rsidRDefault="00750886" w:rsidP="00750886">
      <w:pPr>
        <w:pStyle w:val="Endofdocument-Annex"/>
        <w:rPr>
          <w:lang w:val="es-ES_tradnl"/>
        </w:rPr>
      </w:pPr>
      <w:r w:rsidRPr="00D438E8">
        <w:rPr>
          <w:lang w:val="es-ES_tradnl"/>
        </w:rPr>
        <w:t>[</w:t>
      </w:r>
      <w:r w:rsidR="00856FA6" w:rsidRPr="00D438E8">
        <w:rPr>
          <w:lang w:val="es-ES_tradnl"/>
        </w:rPr>
        <w:t>Fin del d</w:t>
      </w:r>
      <w:bookmarkStart w:id="5" w:name="_GoBack"/>
      <w:bookmarkEnd w:id="5"/>
      <w:r w:rsidR="00856FA6" w:rsidRPr="00D438E8">
        <w:rPr>
          <w:lang w:val="es-ES_tradnl"/>
        </w:rPr>
        <w:t>ocumento</w:t>
      </w:r>
      <w:r w:rsidRPr="00D438E8">
        <w:rPr>
          <w:lang w:val="es-ES_tradnl"/>
        </w:rPr>
        <w:t>]</w:t>
      </w:r>
    </w:p>
    <w:p w:rsidR="00152CEA" w:rsidRPr="00D438E8" w:rsidRDefault="00152CEA" w:rsidP="00750886">
      <w:pPr>
        <w:rPr>
          <w:lang w:val="es-ES_tradnl"/>
        </w:rPr>
      </w:pPr>
    </w:p>
    <w:sectPr w:rsidR="00152CEA" w:rsidRPr="00D438E8" w:rsidSect="00395138">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38" w:rsidRDefault="00395138">
      <w:r>
        <w:separator/>
      </w:r>
    </w:p>
  </w:endnote>
  <w:endnote w:type="continuationSeparator" w:id="0">
    <w:p w:rsidR="00395138" w:rsidRPr="009D30E6" w:rsidRDefault="00395138" w:rsidP="007E663E">
      <w:pPr>
        <w:rPr>
          <w:sz w:val="17"/>
          <w:szCs w:val="17"/>
        </w:rPr>
      </w:pPr>
      <w:r w:rsidRPr="009D30E6">
        <w:rPr>
          <w:sz w:val="17"/>
          <w:szCs w:val="17"/>
        </w:rPr>
        <w:separator/>
      </w:r>
    </w:p>
    <w:p w:rsidR="00395138" w:rsidRPr="007E663E" w:rsidRDefault="00395138" w:rsidP="007E663E">
      <w:pPr>
        <w:spacing w:after="60"/>
        <w:rPr>
          <w:sz w:val="17"/>
          <w:szCs w:val="17"/>
        </w:rPr>
      </w:pPr>
      <w:r>
        <w:rPr>
          <w:sz w:val="17"/>
        </w:rPr>
        <w:t>[Continuación de la nota de la página anterior]</w:t>
      </w:r>
    </w:p>
  </w:endnote>
  <w:endnote w:type="continuationNotice" w:id="1">
    <w:p w:rsidR="00395138" w:rsidRPr="007E663E" w:rsidRDefault="0039513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38" w:rsidRDefault="00395138">
      <w:r>
        <w:separator/>
      </w:r>
    </w:p>
  </w:footnote>
  <w:footnote w:type="continuationSeparator" w:id="0">
    <w:p w:rsidR="00395138" w:rsidRPr="009D30E6" w:rsidRDefault="00395138" w:rsidP="007E663E">
      <w:pPr>
        <w:rPr>
          <w:sz w:val="17"/>
          <w:szCs w:val="17"/>
        </w:rPr>
      </w:pPr>
      <w:r w:rsidRPr="009D30E6">
        <w:rPr>
          <w:sz w:val="17"/>
          <w:szCs w:val="17"/>
        </w:rPr>
        <w:separator/>
      </w:r>
    </w:p>
    <w:p w:rsidR="00395138" w:rsidRPr="007E663E" w:rsidRDefault="00395138" w:rsidP="007E663E">
      <w:pPr>
        <w:spacing w:after="60"/>
        <w:rPr>
          <w:sz w:val="17"/>
          <w:szCs w:val="17"/>
        </w:rPr>
      </w:pPr>
      <w:r>
        <w:rPr>
          <w:sz w:val="17"/>
        </w:rPr>
        <w:t>[Continuación de la nota de la página anterior]</w:t>
      </w:r>
    </w:p>
  </w:footnote>
  <w:footnote w:type="continuationNotice" w:id="1">
    <w:p w:rsidR="00395138" w:rsidRPr="007E663E" w:rsidRDefault="0039513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395138" w:rsidP="00477D6B">
    <w:pPr>
      <w:jc w:val="right"/>
    </w:pPr>
    <w:bookmarkStart w:id="6" w:name="Code2"/>
    <w:bookmarkEnd w:id="6"/>
    <w:r>
      <w:t>WO/GA/47/11</w:t>
    </w:r>
  </w:p>
  <w:p w:rsidR="00F84474" w:rsidRDefault="00F84474" w:rsidP="00477D6B">
    <w:pPr>
      <w:jc w:val="right"/>
    </w:pPr>
    <w:r>
      <w:t xml:space="preserve">página </w:t>
    </w:r>
    <w:r>
      <w:fldChar w:fldCharType="begin"/>
    </w:r>
    <w:r>
      <w:instrText xml:space="preserve"> PAGE  \* MERGEFORMAT </w:instrText>
    </w:r>
    <w:r>
      <w:fldChar w:fldCharType="separate"/>
    </w:r>
    <w:r w:rsidR="001D734F">
      <w:rPr>
        <w:noProof/>
      </w:rPr>
      <w:t>2</w:t>
    </w:r>
    <w:r>
      <w:fldChar w:fldCharType="end"/>
    </w:r>
  </w:p>
  <w:p w:rsidR="00F84474" w:rsidRDefault="00F8447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ransmlp.wipo.int\Budget and Finance\Meetings|transmlp.wipo.int\Budget and Finance\Publications|transmlp.wipo.int\Patents\Publications|transmlp.wipo.int\Patents\Other|transmlp.wipo.int\Patents\Meetings|transmlp.wipo.int\Administrative\Meetings|transmlp.wipo.int\Administrative\Other|transmlp.wipo.int\Administrative\Publications|transmlp.wipo.int\Copyright\Meetings|transmlp.wipo.int\Copyright\Other|transmlp.wipo.int\Copyright\Publications|transmlp.wipo.int\IP in General\Academy|transmlp.wipo.int\IP in General\Arbitration and Mediation|transmlp.wipo.int\IP in General\Meetings|transmlp.wipo.int\IP in General\Other|transmlp.wipo.int\IP in General\Press Room|transmlp.wipo.int\IP in General\Publications|transmlp.wipo.int\Treaties\Model Laws|transmlp.wipo.int\Treaties\Other Laws and Agreements|transmlp.wipo.int\Treaties\WIPO-administered"/>
    <w:docVar w:name="TextBaseURL" w:val="empty"/>
    <w:docVar w:name="UILng" w:val="en"/>
  </w:docVars>
  <w:rsids>
    <w:rsidRoot w:val="00395138"/>
    <w:rsid w:val="000E3BB3"/>
    <w:rsid w:val="000F5E56"/>
    <w:rsid w:val="001362EE"/>
    <w:rsid w:val="00152CEA"/>
    <w:rsid w:val="001832A6"/>
    <w:rsid w:val="001B06FB"/>
    <w:rsid w:val="001C4DD3"/>
    <w:rsid w:val="001D7293"/>
    <w:rsid w:val="001D734F"/>
    <w:rsid w:val="002634C4"/>
    <w:rsid w:val="002F4E68"/>
    <w:rsid w:val="0032267F"/>
    <w:rsid w:val="00354647"/>
    <w:rsid w:val="00377273"/>
    <w:rsid w:val="003845C1"/>
    <w:rsid w:val="00387287"/>
    <w:rsid w:val="00395138"/>
    <w:rsid w:val="003A31D7"/>
    <w:rsid w:val="003C7E59"/>
    <w:rsid w:val="003D41D4"/>
    <w:rsid w:val="00423E3E"/>
    <w:rsid w:val="00427AF4"/>
    <w:rsid w:val="0045231F"/>
    <w:rsid w:val="004647DA"/>
    <w:rsid w:val="00477D6B"/>
    <w:rsid w:val="004A6C37"/>
    <w:rsid w:val="004F3808"/>
    <w:rsid w:val="004F4A22"/>
    <w:rsid w:val="0055013B"/>
    <w:rsid w:val="0056224D"/>
    <w:rsid w:val="00571B99"/>
    <w:rsid w:val="005D405B"/>
    <w:rsid w:val="00605827"/>
    <w:rsid w:val="00675021"/>
    <w:rsid w:val="006A06C6"/>
    <w:rsid w:val="00750886"/>
    <w:rsid w:val="007E663E"/>
    <w:rsid w:val="00815082"/>
    <w:rsid w:val="00856FA6"/>
    <w:rsid w:val="008B2CC1"/>
    <w:rsid w:val="008B78C0"/>
    <w:rsid w:val="0090731E"/>
    <w:rsid w:val="009161BE"/>
    <w:rsid w:val="00966A22"/>
    <w:rsid w:val="00972F03"/>
    <w:rsid w:val="009A0C8B"/>
    <w:rsid w:val="009B6241"/>
    <w:rsid w:val="00A16FC0"/>
    <w:rsid w:val="00A32C9E"/>
    <w:rsid w:val="00A7453D"/>
    <w:rsid w:val="00AB613D"/>
    <w:rsid w:val="00B65A0A"/>
    <w:rsid w:val="00B72D36"/>
    <w:rsid w:val="00B7457C"/>
    <w:rsid w:val="00BC0020"/>
    <w:rsid w:val="00BC4164"/>
    <w:rsid w:val="00BD2DCC"/>
    <w:rsid w:val="00BD42E8"/>
    <w:rsid w:val="00BE1A8C"/>
    <w:rsid w:val="00C90559"/>
    <w:rsid w:val="00D40CF0"/>
    <w:rsid w:val="00D438E8"/>
    <w:rsid w:val="00D56C7C"/>
    <w:rsid w:val="00D71B4D"/>
    <w:rsid w:val="00D90289"/>
    <w:rsid w:val="00D93D55"/>
    <w:rsid w:val="00E45C84"/>
    <w:rsid w:val="00E504E5"/>
    <w:rsid w:val="00E82851"/>
    <w:rsid w:val="00EB7A3E"/>
    <w:rsid w:val="00EC401A"/>
    <w:rsid w:val="00EF104E"/>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paragraph" w:styleId="ListParagraph">
    <w:name w:val="List Paragraph"/>
    <w:basedOn w:val="Normal"/>
    <w:uiPriority w:val="34"/>
    <w:qFormat/>
    <w:rsid w:val="00750886"/>
    <w:pPr>
      <w:ind w:left="720"/>
      <w:contextualSpacing/>
    </w:pPr>
    <w:rPr>
      <w:lang w:val="en-US"/>
    </w:rPr>
  </w:style>
  <w:style w:type="paragraph" w:customStyle="1" w:styleId="Default">
    <w:name w:val="Default"/>
    <w:rsid w:val="00750886"/>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paragraph" w:styleId="ListParagraph">
    <w:name w:val="List Paragraph"/>
    <w:basedOn w:val="Normal"/>
    <w:uiPriority w:val="34"/>
    <w:qFormat/>
    <w:rsid w:val="00750886"/>
    <w:pPr>
      <w:ind w:left="720"/>
      <w:contextualSpacing/>
    </w:pPr>
    <w:rPr>
      <w:lang w:val="en-US"/>
    </w:rPr>
  </w:style>
  <w:style w:type="paragraph" w:customStyle="1" w:styleId="Default">
    <w:name w:val="Default"/>
    <w:rsid w:val="0075088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7%20(S)%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47 (S) .dotm</Template>
  <TotalTime>7</TotalTime>
  <Pages>2</Pages>
  <Words>407</Words>
  <Characters>2195</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WO/GA/47/</vt:lpstr>
      <vt:lpstr>WO/GA/47/</vt:lpstr>
    </vt:vector>
  </TitlesOfParts>
  <Company>WIPO</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ZEPEDA LEISTENSCHNEIDER Verónica</dc:creator>
  <cp:lastModifiedBy>MARIN-CUDRAZ DAVI Nicoletta</cp:lastModifiedBy>
  <cp:revision>9</cp:revision>
  <dcterms:created xsi:type="dcterms:W3CDTF">2015-05-28T11:57:00Z</dcterms:created>
  <dcterms:modified xsi:type="dcterms:W3CDTF">2015-05-29T14:53:00Z</dcterms:modified>
</cp:coreProperties>
</file>