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15638" w:rsidTr="00A7453D">
        <w:tc>
          <w:tcPr>
            <w:tcW w:w="4513" w:type="dxa"/>
            <w:tcBorders>
              <w:bottom w:val="single" w:sz="4" w:space="0" w:color="auto"/>
            </w:tcBorders>
            <w:tcMar>
              <w:bottom w:w="170" w:type="dxa"/>
            </w:tcMar>
          </w:tcPr>
          <w:p w:rsidR="00E504E5" w:rsidRPr="00D15638" w:rsidRDefault="00E504E5" w:rsidP="00AB613D"/>
        </w:tc>
        <w:tc>
          <w:tcPr>
            <w:tcW w:w="4337" w:type="dxa"/>
            <w:tcBorders>
              <w:bottom w:val="single" w:sz="4" w:space="0" w:color="auto"/>
            </w:tcBorders>
            <w:tcMar>
              <w:left w:w="0" w:type="dxa"/>
              <w:right w:w="0" w:type="dxa"/>
            </w:tcMar>
          </w:tcPr>
          <w:p w:rsidR="00E504E5" w:rsidRPr="00D15638" w:rsidRDefault="00EF104E" w:rsidP="00AB613D">
            <w:bookmarkStart w:id="0" w:name="_GoBack"/>
            <w:r w:rsidRPr="00D15638">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bookmarkEnd w:id="0"/>
          </w:p>
        </w:tc>
        <w:tc>
          <w:tcPr>
            <w:tcW w:w="425" w:type="dxa"/>
            <w:tcBorders>
              <w:bottom w:val="single" w:sz="4" w:space="0" w:color="auto"/>
            </w:tcBorders>
            <w:tcMar>
              <w:left w:w="0" w:type="dxa"/>
              <w:right w:w="0" w:type="dxa"/>
            </w:tcMar>
          </w:tcPr>
          <w:p w:rsidR="00E504E5" w:rsidRPr="00D15638" w:rsidRDefault="00E504E5" w:rsidP="00AB613D">
            <w:pPr>
              <w:jc w:val="right"/>
            </w:pPr>
            <w:r w:rsidRPr="00D15638">
              <w:rPr>
                <w:b/>
                <w:sz w:val="40"/>
                <w:szCs w:val="40"/>
              </w:rPr>
              <w:t>S</w:t>
            </w:r>
          </w:p>
        </w:tc>
      </w:tr>
      <w:tr w:rsidR="008B2CC1" w:rsidRPr="00D1563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15638" w:rsidRDefault="003C7E59" w:rsidP="0032578A">
            <w:pPr>
              <w:jc w:val="right"/>
              <w:rPr>
                <w:rFonts w:ascii="Arial Black" w:hAnsi="Arial Black"/>
                <w:caps/>
                <w:sz w:val="15"/>
              </w:rPr>
            </w:pPr>
            <w:r w:rsidRPr="00D15638">
              <w:rPr>
                <w:rFonts w:ascii="Arial Black" w:hAnsi="Arial Black"/>
                <w:caps/>
                <w:sz w:val="15"/>
              </w:rPr>
              <w:t>WO/GA/47/</w:t>
            </w:r>
            <w:bookmarkStart w:id="1" w:name="Code"/>
            <w:bookmarkEnd w:id="1"/>
            <w:r w:rsidR="0032578A" w:rsidRPr="00D15638">
              <w:rPr>
                <w:rFonts w:ascii="Arial Black" w:hAnsi="Arial Black"/>
                <w:caps/>
                <w:sz w:val="15"/>
              </w:rPr>
              <w:t>10</w:t>
            </w:r>
          </w:p>
        </w:tc>
      </w:tr>
      <w:tr w:rsidR="008B2CC1" w:rsidRPr="00D15638" w:rsidTr="00AB613D">
        <w:trPr>
          <w:trHeight w:hRule="exact" w:val="170"/>
        </w:trPr>
        <w:tc>
          <w:tcPr>
            <w:tcW w:w="9356" w:type="dxa"/>
            <w:gridSpan w:val="3"/>
            <w:noWrap/>
            <w:tcMar>
              <w:left w:w="0" w:type="dxa"/>
              <w:right w:w="0" w:type="dxa"/>
            </w:tcMar>
            <w:vAlign w:val="bottom"/>
          </w:tcPr>
          <w:p w:rsidR="008B2CC1" w:rsidRPr="00D15638" w:rsidRDefault="008B2CC1" w:rsidP="00AB613D">
            <w:pPr>
              <w:jc w:val="right"/>
              <w:rPr>
                <w:rFonts w:ascii="Arial Black" w:hAnsi="Arial Black"/>
                <w:caps/>
                <w:sz w:val="15"/>
              </w:rPr>
            </w:pPr>
            <w:r w:rsidRPr="00D15638">
              <w:rPr>
                <w:rFonts w:ascii="Arial Black" w:hAnsi="Arial Black"/>
                <w:caps/>
                <w:sz w:val="15"/>
              </w:rPr>
              <w:t>ORIGINAL:</w:t>
            </w:r>
            <w:r w:rsidR="00F84474" w:rsidRPr="00D15638">
              <w:rPr>
                <w:rFonts w:ascii="Arial Black" w:hAnsi="Arial Black"/>
                <w:caps/>
                <w:sz w:val="15"/>
              </w:rPr>
              <w:t xml:space="preserve"> </w:t>
            </w:r>
            <w:r w:rsidRPr="00D15638">
              <w:rPr>
                <w:rFonts w:ascii="Arial Black" w:hAnsi="Arial Black"/>
                <w:caps/>
                <w:sz w:val="15"/>
              </w:rPr>
              <w:t xml:space="preserve"> </w:t>
            </w:r>
            <w:bookmarkStart w:id="2" w:name="Original"/>
            <w:bookmarkEnd w:id="2"/>
            <w:r w:rsidR="00CC2BDC" w:rsidRPr="00D15638">
              <w:rPr>
                <w:rFonts w:ascii="Arial Black" w:hAnsi="Arial Black"/>
                <w:caps/>
                <w:sz w:val="15"/>
              </w:rPr>
              <w:t>INGLÉS</w:t>
            </w:r>
          </w:p>
        </w:tc>
      </w:tr>
      <w:tr w:rsidR="008B2CC1" w:rsidRPr="00D15638" w:rsidTr="00AB613D">
        <w:trPr>
          <w:trHeight w:hRule="exact" w:val="198"/>
        </w:trPr>
        <w:tc>
          <w:tcPr>
            <w:tcW w:w="9356" w:type="dxa"/>
            <w:gridSpan w:val="3"/>
            <w:tcMar>
              <w:left w:w="0" w:type="dxa"/>
              <w:right w:w="0" w:type="dxa"/>
            </w:tcMar>
            <w:vAlign w:val="bottom"/>
          </w:tcPr>
          <w:p w:rsidR="008B2CC1" w:rsidRPr="00D15638" w:rsidRDefault="00675021" w:rsidP="00AB613D">
            <w:pPr>
              <w:jc w:val="right"/>
              <w:rPr>
                <w:rFonts w:ascii="Arial Black" w:hAnsi="Arial Black"/>
                <w:caps/>
                <w:sz w:val="15"/>
              </w:rPr>
            </w:pPr>
            <w:r w:rsidRPr="00D15638">
              <w:rPr>
                <w:rFonts w:ascii="Arial Black" w:hAnsi="Arial Black"/>
                <w:caps/>
                <w:sz w:val="15"/>
              </w:rPr>
              <w:t>fecha</w:t>
            </w:r>
            <w:r w:rsidR="008B2CC1" w:rsidRPr="00D15638">
              <w:rPr>
                <w:rFonts w:ascii="Arial Black" w:hAnsi="Arial Black"/>
                <w:caps/>
                <w:sz w:val="15"/>
              </w:rPr>
              <w:t>:</w:t>
            </w:r>
            <w:r w:rsidR="00F84474" w:rsidRPr="00D15638">
              <w:rPr>
                <w:rFonts w:ascii="Arial Black" w:hAnsi="Arial Black"/>
                <w:caps/>
                <w:sz w:val="15"/>
              </w:rPr>
              <w:t xml:space="preserve"> </w:t>
            </w:r>
            <w:r w:rsidR="008B2CC1" w:rsidRPr="00D15638">
              <w:rPr>
                <w:rFonts w:ascii="Arial Black" w:hAnsi="Arial Black"/>
                <w:caps/>
                <w:sz w:val="15"/>
              </w:rPr>
              <w:t xml:space="preserve"> </w:t>
            </w:r>
            <w:bookmarkStart w:id="3" w:name="Date"/>
            <w:bookmarkEnd w:id="3"/>
            <w:r w:rsidR="00CC2BDC" w:rsidRPr="00D15638">
              <w:rPr>
                <w:rFonts w:ascii="Arial Black" w:hAnsi="Arial Black"/>
                <w:caps/>
                <w:sz w:val="15"/>
              </w:rPr>
              <w:t>4 DE SEPTIEMBRE DE 2015</w:t>
            </w:r>
          </w:p>
        </w:tc>
      </w:tr>
    </w:tbl>
    <w:p w:rsidR="008B2CC1" w:rsidRPr="00D15638" w:rsidRDefault="008B2CC1" w:rsidP="008B2CC1"/>
    <w:p w:rsidR="008B2CC1" w:rsidRPr="00D15638" w:rsidRDefault="008B2CC1" w:rsidP="008B2CC1"/>
    <w:p w:rsidR="008B2CC1" w:rsidRPr="00D15638" w:rsidRDefault="008B2CC1" w:rsidP="008B2CC1"/>
    <w:p w:rsidR="008B2CC1" w:rsidRPr="00D15638" w:rsidRDefault="008B2CC1" w:rsidP="008B2CC1"/>
    <w:p w:rsidR="008B2CC1" w:rsidRPr="00D15638" w:rsidRDefault="008B2CC1" w:rsidP="008B2CC1"/>
    <w:p w:rsidR="008B2CC1" w:rsidRPr="00D15638" w:rsidRDefault="003C7E59" w:rsidP="008B2CC1">
      <w:pPr>
        <w:rPr>
          <w:b/>
          <w:sz w:val="28"/>
          <w:szCs w:val="28"/>
        </w:rPr>
      </w:pPr>
      <w:r w:rsidRPr="00D15638">
        <w:rPr>
          <w:b/>
          <w:sz w:val="28"/>
          <w:szCs w:val="28"/>
        </w:rPr>
        <w:t xml:space="preserve">Asamblea General de </w:t>
      </w:r>
      <w:proofErr w:type="spellStart"/>
      <w:r w:rsidRPr="00D15638">
        <w:rPr>
          <w:b/>
          <w:sz w:val="28"/>
          <w:szCs w:val="28"/>
        </w:rPr>
        <w:t>Ia</w:t>
      </w:r>
      <w:proofErr w:type="spellEnd"/>
      <w:r w:rsidRPr="00D15638">
        <w:rPr>
          <w:b/>
          <w:sz w:val="28"/>
          <w:szCs w:val="28"/>
        </w:rPr>
        <w:t xml:space="preserve"> OMPI</w:t>
      </w:r>
    </w:p>
    <w:p w:rsidR="003845C1" w:rsidRPr="00D15638" w:rsidRDefault="003845C1" w:rsidP="003845C1"/>
    <w:p w:rsidR="001C4DD3" w:rsidRPr="00D15638" w:rsidRDefault="001C4DD3" w:rsidP="003845C1"/>
    <w:p w:rsidR="003C7E59" w:rsidRPr="00D15638" w:rsidRDefault="003C7E59" w:rsidP="003C7E59">
      <w:pPr>
        <w:rPr>
          <w:b/>
          <w:sz w:val="24"/>
          <w:szCs w:val="24"/>
        </w:rPr>
      </w:pPr>
      <w:r w:rsidRPr="00D15638">
        <w:rPr>
          <w:b/>
          <w:sz w:val="24"/>
          <w:szCs w:val="24"/>
        </w:rPr>
        <w:t>Cuadragésimo séptimo</w:t>
      </w:r>
      <w:r w:rsidR="00D15638">
        <w:rPr>
          <w:b/>
          <w:sz w:val="24"/>
          <w:szCs w:val="24"/>
        </w:rPr>
        <w:t xml:space="preserve"> perí</w:t>
      </w:r>
      <w:r w:rsidRPr="00D15638">
        <w:rPr>
          <w:b/>
          <w:sz w:val="24"/>
          <w:szCs w:val="24"/>
        </w:rPr>
        <w:t>odo de sesiones (22° ordinari</w:t>
      </w:r>
      <w:r w:rsidR="001B06FB" w:rsidRPr="00D15638">
        <w:rPr>
          <w:b/>
          <w:sz w:val="24"/>
          <w:szCs w:val="24"/>
        </w:rPr>
        <w:t>o</w:t>
      </w:r>
      <w:r w:rsidRPr="00D15638">
        <w:rPr>
          <w:b/>
          <w:sz w:val="24"/>
          <w:szCs w:val="24"/>
        </w:rPr>
        <w:t>)</w:t>
      </w:r>
    </w:p>
    <w:p w:rsidR="008B2CC1" w:rsidRPr="00D15638" w:rsidRDefault="003C7E59" w:rsidP="003C7E59">
      <w:pPr>
        <w:rPr>
          <w:b/>
          <w:sz w:val="24"/>
          <w:szCs w:val="24"/>
        </w:rPr>
      </w:pPr>
      <w:r w:rsidRPr="00D15638">
        <w:rPr>
          <w:b/>
          <w:sz w:val="24"/>
          <w:szCs w:val="24"/>
        </w:rPr>
        <w:t>Ginebra, 5 a 14 de octubre de 2015</w:t>
      </w:r>
    </w:p>
    <w:p w:rsidR="008B2CC1" w:rsidRPr="00D15638" w:rsidRDefault="008B2CC1" w:rsidP="008B2CC1"/>
    <w:p w:rsidR="008B2CC1" w:rsidRPr="00D15638" w:rsidRDefault="008B2CC1" w:rsidP="008B2CC1"/>
    <w:p w:rsidR="008B2CC1" w:rsidRPr="00D15638" w:rsidRDefault="008B2CC1" w:rsidP="008B2CC1"/>
    <w:p w:rsidR="0032578A" w:rsidRPr="00D15638" w:rsidRDefault="00CF5018" w:rsidP="0032578A">
      <w:pPr>
        <w:rPr>
          <w:sz w:val="24"/>
          <w:szCs w:val="24"/>
        </w:rPr>
      </w:pPr>
      <w:bookmarkStart w:id="4" w:name="TitleOfDoc"/>
      <w:bookmarkEnd w:id="4"/>
      <w:r w:rsidRPr="00D15638">
        <w:rPr>
          <w:sz w:val="24"/>
          <w:szCs w:val="24"/>
        </w:rPr>
        <w:t>ASUNTOS RELATIVOS A LA LABOR DEL COMITÉ PERMANENTE SOBRE EL DERECHO DE MARCAS, DISEÑOS INDUSTRIALES E INDICACIONES GEOGRÁFICAS (SCT):  PROPUESTA DE LOS ESTADOS UNIDOS DE AMÉRICA A LA ASAMBLEA GENERAL DE LA OMPI</w:t>
      </w:r>
    </w:p>
    <w:p w:rsidR="0032578A" w:rsidRPr="00D15638" w:rsidRDefault="0032578A" w:rsidP="0032578A"/>
    <w:p w:rsidR="0032578A" w:rsidRPr="00D15638" w:rsidRDefault="0032578A" w:rsidP="0032578A">
      <w:r w:rsidRPr="00D15638">
        <w:rPr>
          <w:i/>
        </w:rPr>
        <w:t>Document</w:t>
      </w:r>
      <w:r w:rsidR="00CF5018" w:rsidRPr="00D15638">
        <w:rPr>
          <w:i/>
        </w:rPr>
        <w:t>o preparado por la Secretaría</w:t>
      </w:r>
    </w:p>
    <w:p w:rsidR="0032578A" w:rsidRPr="00D15638" w:rsidRDefault="0032578A" w:rsidP="0032578A"/>
    <w:p w:rsidR="0032578A" w:rsidRPr="00D15638" w:rsidRDefault="0032578A" w:rsidP="0032578A"/>
    <w:p w:rsidR="0032578A" w:rsidRPr="00D15638" w:rsidRDefault="0032578A" w:rsidP="0032578A"/>
    <w:p w:rsidR="0032578A" w:rsidRPr="00D15638" w:rsidRDefault="0032578A" w:rsidP="0032578A">
      <w:pPr>
        <w:rPr>
          <w:szCs w:val="22"/>
        </w:rPr>
      </w:pPr>
      <w:bookmarkStart w:id="5" w:name="Prepared"/>
      <w:bookmarkEnd w:id="5"/>
    </w:p>
    <w:p w:rsidR="0032578A" w:rsidRPr="00787F0E" w:rsidRDefault="0032578A" w:rsidP="0032578A">
      <w:pPr>
        <w:spacing w:after="120" w:line="260" w:lineRule="atLeast"/>
        <w:contextualSpacing/>
        <w:rPr>
          <w:szCs w:val="22"/>
        </w:rPr>
      </w:pPr>
      <w:r w:rsidRPr="00787F0E">
        <w:rPr>
          <w:szCs w:val="22"/>
        </w:rPr>
        <w:fldChar w:fldCharType="begin"/>
      </w:r>
      <w:r w:rsidRPr="00787F0E">
        <w:rPr>
          <w:szCs w:val="22"/>
        </w:rPr>
        <w:instrText xml:space="preserve"> AUTONUM  </w:instrText>
      </w:r>
      <w:r w:rsidRPr="00787F0E">
        <w:rPr>
          <w:szCs w:val="22"/>
        </w:rPr>
        <w:fldChar w:fldCharType="end"/>
      </w:r>
      <w:r w:rsidR="00577ADC" w:rsidRPr="00787F0E">
        <w:rPr>
          <w:szCs w:val="22"/>
        </w:rPr>
        <w:tab/>
      </w:r>
      <w:r w:rsidR="009A3A3F" w:rsidRPr="00787F0E">
        <w:rPr>
          <w:szCs w:val="22"/>
        </w:rPr>
        <w:t>En una comunicación fechada e</w:t>
      </w:r>
      <w:r w:rsidR="00787F0E" w:rsidRPr="00787F0E">
        <w:rPr>
          <w:szCs w:val="22"/>
        </w:rPr>
        <w:t>l 3</w:t>
      </w:r>
      <w:r w:rsidR="009A3A3F" w:rsidRPr="00787F0E">
        <w:rPr>
          <w:szCs w:val="22"/>
        </w:rPr>
        <w:t xml:space="preserve"> de septiembre d</w:t>
      </w:r>
      <w:r w:rsidR="00787F0E" w:rsidRPr="00787F0E">
        <w:rPr>
          <w:szCs w:val="22"/>
        </w:rPr>
        <w:t>e 2</w:t>
      </w:r>
      <w:r w:rsidR="009A3A3F" w:rsidRPr="00787F0E">
        <w:rPr>
          <w:szCs w:val="22"/>
        </w:rPr>
        <w:t>015, cuya copia se expone en el Anexo, la Delegación de los E</w:t>
      </w:r>
      <w:r w:rsidR="00577ADC" w:rsidRPr="00787F0E">
        <w:rPr>
          <w:szCs w:val="22"/>
        </w:rPr>
        <w:t>s</w:t>
      </w:r>
      <w:r w:rsidR="009A3A3F" w:rsidRPr="00787F0E">
        <w:rPr>
          <w:szCs w:val="22"/>
        </w:rPr>
        <w:t xml:space="preserve">tados Unidos de América solicitó, entre otras cosas, que </w:t>
      </w:r>
      <w:r w:rsidR="00577ADC" w:rsidRPr="00787F0E">
        <w:rPr>
          <w:szCs w:val="22"/>
        </w:rPr>
        <w:t>el documento titulado “Asuntos relativos a la labor del Comité Permanente sobre el Derecho de Marcas, Diseños Industriales e Indicaciones Geográficas (SCT)” se ponga a disposición como documento de trabajo para que sea examinado en el cuadragésimo s</w:t>
      </w:r>
      <w:r w:rsidR="00E438CD" w:rsidRPr="00787F0E">
        <w:rPr>
          <w:szCs w:val="22"/>
        </w:rPr>
        <w:t>éptimo período de sesiones (22º</w:t>
      </w:r>
      <w:r w:rsidR="00577ADC" w:rsidRPr="00787F0E">
        <w:rPr>
          <w:szCs w:val="22"/>
        </w:rPr>
        <w:t xml:space="preserve"> ordinario</w:t>
      </w:r>
      <w:r w:rsidR="00E438CD" w:rsidRPr="00787F0E">
        <w:rPr>
          <w:szCs w:val="22"/>
        </w:rPr>
        <w:t>)</w:t>
      </w:r>
      <w:r w:rsidR="00577ADC" w:rsidRPr="00787F0E">
        <w:rPr>
          <w:szCs w:val="22"/>
        </w:rPr>
        <w:t xml:space="preserve"> de la Asamblea General de la OMPI.</w:t>
      </w:r>
    </w:p>
    <w:p w:rsidR="0032578A" w:rsidRPr="00787F0E" w:rsidRDefault="0032578A" w:rsidP="0032578A">
      <w:pPr>
        <w:spacing w:after="120" w:line="260" w:lineRule="atLeast"/>
        <w:contextualSpacing/>
        <w:rPr>
          <w:szCs w:val="22"/>
        </w:rPr>
      </w:pPr>
    </w:p>
    <w:p w:rsidR="000E50BC" w:rsidRPr="00787F0E" w:rsidRDefault="0032578A" w:rsidP="0032578A">
      <w:pPr>
        <w:pStyle w:val="ONUME"/>
        <w:numPr>
          <w:ilvl w:val="0"/>
          <w:numId w:val="0"/>
        </w:numPr>
        <w:spacing w:after="0"/>
        <w:ind w:left="5501"/>
        <w:rPr>
          <w:i/>
        </w:rPr>
      </w:pPr>
      <w:r w:rsidRPr="00787F0E">
        <w:rPr>
          <w:i/>
        </w:rPr>
        <w:fldChar w:fldCharType="begin"/>
      </w:r>
      <w:r w:rsidRPr="00787F0E">
        <w:rPr>
          <w:i/>
        </w:rPr>
        <w:instrText xml:space="preserve"> AUTONUM  </w:instrText>
      </w:r>
      <w:r w:rsidRPr="00787F0E">
        <w:rPr>
          <w:i/>
        </w:rPr>
        <w:fldChar w:fldCharType="end"/>
      </w:r>
      <w:r w:rsidRPr="00787F0E">
        <w:rPr>
          <w:i/>
        </w:rPr>
        <w:tab/>
      </w:r>
      <w:r w:rsidR="00CF5018" w:rsidRPr="00787F0E">
        <w:rPr>
          <w:i/>
        </w:rPr>
        <w:t xml:space="preserve">Se invita a la Asamblea General de la OMPI a </w:t>
      </w:r>
      <w:r w:rsidR="00577ADC" w:rsidRPr="00787F0E">
        <w:rPr>
          <w:i/>
        </w:rPr>
        <w:t>consi</w:t>
      </w:r>
      <w:r w:rsidR="00BE2CE8" w:rsidRPr="00787F0E">
        <w:rPr>
          <w:i/>
        </w:rPr>
        <w:t>der</w:t>
      </w:r>
      <w:r w:rsidR="00577ADC" w:rsidRPr="00787F0E">
        <w:rPr>
          <w:i/>
        </w:rPr>
        <w:t>a</w:t>
      </w:r>
      <w:r w:rsidRPr="00787F0E">
        <w:rPr>
          <w:i/>
        </w:rPr>
        <w:t xml:space="preserve">r </w:t>
      </w:r>
      <w:r w:rsidR="00577ADC" w:rsidRPr="00787F0E">
        <w:rPr>
          <w:i/>
        </w:rPr>
        <w:t>la comunicación que figura en el Anexo del presente documento</w:t>
      </w:r>
      <w:r w:rsidR="000E50BC" w:rsidRPr="00787F0E">
        <w:rPr>
          <w:i/>
        </w:rPr>
        <w:t>.</w:t>
      </w:r>
    </w:p>
    <w:p w:rsidR="0032578A" w:rsidRPr="00787F0E" w:rsidRDefault="0032578A" w:rsidP="0032578A">
      <w:pPr>
        <w:pStyle w:val="ONUME"/>
        <w:numPr>
          <w:ilvl w:val="0"/>
          <w:numId w:val="0"/>
        </w:numPr>
        <w:spacing w:after="0"/>
        <w:ind w:left="5501"/>
      </w:pPr>
    </w:p>
    <w:p w:rsidR="0032578A" w:rsidRPr="00787F0E" w:rsidRDefault="0032578A" w:rsidP="0032578A">
      <w:pPr>
        <w:pStyle w:val="ONUME"/>
        <w:numPr>
          <w:ilvl w:val="0"/>
          <w:numId w:val="0"/>
        </w:numPr>
        <w:spacing w:after="0"/>
        <w:ind w:left="5501"/>
      </w:pPr>
    </w:p>
    <w:p w:rsidR="0032578A" w:rsidRPr="00787F0E" w:rsidRDefault="0032578A" w:rsidP="0032578A">
      <w:pPr>
        <w:pStyle w:val="ONUME"/>
        <w:numPr>
          <w:ilvl w:val="0"/>
          <w:numId w:val="0"/>
        </w:numPr>
        <w:spacing w:after="0"/>
        <w:ind w:left="5501"/>
        <w:rPr>
          <w:i/>
        </w:rPr>
      </w:pPr>
    </w:p>
    <w:p w:rsidR="0032578A" w:rsidRPr="00787F0E" w:rsidRDefault="0032578A" w:rsidP="0032578A">
      <w:pPr>
        <w:spacing w:after="120" w:line="260" w:lineRule="atLeast"/>
        <w:ind w:left="5500"/>
        <w:contextualSpacing/>
      </w:pPr>
      <w:r w:rsidRPr="00787F0E">
        <w:t>[</w:t>
      </w:r>
      <w:r w:rsidR="00CF5018" w:rsidRPr="00787F0E">
        <w:t>Sigue el Anexo</w:t>
      </w:r>
      <w:r w:rsidRPr="00787F0E">
        <w:t>]</w:t>
      </w:r>
    </w:p>
    <w:p w:rsidR="0032578A" w:rsidRPr="00787F0E" w:rsidRDefault="0032578A" w:rsidP="0032578A">
      <w:pPr>
        <w:spacing w:after="120" w:line="260" w:lineRule="atLeast"/>
        <w:contextualSpacing/>
        <w:rPr>
          <w:szCs w:val="22"/>
        </w:rPr>
      </w:pPr>
    </w:p>
    <w:p w:rsidR="0032578A" w:rsidRPr="00787F0E" w:rsidRDefault="0032578A" w:rsidP="0032578A">
      <w:pPr>
        <w:spacing w:after="120" w:line="260" w:lineRule="atLeast"/>
        <w:ind w:left="5500"/>
        <w:contextualSpacing/>
        <w:rPr>
          <w:szCs w:val="22"/>
        </w:rPr>
        <w:sectPr w:rsidR="0032578A" w:rsidRPr="00787F0E" w:rsidSect="00885AD5">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pP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[Traducción por la Oficina Internacional de una carta con fecha 3 de septiembre de 2015]</w:t>
      </w: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tabs>
          <w:tab w:val="left" w:pos="1701"/>
        </w:tabs>
        <w:ind w:left="1701" w:hanging="1701"/>
        <w:rPr>
          <w:rFonts w:eastAsia="Times New Roman"/>
        </w:rPr>
      </w:pPr>
      <w:r w:rsidRPr="00787F0E">
        <w:rPr>
          <w:rFonts w:eastAsia="Times New Roman"/>
        </w:rPr>
        <w:t>Enviada por:</w:t>
      </w:r>
      <w:r w:rsidRPr="00787F0E">
        <w:rPr>
          <w:rFonts w:eastAsia="Times New Roman"/>
        </w:rPr>
        <w:tab/>
        <w:t>Deborah Lashley-Johnson, Agregada de Propiedad Intelectual, Misión de los Estados Unidos de América ante la Organización Mundial del Comercio</w:t>
      </w:r>
    </w:p>
    <w:p w:rsidR="001D2505" w:rsidRPr="00787F0E" w:rsidRDefault="001D2505" w:rsidP="001D2505">
      <w:pPr>
        <w:rPr>
          <w:rFonts w:eastAsia="Times New Roman"/>
        </w:rPr>
      </w:pPr>
    </w:p>
    <w:p w:rsidR="001D2505" w:rsidRPr="00787F0E" w:rsidRDefault="001D2505" w:rsidP="001D2505">
      <w:pPr>
        <w:tabs>
          <w:tab w:val="left" w:pos="1701"/>
          <w:tab w:val="left" w:pos="1985"/>
        </w:tabs>
        <w:ind w:left="1701" w:hanging="1701"/>
        <w:rPr>
          <w:rFonts w:eastAsia="Times New Roman"/>
        </w:rPr>
      </w:pPr>
      <w:r w:rsidRPr="00787F0E">
        <w:rPr>
          <w:rFonts w:eastAsia="Times New Roman"/>
        </w:rPr>
        <w:t>Destinatario:</w:t>
      </w:r>
      <w:r w:rsidRPr="00787F0E">
        <w:rPr>
          <w:rFonts w:eastAsia="Times New Roman"/>
        </w:rPr>
        <w:tab/>
      </w:r>
      <w:r w:rsidR="000E50BC" w:rsidRPr="00787F0E">
        <w:rPr>
          <w:rFonts w:eastAsia="Times New Roman"/>
        </w:rPr>
        <w:t>Sr. </w:t>
      </w:r>
      <w:r w:rsidRPr="00787F0E">
        <w:rPr>
          <w:rFonts w:eastAsia="Times New Roman"/>
        </w:rPr>
        <w:t>Francis Gurry, Director General de la Organización Mundial de la Propiedad Intelectual</w:t>
      </w: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 xml:space="preserve">Estimado </w:t>
      </w:r>
      <w:r w:rsidR="000E50BC" w:rsidRPr="00787F0E">
        <w:rPr>
          <w:rFonts w:eastAsia="Times New Roman"/>
        </w:rPr>
        <w:t>Dr. </w:t>
      </w:r>
      <w:r w:rsidRPr="00787F0E">
        <w:rPr>
          <w:rFonts w:eastAsia="Times New Roman"/>
        </w:rPr>
        <w:t>Gurry:</w:t>
      </w: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De conformidad con el artículo 5.4) del Reglamento General de la OMPI que figura en la publicación 399 (S) Rev.3 de la OMPI, los Estados Unidos solicitan que se añadan las propuestas siguientes (adjuntas) al orden del día de la quincuagésima quinta serie de reuniones de las Asambleas de los Estados miembros de la OMPI (Ginebra, 5 a 14 de octubre de 2015), en tanto que propuestas que han de ser consideradas en el marco de los correspondientes puntos del orden del día o como nuevos puntos del orden día, según proceda:</w:t>
      </w:r>
    </w:p>
    <w:p w:rsidR="001D2505" w:rsidRPr="00787F0E" w:rsidRDefault="001D2505" w:rsidP="001D2505">
      <w:pPr>
        <w:rPr>
          <w:rFonts w:eastAsia="Times New Roman"/>
        </w:rPr>
      </w:pPr>
    </w:p>
    <w:p w:rsidR="001D2505" w:rsidRPr="00787F0E" w:rsidRDefault="001D2505" w:rsidP="001D2505">
      <w:pPr>
        <w:pStyle w:val="ListParagraph"/>
        <w:numPr>
          <w:ilvl w:val="0"/>
          <w:numId w:val="7"/>
        </w:numPr>
        <w:spacing w:after="0" w:line="240" w:lineRule="auto"/>
        <w:rPr>
          <w:rFonts w:ascii="Arial" w:hAnsi="Arial" w:cs="Arial"/>
          <w:lang w:val="es-ES"/>
        </w:rPr>
      </w:pPr>
      <w:r w:rsidRPr="00787F0E">
        <w:rPr>
          <w:rFonts w:ascii="Arial" w:hAnsi="Arial" w:cs="Arial"/>
          <w:lang w:val="es-ES"/>
        </w:rPr>
        <w:t>Asamblea de la Unión del PCT:  Asuntos relativos a la Unión de Lisboa</w:t>
      </w:r>
    </w:p>
    <w:p w:rsidR="001D2505" w:rsidRPr="00787F0E" w:rsidRDefault="001D2505" w:rsidP="001D2505">
      <w:pPr>
        <w:pStyle w:val="ListParagraph"/>
        <w:numPr>
          <w:ilvl w:val="0"/>
          <w:numId w:val="7"/>
        </w:numPr>
        <w:spacing w:after="0" w:line="240" w:lineRule="auto"/>
        <w:rPr>
          <w:rFonts w:ascii="Arial" w:hAnsi="Arial" w:cs="Arial"/>
          <w:lang w:val="es-ES"/>
        </w:rPr>
      </w:pPr>
      <w:r w:rsidRPr="00787F0E">
        <w:rPr>
          <w:rFonts w:ascii="Arial" w:hAnsi="Arial" w:cs="Arial"/>
          <w:lang w:val="es-ES"/>
        </w:rPr>
        <w:t>Asamblea de la Unión de Madrid:  Asuntos relativos a las Uniones de Madrid y de Lisboa;</w:t>
      </w:r>
    </w:p>
    <w:p w:rsidR="001D2505" w:rsidRPr="00787F0E" w:rsidRDefault="001D2505" w:rsidP="001D2505">
      <w:pPr>
        <w:pStyle w:val="ListParagraph"/>
        <w:numPr>
          <w:ilvl w:val="0"/>
          <w:numId w:val="7"/>
        </w:numPr>
        <w:spacing w:after="0" w:line="240" w:lineRule="auto"/>
        <w:rPr>
          <w:rFonts w:ascii="Arial" w:hAnsi="Arial" w:cs="Arial"/>
          <w:lang w:val="es-ES"/>
        </w:rPr>
      </w:pPr>
      <w:r w:rsidRPr="00787F0E">
        <w:rPr>
          <w:rFonts w:ascii="Arial" w:hAnsi="Arial" w:cs="Arial"/>
          <w:lang w:val="es-ES"/>
        </w:rPr>
        <w:t>Asamblea General de la OMPI:  Asuntos relativos al Comité Permanente de la OMPI sobre el Derecho de Marcas, Diseños Industriales e Indicaciones Geográficas (SCT);</w:t>
      </w:r>
    </w:p>
    <w:p w:rsidR="001D2505" w:rsidRPr="00787F0E" w:rsidRDefault="001D2505" w:rsidP="001D2505">
      <w:pPr>
        <w:pStyle w:val="ListParagraph"/>
        <w:numPr>
          <w:ilvl w:val="0"/>
          <w:numId w:val="7"/>
        </w:numPr>
        <w:spacing w:after="0" w:line="240" w:lineRule="auto"/>
        <w:rPr>
          <w:rFonts w:ascii="Arial" w:hAnsi="Arial" w:cs="Arial"/>
          <w:lang w:val="es-ES"/>
        </w:rPr>
      </w:pPr>
      <w:r w:rsidRPr="00787F0E">
        <w:rPr>
          <w:rFonts w:ascii="Arial" w:hAnsi="Arial" w:cs="Arial"/>
          <w:lang w:val="es-ES"/>
        </w:rPr>
        <w:t>Asamblea General de la OMPI:  Asuntos relativos a la administración del Acta de Ginebra del Arreglo de Lisboa;  y</w:t>
      </w:r>
    </w:p>
    <w:p w:rsidR="001D2505" w:rsidRPr="00787F0E" w:rsidRDefault="001D2505" w:rsidP="001D2505">
      <w:pPr>
        <w:pStyle w:val="ListParagraph"/>
        <w:numPr>
          <w:ilvl w:val="0"/>
          <w:numId w:val="7"/>
        </w:numPr>
        <w:spacing w:after="0" w:line="240" w:lineRule="auto"/>
        <w:rPr>
          <w:rFonts w:ascii="Arial" w:hAnsi="Arial" w:cs="Arial"/>
          <w:lang w:val="es-ES"/>
        </w:rPr>
      </w:pPr>
      <w:r w:rsidRPr="00787F0E">
        <w:rPr>
          <w:rFonts w:ascii="Arial" w:hAnsi="Arial" w:cs="Arial"/>
          <w:lang w:val="es-ES"/>
        </w:rPr>
        <w:t>Asamblea General de la OMPI:  Asuntos relativos al Comité Intergubernamental sobre Propiedad Intelectual y Recursos Genéticos, Conocimientos Tradicionales y Folclore (CIG).</w:t>
      </w: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Los Estados Unidos solicitan asimismo que se reorganice el proyecto de orden del día (documento WO/55/1 Prov.2) de modo que los “Servicios de propiedad intelectual de alcance mundial” (puntos 19 a 23 del orden del día), de los que depende predominantemente el presupuesto de la OMPI, aparezcan antes que el “Presupuesto por programas y asuntos de supervisión” (puntos 10 y 11 del orden del día).</w:t>
      </w: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Le agradecería encarecidamente que me proporcionara una copia de la versión revisada del proyecto de orden del día en el que figuren esos puntos, reorganizado con arreglo a la presente petición.</w:t>
      </w: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Aprovecho la oportunidad para saludarle atentamente.</w:t>
      </w: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rPr>
          <w:rFonts w:eastAsia="Times New Roman"/>
        </w:rPr>
      </w:pPr>
      <w:r w:rsidRPr="00787F0E">
        <w:rPr>
          <w:rFonts w:eastAsia="Times New Roman"/>
        </w:rPr>
        <w:t>(Firmada)</w:t>
      </w: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rPr>
          <w:rFonts w:eastAsia="Times New Roman"/>
        </w:rPr>
      </w:pPr>
    </w:p>
    <w:p w:rsidR="001D2505" w:rsidRPr="00787F0E" w:rsidRDefault="001D2505" w:rsidP="001D2505">
      <w:pPr>
        <w:rPr>
          <w:rFonts w:eastAsia="Times New Roman"/>
          <w:lang w:val="es-ES_tradnl"/>
        </w:rPr>
      </w:pPr>
      <w:r w:rsidRPr="00787F0E">
        <w:rPr>
          <w:rFonts w:eastAsia="Times New Roman"/>
          <w:lang w:val="es-ES_tradnl"/>
        </w:rPr>
        <w:t>Documento adjunto:</w:t>
      </w:r>
    </w:p>
    <w:p w:rsidR="001D2505" w:rsidRPr="00787F0E" w:rsidRDefault="001D2505" w:rsidP="001D2505"/>
    <w:p w:rsidR="0032578A" w:rsidRPr="00787F0E" w:rsidRDefault="0032578A" w:rsidP="0032578A"/>
    <w:p w:rsidR="00533490" w:rsidRDefault="00533490">
      <w:pPr>
        <w:sectPr w:rsidR="00533490" w:rsidSect="00AC6D35">
          <w:headerReference w:type="default" r:id="rId12"/>
          <w:foot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065B1F" w:rsidRPr="00787F0E" w:rsidRDefault="00065B1F"/>
    <w:p w:rsidR="0032578A" w:rsidRPr="00787F0E" w:rsidRDefault="0032578A" w:rsidP="0032578A"/>
    <w:p w:rsidR="0032578A" w:rsidRPr="00787F0E" w:rsidRDefault="00CF5018" w:rsidP="0032578A">
      <w:pPr>
        <w:jc w:val="center"/>
        <w:rPr>
          <w:rFonts w:ascii="Calibri" w:eastAsia="Calibri" w:hAnsi="Calibri" w:cs="Times New Roman"/>
          <w:b/>
          <w:szCs w:val="22"/>
          <w:lang w:eastAsia="en-US"/>
        </w:rPr>
      </w:pPr>
      <w:r w:rsidRPr="00787F0E">
        <w:rPr>
          <w:rFonts w:ascii="Calibri" w:eastAsia="Calibri" w:hAnsi="Calibri" w:cs="Times New Roman"/>
          <w:b/>
          <w:szCs w:val="22"/>
          <w:lang w:eastAsia="en-US"/>
        </w:rPr>
        <w:t xml:space="preserve">Asuntos relativos a la labor del Comité </w:t>
      </w:r>
      <w:r w:rsidR="00BE2CE8" w:rsidRPr="00787F0E">
        <w:rPr>
          <w:rFonts w:ascii="Calibri" w:eastAsia="Calibri" w:hAnsi="Calibri" w:cs="Times New Roman"/>
          <w:b/>
          <w:szCs w:val="22"/>
          <w:lang w:eastAsia="en-US"/>
        </w:rPr>
        <w:t>Permanente</w:t>
      </w:r>
      <w:r w:rsidRPr="00787F0E">
        <w:rPr>
          <w:rFonts w:ascii="Calibri" w:eastAsia="Calibri" w:hAnsi="Calibri" w:cs="Times New Roman"/>
          <w:b/>
          <w:szCs w:val="22"/>
          <w:lang w:eastAsia="en-US"/>
        </w:rPr>
        <w:t xml:space="preserve"> sobre el Derecho de Marcas, Diseños Industriales e Indicaciones Geográficas</w:t>
      </w:r>
      <w:r w:rsidR="0032578A" w:rsidRPr="00787F0E">
        <w:rPr>
          <w:rFonts w:ascii="Calibri" w:eastAsia="Calibri" w:hAnsi="Calibri" w:cs="Times New Roman"/>
          <w:b/>
          <w:szCs w:val="22"/>
          <w:lang w:eastAsia="en-US"/>
        </w:rPr>
        <w:t xml:space="preserve"> (SCT)</w:t>
      </w:r>
    </w:p>
    <w:p w:rsidR="0032578A" w:rsidRPr="00787F0E" w:rsidRDefault="0032578A" w:rsidP="0032578A">
      <w:pPr>
        <w:jc w:val="center"/>
        <w:rPr>
          <w:rFonts w:ascii="Calibri" w:eastAsia="Calibri" w:hAnsi="Calibri" w:cs="Times New Roman"/>
          <w:b/>
          <w:szCs w:val="22"/>
          <w:lang w:eastAsia="en-US"/>
        </w:rPr>
      </w:pPr>
    </w:p>
    <w:p w:rsidR="0032578A" w:rsidRPr="00787F0E" w:rsidRDefault="00CF5018" w:rsidP="0032578A">
      <w:pPr>
        <w:spacing w:after="200" w:line="276" w:lineRule="auto"/>
        <w:jc w:val="center"/>
        <w:rPr>
          <w:rFonts w:ascii="Calibri" w:eastAsia="Calibri" w:hAnsi="Calibri" w:cs="Times New Roman"/>
          <w:b/>
          <w:szCs w:val="22"/>
          <w:lang w:eastAsia="en-US"/>
        </w:rPr>
      </w:pPr>
      <w:r w:rsidRPr="00787F0E">
        <w:rPr>
          <w:rFonts w:ascii="Calibri" w:eastAsia="Calibri" w:hAnsi="Calibri" w:cs="Times New Roman"/>
          <w:b/>
          <w:szCs w:val="22"/>
          <w:lang w:eastAsia="en-US"/>
        </w:rPr>
        <w:t>Propuesta de los Estados Unidos de América a la Asamblea General de la OMPI</w:t>
      </w:r>
    </w:p>
    <w:p w:rsidR="00CF5018" w:rsidRPr="00787F0E" w:rsidRDefault="00CF5018" w:rsidP="0032578A">
      <w:pPr>
        <w:spacing w:after="200" w:line="276" w:lineRule="auto"/>
        <w:rPr>
          <w:rFonts w:ascii="Calibri" w:eastAsia="Calibri" w:hAnsi="Calibri" w:cs="Times New Roman"/>
          <w:szCs w:val="22"/>
          <w:lang w:eastAsia="en-US"/>
        </w:rPr>
      </w:pPr>
      <w:r w:rsidRPr="00787F0E">
        <w:rPr>
          <w:rFonts w:ascii="Calibri" w:eastAsia="Calibri" w:hAnsi="Calibri" w:cs="Times New Roman"/>
          <w:szCs w:val="22"/>
          <w:lang w:eastAsia="en-US"/>
        </w:rPr>
        <w:t xml:space="preserve">Los Estados Unidos de América solicitan que la Asamblea General </w:t>
      </w:r>
      <w:r w:rsidR="009A3A3F" w:rsidRPr="00787F0E">
        <w:rPr>
          <w:rFonts w:ascii="Calibri" w:eastAsia="Calibri" w:hAnsi="Calibri" w:cs="Times New Roman"/>
          <w:szCs w:val="22"/>
          <w:lang w:eastAsia="en-US"/>
        </w:rPr>
        <w:t>adopte</w:t>
      </w:r>
      <w:r w:rsidRPr="00787F0E">
        <w:rPr>
          <w:rFonts w:ascii="Calibri" w:eastAsia="Calibri" w:hAnsi="Calibri" w:cs="Times New Roman"/>
          <w:szCs w:val="22"/>
          <w:lang w:eastAsia="en-US"/>
        </w:rPr>
        <w:t xml:space="preserve"> una </w:t>
      </w:r>
      <w:r w:rsidR="009A3A3F" w:rsidRPr="00787F0E">
        <w:rPr>
          <w:rFonts w:ascii="Calibri" w:eastAsia="Calibri" w:hAnsi="Calibri" w:cs="Times New Roman"/>
          <w:szCs w:val="22"/>
          <w:lang w:eastAsia="en-US"/>
        </w:rPr>
        <w:t>decisión para que e</w:t>
      </w:r>
      <w:r w:rsidR="000E50BC" w:rsidRPr="00787F0E">
        <w:rPr>
          <w:rFonts w:ascii="Calibri" w:eastAsia="Calibri" w:hAnsi="Calibri" w:cs="Times New Roman"/>
          <w:szCs w:val="22"/>
          <w:lang w:eastAsia="en-US"/>
        </w:rPr>
        <w:t>l C</w:t>
      </w:r>
      <w:r w:rsidR="009A3A3F" w:rsidRPr="00787F0E">
        <w:rPr>
          <w:rFonts w:ascii="Calibri" w:eastAsia="Calibri" w:hAnsi="Calibri" w:cs="Times New Roman"/>
          <w:szCs w:val="22"/>
          <w:lang w:eastAsia="en-US"/>
        </w:rPr>
        <w:t>omité Permanente sobre el Derecho de Marcas, Diseños Industriales e Indicaciones Geográficas (SCT) revise el Acta de Ginebra del Arreglo de Lisboa relativo a las Denominaciones de Origen y las Indicaciones Geográficas (Acta de Ginebra) y su Reglamento</w:t>
      </w:r>
      <w:r w:rsidR="00EE56CB" w:rsidRPr="00787F0E">
        <w:rPr>
          <w:rFonts w:ascii="Calibri" w:eastAsia="Calibri" w:hAnsi="Calibri" w:cs="Times New Roman"/>
          <w:szCs w:val="22"/>
          <w:lang w:eastAsia="en-US"/>
        </w:rPr>
        <w:t>,</w:t>
      </w:r>
      <w:r w:rsidR="009A3A3F" w:rsidRPr="00787F0E">
        <w:rPr>
          <w:rFonts w:ascii="Calibri" w:eastAsia="Calibri" w:hAnsi="Calibri" w:cs="Times New Roman"/>
          <w:szCs w:val="22"/>
          <w:lang w:eastAsia="en-US"/>
        </w:rPr>
        <w:t xml:space="preserve"> y examine los sistemas de protección de </w:t>
      </w:r>
      <w:r w:rsidR="00873384">
        <w:rPr>
          <w:rFonts w:ascii="Calibri" w:eastAsia="Calibri" w:hAnsi="Calibri" w:cs="Times New Roman"/>
          <w:szCs w:val="22"/>
          <w:lang w:eastAsia="en-US"/>
        </w:rPr>
        <w:t xml:space="preserve">las </w:t>
      </w:r>
      <w:r w:rsidR="009A3A3F" w:rsidRPr="00A81EDD">
        <w:rPr>
          <w:rFonts w:ascii="Calibri" w:eastAsia="Calibri" w:hAnsi="Calibri" w:cs="Times New Roman"/>
          <w:szCs w:val="22"/>
          <w:lang w:eastAsia="en-US"/>
        </w:rPr>
        <w:t xml:space="preserve">indicaciones de </w:t>
      </w:r>
      <w:r w:rsidR="00A81EDD" w:rsidRPr="00A81EDD">
        <w:rPr>
          <w:rFonts w:ascii="Calibri" w:eastAsia="Calibri" w:hAnsi="Calibri" w:cs="Times New Roman"/>
          <w:szCs w:val="22"/>
          <w:lang w:eastAsia="en-US"/>
        </w:rPr>
        <w:t>procedencia</w:t>
      </w:r>
      <w:r w:rsidR="00EE56CB" w:rsidRPr="00787F0E">
        <w:rPr>
          <w:rFonts w:ascii="Calibri" w:eastAsia="Calibri" w:hAnsi="Calibri" w:cs="Times New Roman"/>
          <w:szCs w:val="22"/>
          <w:lang w:eastAsia="en-US"/>
        </w:rPr>
        <w:t>,</w:t>
      </w:r>
      <w:r w:rsidR="009A3A3F" w:rsidRPr="00787F0E">
        <w:rPr>
          <w:rFonts w:ascii="Calibri" w:eastAsia="Calibri" w:hAnsi="Calibri" w:cs="Times New Roman"/>
          <w:szCs w:val="22"/>
          <w:lang w:eastAsia="en-US"/>
        </w:rPr>
        <w:t xml:space="preserve"> como las marcas de certificación, las marcas colectivas y las indicaciones geogr</w:t>
      </w:r>
      <w:r w:rsidR="00E438CD" w:rsidRPr="00787F0E">
        <w:rPr>
          <w:rFonts w:ascii="Calibri" w:eastAsia="Calibri" w:hAnsi="Calibri" w:cs="Times New Roman"/>
          <w:szCs w:val="22"/>
          <w:lang w:eastAsia="en-US"/>
        </w:rPr>
        <w:t>áfica</w:t>
      </w:r>
      <w:r w:rsidR="00EE56CB" w:rsidRPr="00787F0E">
        <w:rPr>
          <w:rFonts w:ascii="Calibri" w:eastAsia="Calibri" w:hAnsi="Calibri" w:cs="Times New Roman"/>
          <w:szCs w:val="22"/>
          <w:lang w:eastAsia="en-US"/>
        </w:rPr>
        <w:t>s,</w:t>
      </w:r>
      <w:r w:rsidR="00E438CD" w:rsidRPr="00787F0E">
        <w:rPr>
          <w:rFonts w:ascii="Calibri" w:eastAsia="Calibri" w:hAnsi="Calibri" w:cs="Times New Roman"/>
          <w:szCs w:val="22"/>
          <w:lang w:eastAsia="en-US"/>
        </w:rPr>
        <w:t xml:space="preserve"> sin dejar de proteger</w:t>
      </w:r>
      <w:r w:rsidR="009A3A3F" w:rsidRPr="00787F0E">
        <w:rPr>
          <w:rFonts w:ascii="Calibri" w:eastAsia="Calibri" w:hAnsi="Calibri" w:cs="Times New Roman"/>
          <w:szCs w:val="22"/>
          <w:lang w:eastAsia="en-US"/>
        </w:rPr>
        <w:t xml:space="preserve"> el principio de territorialidad y el uso de nombres comunes.</w:t>
      </w:r>
    </w:p>
    <w:p w:rsidR="000E50BC" w:rsidRPr="00787F0E" w:rsidRDefault="005660EF" w:rsidP="0032578A">
      <w:pPr>
        <w:spacing w:after="200" w:line="276" w:lineRule="auto"/>
        <w:rPr>
          <w:rFonts w:ascii="Calibri" w:eastAsia="Calibri" w:hAnsi="Calibri" w:cs="Times New Roman"/>
          <w:szCs w:val="22"/>
          <w:lang w:eastAsia="en-US"/>
        </w:rPr>
      </w:pPr>
      <w:r w:rsidRPr="00787F0E">
        <w:rPr>
          <w:rFonts w:ascii="Calibri" w:eastAsia="Calibri" w:hAnsi="Calibri" w:cs="Times New Roman"/>
          <w:szCs w:val="22"/>
          <w:lang w:eastAsia="en-US"/>
        </w:rPr>
        <w:t xml:space="preserve">Puesto que </w:t>
      </w:r>
      <w:r w:rsidR="004D4A93" w:rsidRPr="00787F0E">
        <w:rPr>
          <w:rFonts w:ascii="Calibri" w:eastAsia="Calibri" w:hAnsi="Calibri" w:cs="Times New Roman"/>
          <w:szCs w:val="22"/>
          <w:lang w:eastAsia="en-US"/>
        </w:rPr>
        <w:t>en el</w:t>
      </w:r>
      <w:r w:rsidRPr="00787F0E">
        <w:rPr>
          <w:rFonts w:ascii="Calibri" w:eastAsia="Calibri" w:hAnsi="Calibri" w:cs="Times New Roman"/>
          <w:szCs w:val="22"/>
          <w:lang w:eastAsia="en-US"/>
        </w:rPr>
        <w:t xml:space="preserve"> Acta de Ginebra </w:t>
      </w:r>
      <w:r w:rsidR="004D4A93" w:rsidRPr="00787F0E">
        <w:rPr>
          <w:rFonts w:ascii="Calibri" w:eastAsia="Calibri" w:hAnsi="Calibri" w:cs="Times New Roman"/>
          <w:szCs w:val="22"/>
          <w:lang w:eastAsia="en-US"/>
        </w:rPr>
        <w:t xml:space="preserve">se </w:t>
      </w:r>
      <w:r w:rsidRPr="00787F0E">
        <w:rPr>
          <w:rFonts w:ascii="Calibri" w:eastAsia="Calibri" w:hAnsi="Calibri" w:cs="Times New Roman"/>
          <w:szCs w:val="22"/>
          <w:lang w:eastAsia="en-US"/>
        </w:rPr>
        <w:t xml:space="preserve">excluyen algunos sistemas </w:t>
      </w:r>
      <w:r w:rsidR="000E50BC" w:rsidRPr="00787F0E">
        <w:rPr>
          <w:rFonts w:ascii="Calibri" w:eastAsia="Calibri" w:hAnsi="Calibri" w:cs="Times New Roman"/>
          <w:szCs w:val="22"/>
          <w:lang w:eastAsia="en-US"/>
        </w:rPr>
        <w:t>sui géneris</w:t>
      </w:r>
      <w:r w:rsidR="00E438CD" w:rsidRPr="00787F0E">
        <w:rPr>
          <w:rFonts w:ascii="Calibri" w:eastAsia="Calibri" w:hAnsi="Calibri" w:cs="Times New Roman"/>
          <w:szCs w:val="22"/>
          <w:lang w:eastAsia="en-US"/>
        </w:rPr>
        <w:t xml:space="preserve"> </w:t>
      </w:r>
      <w:r w:rsidRPr="00787F0E">
        <w:rPr>
          <w:rFonts w:ascii="Calibri" w:eastAsia="Calibri" w:hAnsi="Calibri" w:cs="Times New Roman"/>
          <w:szCs w:val="22"/>
          <w:lang w:eastAsia="en-US"/>
        </w:rPr>
        <w:t>de registro de indicaciones geográficas</w:t>
      </w:r>
      <w:r w:rsidR="00E438CD" w:rsidRPr="00787F0E">
        <w:rPr>
          <w:rFonts w:ascii="Calibri" w:eastAsia="Calibri" w:hAnsi="Calibri" w:cs="Times New Roman"/>
          <w:szCs w:val="22"/>
          <w:lang w:eastAsia="en-US"/>
        </w:rPr>
        <w:t>,</w:t>
      </w:r>
      <w:r w:rsidRPr="00787F0E">
        <w:rPr>
          <w:rFonts w:ascii="Calibri" w:eastAsia="Calibri" w:hAnsi="Calibri" w:cs="Times New Roman"/>
          <w:szCs w:val="22"/>
          <w:lang w:eastAsia="en-US"/>
        </w:rPr>
        <w:t xml:space="preserve"> </w:t>
      </w:r>
      <w:r w:rsidR="004D4A93" w:rsidRPr="00787F0E">
        <w:rPr>
          <w:rFonts w:ascii="Calibri" w:eastAsia="Calibri" w:hAnsi="Calibri" w:cs="Times New Roman"/>
          <w:szCs w:val="22"/>
          <w:lang w:eastAsia="en-US"/>
        </w:rPr>
        <w:t>así como</w:t>
      </w:r>
      <w:r w:rsidRPr="00787F0E">
        <w:rPr>
          <w:rFonts w:ascii="Calibri" w:eastAsia="Calibri" w:hAnsi="Calibri" w:cs="Times New Roman"/>
          <w:szCs w:val="22"/>
          <w:lang w:eastAsia="en-US"/>
        </w:rPr>
        <w:t xml:space="preserve"> la mayor parte de los sistemas de marcas, en particular, los sistemas basados en el </w:t>
      </w:r>
      <w:r w:rsidRPr="00787F0E">
        <w:rPr>
          <w:rFonts w:ascii="Calibri" w:eastAsia="Calibri" w:hAnsi="Calibri" w:cs="Times New Roman"/>
          <w:i/>
          <w:szCs w:val="22"/>
          <w:lang w:eastAsia="en-US"/>
        </w:rPr>
        <w:t>common law</w:t>
      </w:r>
      <w:r w:rsidRPr="00787F0E">
        <w:rPr>
          <w:rFonts w:ascii="Calibri" w:eastAsia="Calibri" w:hAnsi="Calibri" w:cs="Times New Roman"/>
          <w:szCs w:val="22"/>
          <w:lang w:eastAsia="en-US"/>
        </w:rPr>
        <w:t xml:space="preserve">, </w:t>
      </w:r>
      <w:r w:rsidR="004D4A93" w:rsidRPr="00787F0E">
        <w:rPr>
          <w:rFonts w:ascii="Calibri" w:eastAsia="Calibri" w:hAnsi="Calibri" w:cs="Times New Roman"/>
          <w:szCs w:val="22"/>
          <w:lang w:eastAsia="en-US"/>
        </w:rPr>
        <w:t xml:space="preserve">dicha Acta </w:t>
      </w:r>
      <w:r w:rsidR="00FA0CCB" w:rsidRPr="00787F0E">
        <w:rPr>
          <w:rFonts w:ascii="Calibri" w:eastAsia="Calibri" w:hAnsi="Calibri" w:cs="Times New Roman"/>
          <w:szCs w:val="22"/>
          <w:lang w:eastAsia="en-US"/>
        </w:rPr>
        <w:t xml:space="preserve">no constituye el acuerdo </w:t>
      </w:r>
      <w:r w:rsidR="004D4A93" w:rsidRPr="00787F0E">
        <w:rPr>
          <w:rFonts w:ascii="Calibri" w:eastAsia="Calibri" w:hAnsi="Calibri" w:cs="Times New Roman"/>
          <w:szCs w:val="22"/>
          <w:lang w:eastAsia="en-US"/>
        </w:rPr>
        <w:t>inclusivo</w:t>
      </w:r>
      <w:r w:rsidR="00FA0CCB" w:rsidRPr="00787F0E">
        <w:rPr>
          <w:rFonts w:ascii="Calibri" w:eastAsia="Calibri" w:hAnsi="Calibri" w:cs="Times New Roman"/>
          <w:szCs w:val="22"/>
          <w:lang w:eastAsia="en-US"/>
        </w:rPr>
        <w:t xml:space="preserve"> que los miembros de la Unión de Lisboa pidieron mediante el llamado proceso de “revisión” del Arreglo de Lisboa.  Los Estados Unidos de Am</w:t>
      </w:r>
      <w:r w:rsidR="004D4A93" w:rsidRPr="00787F0E">
        <w:rPr>
          <w:rFonts w:ascii="Calibri" w:eastAsia="Calibri" w:hAnsi="Calibri" w:cs="Times New Roman"/>
          <w:szCs w:val="22"/>
          <w:lang w:eastAsia="en-US"/>
        </w:rPr>
        <w:t>érica</w:t>
      </w:r>
      <w:r w:rsidR="00FA0CCB" w:rsidRPr="00787F0E">
        <w:rPr>
          <w:rFonts w:ascii="Calibri" w:eastAsia="Calibri" w:hAnsi="Calibri" w:cs="Times New Roman"/>
          <w:szCs w:val="22"/>
          <w:lang w:eastAsia="en-US"/>
        </w:rPr>
        <w:t xml:space="preserve"> han propuesto, en las últimas sesiones </w:t>
      </w:r>
      <w:r w:rsidR="004D4A93" w:rsidRPr="00787F0E">
        <w:rPr>
          <w:rFonts w:ascii="Calibri" w:eastAsia="Calibri" w:hAnsi="Calibri" w:cs="Times New Roman"/>
          <w:szCs w:val="22"/>
          <w:lang w:eastAsia="en-US"/>
        </w:rPr>
        <w:t xml:space="preserve">del SCT, que se trabaje, mediante un diálogo más integrador, en las diversas maneras de plantear la protección del origen geográfico </w:t>
      </w:r>
      <w:r w:rsidR="00E438CD" w:rsidRPr="00787F0E">
        <w:rPr>
          <w:rFonts w:ascii="Calibri" w:eastAsia="Calibri" w:hAnsi="Calibri" w:cs="Times New Roman"/>
          <w:szCs w:val="22"/>
          <w:lang w:eastAsia="en-US"/>
        </w:rPr>
        <w:t>teniendo</w:t>
      </w:r>
      <w:r w:rsidR="004D4A93" w:rsidRPr="00787F0E">
        <w:rPr>
          <w:rFonts w:ascii="Calibri" w:eastAsia="Calibri" w:hAnsi="Calibri" w:cs="Times New Roman"/>
          <w:szCs w:val="22"/>
          <w:lang w:eastAsia="en-US"/>
        </w:rPr>
        <w:t xml:space="preserve"> más en cuenta los distintos valores e intereses en juego</w:t>
      </w:r>
      <w:r w:rsidR="00787F0E" w:rsidRPr="00787F0E">
        <w:rPr>
          <w:rFonts w:ascii="Calibri" w:eastAsia="Calibri" w:hAnsi="Calibri" w:cs="Times New Roman"/>
          <w:szCs w:val="22"/>
          <w:lang w:eastAsia="en-US"/>
        </w:rPr>
        <w:t>, p</w:t>
      </w:r>
      <w:r w:rsidR="004D4A93" w:rsidRPr="00787F0E">
        <w:rPr>
          <w:rFonts w:ascii="Calibri" w:eastAsia="Calibri" w:hAnsi="Calibri" w:cs="Times New Roman"/>
          <w:szCs w:val="22"/>
          <w:lang w:eastAsia="en-US"/>
        </w:rPr>
        <w:t xml:space="preserve">ero las objeciones de algunos proponentes del </w:t>
      </w:r>
      <w:r w:rsidR="00F01751" w:rsidRPr="00787F0E">
        <w:rPr>
          <w:rFonts w:ascii="Calibri" w:eastAsia="Calibri" w:hAnsi="Calibri" w:cs="Times New Roman"/>
          <w:szCs w:val="22"/>
          <w:lang w:eastAsia="en-US"/>
        </w:rPr>
        <w:t xml:space="preserve">Sistema </w:t>
      </w:r>
      <w:r w:rsidR="004D4A93" w:rsidRPr="00787F0E">
        <w:rPr>
          <w:rFonts w:ascii="Calibri" w:eastAsia="Calibri" w:hAnsi="Calibri" w:cs="Times New Roman"/>
          <w:szCs w:val="22"/>
          <w:lang w:eastAsia="en-US"/>
        </w:rPr>
        <w:t>de Lisboa han bloqueado la propuesta de avanzar en esa dirección</w:t>
      </w:r>
      <w:r w:rsidR="000E50BC" w:rsidRPr="00787F0E">
        <w:rPr>
          <w:rFonts w:ascii="Calibri" w:eastAsia="Calibri" w:hAnsi="Calibri" w:cs="Times New Roman"/>
          <w:szCs w:val="22"/>
          <w:lang w:eastAsia="en-US"/>
        </w:rPr>
        <w:t>.</w:t>
      </w:r>
    </w:p>
    <w:p w:rsidR="004D4A93" w:rsidRPr="00787F0E" w:rsidRDefault="001116B0" w:rsidP="0032578A">
      <w:pPr>
        <w:spacing w:after="200" w:line="276" w:lineRule="auto"/>
        <w:rPr>
          <w:rFonts w:ascii="Calibri" w:eastAsia="Calibri" w:hAnsi="Calibri" w:cs="Times New Roman"/>
          <w:szCs w:val="22"/>
          <w:lang w:eastAsia="en-US"/>
        </w:rPr>
      </w:pPr>
      <w:r w:rsidRPr="00787F0E">
        <w:rPr>
          <w:rFonts w:ascii="Calibri" w:eastAsia="Calibri" w:hAnsi="Calibri" w:cs="Times New Roman"/>
          <w:szCs w:val="22"/>
          <w:lang w:eastAsia="en-US"/>
        </w:rPr>
        <w:t>Durante las negociaciones que culminaron en el Acta de Ginebra, entre las que se incluye la Conferencia Diplomática celebrada en mayo d</w:t>
      </w:r>
      <w:r w:rsidR="00787F0E" w:rsidRPr="00787F0E">
        <w:rPr>
          <w:rFonts w:ascii="Calibri" w:eastAsia="Calibri" w:hAnsi="Calibri" w:cs="Times New Roman"/>
          <w:szCs w:val="22"/>
          <w:lang w:eastAsia="en-US"/>
        </w:rPr>
        <w:t>e 2</w:t>
      </w:r>
      <w:r w:rsidRPr="00787F0E">
        <w:rPr>
          <w:rFonts w:ascii="Calibri" w:eastAsia="Calibri" w:hAnsi="Calibri" w:cs="Times New Roman"/>
          <w:szCs w:val="22"/>
          <w:lang w:eastAsia="en-US"/>
        </w:rPr>
        <w:t xml:space="preserve">015, </w:t>
      </w:r>
      <w:r w:rsidR="00AE2F3B" w:rsidRPr="00787F0E">
        <w:rPr>
          <w:rFonts w:ascii="Calibri" w:eastAsia="Calibri" w:hAnsi="Calibri" w:cs="Times New Roman"/>
          <w:szCs w:val="22"/>
          <w:lang w:eastAsia="en-US"/>
        </w:rPr>
        <w:t>algunos</w:t>
      </w:r>
      <w:r w:rsidRPr="00787F0E">
        <w:rPr>
          <w:rFonts w:ascii="Calibri" w:eastAsia="Calibri" w:hAnsi="Calibri" w:cs="Times New Roman"/>
          <w:szCs w:val="22"/>
          <w:lang w:eastAsia="en-US"/>
        </w:rPr>
        <w:t xml:space="preserve"> miembros de la Unión de Lisboa trataron de obtener un acuerdo internacional para el establecimiento de normas en materia de indicaciones geográfica</w:t>
      </w:r>
      <w:r w:rsidR="000E50BC" w:rsidRPr="00787F0E">
        <w:rPr>
          <w:rFonts w:ascii="Calibri" w:eastAsia="Calibri" w:hAnsi="Calibri" w:cs="Times New Roman"/>
          <w:szCs w:val="22"/>
          <w:lang w:eastAsia="en-US"/>
        </w:rPr>
        <w:t>s a</w:t>
      </w:r>
      <w:r w:rsidR="00FD7921" w:rsidRPr="00787F0E">
        <w:rPr>
          <w:rFonts w:ascii="Calibri" w:eastAsia="Calibri" w:hAnsi="Calibri" w:cs="Times New Roman"/>
          <w:szCs w:val="22"/>
          <w:lang w:eastAsia="en-US"/>
        </w:rPr>
        <w:t>partándose</w:t>
      </w:r>
      <w:r w:rsidRPr="00787F0E">
        <w:rPr>
          <w:rFonts w:ascii="Calibri" w:eastAsia="Calibri" w:hAnsi="Calibri" w:cs="Times New Roman"/>
          <w:szCs w:val="22"/>
          <w:lang w:eastAsia="en-US"/>
        </w:rPr>
        <w:t xml:space="preserve"> del proceso de toma de decisiones por consenso y </w:t>
      </w:r>
      <w:r w:rsidR="00FD7921" w:rsidRPr="00787F0E">
        <w:rPr>
          <w:rFonts w:ascii="Calibri" w:eastAsia="Calibri" w:hAnsi="Calibri" w:cs="Times New Roman"/>
          <w:szCs w:val="22"/>
          <w:lang w:eastAsia="en-US"/>
        </w:rPr>
        <w:t>privando</w:t>
      </w:r>
      <w:r w:rsidRPr="00787F0E">
        <w:rPr>
          <w:rFonts w:ascii="Calibri" w:eastAsia="Calibri" w:hAnsi="Calibri" w:cs="Times New Roman"/>
          <w:szCs w:val="22"/>
          <w:lang w:eastAsia="en-US"/>
        </w:rPr>
        <w:t xml:space="preserve"> a los miembros de la OMPI que no son parte en el Arreglo de Lisboa </w:t>
      </w:r>
      <w:r w:rsidR="00F2451C" w:rsidRPr="00787F0E">
        <w:rPr>
          <w:rFonts w:ascii="Calibri" w:eastAsia="Calibri" w:hAnsi="Calibri" w:cs="Times New Roman"/>
          <w:szCs w:val="22"/>
          <w:lang w:eastAsia="en-US"/>
        </w:rPr>
        <w:t xml:space="preserve">del derecho a una participación significativa.  Por </w:t>
      </w:r>
      <w:r w:rsidR="00FD7921" w:rsidRPr="00787F0E">
        <w:rPr>
          <w:rFonts w:ascii="Calibri" w:eastAsia="Calibri" w:hAnsi="Calibri" w:cs="Times New Roman"/>
          <w:szCs w:val="22"/>
          <w:lang w:eastAsia="en-US"/>
        </w:rPr>
        <w:t>su parte</w:t>
      </w:r>
      <w:r w:rsidR="00F2451C" w:rsidRPr="00787F0E">
        <w:rPr>
          <w:rFonts w:ascii="Calibri" w:eastAsia="Calibri" w:hAnsi="Calibri" w:cs="Times New Roman"/>
          <w:szCs w:val="22"/>
          <w:lang w:eastAsia="en-US"/>
        </w:rPr>
        <w:t xml:space="preserve">, bajo los auspicios del SCT, que es un </w:t>
      </w:r>
      <w:r w:rsidR="00F01751">
        <w:rPr>
          <w:rFonts w:ascii="Calibri" w:eastAsia="Calibri" w:hAnsi="Calibri" w:cs="Times New Roman"/>
          <w:szCs w:val="22"/>
          <w:lang w:eastAsia="en-US"/>
        </w:rPr>
        <w:t>órgano</w:t>
      </w:r>
      <w:r w:rsidR="00F2451C" w:rsidRPr="00787F0E">
        <w:rPr>
          <w:rFonts w:ascii="Calibri" w:eastAsia="Calibri" w:hAnsi="Calibri" w:cs="Times New Roman"/>
          <w:szCs w:val="22"/>
          <w:lang w:eastAsia="en-US"/>
        </w:rPr>
        <w:t xml:space="preserve"> basado en el consenso</w:t>
      </w:r>
      <w:r w:rsidR="00E95F45" w:rsidRPr="00787F0E">
        <w:rPr>
          <w:rFonts w:ascii="Calibri" w:eastAsia="Calibri" w:hAnsi="Calibri" w:cs="Times New Roman"/>
          <w:szCs w:val="22"/>
          <w:lang w:eastAsia="en-US"/>
        </w:rPr>
        <w:t xml:space="preserve"> e</w:t>
      </w:r>
      <w:r w:rsidR="00F2451C" w:rsidRPr="00787F0E">
        <w:rPr>
          <w:rFonts w:ascii="Calibri" w:eastAsia="Calibri" w:hAnsi="Calibri" w:cs="Times New Roman"/>
          <w:szCs w:val="22"/>
          <w:lang w:eastAsia="en-US"/>
        </w:rPr>
        <w:t xml:space="preserve"> integrado por todos los miembros de la OMPI interesados, algunos miembros de la Unión de Lisboa han recurrido al proceso de toma de decisiones por consenso para bloquear </w:t>
      </w:r>
      <w:r w:rsidR="00FD7921" w:rsidRPr="00787F0E">
        <w:rPr>
          <w:rFonts w:ascii="Calibri" w:eastAsia="Calibri" w:hAnsi="Calibri" w:cs="Times New Roman"/>
          <w:szCs w:val="22"/>
          <w:lang w:eastAsia="en-US"/>
        </w:rPr>
        <w:t xml:space="preserve">el enfoque inclusivo en la labor relativa a </w:t>
      </w:r>
      <w:r w:rsidR="00F2451C" w:rsidRPr="00787F0E">
        <w:rPr>
          <w:rFonts w:ascii="Calibri" w:eastAsia="Calibri" w:hAnsi="Calibri" w:cs="Times New Roman"/>
          <w:szCs w:val="22"/>
          <w:lang w:eastAsia="en-US"/>
        </w:rPr>
        <w:t>las indicaciones geográficas que se lleva a cabo en el SCT.</w:t>
      </w:r>
    </w:p>
    <w:p w:rsidR="0032578A" w:rsidRPr="00787F0E" w:rsidRDefault="004D4A93" w:rsidP="0032578A">
      <w:pPr>
        <w:spacing w:after="200" w:line="276" w:lineRule="auto"/>
        <w:rPr>
          <w:rFonts w:ascii="Calibri" w:eastAsia="Calibri" w:hAnsi="Calibri" w:cs="Times New Roman"/>
          <w:szCs w:val="22"/>
          <w:lang w:eastAsia="en-US"/>
        </w:rPr>
      </w:pPr>
      <w:r w:rsidRPr="00787F0E">
        <w:rPr>
          <w:rFonts w:ascii="Calibri" w:eastAsia="Calibri" w:hAnsi="Calibri" w:cs="Times New Roman"/>
          <w:szCs w:val="22"/>
          <w:lang w:eastAsia="en-US"/>
        </w:rPr>
        <w:t>En dicha revisión debería tenerse en cuenta lo siguiente</w:t>
      </w:r>
      <w:r w:rsidR="0032578A" w:rsidRPr="00787F0E">
        <w:rPr>
          <w:rFonts w:ascii="Calibri" w:eastAsia="Calibri" w:hAnsi="Calibri" w:cs="Times New Roman"/>
          <w:szCs w:val="22"/>
          <w:lang w:eastAsia="en-US"/>
        </w:rPr>
        <w:t xml:space="preserve">: </w:t>
      </w:r>
    </w:p>
    <w:p w:rsidR="000E50BC" w:rsidRPr="00787F0E" w:rsidRDefault="00F2451C" w:rsidP="00D41277">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Diversos sistemas nacionales</w:t>
      </w:r>
      <w:r w:rsidR="0032578A" w:rsidRPr="00787F0E">
        <w:rPr>
          <w:rFonts w:ascii="Calibri" w:eastAsia="Calibri" w:hAnsi="Calibri" w:cs="Times New Roman"/>
          <w:b/>
          <w:szCs w:val="22"/>
          <w:lang w:eastAsia="en-US"/>
        </w:rPr>
        <w:t>:</w:t>
      </w:r>
      <w:r w:rsidR="00D41277" w:rsidRPr="00787F0E">
        <w:rPr>
          <w:rFonts w:ascii="Calibri" w:eastAsia="Calibri" w:hAnsi="Calibri" w:cs="Times New Roman"/>
          <w:szCs w:val="22"/>
          <w:lang w:eastAsia="en-US"/>
        </w:rPr>
        <w:t xml:space="preserve">  El SCT debería examinar desde un punto de vista inclusivo y holístico los sistemas de protección de </w:t>
      </w:r>
      <w:r w:rsidR="00D41277" w:rsidRPr="00A81EDD">
        <w:rPr>
          <w:rFonts w:ascii="Calibri" w:eastAsia="Calibri" w:hAnsi="Calibri" w:cs="Times New Roman"/>
          <w:szCs w:val="22"/>
          <w:lang w:eastAsia="en-US"/>
        </w:rPr>
        <w:t xml:space="preserve">las indicaciones de </w:t>
      </w:r>
      <w:r w:rsidR="00A81EDD">
        <w:rPr>
          <w:rFonts w:ascii="Calibri" w:eastAsia="Calibri" w:hAnsi="Calibri" w:cs="Times New Roman"/>
          <w:szCs w:val="22"/>
          <w:lang w:eastAsia="en-US"/>
        </w:rPr>
        <w:t>procedencia</w:t>
      </w:r>
      <w:r w:rsidR="00D41277" w:rsidRPr="00787F0E">
        <w:rPr>
          <w:rFonts w:ascii="Calibri" w:eastAsia="Calibri" w:hAnsi="Calibri" w:cs="Times New Roman"/>
          <w:szCs w:val="22"/>
          <w:lang w:eastAsia="en-US"/>
        </w:rPr>
        <w:t>, como las marcas de certificación, las marcas colectivas y las indicaciones geográficas, sin dejar de proteger el principio de territorialidad y el uso de nombres comunes.  En dicho examen deberían incluirse los diversos sistemas de los miembros de la OMPI</w:t>
      </w:r>
      <w:r w:rsidR="00AE2F3B" w:rsidRPr="00787F0E">
        <w:rPr>
          <w:rFonts w:ascii="Calibri" w:eastAsia="Calibri" w:hAnsi="Calibri" w:cs="Times New Roman"/>
          <w:szCs w:val="22"/>
          <w:lang w:eastAsia="en-US"/>
        </w:rPr>
        <w:t>,</w:t>
      </w:r>
      <w:r w:rsidR="00D41277" w:rsidRPr="00787F0E">
        <w:rPr>
          <w:rFonts w:ascii="Calibri" w:eastAsia="Calibri" w:hAnsi="Calibri" w:cs="Times New Roman"/>
          <w:szCs w:val="22"/>
          <w:lang w:eastAsia="en-US"/>
        </w:rPr>
        <w:t xml:space="preserve"> </w:t>
      </w:r>
      <w:r w:rsidR="00F01751">
        <w:rPr>
          <w:rFonts w:ascii="Calibri" w:eastAsia="Calibri" w:hAnsi="Calibri" w:cs="Times New Roman"/>
          <w:szCs w:val="22"/>
          <w:lang w:eastAsia="en-US"/>
        </w:rPr>
        <w:t>así</w:t>
      </w:r>
      <w:r w:rsidR="00D15638" w:rsidRPr="00787F0E">
        <w:rPr>
          <w:rFonts w:ascii="Calibri" w:eastAsia="Calibri" w:hAnsi="Calibri" w:cs="Times New Roman"/>
          <w:szCs w:val="22"/>
          <w:lang w:eastAsia="en-US"/>
        </w:rPr>
        <w:t xml:space="preserve"> </w:t>
      </w:r>
      <w:r w:rsidR="00F01751">
        <w:rPr>
          <w:rFonts w:ascii="Calibri" w:eastAsia="Calibri" w:hAnsi="Calibri" w:cs="Times New Roman"/>
          <w:szCs w:val="22"/>
          <w:lang w:eastAsia="en-US"/>
        </w:rPr>
        <w:t>como</w:t>
      </w:r>
      <w:r w:rsidR="00D15638" w:rsidRPr="00787F0E">
        <w:rPr>
          <w:rFonts w:ascii="Calibri" w:eastAsia="Calibri" w:hAnsi="Calibri" w:cs="Times New Roman"/>
          <w:szCs w:val="22"/>
          <w:lang w:eastAsia="en-US"/>
        </w:rPr>
        <w:t xml:space="preserve"> </w:t>
      </w:r>
      <w:r w:rsidR="00D41277" w:rsidRPr="00787F0E">
        <w:rPr>
          <w:rFonts w:ascii="Calibri" w:eastAsia="Calibri" w:hAnsi="Calibri" w:cs="Times New Roman"/>
          <w:szCs w:val="22"/>
          <w:lang w:eastAsia="en-US"/>
        </w:rPr>
        <w:t>los aspectos de tales sistemas que no se recogen en el Acta de Ginebra</w:t>
      </w:r>
      <w:r w:rsidR="00082308" w:rsidRPr="00787F0E">
        <w:rPr>
          <w:rFonts w:ascii="Calibri" w:eastAsia="Calibri" w:hAnsi="Calibri" w:cs="Times New Roman"/>
          <w:szCs w:val="22"/>
          <w:lang w:eastAsia="en-US"/>
        </w:rPr>
        <w:t xml:space="preserve"> y que se mencionan a continuación</w:t>
      </w:r>
      <w:r w:rsidR="000E50BC" w:rsidRPr="00787F0E">
        <w:rPr>
          <w:rFonts w:ascii="Calibri" w:eastAsia="Calibri" w:hAnsi="Calibri" w:cs="Times New Roman"/>
          <w:szCs w:val="22"/>
          <w:lang w:eastAsia="en-US"/>
        </w:rPr>
        <w:t>.</w:t>
      </w:r>
    </w:p>
    <w:p w:rsidR="00AE2F3B" w:rsidRPr="00787F0E" w:rsidRDefault="00AE2F3B" w:rsidP="00D41277">
      <w:pPr>
        <w:spacing w:line="276" w:lineRule="auto"/>
        <w:rPr>
          <w:rFonts w:ascii="Calibri" w:eastAsia="Calibri" w:hAnsi="Calibri" w:cs="Times New Roman"/>
          <w:szCs w:val="22"/>
          <w:lang w:eastAsia="en-US"/>
        </w:rPr>
      </w:pPr>
    </w:p>
    <w:p w:rsidR="00D41277" w:rsidRPr="00787F0E" w:rsidRDefault="00D41277" w:rsidP="00D41277">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 xml:space="preserve">Identificar al </w:t>
      </w:r>
      <w:r w:rsidR="00082308" w:rsidRPr="00787F0E">
        <w:rPr>
          <w:rFonts w:ascii="Calibri" w:eastAsia="Calibri" w:hAnsi="Calibri" w:cs="Times New Roman"/>
          <w:b/>
          <w:szCs w:val="22"/>
          <w:lang w:eastAsia="en-US"/>
        </w:rPr>
        <w:t>titular del</w:t>
      </w:r>
      <w:r w:rsidRPr="00787F0E">
        <w:rPr>
          <w:rFonts w:ascii="Calibri" w:eastAsia="Calibri" w:hAnsi="Calibri" w:cs="Times New Roman"/>
          <w:b/>
          <w:szCs w:val="22"/>
          <w:lang w:eastAsia="en-US"/>
        </w:rPr>
        <w:t xml:space="preserve"> registro</w:t>
      </w:r>
      <w:proofErr w:type="gramStart"/>
      <w:r w:rsidR="00E9040B" w:rsidRPr="00787F0E">
        <w:rPr>
          <w:rFonts w:ascii="Calibri" w:eastAsia="Calibri" w:hAnsi="Calibri" w:cs="Times New Roman"/>
          <w:b/>
          <w:szCs w:val="22"/>
          <w:lang w:eastAsia="en-US"/>
        </w:rPr>
        <w:t xml:space="preserve">:  </w:t>
      </w:r>
      <w:r w:rsidR="00474298" w:rsidRPr="00787F0E">
        <w:rPr>
          <w:rFonts w:ascii="Calibri" w:eastAsia="Calibri" w:hAnsi="Calibri" w:cs="Times New Roman"/>
          <w:szCs w:val="22"/>
          <w:lang w:eastAsia="en-US"/>
        </w:rPr>
        <w:t>Normalmente</w:t>
      </w:r>
      <w:proofErr w:type="gramEnd"/>
      <w:r w:rsidR="00474298" w:rsidRPr="00787F0E">
        <w:rPr>
          <w:rFonts w:ascii="Calibri" w:eastAsia="Calibri" w:hAnsi="Calibri" w:cs="Times New Roman"/>
          <w:szCs w:val="22"/>
          <w:lang w:eastAsia="en-US"/>
        </w:rPr>
        <w:t xml:space="preserve">, en los sistemas de protección de los </w:t>
      </w:r>
      <w:r w:rsidR="00474298" w:rsidRPr="00A81EDD">
        <w:rPr>
          <w:rFonts w:ascii="Calibri" w:eastAsia="Calibri" w:hAnsi="Calibri" w:cs="Times New Roman"/>
          <w:szCs w:val="22"/>
          <w:lang w:eastAsia="en-US"/>
        </w:rPr>
        <w:t>identificadores de</w:t>
      </w:r>
      <w:r w:rsidR="00474298" w:rsidRPr="00787F0E">
        <w:rPr>
          <w:rFonts w:ascii="Calibri" w:eastAsia="Calibri" w:hAnsi="Calibri" w:cs="Times New Roman"/>
          <w:szCs w:val="22"/>
          <w:lang w:eastAsia="en-US"/>
        </w:rPr>
        <w:t xml:space="preserve"> </w:t>
      </w:r>
      <w:r w:rsidR="00A81EDD">
        <w:rPr>
          <w:rFonts w:ascii="Calibri" w:eastAsia="Calibri" w:hAnsi="Calibri" w:cs="Times New Roman"/>
          <w:szCs w:val="22"/>
          <w:lang w:eastAsia="en-US"/>
        </w:rPr>
        <w:t>procedencia</w:t>
      </w:r>
      <w:r w:rsidR="00474298" w:rsidRPr="00787F0E">
        <w:rPr>
          <w:rFonts w:ascii="Calibri" w:eastAsia="Calibri" w:hAnsi="Calibri" w:cs="Times New Roman"/>
          <w:szCs w:val="22"/>
          <w:lang w:eastAsia="en-US"/>
        </w:rPr>
        <w:t xml:space="preserve"> se </w:t>
      </w:r>
      <w:r w:rsidR="00DF1670">
        <w:rPr>
          <w:rFonts w:ascii="Calibri" w:eastAsia="Calibri" w:hAnsi="Calibri" w:cs="Times New Roman"/>
          <w:szCs w:val="22"/>
          <w:lang w:eastAsia="en-US"/>
        </w:rPr>
        <w:t>identifica</w:t>
      </w:r>
      <w:r w:rsidR="00252A62" w:rsidRPr="00787F0E">
        <w:rPr>
          <w:rFonts w:ascii="Calibri" w:eastAsia="Calibri" w:hAnsi="Calibri" w:cs="Times New Roman"/>
          <w:szCs w:val="22"/>
          <w:lang w:eastAsia="en-US"/>
        </w:rPr>
        <w:t xml:space="preserve"> a</w:t>
      </w:r>
      <w:r w:rsidR="00474298" w:rsidRPr="00787F0E">
        <w:rPr>
          <w:rFonts w:ascii="Calibri" w:eastAsia="Calibri" w:hAnsi="Calibri" w:cs="Times New Roman"/>
          <w:szCs w:val="22"/>
          <w:lang w:eastAsia="en-US"/>
        </w:rPr>
        <w:t xml:space="preserve"> la parte que tiene el derecho a impedir el uso no autorizado de los identificadores.  No obstante, en virtud del artícul</w:t>
      </w:r>
      <w:r w:rsidR="00787F0E" w:rsidRPr="00787F0E">
        <w:rPr>
          <w:rFonts w:ascii="Calibri" w:eastAsia="Calibri" w:hAnsi="Calibri" w:cs="Times New Roman"/>
          <w:szCs w:val="22"/>
          <w:lang w:eastAsia="en-US"/>
        </w:rPr>
        <w:t>o 5</w:t>
      </w:r>
      <w:r w:rsidR="00474298" w:rsidRPr="00787F0E">
        <w:rPr>
          <w:rFonts w:ascii="Calibri" w:eastAsia="Calibri" w:hAnsi="Calibri" w:cs="Times New Roman"/>
          <w:szCs w:val="22"/>
          <w:lang w:eastAsia="en-US"/>
        </w:rPr>
        <w:t xml:space="preserve"> del Acta de Ginebra, en un registro internacional podrá </w:t>
      </w:r>
      <w:r w:rsidR="00DF1670">
        <w:rPr>
          <w:rFonts w:ascii="Calibri" w:eastAsia="Calibri" w:hAnsi="Calibri" w:cs="Times New Roman"/>
          <w:szCs w:val="22"/>
          <w:lang w:eastAsia="en-US"/>
        </w:rPr>
        <w:t xml:space="preserve">identificarse </w:t>
      </w:r>
      <w:r w:rsidR="00474298" w:rsidRPr="00787F0E">
        <w:rPr>
          <w:rFonts w:ascii="Calibri" w:eastAsia="Calibri" w:hAnsi="Calibri" w:cs="Times New Roman"/>
          <w:szCs w:val="22"/>
          <w:lang w:eastAsia="en-US"/>
        </w:rPr>
        <w:t>a los beneficiarios de la denominación de origen o la indicación geográfica</w:t>
      </w:r>
      <w:r w:rsidR="00DF1670">
        <w:rPr>
          <w:rFonts w:ascii="Calibri" w:eastAsia="Calibri" w:hAnsi="Calibri" w:cs="Times New Roman"/>
          <w:szCs w:val="22"/>
          <w:lang w:eastAsia="en-US"/>
        </w:rPr>
        <w:t>,</w:t>
      </w:r>
      <w:r w:rsidR="00474298" w:rsidRPr="00787F0E">
        <w:rPr>
          <w:rFonts w:ascii="Calibri" w:eastAsia="Calibri" w:hAnsi="Calibri" w:cs="Times New Roman"/>
          <w:szCs w:val="22"/>
          <w:lang w:eastAsia="en-US"/>
        </w:rPr>
        <w:t xml:space="preserve"> así como a la autoridad competente que haya notificado </w:t>
      </w:r>
      <w:r w:rsidR="00DF1670">
        <w:rPr>
          <w:rFonts w:ascii="Calibri" w:eastAsia="Calibri" w:hAnsi="Calibri" w:cs="Times New Roman"/>
          <w:szCs w:val="22"/>
          <w:lang w:eastAsia="en-US"/>
        </w:rPr>
        <w:t>cuáles</w:t>
      </w:r>
      <w:r w:rsidR="00474298" w:rsidRPr="00787F0E">
        <w:rPr>
          <w:rFonts w:ascii="Calibri" w:eastAsia="Calibri" w:hAnsi="Calibri" w:cs="Times New Roman"/>
          <w:szCs w:val="22"/>
          <w:lang w:eastAsia="en-US"/>
        </w:rPr>
        <w:t xml:space="preserve"> son los identificadores, pero en el registro no se </w:t>
      </w:r>
      <w:r w:rsidR="00474298" w:rsidRPr="00787F0E">
        <w:rPr>
          <w:rFonts w:ascii="Calibri" w:eastAsia="Calibri" w:hAnsi="Calibri" w:cs="Times New Roman"/>
          <w:szCs w:val="22"/>
          <w:lang w:eastAsia="en-US"/>
        </w:rPr>
        <w:lastRenderedPageBreak/>
        <w:t xml:space="preserve">identificará necesariamente al </w:t>
      </w:r>
      <w:r w:rsidR="00082308" w:rsidRPr="00787F0E">
        <w:rPr>
          <w:rFonts w:ascii="Calibri" w:eastAsia="Calibri" w:hAnsi="Calibri" w:cs="Times New Roman"/>
          <w:szCs w:val="22"/>
          <w:lang w:eastAsia="en-US"/>
        </w:rPr>
        <w:t>titular del</w:t>
      </w:r>
      <w:r w:rsidR="00474298" w:rsidRPr="00787F0E">
        <w:rPr>
          <w:rFonts w:ascii="Calibri" w:eastAsia="Calibri" w:hAnsi="Calibri" w:cs="Times New Roman"/>
          <w:szCs w:val="22"/>
          <w:lang w:eastAsia="en-US"/>
        </w:rPr>
        <w:t xml:space="preserve"> registro, en cuyo nombre se tiene </w:t>
      </w:r>
      <w:r w:rsidR="00E95F45" w:rsidRPr="00787F0E">
        <w:rPr>
          <w:rFonts w:ascii="Calibri" w:eastAsia="Calibri" w:hAnsi="Calibri" w:cs="Times New Roman"/>
          <w:szCs w:val="22"/>
          <w:lang w:eastAsia="en-US"/>
        </w:rPr>
        <w:t>la titularidad del</w:t>
      </w:r>
      <w:r w:rsidR="00474298" w:rsidRPr="00787F0E">
        <w:rPr>
          <w:rFonts w:ascii="Calibri" w:eastAsia="Calibri" w:hAnsi="Calibri" w:cs="Times New Roman"/>
          <w:szCs w:val="22"/>
          <w:lang w:eastAsia="en-US"/>
        </w:rPr>
        <w:t xml:space="preserve"> derecho en el país de origen, en caso de que lo haya.</w:t>
      </w:r>
      <w:r w:rsidR="00E9040B" w:rsidRPr="00787F0E">
        <w:rPr>
          <w:rFonts w:ascii="Calibri" w:eastAsia="Calibri" w:hAnsi="Calibri" w:cs="Times New Roman"/>
          <w:szCs w:val="22"/>
          <w:lang w:eastAsia="en-US"/>
        </w:rPr>
        <w:t xml:space="preserve">  </w:t>
      </w:r>
      <w:r w:rsidR="00FD7921" w:rsidRPr="00787F0E">
        <w:rPr>
          <w:rFonts w:ascii="Calibri" w:eastAsia="Calibri" w:hAnsi="Calibri" w:cs="Times New Roman"/>
          <w:szCs w:val="22"/>
          <w:lang w:eastAsia="en-US"/>
        </w:rPr>
        <w:t>A los efectos de</w:t>
      </w:r>
      <w:r w:rsidR="00252A62" w:rsidRPr="00787F0E">
        <w:rPr>
          <w:rFonts w:ascii="Calibri" w:eastAsia="Calibri" w:hAnsi="Calibri" w:cs="Times New Roman"/>
          <w:szCs w:val="22"/>
          <w:lang w:eastAsia="en-US"/>
        </w:rPr>
        <w:t xml:space="preserve"> la observancia en los sistemas </w:t>
      </w:r>
      <w:r w:rsidR="00861D29">
        <w:rPr>
          <w:rFonts w:ascii="Calibri" w:eastAsia="Calibri" w:hAnsi="Calibri" w:cs="Times New Roman"/>
          <w:szCs w:val="22"/>
          <w:lang w:eastAsia="en-US"/>
        </w:rPr>
        <w:t xml:space="preserve">de </w:t>
      </w:r>
      <w:r w:rsidR="00252A62" w:rsidRPr="00787F0E">
        <w:rPr>
          <w:rFonts w:ascii="Calibri" w:eastAsia="Calibri" w:hAnsi="Calibri" w:cs="Times New Roman"/>
          <w:szCs w:val="22"/>
          <w:lang w:eastAsia="en-US"/>
        </w:rPr>
        <w:t xml:space="preserve">registro, incluido el sistema de marcas, el </w:t>
      </w:r>
      <w:r w:rsidR="00082308" w:rsidRPr="00787F0E">
        <w:rPr>
          <w:rFonts w:ascii="Calibri" w:eastAsia="Calibri" w:hAnsi="Calibri" w:cs="Times New Roman"/>
          <w:szCs w:val="22"/>
          <w:lang w:eastAsia="en-US"/>
        </w:rPr>
        <w:t>titular del</w:t>
      </w:r>
      <w:r w:rsidR="00252A62" w:rsidRPr="00787F0E">
        <w:rPr>
          <w:rFonts w:ascii="Calibri" w:eastAsia="Calibri" w:hAnsi="Calibri" w:cs="Times New Roman"/>
          <w:szCs w:val="22"/>
          <w:lang w:eastAsia="en-US"/>
        </w:rPr>
        <w:t xml:space="preserve"> registro es la parte </w:t>
      </w:r>
      <w:r w:rsidR="00861D29">
        <w:rPr>
          <w:rFonts w:ascii="Calibri" w:eastAsia="Calibri" w:hAnsi="Calibri" w:cs="Times New Roman"/>
          <w:szCs w:val="22"/>
          <w:lang w:eastAsia="en-US"/>
        </w:rPr>
        <w:t>facultada legalmente a</w:t>
      </w:r>
      <w:r w:rsidR="00252A62" w:rsidRPr="00787F0E">
        <w:rPr>
          <w:rFonts w:ascii="Calibri" w:eastAsia="Calibri" w:hAnsi="Calibri" w:cs="Times New Roman"/>
          <w:szCs w:val="22"/>
          <w:lang w:eastAsia="en-US"/>
        </w:rPr>
        <w:t xml:space="preserve"> hacer valer el derecho contra los usuarios no </w:t>
      </w:r>
      <w:r w:rsidR="0050449B" w:rsidRPr="00787F0E">
        <w:rPr>
          <w:rFonts w:ascii="Calibri" w:eastAsia="Calibri" w:hAnsi="Calibri" w:cs="Times New Roman"/>
          <w:szCs w:val="22"/>
          <w:lang w:eastAsia="en-US"/>
        </w:rPr>
        <w:t>autorizados</w:t>
      </w:r>
      <w:r w:rsidR="00252A62" w:rsidRPr="00787F0E">
        <w:rPr>
          <w:rFonts w:ascii="Calibri" w:eastAsia="Calibri" w:hAnsi="Calibri" w:cs="Times New Roman"/>
          <w:szCs w:val="22"/>
          <w:lang w:eastAsia="en-US"/>
        </w:rPr>
        <w:t>.  Si en el registro internacional no se nombr</w:t>
      </w:r>
      <w:r w:rsidR="0050449B" w:rsidRPr="00787F0E">
        <w:rPr>
          <w:rFonts w:ascii="Calibri" w:eastAsia="Calibri" w:hAnsi="Calibri" w:cs="Times New Roman"/>
          <w:szCs w:val="22"/>
          <w:lang w:eastAsia="en-US"/>
        </w:rPr>
        <w:t>a a</w:t>
      </w:r>
      <w:r w:rsidR="00252A62" w:rsidRPr="00787F0E">
        <w:rPr>
          <w:rFonts w:ascii="Calibri" w:eastAsia="Calibri" w:hAnsi="Calibri" w:cs="Times New Roman"/>
          <w:szCs w:val="22"/>
          <w:lang w:eastAsia="en-US"/>
        </w:rPr>
        <w:t xml:space="preserve"> ningún </w:t>
      </w:r>
      <w:r w:rsidR="00082308" w:rsidRPr="00787F0E">
        <w:rPr>
          <w:rFonts w:ascii="Calibri" w:eastAsia="Calibri" w:hAnsi="Calibri" w:cs="Times New Roman"/>
          <w:szCs w:val="22"/>
          <w:lang w:eastAsia="en-US"/>
        </w:rPr>
        <w:t>titular</w:t>
      </w:r>
      <w:r w:rsidR="00252A62" w:rsidRPr="00787F0E">
        <w:rPr>
          <w:rFonts w:ascii="Calibri" w:eastAsia="Calibri" w:hAnsi="Calibri" w:cs="Times New Roman"/>
          <w:szCs w:val="22"/>
          <w:lang w:eastAsia="en-US"/>
        </w:rPr>
        <w:t xml:space="preserve">, la capacidad de hacer valer el derecho en las </w:t>
      </w:r>
      <w:r w:rsidR="00861D29" w:rsidRPr="00787F0E">
        <w:rPr>
          <w:rFonts w:ascii="Calibri" w:eastAsia="Calibri" w:hAnsi="Calibri" w:cs="Times New Roman"/>
          <w:szCs w:val="22"/>
          <w:lang w:eastAsia="en-US"/>
        </w:rPr>
        <w:t xml:space="preserve">Partes Contratantes </w:t>
      </w:r>
      <w:r w:rsidR="0050449B" w:rsidRPr="00787F0E">
        <w:rPr>
          <w:rFonts w:ascii="Calibri" w:eastAsia="Calibri" w:hAnsi="Calibri" w:cs="Times New Roman"/>
          <w:szCs w:val="22"/>
          <w:lang w:eastAsia="en-US"/>
        </w:rPr>
        <w:t>podría verse disminuida.  El SCT debería considerar el efecto del artícul</w:t>
      </w:r>
      <w:r w:rsidR="00787F0E" w:rsidRPr="00787F0E">
        <w:rPr>
          <w:rFonts w:ascii="Calibri" w:eastAsia="Calibri" w:hAnsi="Calibri" w:cs="Times New Roman"/>
          <w:szCs w:val="22"/>
          <w:lang w:eastAsia="en-US"/>
        </w:rPr>
        <w:t>o 5</w:t>
      </w:r>
      <w:r w:rsidR="0050449B" w:rsidRPr="00787F0E">
        <w:rPr>
          <w:rFonts w:ascii="Calibri" w:eastAsia="Calibri" w:hAnsi="Calibri" w:cs="Times New Roman"/>
          <w:szCs w:val="22"/>
          <w:lang w:eastAsia="en-US"/>
        </w:rPr>
        <w:t xml:space="preserve"> en los miembros de la OMPI </w:t>
      </w:r>
      <w:r w:rsidR="00E9040B" w:rsidRPr="00787F0E">
        <w:rPr>
          <w:rFonts w:ascii="Calibri" w:eastAsia="Calibri" w:hAnsi="Calibri" w:cs="Times New Roman"/>
          <w:szCs w:val="22"/>
          <w:lang w:eastAsia="en-US"/>
        </w:rPr>
        <w:t xml:space="preserve">que exigen que, a los </w:t>
      </w:r>
      <w:r w:rsidR="00D07967" w:rsidRPr="00787F0E">
        <w:rPr>
          <w:rFonts w:ascii="Calibri" w:eastAsia="Calibri" w:hAnsi="Calibri" w:cs="Times New Roman"/>
          <w:szCs w:val="22"/>
          <w:lang w:eastAsia="en-US"/>
        </w:rPr>
        <w:t>efectos de la</w:t>
      </w:r>
      <w:r w:rsidR="00E9040B" w:rsidRPr="00787F0E">
        <w:rPr>
          <w:rFonts w:ascii="Calibri" w:eastAsia="Calibri" w:hAnsi="Calibri" w:cs="Times New Roman"/>
          <w:szCs w:val="22"/>
          <w:lang w:eastAsia="en-US"/>
        </w:rPr>
        <w:t xml:space="preserve"> observancia, se nombre a un </w:t>
      </w:r>
      <w:r w:rsidR="00082308" w:rsidRPr="00787F0E">
        <w:rPr>
          <w:rFonts w:ascii="Calibri" w:eastAsia="Calibri" w:hAnsi="Calibri" w:cs="Times New Roman"/>
          <w:szCs w:val="22"/>
          <w:lang w:eastAsia="en-US"/>
        </w:rPr>
        <w:t>titular del registro</w:t>
      </w:r>
      <w:r w:rsidR="00E9040B" w:rsidRPr="00787F0E">
        <w:rPr>
          <w:rFonts w:ascii="Calibri" w:eastAsia="Calibri" w:hAnsi="Calibri" w:cs="Times New Roman"/>
          <w:szCs w:val="22"/>
          <w:lang w:eastAsia="en-US"/>
        </w:rPr>
        <w:t>.</w:t>
      </w:r>
    </w:p>
    <w:p w:rsidR="00D41277" w:rsidRPr="00787F0E" w:rsidRDefault="00D41277" w:rsidP="00D41277">
      <w:pPr>
        <w:spacing w:line="276" w:lineRule="auto"/>
        <w:rPr>
          <w:rFonts w:ascii="Calibri" w:eastAsia="Calibri" w:hAnsi="Calibri" w:cs="Times New Roman"/>
          <w:szCs w:val="22"/>
          <w:lang w:eastAsia="en-US"/>
        </w:rPr>
      </w:pPr>
    </w:p>
    <w:p w:rsidR="00E9040B" w:rsidRPr="00787F0E" w:rsidRDefault="00E9040B" w:rsidP="00A41C54">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Partes Contratantes que cumplen los requisitos necesarios</w:t>
      </w:r>
      <w:proofErr w:type="gramStart"/>
      <w:r w:rsidR="00A41C54" w:rsidRPr="00787F0E">
        <w:rPr>
          <w:rFonts w:ascii="Calibri" w:eastAsia="Calibri" w:hAnsi="Calibri" w:cs="Times New Roman"/>
          <w:szCs w:val="22"/>
          <w:lang w:eastAsia="en-US"/>
        </w:rPr>
        <w:t xml:space="preserve">:  </w:t>
      </w:r>
      <w:r w:rsidRPr="00787F0E">
        <w:rPr>
          <w:rFonts w:ascii="Calibri" w:eastAsia="Calibri" w:hAnsi="Calibri" w:cs="Times New Roman"/>
          <w:szCs w:val="22"/>
          <w:lang w:eastAsia="en-US"/>
        </w:rPr>
        <w:t>Los</w:t>
      </w:r>
      <w:proofErr w:type="gramEnd"/>
      <w:r w:rsidRPr="00787F0E">
        <w:rPr>
          <w:rFonts w:ascii="Calibri" w:eastAsia="Calibri" w:hAnsi="Calibri" w:cs="Times New Roman"/>
          <w:szCs w:val="22"/>
          <w:lang w:eastAsia="en-US"/>
        </w:rPr>
        <w:t xml:space="preserve"> sistemas de protección de los </w:t>
      </w:r>
      <w:r w:rsidRPr="00A81EDD">
        <w:rPr>
          <w:rFonts w:ascii="Calibri" w:eastAsia="Calibri" w:hAnsi="Calibri" w:cs="Times New Roman"/>
          <w:szCs w:val="22"/>
          <w:lang w:eastAsia="en-US"/>
        </w:rPr>
        <w:t xml:space="preserve">identificadores de </w:t>
      </w:r>
      <w:r w:rsidR="00A81EDD" w:rsidRPr="00A81EDD">
        <w:rPr>
          <w:rFonts w:ascii="Calibri" w:eastAsia="Calibri" w:hAnsi="Calibri" w:cs="Times New Roman"/>
          <w:szCs w:val="22"/>
          <w:lang w:eastAsia="en-US"/>
        </w:rPr>
        <w:t>procedencia</w:t>
      </w:r>
      <w:r w:rsidRPr="00787F0E">
        <w:rPr>
          <w:rFonts w:ascii="Calibri" w:eastAsia="Calibri" w:hAnsi="Calibri" w:cs="Times New Roman"/>
          <w:szCs w:val="22"/>
          <w:lang w:eastAsia="en-US"/>
        </w:rPr>
        <w:t xml:space="preserve"> tampoco suelen </w:t>
      </w:r>
      <w:r w:rsidR="00246CB7">
        <w:rPr>
          <w:rFonts w:ascii="Calibri" w:eastAsia="Calibri" w:hAnsi="Calibri" w:cs="Times New Roman"/>
          <w:szCs w:val="22"/>
          <w:lang w:eastAsia="en-US"/>
        </w:rPr>
        <w:t>establecer diferencias</w:t>
      </w:r>
      <w:r w:rsidRPr="00787F0E">
        <w:rPr>
          <w:rFonts w:ascii="Calibri" w:eastAsia="Calibri" w:hAnsi="Calibri" w:cs="Times New Roman"/>
          <w:szCs w:val="22"/>
          <w:lang w:eastAsia="en-US"/>
        </w:rPr>
        <w:t xml:space="preserve"> entre </w:t>
      </w:r>
      <w:r w:rsidR="00246CB7">
        <w:rPr>
          <w:rFonts w:ascii="Calibri" w:eastAsia="Calibri" w:hAnsi="Calibri" w:cs="Times New Roman"/>
          <w:szCs w:val="22"/>
          <w:lang w:eastAsia="en-US"/>
        </w:rPr>
        <w:t xml:space="preserve">las </w:t>
      </w:r>
      <w:r w:rsidRPr="00787F0E">
        <w:rPr>
          <w:rFonts w:ascii="Calibri" w:eastAsia="Calibri" w:hAnsi="Calibri" w:cs="Times New Roman"/>
          <w:szCs w:val="22"/>
          <w:lang w:eastAsia="en-US"/>
        </w:rPr>
        <w:t>organizaci</w:t>
      </w:r>
      <w:r w:rsidR="00D07967" w:rsidRPr="00787F0E">
        <w:rPr>
          <w:rFonts w:ascii="Calibri" w:eastAsia="Calibri" w:hAnsi="Calibri" w:cs="Times New Roman"/>
          <w:szCs w:val="22"/>
          <w:lang w:eastAsia="en-US"/>
        </w:rPr>
        <w:t>ones intergubernamentales</w:t>
      </w:r>
      <w:r w:rsidRPr="00787F0E">
        <w:rPr>
          <w:rFonts w:ascii="Calibri" w:eastAsia="Calibri" w:hAnsi="Calibri" w:cs="Times New Roman"/>
          <w:szCs w:val="22"/>
          <w:lang w:eastAsia="en-US"/>
        </w:rPr>
        <w:t>.  Sin embargo, en el Acta de Ginebra, las organizaciones intergubernamentales no reciben el mismo trato.  En virtud del artícul</w:t>
      </w:r>
      <w:r w:rsidR="00787F0E" w:rsidRPr="00787F0E">
        <w:rPr>
          <w:rFonts w:ascii="Calibri" w:eastAsia="Calibri" w:hAnsi="Calibri" w:cs="Times New Roman"/>
          <w:szCs w:val="22"/>
          <w:lang w:eastAsia="en-US"/>
        </w:rPr>
        <w:t>o 2</w:t>
      </w:r>
      <w:r w:rsidRPr="00787F0E">
        <w:rPr>
          <w:rFonts w:ascii="Calibri" w:eastAsia="Calibri" w:hAnsi="Calibri" w:cs="Times New Roman"/>
          <w:szCs w:val="22"/>
          <w:lang w:eastAsia="en-US"/>
        </w:rPr>
        <w:t xml:space="preserve">8.1)iii) del Acta de Ginebra, </w:t>
      </w:r>
      <w:r w:rsidR="00A41C54" w:rsidRPr="00787F0E">
        <w:rPr>
          <w:rFonts w:ascii="Calibri" w:eastAsia="Calibri" w:hAnsi="Calibri" w:cs="Times New Roman"/>
          <w:szCs w:val="22"/>
          <w:lang w:eastAsia="en-US"/>
        </w:rPr>
        <w:t xml:space="preserve">toda organización intergubernamental podrá </w:t>
      </w:r>
      <w:r w:rsidR="00AE2F3B" w:rsidRPr="00787F0E">
        <w:rPr>
          <w:rFonts w:ascii="Calibri" w:eastAsia="Calibri" w:hAnsi="Calibri" w:cs="Times New Roman"/>
          <w:szCs w:val="22"/>
          <w:lang w:eastAsia="en-US"/>
        </w:rPr>
        <w:t>adherirse</w:t>
      </w:r>
      <w:r w:rsidR="00A41C54" w:rsidRPr="00787F0E">
        <w:rPr>
          <w:rFonts w:ascii="Calibri" w:eastAsia="Calibri" w:hAnsi="Calibri" w:cs="Times New Roman"/>
          <w:szCs w:val="22"/>
          <w:lang w:eastAsia="en-US"/>
        </w:rPr>
        <w:t xml:space="preserve"> </w:t>
      </w:r>
      <w:r w:rsidR="00AE2F3B" w:rsidRPr="00787F0E">
        <w:rPr>
          <w:rFonts w:ascii="Calibri" w:eastAsia="Calibri" w:hAnsi="Calibri" w:cs="Times New Roman"/>
          <w:szCs w:val="22"/>
          <w:lang w:eastAsia="en-US"/>
        </w:rPr>
        <w:t>a</w:t>
      </w:r>
      <w:r w:rsidR="00A41C54" w:rsidRPr="00787F0E">
        <w:rPr>
          <w:rFonts w:ascii="Calibri" w:eastAsia="Calibri" w:hAnsi="Calibri" w:cs="Times New Roman"/>
          <w:szCs w:val="22"/>
          <w:lang w:eastAsia="en-US"/>
        </w:rPr>
        <w:t>l acuerdo únicamente si “se pueden obtener títulos regionales de protección respecto de las indicaciones geográficas”.  La Organización Regional Africana de la Propiedad Industrial (ARIPO), por ejemplo, no confiere títulos regionales;  en su lugar, conforme a su estructura, cada Estado miembro puede tomar una decisión independiente.  Lo mismo puede afirmarse con respecto a otras organizaciones regionales.  El SCT debería examinar en qué modo el artícul</w:t>
      </w:r>
      <w:r w:rsidR="00787F0E" w:rsidRPr="00787F0E">
        <w:rPr>
          <w:rFonts w:ascii="Calibri" w:eastAsia="Calibri" w:hAnsi="Calibri" w:cs="Times New Roman"/>
          <w:szCs w:val="22"/>
          <w:lang w:eastAsia="en-US"/>
        </w:rPr>
        <w:t>o 2</w:t>
      </w:r>
      <w:r w:rsidR="00A41C54" w:rsidRPr="00787F0E">
        <w:rPr>
          <w:rFonts w:ascii="Calibri" w:eastAsia="Calibri" w:hAnsi="Calibri" w:cs="Times New Roman"/>
          <w:szCs w:val="22"/>
          <w:lang w:eastAsia="en-US"/>
        </w:rPr>
        <w:t>8 excluye a las organizaciones intergubernamentales que no confieren títulos regionales.</w:t>
      </w:r>
    </w:p>
    <w:p w:rsidR="00A41C54" w:rsidRPr="00787F0E" w:rsidRDefault="00A41C54" w:rsidP="00A41C54">
      <w:pPr>
        <w:spacing w:line="276" w:lineRule="auto"/>
        <w:rPr>
          <w:rFonts w:ascii="Calibri" w:eastAsia="Calibri" w:hAnsi="Calibri" w:cs="Times New Roman"/>
          <w:szCs w:val="22"/>
          <w:lang w:eastAsia="en-US"/>
        </w:rPr>
      </w:pPr>
    </w:p>
    <w:p w:rsidR="005F1F73" w:rsidRPr="00787F0E" w:rsidRDefault="00A41C54" w:rsidP="001C6010">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Tasas de renovación</w:t>
      </w:r>
      <w:proofErr w:type="gramStart"/>
      <w:r w:rsidR="001C6010" w:rsidRPr="00787F0E">
        <w:rPr>
          <w:rFonts w:ascii="Calibri" w:eastAsia="Calibri" w:hAnsi="Calibri" w:cs="Times New Roman"/>
          <w:szCs w:val="22"/>
          <w:lang w:eastAsia="en-US"/>
        </w:rPr>
        <w:t xml:space="preserve">:  </w:t>
      </w:r>
      <w:r w:rsidR="00CB763F" w:rsidRPr="00787F0E">
        <w:rPr>
          <w:rFonts w:ascii="Calibri" w:eastAsia="Calibri" w:hAnsi="Calibri" w:cs="Times New Roman"/>
          <w:szCs w:val="22"/>
          <w:lang w:eastAsia="en-US"/>
        </w:rPr>
        <w:t>En</w:t>
      </w:r>
      <w:proofErr w:type="gramEnd"/>
      <w:r w:rsidR="00CB763F" w:rsidRPr="00787F0E">
        <w:rPr>
          <w:rFonts w:ascii="Calibri" w:eastAsia="Calibri" w:hAnsi="Calibri" w:cs="Times New Roman"/>
          <w:szCs w:val="22"/>
          <w:lang w:eastAsia="en-US"/>
        </w:rPr>
        <w:t xml:space="preserve"> muchos miembros de la OMPI, las tasas de renovación o de mantenimiento son un aspecto fundamental de la sostenibilidad financiera de los sistemas nacionales de protección de </w:t>
      </w:r>
      <w:r w:rsidR="00CB763F" w:rsidRPr="00A81EDD">
        <w:rPr>
          <w:rFonts w:ascii="Calibri" w:eastAsia="Calibri" w:hAnsi="Calibri" w:cs="Times New Roman"/>
          <w:szCs w:val="22"/>
          <w:lang w:eastAsia="en-US"/>
        </w:rPr>
        <w:t>los identificadores de</w:t>
      </w:r>
      <w:r w:rsidR="00A81EDD">
        <w:rPr>
          <w:rFonts w:ascii="Calibri" w:eastAsia="Calibri" w:hAnsi="Calibri" w:cs="Times New Roman"/>
          <w:szCs w:val="22"/>
          <w:lang w:eastAsia="en-US"/>
        </w:rPr>
        <w:t xml:space="preserve"> procedencia</w:t>
      </w:r>
      <w:r w:rsidR="00CB763F" w:rsidRPr="00787F0E">
        <w:rPr>
          <w:rFonts w:ascii="Calibri" w:eastAsia="Calibri" w:hAnsi="Calibri" w:cs="Times New Roman"/>
          <w:szCs w:val="22"/>
          <w:lang w:eastAsia="en-US"/>
        </w:rPr>
        <w:t xml:space="preserve">.  No obstante, en el Acta de Ginebra no se establece </w:t>
      </w:r>
      <w:r w:rsidR="00DE673B">
        <w:rPr>
          <w:rFonts w:ascii="Calibri" w:eastAsia="Calibri" w:hAnsi="Calibri" w:cs="Times New Roman"/>
          <w:szCs w:val="22"/>
          <w:lang w:eastAsia="en-US"/>
        </w:rPr>
        <w:t>expresamente</w:t>
      </w:r>
      <w:r w:rsidR="00CB763F" w:rsidRPr="00787F0E">
        <w:rPr>
          <w:rFonts w:ascii="Calibri" w:eastAsia="Calibri" w:hAnsi="Calibri" w:cs="Times New Roman"/>
          <w:szCs w:val="22"/>
          <w:lang w:eastAsia="en-US"/>
        </w:rPr>
        <w:t xml:space="preserve"> que tales tasas </w:t>
      </w:r>
      <w:r w:rsidR="00262E25" w:rsidRPr="00787F0E">
        <w:rPr>
          <w:rFonts w:ascii="Calibri" w:eastAsia="Calibri" w:hAnsi="Calibri" w:cs="Times New Roman"/>
          <w:szCs w:val="22"/>
          <w:lang w:eastAsia="en-US"/>
        </w:rPr>
        <w:t>estén permitidas</w:t>
      </w:r>
      <w:r w:rsidR="00CB763F" w:rsidRPr="00787F0E">
        <w:rPr>
          <w:rFonts w:ascii="Calibri" w:eastAsia="Calibri" w:hAnsi="Calibri" w:cs="Times New Roman"/>
          <w:szCs w:val="22"/>
          <w:lang w:eastAsia="en-US"/>
        </w:rPr>
        <w:t>.  En lugar de ello, el artícul</w:t>
      </w:r>
      <w:r w:rsidR="00787F0E" w:rsidRPr="00787F0E">
        <w:rPr>
          <w:rFonts w:ascii="Calibri" w:eastAsia="Calibri" w:hAnsi="Calibri" w:cs="Times New Roman"/>
          <w:szCs w:val="22"/>
          <w:lang w:eastAsia="en-US"/>
        </w:rPr>
        <w:t>o 7</w:t>
      </w:r>
      <w:r w:rsidR="00CB763F" w:rsidRPr="00787F0E">
        <w:rPr>
          <w:rFonts w:ascii="Calibri" w:eastAsia="Calibri" w:hAnsi="Calibri" w:cs="Times New Roman"/>
          <w:szCs w:val="22"/>
          <w:lang w:eastAsia="en-US"/>
        </w:rPr>
        <w:t xml:space="preserve">.4) del Acta de Ginebra permite a </w:t>
      </w:r>
      <w:r w:rsidR="00DE673B">
        <w:rPr>
          <w:rFonts w:ascii="Calibri" w:eastAsia="Calibri" w:hAnsi="Calibri" w:cs="Times New Roman"/>
          <w:szCs w:val="22"/>
          <w:lang w:eastAsia="en-US"/>
        </w:rPr>
        <w:t xml:space="preserve">cada una de </w:t>
      </w:r>
      <w:r w:rsidR="00CB763F" w:rsidRPr="00787F0E">
        <w:rPr>
          <w:rFonts w:ascii="Calibri" w:eastAsia="Calibri" w:hAnsi="Calibri" w:cs="Times New Roman"/>
          <w:szCs w:val="22"/>
          <w:lang w:eastAsia="en-US"/>
        </w:rPr>
        <w:t xml:space="preserve">las Partes Contratantes “notificar al Director General que exige el pago de una tasa administrativa en relación con el uso por los beneficiarios de la denominación de origen o la indicación geográfica en dicha Parte Contratante.”  Dicha disposición permite a los países o a las organizaciones gubernamentales que cobran tasas de usuario seguir percibiendo ese tipo de tasas.  </w:t>
      </w:r>
      <w:r w:rsidR="00262E25" w:rsidRPr="00787F0E">
        <w:rPr>
          <w:rFonts w:ascii="Calibri" w:eastAsia="Calibri" w:hAnsi="Calibri" w:cs="Times New Roman"/>
          <w:szCs w:val="22"/>
          <w:lang w:eastAsia="en-US"/>
        </w:rPr>
        <w:t xml:space="preserve">Sin embargo, el texto no aclara si la tasa administrativa de renovación o </w:t>
      </w:r>
      <w:r w:rsidR="00AE2F3B" w:rsidRPr="00787F0E">
        <w:rPr>
          <w:rFonts w:ascii="Calibri" w:eastAsia="Calibri" w:hAnsi="Calibri" w:cs="Times New Roman"/>
          <w:szCs w:val="22"/>
          <w:lang w:eastAsia="en-US"/>
        </w:rPr>
        <w:t xml:space="preserve">de </w:t>
      </w:r>
      <w:r w:rsidR="00262E25" w:rsidRPr="00787F0E">
        <w:rPr>
          <w:rFonts w:ascii="Calibri" w:eastAsia="Calibri" w:hAnsi="Calibri" w:cs="Times New Roman"/>
          <w:szCs w:val="22"/>
          <w:lang w:eastAsia="en-US"/>
        </w:rPr>
        <w:t xml:space="preserve">mantenimiento está permitida por el Acta de Ginebra.  En las negociaciones de la Conferencia Diplomática se acentuó aún más </w:t>
      </w:r>
      <w:r w:rsidR="00D07967" w:rsidRPr="00787F0E">
        <w:rPr>
          <w:rFonts w:ascii="Calibri" w:eastAsia="Calibri" w:hAnsi="Calibri" w:cs="Times New Roman"/>
          <w:szCs w:val="22"/>
          <w:lang w:eastAsia="en-US"/>
        </w:rPr>
        <w:t>la</w:t>
      </w:r>
      <w:r w:rsidR="00262E25" w:rsidRPr="00787F0E">
        <w:rPr>
          <w:rFonts w:ascii="Calibri" w:eastAsia="Calibri" w:hAnsi="Calibri" w:cs="Times New Roman"/>
          <w:szCs w:val="22"/>
          <w:lang w:eastAsia="en-US"/>
        </w:rPr>
        <w:t xml:space="preserve"> falta de claridad, </w:t>
      </w:r>
      <w:r w:rsidR="00AE2F3B" w:rsidRPr="00787F0E">
        <w:rPr>
          <w:rFonts w:ascii="Calibri" w:eastAsia="Calibri" w:hAnsi="Calibri" w:cs="Times New Roman"/>
          <w:szCs w:val="22"/>
          <w:lang w:eastAsia="en-US"/>
        </w:rPr>
        <w:t>ya</w:t>
      </w:r>
      <w:r w:rsidR="00262E25" w:rsidRPr="00787F0E">
        <w:rPr>
          <w:rFonts w:ascii="Calibri" w:eastAsia="Calibri" w:hAnsi="Calibri" w:cs="Times New Roman"/>
          <w:szCs w:val="22"/>
          <w:lang w:eastAsia="en-US"/>
        </w:rPr>
        <w:t xml:space="preserve"> que las delegaciones de la Unión de Lisboa rechazaron el enunciado explícito relativo a la</w:t>
      </w:r>
      <w:r w:rsidR="00DE673B">
        <w:rPr>
          <w:rFonts w:ascii="Calibri" w:eastAsia="Calibri" w:hAnsi="Calibri" w:cs="Times New Roman"/>
          <w:szCs w:val="22"/>
          <w:lang w:eastAsia="en-US"/>
        </w:rPr>
        <w:t>s tasas de</w:t>
      </w:r>
      <w:r w:rsidR="00262E25" w:rsidRPr="00787F0E">
        <w:rPr>
          <w:rFonts w:ascii="Calibri" w:eastAsia="Calibri" w:hAnsi="Calibri" w:cs="Times New Roman"/>
          <w:szCs w:val="22"/>
          <w:lang w:eastAsia="en-US"/>
        </w:rPr>
        <w:t xml:space="preserve"> renovación.  El SCT debería examinar el efecto del artícul</w:t>
      </w:r>
      <w:r w:rsidR="00787F0E" w:rsidRPr="00787F0E">
        <w:rPr>
          <w:rFonts w:ascii="Calibri" w:eastAsia="Calibri" w:hAnsi="Calibri" w:cs="Times New Roman"/>
          <w:szCs w:val="22"/>
          <w:lang w:eastAsia="en-US"/>
        </w:rPr>
        <w:t>o 7</w:t>
      </w:r>
      <w:r w:rsidR="00262E25" w:rsidRPr="00787F0E">
        <w:rPr>
          <w:rFonts w:ascii="Calibri" w:eastAsia="Calibri" w:hAnsi="Calibri" w:cs="Times New Roman"/>
          <w:szCs w:val="22"/>
          <w:lang w:eastAsia="en-US"/>
        </w:rPr>
        <w:t xml:space="preserve">.4), que no establece con claridad los requisitos de renovación o de mantenimiento en el plano nacional, obligatorios en muchos sistemas </w:t>
      </w:r>
      <w:r w:rsidR="000E50BC" w:rsidRPr="00787F0E">
        <w:rPr>
          <w:rFonts w:ascii="Calibri" w:eastAsia="Calibri" w:hAnsi="Calibri" w:cs="Times New Roman"/>
          <w:szCs w:val="22"/>
          <w:lang w:eastAsia="en-US"/>
        </w:rPr>
        <w:t>sui géneris</w:t>
      </w:r>
      <w:r w:rsidR="00262E25" w:rsidRPr="00787F0E">
        <w:rPr>
          <w:rFonts w:ascii="Calibri" w:eastAsia="Calibri" w:hAnsi="Calibri" w:cs="Times New Roman"/>
          <w:i/>
          <w:szCs w:val="22"/>
          <w:lang w:eastAsia="en-US"/>
        </w:rPr>
        <w:t xml:space="preserve"> </w:t>
      </w:r>
      <w:r w:rsidR="00262E25" w:rsidRPr="00787F0E">
        <w:rPr>
          <w:rFonts w:ascii="Calibri" w:eastAsia="Calibri" w:hAnsi="Calibri" w:cs="Times New Roman"/>
          <w:szCs w:val="22"/>
          <w:lang w:eastAsia="en-US"/>
        </w:rPr>
        <w:t>de registro de indicaciones geográficas y sistemas de marcas.</w:t>
      </w:r>
    </w:p>
    <w:p w:rsidR="001C6010" w:rsidRPr="00787F0E" w:rsidRDefault="001C6010" w:rsidP="001C6010">
      <w:pPr>
        <w:spacing w:line="276" w:lineRule="auto"/>
        <w:rPr>
          <w:rFonts w:ascii="Calibri" w:eastAsia="Calibri" w:hAnsi="Calibri" w:cs="Times New Roman"/>
          <w:szCs w:val="22"/>
          <w:lang w:eastAsia="en-US"/>
        </w:rPr>
      </w:pPr>
    </w:p>
    <w:p w:rsidR="008D2F31" w:rsidRPr="00787F0E" w:rsidRDefault="008D2F31" w:rsidP="001C6010">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Carácter genérico</w:t>
      </w:r>
      <w:proofErr w:type="gramStart"/>
      <w:r w:rsidR="0032578A" w:rsidRPr="00787F0E">
        <w:rPr>
          <w:rFonts w:ascii="Calibri" w:eastAsia="Calibri" w:hAnsi="Calibri" w:cs="Times New Roman"/>
          <w:b/>
          <w:szCs w:val="22"/>
          <w:lang w:eastAsia="en-US"/>
        </w:rPr>
        <w:t>:</w:t>
      </w:r>
      <w:r w:rsidR="00927892" w:rsidRPr="00787F0E">
        <w:rPr>
          <w:rFonts w:ascii="Calibri" w:eastAsia="Calibri" w:hAnsi="Calibri" w:cs="Times New Roman"/>
          <w:szCs w:val="22"/>
          <w:lang w:eastAsia="en-US"/>
        </w:rPr>
        <w:t xml:space="preserve">  </w:t>
      </w:r>
      <w:r w:rsidRPr="00787F0E">
        <w:rPr>
          <w:rFonts w:ascii="Calibri" w:eastAsia="Calibri" w:hAnsi="Calibri" w:cs="Times New Roman"/>
          <w:szCs w:val="22"/>
          <w:lang w:eastAsia="en-US"/>
        </w:rPr>
        <w:t>En</w:t>
      </w:r>
      <w:proofErr w:type="gramEnd"/>
      <w:r w:rsidRPr="00787F0E">
        <w:rPr>
          <w:rFonts w:ascii="Calibri" w:eastAsia="Calibri" w:hAnsi="Calibri" w:cs="Times New Roman"/>
          <w:szCs w:val="22"/>
          <w:lang w:eastAsia="en-US"/>
        </w:rPr>
        <w:t xml:space="preserve"> muchos miembros de la OMPI, los </w:t>
      </w:r>
      <w:r w:rsidRPr="00A81EDD">
        <w:rPr>
          <w:rFonts w:ascii="Calibri" w:eastAsia="Calibri" w:hAnsi="Calibri" w:cs="Times New Roman"/>
          <w:szCs w:val="22"/>
          <w:lang w:eastAsia="en-US"/>
        </w:rPr>
        <w:t>identificadores de</w:t>
      </w:r>
      <w:r w:rsidR="00A81EDD">
        <w:rPr>
          <w:rFonts w:ascii="Calibri" w:eastAsia="Calibri" w:hAnsi="Calibri" w:cs="Times New Roman"/>
          <w:szCs w:val="22"/>
          <w:lang w:eastAsia="en-US"/>
        </w:rPr>
        <w:t xml:space="preserve"> procedencia</w:t>
      </w:r>
      <w:r w:rsidRPr="00787F0E">
        <w:rPr>
          <w:rFonts w:ascii="Calibri" w:eastAsia="Calibri" w:hAnsi="Calibri" w:cs="Times New Roman"/>
          <w:szCs w:val="22"/>
          <w:lang w:eastAsia="en-US"/>
        </w:rPr>
        <w:t xml:space="preserve"> protegidos pueden adquirir carácter “genérico”.  No obstante, el artícul</w:t>
      </w:r>
      <w:r w:rsidR="00787F0E" w:rsidRPr="00787F0E">
        <w:rPr>
          <w:rFonts w:ascii="Calibri" w:eastAsia="Calibri" w:hAnsi="Calibri" w:cs="Times New Roman"/>
          <w:szCs w:val="22"/>
          <w:lang w:eastAsia="en-US"/>
        </w:rPr>
        <w:t>o 1</w:t>
      </w:r>
      <w:r w:rsidRPr="00787F0E">
        <w:rPr>
          <w:rFonts w:ascii="Calibri" w:eastAsia="Calibri" w:hAnsi="Calibri" w:cs="Times New Roman"/>
          <w:szCs w:val="22"/>
          <w:lang w:eastAsia="en-US"/>
        </w:rPr>
        <w:t>2 del Acta de Ginebra establece que no podrá considerarse qu</w:t>
      </w:r>
      <w:r w:rsidR="000E50BC" w:rsidRPr="00787F0E">
        <w:rPr>
          <w:rFonts w:ascii="Calibri" w:eastAsia="Calibri" w:hAnsi="Calibri" w:cs="Times New Roman"/>
          <w:szCs w:val="22"/>
          <w:lang w:eastAsia="en-US"/>
        </w:rPr>
        <w:t>e l</w:t>
      </w:r>
      <w:r w:rsidRPr="00787F0E">
        <w:rPr>
          <w:rFonts w:ascii="Calibri" w:eastAsia="Calibri" w:hAnsi="Calibri" w:cs="Times New Roman"/>
          <w:szCs w:val="22"/>
          <w:lang w:eastAsia="en-US"/>
        </w:rPr>
        <w:t xml:space="preserve">as denominaciones de origen registradas y las indicaciones geográficas registradas se hayan convertido en genéricas en una Parte Contratante, disposición que excluiría, en principio, los sistemas de protección </w:t>
      </w:r>
      <w:r w:rsidR="00927892" w:rsidRPr="00787F0E">
        <w:rPr>
          <w:rFonts w:ascii="Calibri" w:eastAsia="Calibri" w:hAnsi="Calibri" w:cs="Times New Roman"/>
          <w:szCs w:val="22"/>
          <w:lang w:eastAsia="en-US"/>
        </w:rPr>
        <w:t>en que se contempla que un término pueda haberse convertido en el nombre común de un producto.  El SCT debería considerar el efecto del artícul</w:t>
      </w:r>
      <w:r w:rsidR="00787F0E" w:rsidRPr="00787F0E">
        <w:rPr>
          <w:rFonts w:ascii="Calibri" w:eastAsia="Calibri" w:hAnsi="Calibri" w:cs="Times New Roman"/>
          <w:szCs w:val="22"/>
          <w:lang w:eastAsia="en-US"/>
        </w:rPr>
        <w:t>o 1</w:t>
      </w:r>
      <w:r w:rsidR="00927892" w:rsidRPr="00787F0E">
        <w:rPr>
          <w:rFonts w:ascii="Calibri" w:eastAsia="Calibri" w:hAnsi="Calibri" w:cs="Times New Roman"/>
          <w:szCs w:val="22"/>
          <w:lang w:eastAsia="en-US"/>
        </w:rPr>
        <w:t>2.</w:t>
      </w:r>
    </w:p>
    <w:p w:rsidR="009A3A64" w:rsidRPr="00787F0E" w:rsidRDefault="009A3A64" w:rsidP="001C6010">
      <w:pPr>
        <w:spacing w:line="276" w:lineRule="auto"/>
        <w:rPr>
          <w:rFonts w:ascii="Calibri" w:eastAsia="Calibri" w:hAnsi="Calibri" w:cs="Times New Roman"/>
          <w:szCs w:val="22"/>
          <w:lang w:eastAsia="en-US"/>
        </w:rPr>
      </w:pPr>
    </w:p>
    <w:p w:rsidR="000E50BC" w:rsidRPr="00787F0E" w:rsidRDefault="00A41C54" w:rsidP="0032578A">
      <w:pPr>
        <w:spacing w:after="200"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Alcance de la protección</w:t>
      </w:r>
      <w:proofErr w:type="gramStart"/>
      <w:r w:rsidR="0032578A" w:rsidRPr="00787F0E">
        <w:rPr>
          <w:rFonts w:ascii="Calibri" w:eastAsia="Calibri" w:hAnsi="Calibri" w:cs="Times New Roman"/>
          <w:b/>
          <w:szCs w:val="22"/>
          <w:lang w:eastAsia="en-US"/>
        </w:rPr>
        <w:t>:</w:t>
      </w:r>
      <w:r w:rsidR="00812746" w:rsidRPr="00787F0E">
        <w:rPr>
          <w:rFonts w:ascii="Calibri" w:eastAsia="Calibri" w:hAnsi="Calibri" w:cs="Times New Roman"/>
          <w:szCs w:val="22"/>
          <w:lang w:eastAsia="en-US"/>
        </w:rPr>
        <w:t xml:space="preserve">  </w:t>
      </w:r>
      <w:r w:rsidR="00927892" w:rsidRPr="00787F0E">
        <w:rPr>
          <w:rFonts w:ascii="Calibri" w:eastAsia="Calibri" w:hAnsi="Calibri" w:cs="Times New Roman"/>
          <w:szCs w:val="22"/>
          <w:lang w:eastAsia="en-US"/>
        </w:rPr>
        <w:t>Los</w:t>
      </w:r>
      <w:proofErr w:type="gramEnd"/>
      <w:r w:rsidR="00927892" w:rsidRPr="00787F0E">
        <w:rPr>
          <w:rFonts w:ascii="Calibri" w:eastAsia="Calibri" w:hAnsi="Calibri" w:cs="Times New Roman"/>
          <w:szCs w:val="22"/>
          <w:lang w:eastAsia="en-US"/>
        </w:rPr>
        <w:t xml:space="preserve"> miembros de la OMPI emplean diversos mecanismos de protección de los </w:t>
      </w:r>
      <w:r w:rsidR="00927892" w:rsidRPr="00A81EDD">
        <w:rPr>
          <w:rFonts w:ascii="Calibri" w:eastAsia="Calibri" w:hAnsi="Calibri" w:cs="Times New Roman"/>
          <w:szCs w:val="22"/>
          <w:lang w:eastAsia="en-US"/>
        </w:rPr>
        <w:t xml:space="preserve">identificadores de </w:t>
      </w:r>
      <w:r w:rsidR="00A81EDD" w:rsidRPr="00A81EDD">
        <w:rPr>
          <w:rFonts w:ascii="Calibri" w:eastAsia="Calibri" w:hAnsi="Calibri" w:cs="Times New Roman"/>
          <w:szCs w:val="22"/>
          <w:lang w:eastAsia="en-US"/>
        </w:rPr>
        <w:t>procedencia</w:t>
      </w:r>
      <w:r w:rsidR="00927892" w:rsidRPr="00787F0E">
        <w:rPr>
          <w:rFonts w:ascii="Calibri" w:eastAsia="Calibri" w:hAnsi="Calibri" w:cs="Times New Roman"/>
          <w:szCs w:val="22"/>
          <w:lang w:eastAsia="en-US"/>
        </w:rPr>
        <w:t xml:space="preserve"> en los que se adoptan distintos enfoques con respecto al alcance de la protección que confieren.  </w:t>
      </w:r>
      <w:r w:rsidR="00D218A2">
        <w:rPr>
          <w:rFonts w:ascii="Calibri" w:eastAsia="Calibri" w:hAnsi="Calibri" w:cs="Times New Roman"/>
          <w:szCs w:val="22"/>
          <w:lang w:eastAsia="en-US"/>
        </w:rPr>
        <w:t>E</w:t>
      </w:r>
      <w:r w:rsidR="00927892" w:rsidRPr="00787F0E">
        <w:rPr>
          <w:rFonts w:ascii="Calibri" w:eastAsia="Calibri" w:hAnsi="Calibri" w:cs="Times New Roman"/>
          <w:szCs w:val="22"/>
          <w:lang w:eastAsia="en-US"/>
        </w:rPr>
        <w:t>l Acta de Ginebra, no obstante, favorece principalmente uno de tales enfoques, y excede considerablement</w:t>
      </w:r>
      <w:r w:rsidR="000E50BC" w:rsidRPr="00787F0E">
        <w:rPr>
          <w:rFonts w:ascii="Calibri" w:eastAsia="Calibri" w:hAnsi="Calibri" w:cs="Times New Roman"/>
          <w:szCs w:val="22"/>
          <w:lang w:eastAsia="en-US"/>
        </w:rPr>
        <w:t>e e</w:t>
      </w:r>
      <w:r w:rsidR="00927892" w:rsidRPr="00787F0E">
        <w:rPr>
          <w:rFonts w:ascii="Calibri" w:eastAsia="Calibri" w:hAnsi="Calibri" w:cs="Times New Roman"/>
          <w:szCs w:val="22"/>
          <w:lang w:eastAsia="en-US"/>
        </w:rPr>
        <w:t xml:space="preserve">l alcance de la protección que se confiere en el marco de </w:t>
      </w:r>
      <w:r w:rsidR="00927892" w:rsidRPr="00787F0E">
        <w:rPr>
          <w:rFonts w:ascii="Calibri" w:eastAsia="Calibri" w:hAnsi="Calibri" w:cs="Times New Roman"/>
          <w:szCs w:val="22"/>
          <w:lang w:eastAsia="en-US"/>
        </w:rPr>
        <w:lastRenderedPageBreak/>
        <w:t xml:space="preserve">numerosas jurisdicciones nacionales de </w:t>
      </w:r>
      <w:r w:rsidR="00D218A2">
        <w:rPr>
          <w:rFonts w:ascii="Calibri" w:eastAsia="Calibri" w:hAnsi="Calibri" w:cs="Times New Roman"/>
          <w:szCs w:val="22"/>
          <w:lang w:eastAsia="en-US"/>
        </w:rPr>
        <w:t xml:space="preserve">miembros de </w:t>
      </w:r>
      <w:r w:rsidR="00927892" w:rsidRPr="00787F0E">
        <w:rPr>
          <w:rFonts w:ascii="Calibri" w:eastAsia="Calibri" w:hAnsi="Calibri" w:cs="Times New Roman"/>
          <w:szCs w:val="22"/>
          <w:lang w:eastAsia="en-US"/>
        </w:rPr>
        <w:t xml:space="preserve">la OMPI y en el de otros acuerdos internacionales </w:t>
      </w:r>
      <w:r w:rsidR="009A3A64" w:rsidRPr="00787F0E">
        <w:rPr>
          <w:rFonts w:ascii="Calibri" w:eastAsia="Calibri" w:hAnsi="Calibri" w:cs="Times New Roman"/>
          <w:szCs w:val="22"/>
          <w:lang w:eastAsia="en-US"/>
        </w:rPr>
        <w:t>pertinentes</w:t>
      </w:r>
      <w:r w:rsidR="00927892" w:rsidRPr="00787F0E">
        <w:rPr>
          <w:rFonts w:ascii="Calibri" w:eastAsia="Calibri" w:hAnsi="Calibri" w:cs="Times New Roman"/>
          <w:szCs w:val="22"/>
          <w:lang w:eastAsia="en-US"/>
        </w:rPr>
        <w:t>.  Por ejemplo, el artícul</w:t>
      </w:r>
      <w:r w:rsidR="00787F0E" w:rsidRPr="00787F0E">
        <w:rPr>
          <w:rFonts w:ascii="Calibri" w:eastAsia="Calibri" w:hAnsi="Calibri" w:cs="Times New Roman"/>
          <w:szCs w:val="22"/>
          <w:lang w:eastAsia="en-US"/>
        </w:rPr>
        <w:t>o 1</w:t>
      </w:r>
      <w:r w:rsidR="00927892" w:rsidRPr="00787F0E">
        <w:rPr>
          <w:rFonts w:ascii="Calibri" w:eastAsia="Calibri" w:hAnsi="Calibri" w:cs="Times New Roman"/>
          <w:szCs w:val="22"/>
          <w:lang w:eastAsia="en-US"/>
        </w:rPr>
        <w:t xml:space="preserve">1 del Acta de Ginebra establece </w:t>
      </w:r>
      <w:r w:rsidR="00B25141" w:rsidRPr="00787F0E">
        <w:rPr>
          <w:rFonts w:ascii="Calibri" w:eastAsia="Calibri" w:hAnsi="Calibri" w:cs="Times New Roman"/>
          <w:szCs w:val="22"/>
          <w:lang w:eastAsia="en-US"/>
        </w:rPr>
        <w:t>un grado</w:t>
      </w:r>
      <w:r w:rsidR="00927892" w:rsidRPr="00787F0E">
        <w:rPr>
          <w:rFonts w:ascii="Calibri" w:eastAsia="Calibri" w:hAnsi="Calibri" w:cs="Times New Roman"/>
          <w:szCs w:val="22"/>
          <w:lang w:eastAsia="en-US"/>
        </w:rPr>
        <w:t xml:space="preserve"> de protección que muchos miembros de la OMPI </w:t>
      </w:r>
      <w:r w:rsidR="00B25141" w:rsidRPr="00787F0E">
        <w:rPr>
          <w:rFonts w:ascii="Calibri" w:eastAsia="Calibri" w:hAnsi="Calibri" w:cs="Times New Roman"/>
          <w:szCs w:val="22"/>
          <w:lang w:eastAsia="en-US"/>
        </w:rPr>
        <w:t>podrían considerar injustificado</w:t>
      </w:r>
      <w:r w:rsidR="00927892" w:rsidRPr="00787F0E">
        <w:rPr>
          <w:rFonts w:ascii="Calibri" w:eastAsia="Calibri" w:hAnsi="Calibri" w:cs="Times New Roman"/>
          <w:szCs w:val="22"/>
          <w:lang w:eastAsia="en-US"/>
        </w:rPr>
        <w:t xml:space="preserve"> y que, por tanto, no podr</w:t>
      </w:r>
      <w:r w:rsidR="009A3A64" w:rsidRPr="00787F0E">
        <w:rPr>
          <w:rFonts w:ascii="Calibri" w:eastAsia="Calibri" w:hAnsi="Calibri" w:cs="Times New Roman"/>
          <w:szCs w:val="22"/>
          <w:lang w:eastAsia="en-US"/>
        </w:rPr>
        <w:t>án aplicar</w:t>
      </w:r>
      <w:r w:rsidR="00927892" w:rsidRPr="00787F0E">
        <w:rPr>
          <w:rFonts w:ascii="Calibri" w:eastAsia="Calibri" w:hAnsi="Calibri" w:cs="Times New Roman"/>
          <w:szCs w:val="22"/>
          <w:lang w:eastAsia="en-US"/>
        </w:rPr>
        <w:t xml:space="preserve"> en sus respectivos ordenamientos jurídicos</w:t>
      </w:r>
      <w:r w:rsidR="00812746" w:rsidRPr="00787F0E">
        <w:rPr>
          <w:rFonts w:ascii="Calibri" w:eastAsia="Calibri" w:hAnsi="Calibri" w:cs="Times New Roman"/>
          <w:szCs w:val="22"/>
          <w:lang w:eastAsia="en-US"/>
        </w:rPr>
        <w:t xml:space="preserve">.  El SCT debería considerar si el artículo </w:t>
      </w:r>
      <w:r w:rsidR="00A038BD">
        <w:rPr>
          <w:rFonts w:ascii="Calibri" w:eastAsia="Calibri" w:hAnsi="Calibri" w:cs="Times New Roman"/>
          <w:szCs w:val="22"/>
          <w:lang w:eastAsia="en-US"/>
        </w:rPr>
        <w:t>es de interés par</w:t>
      </w:r>
      <w:r w:rsidR="00812746" w:rsidRPr="00787F0E">
        <w:rPr>
          <w:rFonts w:ascii="Calibri" w:eastAsia="Calibri" w:hAnsi="Calibri" w:cs="Times New Roman"/>
          <w:szCs w:val="22"/>
          <w:lang w:eastAsia="en-US"/>
        </w:rPr>
        <w:t xml:space="preserve">a </w:t>
      </w:r>
      <w:r w:rsidR="00A038BD">
        <w:rPr>
          <w:rFonts w:ascii="Calibri" w:eastAsia="Calibri" w:hAnsi="Calibri" w:cs="Times New Roman"/>
          <w:szCs w:val="22"/>
          <w:lang w:eastAsia="en-US"/>
        </w:rPr>
        <w:t>la generalidad de</w:t>
      </w:r>
      <w:r w:rsidR="00812746" w:rsidRPr="00787F0E">
        <w:rPr>
          <w:rFonts w:ascii="Calibri" w:eastAsia="Calibri" w:hAnsi="Calibri" w:cs="Times New Roman"/>
          <w:szCs w:val="22"/>
          <w:lang w:eastAsia="en-US"/>
        </w:rPr>
        <w:t xml:space="preserve"> los miembros</w:t>
      </w:r>
      <w:r w:rsidR="000E50BC" w:rsidRPr="00787F0E">
        <w:rPr>
          <w:rFonts w:ascii="Calibri" w:eastAsia="Calibri" w:hAnsi="Calibri" w:cs="Times New Roman"/>
          <w:szCs w:val="22"/>
          <w:lang w:eastAsia="en-US"/>
        </w:rPr>
        <w:t>.</w:t>
      </w:r>
    </w:p>
    <w:p w:rsidR="000E50BC" w:rsidRPr="00787F0E" w:rsidRDefault="00812746" w:rsidP="00065B1F">
      <w:pPr>
        <w:spacing w:line="276" w:lineRule="auto"/>
        <w:rPr>
          <w:rFonts w:ascii="Calibri" w:eastAsia="Calibri" w:hAnsi="Calibri" w:cs="Times New Roman"/>
          <w:szCs w:val="22"/>
          <w:lang w:eastAsia="en-US"/>
        </w:rPr>
      </w:pPr>
      <w:r w:rsidRPr="00787F0E">
        <w:rPr>
          <w:rFonts w:ascii="Calibri" w:eastAsia="Calibri" w:hAnsi="Calibri" w:cs="Times New Roman"/>
          <w:szCs w:val="22"/>
          <w:lang w:eastAsia="en-US"/>
        </w:rPr>
        <w:t xml:space="preserve">El SCT debería tener también en cuenta </w:t>
      </w:r>
      <w:r w:rsidR="009A3A64" w:rsidRPr="00787F0E">
        <w:rPr>
          <w:rFonts w:ascii="Calibri" w:eastAsia="Calibri" w:hAnsi="Calibri" w:cs="Times New Roman"/>
          <w:szCs w:val="22"/>
          <w:lang w:eastAsia="en-US"/>
        </w:rPr>
        <w:t xml:space="preserve">los </w:t>
      </w:r>
      <w:r w:rsidRPr="00787F0E">
        <w:rPr>
          <w:rFonts w:ascii="Calibri" w:eastAsia="Calibri" w:hAnsi="Calibri" w:cs="Times New Roman"/>
          <w:szCs w:val="22"/>
          <w:lang w:eastAsia="en-US"/>
        </w:rPr>
        <w:t xml:space="preserve">problemas </w:t>
      </w:r>
      <w:r w:rsidR="009A3A64" w:rsidRPr="00787F0E">
        <w:rPr>
          <w:rFonts w:ascii="Calibri" w:eastAsia="Calibri" w:hAnsi="Calibri" w:cs="Times New Roman"/>
          <w:szCs w:val="22"/>
          <w:lang w:eastAsia="en-US"/>
        </w:rPr>
        <w:t>que plantean</w:t>
      </w:r>
      <w:r w:rsidRPr="00787F0E">
        <w:rPr>
          <w:rFonts w:ascii="Calibri" w:eastAsia="Calibri" w:hAnsi="Calibri" w:cs="Times New Roman"/>
          <w:szCs w:val="22"/>
          <w:lang w:eastAsia="en-US"/>
        </w:rPr>
        <w:t xml:space="preserve"> los registros que restringen innecesariamente el comercio.  </w:t>
      </w:r>
      <w:r w:rsidR="006F4AFD" w:rsidRPr="00787F0E">
        <w:rPr>
          <w:rFonts w:ascii="Calibri" w:eastAsia="Calibri" w:hAnsi="Calibri" w:cs="Times New Roman"/>
          <w:szCs w:val="22"/>
          <w:lang w:eastAsia="en-US"/>
        </w:rPr>
        <w:t xml:space="preserve">Un alcance de la protección excesivamente amplio puede restringir el comercio de productos que utilizan nombres comunes.  El SCT debería analizar los mecanismos para minimizar el perjuicio al comercio, </w:t>
      </w:r>
      <w:r w:rsidR="00A038BD">
        <w:rPr>
          <w:rFonts w:ascii="Calibri" w:eastAsia="Calibri" w:hAnsi="Calibri" w:cs="Times New Roman"/>
          <w:szCs w:val="22"/>
          <w:lang w:eastAsia="en-US"/>
        </w:rPr>
        <w:t>por ejemplo</w:t>
      </w:r>
      <w:r w:rsidR="006F4AFD" w:rsidRPr="00787F0E">
        <w:rPr>
          <w:rFonts w:ascii="Calibri" w:eastAsia="Calibri" w:hAnsi="Calibri" w:cs="Times New Roman"/>
          <w:szCs w:val="22"/>
          <w:lang w:eastAsia="en-US"/>
        </w:rPr>
        <w:t xml:space="preserve">, </w:t>
      </w:r>
      <w:r w:rsidR="00DC3771">
        <w:rPr>
          <w:rFonts w:ascii="Calibri" w:eastAsia="Calibri" w:hAnsi="Calibri" w:cs="Times New Roman"/>
          <w:szCs w:val="22"/>
          <w:lang w:eastAsia="en-US"/>
        </w:rPr>
        <w:t xml:space="preserve">considerando la elaboración </w:t>
      </w:r>
      <w:r w:rsidR="00A038BD">
        <w:rPr>
          <w:rFonts w:ascii="Calibri" w:eastAsia="Calibri" w:hAnsi="Calibri" w:cs="Times New Roman"/>
          <w:szCs w:val="22"/>
          <w:lang w:eastAsia="en-US"/>
        </w:rPr>
        <w:t>de</w:t>
      </w:r>
      <w:r w:rsidR="006F4AFD" w:rsidRPr="00787F0E">
        <w:rPr>
          <w:rFonts w:ascii="Calibri" w:eastAsia="Calibri" w:hAnsi="Calibri" w:cs="Times New Roman"/>
          <w:szCs w:val="22"/>
          <w:lang w:eastAsia="en-US"/>
        </w:rPr>
        <w:t xml:space="preserve"> directrices</w:t>
      </w:r>
      <w:r w:rsidR="00A038BD">
        <w:rPr>
          <w:rFonts w:ascii="Calibri" w:eastAsia="Calibri" w:hAnsi="Calibri" w:cs="Times New Roman"/>
          <w:szCs w:val="22"/>
          <w:lang w:eastAsia="en-US"/>
        </w:rPr>
        <w:t>,</w:t>
      </w:r>
      <w:r w:rsidR="006F4AFD" w:rsidRPr="00787F0E">
        <w:rPr>
          <w:rFonts w:ascii="Calibri" w:eastAsia="Calibri" w:hAnsi="Calibri" w:cs="Times New Roman"/>
          <w:szCs w:val="22"/>
          <w:lang w:eastAsia="en-US"/>
        </w:rPr>
        <w:t xml:space="preserve"> destinad</w:t>
      </w:r>
      <w:r w:rsidR="00A038BD">
        <w:rPr>
          <w:rFonts w:ascii="Calibri" w:eastAsia="Calibri" w:hAnsi="Calibri" w:cs="Times New Roman"/>
          <w:szCs w:val="22"/>
          <w:lang w:eastAsia="en-US"/>
        </w:rPr>
        <w:t>as</w:t>
      </w:r>
      <w:r w:rsidR="006F4AFD" w:rsidRPr="00787F0E">
        <w:rPr>
          <w:rFonts w:ascii="Calibri" w:eastAsia="Calibri" w:hAnsi="Calibri" w:cs="Times New Roman"/>
          <w:szCs w:val="22"/>
          <w:lang w:eastAsia="en-US"/>
        </w:rPr>
        <w:t xml:space="preserve"> a los funcionarios de P.I. que </w:t>
      </w:r>
      <w:r w:rsidR="00A038BD">
        <w:rPr>
          <w:rFonts w:ascii="Calibri" w:eastAsia="Calibri" w:hAnsi="Calibri" w:cs="Times New Roman"/>
          <w:szCs w:val="22"/>
          <w:lang w:eastAsia="en-US"/>
        </w:rPr>
        <w:t>examina</w:t>
      </w:r>
      <w:r w:rsidR="006F4AFD" w:rsidRPr="00787F0E">
        <w:rPr>
          <w:rFonts w:ascii="Calibri" w:eastAsia="Calibri" w:hAnsi="Calibri" w:cs="Times New Roman"/>
          <w:szCs w:val="22"/>
          <w:lang w:eastAsia="en-US"/>
        </w:rPr>
        <w:t>n solicitudes</w:t>
      </w:r>
      <w:r w:rsidR="00A038BD">
        <w:rPr>
          <w:rFonts w:ascii="Calibri" w:eastAsia="Calibri" w:hAnsi="Calibri" w:cs="Times New Roman"/>
          <w:szCs w:val="22"/>
          <w:lang w:eastAsia="en-US"/>
        </w:rPr>
        <w:t>,</w:t>
      </w:r>
      <w:r w:rsidR="006F4AFD" w:rsidRPr="00787F0E">
        <w:rPr>
          <w:rFonts w:ascii="Calibri" w:eastAsia="Calibri" w:hAnsi="Calibri" w:cs="Times New Roman"/>
          <w:szCs w:val="22"/>
          <w:lang w:eastAsia="en-US"/>
        </w:rPr>
        <w:t xml:space="preserve"> en </w:t>
      </w:r>
      <w:r w:rsidR="00DC3771">
        <w:rPr>
          <w:rFonts w:ascii="Calibri" w:eastAsia="Calibri" w:hAnsi="Calibri" w:cs="Times New Roman"/>
          <w:szCs w:val="22"/>
          <w:lang w:eastAsia="en-US"/>
        </w:rPr>
        <w:t xml:space="preserve">las </w:t>
      </w:r>
      <w:r w:rsidR="006F4AFD" w:rsidRPr="00787F0E">
        <w:rPr>
          <w:rFonts w:ascii="Calibri" w:eastAsia="Calibri" w:hAnsi="Calibri" w:cs="Times New Roman"/>
          <w:szCs w:val="22"/>
          <w:lang w:eastAsia="en-US"/>
        </w:rPr>
        <w:t xml:space="preserve">que se tenga específicamente en cuenta el peligro de </w:t>
      </w:r>
      <w:r w:rsidR="00DC3771">
        <w:rPr>
          <w:rFonts w:ascii="Calibri" w:eastAsia="Calibri" w:hAnsi="Calibri" w:cs="Times New Roman"/>
          <w:szCs w:val="22"/>
          <w:lang w:eastAsia="en-US"/>
        </w:rPr>
        <w:t>eventuales</w:t>
      </w:r>
      <w:r w:rsidR="006F4AFD" w:rsidRPr="00787F0E">
        <w:rPr>
          <w:rFonts w:ascii="Calibri" w:eastAsia="Calibri" w:hAnsi="Calibri" w:cs="Times New Roman"/>
          <w:szCs w:val="22"/>
          <w:lang w:eastAsia="en-US"/>
        </w:rPr>
        <w:t xml:space="preserve"> efectos negativos </w:t>
      </w:r>
      <w:r w:rsidR="00A038BD">
        <w:rPr>
          <w:rFonts w:ascii="Calibri" w:eastAsia="Calibri" w:hAnsi="Calibri" w:cs="Times New Roman"/>
          <w:szCs w:val="22"/>
          <w:lang w:eastAsia="en-US"/>
        </w:rPr>
        <w:t>para e</w:t>
      </w:r>
      <w:r w:rsidR="006F4AFD" w:rsidRPr="00787F0E">
        <w:rPr>
          <w:rFonts w:ascii="Calibri" w:eastAsia="Calibri" w:hAnsi="Calibri" w:cs="Times New Roman"/>
          <w:szCs w:val="22"/>
          <w:lang w:eastAsia="en-US"/>
        </w:rPr>
        <w:t>l comercio</w:t>
      </w:r>
      <w:r w:rsidR="000E50BC" w:rsidRPr="00787F0E">
        <w:rPr>
          <w:rFonts w:ascii="Calibri" w:eastAsia="Calibri" w:hAnsi="Calibri" w:cs="Times New Roman"/>
          <w:szCs w:val="22"/>
          <w:lang w:eastAsia="en-US"/>
        </w:rPr>
        <w:t>.</w:t>
      </w:r>
    </w:p>
    <w:p w:rsidR="00812746" w:rsidRPr="00787F0E" w:rsidRDefault="00812746" w:rsidP="00065B1F">
      <w:pPr>
        <w:spacing w:line="276" w:lineRule="auto"/>
        <w:rPr>
          <w:rFonts w:ascii="Calibri" w:eastAsia="Calibri" w:hAnsi="Calibri" w:cs="Times New Roman"/>
          <w:szCs w:val="22"/>
          <w:lang w:eastAsia="en-US"/>
        </w:rPr>
      </w:pPr>
    </w:p>
    <w:p w:rsidR="006F4AFD" w:rsidRPr="00787F0E" w:rsidRDefault="00ED23E9" w:rsidP="0032578A">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Garantías procesales debidas</w:t>
      </w:r>
      <w:proofErr w:type="gramStart"/>
      <w:r w:rsidR="0032578A" w:rsidRPr="00787F0E">
        <w:rPr>
          <w:rFonts w:ascii="Calibri" w:eastAsia="Calibri" w:hAnsi="Calibri" w:cs="Times New Roman"/>
          <w:b/>
          <w:szCs w:val="22"/>
          <w:lang w:eastAsia="en-US"/>
        </w:rPr>
        <w:t>:</w:t>
      </w:r>
      <w:r w:rsidR="006F4AFD" w:rsidRPr="00787F0E">
        <w:rPr>
          <w:rFonts w:ascii="Calibri" w:eastAsia="Calibri" w:hAnsi="Calibri" w:cs="Times New Roman"/>
          <w:szCs w:val="22"/>
          <w:lang w:eastAsia="en-US"/>
        </w:rPr>
        <w:t xml:space="preserve">  </w:t>
      </w:r>
      <w:r w:rsidR="0055056E" w:rsidRPr="00787F0E">
        <w:rPr>
          <w:rFonts w:ascii="Calibri" w:eastAsia="Calibri" w:hAnsi="Calibri" w:cs="Times New Roman"/>
          <w:szCs w:val="22"/>
          <w:lang w:eastAsia="en-US"/>
        </w:rPr>
        <w:t>El</w:t>
      </w:r>
      <w:proofErr w:type="gramEnd"/>
      <w:r w:rsidR="0055056E" w:rsidRPr="00787F0E">
        <w:rPr>
          <w:rFonts w:ascii="Calibri" w:eastAsia="Calibri" w:hAnsi="Calibri" w:cs="Times New Roman"/>
          <w:szCs w:val="22"/>
          <w:lang w:eastAsia="en-US"/>
        </w:rPr>
        <w:t xml:space="preserve"> principio de las garantías procesales debidas</w:t>
      </w:r>
      <w:r w:rsidRPr="00787F0E">
        <w:rPr>
          <w:rFonts w:ascii="Calibri" w:eastAsia="Calibri" w:hAnsi="Calibri" w:cs="Times New Roman"/>
          <w:szCs w:val="22"/>
          <w:lang w:eastAsia="en-US"/>
        </w:rPr>
        <w:t xml:space="preserve"> debería ser un aspecto fundamental de todo sistema de derechos de propiedad intelectual, incluidos los sistemas de protección de los </w:t>
      </w:r>
      <w:r w:rsidRPr="00A81EDD">
        <w:rPr>
          <w:rFonts w:ascii="Calibri" w:eastAsia="Calibri" w:hAnsi="Calibri" w:cs="Times New Roman"/>
          <w:szCs w:val="22"/>
          <w:lang w:eastAsia="en-US"/>
        </w:rPr>
        <w:t xml:space="preserve">identificadores de </w:t>
      </w:r>
      <w:r w:rsidR="00A81EDD" w:rsidRPr="00A81EDD">
        <w:rPr>
          <w:rFonts w:ascii="Calibri" w:eastAsia="Calibri" w:hAnsi="Calibri" w:cs="Times New Roman"/>
          <w:szCs w:val="22"/>
          <w:lang w:eastAsia="en-US"/>
        </w:rPr>
        <w:t>procedencia</w:t>
      </w:r>
      <w:r w:rsidR="00787F0E" w:rsidRPr="00787F0E">
        <w:rPr>
          <w:rFonts w:ascii="Calibri" w:eastAsia="Calibri" w:hAnsi="Calibri" w:cs="Times New Roman"/>
          <w:szCs w:val="22"/>
          <w:lang w:eastAsia="en-US"/>
        </w:rPr>
        <w:t>.  D</w:t>
      </w:r>
      <w:r w:rsidR="0055056E" w:rsidRPr="00787F0E">
        <w:rPr>
          <w:rFonts w:ascii="Calibri" w:eastAsia="Calibri" w:hAnsi="Calibri" w:cs="Times New Roman"/>
          <w:szCs w:val="22"/>
          <w:lang w:eastAsia="en-US"/>
        </w:rPr>
        <w:t>icho</w:t>
      </w:r>
      <w:r w:rsidRPr="00787F0E">
        <w:rPr>
          <w:rFonts w:ascii="Calibri" w:eastAsia="Calibri" w:hAnsi="Calibri" w:cs="Times New Roman"/>
          <w:szCs w:val="22"/>
          <w:lang w:eastAsia="en-US"/>
        </w:rPr>
        <w:t xml:space="preserve"> principio debería comprender procedimientos como </w:t>
      </w:r>
      <w:r w:rsidR="0055056E" w:rsidRPr="00787F0E">
        <w:rPr>
          <w:rFonts w:ascii="Calibri" w:eastAsia="Calibri" w:hAnsi="Calibri" w:cs="Times New Roman"/>
          <w:szCs w:val="22"/>
          <w:lang w:eastAsia="en-US"/>
        </w:rPr>
        <w:t>el de objeción y de cancelación, que s</w:t>
      </w:r>
      <w:r w:rsidR="00DC3771">
        <w:rPr>
          <w:rFonts w:ascii="Calibri" w:eastAsia="Calibri" w:hAnsi="Calibri" w:cs="Times New Roman"/>
          <w:szCs w:val="22"/>
          <w:lang w:eastAsia="en-US"/>
        </w:rPr>
        <w:t>ean transparentes y prevea</w:t>
      </w:r>
      <w:r w:rsidR="0055056E" w:rsidRPr="00787F0E">
        <w:rPr>
          <w:rFonts w:ascii="Calibri" w:eastAsia="Calibri" w:hAnsi="Calibri" w:cs="Times New Roman"/>
          <w:szCs w:val="22"/>
          <w:lang w:eastAsia="en-US"/>
        </w:rPr>
        <w:t xml:space="preserve">n la participación activa de los sectores interesados.  No obstante, </w:t>
      </w:r>
      <w:r w:rsidR="009A3A64" w:rsidRPr="00787F0E">
        <w:rPr>
          <w:rFonts w:ascii="Calibri" w:eastAsia="Calibri" w:hAnsi="Calibri" w:cs="Times New Roman"/>
          <w:szCs w:val="22"/>
          <w:lang w:eastAsia="en-US"/>
        </w:rPr>
        <w:t xml:space="preserve">hay </w:t>
      </w:r>
      <w:r w:rsidR="0055056E" w:rsidRPr="00787F0E">
        <w:rPr>
          <w:rFonts w:ascii="Calibri" w:eastAsia="Calibri" w:hAnsi="Calibri" w:cs="Times New Roman"/>
          <w:szCs w:val="22"/>
          <w:lang w:eastAsia="en-US"/>
        </w:rPr>
        <w:t>muchas partes en el actual Arreglo de Lisboa</w:t>
      </w:r>
      <w:r w:rsidR="006B22D6" w:rsidRPr="00787F0E">
        <w:rPr>
          <w:rFonts w:ascii="Calibri" w:eastAsia="Calibri" w:hAnsi="Calibri" w:cs="Times New Roman"/>
          <w:szCs w:val="22"/>
          <w:lang w:eastAsia="en-US"/>
        </w:rPr>
        <w:t xml:space="preserve"> que no </w:t>
      </w:r>
      <w:r w:rsidR="00DC3771">
        <w:rPr>
          <w:rFonts w:ascii="Calibri" w:eastAsia="Calibri" w:hAnsi="Calibri" w:cs="Times New Roman"/>
          <w:szCs w:val="22"/>
          <w:lang w:eastAsia="en-US"/>
        </w:rPr>
        <w:t>contemplan</w:t>
      </w:r>
      <w:r w:rsidR="009A3A64" w:rsidRPr="00787F0E">
        <w:rPr>
          <w:rFonts w:ascii="Calibri" w:eastAsia="Calibri" w:hAnsi="Calibri" w:cs="Times New Roman"/>
          <w:szCs w:val="22"/>
          <w:lang w:eastAsia="en-US"/>
        </w:rPr>
        <w:t xml:space="preserve"> </w:t>
      </w:r>
      <w:r w:rsidR="00857DFA">
        <w:rPr>
          <w:rFonts w:ascii="Calibri" w:eastAsia="Calibri" w:hAnsi="Calibri" w:cs="Times New Roman"/>
          <w:szCs w:val="22"/>
          <w:lang w:eastAsia="en-US"/>
        </w:rPr>
        <w:t xml:space="preserve">los </w:t>
      </w:r>
      <w:r w:rsidR="0055056E" w:rsidRPr="00787F0E">
        <w:rPr>
          <w:rFonts w:ascii="Calibri" w:eastAsia="Calibri" w:hAnsi="Calibri" w:cs="Times New Roman"/>
          <w:szCs w:val="22"/>
          <w:lang w:eastAsia="en-US"/>
        </w:rPr>
        <w:t>procedimientos de objeción</w:t>
      </w:r>
      <w:r w:rsidR="006B22D6" w:rsidRPr="00787F0E">
        <w:rPr>
          <w:rFonts w:ascii="Calibri" w:eastAsia="Calibri" w:hAnsi="Calibri" w:cs="Times New Roman"/>
          <w:szCs w:val="22"/>
          <w:lang w:eastAsia="en-US"/>
        </w:rPr>
        <w:t xml:space="preserve"> </w:t>
      </w:r>
      <w:r w:rsidR="00DC3771">
        <w:rPr>
          <w:rFonts w:ascii="Calibri" w:eastAsia="Calibri" w:hAnsi="Calibri" w:cs="Times New Roman"/>
          <w:szCs w:val="22"/>
          <w:lang w:eastAsia="en-US"/>
        </w:rPr>
        <w:t xml:space="preserve">que permitirían </w:t>
      </w:r>
      <w:r w:rsidR="00857DFA">
        <w:rPr>
          <w:rFonts w:ascii="Calibri" w:eastAsia="Calibri" w:hAnsi="Calibri" w:cs="Times New Roman"/>
          <w:szCs w:val="22"/>
          <w:lang w:eastAsia="en-US"/>
        </w:rPr>
        <w:t xml:space="preserve">ofrecer </w:t>
      </w:r>
      <w:r w:rsidR="006B22D6" w:rsidRPr="00787F0E">
        <w:rPr>
          <w:rFonts w:ascii="Calibri" w:eastAsia="Calibri" w:hAnsi="Calibri" w:cs="Times New Roman"/>
          <w:szCs w:val="22"/>
          <w:lang w:eastAsia="en-US"/>
        </w:rPr>
        <w:t>las</w:t>
      </w:r>
      <w:r w:rsidR="0055056E" w:rsidRPr="00787F0E">
        <w:rPr>
          <w:rFonts w:ascii="Calibri" w:eastAsia="Calibri" w:hAnsi="Calibri" w:cs="Times New Roman"/>
          <w:szCs w:val="22"/>
          <w:lang w:eastAsia="en-US"/>
        </w:rPr>
        <w:t xml:space="preserve"> garantías procesales debidas.  La Regl</w:t>
      </w:r>
      <w:r w:rsidR="00787F0E" w:rsidRPr="00787F0E">
        <w:rPr>
          <w:rFonts w:ascii="Calibri" w:eastAsia="Calibri" w:hAnsi="Calibri" w:cs="Times New Roman"/>
          <w:szCs w:val="22"/>
          <w:lang w:eastAsia="en-US"/>
        </w:rPr>
        <w:t>a 4</w:t>
      </w:r>
      <w:r w:rsidR="0055056E" w:rsidRPr="00787F0E">
        <w:rPr>
          <w:rFonts w:ascii="Calibri" w:eastAsia="Calibri" w:hAnsi="Calibri" w:cs="Times New Roman"/>
          <w:szCs w:val="22"/>
          <w:lang w:eastAsia="en-US"/>
        </w:rPr>
        <w:t xml:space="preserve"> del Reglamento establece que las Partes Contratantes notificarán sus </w:t>
      </w:r>
      <w:r w:rsidR="00D15638" w:rsidRPr="00787F0E">
        <w:rPr>
          <w:rFonts w:ascii="Calibri" w:eastAsia="Calibri" w:hAnsi="Calibri" w:cs="Times New Roman"/>
          <w:szCs w:val="22"/>
          <w:lang w:eastAsia="en-US"/>
        </w:rPr>
        <w:t>procedimientos</w:t>
      </w:r>
      <w:r w:rsidR="0055056E" w:rsidRPr="00787F0E">
        <w:rPr>
          <w:rFonts w:ascii="Calibri" w:eastAsia="Calibri" w:hAnsi="Calibri" w:cs="Times New Roman"/>
          <w:szCs w:val="22"/>
          <w:lang w:eastAsia="en-US"/>
        </w:rPr>
        <w:t xml:space="preserve"> para la “observancia de los derechos sobre las denominaciones de origen y las indicaciones geográficas”, pero el Acta de Ginebra no </w:t>
      </w:r>
      <w:r w:rsidR="00DF0EFB" w:rsidRPr="00787F0E">
        <w:rPr>
          <w:rFonts w:ascii="Calibri" w:eastAsia="Calibri" w:hAnsi="Calibri" w:cs="Times New Roman"/>
          <w:szCs w:val="22"/>
          <w:lang w:eastAsia="en-US"/>
        </w:rPr>
        <w:t xml:space="preserve">establece </w:t>
      </w:r>
      <w:r w:rsidR="009A3A64" w:rsidRPr="00787F0E">
        <w:rPr>
          <w:rFonts w:ascii="Calibri" w:eastAsia="Calibri" w:hAnsi="Calibri" w:cs="Times New Roman"/>
          <w:szCs w:val="22"/>
          <w:lang w:eastAsia="en-US"/>
        </w:rPr>
        <w:t>requisitos</w:t>
      </w:r>
      <w:r w:rsidR="00DF0EFB" w:rsidRPr="00787F0E">
        <w:rPr>
          <w:rFonts w:ascii="Calibri" w:eastAsia="Calibri" w:hAnsi="Calibri" w:cs="Times New Roman"/>
          <w:szCs w:val="22"/>
          <w:lang w:eastAsia="en-US"/>
        </w:rPr>
        <w:t xml:space="preserve"> con respecto a la notificación de los procedimientos mediante los cuales una parte interesada puede solicitar la denegación de una denominación de origen o una indicación geográfica, como se establece en el artícul</w:t>
      </w:r>
      <w:r w:rsidR="00787F0E" w:rsidRPr="00787F0E">
        <w:rPr>
          <w:rFonts w:ascii="Calibri" w:eastAsia="Calibri" w:hAnsi="Calibri" w:cs="Times New Roman"/>
          <w:szCs w:val="22"/>
          <w:lang w:eastAsia="en-US"/>
        </w:rPr>
        <w:t>o 1</w:t>
      </w:r>
      <w:r w:rsidR="00DF0EFB" w:rsidRPr="00787F0E">
        <w:rPr>
          <w:rFonts w:ascii="Calibri" w:eastAsia="Calibri" w:hAnsi="Calibri" w:cs="Times New Roman"/>
          <w:szCs w:val="22"/>
          <w:lang w:eastAsia="en-US"/>
        </w:rPr>
        <w:t xml:space="preserve">5.3) del Acta de Ginebra </w:t>
      </w:r>
      <w:r w:rsidR="009A3A64" w:rsidRPr="00787F0E">
        <w:rPr>
          <w:rFonts w:ascii="Calibri" w:eastAsia="Calibri" w:hAnsi="Calibri" w:cs="Times New Roman"/>
          <w:szCs w:val="22"/>
          <w:lang w:eastAsia="en-US"/>
        </w:rPr>
        <w:t>ni</w:t>
      </w:r>
      <w:r w:rsidR="00DF0EFB" w:rsidRPr="00787F0E">
        <w:rPr>
          <w:rFonts w:ascii="Calibri" w:eastAsia="Calibri" w:hAnsi="Calibri" w:cs="Times New Roman"/>
          <w:szCs w:val="22"/>
          <w:lang w:eastAsia="en-US"/>
        </w:rPr>
        <w:t xml:space="preserve"> cómo puede defenderse en caso de que se impugne la utilización que hayan hecho de un término</w:t>
      </w:r>
      <w:r w:rsidR="00787F0E" w:rsidRPr="00787F0E">
        <w:rPr>
          <w:rFonts w:ascii="Calibri" w:eastAsia="Calibri" w:hAnsi="Calibri" w:cs="Times New Roman"/>
          <w:szCs w:val="22"/>
          <w:lang w:eastAsia="en-US"/>
        </w:rPr>
        <w:t>.  E</w:t>
      </w:r>
      <w:r w:rsidR="00DF0EFB" w:rsidRPr="00787F0E">
        <w:rPr>
          <w:rFonts w:ascii="Calibri" w:eastAsia="Calibri" w:hAnsi="Calibri" w:cs="Times New Roman"/>
          <w:szCs w:val="22"/>
          <w:lang w:eastAsia="en-US"/>
        </w:rPr>
        <w:t>l Acta de Ginebra tampo</w:t>
      </w:r>
      <w:r w:rsidR="006B22D6" w:rsidRPr="00787F0E">
        <w:rPr>
          <w:rFonts w:ascii="Calibri" w:eastAsia="Calibri" w:hAnsi="Calibri" w:cs="Times New Roman"/>
          <w:szCs w:val="22"/>
          <w:lang w:eastAsia="en-US"/>
        </w:rPr>
        <w:t xml:space="preserve">co </w:t>
      </w:r>
      <w:r w:rsidR="00857DFA">
        <w:rPr>
          <w:rFonts w:ascii="Calibri" w:eastAsia="Calibri" w:hAnsi="Calibri" w:cs="Times New Roman"/>
          <w:szCs w:val="22"/>
          <w:lang w:eastAsia="en-US"/>
        </w:rPr>
        <w:t>dispone</w:t>
      </w:r>
      <w:r w:rsidR="006B22D6" w:rsidRPr="00787F0E">
        <w:rPr>
          <w:rFonts w:ascii="Calibri" w:eastAsia="Calibri" w:hAnsi="Calibri" w:cs="Times New Roman"/>
          <w:szCs w:val="22"/>
          <w:lang w:eastAsia="en-US"/>
        </w:rPr>
        <w:t xml:space="preserve"> nada con respecto a normas explícitas</w:t>
      </w:r>
      <w:r w:rsidR="00DF0EFB" w:rsidRPr="00787F0E">
        <w:rPr>
          <w:rFonts w:ascii="Calibri" w:eastAsia="Calibri" w:hAnsi="Calibri" w:cs="Times New Roman"/>
          <w:szCs w:val="22"/>
          <w:lang w:eastAsia="en-US"/>
        </w:rPr>
        <w:t xml:space="preserve"> </w:t>
      </w:r>
      <w:r w:rsidR="006B22D6" w:rsidRPr="00787F0E">
        <w:rPr>
          <w:rFonts w:ascii="Calibri" w:eastAsia="Calibri" w:hAnsi="Calibri" w:cs="Times New Roman"/>
          <w:szCs w:val="22"/>
          <w:lang w:eastAsia="en-US"/>
        </w:rPr>
        <w:t>de</w:t>
      </w:r>
      <w:r w:rsidR="00DF0EFB" w:rsidRPr="00787F0E">
        <w:rPr>
          <w:rFonts w:ascii="Calibri" w:eastAsia="Calibri" w:hAnsi="Calibri" w:cs="Times New Roman"/>
          <w:szCs w:val="22"/>
          <w:lang w:eastAsia="en-US"/>
        </w:rPr>
        <w:t xml:space="preserve"> los procedimientos de cancelación aplicables por las Partes Contratantes receptoras</w:t>
      </w:r>
      <w:r w:rsidR="00787F0E" w:rsidRPr="00787F0E">
        <w:rPr>
          <w:rFonts w:ascii="Calibri" w:eastAsia="Calibri" w:hAnsi="Calibri" w:cs="Times New Roman"/>
          <w:szCs w:val="22"/>
          <w:lang w:eastAsia="en-US"/>
        </w:rPr>
        <w:t>.  E</w:t>
      </w:r>
      <w:r w:rsidR="00DF0EFB" w:rsidRPr="00787F0E">
        <w:rPr>
          <w:rFonts w:ascii="Calibri" w:eastAsia="Calibri" w:hAnsi="Calibri" w:cs="Times New Roman"/>
          <w:szCs w:val="22"/>
          <w:lang w:eastAsia="en-US"/>
        </w:rPr>
        <w:t>l SCT debería examinar cómo aumentar la transparencia de todos l</w:t>
      </w:r>
      <w:r w:rsidR="00A849EC" w:rsidRPr="00787F0E">
        <w:rPr>
          <w:rFonts w:ascii="Calibri" w:eastAsia="Calibri" w:hAnsi="Calibri" w:cs="Times New Roman"/>
          <w:szCs w:val="22"/>
          <w:lang w:eastAsia="en-US"/>
        </w:rPr>
        <w:t xml:space="preserve">os procedimientos y </w:t>
      </w:r>
      <w:r w:rsidR="00082308" w:rsidRPr="00787F0E">
        <w:rPr>
          <w:rFonts w:ascii="Calibri" w:eastAsia="Calibri" w:hAnsi="Calibri" w:cs="Times New Roman"/>
          <w:szCs w:val="22"/>
          <w:lang w:eastAsia="en-US"/>
        </w:rPr>
        <w:t>directrices en relación con los</w:t>
      </w:r>
      <w:r w:rsidR="00A849EC" w:rsidRPr="00787F0E">
        <w:rPr>
          <w:rFonts w:ascii="Calibri" w:eastAsia="Calibri" w:hAnsi="Calibri" w:cs="Times New Roman"/>
          <w:szCs w:val="22"/>
          <w:lang w:eastAsia="en-US"/>
        </w:rPr>
        <w:t xml:space="preserve"> procedimientos de objeción y cancelación </w:t>
      </w:r>
      <w:r w:rsidR="00082308" w:rsidRPr="00787F0E">
        <w:rPr>
          <w:rFonts w:ascii="Calibri" w:eastAsia="Calibri" w:hAnsi="Calibri" w:cs="Times New Roman"/>
          <w:szCs w:val="22"/>
          <w:lang w:eastAsia="en-US"/>
        </w:rPr>
        <w:t>para</w:t>
      </w:r>
      <w:r w:rsidR="00B001C5" w:rsidRPr="00787F0E">
        <w:rPr>
          <w:rFonts w:ascii="Calibri" w:eastAsia="Calibri" w:hAnsi="Calibri" w:cs="Times New Roman"/>
          <w:szCs w:val="22"/>
          <w:lang w:eastAsia="en-US"/>
        </w:rPr>
        <w:t xml:space="preserve"> prestar asistencia a</w:t>
      </w:r>
      <w:r w:rsidR="00A849EC" w:rsidRPr="00787F0E">
        <w:rPr>
          <w:rFonts w:ascii="Calibri" w:eastAsia="Calibri" w:hAnsi="Calibri" w:cs="Times New Roman"/>
          <w:szCs w:val="22"/>
          <w:lang w:eastAsia="en-US"/>
        </w:rPr>
        <w:t xml:space="preserve"> las partes contratantes que </w:t>
      </w:r>
      <w:r w:rsidR="00082308" w:rsidRPr="00787F0E">
        <w:rPr>
          <w:rFonts w:ascii="Calibri" w:eastAsia="Calibri" w:hAnsi="Calibri" w:cs="Times New Roman"/>
          <w:szCs w:val="22"/>
          <w:lang w:eastAsia="en-US"/>
        </w:rPr>
        <w:t>carecen de ellos</w:t>
      </w:r>
      <w:r w:rsidR="00A849EC" w:rsidRPr="00787F0E">
        <w:rPr>
          <w:rFonts w:ascii="Calibri" w:eastAsia="Calibri" w:hAnsi="Calibri" w:cs="Times New Roman"/>
          <w:szCs w:val="22"/>
          <w:lang w:eastAsia="en-US"/>
        </w:rPr>
        <w:t>.</w:t>
      </w:r>
    </w:p>
    <w:p w:rsidR="00A849EC" w:rsidRPr="00787F0E" w:rsidRDefault="00A849EC" w:rsidP="0032578A">
      <w:pPr>
        <w:spacing w:line="276" w:lineRule="auto"/>
        <w:rPr>
          <w:rFonts w:ascii="Calibri" w:eastAsia="Calibri" w:hAnsi="Calibri" w:cs="Times New Roman"/>
          <w:szCs w:val="22"/>
          <w:lang w:eastAsia="en-US"/>
        </w:rPr>
      </w:pPr>
    </w:p>
    <w:p w:rsidR="00941C9D" w:rsidRPr="00787F0E" w:rsidRDefault="00A41C54" w:rsidP="00941C9D">
      <w:pPr>
        <w:spacing w:line="276" w:lineRule="auto"/>
        <w:rPr>
          <w:rFonts w:ascii="Calibri" w:eastAsia="Calibri" w:hAnsi="Calibri" w:cs="Times New Roman"/>
          <w:szCs w:val="22"/>
          <w:lang w:eastAsia="en-US"/>
        </w:rPr>
      </w:pPr>
      <w:r w:rsidRPr="00787F0E">
        <w:rPr>
          <w:rFonts w:ascii="Calibri" w:eastAsia="Calibri" w:hAnsi="Calibri" w:cs="Times New Roman"/>
          <w:b/>
          <w:szCs w:val="22"/>
          <w:lang w:eastAsia="en-US"/>
        </w:rPr>
        <w:t>Sostenibilidad financiera</w:t>
      </w:r>
      <w:r w:rsidR="0032578A" w:rsidRPr="00787F0E">
        <w:rPr>
          <w:rFonts w:ascii="Calibri" w:eastAsia="Calibri" w:hAnsi="Calibri" w:cs="Times New Roman"/>
          <w:b/>
          <w:szCs w:val="22"/>
          <w:lang w:eastAsia="en-US"/>
        </w:rPr>
        <w:t>:</w:t>
      </w:r>
      <w:r w:rsidR="0032578A" w:rsidRPr="00787F0E">
        <w:rPr>
          <w:rFonts w:ascii="Calibri" w:eastAsia="Calibri" w:hAnsi="Calibri" w:cs="Times New Roman"/>
          <w:szCs w:val="22"/>
          <w:lang w:eastAsia="en-US"/>
        </w:rPr>
        <w:t xml:space="preserve">  </w:t>
      </w:r>
      <w:r w:rsidR="00FF3B4A" w:rsidRPr="00787F0E">
        <w:rPr>
          <w:rFonts w:ascii="Calibri" w:eastAsia="Calibri" w:hAnsi="Calibri" w:cs="Times New Roman"/>
          <w:szCs w:val="22"/>
          <w:lang w:eastAsia="en-US"/>
        </w:rPr>
        <w:t xml:space="preserve">Los tratados de registro de la OMPI deberían basarse en las tasas y las contribuciones percibidas de </w:t>
      </w:r>
      <w:r w:rsidR="00941C9D" w:rsidRPr="00787F0E">
        <w:rPr>
          <w:rFonts w:ascii="Calibri" w:eastAsia="Calibri" w:hAnsi="Calibri" w:cs="Times New Roman"/>
          <w:szCs w:val="22"/>
          <w:lang w:eastAsia="en-US"/>
        </w:rPr>
        <w:t>las partes</w:t>
      </w:r>
      <w:r w:rsidR="00FF3B4A" w:rsidRPr="00787F0E">
        <w:rPr>
          <w:rFonts w:ascii="Calibri" w:eastAsia="Calibri" w:hAnsi="Calibri" w:cs="Times New Roman"/>
          <w:szCs w:val="22"/>
          <w:lang w:eastAsia="en-US"/>
        </w:rPr>
        <w:t xml:space="preserve"> para garantizar la sostenibilidad financiera.  En virtud del artícul</w:t>
      </w:r>
      <w:r w:rsidR="00787F0E" w:rsidRPr="00787F0E">
        <w:rPr>
          <w:rFonts w:ascii="Calibri" w:eastAsia="Calibri" w:hAnsi="Calibri" w:cs="Times New Roman"/>
          <w:szCs w:val="22"/>
          <w:lang w:eastAsia="en-US"/>
        </w:rPr>
        <w:t>o 2</w:t>
      </w:r>
      <w:r w:rsidR="00FF3B4A" w:rsidRPr="00787F0E">
        <w:rPr>
          <w:rFonts w:ascii="Calibri" w:eastAsia="Calibri" w:hAnsi="Calibri" w:cs="Times New Roman"/>
          <w:szCs w:val="22"/>
          <w:lang w:eastAsia="en-US"/>
        </w:rPr>
        <w:t xml:space="preserve">4 del Acta de Ginebra, </w:t>
      </w:r>
      <w:r w:rsidR="00941C9D" w:rsidRPr="00787F0E">
        <w:rPr>
          <w:rFonts w:ascii="Calibri" w:eastAsia="Calibri" w:hAnsi="Calibri" w:cs="Times New Roman"/>
          <w:szCs w:val="22"/>
          <w:lang w:eastAsia="en-US"/>
        </w:rPr>
        <w:t>si los ingresos del Sistema de Lisboa no bastaran para cubrir los gastos del sistema (y durante muchos años no han bastado), las Partes Contratantes se harán cargo de la diferencia.  El párraf</w:t>
      </w:r>
      <w:r w:rsidR="00787F0E" w:rsidRPr="00787F0E">
        <w:rPr>
          <w:rFonts w:ascii="Calibri" w:eastAsia="Calibri" w:hAnsi="Calibri" w:cs="Times New Roman"/>
          <w:szCs w:val="22"/>
          <w:lang w:eastAsia="en-US"/>
        </w:rPr>
        <w:t>o 4</w:t>
      </w:r>
      <w:r w:rsidR="00B001C5" w:rsidRPr="00787F0E">
        <w:rPr>
          <w:rFonts w:ascii="Calibri" w:eastAsia="Calibri" w:hAnsi="Calibri" w:cs="Times New Roman"/>
          <w:szCs w:val="22"/>
          <w:lang w:eastAsia="en-US"/>
        </w:rPr>
        <w:t>)</w:t>
      </w:r>
      <w:r w:rsidR="00941C9D" w:rsidRPr="00787F0E">
        <w:rPr>
          <w:rFonts w:ascii="Calibri" w:eastAsia="Calibri" w:hAnsi="Calibri" w:cs="Times New Roman"/>
          <w:szCs w:val="22"/>
          <w:lang w:eastAsia="en-US"/>
        </w:rPr>
        <w:t xml:space="preserve"> del artícul</w:t>
      </w:r>
      <w:r w:rsidR="00787F0E" w:rsidRPr="00787F0E">
        <w:rPr>
          <w:rFonts w:ascii="Calibri" w:eastAsia="Calibri" w:hAnsi="Calibri" w:cs="Times New Roman"/>
          <w:szCs w:val="22"/>
          <w:lang w:eastAsia="en-US"/>
        </w:rPr>
        <w:t>o 2</w:t>
      </w:r>
      <w:r w:rsidR="00941C9D" w:rsidRPr="00787F0E">
        <w:rPr>
          <w:rFonts w:ascii="Calibri" w:eastAsia="Calibri" w:hAnsi="Calibri" w:cs="Times New Roman"/>
          <w:szCs w:val="22"/>
          <w:lang w:eastAsia="en-US"/>
        </w:rPr>
        <w:t xml:space="preserve">4 establece que las organizaciones intergubernamentales pagarán la misma contribución.  Por ejemplo, la Unión Europea y la OAPI pagarán la misma </w:t>
      </w:r>
      <w:r w:rsidR="00D07967" w:rsidRPr="00787F0E">
        <w:rPr>
          <w:rFonts w:ascii="Calibri" w:eastAsia="Calibri" w:hAnsi="Calibri" w:cs="Times New Roman"/>
          <w:szCs w:val="22"/>
          <w:lang w:eastAsia="en-US"/>
        </w:rPr>
        <w:t>cuantía</w:t>
      </w:r>
      <w:r w:rsidR="00941C9D" w:rsidRPr="00787F0E">
        <w:rPr>
          <w:rFonts w:ascii="Calibri" w:eastAsia="Calibri" w:hAnsi="Calibri" w:cs="Times New Roman"/>
          <w:szCs w:val="22"/>
          <w:lang w:eastAsia="en-US"/>
        </w:rPr>
        <w:t xml:space="preserve">.  Además, el Acta de Ginebra no prevé una tasa de renovación o de mantenimiento de un registro internacional, tasa que podría haber supuesto una fuente de ingresos fiable y continua para financiar las operaciones del sistema.  El SCT debería considerar si el sistema de presentación de solicitudes de registro de indicaciones geográficas debería establecer una fuente de ingresos sostenible y un método más justo de </w:t>
      </w:r>
      <w:r w:rsidR="00B001C5" w:rsidRPr="00787F0E">
        <w:rPr>
          <w:rFonts w:ascii="Calibri" w:eastAsia="Calibri" w:hAnsi="Calibri" w:cs="Times New Roman"/>
          <w:szCs w:val="22"/>
          <w:lang w:eastAsia="en-US"/>
        </w:rPr>
        <w:t>asignación de</w:t>
      </w:r>
      <w:r w:rsidR="00941C9D" w:rsidRPr="00787F0E">
        <w:rPr>
          <w:rFonts w:ascii="Calibri" w:eastAsia="Calibri" w:hAnsi="Calibri" w:cs="Times New Roman"/>
          <w:szCs w:val="22"/>
          <w:lang w:eastAsia="en-US"/>
        </w:rPr>
        <w:t xml:space="preserve"> responsabilidades financieras entre las partes contratantes.</w:t>
      </w:r>
    </w:p>
    <w:p w:rsidR="0032578A" w:rsidRPr="00787F0E" w:rsidRDefault="0032578A" w:rsidP="0032578A">
      <w:pPr>
        <w:spacing w:after="200" w:line="276" w:lineRule="auto"/>
        <w:rPr>
          <w:rFonts w:ascii="Calibri" w:eastAsia="Calibri" w:hAnsi="Calibri" w:cs="Times New Roman"/>
          <w:szCs w:val="22"/>
          <w:lang w:eastAsia="en-US"/>
        </w:rPr>
      </w:pPr>
    </w:p>
    <w:p w:rsidR="009D1C22" w:rsidRDefault="009D1C22">
      <w:pPr>
        <w:rPr>
          <w:rFonts w:ascii="Calibri" w:eastAsia="Calibri" w:hAnsi="Calibri" w:cs="Times New Roman"/>
          <w:i/>
          <w:szCs w:val="22"/>
          <w:lang w:eastAsia="en-US"/>
        </w:rPr>
      </w:pPr>
      <w:r>
        <w:rPr>
          <w:rFonts w:ascii="Calibri" w:eastAsia="Calibri" w:hAnsi="Calibri" w:cs="Times New Roman"/>
          <w:i/>
          <w:szCs w:val="22"/>
          <w:lang w:eastAsia="en-US"/>
        </w:rPr>
        <w:br w:type="page"/>
      </w:r>
    </w:p>
    <w:p w:rsidR="0032578A" w:rsidRPr="00787F0E" w:rsidRDefault="00D15638" w:rsidP="00E57778">
      <w:pPr>
        <w:spacing w:line="276" w:lineRule="auto"/>
        <w:ind w:left="5103"/>
        <w:rPr>
          <w:rFonts w:ascii="Calibri" w:eastAsia="Calibri" w:hAnsi="Calibri" w:cs="Times New Roman"/>
          <w:i/>
          <w:szCs w:val="22"/>
          <w:lang w:eastAsia="en-US"/>
        </w:rPr>
      </w:pPr>
      <w:r w:rsidRPr="00787F0E">
        <w:rPr>
          <w:rFonts w:ascii="Calibri" w:eastAsia="Calibri" w:hAnsi="Calibri" w:cs="Times New Roman"/>
          <w:i/>
          <w:szCs w:val="22"/>
          <w:lang w:eastAsia="en-US"/>
        </w:rPr>
        <w:lastRenderedPageBreak/>
        <w:t xml:space="preserve">Se invita a la Asamblea General a encomendar al Comité Permanente sobre el Derecho de Marcas, Diseños Industriales e Indicaciones Geográficas (SCT) a que revise la labor de la última Conferencia Diplomática de la Unión de Lisboa y </w:t>
      </w:r>
      <w:r w:rsidR="00B001C5" w:rsidRPr="00787F0E">
        <w:rPr>
          <w:rFonts w:ascii="Calibri" w:eastAsia="Calibri" w:hAnsi="Calibri" w:cs="Times New Roman"/>
          <w:i/>
          <w:szCs w:val="22"/>
          <w:lang w:eastAsia="en-US"/>
        </w:rPr>
        <w:t>examine</w:t>
      </w:r>
      <w:r w:rsidRPr="00787F0E">
        <w:rPr>
          <w:rFonts w:ascii="Calibri" w:eastAsia="Calibri" w:hAnsi="Calibri" w:cs="Times New Roman"/>
          <w:i/>
          <w:szCs w:val="22"/>
          <w:lang w:eastAsia="en-US"/>
        </w:rPr>
        <w:t xml:space="preserve"> los sistemas de protección </w:t>
      </w:r>
      <w:r w:rsidR="005E31D4">
        <w:rPr>
          <w:rFonts w:ascii="Calibri" w:eastAsia="Calibri" w:hAnsi="Calibri" w:cs="Times New Roman"/>
          <w:i/>
          <w:szCs w:val="22"/>
          <w:lang w:eastAsia="en-US"/>
        </w:rPr>
        <w:t>relativos</w:t>
      </w:r>
      <w:r w:rsidRPr="00787F0E">
        <w:rPr>
          <w:rFonts w:ascii="Calibri" w:eastAsia="Calibri" w:hAnsi="Calibri" w:cs="Times New Roman"/>
          <w:i/>
          <w:szCs w:val="22"/>
          <w:lang w:eastAsia="en-US"/>
        </w:rPr>
        <w:t xml:space="preserve"> a la </w:t>
      </w:r>
      <w:r w:rsidR="005E31D4">
        <w:rPr>
          <w:rFonts w:ascii="Calibri" w:eastAsia="Calibri" w:hAnsi="Calibri" w:cs="Times New Roman"/>
          <w:i/>
          <w:szCs w:val="22"/>
          <w:lang w:eastAsia="en-US"/>
        </w:rPr>
        <w:t>identificación de la procedencia</w:t>
      </w:r>
      <w:r w:rsidRPr="00787F0E">
        <w:rPr>
          <w:rFonts w:ascii="Calibri" w:eastAsia="Calibri" w:hAnsi="Calibri" w:cs="Times New Roman"/>
          <w:i/>
          <w:szCs w:val="22"/>
          <w:lang w:eastAsia="en-US"/>
        </w:rPr>
        <w:t>, como las marcas de certificación, las marcas colectivas y las indicaciones geográficas, sin dejar de proteger el principio de territorialidad y del uso de nombres comunes.</w:t>
      </w:r>
    </w:p>
    <w:p w:rsidR="0032578A" w:rsidRPr="00787F0E" w:rsidRDefault="0032578A" w:rsidP="0032578A">
      <w:pPr>
        <w:spacing w:after="120" w:line="260" w:lineRule="atLeast"/>
        <w:ind w:left="5534"/>
        <w:contextualSpacing/>
        <w:rPr>
          <w:szCs w:val="22"/>
          <w:lang w:eastAsia="en-US"/>
        </w:rPr>
      </w:pPr>
    </w:p>
    <w:p w:rsidR="0032578A" w:rsidRPr="00787F0E" w:rsidRDefault="0032578A" w:rsidP="0032578A">
      <w:pPr>
        <w:spacing w:after="120" w:line="260" w:lineRule="atLeast"/>
        <w:ind w:left="5534"/>
        <w:contextualSpacing/>
        <w:rPr>
          <w:szCs w:val="22"/>
          <w:lang w:eastAsia="en-US"/>
        </w:rPr>
      </w:pPr>
    </w:p>
    <w:p w:rsidR="0032578A" w:rsidRPr="00787F0E" w:rsidRDefault="0032578A" w:rsidP="0032578A">
      <w:pPr>
        <w:spacing w:after="120" w:line="260" w:lineRule="atLeast"/>
        <w:contextualSpacing/>
        <w:jc w:val="both"/>
        <w:rPr>
          <w:szCs w:val="22"/>
          <w:lang w:eastAsia="en-US"/>
        </w:rPr>
      </w:pPr>
    </w:p>
    <w:p w:rsidR="0032578A" w:rsidRPr="00D15638" w:rsidRDefault="0032578A" w:rsidP="0032578A">
      <w:pPr>
        <w:spacing w:after="120" w:line="260" w:lineRule="atLeast"/>
        <w:ind w:left="5534"/>
        <w:contextualSpacing/>
        <w:rPr>
          <w:szCs w:val="22"/>
          <w:lang w:eastAsia="en-US"/>
        </w:rPr>
      </w:pPr>
      <w:r w:rsidRPr="00787F0E">
        <w:rPr>
          <w:szCs w:val="22"/>
          <w:lang w:eastAsia="en-US"/>
        </w:rPr>
        <w:t>[</w:t>
      </w:r>
      <w:r w:rsidR="00927892" w:rsidRPr="00787F0E">
        <w:rPr>
          <w:szCs w:val="22"/>
          <w:lang w:eastAsia="en-US"/>
        </w:rPr>
        <w:t>Fin del Anexo y del documento</w:t>
      </w:r>
      <w:r w:rsidRPr="00787F0E">
        <w:rPr>
          <w:szCs w:val="22"/>
          <w:lang w:eastAsia="en-US"/>
        </w:rPr>
        <w:t>]</w:t>
      </w:r>
    </w:p>
    <w:p w:rsidR="00152CEA" w:rsidRPr="00D15638" w:rsidRDefault="00152CEA" w:rsidP="0032578A"/>
    <w:sectPr w:rsidR="00152CEA" w:rsidRPr="00D15638" w:rsidSect="00533490">
      <w:foot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DC" w:rsidRDefault="00CC2BDC">
      <w:r>
        <w:separator/>
      </w:r>
    </w:p>
  </w:endnote>
  <w:endnote w:type="continuationSeparator" w:id="0">
    <w:p w:rsidR="00CC2BDC" w:rsidRPr="009D30E6" w:rsidRDefault="00CC2BDC" w:rsidP="007E663E">
      <w:pPr>
        <w:rPr>
          <w:sz w:val="17"/>
          <w:szCs w:val="17"/>
        </w:rPr>
      </w:pPr>
      <w:r w:rsidRPr="009D30E6">
        <w:rPr>
          <w:sz w:val="17"/>
          <w:szCs w:val="17"/>
        </w:rPr>
        <w:separator/>
      </w:r>
    </w:p>
    <w:p w:rsidR="00CC2BDC" w:rsidRPr="007E663E" w:rsidRDefault="00CC2BDC" w:rsidP="007E663E">
      <w:pPr>
        <w:spacing w:after="60"/>
        <w:rPr>
          <w:sz w:val="17"/>
          <w:szCs w:val="17"/>
        </w:rPr>
      </w:pPr>
      <w:r>
        <w:rPr>
          <w:sz w:val="17"/>
        </w:rPr>
        <w:t>[Continuación de la nota de la página anterior]</w:t>
      </w:r>
    </w:p>
  </w:endnote>
  <w:endnote w:type="continuationNotice" w:id="1">
    <w:p w:rsidR="00CC2BDC" w:rsidRPr="007E663E" w:rsidRDefault="00CC2B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90" w:rsidRDefault="00533490" w:rsidP="00533490">
    <w:pPr>
      <w:pStyle w:val="Footer"/>
      <w:jc w:val="center"/>
    </w:pPr>
    <w:r>
      <w:fldChar w:fldCharType="begin"/>
    </w:r>
    <w:r>
      <w:instrText xml:space="preserve"> = </w:instrText>
    </w:r>
    <w:r>
      <w:fldChar w:fldCharType="begin"/>
    </w:r>
    <w:r>
      <w:instrText xml:space="preserve"> PAGE </w:instrText>
    </w:r>
    <w:r>
      <w:fldChar w:fldCharType="separate"/>
    </w:r>
    <w:r>
      <w:rPr>
        <w:noProof/>
      </w:rPr>
      <w:instrText>2</w:instrText>
    </w:r>
    <w:r>
      <w:fldChar w:fldCharType="end"/>
    </w:r>
    <w:r>
      <w:instrText xml:space="preserve">-1 </w:instrText>
    </w:r>
    <w:r>
      <w:fldChar w:fldCharType="separate"/>
    </w:r>
    <w:r w:rsidR="008E2C4D">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90" w:rsidRDefault="00533490" w:rsidP="005334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90" w:rsidRDefault="00533490" w:rsidP="00533490">
    <w:pPr>
      <w:pStyle w:val="Footer"/>
      <w:jc w:val="center"/>
    </w:pPr>
    <w:r>
      <w:fldChar w:fldCharType="begin"/>
    </w:r>
    <w:r>
      <w:instrText xml:space="preserve"> = </w:instrText>
    </w:r>
    <w:r>
      <w:fldChar w:fldCharType="begin"/>
    </w:r>
    <w:r>
      <w:instrText xml:space="preserve"> PAGE </w:instrText>
    </w:r>
    <w:r>
      <w:fldChar w:fldCharType="separate"/>
    </w:r>
    <w:r w:rsidR="008E2C4D">
      <w:rPr>
        <w:noProof/>
      </w:rPr>
      <w:instrText>5</w:instrText>
    </w:r>
    <w:r>
      <w:fldChar w:fldCharType="end"/>
    </w:r>
    <w:r>
      <w:instrText xml:space="preserve">-1 </w:instrText>
    </w:r>
    <w:r>
      <w:fldChar w:fldCharType="separate"/>
    </w:r>
    <w:r w:rsidR="008E2C4D">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DC" w:rsidRDefault="00CC2BDC">
      <w:r>
        <w:separator/>
      </w:r>
    </w:p>
  </w:footnote>
  <w:footnote w:type="continuationSeparator" w:id="0">
    <w:p w:rsidR="00CC2BDC" w:rsidRPr="009D30E6" w:rsidRDefault="00CC2BDC" w:rsidP="007E663E">
      <w:pPr>
        <w:rPr>
          <w:sz w:val="17"/>
          <w:szCs w:val="17"/>
        </w:rPr>
      </w:pPr>
      <w:r w:rsidRPr="009D30E6">
        <w:rPr>
          <w:sz w:val="17"/>
          <w:szCs w:val="17"/>
        </w:rPr>
        <w:separator/>
      </w:r>
    </w:p>
    <w:p w:rsidR="00CC2BDC" w:rsidRPr="007E663E" w:rsidRDefault="00CC2BDC" w:rsidP="007E663E">
      <w:pPr>
        <w:spacing w:after="60"/>
        <w:rPr>
          <w:sz w:val="17"/>
          <w:szCs w:val="17"/>
        </w:rPr>
      </w:pPr>
      <w:r>
        <w:rPr>
          <w:sz w:val="17"/>
        </w:rPr>
        <w:t>[Continuación de la nota de la página anterior]</w:t>
      </w:r>
    </w:p>
  </w:footnote>
  <w:footnote w:type="continuationNotice" w:id="1">
    <w:p w:rsidR="00CC2BDC" w:rsidRPr="007E663E" w:rsidRDefault="00CC2BD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8A" w:rsidRPr="00D13C08" w:rsidRDefault="0032578A" w:rsidP="00477D6B">
    <w:pPr>
      <w:jc w:val="right"/>
      <w:rPr>
        <w:szCs w:val="22"/>
      </w:rPr>
    </w:pPr>
    <w:r w:rsidRPr="00D13C08">
      <w:rPr>
        <w:caps/>
        <w:szCs w:val="22"/>
      </w:rPr>
      <w:t>WO/GA/4</w:t>
    </w:r>
    <w:r>
      <w:rPr>
        <w:caps/>
        <w:szCs w:val="22"/>
      </w:rPr>
      <w:t>7/XX</w:t>
    </w:r>
  </w:p>
  <w:p w:rsidR="0032578A" w:rsidRPr="00D13C08" w:rsidRDefault="0032578A"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FD6B7C">
      <w:rPr>
        <w:noProof/>
        <w:szCs w:val="22"/>
      </w:rPr>
      <w:t>4</w:t>
    </w:r>
    <w:r w:rsidRPr="00D13C08">
      <w:rPr>
        <w:szCs w:val="22"/>
      </w:rPr>
      <w:fldChar w:fldCharType="end"/>
    </w:r>
  </w:p>
  <w:p w:rsidR="0032578A" w:rsidRDefault="003257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CC2BDC" w:rsidP="00477D6B">
    <w:pPr>
      <w:jc w:val="right"/>
    </w:pPr>
    <w:bookmarkStart w:id="6" w:name="Code2"/>
    <w:bookmarkEnd w:id="6"/>
    <w:r>
      <w:t>W</w:t>
    </w:r>
    <w:r w:rsidR="00AC6D35">
      <w:t>O/GA/47/10</w:t>
    </w:r>
  </w:p>
  <w:p w:rsidR="00F84474" w:rsidRDefault="00CC2BDC"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E2C4D">
      <w:rPr>
        <w:noProof/>
      </w:rPr>
      <w:t>5</w:t>
    </w:r>
    <w:r w:rsidR="00F84474">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BDC" w:rsidRDefault="00CC2BDC" w:rsidP="00CC2BDC">
    <w:pPr>
      <w:pStyle w:val="Header"/>
      <w:jc w:val="right"/>
    </w:pPr>
    <w:r>
      <w:t>WO/GA/47/</w:t>
    </w:r>
    <w:r w:rsidR="00AC6D35">
      <w:t>10</w:t>
    </w:r>
  </w:p>
  <w:p w:rsidR="00CC2BDC" w:rsidRDefault="00CC2BDC" w:rsidP="00CC2BDC">
    <w:pPr>
      <w:pStyle w:val="Header"/>
      <w:jc w:val="right"/>
    </w:pPr>
    <w:r>
      <w:t>ANEXO</w:t>
    </w:r>
  </w:p>
  <w:p w:rsidR="00CC2BDC" w:rsidRDefault="00CC2BDC" w:rsidP="00CC2BDC">
    <w:pPr>
      <w:pStyle w:val="Header"/>
      <w:jc w:val="right"/>
    </w:pPr>
  </w:p>
  <w:p w:rsidR="00CC2BDC" w:rsidRDefault="00CC2BDC" w:rsidP="00CC2B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90" w:rsidRDefault="00533490" w:rsidP="00CC2BDC">
    <w:pPr>
      <w:pStyle w:val="Header"/>
      <w:jc w:val="right"/>
    </w:pPr>
    <w:r>
      <w:t>WO/GA/47/10</w:t>
    </w:r>
  </w:p>
  <w:p w:rsidR="00533490" w:rsidRDefault="00533490" w:rsidP="00CC2BDC">
    <w:pPr>
      <w:pStyle w:val="Header"/>
      <w:jc w:val="right"/>
    </w:pPr>
    <w:r>
      <w:t xml:space="preserve">Anexo, página </w:t>
    </w:r>
    <w:r>
      <w:fldChar w:fldCharType="begin"/>
    </w:r>
    <w:r>
      <w:instrText xml:space="preserve"> PAGE   \* MERGEFORMAT </w:instrText>
    </w:r>
    <w:r>
      <w:fldChar w:fldCharType="separate"/>
    </w:r>
    <w:r w:rsidR="008E2C4D">
      <w:rPr>
        <w:noProof/>
      </w:rPr>
      <w:t>2</w:t>
    </w:r>
    <w:r>
      <w:rPr>
        <w:noProof/>
      </w:rPr>
      <w:fldChar w:fldCharType="end"/>
    </w:r>
  </w:p>
  <w:p w:rsidR="00533490" w:rsidRDefault="00533490" w:rsidP="00CC2BDC">
    <w:pPr>
      <w:pStyle w:val="Header"/>
      <w:jc w:val="right"/>
    </w:pPr>
  </w:p>
  <w:p w:rsidR="00533490" w:rsidRDefault="00533490" w:rsidP="00CC2B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DC"/>
    <w:rsid w:val="00065B1F"/>
    <w:rsid w:val="00082308"/>
    <w:rsid w:val="000E3BB3"/>
    <w:rsid w:val="000E50BC"/>
    <w:rsid w:val="000F34A8"/>
    <w:rsid w:val="000F5E56"/>
    <w:rsid w:val="001116B0"/>
    <w:rsid w:val="001362EE"/>
    <w:rsid w:val="00152CEA"/>
    <w:rsid w:val="001832A6"/>
    <w:rsid w:val="001B06FB"/>
    <w:rsid w:val="001C4DD3"/>
    <w:rsid w:val="001C6010"/>
    <w:rsid w:val="001D2505"/>
    <w:rsid w:val="00246CB7"/>
    <w:rsid w:val="00252A62"/>
    <w:rsid w:val="00262E25"/>
    <w:rsid w:val="002634C4"/>
    <w:rsid w:val="002F4E68"/>
    <w:rsid w:val="0032578A"/>
    <w:rsid w:val="00354647"/>
    <w:rsid w:val="00377273"/>
    <w:rsid w:val="003845C1"/>
    <w:rsid w:val="00387287"/>
    <w:rsid w:val="003C7E59"/>
    <w:rsid w:val="003D1EFA"/>
    <w:rsid w:val="003D41D4"/>
    <w:rsid w:val="00423E3E"/>
    <w:rsid w:val="00427AF4"/>
    <w:rsid w:val="0045231F"/>
    <w:rsid w:val="004602D3"/>
    <w:rsid w:val="004647DA"/>
    <w:rsid w:val="00474298"/>
    <w:rsid w:val="00477D6B"/>
    <w:rsid w:val="00487E74"/>
    <w:rsid w:val="004A6C37"/>
    <w:rsid w:val="004D4A93"/>
    <w:rsid w:val="0050449B"/>
    <w:rsid w:val="00533490"/>
    <w:rsid w:val="0055013B"/>
    <w:rsid w:val="0055056E"/>
    <w:rsid w:val="0056224D"/>
    <w:rsid w:val="005660EF"/>
    <w:rsid w:val="00571B99"/>
    <w:rsid w:val="00577ADC"/>
    <w:rsid w:val="005E31D4"/>
    <w:rsid w:val="005F1F73"/>
    <w:rsid w:val="00605827"/>
    <w:rsid w:val="00675021"/>
    <w:rsid w:val="006A06C6"/>
    <w:rsid w:val="006B22D6"/>
    <w:rsid w:val="006F4AFD"/>
    <w:rsid w:val="00787F0E"/>
    <w:rsid w:val="007D011E"/>
    <w:rsid w:val="007E663E"/>
    <w:rsid w:val="00812746"/>
    <w:rsid w:val="00815082"/>
    <w:rsid w:val="00836277"/>
    <w:rsid w:val="00857DFA"/>
    <w:rsid w:val="00861D29"/>
    <w:rsid w:val="00873384"/>
    <w:rsid w:val="008B2CC1"/>
    <w:rsid w:val="008C1DD4"/>
    <w:rsid w:val="008D2F31"/>
    <w:rsid w:val="008E2C4D"/>
    <w:rsid w:val="0090731E"/>
    <w:rsid w:val="00927892"/>
    <w:rsid w:val="009369C1"/>
    <w:rsid w:val="00941C9D"/>
    <w:rsid w:val="00966A22"/>
    <w:rsid w:val="00972F03"/>
    <w:rsid w:val="009A0C8B"/>
    <w:rsid w:val="009A3A3F"/>
    <w:rsid w:val="009A3A64"/>
    <w:rsid w:val="009B6241"/>
    <w:rsid w:val="009D1C22"/>
    <w:rsid w:val="00A038BD"/>
    <w:rsid w:val="00A16FC0"/>
    <w:rsid w:val="00A32C9E"/>
    <w:rsid w:val="00A41C54"/>
    <w:rsid w:val="00A7453D"/>
    <w:rsid w:val="00A81EDD"/>
    <w:rsid w:val="00A849EC"/>
    <w:rsid w:val="00AB613D"/>
    <w:rsid w:val="00AC6D35"/>
    <w:rsid w:val="00AE2F3B"/>
    <w:rsid w:val="00B001C5"/>
    <w:rsid w:val="00B25141"/>
    <w:rsid w:val="00B65A0A"/>
    <w:rsid w:val="00B72D36"/>
    <w:rsid w:val="00BC4164"/>
    <w:rsid w:val="00BD2DCC"/>
    <w:rsid w:val="00BE1A8C"/>
    <w:rsid w:val="00BE2CE8"/>
    <w:rsid w:val="00C90559"/>
    <w:rsid w:val="00CB763F"/>
    <w:rsid w:val="00CC2BDC"/>
    <w:rsid w:val="00CF5018"/>
    <w:rsid w:val="00D07967"/>
    <w:rsid w:val="00D15638"/>
    <w:rsid w:val="00D218A2"/>
    <w:rsid w:val="00D40CF0"/>
    <w:rsid w:val="00D41277"/>
    <w:rsid w:val="00D56C7C"/>
    <w:rsid w:val="00D71B4D"/>
    <w:rsid w:val="00D90289"/>
    <w:rsid w:val="00D93D55"/>
    <w:rsid w:val="00DC3771"/>
    <w:rsid w:val="00DE673B"/>
    <w:rsid w:val="00DF0EFB"/>
    <w:rsid w:val="00DF1670"/>
    <w:rsid w:val="00E438CD"/>
    <w:rsid w:val="00E45C84"/>
    <w:rsid w:val="00E504E5"/>
    <w:rsid w:val="00E57778"/>
    <w:rsid w:val="00E9040B"/>
    <w:rsid w:val="00E95F45"/>
    <w:rsid w:val="00EB7A3E"/>
    <w:rsid w:val="00EC401A"/>
    <w:rsid w:val="00ED23E9"/>
    <w:rsid w:val="00EE56CB"/>
    <w:rsid w:val="00EF104E"/>
    <w:rsid w:val="00EF530A"/>
    <w:rsid w:val="00EF6622"/>
    <w:rsid w:val="00F01751"/>
    <w:rsid w:val="00F2451C"/>
    <w:rsid w:val="00F55408"/>
    <w:rsid w:val="00F66152"/>
    <w:rsid w:val="00F80845"/>
    <w:rsid w:val="00F84474"/>
    <w:rsid w:val="00FA0CCB"/>
    <w:rsid w:val="00FD6B7C"/>
    <w:rsid w:val="00FD7921"/>
    <w:rsid w:val="00FF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erChar">
    <w:name w:val="Footer Char"/>
    <w:basedOn w:val="DefaultParagraphFont"/>
    <w:link w:val="Footer"/>
    <w:semiHidden/>
    <w:rsid w:val="00CC2BDC"/>
    <w:rPr>
      <w:rFonts w:ascii="Arial" w:eastAsia="SimSun" w:hAnsi="Arial" w:cs="Arial"/>
      <w:sz w:val="22"/>
      <w:lang w:val="es-ES"/>
    </w:rPr>
  </w:style>
  <w:style w:type="character" w:customStyle="1" w:styleId="FootnoteTextChar">
    <w:name w:val="Footnote Text Char"/>
    <w:basedOn w:val="DefaultParagraphFont"/>
    <w:link w:val="FootnoteText"/>
    <w:semiHidden/>
    <w:rsid w:val="00CC2BDC"/>
    <w:rPr>
      <w:rFonts w:ascii="Arial" w:eastAsia="SimSun" w:hAnsi="Arial" w:cs="Arial"/>
      <w:sz w:val="18"/>
      <w:lang w:val="es-ES"/>
    </w:rPr>
  </w:style>
  <w:style w:type="character" w:customStyle="1" w:styleId="HeaderChar">
    <w:name w:val="Header Char"/>
    <w:basedOn w:val="DefaultParagraphFont"/>
    <w:link w:val="Header"/>
    <w:uiPriority w:val="99"/>
    <w:rsid w:val="00CC2BDC"/>
    <w:rPr>
      <w:rFonts w:ascii="Arial" w:eastAsia="SimSun" w:hAnsi="Arial" w:cs="Arial"/>
      <w:sz w:val="22"/>
      <w:lang w:val="es-ES"/>
    </w:rPr>
  </w:style>
  <w:style w:type="character" w:customStyle="1" w:styleId="ONUMEChar">
    <w:name w:val="ONUM E Char"/>
    <w:link w:val="ONUME"/>
    <w:rsid w:val="00CC2BDC"/>
    <w:rPr>
      <w:rFonts w:ascii="Arial" w:eastAsia="SimSun" w:hAnsi="Arial" w:cs="Arial"/>
      <w:sz w:val="22"/>
      <w:lang w:val="es-ES"/>
    </w:rPr>
  </w:style>
  <w:style w:type="character" w:styleId="FootnoteReference">
    <w:name w:val="footnote reference"/>
    <w:uiPriority w:val="99"/>
    <w:rsid w:val="00CC2BDC"/>
    <w:rPr>
      <w:vertAlign w:val="superscript"/>
    </w:rPr>
  </w:style>
  <w:style w:type="character" w:styleId="Hyperlink">
    <w:name w:val="Hyperlink"/>
    <w:rsid w:val="00CC2BDC"/>
    <w:rPr>
      <w:color w:val="0000FF"/>
      <w:u w:val="single"/>
    </w:rPr>
  </w:style>
  <w:style w:type="paragraph" w:customStyle="1" w:styleId="Default">
    <w:name w:val="Default"/>
    <w:rsid w:val="00CC2BDC"/>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1D2505"/>
    <w:pPr>
      <w:spacing w:after="200" w:line="276" w:lineRule="auto"/>
      <w:ind w:left="720"/>
      <w:contextualSpacing/>
    </w:pPr>
    <w:rPr>
      <w:rFonts w:ascii="Calibri" w:eastAsia="Times New Roman" w:hAnsi="Calibri" w:cs="Mangal"/>
      <w:szCs w:val="22"/>
      <w:lang w:val="en-US" w:eastAsia="en-US" w:bidi="p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erChar">
    <w:name w:val="Footer Char"/>
    <w:basedOn w:val="DefaultParagraphFont"/>
    <w:link w:val="Footer"/>
    <w:semiHidden/>
    <w:rsid w:val="00CC2BDC"/>
    <w:rPr>
      <w:rFonts w:ascii="Arial" w:eastAsia="SimSun" w:hAnsi="Arial" w:cs="Arial"/>
      <w:sz w:val="22"/>
      <w:lang w:val="es-ES"/>
    </w:rPr>
  </w:style>
  <w:style w:type="character" w:customStyle="1" w:styleId="FootnoteTextChar">
    <w:name w:val="Footnote Text Char"/>
    <w:basedOn w:val="DefaultParagraphFont"/>
    <w:link w:val="FootnoteText"/>
    <w:semiHidden/>
    <w:rsid w:val="00CC2BDC"/>
    <w:rPr>
      <w:rFonts w:ascii="Arial" w:eastAsia="SimSun" w:hAnsi="Arial" w:cs="Arial"/>
      <w:sz w:val="18"/>
      <w:lang w:val="es-ES"/>
    </w:rPr>
  </w:style>
  <w:style w:type="character" w:customStyle="1" w:styleId="HeaderChar">
    <w:name w:val="Header Char"/>
    <w:basedOn w:val="DefaultParagraphFont"/>
    <w:link w:val="Header"/>
    <w:uiPriority w:val="99"/>
    <w:rsid w:val="00CC2BDC"/>
    <w:rPr>
      <w:rFonts w:ascii="Arial" w:eastAsia="SimSun" w:hAnsi="Arial" w:cs="Arial"/>
      <w:sz w:val="22"/>
      <w:lang w:val="es-ES"/>
    </w:rPr>
  </w:style>
  <w:style w:type="character" w:customStyle="1" w:styleId="ONUMEChar">
    <w:name w:val="ONUM E Char"/>
    <w:link w:val="ONUME"/>
    <w:rsid w:val="00CC2BDC"/>
    <w:rPr>
      <w:rFonts w:ascii="Arial" w:eastAsia="SimSun" w:hAnsi="Arial" w:cs="Arial"/>
      <w:sz w:val="22"/>
      <w:lang w:val="es-ES"/>
    </w:rPr>
  </w:style>
  <w:style w:type="character" w:styleId="FootnoteReference">
    <w:name w:val="footnote reference"/>
    <w:uiPriority w:val="99"/>
    <w:rsid w:val="00CC2BDC"/>
    <w:rPr>
      <w:vertAlign w:val="superscript"/>
    </w:rPr>
  </w:style>
  <w:style w:type="character" w:styleId="Hyperlink">
    <w:name w:val="Hyperlink"/>
    <w:rsid w:val="00CC2BDC"/>
    <w:rPr>
      <w:color w:val="0000FF"/>
      <w:u w:val="single"/>
    </w:rPr>
  </w:style>
  <w:style w:type="paragraph" w:customStyle="1" w:styleId="Default">
    <w:name w:val="Default"/>
    <w:rsid w:val="00CC2BDC"/>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1D2505"/>
    <w:pPr>
      <w:spacing w:after="200" w:line="276" w:lineRule="auto"/>
      <w:ind w:left="720"/>
      <w:contextualSpacing/>
    </w:pPr>
    <w:rPr>
      <w:rFonts w:ascii="Calibri" w:eastAsia="Times New Roman" w:hAnsi="Calibri" w:cs="Mangal"/>
      <w:szCs w:val="22"/>
      <w:lang w:val="en-US" w:eastAsia="en-US" w:bidi="p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ECAB-97BC-4960-9760-592577D5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(S) </Template>
  <TotalTime>129</TotalTime>
  <Pages>6</Pages>
  <Words>2331</Words>
  <Characters>12712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WO/GA/47/3</vt:lpstr>
    </vt:vector>
  </TitlesOfParts>
  <Company>WIPO</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WO/GA/47/3</dc:title>
  <dc:creator>CEVALLOS DUQUE Nilo</dc:creator>
  <cp:lastModifiedBy>HÄFLIGER Patience</cp:lastModifiedBy>
  <cp:revision>14</cp:revision>
  <cp:lastPrinted>2015-09-09T10:06:00Z</cp:lastPrinted>
  <dcterms:created xsi:type="dcterms:W3CDTF">2015-09-08T10:22:00Z</dcterms:created>
  <dcterms:modified xsi:type="dcterms:W3CDTF">2015-09-09T10:06:00Z</dcterms:modified>
</cp:coreProperties>
</file>