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790E63" w:rsidTr="00A7453D">
        <w:tc>
          <w:tcPr>
            <w:tcW w:w="4513" w:type="dxa"/>
            <w:tcBorders>
              <w:bottom w:val="single" w:sz="4" w:space="0" w:color="auto"/>
            </w:tcBorders>
            <w:tcMar>
              <w:bottom w:w="170" w:type="dxa"/>
            </w:tcMar>
          </w:tcPr>
          <w:p w:rsidR="00E504E5" w:rsidRPr="00790E63" w:rsidRDefault="00E504E5" w:rsidP="00AB613D"/>
        </w:tc>
        <w:tc>
          <w:tcPr>
            <w:tcW w:w="4337" w:type="dxa"/>
            <w:tcBorders>
              <w:bottom w:val="single" w:sz="4" w:space="0" w:color="auto"/>
            </w:tcBorders>
            <w:tcMar>
              <w:left w:w="0" w:type="dxa"/>
              <w:right w:w="0" w:type="dxa"/>
            </w:tcMar>
          </w:tcPr>
          <w:p w:rsidR="00E504E5" w:rsidRPr="00790E63" w:rsidRDefault="00EF104E" w:rsidP="00AB613D">
            <w:r w:rsidRPr="00790E63">
              <w:rPr>
                <w:noProof/>
                <w:lang w:val="en-US" w:eastAsia="en-US"/>
              </w:rPr>
              <w:drawing>
                <wp:inline distT="0" distB="0" distL="0" distR="0" wp14:anchorId="09606F56" wp14:editId="539BFF26">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790E63" w:rsidRDefault="00E504E5" w:rsidP="00AB613D">
            <w:pPr>
              <w:jc w:val="right"/>
            </w:pPr>
            <w:r w:rsidRPr="00790E63">
              <w:rPr>
                <w:b/>
                <w:sz w:val="40"/>
                <w:szCs w:val="40"/>
              </w:rPr>
              <w:t>S</w:t>
            </w:r>
          </w:p>
        </w:tc>
      </w:tr>
      <w:tr w:rsidR="008B2CC1" w:rsidRPr="00790E63"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790E63" w:rsidRDefault="003C7E59" w:rsidP="00AB613D">
            <w:pPr>
              <w:jc w:val="right"/>
              <w:rPr>
                <w:rFonts w:ascii="Arial Black" w:hAnsi="Arial Black"/>
                <w:caps/>
                <w:sz w:val="15"/>
              </w:rPr>
            </w:pPr>
            <w:r w:rsidRPr="00790E63">
              <w:rPr>
                <w:rFonts w:ascii="Arial Black" w:hAnsi="Arial Black"/>
                <w:caps/>
                <w:sz w:val="15"/>
              </w:rPr>
              <w:t>WO/GA/47/</w:t>
            </w:r>
            <w:bookmarkStart w:id="0" w:name="Code"/>
            <w:bookmarkEnd w:id="0"/>
            <w:r w:rsidR="00D27802" w:rsidRPr="00790E63">
              <w:rPr>
                <w:rFonts w:ascii="Arial Black" w:hAnsi="Arial Black"/>
                <w:caps/>
                <w:sz w:val="15"/>
              </w:rPr>
              <w:t>1</w:t>
            </w:r>
          </w:p>
        </w:tc>
      </w:tr>
      <w:tr w:rsidR="008B2CC1" w:rsidRPr="00790E63" w:rsidTr="00AB613D">
        <w:trPr>
          <w:trHeight w:hRule="exact" w:val="170"/>
        </w:trPr>
        <w:tc>
          <w:tcPr>
            <w:tcW w:w="9356" w:type="dxa"/>
            <w:gridSpan w:val="3"/>
            <w:noWrap/>
            <w:tcMar>
              <w:left w:w="0" w:type="dxa"/>
              <w:right w:w="0" w:type="dxa"/>
            </w:tcMar>
            <w:vAlign w:val="bottom"/>
          </w:tcPr>
          <w:p w:rsidR="008B2CC1" w:rsidRPr="00790E63" w:rsidRDefault="008B2CC1" w:rsidP="00AB613D">
            <w:pPr>
              <w:jc w:val="right"/>
              <w:rPr>
                <w:rFonts w:ascii="Arial Black" w:hAnsi="Arial Black"/>
                <w:caps/>
                <w:sz w:val="15"/>
              </w:rPr>
            </w:pPr>
            <w:r w:rsidRPr="00790E63">
              <w:rPr>
                <w:rFonts w:ascii="Arial Black" w:hAnsi="Arial Black"/>
                <w:caps/>
                <w:sz w:val="15"/>
              </w:rPr>
              <w:t>ORIGINAL:</w:t>
            </w:r>
            <w:r w:rsidR="00F84474" w:rsidRPr="00790E63">
              <w:rPr>
                <w:rFonts w:ascii="Arial Black" w:hAnsi="Arial Black"/>
                <w:caps/>
                <w:sz w:val="15"/>
              </w:rPr>
              <w:t xml:space="preserve"> </w:t>
            </w:r>
            <w:r w:rsidRPr="00790E63">
              <w:rPr>
                <w:rFonts w:ascii="Arial Black" w:hAnsi="Arial Black"/>
                <w:caps/>
                <w:sz w:val="15"/>
              </w:rPr>
              <w:t xml:space="preserve"> </w:t>
            </w:r>
            <w:bookmarkStart w:id="1" w:name="Original"/>
            <w:bookmarkEnd w:id="1"/>
            <w:r w:rsidR="00D27802" w:rsidRPr="00790E63">
              <w:rPr>
                <w:rFonts w:ascii="Arial Black" w:hAnsi="Arial Black"/>
                <w:caps/>
                <w:sz w:val="15"/>
              </w:rPr>
              <w:t>Inglés</w:t>
            </w:r>
          </w:p>
        </w:tc>
      </w:tr>
      <w:tr w:rsidR="008B2CC1" w:rsidRPr="00790E63" w:rsidTr="00AB613D">
        <w:trPr>
          <w:trHeight w:hRule="exact" w:val="198"/>
        </w:trPr>
        <w:tc>
          <w:tcPr>
            <w:tcW w:w="9356" w:type="dxa"/>
            <w:gridSpan w:val="3"/>
            <w:tcMar>
              <w:left w:w="0" w:type="dxa"/>
              <w:right w:w="0" w:type="dxa"/>
            </w:tcMar>
            <w:vAlign w:val="bottom"/>
          </w:tcPr>
          <w:p w:rsidR="008B2CC1" w:rsidRPr="00790E63" w:rsidRDefault="00675021" w:rsidP="00AB613D">
            <w:pPr>
              <w:jc w:val="right"/>
              <w:rPr>
                <w:rFonts w:ascii="Arial Black" w:hAnsi="Arial Black"/>
                <w:caps/>
                <w:sz w:val="15"/>
              </w:rPr>
            </w:pPr>
            <w:r w:rsidRPr="00790E63">
              <w:rPr>
                <w:rFonts w:ascii="Arial Black" w:hAnsi="Arial Black"/>
                <w:caps/>
                <w:sz w:val="15"/>
              </w:rPr>
              <w:t>fecha</w:t>
            </w:r>
            <w:r w:rsidR="008B2CC1" w:rsidRPr="00790E63">
              <w:rPr>
                <w:rFonts w:ascii="Arial Black" w:hAnsi="Arial Black"/>
                <w:caps/>
                <w:sz w:val="15"/>
              </w:rPr>
              <w:t>:</w:t>
            </w:r>
            <w:r w:rsidR="00F84474" w:rsidRPr="00790E63">
              <w:rPr>
                <w:rFonts w:ascii="Arial Black" w:hAnsi="Arial Black"/>
                <w:caps/>
                <w:sz w:val="15"/>
              </w:rPr>
              <w:t xml:space="preserve"> </w:t>
            </w:r>
            <w:r w:rsidR="008B2CC1" w:rsidRPr="00790E63">
              <w:rPr>
                <w:rFonts w:ascii="Arial Black" w:hAnsi="Arial Black"/>
                <w:caps/>
                <w:sz w:val="15"/>
              </w:rPr>
              <w:t xml:space="preserve"> </w:t>
            </w:r>
            <w:bookmarkStart w:id="2" w:name="Date"/>
            <w:bookmarkEnd w:id="2"/>
            <w:r w:rsidR="00D27802" w:rsidRPr="00790E63">
              <w:rPr>
                <w:rFonts w:ascii="Arial Black" w:hAnsi="Arial Black"/>
                <w:caps/>
                <w:sz w:val="15"/>
              </w:rPr>
              <w:t>7 de julio de 2015</w:t>
            </w:r>
          </w:p>
        </w:tc>
      </w:tr>
    </w:tbl>
    <w:p w:rsidR="008B2CC1" w:rsidRPr="00790E63" w:rsidRDefault="008B2CC1" w:rsidP="008B2CC1"/>
    <w:p w:rsidR="008B2CC1" w:rsidRPr="00790E63" w:rsidRDefault="008B2CC1" w:rsidP="008B2CC1"/>
    <w:p w:rsidR="008B2CC1" w:rsidRPr="00790E63" w:rsidRDefault="008B2CC1" w:rsidP="008B2CC1">
      <w:bookmarkStart w:id="3" w:name="_GoBack"/>
      <w:bookmarkEnd w:id="3"/>
    </w:p>
    <w:p w:rsidR="008B2CC1" w:rsidRPr="00790E63" w:rsidRDefault="008B2CC1" w:rsidP="008B2CC1"/>
    <w:p w:rsidR="008B2CC1" w:rsidRPr="00790E63" w:rsidRDefault="008B2CC1" w:rsidP="008B2CC1"/>
    <w:p w:rsidR="008B2CC1" w:rsidRPr="00790E63" w:rsidRDefault="003C7E59" w:rsidP="008B2CC1">
      <w:pPr>
        <w:rPr>
          <w:b/>
          <w:sz w:val="28"/>
          <w:szCs w:val="28"/>
        </w:rPr>
      </w:pPr>
      <w:r w:rsidRPr="00790E63">
        <w:rPr>
          <w:b/>
          <w:sz w:val="28"/>
          <w:szCs w:val="28"/>
        </w:rPr>
        <w:t>Asamblea General de Ia OMPI</w:t>
      </w:r>
      <w:r w:rsidR="00D90289" w:rsidRPr="00790E63">
        <w:rPr>
          <w:b/>
          <w:sz w:val="28"/>
          <w:szCs w:val="28"/>
        </w:rPr>
        <w:t xml:space="preserve"> </w:t>
      </w:r>
    </w:p>
    <w:p w:rsidR="003845C1" w:rsidRPr="00790E63" w:rsidRDefault="003845C1" w:rsidP="003845C1"/>
    <w:p w:rsidR="001C4DD3" w:rsidRPr="00790E63" w:rsidRDefault="001C4DD3" w:rsidP="003845C1"/>
    <w:p w:rsidR="003C7E59" w:rsidRPr="00790E63" w:rsidRDefault="003C7E59" w:rsidP="003C7E59">
      <w:pPr>
        <w:rPr>
          <w:b/>
          <w:sz w:val="24"/>
          <w:szCs w:val="24"/>
        </w:rPr>
      </w:pPr>
      <w:r w:rsidRPr="00790E63">
        <w:rPr>
          <w:b/>
          <w:sz w:val="24"/>
          <w:szCs w:val="24"/>
        </w:rPr>
        <w:t>Cuadragésimo séptimo periodo de sesiones (22° ordinari</w:t>
      </w:r>
      <w:r w:rsidR="001B06FB" w:rsidRPr="00790E63">
        <w:rPr>
          <w:b/>
          <w:sz w:val="24"/>
          <w:szCs w:val="24"/>
        </w:rPr>
        <w:t>o</w:t>
      </w:r>
      <w:r w:rsidRPr="00790E63">
        <w:rPr>
          <w:b/>
          <w:sz w:val="24"/>
          <w:szCs w:val="24"/>
        </w:rPr>
        <w:t>)</w:t>
      </w:r>
    </w:p>
    <w:p w:rsidR="008B2CC1" w:rsidRPr="00790E63" w:rsidRDefault="003C7E59" w:rsidP="003C7E59">
      <w:pPr>
        <w:rPr>
          <w:b/>
          <w:sz w:val="24"/>
          <w:szCs w:val="24"/>
        </w:rPr>
      </w:pPr>
      <w:r w:rsidRPr="00790E63">
        <w:rPr>
          <w:b/>
          <w:sz w:val="24"/>
          <w:szCs w:val="24"/>
        </w:rPr>
        <w:t>Ginebra, 5 a 14 de octubre de 2015</w:t>
      </w:r>
    </w:p>
    <w:p w:rsidR="008B2CC1" w:rsidRPr="00790E63" w:rsidRDefault="008B2CC1" w:rsidP="008B2CC1"/>
    <w:p w:rsidR="008B2CC1" w:rsidRPr="00790E63" w:rsidRDefault="008B2CC1" w:rsidP="008B2CC1"/>
    <w:p w:rsidR="008B2CC1" w:rsidRPr="00790E63" w:rsidRDefault="008B2CC1" w:rsidP="008B2CC1"/>
    <w:p w:rsidR="008B2CC1" w:rsidRPr="00790E63" w:rsidRDefault="00D27802" w:rsidP="008B2CC1">
      <w:pPr>
        <w:rPr>
          <w:caps/>
          <w:sz w:val="24"/>
        </w:rPr>
      </w:pPr>
      <w:bookmarkStart w:id="4" w:name="TitleOfDoc"/>
      <w:bookmarkEnd w:id="4"/>
      <w:r w:rsidRPr="00790E63">
        <w:rPr>
          <w:caps/>
          <w:sz w:val="24"/>
        </w:rPr>
        <w:t>Composición del Comité del Programa y Presupuesto</w:t>
      </w:r>
    </w:p>
    <w:p w:rsidR="008B2CC1" w:rsidRPr="00790E63" w:rsidRDefault="008B2CC1" w:rsidP="008B2CC1"/>
    <w:p w:rsidR="008B2CC1" w:rsidRPr="00790E63" w:rsidRDefault="00D27802" w:rsidP="008B2CC1">
      <w:pPr>
        <w:rPr>
          <w:i/>
        </w:rPr>
      </w:pPr>
      <w:bookmarkStart w:id="5" w:name="Prepared"/>
      <w:bookmarkEnd w:id="5"/>
      <w:r w:rsidRPr="00790E63">
        <w:rPr>
          <w:i/>
        </w:rPr>
        <w:t>Documento preparado por la Secretaría</w:t>
      </w:r>
    </w:p>
    <w:p w:rsidR="008B2CC1" w:rsidRPr="00790E63" w:rsidRDefault="008B2CC1" w:rsidP="003845C1">
      <w:pPr>
        <w:rPr>
          <w:sz w:val="16"/>
          <w:szCs w:val="16"/>
        </w:rPr>
      </w:pPr>
    </w:p>
    <w:p w:rsidR="000F5E56" w:rsidRPr="00790E63" w:rsidRDefault="000F5E56">
      <w:pPr>
        <w:rPr>
          <w:sz w:val="16"/>
          <w:szCs w:val="16"/>
        </w:rPr>
      </w:pPr>
    </w:p>
    <w:p w:rsidR="00F84474" w:rsidRPr="00790E63" w:rsidRDefault="00F84474">
      <w:pPr>
        <w:rPr>
          <w:sz w:val="16"/>
          <w:szCs w:val="16"/>
        </w:rPr>
      </w:pPr>
    </w:p>
    <w:p w:rsidR="00F84474" w:rsidRPr="00790E63" w:rsidRDefault="00F84474">
      <w:pPr>
        <w:rPr>
          <w:sz w:val="16"/>
          <w:szCs w:val="16"/>
        </w:rPr>
      </w:pPr>
    </w:p>
    <w:p w:rsidR="00152CEA" w:rsidRPr="00790E63" w:rsidRDefault="00D27802">
      <w:r w:rsidRPr="00790E63">
        <w:fldChar w:fldCharType="begin"/>
      </w:r>
      <w:r w:rsidRPr="00790E63">
        <w:instrText xml:space="preserve"> AUTONUM  </w:instrText>
      </w:r>
      <w:r w:rsidRPr="00790E63">
        <w:fldChar w:fldCharType="end"/>
      </w:r>
      <w:r w:rsidRPr="00790E63">
        <w:tab/>
        <w:t>Los miembros del Comité del Programa y Presupuesto de la OMPI (el PBC) son elegidos por un período de dos años.</w:t>
      </w:r>
    </w:p>
    <w:p w:rsidR="00D27802" w:rsidRPr="00790E63" w:rsidRDefault="00D27802"/>
    <w:p w:rsidR="00D27802" w:rsidRPr="00790E63" w:rsidRDefault="00D27802">
      <w:r w:rsidRPr="00790E63">
        <w:fldChar w:fldCharType="begin"/>
      </w:r>
      <w:r w:rsidRPr="00790E63">
        <w:instrText xml:space="preserve"> AUTONUM  </w:instrText>
      </w:r>
      <w:r w:rsidRPr="00790E63">
        <w:fldChar w:fldCharType="end"/>
      </w:r>
      <w:r w:rsidRPr="00790E63">
        <w:tab/>
        <w:t xml:space="preserve">En su período de sesiones de septiembre de 2013, la Asamblea General de la OMPI eligió por unanimidad a los siguientes Estados en calidad de miembros del PBC para el período comprendido entre octubre de 2013 </w:t>
      </w:r>
      <w:r w:rsidR="00790E63">
        <w:t>y</w:t>
      </w:r>
      <w:r w:rsidRPr="00790E63">
        <w:t xml:space="preserve"> octubre de 2015:  Alemania, Argelia, Argentina, Azerbaiyán, Bangladesh, Belarús, Benin, Botswana, Brasil, Camerún, Canadá, Chile, China, Colombia, Croacia, Ecuador, El Salvador, Eslovaquia, Eslovenia, España, Estados Unidos de América, Etiopía, Federación de Rusia, Francia, Gabón, Georgia, Grecia, Guatemala, Guinea, Hungría, India, Indonesia, Irán (República Islámica del), Italia, Japón, Kenya, Kirguistán, Marruecos, México, Pakistán, Paraguay, Polonia, Reino Unido, República Checa, República de Corea, Rumania, Singapur, Sudáfrica, Sri Lanka, Suecia, Suiza (</w:t>
      </w:r>
      <w:r w:rsidRPr="00790E63">
        <w:rPr>
          <w:i/>
        </w:rPr>
        <w:t>ex officio</w:t>
      </w:r>
      <w:r w:rsidRPr="00790E63">
        <w:t>), Turquía, Viet</w:t>
      </w:r>
      <w:r w:rsidR="00AD08A7">
        <w:t> Nam </w:t>
      </w:r>
      <w:r w:rsidRPr="00790E63">
        <w:t>(53).</w:t>
      </w:r>
    </w:p>
    <w:p w:rsidR="00D27802" w:rsidRPr="00790E63" w:rsidRDefault="00D27802"/>
    <w:p w:rsidR="00D27802" w:rsidRPr="00790E63" w:rsidRDefault="00D27802" w:rsidP="00D27802">
      <w:r w:rsidRPr="00790E63">
        <w:fldChar w:fldCharType="begin"/>
      </w:r>
      <w:r w:rsidRPr="00790E63">
        <w:instrText xml:space="preserve"> AUTONUM  </w:instrText>
      </w:r>
      <w:r w:rsidRPr="00790E63">
        <w:fldChar w:fldCharType="end"/>
      </w:r>
      <w:r w:rsidRPr="00790E63">
        <w:tab/>
        <w:t xml:space="preserve">Como el mandato de los actuales miembros del PBC </w:t>
      </w:r>
      <w:r w:rsidR="00790E63">
        <w:t>venc</w:t>
      </w:r>
      <w:r w:rsidRPr="00790E63">
        <w:t>e en octubre de 2015, la Asamblea General de la OMPI debe elegir nuevos miembros para el período comprendido entre octubre de 2015 y octubre de 2017.</w:t>
      </w:r>
    </w:p>
    <w:p w:rsidR="00D27802" w:rsidRPr="00790E63" w:rsidRDefault="00D27802" w:rsidP="00D27802"/>
    <w:p w:rsidR="00D27802" w:rsidRDefault="00D27802" w:rsidP="00FF2CD8">
      <w:pPr>
        <w:pStyle w:val="DecisionInvitingPara"/>
        <w:ind w:left="5533"/>
        <w:rPr>
          <w:rFonts w:ascii="Arial" w:hAnsi="Arial" w:cs="Arial"/>
          <w:i w:val="0"/>
          <w:sz w:val="22"/>
          <w:szCs w:val="22"/>
          <w:lang w:val="es-ES"/>
        </w:rPr>
      </w:pPr>
      <w:r w:rsidRPr="00790E63">
        <w:rPr>
          <w:rFonts w:ascii="Arial" w:hAnsi="Arial" w:cs="Arial"/>
          <w:sz w:val="22"/>
          <w:szCs w:val="22"/>
          <w:lang w:val="es-ES"/>
        </w:rPr>
        <w:fldChar w:fldCharType="begin"/>
      </w:r>
      <w:r w:rsidRPr="00790E63">
        <w:rPr>
          <w:rFonts w:ascii="Arial" w:hAnsi="Arial" w:cs="Arial"/>
          <w:sz w:val="22"/>
          <w:szCs w:val="22"/>
          <w:lang w:val="es-ES"/>
        </w:rPr>
        <w:instrText xml:space="preserve"> AUTONUM  </w:instrText>
      </w:r>
      <w:r w:rsidRPr="00790E63">
        <w:rPr>
          <w:rFonts w:ascii="Arial" w:hAnsi="Arial" w:cs="Arial"/>
          <w:sz w:val="22"/>
          <w:szCs w:val="22"/>
          <w:lang w:val="es-ES"/>
        </w:rPr>
        <w:fldChar w:fldCharType="end"/>
      </w:r>
      <w:r w:rsidRPr="00790E63">
        <w:rPr>
          <w:rFonts w:ascii="Arial" w:hAnsi="Arial" w:cs="Arial"/>
          <w:sz w:val="22"/>
          <w:szCs w:val="22"/>
          <w:lang w:val="es-ES"/>
        </w:rPr>
        <w:tab/>
        <w:t>Se invita a la Asamblea General de la OMPI a examinar la composición del Comité del Programa y Presupuesto para el período comprendido entre octubre de 201</w:t>
      </w:r>
      <w:r w:rsidR="00790E63" w:rsidRPr="00790E63">
        <w:rPr>
          <w:rFonts w:ascii="Arial" w:hAnsi="Arial" w:cs="Arial"/>
          <w:sz w:val="22"/>
          <w:szCs w:val="22"/>
          <w:lang w:val="es-ES"/>
        </w:rPr>
        <w:t>5</w:t>
      </w:r>
      <w:r w:rsidRPr="00790E63">
        <w:rPr>
          <w:rFonts w:ascii="Arial" w:hAnsi="Arial" w:cs="Arial"/>
          <w:sz w:val="22"/>
          <w:szCs w:val="22"/>
          <w:lang w:val="es-ES"/>
        </w:rPr>
        <w:t xml:space="preserve"> y octubre de 201</w:t>
      </w:r>
      <w:r w:rsidR="00790E63" w:rsidRPr="00790E63">
        <w:rPr>
          <w:rFonts w:ascii="Arial" w:hAnsi="Arial" w:cs="Arial"/>
          <w:sz w:val="22"/>
          <w:szCs w:val="22"/>
          <w:lang w:val="es-ES"/>
        </w:rPr>
        <w:t>7</w:t>
      </w:r>
      <w:r w:rsidRPr="00790E63">
        <w:rPr>
          <w:rFonts w:ascii="Arial" w:hAnsi="Arial" w:cs="Arial"/>
          <w:sz w:val="22"/>
          <w:szCs w:val="22"/>
          <w:lang w:val="es-ES"/>
        </w:rPr>
        <w:t>, y a tomar una decisión al respecto.</w:t>
      </w:r>
    </w:p>
    <w:p w:rsidR="00790E63" w:rsidRPr="00DB77C0" w:rsidRDefault="00790E63" w:rsidP="00790E63">
      <w:pPr>
        <w:pStyle w:val="Endofdocument-Annex"/>
        <w:rPr>
          <w:lang w:val="es-ES_tradnl"/>
        </w:rPr>
      </w:pPr>
    </w:p>
    <w:p w:rsidR="00790E63" w:rsidRPr="00DB77C0" w:rsidRDefault="00790E63" w:rsidP="00790E63">
      <w:pPr>
        <w:pStyle w:val="Endofdocument-Annex"/>
        <w:rPr>
          <w:lang w:val="es-ES_tradnl"/>
        </w:rPr>
      </w:pPr>
    </w:p>
    <w:p w:rsidR="00790E63" w:rsidRPr="00AD08A7" w:rsidRDefault="00790E63" w:rsidP="00790E63">
      <w:pPr>
        <w:pStyle w:val="Endofdocument-Annex"/>
        <w:rPr>
          <w:lang w:val="es-ES"/>
        </w:rPr>
      </w:pPr>
      <w:r w:rsidRPr="00AD08A7">
        <w:rPr>
          <w:lang w:val="es-ES"/>
        </w:rPr>
        <w:t>[Fin del documento]</w:t>
      </w:r>
    </w:p>
    <w:sectPr w:rsidR="00790E63" w:rsidRPr="00AD08A7" w:rsidSect="00AD08A7">
      <w:headerReference w:type="default" r:id="rId9"/>
      <w:pgSz w:w="11907" w:h="16840" w:code="9"/>
      <w:pgMar w:top="567" w:right="1030"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BC6" w:rsidRDefault="00803BC6">
      <w:r>
        <w:separator/>
      </w:r>
    </w:p>
  </w:endnote>
  <w:endnote w:type="continuationSeparator" w:id="0">
    <w:p w:rsidR="00803BC6" w:rsidRPr="009D30E6" w:rsidRDefault="00803BC6" w:rsidP="007E663E">
      <w:pPr>
        <w:rPr>
          <w:sz w:val="17"/>
          <w:szCs w:val="17"/>
        </w:rPr>
      </w:pPr>
      <w:r w:rsidRPr="009D30E6">
        <w:rPr>
          <w:sz w:val="17"/>
          <w:szCs w:val="17"/>
        </w:rPr>
        <w:separator/>
      </w:r>
    </w:p>
    <w:p w:rsidR="00803BC6" w:rsidRPr="007E663E" w:rsidRDefault="00803BC6" w:rsidP="007E663E">
      <w:pPr>
        <w:spacing w:after="60"/>
        <w:rPr>
          <w:sz w:val="17"/>
          <w:szCs w:val="17"/>
        </w:rPr>
      </w:pPr>
      <w:r>
        <w:rPr>
          <w:sz w:val="17"/>
        </w:rPr>
        <w:t>[Continuación de la nota de la página anterior]</w:t>
      </w:r>
    </w:p>
  </w:endnote>
  <w:endnote w:type="continuationNotice" w:id="1">
    <w:p w:rsidR="00803BC6" w:rsidRPr="007E663E" w:rsidRDefault="00803BC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BC6" w:rsidRDefault="00803BC6">
      <w:r>
        <w:separator/>
      </w:r>
    </w:p>
  </w:footnote>
  <w:footnote w:type="continuationSeparator" w:id="0">
    <w:p w:rsidR="00803BC6" w:rsidRPr="009D30E6" w:rsidRDefault="00803BC6" w:rsidP="007E663E">
      <w:pPr>
        <w:rPr>
          <w:sz w:val="17"/>
          <w:szCs w:val="17"/>
        </w:rPr>
      </w:pPr>
      <w:r w:rsidRPr="009D30E6">
        <w:rPr>
          <w:sz w:val="17"/>
          <w:szCs w:val="17"/>
        </w:rPr>
        <w:separator/>
      </w:r>
    </w:p>
    <w:p w:rsidR="00803BC6" w:rsidRPr="007E663E" w:rsidRDefault="00803BC6" w:rsidP="007E663E">
      <w:pPr>
        <w:spacing w:after="60"/>
        <w:rPr>
          <w:sz w:val="17"/>
          <w:szCs w:val="17"/>
        </w:rPr>
      </w:pPr>
      <w:r>
        <w:rPr>
          <w:sz w:val="17"/>
        </w:rPr>
        <w:t>[Continuación de la nota de la página anterior]</w:t>
      </w:r>
    </w:p>
  </w:footnote>
  <w:footnote w:type="continuationNotice" w:id="1">
    <w:p w:rsidR="00803BC6" w:rsidRPr="007E663E" w:rsidRDefault="00803BC6"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474" w:rsidRDefault="00D27802" w:rsidP="00477D6B">
    <w:pPr>
      <w:jc w:val="right"/>
    </w:pPr>
    <w:bookmarkStart w:id="6" w:name="Code2"/>
    <w:bookmarkEnd w:id="6"/>
    <w:r>
      <w:t>WO/GA/47/1</w:t>
    </w:r>
  </w:p>
  <w:p w:rsidR="00F84474" w:rsidRDefault="00F84474" w:rsidP="00477D6B">
    <w:pPr>
      <w:jc w:val="right"/>
    </w:pPr>
    <w:r>
      <w:t xml:space="preserve">página </w:t>
    </w:r>
    <w:r>
      <w:fldChar w:fldCharType="begin"/>
    </w:r>
    <w:r>
      <w:instrText xml:space="preserve"> PAGE  \* MERGEFORMAT </w:instrText>
    </w:r>
    <w:r>
      <w:fldChar w:fldCharType="separate"/>
    </w:r>
    <w:r w:rsidR="00AD08A7">
      <w:rPr>
        <w:noProof/>
      </w:rPr>
      <w:t>2</w:t>
    </w:r>
    <w:r>
      <w:fldChar w:fldCharType="end"/>
    </w:r>
  </w:p>
  <w:p w:rsidR="00F84474" w:rsidRDefault="00F84474"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802"/>
    <w:rsid w:val="000E3BB3"/>
    <w:rsid w:val="000F5E56"/>
    <w:rsid w:val="001362EE"/>
    <w:rsid w:val="00152CEA"/>
    <w:rsid w:val="001832A6"/>
    <w:rsid w:val="001B06FB"/>
    <w:rsid w:val="001C4DD3"/>
    <w:rsid w:val="002634C4"/>
    <w:rsid w:val="002F4E68"/>
    <w:rsid w:val="00354647"/>
    <w:rsid w:val="00377273"/>
    <w:rsid w:val="003845C1"/>
    <w:rsid w:val="00387287"/>
    <w:rsid w:val="003C7E59"/>
    <w:rsid w:val="003D41D4"/>
    <w:rsid w:val="003F7B47"/>
    <w:rsid w:val="00423E3E"/>
    <w:rsid w:val="00427AF4"/>
    <w:rsid w:val="0045231F"/>
    <w:rsid w:val="004647DA"/>
    <w:rsid w:val="00477D6B"/>
    <w:rsid w:val="004A6C37"/>
    <w:rsid w:val="0055013B"/>
    <w:rsid w:val="0056224D"/>
    <w:rsid w:val="00571B99"/>
    <w:rsid w:val="005C6458"/>
    <w:rsid w:val="00605827"/>
    <w:rsid w:val="00675021"/>
    <w:rsid w:val="006A06C6"/>
    <w:rsid w:val="00790E63"/>
    <w:rsid w:val="007E663E"/>
    <w:rsid w:val="00803BC6"/>
    <w:rsid w:val="00815082"/>
    <w:rsid w:val="008B2CC1"/>
    <w:rsid w:val="0090731E"/>
    <w:rsid w:val="00966A22"/>
    <w:rsid w:val="00972F03"/>
    <w:rsid w:val="009A0C8B"/>
    <w:rsid w:val="009B6241"/>
    <w:rsid w:val="009F7006"/>
    <w:rsid w:val="00A16FC0"/>
    <w:rsid w:val="00A32C9E"/>
    <w:rsid w:val="00A7453D"/>
    <w:rsid w:val="00AB613D"/>
    <w:rsid w:val="00AD08A7"/>
    <w:rsid w:val="00B65A0A"/>
    <w:rsid w:val="00B72D36"/>
    <w:rsid w:val="00BC4164"/>
    <w:rsid w:val="00BD2DCC"/>
    <w:rsid w:val="00BE1A8C"/>
    <w:rsid w:val="00C90559"/>
    <w:rsid w:val="00D27802"/>
    <w:rsid w:val="00D40CF0"/>
    <w:rsid w:val="00D56C7C"/>
    <w:rsid w:val="00D71B4D"/>
    <w:rsid w:val="00D90289"/>
    <w:rsid w:val="00D93D55"/>
    <w:rsid w:val="00DB77C0"/>
    <w:rsid w:val="00E45C84"/>
    <w:rsid w:val="00E504E5"/>
    <w:rsid w:val="00EB7A3E"/>
    <w:rsid w:val="00EC401A"/>
    <w:rsid w:val="00EF104E"/>
    <w:rsid w:val="00EF530A"/>
    <w:rsid w:val="00EF6622"/>
    <w:rsid w:val="00F55408"/>
    <w:rsid w:val="00F66152"/>
    <w:rsid w:val="00F80845"/>
    <w:rsid w:val="00F84474"/>
    <w:rsid w:val="00FF2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3C7E59"/>
    <w:rPr>
      <w:rFonts w:ascii="Tahoma" w:hAnsi="Tahoma" w:cs="Tahoma"/>
      <w:sz w:val="16"/>
      <w:szCs w:val="16"/>
    </w:rPr>
  </w:style>
  <w:style w:type="character" w:customStyle="1" w:styleId="BalloonTextChar">
    <w:name w:val="Balloon Text Char"/>
    <w:basedOn w:val="DefaultParagraphFont"/>
    <w:link w:val="BalloonText"/>
    <w:rsid w:val="003C7E59"/>
    <w:rPr>
      <w:rFonts w:ascii="Tahoma" w:eastAsia="SimSun" w:hAnsi="Tahoma" w:cs="Tahoma"/>
      <w:sz w:val="16"/>
      <w:szCs w:val="16"/>
      <w:lang w:val="es-ES"/>
    </w:rPr>
  </w:style>
  <w:style w:type="paragraph" w:customStyle="1" w:styleId="DecisionInvitingPara">
    <w:name w:val="Decision Inviting Para."/>
    <w:basedOn w:val="Normal"/>
    <w:rsid w:val="00D27802"/>
    <w:pPr>
      <w:ind w:left="4536"/>
    </w:pPr>
    <w:rPr>
      <w:rFonts w:ascii="Times New Roman" w:eastAsia="Times New Roman" w:hAnsi="Times New Roman" w:cs="Times New Roman"/>
      <w:i/>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3C7E59"/>
    <w:rPr>
      <w:rFonts w:ascii="Tahoma" w:hAnsi="Tahoma" w:cs="Tahoma"/>
      <w:sz w:val="16"/>
      <w:szCs w:val="16"/>
    </w:rPr>
  </w:style>
  <w:style w:type="character" w:customStyle="1" w:styleId="BalloonTextChar">
    <w:name w:val="Balloon Text Char"/>
    <w:basedOn w:val="DefaultParagraphFont"/>
    <w:link w:val="BalloonText"/>
    <w:rsid w:val="003C7E59"/>
    <w:rPr>
      <w:rFonts w:ascii="Tahoma" w:eastAsia="SimSun" w:hAnsi="Tahoma" w:cs="Tahoma"/>
      <w:sz w:val="16"/>
      <w:szCs w:val="16"/>
      <w:lang w:val="es-ES"/>
    </w:rPr>
  </w:style>
  <w:style w:type="paragraph" w:customStyle="1" w:styleId="DecisionInvitingPara">
    <w:name w:val="Decision Inviting Para."/>
    <w:basedOn w:val="Normal"/>
    <w:rsid w:val="00D27802"/>
    <w:pPr>
      <w:ind w:left="4536"/>
    </w:pPr>
    <w:rPr>
      <w:rFonts w:ascii="Times New Roman" w:eastAsia="Times New Roman" w:hAnsi="Times New Roman" w:cs="Times New Roman"/>
      <w: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7%20(S)%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GA 47 (S) </Template>
  <TotalTime>16</TotalTime>
  <Pages>1</Pages>
  <Words>255</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WO/GA/47/1 - Composición del Comité del Programa y Presupuesto</vt:lpstr>
    </vt:vector>
  </TitlesOfParts>
  <Company>WIPO</Company>
  <LinksUpToDate>false</LinksUpToDate>
  <CharactersWithSpaces>1701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WO/GA/47/1 - Composición del Comité del Programa y Presupuesto</dc:title>
  <dc:creator>HALLER Mario</dc:creator>
  <dc:description>MH - 10.6.2015</dc:description>
  <cp:lastModifiedBy>HÄFLIGER Patience</cp:lastModifiedBy>
  <cp:revision>7</cp:revision>
  <cp:lastPrinted>2015-06-30T07:59:00Z</cp:lastPrinted>
  <dcterms:created xsi:type="dcterms:W3CDTF">2015-06-10T09:09:00Z</dcterms:created>
  <dcterms:modified xsi:type="dcterms:W3CDTF">2015-06-30T07:59:00Z</dcterms:modified>
</cp:coreProperties>
</file>