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D08B4" w:rsidTr="0088395E">
        <w:tc>
          <w:tcPr>
            <w:tcW w:w="4513" w:type="dxa"/>
            <w:tcBorders>
              <w:bottom w:val="single" w:sz="4" w:space="0" w:color="auto"/>
            </w:tcBorders>
            <w:tcMar>
              <w:bottom w:w="170" w:type="dxa"/>
            </w:tcMar>
          </w:tcPr>
          <w:p w:rsidR="00E504E5" w:rsidRPr="00DD08B4" w:rsidRDefault="00E504E5" w:rsidP="00AB613D">
            <w:pPr>
              <w:rPr>
                <w:lang w:val="es-ES_tradnl"/>
              </w:rPr>
            </w:pPr>
          </w:p>
        </w:tc>
        <w:tc>
          <w:tcPr>
            <w:tcW w:w="4337" w:type="dxa"/>
            <w:tcBorders>
              <w:bottom w:val="single" w:sz="4" w:space="0" w:color="auto"/>
            </w:tcBorders>
            <w:tcMar>
              <w:left w:w="0" w:type="dxa"/>
              <w:right w:w="0" w:type="dxa"/>
            </w:tcMar>
          </w:tcPr>
          <w:p w:rsidR="00E504E5" w:rsidRPr="00DD08B4" w:rsidRDefault="00A32356" w:rsidP="00AB613D">
            <w:pPr>
              <w:rPr>
                <w:lang w:val="es-ES_tradnl"/>
              </w:rPr>
            </w:pPr>
            <w:r w:rsidRPr="00DD08B4">
              <w:rPr>
                <w:noProof/>
                <w:lang w:val="en-US" w:eastAsia="en-US"/>
              </w:rPr>
              <w:drawing>
                <wp:inline distT="0" distB="0" distL="0" distR="0" wp14:anchorId="53BC2AE5" wp14:editId="74C6631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D08B4" w:rsidRDefault="00E504E5" w:rsidP="00AB613D">
            <w:pPr>
              <w:jc w:val="right"/>
              <w:rPr>
                <w:lang w:val="es-ES_tradnl"/>
              </w:rPr>
            </w:pPr>
            <w:r w:rsidRPr="00DD08B4">
              <w:rPr>
                <w:b/>
                <w:sz w:val="40"/>
                <w:szCs w:val="40"/>
                <w:lang w:val="es-ES_tradnl"/>
              </w:rPr>
              <w:t>S</w:t>
            </w:r>
          </w:p>
        </w:tc>
      </w:tr>
      <w:tr w:rsidR="008B2CC1" w:rsidRPr="00DD08B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D08B4" w:rsidRDefault="002149A3" w:rsidP="00AB613D">
            <w:pPr>
              <w:jc w:val="right"/>
              <w:rPr>
                <w:rFonts w:ascii="Arial Black" w:hAnsi="Arial Black"/>
                <w:caps/>
                <w:sz w:val="15"/>
                <w:lang w:val="es-ES_tradnl"/>
              </w:rPr>
            </w:pPr>
            <w:r w:rsidRPr="00DD08B4">
              <w:rPr>
                <w:rFonts w:ascii="Arial Black" w:hAnsi="Arial Black"/>
                <w:caps/>
                <w:sz w:val="15"/>
                <w:lang w:val="es-ES_tradnl"/>
              </w:rPr>
              <w:t>WO/GA/43/</w:t>
            </w:r>
            <w:bookmarkStart w:id="0" w:name="Code"/>
            <w:bookmarkEnd w:id="0"/>
            <w:r w:rsidR="00A32356" w:rsidRPr="00DD08B4">
              <w:rPr>
                <w:rFonts w:ascii="Arial Black" w:hAnsi="Arial Black"/>
                <w:caps/>
                <w:sz w:val="15"/>
                <w:lang w:val="es-ES_tradnl"/>
              </w:rPr>
              <w:t>13</w:t>
            </w:r>
          </w:p>
        </w:tc>
      </w:tr>
      <w:tr w:rsidR="008B2CC1" w:rsidRPr="00DD08B4" w:rsidTr="00AB613D">
        <w:trPr>
          <w:trHeight w:hRule="exact" w:val="170"/>
        </w:trPr>
        <w:tc>
          <w:tcPr>
            <w:tcW w:w="9356" w:type="dxa"/>
            <w:gridSpan w:val="3"/>
            <w:noWrap/>
            <w:tcMar>
              <w:left w:w="0" w:type="dxa"/>
              <w:right w:w="0" w:type="dxa"/>
            </w:tcMar>
            <w:vAlign w:val="bottom"/>
          </w:tcPr>
          <w:p w:rsidR="008B2CC1" w:rsidRPr="00DD08B4" w:rsidRDefault="008B2CC1" w:rsidP="00AB613D">
            <w:pPr>
              <w:jc w:val="right"/>
              <w:rPr>
                <w:rFonts w:ascii="Arial Black" w:hAnsi="Arial Black"/>
                <w:caps/>
                <w:sz w:val="15"/>
                <w:lang w:val="es-ES_tradnl"/>
              </w:rPr>
            </w:pPr>
            <w:r w:rsidRPr="00DD08B4">
              <w:rPr>
                <w:rFonts w:ascii="Arial Black" w:hAnsi="Arial Black"/>
                <w:caps/>
                <w:sz w:val="15"/>
                <w:lang w:val="es-ES_tradnl"/>
              </w:rPr>
              <w:t>ORIGINAL:</w:t>
            </w:r>
            <w:r w:rsidR="00F84474" w:rsidRPr="00DD08B4">
              <w:rPr>
                <w:rFonts w:ascii="Arial Black" w:hAnsi="Arial Black"/>
                <w:caps/>
                <w:sz w:val="15"/>
                <w:lang w:val="es-ES_tradnl"/>
              </w:rPr>
              <w:t xml:space="preserve"> </w:t>
            </w:r>
            <w:r w:rsidRPr="00DD08B4">
              <w:rPr>
                <w:rFonts w:ascii="Arial Black" w:hAnsi="Arial Black"/>
                <w:caps/>
                <w:sz w:val="15"/>
                <w:lang w:val="es-ES_tradnl"/>
              </w:rPr>
              <w:t xml:space="preserve"> </w:t>
            </w:r>
            <w:bookmarkStart w:id="1" w:name="Original"/>
            <w:bookmarkEnd w:id="1"/>
            <w:r w:rsidR="00A32356" w:rsidRPr="00DD08B4">
              <w:rPr>
                <w:rFonts w:ascii="Arial Black" w:hAnsi="Arial Black"/>
                <w:caps/>
                <w:sz w:val="15"/>
                <w:lang w:val="es-ES_tradnl"/>
              </w:rPr>
              <w:t>INGLÉS</w:t>
            </w:r>
          </w:p>
        </w:tc>
      </w:tr>
      <w:tr w:rsidR="008B2CC1" w:rsidRPr="00DD08B4" w:rsidTr="00AB613D">
        <w:trPr>
          <w:trHeight w:hRule="exact" w:val="198"/>
        </w:trPr>
        <w:tc>
          <w:tcPr>
            <w:tcW w:w="9356" w:type="dxa"/>
            <w:gridSpan w:val="3"/>
            <w:tcMar>
              <w:left w:w="0" w:type="dxa"/>
              <w:right w:w="0" w:type="dxa"/>
            </w:tcMar>
            <w:vAlign w:val="bottom"/>
          </w:tcPr>
          <w:p w:rsidR="008B2CC1" w:rsidRPr="00DD08B4" w:rsidRDefault="00675021" w:rsidP="00AB613D">
            <w:pPr>
              <w:jc w:val="right"/>
              <w:rPr>
                <w:rFonts w:ascii="Arial Black" w:hAnsi="Arial Black"/>
                <w:caps/>
                <w:sz w:val="15"/>
                <w:lang w:val="es-ES_tradnl"/>
              </w:rPr>
            </w:pPr>
            <w:r w:rsidRPr="00DD08B4">
              <w:rPr>
                <w:rFonts w:ascii="Arial Black" w:hAnsi="Arial Black"/>
                <w:caps/>
                <w:sz w:val="15"/>
                <w:lang w:val="es-ES_tradnl"/>
              </w:rPr>
              <w:t>fecha</w:t>
            </w:r>
            <w:r w:rsidR="008B2CC1" w:rsidRPr="00DD08B4">
              <w:rPr>
                <w:rFonts w:ascii="Arial Black" w:hAnsi="Arial Black"/>
                <w:caps/>
                <w:sz w:val="15"/>
                <w:lang w:val="es-ES_tradnl"/>
              </w:rPr>
              <w:t>:</w:t>
            </w:r>
            <w:r w:rsidR="00F84474" w:rsidRPr="00DD08B4">
              <w:rPr>
                <w:rFonts w:ascii="Arial Black" w:hAnsi="Arial Black"/>
                <w:caps/>
                <w:sz w:val="15"/>
                <w:lang w:val="es-ES_tradnl"/>
              </w:rPr>
              <w:t xml:space="preserve"> </w:t>
            </w:r>
            <w:r w:rsidR="008B2CC1" w:rsidRPr="00DD08B4">
              <w:rPr>
                <w:rFonts w:ascii="Arial Black" w:hAnsi="Arial Black"/>
                <w:caps/>
                <w:sz w:val="15"/>
                <w:lang w:val="es-ES_tradnl"/>
              </w:rPr>
              <w:t xml:space="preserve"> </w:t>
            </w:r>
            <w:bookmarkStart w:id="2" w:name="Date"/>
            <w:bookmarkEnd w:id="2"/>
            <w:r w:rsidR="00A32356" w:rsidRPr="00DD08B4">
              <w:rPr>
                <w:rFonts w:ascii="Arial Black" w:hAnsi="Arial Black"/>
                <w:caps/>
                <w:sz w:val="15"/>
                <w:lang w:val="es-ES_tradnl"/>
              </w:rPr>
              <w:t>28 de Agosto de 2013</w:t>
            </w:r>
          </w:p>
        </w:tc>
      </w:tr>
    </w:tbl>
    <w:p w:rsidR="008B2CC1" w:rsidRPr="00DD08B4" w:rsidRDefault="008B2CC1" w:rsidP="008B2CC1">
      <w:pPr>
        <w:rPr>
          <w:lang w:val="es-ES_tradnl"/>
        </w:rPr>
      </w:pPr>
    </w:p>
    <w:p w:rsidR="008B2CC1" w:rsidRPr="00DD08B4" w:rsidRDefault="008B2CC1" w:rsidP="008B2CC1">
      <w:pPr>
        <w:rPr>
          <w:lang w:val="es-ES_tradnl"/>
        </w:rPr>
      </w:pPr>
    </w:p>
    <w:p w:rsidR="008B2CC1" w:rsidRPr="00DD08B4" w:rsidRDefault="008B2CC1" w:rsidP="008B2CC1">
      <w:pPr>
        <w:rPr>
          <w:lang w:val="es-ES_tradnl"/>
        </w:rPr>
      </w:pPr>
    </w:p>
    <w:p w:rsidR="008B2CC1" w:rsidRPr="00DD08B4" w:rsidRDefault="008B2CC1" w:rsidP="008B2CC1">
      <w:pPr>
        <w:rPr>
          <w:lang w:val="es-ES_tradnl"/>
        </w:rPr>
      </w:pPr>
    </w:p>
    <w:p w:rsidR="008B2CC1" w:rsidRPr="00DD08B4" w:rsidRDefault="008B2CC1" w:rsidP="008B2CC1">
      <w:pPr>
        <w:rPr>
          <w:lang w:val="es-ES_tradnl"/>
        </w:rPr>
      </w:pPr>
    </w:p>
    <w:p w:rsidR="00B67CDC" w:rsidRPr="00DD08B4" w:rsidRDefault="002149A3" w:rsidP="00B67CDC">
      <w:pPr>
        <w:rPr>
          <w:b/>
          <w:sz w:val="28"/>
          <w:szCs w:val="28"/>
          <w:lang w:val="es-ES_tradnl"/>
        </w:rPr>
      </w:pPr>
      <w:r w:rsidRPr="00DD08B4">
        <w:rPr>
          <w:b/>
          <w:sz w:val="28"/>
          <w:szCs w:val="28"/>
          <w:lang w:val="es-ES_tradnl"/>
        </w:rPr>
        <w:t>Asamblea General de la OMPI</w:t>
      </w:r>
    </w:p>
    <w:p w:rsidR="003845C1" w:rsidRPr="00DD08B4" w:rsidRDefault="003845C1" w:rsidP="003845C1">
      <w:pPr>
        <w:rPr>
          <w:lang w:val="es-ES_tradnl"/>
        </w:rPr>
      </w:pPr>
    </w:p>
    <w:p w:rsidR="003845C1" w:rsidRPr="00DD08B4" w:rsidRDefault="003845C1" w:rsidP="003845C1">
      <w:pPr>
        <w:rPr>
          <w:lang w:val="es-ES_tradnl"/>
        </w:rPr>
      </w:pPr>
    </w:p>
    <w:p w:rsidR="00B67CDC" w:rsidRPr="00DD08B4" w:rsidRDefault="002149A3" w:rsidP="00B67CDC">
      <w:pPr>
        <w:rPr>
          <w:b/>
          <w:sz w:val="24"/>
          <w:szCs w:val="24"/>
          <w:lang w:val="es-ES_tradnl"/>
        </w:rPr>
      </w:pPr>
      <w:r w:rsidRPr="00DD08B4">
        <w:rPr>
          <w:b/>
          <w:sz w:val="24"/>
          <w:szCs w:val="24"/>
          <w:lang w:val="es-ES_tradnl"/>
        </w:rPr>
        <w:t>Cuadragési</w:t>
      </w:r>
      <w:r w:rsidR="009D61B8" w:rsidRPr="00DD08B4">
        <w:rPr>
          <w:b/>
          <w:sz w:val="24"/>
          <w:szCs w:val="24"/>
          <w:lang w:val="es-ES_tradnl"/>
        </w:rPr>
        <w:t>mo</w:t>
      </w:r>
      <w:r w:rsidR="00AE648F" w:rsidRPr="00DD08B4">
        <w:rPr>
          <w:b/>
          <w:sz w:val="24"/>
          <w:szCs w:val="24"/>
          <w:lang w:val="es-ES_tradnl"/>
        </w:rPr>
        <w:t xml:space="preserve"> tercer</w:t>
      </w:r>
      <w:r w:rsidR="009D61B8" w:rsidRPr="00DD08B4">
        <w:rPr>
          <w:b/>
          <w:sz w:val="24"/>
          <w:szCs w:val="24"/>
          <w:lang w:val="es-ES_tradnl"/>
        </w:rPr>
        <w:t xml:space="preserve"> perí</w:t>
      </w:r>
      <w:r w:rsidR="00AE648F" w:rsidRPr="00DD08B4">
        <w:rPr>
          <w:b/>
          <w:sz w:val="24"/>
          <w:szCs w:val="24"/>
          <w:lang w:val="es-ES_tradnl"/>
        </w:rPr>
        <w:t>odo de sesio</w:t>
      </w:r>
      <w:r w:rsidR="00562493" w:rsidRPr="00DD08B4">
        <w:rPr>
          <w:b/>
          <w:sz w:val="24"/>
          <w:szCs w:val="24"/>
          <w:lang w:val="es-ES_tradnl"/>
        </w:rPr>
        <w:t>n</w:t>
      </w:r>
      <w:r w:rsidR="00AE648F" w:rsidRPr="00DD08B4">
        <w:rPr>
          <w:b/>
          <w:sz w:val="24"/>
          <w:szCs w:val="24"/>
          <w:lang w:val="es-ES_tradnl"/>
        </w:rPr>
        <w:t>es</w:t>
      </w:r>
      <w:r w:rsidR="00562493" w:rsidRPr="00DD08B4">
        <w:rPr>
          <w:b/>
          <w:sz w:val="24"/>
          <w:szCs w:val="24"/>
          <w:lang w:val="es-ES_tradnl"/>
        </w:rPr>
        <w:t xml:space="preserve"> (21°</w:t>
      </w:r>
      <w:r w:rsidR="00D12F3C" w:rsidRPr="00DD08B4">
        <w:rPr>
          <w:b/>
          <w:sz w:val="24"/>
          <w:szCs w:val="24"/>
          <w:lang w:val="es-ES_tradnl"/>
        </w:rPr>
        <w:t xml:space="preserve"> ordinario</w:t>
      </w:r>
      <w:r w:rsidRPr="00DD08B4">
        <w:rPr>
          <w:b/>
          <w:sz w:val="24"/>
          <w:szCs w:val="24"/>
          <w:lang w:val="es-ES_tradnl"/>
        </w:rPr>
        <w:t>)</w:t>
      </w:r>
    </w:p>
    <w:p w:rsidR="00B67CDC" w:rsidRPr="00DD08B4" w:rsidRDefault="002149A3" w:rsidP="00B67CDC">
      <w:pPr>
        <w:rPr>
          <w:b/>
          <w:sz w:val="24"/>
          <w:szCs w:val="24"/>
          <w:lang w:val="es-ES_tradnl"/>
        </w:rPr>
      </w:pPr>
      <w:r w:rsidRPr="00DD08B4">
        <w:rPr>
          <w:b/>
          <w:sz w:val="24"/>
          <w:szCs w:val="24"/>
          <w:lang w:val="es-ES_tradnl"/>
        </w:rPr>
        <w:t>Ginebra, 23 de septiembre a 2 de octubre de 2013</w:t>
      </w:r>
    </w:p>
    <w:p w:rsidR="008B2CC1" w:rsidRPr="00DD08B4" w:rsidRDefault="008B2CC1" w:rsidP="008B2CC1">
      <w:pPr>
        <w:rPr>
          <w:lang w:val="es-ES_tradnl"/>
        </w:rPr>
      </w:pPr>
    </w:p>
    <w:p w:rsidR="008B2CC1" w:rsidRPr="00DD08B4" w:rsidRDefault="008B2CC1" w:rsidP="008B2CC1">
      <w:pPr>
        <w:rPr>
          <w:lang w:val="es-ES_tradnl"/>
        </w:rPr>
      </w:pPr>
    </w:p>
    <w:p w:rsidR="008B2CC1" w:rsidRPr="00DD08B4" w:rsidRDefault="008B2CC1" w:rsidP="008B2CC1">
      <w:pPr>
        <w:rPr>
          <w:lang w:val="es-ES_tradnl"/>
        </w:rPr>
      </w:pPr>
    </w:p>
    <w:p w:rsidR="008B2CC1" w:rsidRPr="00DD08B4" w:rsidRDefault="005D3033" w:rsidP="008B2CC1">
      <w:pPr>
        <w:rPr>
          <w:caps/>
          <w:sz w:val="24"/>
          <w:lang w:val="es-ES_tradnl"/>
        </w:rPr>
      </w:pPr>
      <w:bookmarkStart w:id="3" w:name="TitleOfDoc"/>
      <w:bookmarkEnd w:id="3"/>
      <w:r w:rsidRPr="00DD08B4">
        <w:rPr>
          <w:caps/>
          <w:sz w:val="24"/>
          <w:lang w:val="es-ES_tradnl"/>
        </w:rPr>
        <w:t>INFORME SOBRE LA LABOR DEL COMITÉ PERMANENTE DE DERECHO DE AUTOR Y DERECHOS CONEXOS</w:t>
      </w:r>
    </w:p>
    <w:p w:rsidR="008B2CC1" w:rsidRPr="00DD08B4" w:rsidRDefault="008B2CC1" w:rsidP="008B2CC1">
      <w:pPr>
        <w:rPr>
          <w:lang w:val="es-ES_tradnl"/>
        </w:rPr>
      </w:pPr>
    </w:p>
    <w:p w:rsidR="008B2CC1" w:rsidRPr="00DD08B4" w:rsidRDefault="00A32356" w:rsidP="008B2CC1">
      <w:pPr>
        <w:rPr>
          <w:i/>
          <w:lang w:val="es-ES_tradnl"/>
        </w:rPr>
      </w:pPr>
      <w:bookmarkStart w:id="4" w:name="Prepared"/>
      <w:bookmarkEnd w:id="4"/>
      <w:r w:rsidRPr="00DD08B4">
        <w:rPr>
          <w:i/>
          <w:lang w:val="es-ES_tradnl"/>
        </w:rPr>
        <w:t>preparado por la Secretaría</w:t>
      </w:r>
    </w:p>
    <w:p w:rsidR="008B2CC1" w:rsidRPr="00DD08B4" w:rsidRDefault="008B2CC1" w:rsidP="003845C1">
      <w:pPr>
        <w:rPr>
          <w:lang w:val="es-ES_tradnl"/>
        </w:rPr>
      </w:pPr>
    </w:p>
    <w:p w:rsidR="000F5E56" w:rsidRPr="00DD08B4" w:rsidRDefault="000F5E56">
      <w:pPr>
        <w:rPr>
          <w:lang w:val="es-ES_tradnl"/>
        </w:rPr>
      </w:pPr>
    </w:p>
    <w:p w:rsidR="00F84474" w:rsidRPr="00DD08B4" w:rsidRDefault="00F84474">
      <w:pPr>
        <w:rPr>
          <w:lang w:val="es-ES_tradnl"/>
        </w:rPr>
      </w:pPr>
    </w:p>
    <w:p w:rsidR="00F84474" w:rsidRPr="00DD08B4" w:rsidRDefault="00F84474">
      <w:pPr>
        <w:rPr>
          <w:lang w:val="es-ES_tradnl"/>
        </w:rPr>
      </w:pPr>
    </w:p>
    <w:p w:rsidR="00152CEA" w:rsidRPr="00DD08B4" w:rsidRDefault="005D3033" w:rsidP="00DD08B4">
      <w:pPr>
        <w:pStyle w:val="ONUMFS"/>
        <w:rPr>
          <w:lang w:val="es-ES_tradnl"/>
        </w:rPr>
      </w:pPr>
      <w:r w:rsidRPr="00DD08B4">
        <w:rPr>
          <w:lang w:val="es-ES_tradnl"/>
        </w:rPr>
        <w:t>1.</w:t>
      </w:r>
      <w:r w:rsidRPr="00DD08B4">
        <w:rPr>
          <w:lang w:val="es-ES_tradnl"/>
        </w:rPr>
        <w:tab/>
        <w:t xml:space="preserve">El Comité Permanente de Derecho de Autor y Derechos Conexos (SCCR o el Comité) se ha reunido dos veces desde la cuadragésima novena serie de reuniones de las Asambleas de los Estados miembros de la OMPI, celebrada en </w:t>
      </w:r>
      <w:r w:rsidR="00713186" w:rsidRPr="00DD08B4">
        <w:rPr>
          <w:lang w:val="es-ES_tradnl"/>
        </w:rPr>
        <w:t>octubre de 2012, concretamente en una reunión entre sesiones sobre limitaciones y excepciones para las p</w:t>
      </w:r>
      <w:r w:rsidR="00E01E50" w:rsidRPr="00DD08B4">
        <w:rPr>
          <w:lang w:val="es-ES_tradnl"/>
        </w:rPr>
        <w:t xml:space="preserve">ersonas con discapacidad visual y las </w:t>
      </w:r>
      <w:r w:rsidR="00713186" w:rsidRPr="00DD08B4">
        <w:rPr>
          <w:lang w:val="es-ES_tradnl"/>
        </w:rPr>
        <w:t>personas con dificultad para acceder al texto impreso</w:t>
      </w:r>
      <w:r w:rsidR="00654A0D" w:rsidRPr="00DD08B4">
        <w:rPr>
          <w:lang w:val="es-ES_tradnl"/>
        </w:rPr>
        <w:t>,</w:t>
      </w:r>
      <w:r w:rsidR="00E01E50" w:rsidRPr="00DD08B4">
        <w:rPr>
          <w:lang w:val="es-ES_tradnl"/>
        </w:rPr>
        <w:t xml:space="preserve"> que tuvo lugar del 17 al 19 de octubre de 2012</w:t>
      </w:r>
      <w:r w:rsidR="0044080D" w:rsidRPr="00DD08B4">
        <w:rPr>
          <w:lang w:val="es-ES_tradnl"/>
        </w:rPr>
        <w:t xml:space="preserve">;  en su vigésima quinta sesión, del 19 al 23 de noviembre de 2012;  en una sesión especial celebrada del 18 al 22 de febrero;  en una reunión entre sesiones sobre la protección de los organismos de radiodifusión, del 10 al 12 de abril de 2013;  y en una sesión informal y especial que tuvo lugar del 18 al 20 de abril.  En un principio estaba previsto que la vigésima sexta sesión del Comité se celebrase del 29 de julio al 2 de agosto de 2013, pero dicha sesión se aplazó </w:t>
      </w:r>
      <w:r w:rsidR="000C59AA" w:rsidRPr="00DD08B4">
        <w:rPr>
          <w:lang w:val="es-ES_tradnl"/>
        </w:rPr>
        <w:t xml:space="preserve">y finalmente se realizará del 16 al 20 de diciembre de 2013.  En 2014 el Comité tiene previsto celebrar tres sesiones ordinarias en lugar de las dos que </w:t>
      </w:r>
      <w:r w:rsidR="00B317C0" w:rsidRPr="00DD08B4">
        <w:rPr>
          <w:lang w:val="es-ES_tradnl"/>
        </w:rPr>
        <w:t>se suelen p</w:t>
      </w:r>
      <w:r w:rsidR="000C59AA" w:rsidRPr="00DD08B4">
        <w:rPr>
          <w:lang w:val="es-ES_tradnl"/>
        </w:rPr>
        <w:t>r</w:t>
      </w:r>
      <w:r w:rsidR="00B317C0" w:rsidRPr="00DD08B4">
        <w:rPr>
          <w:lang w:val="es-ES_tradnl"/>
        </w:rPr>
        <w:t>o</w:t>
      </w:r>
      <w:r w:rsidR="000C59AA" w:rsidRPr="00DD08B4">
        <w:rPr>
          <w:lang w:val="es-ES_tradnl"/>
        </w:rPr>
        <w:t>g</w:t>
      </w:r>
      <w:r w:rsidR="00B317C0" w:rsidRPr="00DD08B4">
        <w:rPr>
          <w:lang w:val="es-ES_tradnl"/>
        </w:rPr>
        <w:t>ramar.</w:t>
      </w:r>
    </w:p>
    <w:p w:rsidR="00B317C0" w:rsidRPr="00DD08B4" w:rsidRDefault="00B317C0" w:rsidP="00DD08B4">
      <w:pPr>
        <w:pStyle w:val="ONUMFS"/>
        <w:rPr>
          <w:lang w:val="es-ES_tradnl"/>
        </w:rPr>
      </w:pPr>
      <w:r w:rsidRPr="00DD08B4">
        <w:rPr>
          <w:lang w:val="es-ES_tradnl"/>
        </w:rPr>
        <w:t>2.</w:t>
      </w:r>
      <w:r w:rsidRPr="00DD08B4">
        <w:rPr>
          <w:lang w:val="es-ES_tradnl"/>
        </w:rPr>
        <w:tab/>
      </w:r>
      <w:r w:rsidR="001E7B81" w:rsidRPr="00DD08B4">
        <w:rPr>
          <w:lang w:val="es-ES_tradnl"/>
        </w:rPr>
        <w:t xml:space="preserve">En su </w:t>
      </w:r>
      <w:r w:rsidR="0041032C" w:rsidRPr="00DD08B4">
        <w:rPr>
          <w:lang w:val="es-ES_tradnl"/>
        </w:rPr>
        <w:t>cuadragésimo primer</w:t>
      </w:r>
      <w:r w:rsidR="001E7B81" w:rsidRPr="00DD08B4">
        <w:rPr>
          <w:lang w:val="es-ES_tradnl"/>
        </w:rPr>
        <w:t xml:space="preserve"> período de sesiones, celebrado del 1 al 9 de </w:t>
      </w:r>
      <w:r w:rsidR="0041032C" w:rsidRPr="00DD08B4">
        <w:rPr>
          <w:lang w:val="es-ES_tradnl"/>
        </w:rPr>
        <w:t>octu</w:t>
      </w:r>
      <w:r w:rsidR="001E7B81" w:rsidRPr="00DD08B4">
        <w:rPr>
          <w:lang w:val="es-ES_tradnl"/>
        </w:rPr>
        <w:t>bre de 2012, la Asamblea General de la OMPI tomó nota de la situación actual de la labor del SCCR y pidió a la Secretaría que presentara, en el período de sesiones de 2013, un informe sobre los debates del SCCR acerca de la protección de l</w:t>
      </w:r>
      <w:r w:rsidR="0041032C" w:rsidRPr="00DD08B4">
        <w:rPr>
          <w:lang w:val="es-ES_tradnl"/>
        </w:rPr>
        <w:t xml:space="preserve">os organismos de radiodifusión </w:t>
      </w:r>
      <w:r w:rsidR="001E7B81" w:rsidRPr="00DD08B4">
        <w:rPr>
          <w:lang w:val="es-ES_tradnl"/>
        </w:rPr>
        <w:t>y las limitaciones y excepciones del derecho de autor y los derechos conexos.</w:t>
      </w:r>
    </w:p>
    <w:p w:rsidR="0041032C" w:rsidRPr="00DD08B4" w:rsidRDefault="0041032C" w:rsidP="00DD08B4">
      <w:pPr>
        <w:pStyle w:val="ONUMFS"/>
        <w:rPr>
          <w:lang w:val="es-ES_tradnl"/>
        </w:rPr>
      </w:pPr>
      <w:r w:rsidRPr="00DD08B4">
        <w:rPr>
          <w:lang w:val="es-ES_tradnl"/>
        </w:rPr>
        <w:t>3.</w:t>
      </w:r>
      <w:r w:rsidRPr="00DD08B4">
        <w:rPr>
          <w:lang w:val="es-ES_tradnl"/>
        </w:rPr>
        <w:tab/>
        <w:t>En el presente documento se ofrece información actualizada acerca de la labor sobre dichas cuestiones.</w:t>
      </w:r>
    </w:p>
    <w:p w:rsidR="006A571D" w:rsidRPr="00DD08B4" w:rsidRDefault="006A571D" w:rsidP="00DD08B4">
      <w:pPr>
        <w:pStyle w:val="Heading1"/>
        <w:rPr>
          <w:lang w:val="es-ES_tradnl"/>
        </w:rPr>
      </w:pPr>
      <w:r w:rsidRPr="00DD08B4">
        <w:rPr>
          <w:lang w:val="es-ES_tradnl"/>
        </w:rPr>
        <w:lastRenderedPageBreak/>
        <w:t>A.</w:t>
      </w:r>
      <w:r w:rsidRPr="00DD08B4">
        <w:rPr>
          <w:lang w:val="es-ES_tradnl"/>
        </w:rPr>
        <w:tab/>
        <w:t>Protección de los organismos de radiodifusión</w:t>
      </w:r>
    </w:p>
    <w:p w:rsidR="006A571D" w:rsidRPr="00DD08B4" w:rsidRDefault="006A571D" w:rsidP="00DD08B4">
      <w:pPr>
        <w:keepNext/>
        <w:rPr>
          <w:caps/>
          <w:lang w:val="es-ES_tradnl"/>
        </w:rPr>
      </w:pPr>
    </w:p>
    <w:p w:rsidR="006A571D" w:rsidRPr="00DD08B4" w:rsidRDefault="006A571D" w:rsidP="00DD08B4">
      <w:pPr>
        <w:pStyle w:val="ONUMFS"/>
        <w:rPr>
          <w:lang w:val="es-ES_tradnl"/>
        </w:rPr>
      </w:pPr>
      <w:r w:rsidRPr="00DD08B4">
        <w:rPr>
          <w:lang w:val="es-ES_tradnl"/>
        </w:rPr>
        <w:t>4.</w:t>
      </w:r>
      <w:r w:rsidRPr="00DD08B4">
        <w:rPr>
          <w:lang w:val="es-ES_tradnl"/>
        </w:rPr>
        <w:tab/>
        <w:t>Cabe recordar que la actualización de los derechos de los organismos de radiodifusión en respuesta a los avances tecnológicos ha sido objeto de debate en todas las sesiones del SCCR celebradas desde 1998, incluidas dos sesiones especiales celebradas en 2007 dedicadas exclusivamente a examinar ese tema.</w:t>
      </w:r>
    </w:p>
    <w:p w:rsidR="006A571D" w:rsidRPr="00DD08B4" w:rsidRDefault="006A571D" w:rsidP="00DD08B4">
      <w:pPr>
        <w:pStyle w:val="ONUMFS"/>
        <w:rPr>
          <w:lang w:val="es-ES_tradnl"/>
        </w:rPr>
      </w:pPr>
      <w:r w:rsidRPr="00DD08B4">
        <w:rPr>
          <w:lang w:val="es-ES_tradnl"/>
        </w:rPr>
        <w:t>5.</w:t>
      </w:r>
      <w:r w:rsidRPr="00DD08B4">
        <w:rPr>
          <w:lang w:val="es-ES_tradnl"/>
        </w:rPr>
        <w:tab/>
        <w:t>Del 10 al 12 de abril de 2013 se organizó en Ginebra una reunión entre sesiones sobre la protección de los organismos de radiodifusión.  Los debates contribuyeron a hacer avanzar la labor sobre un proyecto de tratado que actualice la protección de los organismos de radiodifusión y difusión por cable en sentido tradicional.  Los resultados de las consultas se presentarán en la vigésima sexta sesión del SCCR.</w:t>
      </w:r>
    </w:p>
    <w:p w:rsidR="006A571D" w:rsidRPr="00DD08B4" w:rsidRDefault="006A571D" w:rsidP="00DD08B4">
      <w:pPr>
        <w:pStyle w:val="ONUMFS"/>
        <w:rPr>
          <w:lang w:val="es-ES_tradnl"/>
        </w:rPr>
      </w:pPr>
      <w:r w:rsidRPr="00DD08B4">
        <w:rPr>
          <w:lang w:val="es-ES_tradnl"/>
        </w:rPr>
        <w:t>6.</w:t>
      </w:r>
      <w:r w:rsidRPr="00DD08B4">
        <w:rPr>
          <w:lang w:val="es-ES_tradnl"/>
        </w:rPr>
        <w:tab/>
        <w:t xml:space="preserve">Durante la vigésima quinta sesión del SCCR así como en la reunión entre sesiones sobre la protección de los organismos de radiodifusión, el Comité </w:t>
      </w:r>
      <w:r w:rsidR="00C00A96" w:rsidRPr="00DD08B4">
        <w:rPr>
          <w:lang w:val="es-ES_tradnl"/>
        </w:rPr>
        <w:t xml:space="preserve">mantuvo debates </w:t>
      </w:r>
      <w:r w:rsidR="008B0C04" w:rsidRPr="00DD08B4">
        <w:rPr>
          <w:lang w:val="es-ES_tradnl"/>
        </w:rPr>
        <w:t xml:space="preserve">en relación con el </w:t>
      </w:r>
      <w:r w:rsidR="00C00A96" w:rsidRPr="00DD08B4">
        <w:rPr>
          <w:lang w:val="es-ES_tradnl"/>
        </w:rPr>
        <w:t xml:space="preserve">texto </w:t>
      </w:r>
      <w:r w:rsidR="00031F48" w:rsidRPr="00DD08B4">
        <w:rPr>
          <w:lang w:val="es-ES_tradnl"/>
        </w:rPr>
        <w:t>único ti</w:t>
      </w:r>
      <w:r w:rsidR="00C00A96" w:rsidRPr="00DD08B4">
        <w:rPr>
          <w:lang w:val="es-ES_tradnl"/>
        </w:rPr>
        <w:t>tul</w:t>
      </w:r>
      <w:r w:rsidR="00031F48" w:rsidRPr="00DD08B4">
        <w:rPr>
          <w:lang w:val="es-ES_tradnl"/>
        </w:rPr>
        <w:t>ad</w:t>
      </w:r>
      <w:r w:rsidR="00C00A96" w:rsidRPr="00DD08B4">
        <w:rPr>
          <w:lang w:val="es-ES_tradnl"/>
        </w:rPr>
        <w:t>o “Documento de trabajo para un tratado sobre la protección de los organismos de radiodifusión” (documentos SCCR/24/10 y SCCR/24/10/CORR)</w:t>
      </w:r>
      <w:r w:rsidR="00031F48" w:rsidRPr="00DD08B4">
        <w:rPr>
          <w:lang w:val="es-ES_tradnl"/>
        </w:rPr>
        <w:t xml:space="preserve">, que servirá de base para </w:t>
      </w:r>
      <w:r w:rsidR="00B76312" w:rsidRPr="00DD08B4">
        <w:rPr>
          <w:lang w:val="es-ES_tradnl"/>
        </w:rPr>
        <w:t xml:space="preserve">los </w:t>
      </w:r>
      <w:r w:rsidR="00031F48" w:rsidRPr="00DD08B4">
        <w:rPr>
          <w:lang w:val="es-ES_tradnl"/>
        </w:rPr>
        <w:t xml:space="preserve">nuevos debates basados en textos que </w:t>
      </w:r>
      <w:r w:rsidR="00B76312" w:rsidRPr="00DD08B4">
        <w:rPr>
          <w:lang w:val="es-ES_tradnl"/>
        </w:rPr>
        <w:t>celebrará</w:t>
      </w:r>
      <w:r w:rsidR="00031F48" w:rsidRPr="00DD08B4">
        <w:rPr>
          <w:lang w:val="es-ES_tradnl"/>
        </w:rPr>
        <w:t xml:space="preserve"> el Comité en su vigésima sexta sesión.  </w:t>
      </w:r>
      <w:r w:rsidR="00810148" w:rsidRPr="00DD08B4">
        <w:rPr>
          <w:lang w:val="es-ES_tradnl"/>
        </w:rPr>
        <w:t xml:space="preserve">El Comité </w:t>
      </w:r>
      <w:r w:rsidR="005D5F8E" w:rsidRPr="00DD08B4">
        <w:rPr>
          <w:lang w:val="es-ES_tradnl"/>
        </w:rPr>
        <w:t xml:space="preserve">tuvo en cuenta asimismo </w:t>
      </w:r>
      <w:r w:rsidR="00810148" w:rsidRPr="00DD08B4">
        <w:rPr>
          <w:lang w:val="es-ES_tradnl"/>
        </w:rPr>
        <w:t>varias propuestas y observaciones sobre este asunto que se formularon en sesiones anteriores del SCCR.</w:t>
      </w:r>
    </w:p>
    <w:p w:rsidR="00842A5D" w:rsidRPr="00DD08B4" w:rsidRDefault="00842A5D" w:rsidP="00DD08B4">
      <w:pPr>
        <w:pStyle w:val="ONUMFS"/>
        <w:rPr>
          <w:lang w:val="es-ES_tradnl"/>
        </w:rPr>
      </w:pPr>
      <w:r w:rsidRPr="00DD08B4">
        <w:rPr>
          <w:lang w:val="es-ES_tradnl"/>
        </w:rPr>
        <w:t>7.</w:t>
      </w:r>
      <w:r w:rsidRPr="00DD08B4">
        <w:rPr>
          <w:lang w:val="es-ES_tradnl"/>
        </w:rPr>
        <w:tab/>
        <w:t>En su cuadragésimo primer período de sesiones, celebrado en 2012, la Asamblea General de la OMPI tomó nota de que el Comité reafirmó su dete</w:t>
      </w:r>
      <w:r w:rsidR="007C31AD" w:rsidRPr="00DD08B4">
        <w:rPr>
          <w:lang w:val="es-ES_tradnl"/>
        </w:rPr>
        <w:t>rminación de proseguir la labor</w:t>
      </w:r>
      <w:r w:rsidRPr="00DD08B4">
        <w:rPr>
          <w:lang w:val="es-ES_tradnl"/>
        </w:rPr>
        <w:t xml:space="preserve"> siguiendo un enfoque basado en la señal, conforme al mandato otorgado en 2007 por la Asamblea General, en pos de la elaboración de un tratado internacional que actualice la protección de los organismos de radiodifusión y difusión por cable en el sentido</w:t>
      </w:r>
      <w:r w:rsidR="00307CD8" w:rsidRPr="00DD08B4">
        <w:rPr>
          <w:lang w:val="es-ES_tradnl"/>
        </w:rPr>
        <w:t xml:space="preserve"> tradicional</w:t>
      </w:r>
      <w:r w:rsidR="00485719" w:rsidRPr="00DD08B4">
        <w:rPr>
          <w:lang w:val="es-ES_tradnl"/>
        </w:rPr>
        <w:t>,</w:t>
      </w:r>
      <w:r w:rsidR="00307CD8" w:rsidRPr="00DD08B4">
        <w:rPr>
          <w:lang w:val="es-ES_tradnl"/>
        </w:rPr>
        <w:t xml:space="preserve"> y alent</w:t>
      </w:r>
      <w:r w:rsidR="00A91B71" w:rsidRPr="00DD08B4">
        <w:rPr>
          <w:lang w:val="es-ES_tradnl"/>
        </w:rPr>
        <w:t>ó</w:t>
      </w:r>
      <w:r w:rsidR="007B01E2" w:rsidRPr="00DD08B4">
        <w:rPr>
          <w:lang w:val="es-ES_tradnl"/>
        </w:rPr>
        <w:t xml:space="preserve"> al Co</w:t>
      </w:r>
      <w:r w:rsidR="00CD2D83" w:rsidRPr="00DD08B4">
        <w:rPr>
          <w:lang w:val="es-ES_tradnl"/>
        </w:rPr>
        <w:t>mité a continuar con su labor</w:t>
      </w:r>
      <w:r w:rsidR="007B01E2" w:rsidRPr="00DD08B4">
        <w:rPr>
          <w:lang w:val="es-ES_tradnl"/>
        </w:rPr>
        <w:t xml:space="preserve">.  La Asamblea General de la OMPI aprobó además la recomendación del </w:t>
      </w:r>
      <w:r w:rsidR="009246F8" w:rsidRPr="00DD08B4">
        <w:rPr>
          <w:lang w:val="es-ES_tradnl"/>
        </w:rPr>
        <w:t xml:space="preserve">SCCR </w:t>
      </w:r>
      <w:r w:rsidR="007B01E2" w:rsidRPr="00DD08B4">
        <w:rPr>
          <w:lang w:val="es-ES_tradnl"/>
        </w:rPr>
        <w:t xml:space="preserve">de que el Comité </w:t>
      </w:r>
      <w:r w:rsidR="00B806E7">
        <w:rPr>
          <w:lang w:val="es-ES_tradnl"/>
        </w:rPr>
        <w:t>prosiguiera</w:t>
      </w:r>
      <w:r w:rsidR="007B01E2" w:rsidRPr="00DD08B4">
        <w:rPr>
          <w:lang w:val="es-ES_tradnl"/>
        </w:rPr>
        <w:t xml:space="preserve"> su labor hacia la co</w:t>
      </w:r>
      <w:r w:rsidR="00B806E7">
        <w:rPr>
          <w:lang w:val="es-ES_tradnl"/>
        </w:rPr>
        <w:t>nclusión de un texto que permitiera</w:t>
      </w:r>
      <w:r w:rsidR="007B01E2" w:rsidRPr="00DD08B4">
        <w:rPr>
          <w:lang w:val="es-ES_tradnl"/>
        </w:rPr>
        <w:t xml:space="preserve"> adoptar una decisión sobre la conveniencia de convocar una conferencia diplomática en 2014.</w:t>
      </w:r>
    </w:p>
    <w:p w:rsidR="008F06C8" w:rsidRDefault="008F06C8" w:rsidP="00D64719">
      <w:pPr>
        <w:pStyle w:val="ONUMFS"/>
        <w:spacing w:after="0"/>
        <w:rPr>
          <w:lang w:val="es-ES_tradnl"/>
        </w:rPr>
      </w:pPr>
      <w:r w:rsidRPr="00DD08B4">
        <w:rPr>
          <w:lang w:val="es-ES_tradnl"/>
        </w:rPr>
        <w:t>8.</w:t>
      </w:r>
      <w:r w:rsidRPr="00DD08B4">
        <w:rPr>
          <w:lang w:val="es-ES_tradnl"/>
        </w:rPr>
        <w:tab/>
        <w:t>La protección de los organismos de radiodifusión se mantendrá en el orden del día de la vigésima sexta sesión del SCCR.</w:t>
      </w:r>
    </w:p>
    <w:p w:rsidR="00D64719" w:rsidRDefault="00D64719" w:rsidP="00D64719">
      <w:pPr>
        <w:pStyle w:val="ONUMFS"/>
        <w:spacing w:after="0"/>
        <w:rPr>
          <w:lang w:val="es-ES_tradnl"/>
        </w:rPr>
      </w:pPr>
    </w:p>
    <w:p w:rsidR="00D64719" w:rsidRPr="00DD08B4" w:rsidRDefault="00D64719" w:rsidP="00D64719">
      <w:pPr>
        <w:pStyle w:val="ONUMFS"/>
        <w:spacing w:after="0"/>
        <w:rPr>
          <w:lang w:val="es-ES_tradnl"/>
        </w:rPr>
      </w:pPr>
    </w:p>
    <w:p w:rsidR="00BD7FD1" w:rsidRPr="00DD08B4" w:rsidRDefault="00BD7FD1" w:rsidP="00D64719">
      <w:pPr>
        <w:pStyle w:val="Heading1"/>
        <w:spacing w:before="0" w:after="0"/>
        <w:rPr>
          <w:lang w:val="es-ES_tradnl"/>
        </w:rPr>
      </w:pPr>
      <w:r w:rsidRPr="00DD08B4">
        <w:rPr>
          <w:lang w:val="es-ES_tradnl"/>
        </w:rPr>
        <w:t>B.</w:t>
      </w:r>
      <w:r w:rsidRPr="00DD08B4">
        <w:rPr>
          <w:lang w:val="es-ES_tradnl"/>
        </w:rPr>
        <w:tab/>
        <w:t>LIMITACIONES Y EXCEPCIONES</w:t>
      </w:r>
    </w:p>
    <w:p w:rsidR="00DD08B4" w:rsidRPr="00DD08B4" w:rsidRDefault="00DD08B4" w:rsidP="00D64719">
      <w:pPr>
        <w:rPr>
          <w:lang w:val="es-ES_tradnl"/>
        </w:rPr>
      </w:pPr>
    </w:p>
    <w:p w:rsidR="00BD7FD1" w:rsidRDefault="00BD7FD1" w:rsidP="00D64719">
      <w:pPr>
        <w:pStyle w:val="ONUMFS"/>
        <w:spacing w:after="0"/>
        <w:rPr>
          <w:lang w:val="es-ES_tradnl"/>
        </w:rPr>
      </w:pPr>
      <w:r w:rsidRPr="00DD08B4">
        <w:rPr>
          <w:lang w:val="es-ES_tradnl"/>
        </w:rPr>
        <w:t>9.</w:t>
      </w:r>
      <w:r w:rsidRPr="00DD08B4">
        <w:rPr>
          <w:lang w:val="es-ES_tradnl"/>
        </w:rPr>
        <w:tab/>
        <w:t>Cabe recordar que el SCCR acordó abordar la cuestión de las limitaciones y excepciones del derecho de autor y los derechos conexos para personas con discapacidad visual y las personas con dificultad para acceder al texto impreso, bibliotecas y archivos, instituciones educativas y personas con otras discapacidades.  El tema de las limitaciones y excepciones se ha examinado en cada una de l</w:t>
      </w:r>
      <w:r w:rsidR="00150568" w:rsidRPr="00DD08B4">
        <w:rPr>
          <w:lang w:val="es-ES_tradnl"/>
        </w:rPr>
        <w:t>as sesiones ordinarias del SCCR</w:t>
      </w:r>
      <w:r w:rsidRPr="00DD08B4">
        <w:rPr>
          <w:lang w:val="es-ES_tradnl"/>
        </w:rPr>
        <w:t xml:space="preserve"> desde la duodécima sesión, celebrada en noviembre de 2004, hasta la fecha.</w:t>
      </w:r>
    </w:p>
    <w:p w:rsidR="00D64719" w:rsidRDefault="00D64719" w:rsidP="00D64719">
      <w:pPr>
        <w:pStyle w:val="ONUMFS"/>
        <w:spacing w:after="0"/>
        <w:rPr>
          <w:lang w:val="es-ES_tradnl"/>
        </w:rPr>
      </w:pPr>
    </w:p>
    <w:p w:rsidR="00D64719" w:rsidRPr="00DD08B4" w:rsidRDefault="00D64719" w:rsidP="00D64719">
      <w:pPr>
        <w:pStyle w:val="ONUMFS"/>
        <w:spacing w:after="0"/>
        <w:rPr>
          <w:lang w:val="es-ES_tradnl"/>
        </w:rPr>
      </w:pPr>
    </w:p>
    <w:p w:rsidR="0043486C" w:rsidRPr="00DD08B4" w:rsidRDefault="0043486C" w:rsidP="00D64719">
      <w:pPr>
        <w:pStyle w:val="Heading2"/>
        <w:spacing w:before="0" w:after="0"/>
        <w:rPr>
          <w:lang w:val="es-ES_tradnl"/>
        </w:rPr>
      </w:pPr>
      <w:r w:rsidRPr="00DD08B4">
        <w:rPr>
          <w:lang w:val="es-ES_tradnl"/>
        </w:rPr>
        <w:t>Limitaciones y excepciones para p</w:t>
      </w:r>
      <w:r w:rsidR="00DD1A52" w:rsidRPr="00DD08B4">
        <w:rPr>
          <w:lang w:val="es-ES_tradnl"/>
        </w:rPr>
        <w:t xml:space="preserve">ersonas con discapacidad visual y las </w:t>
      </w:r>
      <w:r w:rsidRPr="00DD08B4">
        <w:rPr>
          <w:lang w:val="es-ES_tradnl"/>
        </w:rPr>
        <w:t>personas con dificultad para acceder al texto impreso</w:t>
      </w:r>
    </w:p>
    <w:p w:rsidR="00DD08B4" w:rsidRPr="00DD08B4" w:rsidRDefault="00DD08B4" w:rsidP="00D64719">
      <w:pPr>
        <w:rPr>
          <w:lang w:val="es-ES_tradnl"/>
        </w:rPr>
      </w:pPr>
    </w:p>
    <w:p w:rsidR="00DD1A52" w:rsidRPr="00DD08B4" w:rsidRDefault="00DD1A52" w:rsidP="00DD08B4">
      <w:pPr>
        <w:pStyle w:val="ONUMFS"/>
        <w:rPr>
          <w:lang w:val="es-ES_tradnl"/>
        </w:rPr>
      </w:pPr>
      <w:r w:rsidRPr="00DD08B4">
        <w:rPr>
          <w:lang w:val="es-ES_tradnl"/>
        </w:rPr>
        <w:t>10.</w:t>
      </w:r>
      <w:r w:rsidRPr="00DD08B4">
        <w:rPr>
          <w:lang w:val="es-ES_tradnl"/>
        </w:rPr>
        <w:tab/>
        <w:t>E</w:t>
      </w:r>
      <w:r w:rsidR="009F3B64" w:rsidRPr="00DD08B4">
        <w:rPr>
          <w:lang w:val="es-ES_tradnl"/>
        </w:rPr>
        <w:t>n el Informe de los resultados de la Conferencia Diplomática sobre la conclusión de un tratado que facilite a las personas con discapacidad visual y las personas con dificultad para acceder al texto impreso el acceso a las obras publicadas (documento WO/GA/43/9) se analiza e</w:t>
      </w:r>
      <w:r w:rsidRPr="00DD08B4">
        <w:rPr>
          <w:lang w:val="es-ES_tradnl"/>
        </w:rPr>
        <w:t>l resultado de la labor del Comité</w:t>
      </w:r>
      <w:r w:rsidR="009F3B64" w:rsidRPr="00DD08B4">
        <w:rPr>
          <w:lang w:val="es-ES_tradnl"/>
        </w:rPr>
        <w:t xml:space="preserve"> respecto de este tema.</w:t>
      </w:r>
    </w:p>
    <w:p w:rsidR="00DD08B4" w:rsidRPr="00DD08B4" w:rsidRDefault="00DD08B4">
      <w:pPr>
        <w:rPr>
          <w:bCs/>
          <w:iCs/>
          <w:caps/>
          <w:szCs w:val="28"/>
          <w:lang w:val="es-ES_tradnl"/>
        </w:rPr>
      </w:pPr>
      <w:r w:rsidRPr="00DD08B4">
        <w:rPr>
          <w:lang w:val="es-ES_tradnl"/>
        </w:rPr>
        <w:br w:type="page"/>
      </w:r>
    </w:p>
    <w:p w:rsidR="009F3B64" w:rsidRPr="00DD08B4" w:rsidRDefault="009F3B64" w:rsidP="00DD08B4">
      <w:pPr>
        <w:pStyle w:val="Heading2"/>
        <w:rPr>
          <w:lang w:val="es-ES_tradnl"/>
        </w:rPr>
      </w:pPr>
      <w:r w:rsidRPr="00DD08B4">
        <w:rPr>
          <w:lang w:val="es-ES_tradnl"/>
        </w:rPr>
        <w:lastRenderedPageBreak/>
        <w:t>Limitaciones y excepciones en favor de las bibliotecas y los archivos</w:t>
      </w:r>
    </w:p>
    <w:p w:rsidR="009F3B64" w:rsidRPr="00DD08B4" w:rsidRDefault="009F3B64" w:rsidP="00BD7FD1">
      <w:pPr>
        <w:rPr>
          <w:caps/>
          <w:lang w:val="es-ES_tradnl"/>
        </w:rPr>
      </w:pPr>
    </w:p>
    <w:p w:rsidR="009F3B64" w:rsidRPr="00DD08B4" w:rsidRDefault="009F3B64" w:rsidP="00DD08B4">
      <w:pPr>
        <w:pStyle w:val="ONUMFS"/>
        <w:rPr>
          <w:szCs w:val="22"/>
          <w:lang w:val="es-ES_tradnl"/>
        </w:rPr>
      </w:pPr>
      <w:r w:rsidRPr="00DD08B4">
        <w:rPr>
          <w:caps/>
          <w:lang w:val="es-ES_tradnl"/>
        </w:rPr>
        <w:t>11.</w:t>
      </w:r>
      <w:r w:rsidRPr="00DD08B4">
        <w:rPr>
          <w:caps/>
          <w:lang w:val="es-ES_tradnl"/>
        </w:rPr>
        <w:tab/>
      </w:r>
      <w:r w:rsidR="003D447B" w:rsidRPr="00DD08B4">
        <w:rPr>
          <w:lang w:val="es-ES_tradnl"/>
        </w:rPr>
        <w:t>Con respecto al tema de las limitaciones</w:t>
      </w:r>
      <w:r w:rsidR="003D447B" w:rsidRPr="00DD08B4">
        <w:rPr>
          <w:caps/>
          <w:lang w:val="es-ES_tradnl"/>
        </w:rPr>
        <w:t xml:space="preserve"> </w:t>
      </w:r>
      <w:r w:rsidR="003D447B" w:rsidRPr="00DD08B4">
        <w:rPr>
          <w:lang w:val="es-ES_tradnl"/>
        </w:rPr>
        <w:t xml:space="preserve">y excepciones en favor de las bibliotecas y los archivos, durante la vigésima quinta sesión del SCCR, el Comité examinó el documento </w:t>
      </w:r>
      <w:r w:rsidR="003D447B" w:rsidRPr="00DD08B4">
        <w:rPr>
          <w:szCs w:val="22"/>
          <w:lang w:val="es-ES_tradnl"/>
        </w:rPr>
        <w:t>SCCR/23/8, titulado “Documento de trabajo provisional en el que figuran los comentarios acerca de un instrumento jurídico internacional adecuado (independientemente de su forma) sobre excepciones y limitaciones para las bibliotecas y los archivos, y las sugerencias de contenido a ese respecto”</w:t>
      </w:r>
      <w:r w:rsidR="00FD6462" w:rsidRPr="00DD08B4">
        <w:rPr>
          <w:szCs w:val="22"/>
          <w:lang w:val="es-ES_tradnl"/>
        </w:rPr>
        <w:t xml:space="preserve">.  </w:t>
      </w:r>
      <w:r w:rsidR="00067DF7" w:rsidRPr="00DD08B4">
        <w:rPr>
          <w:szCs w:val="22"/>
          <w:lang w:val="es-ES_tradnl"/>
        </w:rPr>
        <w:t>Este documento, revisado a raíz del debate acaecido en la vigésima quinta sesión, constituirá la base de la labor futura que ha de emprender el Comité en relación con este asunto en su vigésima sexta sesión.  El Comité convino en proseguir su labor basada en textos en l</w:t>
      </w:r>
      <w:r w:rsidR="005B437E" w:rsidRPr="00DD08B4">
        <w:rPr>
          <w:szCs w:val="22"/>
          <w:lang w:val="es-ES_tradnl"/>
        </w:rPr>
        <w:t>a vigésima sexta sesión</w:t>
      </w:r>
      <w:r w:rsidR="00067DF7" w:rsidRPr="00DD08B4">
        <w:rPr>
          <w:szCs w:val="22"/>
          <w:lang w:val="es-ES_tradnl"/>
        </w:rPr>
        <w:t xml:space="preserve"> a fin de establecer un</w:t>
      </w:r>
      <w:r w:rsidR="005D6C6A">
        <w:rPr>
          <w:szCs w:val="22"/>
          <w:lang w:val="es-ES_tradnl"/>
        </w:rPr>
        <w:t>o o varios</w:t>
      </w:r>
      <w:r w:rsidR="00067DF7" w:rsidRPr="00DD08B4">
        <w:rPr>
          <w:szCs w:val="22"/>
          <w:lang w:val="es-ES_tradnl"/>
        </w:rPr>
        <w:t xml:space="preserve"> instrumento</w:t>
      </w:r>
      <w:r w:rsidR="005D6C6A">
        <w:rPr>
          <w:szCs w:val="22"/>
          <w:lang w:val="es-ES_tradnl"/>
        </w:rPr>
        <w:t>s</w:t>
      </w:r>
      <w:r w:rsidR="00067DF7" w:rsidRPr="00DD08B4">
        <w:rPr>
          <w:szCs w:val="22"/>
          <w:lang w:val="es-ES_tradnl"/>
        </w:rPr>
        <w:t xml:space="preserve"> jurídico</w:t>
      </w:r>
      <w:r w:rsidR="005D6C6A">
        <w:rPr>
          <w:szCs w:val="22"/>
          <w:lang w:val="es-ES_tradnl"/>
        </w:rPr>
        <w:t>s</w:t>
      </w:r>
      <w:r w:rsidR="00067DF7" w:rsidRPr="00DD08B4">
        <w:rPr>
          <w:szCs w:val="22"/>
          <w:lang w:val="es-ES_tradnl"/>
        </w:rPr>
        <w:t xml:space="preserve"> internacional</w:t>
      </w:r>
      <w:r w:rsidR="005D6C6A">
        <w:rPr>
          <w:szCs w:val="22"/>
          <w:lang w:val="es-ES_tradnl"/>
        </w:rPr>
        <w:t>es</w:t>
      </w:r>
      <w:r w:rsidR="00067DF7" w:rsidRPr="00DD08B4">
        <w:rPr>
          <w:szCs w:val="22"/>
          <w:lang w:val="es-ES_tradnl"/>
        </w:rPr>
        <w:t xml:space="preserve"> adecuado</w:t>
      </w:r>
      <w:r w:rsidR="005D6C6A">
        <w:rPr>
          <w:szCs w:val="22"/>
          <w:lang w:val="es-ES_tradnl"/>
        </w:rPr>
        <w:t>s</w:t>
      </w:r>
      <w:r w:rsidR="00067DF7" w:rsidRPr="00DD08B4">
        <w:rPr>
          <w:szCs w:val="22"/>
          <w:lang w:val="es-ES_tradnl"/>
        </w:rPr>
        <w:t xml:space="preserve"> (ya sea en forma de ley tipo, recomendación conjunta, tratado u otra forma) y en estudiar la posibilidad de celebrar una reunión entre sesiones, de tres días de duración, sobre limitaciones y excepciones para las bibliotecas y los arc</w:t>
      </w:r>
      <w:r w:rsidR="005B437E" w:rsidRPr="00DD08B4">
        <w:rPr>
          <w:szCs w:val="22"/>
          <w:lang w:val="es-ES_tradnl"/>
        </w:rPr>
        <w:t xml:space="preserve">hivos </w:t>
      </w:r>
      <w:r w:rsidR="00067DF7" w:rsidRPr="00DD08B4">
        <w:rPr>
          <w:szCs w:val="22"/>
          <w:lang w:val="es-ES_tradnl"/>
        </w:rPr>
        <w:t>entre la vigésima s</w:t>
      </w:r>
      <w:r w:rsidR="005B437E" w:rsidRPr="00DD08B4">
        <w:rPr>
          <w:szCs w:val="22"/>
          <w:lang w:val="es-ES_tradnl"/>
        </w:rPr>
        <w:t>exta y la vigésima séptima sesió</w:t>
      </w:r>
      <w:r w:rsidR="00067DF7" w:rsidRPr="00DD08B4">
        <w:rPr>
          <w:szCs w:val="22"/>
          <w:lang w:val="es-ES_tradnl"/>
        </w:rPr>
        <w:t>n del SCCR, con objeto de presentar a la Asamble</w:t>
      </w:r>
      <w:r w:rsidR="00CF52D5" w:rsidRPr="00DD08B4">
        <w:rPr>
          <w:szCs w:val="22"/>
          <w:lang w:val="es-ES_tradnl"/>
        </w:rPr>
        <w:t xml:space="preserve">a General recomendaciones </w:t>
      </w:r>
      <w:r w:rsidR="000162EE" w:rsidRPr="00DD08B4">
        <w:rPr>
          <w:szCs w:val="22"/>
          <w:lang w:val="es-ES_tradnl"/>
        </w:rPr>
        <w:t>sobre</w:t>
      </w:r>
      <w:r w:rsidR="00CF52D5" w:rsidRPr="00DD08B4">
        <w:rPr>
          <w:szCs w:val="22"/>
          <w:lang w:val="es-ES_tradnl"/>
        </w:rPr>
        <w:t xml:space="preserve"> las limitaciones y excepciones para bibliotecas y archivos </w:t>
      </w:r>
      <w:r w:rsidR="00F92B3A" w:rsidRPr="00DD08B4">
        <w:rPr>
          <w:szCs w:val="22"/>
          <w:lang w:val="es-ES_tradnl"/>
        </w:rPr>
        <w:t>antes de</w:t>
      </w:r>
      <w:r w:rsidR="00067DF7" w:rsidRPr="00DD08B4">
        <w:rPr>
          <w:szCs w:val="22"/>
          <w:lang w:val="es-ES_tradnl"/>
        </w:rPr>
        <w:t xml:space="preserve"> la vigésima octava sesión del SCCR.</w:t>
      </w:r>
    </w:p>
    <w:p w:rsidR="00A91B71" w:rsidRDefault="00A91B71" w:rsidP="00D64719">
      <w:pPr>
        <w:pStyle w:val="ONUMFS"/>
        <w:spacing w:after="0"/>
        <w:rPr>
          <w:szCs w:val="22"/>
          <w:lang w:val="es-ES_tradnl"/>
        </w:rPr>
      </w:pPr>
      <w:r w:rsidRPr="00DD08B4">
        <w:rPr>
          <w:szCs w:val="22"/>
          <w:lang w:val="es-ES_tradnl"/>
        </w:rPr>
        <w:t>12.</w:t>
      </w:r>
      <w:r w:rsidRPr="00DD08B4">
        <w:rPr>
          <w:szCs w:val="22"/>
          <w:lang w:val="es-ES_tradnl"/>
        </w:rPr>
        <w:tab/>
      </w:r>
      <w:r w:rsidRPr="00DD08B4">
        <w:rPr>
          <w:lang w:val="es-ES_tradnl"/>
        </w:rPr>
        <w:t>En su cuadragésimo primer período de sesiones, celebrado en 2012, la Asamblea General de la OMPI</w:t>
      </w:r>
      <w:r w:rsidR="00307CD8" w:rsidRPr="00DD08B4">
        <w:rPr>
          <w:lang w:val="es-ES_tradnl"/>
        </w:rPr>
        <w:t xml:space="preserve"> alent</w:t>
      </w:r>
      <w:r w:rsidRPr="00DD08B4">
        <w:rPr>
          <w:lang w:val="es-ES_tradnl"/>
        </w:rPr>
        <w:t>ó al Co</w:t>
      </w:r>
      <w:r w:rsidR="009246F8" w:rsidRPr="00DD08B4">
        <w:rPr>
          <w:lang w:val="es-ES_tradnl"/>
        </w:rPr>
        <w:t>mité a continuar con su labor y</w:t>
      </w:r>
      <w:r w:rsidRPr="00DD08B4">
        <w:rPr>
          <w:lang w:val="es-ES_tradnl"/>
        </w:rPr>
        <w:t xml:space="preserve"> aprobó la recomendación d</w:t>
      </w:r>
      <w:r w:rsidR="009246F8" w:rsidRPr="00DD08B4">
        <w:rPr>
          <w:lang w:val="es-ES_tradnl"/>
        </w:rPr>
        <w:t xml:space="preserve">el SCCR de que el Comité </w:t>
      </w:r>
      <w:r w:rsidR="00D21E54">
        <w:rPr>
          <w:lang w:val="es-ES_tradnl"/>
        </w:rPr>
        <w:t>siguiera</w:t>
      </w:r>
      <w:r w:rsidR="009246F8" w:rsidRPr="00DD08B4">
        <w:rPr>
          <w:lang w:val="es-ES_tradnl"/>
        </w:rPr>
        <w:t xml:space="preserve"> debatiendo </w:t>
      </w:r>
      <w:r w:rsidR="009246F8" w:rsidRPr="00DD08B4">
        <w:rPr>
          <w:szCs w:val="22"/>
          <w:lang w:val="es-ES_tradnl"/>
        </w:rPr>
        <w:t>a fin de establecer un</w:t>
      </w:r>
      <w:r w:rsidR="005D6C6A">
        <w:rPr>
          <w:szCs w:val="22"/>
          <w:lang w:val="es-ES_tradnl"/>
        </w:rPr>
        <w:t>o o varios</w:t>
      </w:r>
      <w:r w:rsidR="009246F8" w:rsidRPr="00DD08B4">
        <w:rPr>
          <w:szCs w:val="22"/>
          <w:lang w:val="es-ES_tradnl"/>
        </w:rPr>
        <w:t xml:space="preserve"> instrumento</w:t>
      </w:r>
      <w:r w:rsidR="005D6C6A">
        <w:rPr>
          <w:szCs w:val="22"/>
          <w:lang w:val="es-ES_tradnl"/>
        </w:rPr>
        <w:t>s</w:t>
      </w:r>
      <w:r w:rsidR="009246F8" w:rsidRPr="00DD08B4">
        <w:rPr>
          <w:szCs w:val="22"/>
          <w:lang w:val="es-ES_tradnl"/>
        </w:rPr>
        <w:t xml:space="preserve"> jurídico</w:t>
      </w:r>
      <w:r w:rsidR="005D6C6A">
        <w:rPr>
          <w:szCs w:val="22"/>
          <w:lang w:val="es-ES_tradnl"/>
        </w:rPr>
        <w:t>s</w:t>
      </w:r>
      <w:r w:rsidR="009246F8" w:rsidRPr="00DD08B4">
        <w:rPr>
          <w:szCs w:val="22"/>
          <w:lang w:val="es-ES_tradnl"/>
        </w:rPr>
        <w:t xml:space="preserve"> internacional</w:t>
      </w:r>
      <w:r w:rsidR="005D6C6A">
        <w:rPr>
          <w:szCs w:val="22"/>
          <w:lang w:val="es-ES_tradnl"/>
        </w:rPr>
        <w:t>es</w:t>
      </w:r>
      <w:r w:rsidR="009246F8" w:rsidRPr="00DD08B4">
        <w:rPr>
          <w:szCs w:val="22"/>
          <w:lang w:val="es-ES_tradnl"/>
        </w:rPr>
        <w:t xml:space="preserve"> adecuado</w:t>
      </w:r>
      <w:r w:rsidR="005D6C6A">
        <w:rPr>
          <w:szCs w:val="22"/>
          <w:lang w:val="es-ES_tradnl"/>
        </w:rPr>
        <w:t>s</w:t>
      </w:r>
      <w:r w:rsidR="009246F8" w:rsidRPr="00DD08B4">
        <w:rPr>
          <w:szCs w:val="22"/>
          <w:lang w:val="es-ES_tradnl"/>
        </w:rPr>
        <w:t xml:space="preserve"> (ya sea en forma de ley tipo, recomendación conjunta, tratado u otra forma)</w:t>
      </w:r>
      <w:r w:rsidR="003545B5" w:rsidRPr="00DD08B4">
        <w:rPr>
          <w:szCs w:val="22"/>
          <w:lang w:val="es-ES_tradnl"/>
        </w:rPr>
        <w:t>,</w:t>
      </w:r>
      <w:r w:rsidR="009246F8" w:rsidRPr="00DD08B4">
        <w:rPr>
          <w:szCs w:val="22"/>
          <w:lang w:val="es-ES_tradnl"/>
        </w:rPr>
        <w:t xml:space="preserve"> con objeto de presentar a la Asamblea General recomendaciones sobre </w:t>
      </w:r>
      <w:r w:rsidR="000162EE" w:rsidRPr="00DD08B4">
        <w:rPr>
          <w:szCs w:val="22"/>
          <w:lang w:val="es-ES_tradnl"/>
        </w:rPr>
        <w:t>las limitaciones y excepciones para bibliotecas y archivos</w:t>
      </w:r>
      <w:r w:rsidR="009246F8" w:rsidRPr="00DD08B4">
        <w:rPr>
          <w:szCs w:val="22"/>
          <w:lang w:val="es-ES_tradnl"/>
        </w:rPr>
        <w:t xml:space="preserve"> antes de la vigésima octava sesión del SCCR.</w:t>
      </w:r>
    </w:p>
    <w:p w:rsidR="00D64719" w:rsidRDefault="00D64719" w:rsidP="00D64719">
      <w:pPr>
        <w:pStyle w:val="ONUMFS"/>
        <w:spacing w:after="0"/>
        <w:rPr>
          <w:szCs w:val="22"/>
          <w:lang w:val="es-ES_tradnl"/>
        </w:rPr>
      </w:pPr>
    </w:p>
    <w:p w:rsidR="00D64719" w:rsidRPr="00DD08B4" w:rsidRDefault="00D64719" w:rsidP="00D64719">
      <w:pPr>
        <w:pStyle w:val="ONUMFS"/>
        <w:spacing w:after="0"/>
        <w:rPr>
          <w:szCs w:val="22"/>
          <w:lang w:val="es-ES_tradnl"/>
        </w:rPr>
      </w:pPr>
    </w:p>
    <w:p w:rsidR="00757717" w:rsidRPr="00DD08B4" w:rsidRDefault="00757717" w:rsidP="00D64719">
      <w:pPr>
        <w:pStyle w:val="Heading2"/>
        <w:spacing w:before="0" w:after="0"/>
        <w:rPr>
          <w:lang w:val="es-ES_tradnl"/>
        </w:rPr>
      </w:pPr>
      <w:r w:rsidRPr="00DD08B4">
        <w:rPr>
          <w:lang w:val="es-ES_tradnl"/>
        </w:rPr>
        <w:t>Limitaciones y excepciones para instituciones educativas y de investigación y personas con otras discapacidades</w:t>
      </w:r>
    </w:p>
    <w:p w:rsidR="00757717" w:rsidRPr="00DD08B4" w:rsidRDefault="00757717" w:rsidP="00D64719">
      <w:pPr>
        <w:rPr>
          <w:caps/>
          <w:lang w:val="es-ES_tradnl"/>
        </w:rPr>
      </w:pPr>
    </w:p>
    <w:p w:rsidR="00757717" w:rsidRPr="00DD08B4" w:rsidRDefault="00757717" w:rsidP="00DD08B4">
      <w:pPr>
        <w:pStyle w:val="ONUMFS"/>
        <w:rPr>
          <w:szCs w:val="22"/>
          <w:lang w:val="es-ES_tradnl"/>
        </w:rPr>
      </w:pPr>
      <w:r w:rsidRPr="00DD08B4">
        <w:rPr>
          <w:caps/>
          <w:lang w:val="es-ES_tradnl"/>
        </w:rPr>
        <w:t>13.</w:t>
      </w:r>
      <w:r w:rsidRPr="00DD08B4">
        <w:rPr>
          <w:lang w:val="es-ES_tradnl"/>
        </w:rPr>
        <w:tab/>
        <w:t xml:space="preserve">En relación con las limitaciones y excepciones para instituciones educativas y de investigación y personas con otras discapacidades, durante la vigésima quinta sesión del SCCR el Comité examinó el documento </w:t>
      </w:r>
      <w:r w:rsidR="00AA11A9" w:rsidRPr="00DD08B4">
        <w:rPr>
          <w:szCs w:val="22"/>
          <w:lang w:val="es-ES_tradnl"/>
        </w:rPr>
        <w:t>SCCR/24/8/Prov. “Documento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  Este documento, revisado a raíz del debate acaecido en la vigésima quinta sesión, constituirá la base de la labor futura que ha de emprender el Comité en relación con este asunto en su vigésima sexta sesión.  El Comité convino en proseguir su labor basada en textos a fin de establecer un</w:t>
      </w:r>
      <w:r w:rsidR="005D6C6A">
        <w:rPr>
          <w:szCs w:val="22"/>
          <w:lang w:val="es-ES_tradnl"/>
        </w:rPr>
        <w:t>o o varios</w:t>
      </w:r>
      <w:r w:rsidR="00AA11A9" w:rsidRPr="00DD08B4">
        <w:rPr>
          <w:szCs w:val="22"/>
          <w:lang w:val="es-ES_tradnl"/>
        </w:rPr>
        <w:t xml:space="preserve"> instrumento</w:t>
      </w:r>
      <w:r w:rsidR="005D6C6A">
        <w:rPr>
          <w:szCs w:val="22"/>
          <w:lang w:val="es-ES_tradnl"/>
        </w:rPr>
        <w:t>s</w:t>
      </w:r>
      <w:r w:rsidR="00AA11A9" w:rsidRPr="00DD08B4">
        <w:rPr>
          <w:szCs w:val="22"/>
          <w:lang w:val="es-ES_tradnl"/>
        </w:rPr>
        <w:t xml:space="preserve"> jurídico</w:t>
      </w:r>
      <w:r w:rsidR="005D6C6A">
        <w:rPr>
          <w:szCs w:val="22"/>
          <w:lang w:val="es-ES_tradnl"/>
        </w:rPr>
        <w:t>s</w:t>
      </w:r>
      <w:r w:rsidR="00AA11A9" w:rsidRPr="00DD08B4">
        <w:rPr>
          <w:szCs w:val="22"/>
          <w:lang w:val="es-ES_tradnl"/>
        </w:rPr>
        <w:t xml:space="preserve"> internacional</w:t>
      </w:r>
      <w:r w:rsidR="005D6C6A">
        <w:rPr>
          <w:szCs w:val="22"/>
          <w:lang w:val="es-ES_tradnl"/>
        </w:rPr>
        <w:t>es</w:t>
      </w:r>
      <w:r w:rsidR="00AA11A9" w:rsidRPr="00DD08B4">
        <w:rPr>
          <w:szCs w:val="22"/>
          <w:lang w:val="es-ES_tradnl"/>
        </w:rPr>
        <w:t xml:space="preserve"> adecuado</w:t>
      </w:r>
      <w:r w:rsidR="005D6C6A">
        <w:rPr>
          <w:szCs w:val="22"/>
          <w:lang w:val="es-ES_tradnl"/>
        </w:rPr>
        <w:t>s</w:t>
      </w:r>
      <w:r w:rsidR="00AA11A9" w:rsidRPr="00DD08B4">
        <w:rPr>
          <w:szCs w:val="22"/>
          <w:lang w:val="es-ES_tradnl"/>
        </w:rPr>
        <w:t xml:space="preserve"> (ya sea en forma de ley tipo, recomendación conjunta, tratado u otra forma) y en estudiar </w:t>
      </w:r>
      <w:r w:rsidR="00667038" w:rsidRPr="00DD08B4">
        <w:rPr>
          <w:szCs w:val="22"/>
          <w:lang w:val="es-ES_tradnl"/>
        </w:rPr>
        <w:t xml:space="preserve">en la vigésima sexta sesión </w:t>
      </w:r>
      <w:r w:rsidR="00AA11A9" w:rsidRPr="00DD08B4">
        <w:rPr>
          <w:szCs w:val="22"/>
          <w:lang w:val="es-ES_tradnl"/>
        </w:rPr>
        <w:t>la posibilidad</w:t>
      </w:r>
      <w:r w:rsidR="00667038" w:rsidRPr="00DD08B4">
        <w:rPr>
          <w:szCs w:val="22"/>
          <w:lang w:val="es-ES_tradnl"/>
        </w:rPr>
        <w:t xml:space="preserve"> de </w:t>
      </w:r>
      <w:r w:rsidR="005D6C6A">
        <w:rPr>
          <w:szCs w:val="22"/>
          <w:lang w:val="es-ES_tradnl"/>
        </w:rPr>
        <w:t>señalar</w:t>
      </w:r>
      <w:r w:rsidR="00667038" w:rsidRPr="00DD08B4">
        <w:rPr>
          <w:szCs w:val="22"/>
          <w:lang w:val="es-ES_tradnl"/>
        </w:rPr>
        <w:t xml:space="preserve"> cuestiones en las que el Comité podría centrar su labor basada en textos</w:t>
      </w:r>
      <w:r w:rsidR="00AA11A9" w:rsidRPr="00DD08B4">
        <w:rPr>
          <w:szCs w:val="22"/>
          <w:lang w:val="es-ES_tradnl"/>
        </w:rPr>
        <w:t xml:space="preserve">, con objeto de presentar a la Asamblea General </w:t>
      </w:r>
      <w:r w:rsidR="00FC6AF0" w:rsidRPr="00DD08B4">
        <w:rPr>
          <w:szCs w:val="22"/>
          <w:lang w:val="es-ES_tradnl"/>
        </w:rPr>
        <w:t xml:space="preserve">recomendaciones sobre limitaciones y excepciones para las instituciones educativas, docentes y de investigación y las personas con otras discapacidades </w:t>
      </w:r>
      <w:r w:rsidR="00AA11A9" w:rsidRPr="00DD08B4">
        <w:rPr>
          <w:szCs w:val="22"/>
          <w:lang w:val="es-ES_tradnl"/>
        </w:rPr>
        <w:t>antes de la trigésima sesión del SCCR.</w:t>
      </w:r>
    </w:p>
    <w:p w:rsidR="005E2B19" w:rsidRPr="00DD08B4" w:rsidRDefault="005E2B19" w:rsidP="00DD08B4">
      <w:pPr>
        <w:pStyle w:val="ONUMFS"/>
        <w:rPr>
          <w:szCs w:val="22"/>
          <w:lang w:val="es-ES_tradnl"/>
        </w:rPr>
      </w:pPr>
      <w:r w:rsidRPr="00DD08B4">
        <w:rPr>
          <w:szCs w:val="22"/>
          <w:lang w:val="es-ES_tradnl"/>
        </w:rPr>
        <w:t>14.</w:t>
      </w:r>
      <w:r w:rsidRPr="00DD08B4">
        <w:rPr>
          <w:szCs w:val="22"/>
          <w:lang w:val="es-ES_tradnl"/>
        </w:rPr>
        <w:tab/>
      </w:r>
      <w:r w:rsidRPr="00DD08B4">
        <w:rPr>
          <w:lang w:val="es-ES_tradnl"/>
        </w:rPr>
        <w:t>En su cuadragésimo primer período de sesiones, celebrado en 2012, la Asamblea General de la OMPI</w:t>
      </w:r>
      <w:r w:rsidR="00307CD8" w:rsidRPr="00DD08B4">
        <w:rPr>
          <w:lang w:val="es-ES_tradnl"/>
        </w:rPr>
        <w:t xml:space="preserve"> alent</w:t>
      </w:r>
      <w:r w:rsidRPr="00DD08B4">
        <w:rPr>
          <w:lang w:val="es-ES_tradnl"/>
        </w:rPr>
        <w:t xml:space="preserve">ó al Comité a continuar con su labor y aprobó la recomendación del SCCR de que el Comité </w:t>
      </w:r>
      <w:r w:rsidR="00D21E54">
        <w:rPr>
          <w:lang w:val="es-ES_tradnl"/>
        </w:rPr>
        <w:t>siguiera</w:t>
      </w:r>
      <w:r w:rsidRPr="00DD08B4">
        <w:rPr>
          <w:lang w:val="es-ES_tradnl"/>
        </w:rPr>
        <w:t xml:space="preserve"> debatiendo </w:t>
      </w:r>
      <w:r w:rsidRPr="00DD08B4">
        <w:rPr>
          <w:szCs w:val="22"/>
          <w:lang w:val="es-ES_tradnl"/>
        </w:rPr>
        <w:t>a fin de establecer un</w:t>
      </w:r>
      <w:r w:rsidR="005D6C6A">
        <w:rPr>
          <w:szCs w:val="22"/>
          <w:lang w:val="es-ES_tradnl"/>
        </w:rPr>
        <w:t>o o varios</w:t>
      </w:r>
      <w:r w:rsidRPr="00DD08B4">
        <w:rPr>
          <w:szCs w:val="22"/>
          <w:lang w:val="es-ES_tradnl"/>
        </w:rPr>
        <w:t xml:space="preserve"> instrumento</w:t>
      </w:r>
      <w:r w:rsidR="005D6C6A">
        <w:rPr>
          <w:szCs w:val="22"/>
          <w:lang w:val="es-ES_tradnl"/>
        </w:rPr>
        <w:t>s</w:t>
      </w:r>
      <w:r w:rsidRPr="00DD08B4">
        <w:rPr>
          <w:szCs w:val="22"/>
          <w:lang w:val="es-ES_tradnl"/>
        </w:rPr>
        <w:t xml:space="preserve"> jurídico</w:t>
      </w:r>
      <w:r w:rsidR="005D6C6A">
        <w:rPr>
          <w:szCs w:val="22"/>
          <w:lang w:val="es-ES_tradnl"/>
        </w:rPr>
        <w:t>s</w:t>
      </w:r>
      <w:r w:rsidRPr="00DD08B4">
        <w:rPr>
          <w:szCs w:val="22"/>
          <w:lang w:val="es-ES_tradnl"/>
        </w:rPr>
        <w:t xml:space="preserve"> internacional</w:t>
      </w:r>
      <w:r w:rsidR="005D6C6A">
        <w:rPr>
          <w:szCs w:val="22"/>
          <w:lang w:val="es-ES_tradnl"/>
        </w:rPr>
        <w:t>es</w:t>
      </w:r>
      <w:r w:rsidRPr="00DD08B4">
        <w:rPr>
          <w:szCs w:val="22"/>
          <w:lang w:val="es-ES_tradnl"/>
        </w:rPr>
        <w:t xml:space="preserve"> adecuado</w:t>
      </w:r>
      <w:r w:rsidR="005D6C6A">
        <w:rPr>
          <w:szCs w:val="22"/>
          <w:lang w:val="es-ES_tradnl"/>
        </w:rPr>
        <w:t>s</w:t>
      </w:r>
      <w:r w:rsidRPr="00DD08B4">
        <w:rPr>
          <w:szCs w:val="22"/>
          <w:lang w:val="es-ES_tradnl"/>
        </w:rPr>
        <w:t xml:space="preserve"> (ya sea en forma de ley tipo, recomendación conjunta, tratado u otra forma), con objeto de presentar a la Asamblea General recomendaciones sobre las limitaciones y excepciones para las instituciones educativas, docentes y de investigación y las personas con otras discapacidades antes de la trigésima sesión del SCCR.</w:t>
      </w:r>
    </w:p>
    <w:p w:rsidR="00DD08B4" w:rsidRPr="00DD08B4" w:rsidRDefault="00DD08B4">
      <w:pPr>
        <w:rPr>
          <w:szCs w:val="22"/>
          <w:lang w:val="es-ES_tradnl"/>
        </w:rPr>
      </w:pPr>
      <w:r w:rsidRPr="00DD08B4">
        <w:rPr>
          <w:szCs w:val="22"/>
          <w:lang w:val="es-ES_tradnl"/>
        </w:rPr>
        <w:br w:type="page"/>
      </w:r>
    </w:p>
    <w:p w:rsidR="003166B3" w:rsidRDefault="003166B3" w:rsidP="00D64719">
      <w:pPr>
        <w:pStyle w:val="ONUMFS"/>
        <w:spacing w:after="0"/>
        <w:rPr>
          <w:lang w:val="es-ES_tradnl"/>
        </w:rPr>
      </w:pPr>
      <w:r w:rsidRPr="00DD08B4">
        <w:rPr>
          <w:szCs w:val="22"/>
          <w:lang w:val="es-ES_tradnl"/>
        </w:rPr>
        <w:lastRenderedPageBreak/>
        <w:t>15.</w:t>
      </w:r>
      <w:r w:rsidRPr="00DD08B4">
        <w:rPr>
          <w:szCs w:val="22"/>
          <w:lang w:val="es-ES_tradnl"/>
        </w:rPr>
        <w:tab/>
      </w:r>
      <w:r w:rsidR="008C62F1" w:rsidRPr="00DD08B4">
        <w:rPr>
          <w:szCs w:val="22"/>
          <w:lang w:val="es-ES_tradnl"/>
        </w:rPr>
        <w:t>El tema</w:t>
      </w:r>
      <w:r w:rsidR="005A082A" w:rsidRPr="00DD08B4">
        <w:rPr>
          <w:szCs w:val="22"/>
          <w:lang w:val="es-ES_tradnl"/>
        </w:rPr>
        <w:t xml:space="preserve"> de las limitaciones y excepciones </w:t>
      </w:r>
      <w:r w:rsidR="005A082A" w:rsidRPr="00DD08B4">
        <w:rPr>
          <w:lang w:val="es-ES_tradnl"/>
        </w:rPr>
        <w:t>se mantendrá en el orden del día de la vigésima sexta sesión del SCCR.</w:t>
      </w:r>
    </w:p>
    <w:p w:rsidR="00D64719" w:rsidRPr="00DD08B4" w:rsidRDefault="00D64719" w:rsidP="00D64719">
      <w:pPr>
        <w:pStyle w:val="ONUMFS"/>
        <w:spacing w:after="0"/>
        <w:rPr>
          <w:lang w:val="es-ES_tradnl"/>
        </w:rPr>
      </w:pPr>
    </w:p>
    <w:p w:rsidR="00307CD8" w:rsidRDefault="00307CD8" w:rsidP="00D64719">
      <w:pPr>
        <w:pStyle w:val="ONUMFS"/>
        <w:tabs>
          <w:tab w:val="left" w:pos="6096"/>
        </w:tabs>
        <w:spacing w:after="0"/>
        <w:ind w:left="5533"/>
        <w:rPr>
          <w:i/>
          <w:lang w:val="es-ES_tradnl"/>
        </w:rPr>
      </w:pPr>
      <w:r w:rsidRPr="00DD08B4">
        <w:rPr>
          <w:i/>
          <w:caps/>
          <w:lang w:val="es-ES_tradnl"/>
        </w:rPr>
        <w:t>16.</w:t>
      </w:r>
      <w:r w:rsidRPr="00DD08B4">
        <w:rPr>
          <w:i/>
          <w:caps/>
          <w:lang w:val="es-ES_tradnl"/>
        </w:rPr>
        <w:tab/>
      </w:r>
      <w:r w:rsidRPr="00DD08B4">
        <w:rPr>
          <w:i/>
          <w:lang w:val="es-ES_tradnl"/>
        </w:rPr>
        <w:t xml:space="preserve">Se </w:t>
      </w:r>
      <w:r w:rsidRPr="00DD08B4">
        <w:rPr>
          <w:rFonts w:ascii="Arial,Italic" w:eastAsia="Times New Roman" w:hAnsi="Arial,Italic" w:cs="Arial,Italic"/>
          <w:i/>
          <w:iCs/>
          <w:szCs w:val="22"/>
          <w:lang w:val="es-ES_tradnl" w:eastAsia="en-US"/>
        </w:rPr>
        <w:t>invita</w:t>
      </w:r>
      <w:r w:rsidRPr="00DD08B4">
        <w:rPr>
          <w:i/>
          <w:lang w:val="es-ES_tradnl"/>
        </w:rPr>
        <w:t xml:space="preserve"> a la Asamblea General de la OMPI a:</w:t>
      </w:r>
    </w:p>
    <w:p w:rsidR="00D64719" w:rsidRPr="00DD08B4" w:rsidRDefault="00D64719" w:rsidP="00D64719">
      <w:pPr>
        <w:pStyle w:val="ONUMFS"/>
        <w:tabs>
          <w:tab w:val="left" w:pos="6663"/>
        </w:tabs>
        <w:spacing w:after="0"/>
        <w:ind w:left="6096"/>
        <w:rPr>
          <w:i/>
          <w:lang w:val="es-ES_tradnl"/>
        </w:rPr>
      </w:pPr>
    </w:p>
    <w:p w:rsidR="00307CD8" w:rsidRPr="00DD08B4" w:rsidRDefault="00307CD8" w:rsidP="00D64719">
      <w:pPr>
        <w:pStyle w:val="ONUMFS"/>
        <w:tabs>
          <w:tab w:val="left" w:pos="6096"/>
          <w:tab w:val="left" w:pos="6663"/>
        </w:tabs>
        <w:ind w:left="6096"/>
        <w:rPr>
          <w:i/>
          <w:lang w:val="es-ES_tradnl"/>
        </w:rPr>
      </w:pPr>
      <w:r w:rsidRPr="00DD08B4">
        <w:rPr>
          <w:i/>
          <w:lang w:val="es-ES_tradnl"/>
        </w:rPr>
        <w:t>i)</w:t>
      </w:r>
      <w:r w:rsidR="00BE39D0" w:rsidRPr="00DD08B4">
        <w:rPr>
          <w:i/>
          <w:lang w:val="es-ES_tradnl"/>
        </w:rPr>
        <w:tab/>
      </w:r>
      <w:r w:rsidRPr="00DD08B4">
        <w:rPr>
          <w:i/>
          <w:lang w:val="es-ES_tradnl"/>
        </w:rPr>
        <w:t>tomar nota de la información contenida en el presente documento;</w:t>
      </w:r>
    </w:p>
    <w:p w:rsidR="00307CD8" w:rsidRPr="00DD08B4" w:rsidRDefault="00307CD8" w:rsidP="00D64719">
      <w:pPr>
        <w:pStyle w:val="ONUMFS"/>
        <w:tabs>
          <w:tab w:val="left" w:pos="6096"/>
          <w:tab w:val="left" w:pos="6663"/>
        </w:tabs>
        <w:ind w:left="6096"/>
        <w:rPr>
          <w:i/>
          <w:lang w:val="es-ES_tradnl"/>
        </w:rPr>
      </w:pPr>
      <w:r w:rsidRPr="00DD08B4">
        <w:rPr>
          <w:i/>
          <w:lang w:val="es-ES_tradnl"/>
        </w:rPr>
        <w:t>ii)</w:t>
      </w:r>
      <w:r w:rsidRPr="00DD08B4">
        <w:rPr>
          <w:i/>
          <w:lang w:val="es-ES_tradnl"/>
        </w:rPr>
        <w:tab/>
        <w:t>alentar al Comité Permanente de Derecho de Autor y Derechos Conexos a que prosiga su labor sobre las cuestiones acerca de las que se informa en el presente documento;</w:t>
      </w:r>
    </w:p>
    <w:p w:rsidR="00CD2D83" w:rsidRPr="00DD08B4" w:rsidRDefault="006B5815" w:rsidP="00D64719">
      <w:pPr>
        <w:pStyle w:val="ONUMFS"/>
        <w:tabs>
          <w:tab w:val="left" w:pos="6096"/>
          <w:tab w:val="left" w:pos="6663"/>
        </w:tabs>
        <w:ind w:left="6096"/>
        <w:rPr>
          <w:i/>
          <w:lang w:val="es-ES_tradnl"/>
        </w:rPr>
      </w:pPr>
      <w:r w:rsidRPr="00DD08B4">
        <w:rPr>
          <w:i/>
          <w:lang w:val="es-ES_tradnl"/>
        </w:rPr>
        <w:t>iii)</w:t>
      </w:r>
      <w:r w:rsidRPr="00DD08B4">
        <w:rPr>
          <w:i/>
          <w:lang w:val="es-ES_tradnl"/>
        </w:rPr>
        <w:tab/>
        <w:t>pedir</w:t>
      </w:r>
      <w:r w:rsidR="00CD2D83" w:rsidRPr="00DD08B4">
        <w:rPr>
          <w:i/>
          <w:lang w:val="es-ES_tradnl"/>
        </w:rPr>
        <w:t xml:space="preserve"> al Comité Permanente de Derecho de Autor y Derechos Conexos que informe en 2014 a la Asamblea General de la OMPI en relación con la labor encaminada a perfilar un texto sobre los organismos de radiodifusión que permita tomar una decisión respecto de la celebración de una conferencia diplomática;  y</w:t>
      </w:r>
    </w:p>
    <w:p w:rsidR="00CD2D83" w:rsidRPr="00DD08B4" w:rsidRDefault="00CD2D83" w:rsidP="00D64719">
      <w:pPr>
        <w:pStyle w:val="ONUMFS"/>
        <w:tabs>
          <w:tab w:val="left" w:pos="6096"/>
          <w:tab w:val="left" w:pos="6663"/>
        </w:tabs>
        <w:spacing w:after="0"/>
        <w:ind w:left="6096"/>
        <w:rPr>
          <w:i/>
          <w:lang w:val="es-ES_tradnl"/>
        </w:rPr>
      </w:pPr>
      <w:r w:rsidRPr="00DD08B4">
        <w:rPr>
          <w:i/>
          <w:lang w:val="es-ES_tradnl"/>
        </w:rPr>
        <w:t>iv)</w:t>
      </w:r>
      <w:r w:rsidRPr="00DD08B4">
        <w:rPr>
          <w:i/>
          <w:lang w:val="es-ES_tradnl"/>
        </w:rPr>
        <w:tab/>
      </w:r>
      <w:r w:rsidR="006B5815" w:rsidRPr="00DD08B4">
        <w:rPr>
          <w:i/>
          <w:lang w:val="es-ES_tradnl"/>
        </w:rPr>
        <w:t xml:space="preserve">favorecer los avances en materia de limitaciones y excepciones, de conformidad con las recomendaciones aprobadas por la Asamblea </w:t>
      </w:r>
      <w:bookmarkStart w:id="5" w:name="_GoBack"/>
      <w:bookmarkEnd w:id="5"/>
      <w:r w:rsidR="006B5815" w:rsidRPr="00DD08B4">
        <w:rPr>
          <w:i/>
          <w:lang w:val="es-ES_tradnl"/>
        </w:rPr>
        <w:t xml:space="preserve">General de la OMPI en 2012, tal </w:t>
      </w:r>
      <w:r w:rsidRPr="00DD08B4">
        <w:rPr>
          <w:i/>
          <w:lang w:val="es-ES_tradnl"/>
        </w:rPr>
        <w:t>co</w:t>
      </w:r>
      <w:r w:rsidR="006B5815" w:rsidRPr="00DD08B4">
        <w:rPr>
          <w:i/>
          <w:lang w:val="es-ES_tradnl"/>
        </w:rPr>
        <w:t>mo se explica en los párrafos 12</w:t>
      </w:r>
      <w:r w:rsidRPr="00DD08B4">
        <w:rPr>
          <w:i/>
          <w:lang w:val="es-ES_tradnl"/>
        </w:rPr>
        <w:t xml:space="preserve"> y 1</w:t>
      </w:r>
      <w:r w:rsidR="006B5815" w:rsidRPr="00DD08B4">
        <w:rPr>
          <w:i/>
          <w:lang w:val="es-ES_tradnl"/>
        </w:rPr>
        <w:t>4</w:t>
      </w:r>
      <w:r w:rsidRPr="00DD08B4">
        <w:rPr>
          <w:i/>
          <w:lang w:val="es-ES_tradnl"/>
        </w:rPr>
        <w:t xml:space="preserve"> del</w:t>
      </w:r>
      <w:r w:rsidR="006B5815" w:rsidRPr="00DD08B4">
        <w:rPr>
          <w:i/>
          <w:lang w:val="es-ES_tradnl"/>
        </w:rPr>
        <w:t xml:space="preserve"> presente documento.</w:t>
      </w:r>
    </w:p>
    <w:p w:rsidR="00205308" w:rsidRDefault="00205308" w:rsidP="00D64719">
      <w:pPr>
        <w:pStyle w:val="ONUMFS"/>
        <w:tabs>
          <w:tab w:val="left" w:pos="6663"/>
        </w:tabs>
        <w:spacing w:after="0"/>
        <w:ind w:left="6096"/>
        <w:rPr>
          <w:i/>
          <w:lang w:val="es-ES_tradnl"/>
        </w:rPr>
      </w:pPr>
    </w:p>
    <w:p w:rsidR="00D64719" w:rsidRDefault="00D64719" w:rsidP="00D64719">
      <w:pPr>
        <w:pStyle w:val="ONUMFS"/>
        <w:tabs>
          <w:tab w:val="left" w:pos="6663"/>
        </w:tabs>
        <w:spacing w:after="0"/>
        <w:ind w:left="6096"/>
        <w:rPr>
          <w:i/>
          <w:lang w:val="es-ES_tradnl"/>
        </w:rPr>
      </w:pPr>
    </w:p>
    <w:p w:rsidR="00D64719" w:rsidRPr="00DD08B4" w:rsidRDefault="00D64719" w:rsidP="00D64719">
      <w:pPr>
        <w:pStyle w:val="ONUMFS"/>
        <w:tabs>
          <w:tab w:val="left" w:pos="6663"/>
        </w:tabs>
        <w:spacing w:after="0"/>
        <w:ind w:left="6096"/>
        <w:rPr>
          <w:i/>
          <w:lang w:val="es-ES_tradnl"/>
        </w:rPr>
      </w:pPr>
    </w:p>
    <w:p w:rsidR="00205308" w:rsidRPr="00D64719" w:rsidRDefault="00BE39D0" w:rsidP="00D64719">
      <w:pPr>
        <w:pStyle w:val="Endofdocument-Annex"/>
        <w:ind w:left="5533"/>
        <w:rPr>
          <w:lang w:val="es-ES_tradnl"/>
        </w:rPr>
      </w:pPr>
      <w:r w:rsidRPr="00D64719">
        <w:rPr>
          <w:lang w:val="es-ES_tradnl"/>
        </w:rPr>
        <w:t>[Fin del documento]</w:t>
      </w:r>
    </w:p>
    <w:sectPr w:rsidR="00205308" w:rsidRPr="00D64719" w:rsidSect="00A32356">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46" w:rsidRDefault="00DA3546">
      <w:r>
        <w:separator/>
      </w:r>
    </w:p>
  </w:endnote>
  <w:endnote w:type="continuationSeparator" w:id="0">
    <w:p w:rsidR="00DA3546" w:rsidRPr="009D30E6" w:rsidRDefault="00DA3546" w:rsidP="007E663E">
      <w:pPr>
        <w:rPr>
          <w:sz w:val="17"/>
          <w:szCs w:val="17"/>
        </w:rPr>
      </w:pPr>
      <w:r w:rsidRPr="009D30E6">
        <w:rPr>
          <w:sz w:val="17"/>
          <w:szCs w:val="17"/>
        </w:rPr>
        <w:separator/>
      </w:r>
    </w:p>
    <w:p w:rsidR="00DA3546" w:rsidRPr="007E663E" w:rsidRDefault="00DA3546" w:rsidP="007E663E">
      <w:pPr>
        <w:spacing w:after="60"/>
        <w:rPr>
          <w:sz w:val="17"/>
          <w:szCs w:val="17"/>
        </w:rPr>
      </w:pPr>
      <w:r>
        <w:rPr>
          <w:sz w:val="17"/>
        </w:rPr>
        <w:t>[Continuación de la nota de la página anterior]</w:t>
      </w:r>
    </w:p>
  </w:endnote>
  <w:endnote w:type="continuationNotice" w:id="1">
    <w:p w:rsidR="00DA3546" w:rsidRPr="007E663E" w:rsidRDefault="00DA35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46" w:rsidRDefault="00DA3546">
      <w:r>
        <w:separator/>
      </w:r>
    </w:p>
  </w:footnote>
  <w:footnote w:type="continuationSeparator" w:id="0">
    <w:p w:rsidR="00DA3546" w:rsidRPr="009D30E6" w:rsidRDefault="00DA3546" w:rsidP="007E663E">
      <w:pPr>
        <w:rPr>
          <w:sz w:val="17"/>
          <w:szCs w:val="17"/>
        </w:rPr>
      </w:pPr>
      <w:r w:rsidRPr="009D30E6">
        <w:rPr>
          <w:sz w:val="17"/>
          <w:szCs w:val="17"/>
        </w:rPr>
        <w:separator/>
      </w:r>
    </w:p>
    <w:p w:rsidR="00DA3546" w:rsidRPr="007E663E" w:rsidRDefault="00DA3546" w:rsidP="007E663E">
      <w:pPr>
        <w:spacing w:after="60"/>
        <w:rPr>
          <w:sz w:val="17"/>
          <w:szCs w:val="17"/>
        </w:rPr>
      </w:pPr>
      <w:r>
        <w:rPr>
          <w:sz w:val="17"/>
        </w:rPr>
        <w:t>[Continuación de la nota de la página anterior]</w:t>
      </w:r>
    </w:p>
  </w:footnote>
  <w:footnote w:type="continuationNotice" w:id="1">
    <w:p w:rsidR="00DA3546" w:rsidRPr="007E663E" w:rsidRDefault="00DA35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08" w:rsidRDefault="00205308" w:rsidP="00477D6B">
    <w:pPr>
      <w:jc w:val="right"/>
    </w:pPr>
    <w:bookmarkStart w:id="6" w:name="Code2"/>
    <w:bookmarkEnd w:id="6"/>
    <w:r>
      <w:t>WO/GA/43/13</w:t>
    </w:r>
  </w:p>
  <w:p w:rsidR="00205308" w:rsidRDefault="00205308" w:rsidP="00477D6B">
    <w:pPr>
      <w:jc w:val="right"/>
    </w:pPr>
    <w:r>
      <w:t xml:space="preserve">página </w:t>
    </w:r>
    <w:r>
      <w:fldChar w:fldCharType="begin"/>
    </w:r>
    <w:r>
      <w:instrText xml:space="preserve"> PAGE  \* MERGEFORMAT </w:instrText>
    </w:r>
    <w:r>
      <w:fldChar w:fldCharType="separate"/>
    </w:r>
    <w:r w:rsidR="00D64719">
      <w:rPr>
        <w:noProof/>
      </w:rPr>
      <w:t>3</w:t>
    </w:r>
    <w:r>
      <w:fldChar w:fldCharType="end"/>
    </w:r>
  </w:p>
  <w:p w:rsidR="00205308" w:rsidRDefault="0020530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5110426"/>
    <w:multiLevelType w:val="hybridMultilevel"/>
    <w:tmpl w:val="584004AE"/>
    <w:lvl w:ilvl="0" w:tplc="454A87DA">
      <w:start w:val="1"/>
      <w:numFmt w:val="upperLetter"/>
      <w:lvlText w:val="%1."/>
      <w:lvlJc w:val="left"/>
      <w:pPr>
        <w:ind w:left="720" w:hanging="360"/>
      </w:pPr>
      <w:rPr>
        <w:rFonts w:hint="default"/>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72024A"/>
    <w:multiLevelType w:val="hybridMultilevel"/>
    <w:tmpl w:val="534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162FA"/>
    <w:multiLevelType w:val="hybridMultilevel"/>
    <w:tmpl w:val="EBC69720"/>
    <w:lvl w:ilvl="0" w:tplc="A8487E62">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9">
    <w:nsid w:val="7FBD5695"/>
    <w:multiLevelType w:val="hybridMultilevel"/>
    <w:tmpl w:val="EE0A79EC"/>
    <w:lvl w:ilvl="0" w:tplc="1D9E9CCC">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56"/>
    <w:rsid w:val="00005E88"/>
    <w:rsid w:val="00010686"/>
    <w:rsid w:val="000162EE"/>
    <w:rsid w:val="00031F48"/>
    <w:rsid w:val="00052915"/>
    <w:rsid w:val="00067DF7"/>
    <w:rsid w:val="000C59AA"/>
    <w:rsid w:val="000E3BB3"/>
    <w:rsid w:val="000F5E56"/>
    <w:rsid w:val="001362EE"/>
    <w:rsid w:val="00150568"/>
    <w:rsid w:val="00152CEA"/>
    <w:rsid w:val="001832A6"/>
    <w:rsid w:val="001E7B81"/>
    <w:rsid w:val="00205308"/>
    <w:rsid w:val="002149A3"/>
    <w:rsid w:val="002634C4"/>
    <w:rsid w:val="002D071C"/>
    <w:rsid w:val="002E0F47"/>
    <w:rsid w:val="002F4E68"/>
    <w:rsid w:val="00307CD8"/>
    <w:rsid w:val="003166B3"/>
    <w:rsid w:val="00354083"/>
    <w:rsid w:val="003545B5"/>
    <w:rsid w:val="00354647"/>
    <w:rsid w:val="00377273"/>
    <w:rsid w:val="003845C1"/>
    <w:rsid w:val="003869E6"/>
    <w:rsid w:val="00387287"/>
    <w:rsid w:val="003A3B68"/>
    <w:rsid w:val="003D447B"/>
    <w:rsid w:val="003E48F1"/>
    <w:rsid w:val="003E72AC"/>
    <w:rsid w:val="003F2F6D"/>
    <w:rsid w:val="003F347A"/>
    <w:rsid w:val="0041032C"/>
    <w:rsid w:val="00423E3E"/>
    <w:rsid w:val="00427AF4"/>
    <w:rsid w:val="0043486C"/>
    <w:rsid w:val="0044080D"/>
    <w:rsid w:val="0045231F"/>
    <w:rsid w:val="004647DA"/>
    <w:rsid w:val="00477808"/>
    <w:rsid w:val="00477D6B"/>
    <w:rsid w:val="00485719"/>
    <w:rsid w:val="004A6C37"/>
    <w:rsid w:val="004E297D"/>
    <w:rsid w:val="00523101"/>
    <w:rsid w:val="005332F0"/>
    <w:rsid w:val="0055013B"/>
    <w:rsid w:val="00562493"/>
    <w:rsid w:val="00571B99"/>
    <w:rsid w:val="005A082A"/>
    <w:rsid w:val="005B437E"/>
    <w:rsid w:val="005D3033"/>
    <w:rsid w:val="005D5F8E"/>
    <w:rsid w:val="005D6C6A"/>
    <w:rsid w:val="005E2B19"/>
    <w:rsid w:val="00605827"/>
    <w:rsid w:val="00654A0D"/>
    <w:rsid w:val="00667038"/>
    <w:rsid w:val="00675021"/>
    <w:rsid w:val="006A06C6"/>
    <w:rsid w:val="006A571D"/>
    <w:rsid w:val="006B5815"/>
    <w:rsid w:val="006F79A1"/>
    <w:rsid w:val="00713186"/>
    <w:rsid w:val="007224C8"/>
    <w:rsid w:val="00743136"/>
    <w:rsid w:val="00757717"/>
    <w:rsid w:val="007701C4"/>
    <w:rsid w:val="00794BE2"/>
    <w:rsid w:val="007B01E2"/>
    <w:rsid w:val="007B71FE"/>
    <w:rsid w:val="007C31AD"/>
    <w:rsid w:val="007D781E"/>
    <w:rsid w:val="007E663E"/>
    <w:rsid w:val="00810148"/>
    <w:rsid w:val="00815082"/>
    <w:rsid w:val="00842A5D"/>
    <w:rsid w:val="0088395E"/>
    <w:rsid w:val="008A4A45"/>
    <w:rsid w:val="008B0C04"/>
    <w:rsid w:val="008B2CC1"/>
    <w:rsid w:val="008C62F1"/>
    <w:rsid w:val="008E6BD6"/>
    <w:rsid w:val="008F06C8"/>
    <w:rsid w:val="0090731E"/>
    <w:rsid w:val="009246F8"/>
    <w:rsid w:val="009436C3"/>
    <w:rsid w:val="00966A22"/>
    <w:rsid w:val="00972F03"/>
    <w:rsid w:val="009837F8"/>
    <w:rsid w:val="009A0C8B"/>
    <w:rsid w:val="009B6241"/>
    <w:rsid w:val="009D61B8"/>
    <w:rsid w:val="009F3B64"/>
    <w:rsid w:val="00A16FC0"/>
    <w:rsid w:val="00A32356"/>
    <w:rsid w:val="00A32C9E"/>
    <w:rsid w:val="00A509DF"/>
    <w:rsid w:val="00A91B71"/>
    <w:rsid w:val="00A97272"/>
    <w:rsid w:val="00AA11A9"/>
    <w:rsid w:val="00AB613D"/>
    <w:rsid w:val="00AE648F"/>
    <w:rsid w:val="00AE7F20"/>
    <w:rsid w:val="00B317C0"/>
    <w:rsid w:val="00B47CDC"/>
    <w:rsid w:val="00B65A0A"/>
    <w:rsid w:val="00B67CDC"/>
    <w:rsid w:val="00B72D36"/>
    <w:rsid w:val="00B76312"/>
    <w:rsid w:val="00B806E7"/>
    <w:rsid w:val="00B816E0"/>
    <w:rsid w:val="00BC4164"/>
    <w:rsid w:val="00BD2DCC"/>
    <w:rsid w:val="00BD7FD1"/>
    <w:rsid w:val="00BE39D0"/>
    <w:rsid w:val="00C00A96"/>
    <w:rsid w:val="00C90559"/>
    <w:rsid w:val="00CA2251"/>
    <w:rsid w:val="00CD2D83"/>
    <w:rsid w:val="00CF52D5"/>
    <w:rsid w:val="00D12F3C"/>
    <w:rsid w:val="00D21E54"/>
    <w:rsid w:val="00D31F78"/>
    <w:rsid w:val="00D56C7C"/>
    <w:rsid w:val="00D62826"/>
    <w:rsid w:val="00D64719"/>
    <w:rsid w:val="00D71B4D"/>
    <w:rsid w:val="00D90289"/>
    <w:rsid w:val="00D93D55"/>
    <w:rsid w:val="00DA3546"/>
    <w:rsid w:val="00DC4C60"/>
    <w:rsid w:val="00DD08B4"/>
    <w:rsid w:val="00DD1A52"/>
    <w:rsid w:val="00E0079A"/>
    <w:rsid w:val="00E01E50"/>
    <w:rsid w:val="00E1447C"/>
    <w:rsid w:val="00E444DA"/>
    <w:rsid w:val="00E45C84"/>
    <w:rsid w:val="00E504E5"/>
    <w:rsid w:val="00E57FB2"/>
    <w:rsid w:val="00EB7A3E"/>
    <w:rsid w:val="00EC401A"/>
    <w:rsid w:val="00EF530A"/>
    <w:rsid w:val="00EF6622"/>
    <w:rsid w:val="00F55408"/>
    <w:rsid w:val="00F66152"/>
    <w:rsid w:val="00F80845"/>
    <w:rsid w:val="00F84474"/>
    <w:rsid w:val="00F92B3A"/>
    <w:rsid w:val="00FA0F0D"/>
    <w:rsid w:val="00FB0DFF"/>
    <w:rsid w:val="00FC2D6F"/>
    <w:rsid w:val="00FC6AF0"/>
    <w:rsid w:val="00FD59D1"/>
    <w:rsid w:val="00FD6462"/>
    <w:rsid w:val="00FF1D3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F6D"/>
    <w:rPr>
      <w:rFonts w:ascii="Arial" w:eastAsia="SimSun" w:hAnsi="Arial" w:cs="Arial"/>
      <w:sz w:val="22"/>
      <w:lang w:val="es-ES" w:eastAsia="zh-CN"/>
    </w:rPr>
  </w:style>
  <w:style w:type="paragraph" w:styleId="Heading1">
    <w:name w:val="heading 1"/>
    <w:basedOn w:val="Normal"/>
    <w:next w:val="Normal"/>
    <w:qFormat/>
    <w:rsid w:val="003F2F6D"/>
    <w:pPr>
      <w:keepNext/>
      <w:spacing w:before="240" w:after="60"/>
      <w:outlineLvl w:val="0"/>
    </w:pPr>
    <w:rPr>
      <w:b/>
      <w:bCs/>
      <w:caps/>
      <w:kern w:val="32"/>
      <w:szCs w:val="32"/>
    </w:rPr>
  </w:style>
  <w:style w:type="paragraph" w:styleId="Heading2">
    <w:name w:val="heading 2"/>
    <w:basedOn w:val="Normal"/>
    <w:next w:val="Normal"/>
    <w:qFormat/>
    <w:rsid w:val="003F2F6D"/>
    <w:pPr>
      <w:keepNext/>
      <w:spacing w:before="240" w:after="60"/>
      <w:outlineLvl w:val="1"/>
    </w:pPr>
    <w:rPr>
      <w:bCs/>
      <w:iCs/>
      <w:caps/>
      <w:szCs w:val="28"/>
    </w:rPr>
  </w:style>
  <w:style w:type="paragraph" w:styleId="Heading3">
    <w:name w:val="heading 3"/>
    <w:basedOn w:val="Normal"/>
    <w:next w:val="Normal"/>
    <w:qFormat/>
    <w:rsid w:val="003F2F6D"/>
    <w:pPr>
      <w:keepNext/>
      <w:spacing w:before="240" w:after="60"/>
      <w:outlineLvl w:val="2"/>
    </w:pPr>
    <w:rPr>
      <w:bCs/>
      <w:szCs w:val="26"/>
      <w:u w:val="single"/>
    </w:rPr>
  </w:style>
  <w:style w:type="paragraph" w:styleId="Heading4">
    <w:name w:val="heading 4"/>
    <w:basedOn w:val="Normal"/>
    <w:next w:val="Normal"/>
    <w:qFormat/>
    <w:rsid w:val="003F2F6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3F2F6D"/>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D3033"/>
    <w:pPr>
      <w:ind w:left="720"/>
    </w:pPr>
  </w:style>
  <w:style w:type="paragraph" w:styleId="BalloonText">
    <w:name w:val="Balloon Text"/>
    <w:basedOn w:val="Normal"/>
    <w:link w:val="BalloonTextChar"/>
    <w:rsid w:val="005D6C6A"/>
    <w:rPr>
      <w:rFonts w:ascii="Tahoma" w:hAnsi="Tahoma" w:cs="Tahoma"/>
      <w:sz w:val="16"/>
      <w:szCs w:val="16"/>
    </w:rPr>
  </w:style>
  <w:style w:type="character" w:customStyle="1" w:styleId="BalloonTextChar">
    <w:name w:val="Balloon Text Char"/>
    <w:basedOn w:val="DefaultParagraphFont"/>
    <w:link w:val="BalloonText"/>
    <w:rsid w:val="005D6C6A"/>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F6D"/>
    <w:rPr>
      <w:rFonts w:ascii="Arial" w:eastAsia="SimSun" w:hAnsi="Arial" w:cs="Arial"/>
      <w:sz w:val="22"/>
      <w:lang w:val="es-ES" w:eastAsia="zh-CN"/>
    </w:rPr>
  </w:style>
  <w:style w:type="paragraph" w:styleId="Heading1">
    <w:name w:val="heading 1"/>
    <w:basedOn w:val="Normal"/>
    <w:next w:val="Normal"/>
    <w:qFormat/>
    <w:rsid w:val="003F2F6D"/>
    <w:pPr>
      <w:keepNext/>
      <w:spacing w:before="240" w:after="60"/>
      <w:outlineLvl w:val="0"/>
    </w:pPr>
    <w:rPr>
      <w:b/>
      <w:bCs/>
      <w:caps/>
      <w:kern w:val="32"/>
      <w:szCs w:val="32"/>
    </w:rPr>
  </w:style>
  <w:style w:type="paragraph" w:styleId="Heading2">
    <w:name w:val="heading 2"/>
    <w:basedOn w:val="Normal"/>
    <w:next w:val="Normal"/>
    <w:qFormat/>
    <w:rsid w:val="003F2F6D"/>
    <w:pPr>
      <w:keepNext/>
      <w:spacing w:before="240" w:after="60"/>
      <w:outlineLvl w:val="1"/>
    </w:pPr>
    <w:rPr>
      <w:bCs/>
      <w:iCs/>
      <w:caps/>
      <w:szCs w:val="28"/>
    </w:rPr>
  </w:style>
  <w:style w:type="paragraph" w:styleId="Heading3">
    <w:name w:val="heading 3"/>
    <w:basedOn w:val="Normal"/>
    <w:next w:val="Normal"/>
    <w:qFormat/>
    <w:rsid w:val="003F2F6D"/>
    <w:pPr>
      <w:keepNext/>
      <w:spacing w:before="240" w:after="60"/>
      <w:outlineLvl w:val="2"/>
    </w:pPr>
    <w:rPr>
      <w:bCs/>
      <w:szCs w:val="26"/>
      <w:u w:val="single"/>
    </w:rPr>
  </w:style>
  <w:style w:type="paragraph" w:styleId="Heading4">
    <w:name w:val="heading 4"/>
    <w:basedOn w:val="Normal"/>
    <w:next w:val="Normal"/>
    <w:qFormat/>
    <w:rsid w:val="003F2F6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3F2F6D"/>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D3033"/>
    <w:pPr>
      <w:ind w:left="720"/>
    </w:pPr>
  </w:style>
  <w:style w:type="paragraph" w:styleId="BalloonText">
    <w:name w:val="Balloon Text"/>
    <w:basedOn w:val="Normal"/>
    <w:link w:val="BalloonTextChar"/>
    <w:rsid w:val="005D6C6A"/>
    <w:rPr>
      <w:rFonts w:ascii="Tahoma" w:hAnsi="Tahoma" w:cs="Tahoma"/>
      <w:sz w:val="16"/>
      <w:szCs w:val="16"/>
    </w:rPr>
  </w:style>
  <w:style w:type="character" w:customStyle="1" w:styleId="BalloonTextChar">
    <w:name w:val="Balloon Text Char"/>
    <w:basedOn w:val="DefaultParagraphFont"/>
    <w:link w:val="BalloonText"/>
    <w:rsid w:val="005D6C6A"/>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(S).dot</Template>
  <TotalTime>13</TotalTime>
  <Pages>4</Pages>
  <Words>1646</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SALAZAR GUILLEN Ivan</dc:creator>
  <cp:lastModifiedBy>MARIN-CUDRAZ DAVI Nicoletta</cp:lastModifiedBy>
  <cp:revision>7</cp:revision>
  <cp:lastPrinted>2013-09-03T13:37:00Z</cp:lastPrinted>
  <dcterms:created xsi:type="dcterms:W3CDTF">2013-09-03T13:29:00Z</dcterms:created>
  <dcterms:modified xsi:type="dcterms:W3CDTF">2013-09-04T07:34:00Z</dcterms:modified>
</cp:coreProperties>
</file>