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99" w:rsidRPr="00C51DCA" w:rsidRDefault="008B14EA" w:rsidP="008B14EA">
      <w:pPr>
        <w:spacing w:after="120"/>
        <w:jc w:val="right"/>
        <w:rPr>
          <w:lang w:val="es-419"/>
        </w:rPr>
      </w:pPr>
      <w:bookmarkStart w:id="0" w:name="_GoBack"/>
      <w:bookmarkEnd w:id="0"/>
      <w:r w:rsidRPr="00C51DCA">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51DCA">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53543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5E2D99" w:rsidRPr="00C51DCA" w:rsidRDefault="00186911" w:rsidP="008B14EA">
      <w:pPr>
        <w:jc w:val="right"/>
        <w:rPr>
          <w:rFonts w:ascii="Arial Black" w:hAnsi="Arial Black"/>
          <w:caps/>
          <w:sz w:val="15"/>
          <w:lang w:val="es-419"/>
        </w:rPr>
      </w:pPr>
      <w:r w:rsidRPr="00C51DCA">
        <w:rPr>
          <w:rFonts w:ascii="Arial Black" w:hAnsi="Arial Black"/>
          <w:caps/>
          <w:sz w:val="15"/>
          <w:szCs w:val="15"/>
          <w:lang w:val="es-419"/>
        </w:rPr>
        <w:t>WO/CC/81/</w:t>
      </w:r>
      <w:bookmarkStart w:id="1" w:name="Code"/>
      <w:r w:rsidR="005E2D99" w:rsidRPr="00C51DCA">
        <w:rPr>
          <w:rFonts w:ascii="Arial Black" w:hAnsi="Arial Black"/>
          <w:caps/>
          <w:sz w:val="15"/>
          <w:lang w:val="es-419"/>
        </w:rPr>
        <w:t>1</w:t>
      </w:r>
    </w:p>
    <w:bookmarkEnd w:id="1"/>
    <w:p w:rsidR="005E2D99" w:rsidRPr="00C51DCA" w:rsidRDefault="008B14EA" w:rsidP="008B14EA">
      <w:pPr>
        <w:jc w:val="right"/>
        <w:rPr>
          <w:rFonts w:ascii="Arial Black" w:hAnsi="Arial Black"/>
          <w:caps/>
          <w:sz w:val="15"/>
          <w:lang w:val="es-419"/>
        </w:rPr>
      </w:pPr>
      <w:r w:rsidRPr="00C51DCA">
        <w:rPr>
          <w:rFonts w:ascii="Arial Black" w:hAnsi="Arial Black"/>
          <w:caps/>
          <w:sz w:val="15"/>
          <w:lang w:val="es-419"/>
        </w:rPr>
        <w:t xml:space="preserve">ORIGINAL: </w:t>
      </w:r>
      <w:bookmarkStart w:id="2" w:name="Original"/>
      <w:r w:rsidR="005E2D99" w:rsidRPr="00C51DCA">
        <w:rPr>
          <w:rFonts w:ascii="Arial Black" w:hAnsi="Arial Black"/>
          <w:caps/>
          <w:sz w:val="15"/>
          <w:lang w:val="es-419"/>
        </w:rPr>
        <w:t>Inglés</w:t>
      </w:r>
    </w:p>
    <w:bookmarkEnd w:id="2"/>
    <w:p w:rsidR="005E2D99" w:rsidRPr="00C51DCA" w:rsidRDefault="008B14EA" w:rsidP="008B14EA">
      <w:pPr>
        <w:spacing w:after="1200"/>
        <w:jc w:val="right"/>
        <w:rPr>
          <w:rFonts w:ascii="Arial Black" w:hAnsi="Arial Black"/>
          <w:caps/>
          <w:sz w:val="15"/>
          <w:lang w:val="es-419"/>
        </w:rPr>
      </w:pPr>
      <w:r w:rsidRPr="00C51DCA">
        <w:rPr>
          <w:rFonts w:ascii="Arial Black" w:hAnsi="Arial Black"/>
          <w:caps/>
          <w:sz w:val="15"/>
          <w:lang w:val="es-419"/>
        </w:rPr>
        <w:t xml:space="preserve">FECHA: </w:t>
      </w:r>
      <w:bookmarkStart w:id="3" w:name="Date"/>
      <w:r w:rsidR="005E2D99" w:rsidRPr="00C51DCA">
        <w:rPr>
          <w:rFonts w:ascii="Arial Black" w:hAnsi="Arial Black"/>
          <w:caps/>
          <w:sz w:val="15"/>
          <w:lang w:val="es-419"/>
        </w:rPr>
        <w:t>13 de mayo de 2022</w:t>
      </w:r>
    </w:p>
    <w:bookmarkEnd w:id="3"/>
    <w:p w:rsidR="005E2D99" w:rsidRPr="00C51DCA" w:rsidRDefault="00186911" w:rsidP="008B14EA">
      <w:pPr>
        <w:spacing w:after="600"/>
        <w:rPr>
          <w:b/>
          <w:sz w:val="28"/>
          <w:szCs w:val="28"/>
          <w:lang w:val="es-419"/>
        </w:rPr>
      </w:pPr>
      <w:r w:rsidRPr="00C51DCA">
        <w:rPr>
          <w:b/>
          <w:sz w:val="28"/>
          <w:szCs w:val="28"/>
          <w:lang w:val="es-419"/>
        </w:rPr>
        <w:t>Comité de Coordinación de la OMPI</w:t>
      </w:r>
    </w:p>
    <w:p w:rsidR="005E2D99" w:rsidRPr="00C51DCA" w:rsidRDefault="00186911" w:rsidP="00323EB5">
      <w:pPr>
        <w:rPr>
          <w:b/>
          <w:sz w:val="24"/>
          <w:szCs w:val="24"/>
          <w:lang w:val="es-419"/>
        </w:rPr>
      </w:pPr>
      <w:r w:rsidRPr="00C51DCA">
        <w:rPr>
          <w:b/>
          <w:sz w:val="24"/>
          <w:szCs w:val="24"/>
          <w:lang w:val="es-419"/>
        </w:rPr>
        <w:t>Octogésima primera sesión (53.º ordinaria)</w:t>
      </w:r>
    </w:p>
    <w:p w:rsidR="005E2D99" w:rsidRPr="00C51DCA" w:rsidRDefault="00186911" w:rsidP="008B14EA">
      <w:pPr>
        <w:spacing w:after="720"/>
        <w:rPr>
          <w:b/>
          <w:sz w:val="24"/>
          <w:szCs w:val="24"/>
          <w:lang w:val="es-419"/>
        </w:rPr>
      </w:pPr>
      <w:r w:rsidRPr="00C51DCA">
        <w:rPr>
          <w:b/>
          <w:sz w:val="24"/>
          <w:szCs w:val="24"/>
          <w:lang w:val="es-419"/>
        </w:rPr>
        <w:t>Ginebra, 1</w:t>
      </w:r>
      <w:r w:rsidR="0017105C" w:rsidRPr="00C51DCA">
        <w:rPr>
          <w:b/>
          <w:sz w:val="24"/>
          <w:szCs w:val="24"/>
          <w:lang w:val="es-419"/>
        </w:rPr>
        <w:t>4</w:t>
      </w:r>
      <w:r w:rsidRPr="00C51DCA">
        <w:rPr>
          <w:b/>
          <w:sz w:val="24"/>
          <w:szCs w:val="24"/>
          <w:lang w:val="es-419"/>
        </w:rPr>
        <w:t xml:space="preserve"> a 22 de julio de 2022</w:t>
      </w:r>
    </w:p>
    <w:p w:rsidR="005E2D99" w:rsidRPr="00C51DCA" w:rsidRDefault="005E2D99" w:rsidP="008B14EA">
      <w:pPr>
        <w:spacing w:after="360"/>
        <w:rPr>
          <w:caps/>
          <w:sz w:val="24"/>
          <w:lang w:val="es-419"/>
        </w:rPr>
      </w:pPr>
      <w:bookmarkStart w:id="4" w:name="TitleOfDoc"/>
      <w:r w:rsidRPr="00C51DCA">
        <w:rPr>
          <w:caps/>
          <w:sz w:val="24"/>
          <w:lang w:val="es-419"/>
        </w:rPr>
        <w:t>Aprobación de un acuerdo</w:t>
      </w:r>
    </w:p>
    <w:p w:rsidR="005E2D99" w:rsidRPr="00C51DCA" w:rsidRDefault="005E2D99" w:rsidP="008B14EA">
      <w:pPr>
        <w:spacing w:after="960"/>
        <w:rPr>
          <w:i/>
          <w:lang w:val="es-419"/>
        </w:rPr>
      </w:pPr>
      <w:bookmarkStart w:id="5" w:name="Prepared"/>
      <w:bookmarkEnd w:id="4"/>
      <w:r w:rsidRPr="00C51DCA">
        <w:rPr>
          <w:i/>
          <w:lang w:val="es-419"/>
        </w:rPr>
        <w:t>Documento preparado por la Secretaría</w:t>
      </w:r>
    </w:p>
    <w:bookmarkEnd w:id="5"/>
    <w:p w:rsidR="005E2D99" w:rsidRPr="00C51DCA" w:rsidRDefault="005E2D99" w:rsidP="005E2D99">
      <w:pPr>
        <w:spacing w:after="240"/>
        <w:rPr>
          <w:lang w:val="es-419"/>
        </w:rPr>
      </w:pPr>
      <w:r w:rsidRPr="00C51DCA">
        <w:rPr>
          <w:lang w:val="es-419"/>
        </w:rPr>
        <w:fldChar w:fldCharType="begin"/>
      </w:r>
      <w:r w:rsidRPr="00C51DCA">
        <w:rPr>
          <w:lang w:val="es-419"/>
        </w:rPr>
        <w:instrText xml:space="preserve"> AUTONUM  </w:instrText>
      </w:r>
      <w:r w:rsidRPr="00C51DCA">
        <w:rPr>
          <w:lang w:val="es-419"/>
        </w:rPr>
        <w:fldChar w:fldCharType="end"/>
      </w:r>
      <w:r w:rsidRPr="00C51DCA">
        <w:rPr>
          <w:lang w:val="es-419"/>
        </w:rPr>
        <w:tab/>
        <w:t>De conformidad con el artículo 13.1) del Convenio que establece la Organización Mundial de la Propiedad Intelectual, todo acuerdo celebrado con miras a establecer relaciones de trabajo y de cooperación con otras organizaciones intergubernamentales será concluido por el Director General, previa aprobación del Comité de Coordinación de la OMPI.</w:t>
      </w:r>
    </w:p>
    <w:p w:rsidR="005E2D99" w:rsidRPr="00C51DCA" w:rsidRDefault="005E2D99" w:rsidP="005E2D99">
      <w:pPr>
        <w:spacing w:after="240"/>
        <w:rPr>
          <w:lang w:val="es-419"/>
        </w:rPr>
      </w:pPr>
      <w:r w:rsidRPr="00C51DCA">
        <w:rPr>
          <w:lang w:val="es-419"/>
        </w:rPr>
        <w:fldChar w:fldCharType="begin"/>
      </w:r>
      <w:r w:rsidRPr="00C51DCA">
        <w:rPr>
          <w:lang w:val="es-419"/>
        </w:rPr>
        <w:instrText xml:space="preserve"> AUTONUM  </w:instrText>
      </w:r>
      <w:r w:rsidRPr="00C51DCA">
        <w:rPr>
          <w:lang w:val="es-419"/>
        </w:rPr>
        <w:fldChar w:fldCharType="end"/>
      </w:r>
      <w:r w:rsidRPr="00C51DCA">
        <w:rPr>
          <w:lang w:val="es-419"/>
        </w:rPr>
        <w:tab/>
        <w:t>A ese respecto, el director general de la O</w:t>
      </w:r>
      <w:r w:rsidR="00310DB5" w:rsidRPr="00C51DCA">
        <w:rPr>
          <w:lang w:val="es-419"/>
        </w:rPr>
        <w:t>MPI</w:t>
      </w:r>
      <w:r w:rsidRPr="00C51DCA">
        <w:rPr>
          <w:lang w:val="es-419"/>
        </w:rPr>
        <w:t xml:space="preserve"> </w:t>
      </w:r>
      <w:r w:rsidR="00310DB5" w:rsidRPr="00C51DCA">
        <w:rPr>
          <w:lang w:val="es-419"/>
        </w:rPr>
        <w:t xml:space="preserve">y el secretario general de la Secretaría de Integración Económica Centroamericana </w:t>
      </w:r>
      <w:r w:rsidRPr="00C51DCA">
        <w:rPr>
          <w:lang w:val="es-419"/>
        </w:rPr>
        <w:t>(SIECA) ha</w:t>
      </w:r>
      <w:r w:rsidR="00310DB5" w:rsidRPr="00C51DCA">
        <w:rPr>
          <w:lang w:val="es-419"/>
        </w:rPr>
        <w:t>n preparado un</w:t>
      </w:r>
      <w:r w:rsidRPr="00C51DCA">
        <w:rPr>
          <w:lang w:val="es-419"/>
        </w:rPr>
        <w:t xml:space="preserve"> Memorando de Entendimiento </w:t>
      </w:r>
      <w:r w:rsidR="00310DB5" w:rsidRPr="00C51DCA">
        <w:rPr>
          <w:lang w:val="es-419"/>
        </w:rPr>
        <w:t xml:space="preserve">con el fin de establecer un marco </w:t>
      </w:r>
      <w:r w:rsidRPr="00C51DCA">
        <w:rPr>
          <w:lang w:val="es-419"/>
        </w:rPr>
        <w:t xml:space="preserve">general </w:t>
      </w:r>
      <w:r w:rsidR="00310DB5" w:rsidRPr="00C51DCA">
        <w:rPr>
          <w:lang w:val="es-419"/>
        </w:rPr>
        <w:t xml:space="preserve">de cooperación entre la OMPI </w:t>
      </w:r>
      <w:r w:rsidR="00A8369F" w:rsidRPr="00C51DCA">
        <w:rPr>
          <w:lang w:val="es-419"/>
        </w:rPr>
        <w:t>y la </w:t>
      </w:r>
      <w:r w:rsidRPr="00C51DCA">
        <w:rPr>
          <w:lang w:val="es-419"/>
        </w:rPr>
        <w:t xml:space="preserve">SIECA </w:t>
      </w:r>
      <w:r w:rsidR="00310DB5" w:rsidRPr="00C51DCA">
        <w:rPr>
          <w:lang w:val="es-419"/>
        </w:rPr>
        <w:t>destinado a respaldar</w:t>
      </w:r>
      <w:r w:rsidRPr="00C51DCA">
        <w:rPr>
          <w:lang w:val="es-419"/>
        </w:rPr>
        <w:t xml:space="preserve">, en particular, </w:t>
      </w:r>
      <w:r w:rsidR="00310DB5" w:rsidRPr="00C51DCA">
        <w:rPr>
          <w:lang w:val="es-419"/>
        </w:rPr>
        <w:t xml:space="preserve">la realización de actividades relacionadas con la </w:t>
      </w:r>
      <w:r w:rsidRPr="00C51DCA">
        <w:rPr>
          <w:lang w:val="es-419"/>
        </w:rPr>
        <w:t xml:space="preserve">propiedad intelectual, </w:t>
      </w:r>
      <w:r w:rsidR="00310DB5" w:rsidRPr="00C51DCA">
        <w:rPr>
          <w:lang w:val="es-419"/>
        </w:rPr>
        <w:t>la concepción y ejecución de programas educativos</w:t>
      </w:r>
      <w:r w:rsidRPr="00C51DCA">
        <w:rPr>
          <w:lang w:val="es-419"/>
        </w:rPr>
        <w:t xml:space="preserve">, </w:t>
      </w:r>
      <w:r w:rsidR="00310DB5" w:rsidRPr="00C51DCA">
        <w:rPr>
          <w:lang w:val="es-419"/>
        </w:rPr>
        <w:t xml:space="preserve">el intercambio de información de interés común y el suministro de asistencia técnica en sus ámbitos de competencia. </w:t>
      </w:r>
      <w:r w:rsidRPr="00C51DCA">
        <w:rPr>
          <w:lang w:val="es-419"/>
        </w:rPr>
        <w:t>El texto del memorando de entendimiento figura en el Anexo del presente documento.</w:t>
      </w:r>
    </w:p>
    <w:p w:rsidR="009C349A" w:rsidRPr="00C51DCA" w:rsidRDefault="005E2D99" w:rsidP="005E2D99">
      <w:pPr>
        <w:pStyle w:val="Endofdocument-Annex"/>
        <w:spacing w:after="720"/>
        <w:rPr>
          <w:lang w:val="es-419"/>
        </w:rPr>
      </w:pPr>
      <w:r w:rsidRPr="00C51DCA">
        <w:rPr>
          <w:i/>
          <w:lang w:val="es-419"/>
        </w:rPr>
        <w:fldChar w:fldCharType="begin"/>
      </w:r>
      <w:r w:rsidRPr="00C51DCA">
        <w:rPr>
          <w:i/>
          <w:lang w:val="es-419"/>
        </w:rPr>
        <w:instrText xml:space="preserve"> AUTONUM  </w:instrText>
      </w:r>
      <w:r w:rsidRPr="00C51DCA">
        <w:rPr>
          <w:i/>
          <w:lang w:val="es-419"/>
        </w:rPr>
        <w:fldChar w:fldCharType="end"/>
      </w:r>
      <w:r w:rsidRPr="00C51DCA">
        <w:rPr>
          <w:i/>
          <w:lang w:val="es-419"/>
        </w:rPr>
        <w:tab/>
      </w:r>
      <w:r w:rsidR="00310DB5" w:rsidRPr="00C51DCA">
        <w:rPr>
          <w:i/>
          <w:lang w:val="es-419"/>
        </w:rPr>
        <w:t>Se invita al</w:t>
      </w:r>
      <w:r w:rsidRPr="00C51DCA">
        <w:rPr>
          <w:i/>
          <w:lang w:val="es-419"/>
        </w:rPr>
        <w:t xml:space="preserve"> Comité de Coordinación de la OMPI </w:t>
      </w:r>
      <w:r w:rsidR="00310DB5" w:rsidRPr="00C51DCA">
        <w:rPr>
          <w:i/>
          <w:lang w:val="es-419"/>
        </w:rPr>
        <w:t>a aprobar el</w:t>
      </w:r>
      <w:r w:rsidRPr="00C51DCA">
        <w:rPr>
          <w:i/>
          <w:lang w:val="es-419"/>
        </w:rPr>
        <w:t xml:space="preserve"> Memorando de Entendimiento </w:t>
      </w:r>
      <w:r w:rsidR="00310DB5" w:rsidRPr="00C51DCA">
        <w:rPr>
          <w:i/>
          <w:lang w:val="es-419"/>
        </w:rPr>
        <w:t>entre la OMPI y la SIECA</w:t>
      </w:r>
      <w:r w:rsidRPr="00C51DCA">
        <w:rPr>
          <w:i/>
          <w:lang w:val="es-419"/>
        </w:rPr>
        <w:t xml:space="preserve">, </w:t>
      </w:r>
      <w:r w:rsidR="00310DB5" w:rsidRPr="00C51DCA">
        <w:rPr>
          <w:i/>
          <w:lang w:val="es-419"/>
        </w:rPr>
        <w:t xml:space="preserve">que figura en el </w:t>
      </w:r>
      <w:r w:rsidRPr="00C51DCA">
        <w:rPr>
          <w:i/>
          <w:lang w:val="es-419"/>
        </w:rPr>
        <w:t>Anexo</w:t>
      </w:r>
      <w:r w:rsidR="00310DB5" w:rsidRPr="00C51DCA">
        <w:rPr>
          <w:i/>
          <w:lang w:val="es-419"/>
        </w:rPr>
        <w:t xml:space="preserve"> del</w:t>
      </w:r>
      <w:r w:rsidRPr="00C51DCA">
        <w:rPr>
          <w:i/>
          <w:lang w:val="es-419"/>
        </w:rPr>
        <w:t xml:space="preserve"> </w:t>
      </w:r>
      <w:r w:rsidR="00CD4CD8" w:rsidRPr="00C51DCA">
        <w:rPr>
          <w:i/>
          <w:lang w:val="es-419"/>
        </w:rPr>
        <w:t>documento</w:t>
      </w:r>
      <w:r w:rsidRPr="00C51DCA">
        <w:rPr>
          <w:i/>
          <w:lang w:val="es-419"/>
        </w:rPr>
        <w:t xml:space="preserve"> WO/CC/81/1</w:t>
      </w:r>
      <w:r w:rsidRPr="00C51DCA">
        <w:rPr>
          <w:lang w:val="es-419"/>
        </w:rPr>
        <w:t>.</w:t>
      </w:r>
    </w:p>
    <w:p w:rsidR="000934EC" w:rsidRPr="00C51DCA" w:rsidRDefault="000934EC" w:rsidP="005E2D99">
      <w:pPr>
        <w:pStyle w:val="Endofdocument-Annex"/>
        <w:spacing w:after="720"/>
        <w:rPr>
          <w:lang w:val="es-419"/>
        </w:rPr>
        <w:sectPr w:rsidR="000934EC" w:rsidRPr="00C51DCA" w:rsidSect="005E2D9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CD4CD8" w:rsidRPr="00C51DCA" w:rsidTr="001D39EF">
        <w:trPr>
          <w:trHeight w:hRule="exact" w:val="1508"/>
        </w:trPr>
        <w:tc>
          <w:tcPr>
            <w:tcW w:w="4594" w:type="dxa"/>
            <w:tcMar>
              <w:left w:w="0" w:type="dxa"/>
              <w:bottom w:w="0" w:type="dxa"/>
              <w:right w:w="0" w:type="dxa"/>
            </w:tcMar>
            <w:vAlign w:val="center"/>
          </w:tcPr>
          <w:p w:rsidR="00CD4CD8" w:rsidRPr="00C51DCA" w:rsidRDefault="00CD4CD8" w:rsidP="001D39EF">
            <w:pPr>
              <w:rPr>
                <w:lang w:val="es-419"/>
              </w:rPr>
            </w:pPr>
            <w:r w:rsidRPr="00C51DCA">
              <w:rPr>
                <w:noProof/>
                <w:lang w:val="en-US" w:eastAsia="en-US"/>
              </w:rPr>
              <w:lastRenderedPageBreak/>
              <w:drawing>
                <wp:inline distT="0" distB="0" distL="0" distR="0">
                  <wp:extent cx="3042101" cy="813600"/>
                  <wp:effectExtent l="0" t="0" r="0" b="5715"/>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2101" cy="813600"/>
                          </a:xfrm>
                          <a:prstGeom prst="rect">
                            <a:avLst/>
                          </a:prstGeom>
                        </pic:spPr>
                      </pic:pic>
                    </a:graphicData>
                  </a:graphic>
                </wp:inline>
              </w:drawing>
            </w:r>
          </w:p>
        </w:tc>
        <w:tc>
          <w:tcPr>
            <w:tcW w:w="4762" w:type="dxa"/>
            <w:vMerge w:val="restart"/>
            <w:tcMar>
              <w:left w:w="0" w:type="dxa"/>
              <w:right w:w="0" w:type="dxa"/>
            </w:tcMar>
          </w:tcPr>
          <w:p w:rsidR="00CD4CD8" w:rsidRPr="00C51DCA" w:rsidRDefault="00CD4CD8" w:rsidP="001D39EF">
            <w:pPr>
              <w:rPr>
                <w:lang w:val="es-419"/>
              </w:rPr>
            </w:pPr>
            <w:r w:rsidRPr="00C51DCA">
              <w:rPr>
                <w:noProof/>
                <w:lang w:val="en-US" w:eastAsia="en-US"/>
              </w:rPr>
              <w:drawing>
                <wp:inline distT="0" distB="0" distL="0" distR="0" wp14:anchorId="0898921E" wp14:editId="602A34E1">
                  <wp:extent cx="1790700" cy="1247775"/>
                  <wp:effectExtent l="0" t="0" r="0" b="9525"/>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tc>
      </w:tr>
      <w:tr w:rsidR="00CD4CD8" w:rsidRPr="00C51DCA" w:rsidTr="001D39EF">
        <w:trPr>
          <w:trHeight w:val="510"/>
        </w:trPr>
        <w:tc>
          <w:tcPr>
            <w:tcW w:w="4594" w:type="dxa"/>
            <w:tcMar>
              <w:left w:w="0" w:type="dxa"/>
              <w:bottom w:w="0" w:type="dxa"/>
              <w:right w:w="0" w:type="dxa"/>
            </w:tcMar>
          </w:tcPr>
          <w:p w:rsidR="00CD4CD8" w:rsidRPr="00C51DCA" w:rsidRDefault="00CD4CD8" w:rsidP="001D39EF">
            <w:pPr>
              <w:spacing w:line="160" w:lineRule="exact"/>
              <w:rPr>
                <w:caps/>
                <w:sz w:val="15"/>
                <w:lang w:val="es-419"/>
              </w:rPr>
            </w:pPr>
          </w:p>
        </w:tc>
        <w:tc>
          <w:tcPr>
            <w:tcW w:w="4762" w:type="dxa"/>
            <w:vMerge/>
            <w:tcMar>
              <w:left w:w="0" w:type="dxa"/>
              <w:right w:w="0" w:type="dxa"/>
            </w:tcMar>
          </w:tcPr>
          <w:p w:rsidR="00CD4CD8" w:rsidRPr="00C51DCA" w:rsidRDefault="00CD4CD8" w:rsidP="001D39EF">
            <w:pPr>
              <w:rPr>
                <w:lang w:val="es-419"/>
              </w:rPr>
            </w:pPr>
          </w:p>
        </w:tc>
      </w:tr>
    </w:tbl>
    <w:p w:rsidR="00CD4CD8" w:rsidRPr="00C51DCA" w:rsidRDefault="00CD4CD8" w:rsidP="00CD4CD8">
      <w:pPr>
        <w:rPr>
          <w:lang w:val="es-419"/>
        </w:rPr>
      </w:pPr>
    </w:p>
    <w:p w:rsidR="00CD4CD8" w:rsidRPr="00C51DCA" w:rsidRDefault="00CD4CD8" w:rsidP="00CD4CD8">
      <w:pPr>
        <w:spacing w:line="276" w:lineRule="auto"/>
        <w:rPr>
          <w:b/>
          <w:bCs/>
          <w:caps/>
          <w:color w:val="006092"/>
          <w:sz w:val="28"/>
          <w:szCs w:val="28"/>
          <w:lang w:val="es-419"/>
        </w:rPr>
      </w:pPr>
      <w:r w:rsidRPr="00C51DCA">
        <w:rPr>
          <w:b/>
          <w:bCs/>
          <w:caps/>
          <w:color w:val="006092"/>
          <w:sz w:val="28"/>
          <w:szCs w:val="28"/>
          <w:lang w:val="es-419"/>
        </w:rPr>
        <w:t>Memorando de entendimiento DE ASISTENCIA MUTUA</w:t>
      </w:r>
    </w:p>
    <w:p w:rsidR="00CD4CD8" w:rsidRPr="00C51DCA" w:rsidRDefault="00CD4CD8" w:rsidP="00CD4CD8">
      <w:pPr>
        <w:spacing w:line="276" w:lineRule="auto"/>
        <w:rPr>
          <w:b/>
          <w:bCs/>
          <w:caps/>
          <w:color w:val="006092"/>
          <w:sz w:val="28"/>
          <w:szCs w:val="28"/>
          <w:lang w:val="es-419"/>
        </w:rPr>
      </w:pPr>
      <w:r w:rsidRPr="00C51DCA">
        <w:rPr>
          <w:b/>
          <w:bCs/>
          <w:caps/>
          <w:color w:val="006092"/>
          <w:sz w:val="28"/>
          <w:szCs w:val="28"/>
          <w:lang w:val="es-419"/>
        </w:rPr>
        <w:t>Entre</w:t>
      </w:r>
      <w:r w:rsidRPr="00C51DCA">
        <w:rPr>
          <w:b/>
          <w:bCs/>
          <w:caps/>
          <w:color w:val="006092"/>
          <w:sz w:val="28"/>
          <w:szCs w:val="28"/>
          <w:lang w:val="es-419"/>
        </w:rPr>
        <w:br/>
        <w:t>la secretaría de integración económica centroamericana</w:t>
      </w:r>
      <w:r w:rsidR="00A8369F" w:rsidRPr="00C51DCA">
        <w:rPr>
          <w:b/>
          <w:bCs/>
          <w:caps/>
          <w:color w:val="006092"/>
          <w:sz w:val="28"/>
          <w:szCs w:val="28"/>
          <w:lang w:val="es-419"/>
        </w:rPr>
        <w:t> </w:t>
      </w:r>
      <w:r w:rsidRPr="00C51DCA">
        <w:rPr>
          <w:b/>
          <w:bCs/>
          <w:caps/>
          <w:color w:val="006092"/>
          <w:sz w:val="28"/>
          <w:szCs w:val="28"/>
          <w:lang w:val="es-419"/>
        </w:rPr>
        <w:t>(SIECA)</w:t>
      </w:r>
    </w:p>
    <w:p w:rsidR="00CD4CD8" w:rsidRPr="00C51DCA" w:rsidRDefault="00CD4CD8" w:rsidP="00CD4CD8">
      <w:pPr>
        <w:spacing w:line="276" w:lineRule="auto"/>
        <w:rPr>
          <w:b/>
          <w:bCs/>
          <w:caps/>
          <w:color w:val="006092"/>
          <w:sz w:val="28"/>
          <w:szCs w:val="28"/>
          <w:lang w:val="es-419"/>
        </w:rPr>
      </w:pPr>
      <w:r w:rsidRPr="00C51DCA">
        <w:rPr>
          <w:b/>
          <w:bCs/>
          <w:caps/>
          <w:color w:val="006092"/>
          <w:sz w:val="28"/>
          <w:szCs w:val="28"/>
          <w:lang w:val="es-419"/>
        </w:rPr>
        <w:t>y</w:t>
      </w:r>
    </w:p>
    <w:p w:rsidR="00CD4CD8" w:rsidRPr="00C51DCA" w:rsidRDefault="00CD4CD8" w:rsidP="00CD4CD8">
      <w:pPr>
        <w:spacing w:after="360" w:line="276" w:lineRule="auto"/>
        <w:rPr>
          <w:b/>
          <w:bCs/>
          <w:caps/>
          <w:color w:val="006092"/>
          <w:sz w:val="28"/>
          <w:szCs w:val="28"/>
          <w:lang w:val="es-419"/>
        </w:rPr>
      </w:pPr>
      <w:r w:rsidRPr="00C51DCA">
        <w:rPr>
          <w:b/>
          <w:bCs/>
          <w:caps/>
          <w:color w:val="006092"/>
          <w:sz w:val="28"/>
          <w:szCs w:val="28"/>
          <w:lang w:val="es-419"/>
        </w:rPr>
        <w:t>la organización mund</w:t>
      </w:r>
      <w:r w:rsidR="00A8369F" w:rsidRPr="00C51DCA">
        <w:rPr>
          <w:b/>
          <w:bCs/>
          <w:caps/>
          <w:color w:val="006092"/>
          <w:sz w:val="28"/>
          <w:szCs w:val="28"/>
          <w:lang w:val="es-419"/>
        </w:rPr>
        <w:t>ial de la propiedad intelectual </w:t>
      </w:r>
      <w:r w:rsidRPr="00C51DCA">
        <w:rPr>
          <w:b/>
          <w:bCs/>
          <w:caps/>
          <w:color w:val="006092"/>
          <w:sz w:val="28"/>
          <w:szCs w:val="28"/>
          <w:lang w:val="es-419"/>
        </w:rPr>
        <w:t>(ompi)</w:t>
      </w:r>
    </w:p>
    <w:p w:rsidR="00CD4CD8" w:rsidRPr="00C51DCA" w:rsidRDefault="00CD4CD8" w:rsidP="00CD4CD8">
      <w:pPr>
        <w:spacing w:before="240"/>
        <w:rPr>
          <w:szCs w:val="22"/>
          <w:lang w:val="es-419" w:eastAsia="es-ES"/>
        </w:rPr>
      </w:pPr>
      <w:r w:rsidRPr="00C51DCA">
        <w:rPr>
          <w:szCs w:val="22"/>
          <w:lang w:val="es-419" w:eastAsia="es-ES"/>
        </w:rPr>
        <w:t xml:space="preserve">La Secretaría de Integración Económica Centroamericana, en adelante </w:t>
      </w:r>
      <w:r w:rsidR="00A03F6E" w:rsidRPr="00C51DCA">
        <w:rPr>
          <w:szCs w:val="22"/>
          <w:lang w:val="es-419" w:eastAsia="es-ES"/>
        </w:rPr>
        <w:t>“</w:t>
      </w:r>
      <w:r w:rsidRPr="00C51DCA">
        <w:rPr>
          <w:szCs w:val="22"/>
          <w:lang w:val="es-419" w:eastAsia="es-ES"/>
        </w:rPr>
        <w:t>SIECA</w:t>
      </w:r>
      <w:r w:rsidR="00A03F6E" w:rsidRPr="00C51DCA">
        <w:rPr>
          <w:szCs w:val="22"/>
          <w:lang w:val="es-419" w:eastAsia="es-ES"/>
        </w:rPr>
        <w:t>”</w:t>
      </w:r>
      <w:r w:rsidRPr="00C51DCA">
        <w:rPr>
          <w:szCs w:val="22"/>
          <w:lang w:val="es-419" w:eastAsia="es-ES"/>
        </w:rPr>
        <w:t xml:space="preserve">, representada por su Secretario General, el Señor Francisco Alberto Lima Mena, de conformidad con la </w:t>
      </w:r>
      <w:r w:rsidRPr="00C51DCA">
        <w:rPr>
          <w:color w:val="000000" w:themeColor="text1"/>
          <w:szCs w:val="22"/>
          <w:lang w:val="es-419"/>
        </w:rPr>
        <w:t xml:space="preserve">Resolución N.º448-2021 adoptada por el Consejo de Ministros de Integración Económica el 28 de abril de 2021, y la </w:t>
      </w:r>
      <w:r w:rsidRPr="00C51DCA">
        <w:rPr>
          <w:szCs w:val="22"/>
          <w:lang w:val="es-419" w:eastAsia="es-ES"/>
        </w:rPr>
        <w:t xml:space="preserve">Organización Mundial de la Propiedad Intelectual, en adelante </w:t>
      </w:r>
      <w:r w:rsidR="00A03F6E" w:rsidRPr="00C51DCA">
        <w:rPr>
          <w:szCs w:val="22"/>
          <w:lang w:val="es-419" w:eastAsia="es-ES"/>
        </w:rPr>
        <w:t>“</w:t>
      </w:r>
      <w:r w:rsidRPr="00C51DCA">
        <w:rPr>
          <w:szCs w:val="22"/>
          <w:lang w:val="es-419" w:eastAsia="es-ES"/>
        </w:rPr>
        <w:t>OMPI</w:t>
      </w:r>
      <w:r w:rsidR="00A03F6E" w:rsidRPr="00C51DCA">
        <w:rPr>
          <w:szCs w:val="22"/>
          <w:lang w:val="es-419" w:eastAsia="es-ES"/>
        </w:rPr>
        <w:t>”</w:t>
      </w:r>
      <w:r w:rsidRPr="00C51DCA">
        <w:rPr>
          <w:szCs w:val="22"/>
          <w:lang w:val="es-419" w:eastAsia="es-ES"/>
        </w:rPr>
        <w:t xml:space="preserve">, representada por su Director General, el Señor Daren Tang, de conformidad con el Convenio que establece la Organización Mundial de la Propiedad Intelectual, firmado el 14 de julio de 1967 y modificado el 28 de septiembre de 1979, ambos debidamente facultados para actuar en representación de sus respectivas instituciones, en adelante denominadas </w:t>
      </w:r>
      <w:r w:rsidR="00A03F6E" w:rsidRPr="00C51DCA">
        <w:rPr>
          <w:szCs w:val="22"/>
          <w:lang w:val="es-419" w:eastAsia="es-ES"/>
        </w:rPr>
        <w:t>“</w:t>
      </w:r>
      <w:r w:rsidRPr="00C51DCA">
        <w:rPr>
          <w:szCs w:val="22"/>
          <w:lang w:val="es-419" w:eastAsia="es-ES"/>
        </w:rPr>
        <w:t>Partes</w:t>
      </w:r>
      <w:r w:rsidR="00A03F6E" w:rsidRPr="00C51DCA">
        <w:rPr>
          <w:szCs w:val="22"/>
          <w:lang w:val="es-419" w:eastAsia="es-ES"/>
        </w:rPr>
        <w:t>”</w:t>
      </w:r>
      <w:r w:rsidRPr="00C51DCA">
        <w:rPr>
          <w:szCs w:val="22"/>
          <w:lang w:val="es-419" w:eastAsia="es-ES"/>
        </w:rPr>
        <w:t>.</w:t>
      </w:r>
    </w:p>
    <w:p w:rsidR="00CD4CD8" w:rsidRPr="00C51DCA" w:rsidRDefault="00CD4CD8" w:rsidP="00CD4CD8">
      <w:pPr>
        <w:rPr>
          <w:b/>
          <w:szCs w:val="22"/>
          <w:lang w:val="es-419"/>
        </w:rPr>
      </w:pPr>
    </w:p>
    <w:p w:rsidR="00CD4CD8" w:rsidRPr="00C51DCA" w:rsidRDefault="00CD4CD8" w:rsidP="00CD4CD8">
      <w:pPr>
        <w:rPr>
          <w:b/>
          <w:szCs w:val="22"/>
          <w:lang w:val="es-419"/>
        </w:rPr>
      </w:pPr>
      <w:r w:rsidRPr="00C51DCA">
        <w:rPr>
          <w:b/>
          <w:szCs w:val="22"/>
          <w:lang w:val="es-419"/>
        </w:rPr>
        <w:t>CONSIDERANDO</w:t>
      </w:r>
      <w:r w:rsidRPr="00C51DCA">
        <w:rPr>
          <w:szCs w:val="22"/>
          <w:lang w:val="es-419"/>
        </w:rPr>
        <w:t xml:space="preserve"> que la OMPI es una organización que forma parte del sistema de las Naciones Unidas, que constituye el foro mundial en lo que atañe a servicios, políticas, cooperación e información en materia de propiedad intelectual y que su misión es llevar la iniciativa en el desarrollo de un sistema internacional de propiedad intelectual equilibrado y eficaz, que fomente la innovación y la creatividad en beneficio de todos.</w:t>
      </w:r>
    </w:p>
    <w:p w:rsidR="00CD4CD8" w:rsidRPr="00C51DCA" w:rsidRDefault="00CD4CD8" w:rsidP="00CD4CD8">
      <w:pPr>
        <w:rPr>
          <w:b/>
          <w:szCs w:val="22"/>
          <w:lang w:val="es-419"/>
        </w:rPr>
      </w:pPr>
    </w:p>
    <w:p w:rsidR="00CD4CD8" w:rsidRPr="00C51DCA" w:rsidRDefault="00CD4CD8" w:rsidP="00CD4CD8">
      <w:pPr>
        <w:rPr>
          <w:szCs w:val="22"/>
          <w:lang w:val="es-419"/>
        </w:rPr>
      </w:pPr>
      <w:r w:rsidRPr="00C51DCA">
        <w:rPr>
          <w:b/>
          <w:szCs w:val="22"/>
          <w:lang w:val="es-419"/>
        </w:rPr>
        <w:t>CONSIDERANDO</w:t>
      </w:r>
      <w:r w:rsidRPr="00C51DCA">
        <w:rPr>
          <w:szCs w:val="22"/>
          <w:lang w:val="es-419"/>
        </w:rPr>
        <w:t xml:space="preserve"> que la SIECA es el órgano técnico y administrativo del proceso de integración económica regional en Centroamérica, establecida conforme al Tratado General de Integración Económica Centroamericana y su Protocolo de 29 de octubre de 1993, denominado Protocolo de Guatemala, con personalidad jurídica de derecho internacional, y que entre sus funciones está la de prestar</w:t>
      </w:r>
      <w:r w:rsidRPr="00C51DCA">
        <w:rPr>
          <w:spacing w:val="27"/>
          <w:szCs w:val="22"/>
          <w:lang w:val="es-419"/>
        </w:rPr>
        <w:t xml:space="preserve"> </w:t>
      </w:r>
      <w:r w:rsidRPr="00C51DCA">
        <w:rPr>
          <w:szCs w:val="22"/>
          <w:lang w:val="es-419"/>
        </w:rPr>
        <w:t>servicios</w:t>
      </w:r>
      <w:r w:rsidRPr="00C51DCA">
        <w:rPr>
          <w:spacing w:val="-9"/>
          <w:szCs w:val="22"/>
          <w:lang w:val="es-419"/>
        </w:rPr>
        <w:t xml:space="preserve"> </w:t>
      </w:r>
      <w:r w:rsidRPr="00C51DCA">
        <w:rPr>
          <w:szCs w:val="22"/>
          <w:lang w:val="es-419"/>
        </w:rPr>
        <w:t>de</w:t>
      </w:r>
      <w:r w:rsidRPr="00C51DCA">
        <w:rPr>
          <w:spacing w:val="16"/>
          <w:szCs w:val="22"/>
          <w:lang w:val="es-419"/>
        </w:rPr>
        <w:t xml:space="preserve"> </w:t>
      </w:r>
      <w:r w:rsidRPr="00C51DCA">
        <w:rPr>
          <w:szCs w:val="22"/>
          <w:lang w:val="es-419"/>
        </w:rPr>
        <w:t>apoyo</w:t>
      </w:r>
      <w:r w:rsidRPr="00C51DCA">
        <w:rPr>
          <w:spacing w:val="16"/>
          <w:szCs w:val="22"/>
          <w:lang w:val="es-419"/>
        </w:rPr>
        <w:t xml:space="preserve"> </w:t>
      </w:r>
      <w:r w:rsidRPr="00C51DCA">
        <w:rPr>
          <w:szCs w:val="22"/>
          <w:lang w:val="es-419"/>
        </w:rPr>
        <w:t>a la</w:t>
      </w:r>
      <w:r w:rsidRPr="00C51DCA">
        <w:rPr>
          <w:spacing w:val="9"/>
          <w:szCs w:val="22"/>
          <w:lang w:val="es-419"/>
        </w:rPr>
        <w:t xml:space="preserve"> </w:t>
      </w:r>
      <w:r w:rsidRPr="00C51DCA">
        <w:rPr>
          <w:szCs w:val="22"/>
          <w:lang w:val="es-419"/>
        </w:rPr>
        <w:t>labor</w:t>
      </w:r>
      <w:r w:rsidRPr="00C51DCA">
        <w:rPr>
          <w:spacing w:val="25"/>
          <w:szCs w:val="22"/>
          <w:lang w:val="es-419"/>
        </w:rPr>
        <w:t xml:space="preserve"> </w:t>
      </w:r>
      <w:r w:rsidRPr="00C51DCA">
        <w:rPr>
          <w:szCs w:val="22"/>
          <w:lang w:val="es-419"/>
        </w:rPr>
        <w:t>de</w:t>
      </w:r>
      <w:r w:rsidRPr="00C51DCA">
        <w:rPr>
          <w:spacing w:val="26"/>
          <w:szCs w:val="22"/>
          <w:lang w:val="es-419"/>
        </w:rPr>
        <w:t xml:space="preserve"> </w:t>
      </w:r>
      <w:r w:rsidRPr="00C51DCA">
        <w:rPr>
          <w:szCs w:val="22"/>
          <w:lang w:val="es-419"/>
        </w:rPr>
        <w:t>los</w:t>
      </w:r>
      <w:r w:rsidRPr="00C51DCA">
        <w:rPr>
          <w:spacing w:val="14"/>
          <w:szCs w:val="22"/>
          <w:lang w:val="es-419"/>
        </w:rPr>
        <w:t xml:space="preserve"> </w:t>
      </w:r>
      <w:r w:rsidRPr="00C51DCA">
        <w:rPr>
          <w:szCs w:val="22"/>
          <w:lang w:val="es-419"/>
        </w:rPr>
        <w:t>órganos</w:t>
      </w:r>
      <w:r w:rsidRPr="00C51DCA">
        <w:rPr>
          <w:spacing w:val="18"/>
          <w:szCs w:val="22"/>
          <w:lang w:val="es-419"/>
        </w:rPr>
        <w:t xml:space="preserve"> </w:t>
      </w:r>
      <w:r w:rsidRPr="00C51DCA">
        <w:rPr>
          <w:szCs w:val="22"/>
          <w:lang w:val="es-419"/>
        </w:rPr>
        <w:t>creados</w:t>
      </w:r>
      <w:r w:rsidRPr="00C51DCA">
        <w:rPr>
          <w:spacing w:val="11"/>
          <w:szCs w:val="22"/>
          <w:lang w:val="es-419"/>
        </w:rPr>
        <w:t xml:space="preserve"> </w:t>
      </w:r>
      <w:r w:rsidRPr="00C51DCA">
        <w:rPr>
          <w:szCs w:val="22"/>
          <w:lang w:val="es-419"/>
        </w:rPr>
        <w:t>para</w:t>
      </w:r>
      <w:r w:rsidRPr="00C51DCA">
        <w:rPr>
          <w:spacing w:val="23"/>
          <w:szCs w:val="22"/>
          <w:lang w:val="es-419"/>
        </w:rPr>
        <w:t xml:space="preserve"> </w:t>
      </w:r>
      <w:r w:rsidRPr="00C51DCA">
        <w:rPr>
          <w:szCs w:val="22"/>
          <w:lang w:val="es-419"/>
        </w:rPr>
        <w:t>dirigir</w:t>
      </w:r>
      <w:r w:rsidRPr="00C51DCA">
        <w:rPr>
          <w:spacing w:val="50"/>
          <w:szCs w:val="22"/>
          <w:lang w:val="es-419"/>
        </w:rPr>
        <w:t xml:space="preserve"> </w:t>
      </w:r>
      <w:r w:rsidRPr="00C51DCA">
        <w:rPr>
          <w:szCs w:val="22"/>
          <w:lang w:val="es-419"/>
        </w:rPr>
        <w:t>y</w:t>
      </w:r>
      <w:r w:rsidRPr="00C51DCA">
        <w:rPr>
          <w:spacing w:val="31"/>
          <w:szCs w:val="22"/>
          <w:lang w:val="es-419"/>
        </w:rPr>
        <w:t xml:space="preserve"> </w:t>
      </w:r>
      <w:r w:rsidRPr="00C51DCA">
        <w:rPr>
          <w:szCs w:val="22"/>
          <w:lang w:val="es-419"/>
        </w:rPr>
        <w:t>administrar el</w:t>
      </w:r>
      <w:r w:rsidRPr="00C51DCA">
        <w:rPr>
          <w:spacing w:val="32"/>
          <w:szCs w:val="22"/>
          <w:lang w:val="es-419"/>
        </w:rPr>
        <w:t xml:space="preserve"> </w:t>
      </w:r>
      <w:r w:rsidRPr="00C51DCA">
        <w:rPr>
          <w:szCs w:val="22"/>
          <w:lang w:val="es-419"/>
        </w:rPr>
        <w:t>proceso</w:t>
      </w:r>
      <w:r w:rsidRPr="00C51DCA">
        <w:rPr>
          <w:spacing w:val="16"/>
          <w:szCs w:val="22"/>
          <w:lang w:val="es-419"/>
        </w:rPr>
        <w:t xml:space="preserve"> </w:t>
      </w:r>
      <w:r w:rsidRPr="00C51DCA">
        <w:rPr>
          <w:szCs w:val="22"/>
          <w:lang w:val="es-419"/>
        </w:rPr>
        <w:t>de</w:t>
      </w:r>
      <w:r w:rsidRPr="00C51DCA">
        <w:rPr>
          <w:spacing w:val="26"/>
          <w:szCs w:val="22"/>
          <w:lang w:val="es-419"/>
        </w:rPr>
        <w:t xml:space="preserve"> </w:t>
      </w:r>
      <w:r w:rsidRPr="00C51DCA">
        <w:rPr>
          <w:szCs w:val="22"/>
          <w:lang w:val="es-419"/>
        </w:rPr>
        <w:t>integración económica</w:t>
      </w:r>
      <w:r w:rsidRPr="00C51DCA">
        <w:rPr>
          <w:spacing w:val="51"/>
          <w:szCs w:val="22"/>
          <w:lang w:val="es-419"/>
        </w:rPr>
        <w:t xml:space="preserve"> </w:t>
      </w:r>
      <w:r w:rsidRPr="00C51DCA">
        <w:rPr>
          <w:szCs w:val="22"/>
          <w:lang w:val="es-419"/>
        </w:rPr>
        <w:t>centroamericana y el</w:t>
      </w:r>
      <w:r w:rsidRPr="00C51DCA">
        <w:rPr>
          <w:spacing w:val="51"/>
          <w:szCs w:val="22"/>
          <w:lang w:val="es-419"/>
        </w:rPr>
        <w:t xml:space="preserve"> </w:t>
      </w:r>
      <w:r w:rsidRPr="00C51DCA">
        <w:rPr>
          <w:szCs w:val="22"/>
          <w:lang w:val="es-419"/>
        </w:rPr>
        <w:t>comercio entre los</w:t>
      </w:r>
      <w:r w:rsidRPr="00C51DCA">
        <w:rPr>
          <w:spacing w:val="47"/>
          <w:szCs w:val="22"/>
          <w:lang w:val="es-419"/>
        </w:rPr>
        <w:t xml:space="preserve"> </w:t>
      </w:r>
      <w:r w:rsidRPr="00C51DCA">
        <w:rPr>
          <w:szCs w:val="22"/>
          <w:lang w:val="es-419"/>
        </w:rPr>
        <w:t>países</w:t>
      </w:r>
      <w:r w:rsidRPr="00C51DCA">
        <w:rPr>
          <w:spacing w:val="1"/>
          <w:szCs w:val="22"/>
          <w:lang w:val="es-419"/>
        </w:rPr>
        <w:t xml:space="preserve"> </w:t>
      </w:r>
      <w:r w:rsidRPr="00C51DCA">
        <w:rPr>
          <w:szCs w:val="22"/>
          <w:lang w:val="es-419"/>
        </w:rPr>
        <w:t>que</w:t>
      </w:r>
      <w:r w:rsidRPr="00C51DCA">
        <w:rPr>
          <w:spacing w:val="57"/>
          <w:szCs w:val="22"/>
          <w:lang w:val="es-419"/>
        </w:rPr>
        <w:t xml:space="preserve"> </w:t>
      </w:r>
      <w:r w:rsidRPr="00C51DCA">
        <w:rPr>
          <w:szCs w:val="22"/>
          <w:lang w:val="es-419"/>
        </w:rPr>
        <w:t>conforman el Mercado Común Centroamericano, en el contexto de la integración global de la región centroamericana;</w:t>
      </w:r>
    </w:p>
    <w:p w:rsidR="00CD4CD8" w:rsidRPr="00C51DCA" w:rsidRDefault="00CD4CD8" w:rsidP="00CD4CD8">
      <w:pPr>
        <w:rPr>
          <w:szCs w:val="22"/>
          <w:lang w:val="es-419"/>
        </w:rPr>
      </w:pPr>
    </w:p>
    <w:p w:rsidR="00CD4CD8" w:rsidRPr="00C51DCA" w:rsidRDefault="00CD4CD8" w:rsidP="00CD4CD8">
      <w:pPr>
        <w:rPr>
          <w:szCs w:val="22"/>
          <w:lang w:val="es-419"/>
        </w:rPr>
      </w:pPr>
      <w:r w:rsidRPr="00C51DCA">
        <w:rPr>
          <w:b/>
          <w:szCs w:val="22"/>
          <w:lang w:val="es-419"/>
        </w:rPr>
        <w:t>CONSIDERANDO</w:t>
      </w:r>
      <w:r w:rsidRPr="00C51DCA">
        <w:rPr>
          <w:szCs w:val="22"/>
          <w:lang w:val="es-419"/>
        </w:rPr>
        <w:t xml:space="preserve"> que ambas instituciones encuentran afinidad de</w:t>
      </w:r>
      <w:r w:rsidRPr="00C51DCA">
        <w:rPr>
          <w:spacing w:val="31"/>
          <w:szCs w:val="22"/>
          <w:lang w:val="es-419"/>
        </w:rPr>
        <w:t xml:space="preserve"> </w:t>
      </w:r>
      <w:r w:rsidRPr="00C51DCA">
        <w:rPr>
          <w:szCs w:val="22"/>
          <w:lang w:val="es-419"/>
        </w:rPr>
        <w:t>intereses en</w:t>
      </w:r>
      <w:r w:rsidRPr="00C51DCA">
        <w:rPr>
          <w:spacing w:val="40"/>
          <w:szCs w:val="22"/>
          <w:lang w:val="es-419"/>
        </w:rPr>
        <w:t xml:space="preserve"> </w:t>
      </w:r>
      <w:r w:rsidRPr="00C51DCA">
        <w:rPr>
          <w:szCs w:val="22"/>
          <w:lang w:val="es-419"/>
        </w:rPr>
        <w:t>los campos de la educación, la empresa y la</w:t>
      </w:r>
      <w:r w:rsidRPr="00C51DCA">
        <w:rPr>
          <w:spacing w:val="13"/>
          <w:szCs w:val="22"/>
          <w:lang w:val="es-419"/>
        </w:rPr>
        <w:t xml:space="preserve"> </w:t>
      </w:r>
      <w:r w:rsidRPr="00C51DCA">
        <w:rPr>
          <w:szCs w:val="22"/>
          <w:lang w:val="es-419"/>
        </w:rPr>
        <w:t>cultura;</w:t>
      </w:r>
    </w:p>
    <w:p w:rsidR="00CD4CD8" w:rsidRPr="00C51DCA" w:rsidRDefault="00CD4CD8" w:rsidP="00CD4CD8">
      <w:pPr>
        <w:rPr>
          <w:szCs w:val="22"/>
          <w:lang w:val="es-419"/>
        </w:rPr>
      </w:pPr>
    </w:p>
    <w:p w:rsidR="00CD4CD8" w:rsidRPr="00C51DCA" w:rsidRDefault="00CD4CD8" w:rsidP="00CD4CD8">
      <w:pPr>
        <w:rPr>
          <w:szCs w:val="22"/>
          <w:lang w:val="es-419"/>
        </w:rPr>
      </w:pPr>
      <w:r w:rsidRPr="00C51DCA">
        <w:rPr>
          <w:b/>
          <w:szCs w:val="22"/>
          <w:lang w:val="es-419"/>
        </w:rPr>
        <w:t>CONSIDERANDO</w:t>
      </w:r>
      <w:r w:rsidRPr="00C51DCA">
        <w:rPr>
          <w:szCs w:val="22"/>
          <w:lang w:val="es-419"/>
        </w:rPr>
        <w:t xml:space="preserve"> que, en mayo de 1985, las Partes suscribieron el Acuerdo Básico de Cooperación con el propósito de facilitar, mediante la cooperación entre ellas, el logro de los objetivos contenidos en sus respectivos mandatos;</w:t>
      </w:r>
    </w:p>
    <w:p w:rsidR="00CD4CD8" w:rsidRPr="00C51DCA" w:rsidRDefault="00CD4CD8" w:rsidP="00CD4CD8">
      <w:pPr>
        <w:rPr>
          <w:szCs w:val="22"/>
          <w:lang w:val="es-419"/>
        </w:rPr>
      </w:pPr>
    </w:p>
    <w:p w:rsidR="00CD4CD8" w:rsidRPr="00C51DCA" w:rsidRDefault="00CD4CD8" w:rsidP="00CD4CD8">
      <w:pPr>
        <w:rPr>
          <w:szCs w:val="22"/>
          <w:lang w:val="es-419"/>
        </w:rPr>
      </w:pPr>
      <w:r w:rsidRPr="00C51DCA">
        <w:rPr>
          <w:b/>
          <w:szCs w:val="22"/>
          <w:lang w:val="es-419"/>
        </w:rPr>
        <w:t>CONSIDERANDO</w:t>
      </w:r>
      <w:r w:rsidRPr="00C51DCA">
        <w:rPr>
          <w:szCs w:val="22"/>
          <w:lang w:val="es-419"/>
        </w:rPr>
        <w:t xml:space="preserve"> que las Partes desean modificar el alcance del Acuerdo mencionado para intercambiar experiencias y promover iniciativas que respalden el fortalecimiento de la integración económica regional en Centroamérica, así como el desarrollo económico y social de la región mediante la prestación de asistencia</w:t>
      </w:r>
      <w:r w:rsidRPr="00C51DCA">
        <w:rPr>
          <w:spacing w:val="20"/>
          <w:szCs w:val="22"/>
          <w:lang w:val="es-419"/>
        </w:rPr>
        <w:t xml:space="preserve"> </w:t>
      </w:r>
      <w:r w:rsidRPr="00C51DCA">
        <w:rPr>
          <w:szCs w:val="22"/>
          <w:lang w:val="es-419"/>
        </w:rPr>
        <w:t>técnica e</w:t>
      </w:r>
      <w:r w:rsidRPr="00C51DCA">
        <w:rPr>
          <w:spacing w:val="11"/>
          <w:szCs w:val="22"/>
          <w:lang w:val="es-419"/>
        </w:rPr>
        <w:t xml:space="preserve"> </w:t>
      </w:r>
      <w:r w:rsidRPr="00C51DCA">
        <w:rPr>
          <w:szCs w:val="22"/>
          <w:lang w:val="es-419"/>
        </w:rPr>
        <w:t>instituciona</w:t>
      </w:r>
      <w:r w:rsidRPr="00C51DCA">
        <w:rPr>
          <w:spacing w:val="-1"/>
          <w:szCs w:val="22"/>
          <w:lang w:val="es-419"/>
        </w:rPr>
        <w:t>l</w:t>
      </w:r>
      <w:r w:rsidRPr="00C51DCA">
        <w:rPr>
          <w:szCs w:val="22"/>
          <w:lang w:val="es-419"/>
        </w:rPr>
        <w:t>;</w:t>
      </w:r>
    </w:p>
    <w:p w:rsidR="00CD4CD8" w:rsidRPr="00C51DCA" w:rsidRDefault="00CD4CD8" w:rsidP="00CD4CD8">
      <w:pPr>
        <w:rPr>
          <w:szCs w:val="22"/>
          <w:lang w:val="es-419"/>
        </w:rPr>
      </w:pPr>
    </w:p>
    <w:p w:rsidR="00CD4CD8" w:rsidRPr="00C51DCA" w:rsidRDefault="00CD4CD8" w:rsidP="00CD4CD8">
      <w:pPr>
        <w:rPr>
          <w:b/>
          <w:szCs w:val="22"/>
          <w:lang w:val="es-419"/>
        </w:rPr>
      </w:pPr>
      <w:r w:rsidRPr="00C51DCA">
        <w:rPr>
          <w:b/>
          <w:szCs w:val="22"/>
          <w:lang w:val="es-419"/>
        </w:rPr>
        <w:t xml:space="preserve">CONSIDERANDO </w:t>
      </w:r>
      <w:r w:rsidRPr="00C51DCA">
        <w:rPr>
          <w:szCs w:val="22"/>
          <w:lang w:val="es-419"/>
        </w:rPr>
        <w:t>que las Partes son instituciones con personalidad jurídica propia, lo que les</w:t>
      </w:r>
      <w:r w:rsidRPr="00C51DCA">
        <w:rPr>
          <w:spacing w:val="41"/>
          <w:szCs w:val="22"/>
          <w:lang w:val="es-419"/>
        </w:rPr>
        <w:t xml:space="preserve"> </w:t>
      </w:r>
      <w:r w:rsidRPr="00C51DCA">
        <w:rPr>
          <w:szCs w:val="22"/>
          <w:lang w:val="es-419"/>
        </w:rPr>
        <w:t>permite celebrar acuerdos para propiciar el cumplimiento de sus objetivos.</w:t>
      </w:r>
    </w:p>
    <w:p w:rsidR="00CD4CD8" w:rsidRPr="00C51DCA" w:rsidRDefault="00CD4CD8" w:rsidP="00CD4CD8">
      <w:pPr>
        <w:rPr>
          <w:szCs w:val="22"/>
          <w:lang w:val="es-419" w:eastAsia="es-ES"/>
        </w:rPr>
      </w:pPr>
    </w:p>
    <w:p w:rsidR="00CD4CD8" w:rsidRPr="00C51DCA" w:rsidRDefault="00CD4CD8" w:rsidP="00A03F6E">
      <w:pPr>
        <w:spacing w:after="480"/>
        <w:rPr>
          <w:i/>
          <w:szCs w:val="22"/>
          <w:lang w:val="es-419"/>
        </w:rPr>
      </w:pPr>
      <w:r w:rsidRPr="00C51DCA">
        <w:rPr>
          <w:i/>
          <w:szCs w:val="22"/>
          <w:lang w:val="es-419"/>
        </w:rPr>
        <w:t>Ambas partes acuerdan asistirse mutuamente en los términos y con arreglo a las condiciones siguientes:</w:t>
      </w:r>
    </w:p>
    <w:p w:rsidR="00CD4CD8" w:rsidRPr="00C51DCA" w:rsidRDefault="00CD4CD8" w:rsidP="000934EC">
      <w:pPr>
        <w:pStyle w:val="Heading3"/>
        <w:keepNext w:val="0"/>
        <w:spacing w:after="0"/>
        <w:rPr>
          <w:b/>
          <w:u w:val="none"/>
          <w:lang w:val="es-419"/>
        </w:rPr>
      </w:pPr>
      <w:r w:rsidRPr="00C51DCA">
        <w:rPr>
          <w:b/>
          <w:u w:val="none"/>
          <w:lang w:val="es-419"/>
        </w:rPr>
        <w:t>ARTÍCULO 1</w:t>
      </w:r>
    </w:p>
    <w:p w:rsidR="00CD4CD8" w:rsidRPr="00C51DCA" w:rsidRDefault="00CD4CD8" w:rsidP="000934EC">
      <w:pPr>
        <w:pStyle w:val="Heading3"/>
        <w:keepNext w:val="0"/>
        <w:spacing w:before="0" w:after="240"/>
        <w:rPr>
          <w:b/>
          <w:u w:val="none"/>
          <w:lang w:val="es-419"/>
        </w:rPr>
      </w:pPr>
      <w:r w:rsidRPr="00C51DCA">
        <w:rPr>
          <w:b/>
          <w:u w:val="none"/>
          <w:lang w:val="es-419"/>
        </w:rPr>
        <w:t>OBJETIVO</w:t>
      </w:r>
    </w:p>
    <w:p w:rsidR="00CD4CD8" w:rsidRPr="00C51DCA" w:rsidRDefault="00CD4CD8" w:rsidP="00A03F6E">
      <w:pPr>
        <w:spacing w:after="480"/>
        <w:rPr>
          <w:szCs w:val="22"/>
          <w:lang w:val="es-419"/>
        </w:rPr>
      </w:pPr>
      <w:r w:rsidRPr="00C51DCA">
        <w:rPr>
          <w:szCs w:val="22"/>
          <w:lang w:val="es-419"/>
        </w:rPr>
        <w:t>El objetivo del presente Memorando de Entendimiento es establecer el marco general de cooperación en las áreas que se detallan en el artículo 2.</w:t>
      </w:r>
    </w:p>
    <w:p w:rsidR="00CD4CD8" w:rsidRPr="00C51DCA" w:rsidRDefault="00CD4CD8" w:rsidP="000934EC">
      <w:pPr>
        <w:pStyle w:val="Heading3"/>
        <w:keepNext w:val="0"/>
        <w:spacing w:after="0"/>
        <w:rPr>
          <w:b/>
          <w:u w:val="none"/>
          <w:lang w:val="es-419"/>
        </w:rPr>
      </w:pPr>
      <w:r w:rsidRPr="00C51DCA">
        <w:rPr>
          <w:b/>
          <w:u w:val="none"/>
          <w:lang w:val="es-419"/>
        </w:rPr>
        <w:t>ARTÍCULO 2</w:t>
      </w:r>
    </w:p>
    <w:p w:rsidR="00CD4CD8" w:rsidRPr="00C51DCA" w:rsidRDefault="00CD4CD8" w:rsidP="000934EC">
      <w:pPr>
        <w:pStyle w:val="Heading3"/>
        <w:keepNext w:val="0"/>
        <w:spacing w:before="0" w:after="240"/>
        <w:rPr>
          <w:b/>
          <w:u w:val="none"/>
          <w:lang w:val="es-419"/>
        </w:rPr>
      </w:pPr>
      <w:r w:rsidRPr="00C51DCA">
        <w:rPr>
          <w:b/>
          <w:u w:val="none"/>
          <w:lang w:val="es-419"/>
        </w:rPr>
        <w:t>ÁREAS DE ASISTENCIA MUTUA</w:t>
      </w:r>
    </w:p>
    <w:p w:rsidR="00CD4CD8" w:rsidRPr="00C51DCA" w:rsidRDefault="00CD4CD8" w:rsidP="00CD4CD8">
      <w:pPr>
        <w:rPr>
          <w:szCs w:val="22"/>
          <w:lang w:val="es-419"/>
        </w:rPr>
      </w:pPr>
      <w:r w:rsidRPr="00C51DCA">
        <w:rPr>
          <w:szCs w:val="22"/>
          <w:lang w:val="es-419"/>
        </w:rPr>
        <w:t>Las áreas de asistencia mutua objeto del presente Memorando de Entendimiento son las siguientes:</w:t>
      </w:r>
    </w:p>
    <w:p w:rsidR="00CD4CD8" w:rsidRPr="00C51DCA" w:rsidRDefault="00CD4CD8" w:rsidP="00CD4CD8">
      <w:pPr>
        <w:rPr>
          <w:szCs w:val="22"/>
          <w:lang w:val="es-419"/>
        </w:rPr>
      </w:pPr>
    </w:p>
    <w:p w:rsidR="00CD4CD8" w:rsidRPr="00C51DCA" w:rsidRDefault="00CD4CD8" w:rsidP="00CD4CD8">
      <w:pPr>
        <w:pStyle w:val="ListParagraph"/>
        <w:numPr>
          <w:ilvl w:val="0"/>
          <w:numId w:val="7"/>
        </w:numPr>
        <w:spacing w:after="0" w:line="276" w:lineRule="auto"/>
        <w:rPr>
          <w:rFonts w:ascii="Arial" w:hAnsi="Arial" w:cs="Arial"/>
          <w:szCs w:val="22"/>
          <w:lang w:val="es-419"/>
        </w:rPr>
      </w:pPr>
      <w:r w:rsidRPr="00C51DCA">
        <w:rPr>
          <w:rFonts w:ascii="Arial" w:hAnsi="Arial" w:cs="Arial"/>
          <w:szCs w:val="22"/>
          <w:lang w:val="es-419"/>
        </w:rPr>
        <w:t>Realizar conjuntamente actividades relacionadas con la propiedad intelectual y otras actividades de interés común para las Partes, dentro de los límites de recursos humanos y presupuesto de que disponen.</w:t>
      </w:r>
    </w:p>
    <w:p w:rsidR="00CD4CD8" w:rsidRPr="00C51DCA" w:rsidRDefault="00CD4CD8" w:rsidP="00CD4CD8">
      <w:pPr>
        <w:pStyle w:val="ListParagraph"/>
        <w:numPr>
          <w:ilvl w:val="0"/>
          <w:numId w:val="7"/>
        </w:numPr>
        <w:spacing w:after="0" w:line="276" w:lineRule="auto"/>
        <w:rPr>
          <w:rFonts w:ascii="Arial" w:hAnsi="Arial" w:cs="Arial"/>
          <w:szCs w:val="22"/>
          <w:lang w:val="es-419"/>
        </w:rPr>
      </w:pPr>
      <w:r w:rsidRPr="00C51DCA">
        <w:rPr>
          <w:rFonts w:ascii="Arial" w:hAnsi="Arial" w:cs="Arial"/>
          <w:szCs w:val="22"/>
          <w:lang w:val="es-419"/>
        </w:rPr>
        <w:t>Compartir la concepción y ejecución de programas educativos en formato virtual o presencial dentro de los límites de recursos humanos y presupuesto de que disponen.</w:t>
      </w:r>
    </w:p>
    <w:p w:rsidR="00CD4CD8" w:rsidRPr="00C51DCA" w:rsidRDefault="00CD4CD8" w:rsidP="00CD4CD8">
      <w:pPr>
        <w:pStyle w:val="ListParagraph"/>
        <w:numPr>
          <w:ilvl w:val="0"/>
          <w:numId w:val="7"/>
        </w:numPr>
        <w:spacing w:after="0" w:line="276" w:lineRule="auto"/>
        <w:rPr>
          <w:rFonts w:ascii="Arial" w:hAnsi="Arial" w:cs="Arial"/>
          <w:szCs w:val="22"/>
          <w:lang w:val="es-419"/>
        </w:rPr>
      </w:pPr>
      <w:r w:rsidRPr="00C51DCA">
        <w:rPr>
          <w:rFonts w:ascii="Arial" w:hAnsi="Arial" w:cs="Arial"/>
          <w:szCs w:val="22"/>
          <w:lang w:val="es-419"/>
        </w:rPr>
        <w:t>Intercambiar información técnica, estadísticas, documentos, publicaciones, revistas, metodologías u otro material de interés común, elaborados por las Partes.</w:t>
      </w:r>
    </w:p>
    <w:p w:rsidR="00CD4CD8" w:rsidRPr="00C51DCA" w:rsidRDefault="00CD4CD8" w:rsidP="00CD4CD8">
      <w:pPr>
        <w:pStyle w:val="ListParagraph"/>
        <w:numPr>
          <w:ilvl w:val="0"/>
          <w:numId w:val="7"/>
        </w:numPr>
        <w:spacing w:after="0" w:line="276" w:lineRule="auto"/>
        <w:rPr>
          <w:rFonts w:ascii="Arial" w:hAnsi="Arial" w:cs="Arial"/>
          <w:szCs w:val="22"/>
          <w:lang w:val="es-419"/>
        </w:rPr>
      </w:pPr>
      <w:r w:rsidRPr="00C51DCA">
        <w:rPr>
          <w:rFonts w:ascii="Arial" w:hAnsi="Arial" w:cs="Arial"/>
          <w:szCs w:val="22"/>
          <w:lang w:val="es-419"/>
        </w:rPr>
        <w:t>Brindar asesoramiento o asistencia técnica en las esferas de su competencia, y de conformidad con sus procedimientos y reglamentos internos.</w:t>
      </w:r>
    </w:p>
    <w:p w:rsidR="00CD4CD8" w:rsidRPr="00C51DCA" w:rsidRDefault="00CD4CD8" w:rsidP="00A03F6E">
      <w:pPr>
        <w:pStyle w:val="ListParagraph"/>
        <w:numPr>
          <w:ilvl w:val="0"/>
          <w:numId w:val="7"/>
        </w:numPr>
        <w:spacing w:after="480"/>
        <w:ind w:left="357" w:hanging="357"/>
        <w:contextualSpacing w:val="0"/>
        <w:rPr>
          <w:rFonts w:ascii="Arial" w:hAnsi="Arial" w:cs="Arial"/>
          <w:szCs w:val="22"/>
          <w:lang w:val="es-419"/>
        </w:rPr>
      </w:pPr>
      <w:r w:rsidRPr="00C51DCA">
        <w:rPr>
          <w:rFonts w:ascii="Arial" w:hAnsi="Arial" w:cs="Arial"/>
          <w:szCs w:val="22"/>
          <w:lang w:val="es-419"/>
        </w:rPr>
        <w:t>Cualquier otra que las Partes convengan por escrito.</w:t>
      </w:r>
    </w:p>
    <w:p w:rsidR="00CD4CD8" w:rsidRPr="00C51DCA" w:rsidRDefault="00CD4CD8" w:rsidP="000934EC">
      <w:pPr>
        <w:pStyle w:val="Heading3"/>
        <w:keepNext w:val="0"/>
        <w:spacing w:after="0"/>
        <w:rPr>
          <w:b/>
          <w:u w:val="none"/>
          <w:lang w:val="es-419"/>
        </w:rPr>
      </w:pPr>
      <w:r w:rsidRPr="00C51DCA">
        <w:rPr>
          <w:b/>
          <w:u w:val="none"/>
          <w:lang w:val="es-419"/>
        </w:rPr>
        <w:t>ARTÍCULO 3</w:t>
      </w:r>
    </w:p>
    <w:p w:rsidR="00CD4CD8" w:rsidRPr="00C51DCA" w:rsidRDefault="00CD4CD8" w:rsidP="000934EC">
      <w:pPr>
        <w:pStyle w:val="Heading3"/>
        <w:keepNext w:val="0"/>
        <w:spacing w:before="0" w:after="240"/>
        <w:rPr>
          <w:b/>
          <w:u w:val="none"/>
          <w:lang w:val="es-419"/>
        </w:rPr>
      </w:pPr>
      <w:r w:rsidRPr="00C51DCA">
        <w:rPr>
          <w:b/>
          <w:u w:val="none"/>
          <w:lang w:val="es-419"/>
        </w:rPr>
        <w:t>REALIZACIÓN DE ACTIVIDADES ESPECÍFICAS</w:t>
      </w:r>
    </w:p>
    <w:p w:rsidR="00CD4CD8" w:rsidRPr="00C51DCA" w:rsidRDefault="00CD4CD8" w:rsidP="00A03F6E">
      <w:pPr>
        <w:spacing w:after="480"/>
        <w:rPr>
          <w:szCs w:val="22"/>
          <w:lang w:val="es-419"/>
        </w:rPr>
      </w:pPr>
      <w:r w:rsidRPr="00C51DCA">
        <w:rPr>
          <w:szCs w:val="22"/>
          <w:lang w:val="es-419"/>
        </w:rPr>
        <w:t>Para la realización de actividades específicas que sean consecuencia de la aplicación del presente Memorando de Entendimiento, las Partes acordarán y harán constar por escrito, entre otras cosas, la descripción de los proyectos por ejecutar, el nombre del o la representante responsable de cada una de las Partes, las obligaciones de las Partes, los plazos y cronogramas de ejecución y la planificación de los recursos necesarios para la ejecución del proyecto, así como las fuentes y formas de financiación, en</w:t>
      </w:r>
      <w:r w:rsidRPr="00C51DCA">
        <w:rPr>
          <w:spacing w:val="20"/>
          <w:szCs w:val="22"/>
          <w:lang w:val="es-419"/>
        </w:rPr>
        <w:t xml:space="preserve"> </w:t>
      </w:r>
      <w:r w:rsidRPr="00C51DCA">
        <w:rPr>
          <w:szCs w:val="22"/>
          <w:lang w:val="es-419"/>
        </w:rPr>
        <w:t>su</w:t>
      </w:r>
      <w:r w:rsidRPr="00C51DCA">
        <w:rPr>
          <w:spacing w:val="7"/>
          <w:szCs w:val="22"/>
          <w:lang w:val="es-419"/>
        </w:rPr>
        <w:t xml:space="preserve"> </w:t>
      </w:r>
      <w:r w:rsidRPr="00C51DCA">
        <w:rPr>
          <w:szCs w:val="22"/>
          <w:lang w:val="es-419"/>
        </w:rPr>
        <w:t>caso.</w:t>
      </w:r>
    </w:p>
    <w:p w:rsidR="00CD4CD8" w:rsidRPr="00C51DCA" w:rsidRDefault="00CD4CD8" w:rsidP="000934EC">
      <w:pPr>
        <w:pStyle w:val="Heading3"/>
        <w:keepNext w:val="0"/>
        <w:spacing w:after="0"/>
        <w:rPr>
          <w:b/>
          <w:szCs w:val="22"/>
          <w:u w:val="none"/>
          <w:lang w:val="es-419"/>
        </w:rPr>
      </w:pPr>
      <w:r w:rsidRPr="00C51DCA">
        <w:rPr>
          <w:b/>
          <w:u w:val="none"/>
          <w:lang w:val="es-419"/>
        </w:rPr>
        <w:t>ARTÍCULO</w:t>
      </w:r>
      <w:r w:rsidRPr="00C51DCA">
        <w:rPr>
          <w:b/>
          <w:szCs w:val="22"/>
          <w:u w:val="none"/>
          <w:lang w:val="es-419"/>
        </w:rPr>
        <w:t xml:space="preserve"> 4</w:t>
      </w:r>
    </w:p>
    <w:p w:rsidR="00CD4CD8" w:rsidRPr="00C51DCA" w:rsidRDefault="00CD4CD8" w:rsidP="000934EC">
      <w:pPr>
        <w:pStyle w:val="Heading3"/>
        <w:keepNext w:val="0"/>
        <w:spacing w:before="0" w:after="240"/>
        <w:rPr>
          <w:b/>
          <w:u w:val="none"/>
          <w:lang w:val="es-419"/>
        </w:rPr>
      </w:pPr>
      <w:r w:rsidRPr="00C51DCA">
        <w:rPr>
          <w:b/>
          <w:u w:val="none"/>
          <w:lang w:val="es-419"/>
        </w:rPr>
        <w:t>COORDINADORES/COORDINADORAS</w:t>
      </w:r>
    </w:p>
    <w:p w:rsidR="00CD4CD8" w:rsidRPr="00C51DCA" w:rsidRDefault="00CD4CD8" w:rsidP="00A03F6E">
      <w:pPr>
        <w:spacing w:after="240"/>
        <w:rPr>
          <w:szCs w:val="22"/>
          <w:lang w:val="es-419"/>
        </w:rPr>
      </w:pPr>
      <w:r w:rsidRPr="00C51DCA">
        <w:rPr>
          <w:b/>
          <w:szCs w:val="22"/>
          <w:lang w:val="es-419"/>
        </w:rPr>
        <w:t>4.1</w:t>
      </w:r>
      <w:r w:rsidRPr="00C51DCA">
        <w:rPr>
          <w:szCs w:val="22"/>
          <w:lang w:val="es-419"/>
        </w:rPr>
        <w:tab/>
        <w:t>A los fines de la aplicación del presente Memorando de Entendimiento, cada una de las Partes designará un coordinador/coordinadora que desempeñará la función de persona de contacto en todas las comunicaciones y cuestiones relacionadas con la aplicación del Memorando de Entendimiento.</w:t>
      </w:r>
    </w:p>
    <w:p w:rsidR="00CD4CD8" w:rsidRPr="00C51DCA" w:rsidRDefault="00CD4CD8" w:rsidP="00A03F6E">
      <w:pPr>
        <w:keepNext/>
        <w:spacing w:after="480"/>
        <w:rPr>
          <w:szCs w:val="22"/>
          <w:lang w:val="es-419"/>
        </w:rPr>
      </w:pPr>
      <w:r w:rsidRPr="00C51DCA">
        <w:rPr>
          <w:b/>
          <w:szCs w:val="22"/>
          <w:lang w:val="es-419"/>
        </w:rPr>
        <w:lastRenderedPageBreak/>
        <w:t>4.2</w:t>
      </w:r>
      <w:r w:rsidRPr="00C51DCA">
        <w:rPr>
          <w:szCs w:val="22"/>
          <w:lang w:val="es-419"/>
        </w:rPr>
        <w:tab/>
        <w:t>El nombre del coordinador/coordinadora que se designe, y cualquier modificación a ese respecto, se notificará por escrito y sin demora a la otra Parte.</w:t>
      </w:r>
    </w:p>
    <w:p w:rsidR="00CD4CD8" w:rsidRPr="00C51DCA" w:rsidRDefault="00CD4CD8" w:rsidP="000934EC">
      <w:pPr>
        <w:pStyle w:val="Heading3"/>
        <w:keepNext w:val="0"/>
        <w:spacing w:after="0"/>
        <w:rPr>
          <w:b/>
          <w:u w:val="none"/>
          <w:lang w:val="es-419"/>
        </w:rPr>
      </w:pPr>
      <w:r w:rsidRPr="00C51DCA">
        <w:rPr>
          <w:b/>
          <w:u w:val="none"/>
          <w:lang w:val="es-419"/>
        </w:rPr>
        <w:t>ARTÍCULO 5</w:t>
      </w:r>
    </w:p>
    <w:p w:rsidR="00CD4CD8" w:rsidRPr="00C51DCA" w:rsidRDefault="00CD4CD8" w:rsidP="000934EC">
      <w:pPr>
        <w:pStyle w:val="Heading3"/>
        <w:keepNext w:val="0"/>
        <w:spacing w:before="0" w:after="240"/>
        <w:rPr>
          <w:b/>
          <w:u w:val="none"/>
          <w:lang w:val="es-419"/>
        </w:rPr>
      </w:pPr>
      <w:r w:rsidRPr="00C51DCA">
        <w:rPr>
          <w:b/>
          <w:u w:val="none"/>
          <w:lang w:val="es-419"/>
        </w:rPr>
        <w:t>IMPLICACIONES FINANCIERAS</w:t>
      </w:r>
    </w:p>
    <w:p w:rsidR="00CD4CD8" w:rsidRPr="00C51DCA" w:rsidRDefault="00CD4CD8" w:rsidP="00A03F6E">
      <w:pPr>
        <w:spacing w:after="480"/>
        <w:rPr>
          <w:szCs w:val="22"/>
          <w:lang w:val="es-419"/>
        </w:rPr>
      </w:pPr>
      <w:r w:rsidRPr="00C51DCA">
        <w:rPr>
          <w:szCs w:val="22"/>
          <w:lang w:val="es-419"/>
        </w:rPr>
        <w:t>El presente Memorando de Entendimiento no conlleva ningún tipo de obligación financiera para ninguna de las Partes. En caso de que la aplicación del presente Memorando de Entendimiento implique la necesidad de financiación, las Partes acordarán expresamente para cada caso, y harán constar por escrito, sus respectivas obligaciones operacionales y financieras. En cualquier caso, la aplicación del presente Memorando de Entendimiento está supeditada a la disponibilidad de recursos de las Partes y se conformará a sus reglamentos y reglamentaciones financieras.</w:t>
      </w:r>
    </w:p>
    <w:p w:rsidR="00CD4CD8" w:rsidRPr="00C51DCA" w:rsidRDefault="00CD4CD8" w:rsidP="000934EC">
      <w:pPr>
        <w:pStyle w:val="Heading3"/>
        <w:keepNext w:val="0"/>
        <w:spacing w:after="0"/>
        <w:rPr>
          <w:b/>
          <w:u w:val="none"/>
          <w:lang w:val="es-419"/>
        </w:rPr>
      </w:pPr>
      <w:r w:rsidRPr="00C51DCA">
        <w:rPr>
          <w:b/>
          <w:u w:val="none"/>
          <w:lang w:val="es-419"/>
        </w:rPr>
        <w:t>ARTÍCULO 6</w:t>
      </w:r>
    </w:p>
    <w:p w:rsidR="00CD4CD8" w:rsidRPr="00C51DCA" w:rsidRDefault="00CD4CD8" w:rsidP="000934EC">
      <w:pPr>
        <w:pStyle w:val="Heading3"/>
        <w:keepNext w:val="0"/>
        <w:spacing w:before="0" w:after="240"/>
        <w:rPr>
          <w:b/>
          <w:u w:val="none"/>
          <w:lang w:val="es-419"/>
        </w:rPr>
      </w:pPr>
      <w:r w:rsidRPr="00C51DCA">
        <w:rPr>
          <w:b/>
          <w:u w:val="none"/>
          <w:lang w:val="es-419"/>
        </w:rPr>
        <w:t>CONFIDENCIALIDAD</w:t>
      </w:r>
    </w:p>
    <w:p w:rsidR="00CD4CD8" w:rsidRPr="00C51DCA" w:rsidRDefault="00CD4CD8" w:rsidP="00CD4CD8">
      <w:pPr>
        <w:tabs>
          <w:tab w:val="left" w:pos="426"/>
        </w:tabs>
        <w:rPr>
          <w:szCs w:val="22"/>
          <w:lang w:val="es-419"/>
        </w:rPr>
      </w:pPr>
      <w:r w:rsidRPr="00C51DCA">
        <w:rPr>
          <w:b/>
          <w:szCs w:val="22"/>
          <w:lang w:val="es-419"/>
        </w:rPr>
        <w:t>6.1</w:t>
      </w:r>
      <w:r w:rsidRPr="00C51DCA">
        <w:rPr>
          <w:szCs w:val="22"/>
          <w:lang w:val="es-419"/>
        </w:rPr>
        <w:tab/>
        <w:t xml:space="preserve">A los fines de la aplicación del presente Memorando de Entendimiento, una de las Partes (la </w:t>
      </w:r>
      <w:r w:rsidR="00A03F6E" w:rsidRPr="00C51DCA">
        <w:rPr>
          <w:szCs w:val="22"/>
          <w:lang w:val="es-419"/>
        </w:rPr>
        <w:t>“</w:t>
      </w:r>
      <w:r w:rsidRPr="00C51DCA">
        <w:rPr>
          <w:szCs w:val="22"/>
          <w:lang w:val="es-419"/>
        </w:rPr>
        <w:t>Parte receptora</w:t>
      </w:r>
      <w:r w:rsidR="00A03F6E" w:rsidRPr="00C51DCA">
        <w:rPr>
          <w:szCs w:val="22"/>
          <w:lang w:val="es-419"/>
        </w:rPr>
        <w:t>”</w:t>
      </w:r>
      <w:r w:rsidRPr="00C51DCA">
        <w:rPr>
          <w:szCs w:val="22"/>
          <w:lang w:val="es-419"/>
        </w:rPr>
        <w:t>) podrá recibir de la otra Parte información, datos, documentación o conocimientos de carácter confidencial (INFORMACIÓN CONFIDENCIAL), o tener acceso a ellos. La Parte que divulga información confidencial tendrá la obligación de señalar el carácter confidencial de esa información. La Parte receptora utilizará la INFORMACIÓN CONFIDENCIAL únicamente a los fines de la aplicación del presente Memorando de Entendimiento o a los fines especificados en él o que deriven del mismo.</w:t>
      </w:r>
    </w:p>
    <w:p w:rsidR="00CD4CD8" w:rsidRPr="00C51DCA" w:rsidRDefault="00CD4CD8" w:rsidP="00CD4CD8">
      <w:pPr>
        <w:tabs>
          <w:tab w:val="left" w:pos="426"/>
        </w:tabs>
        <w:rPr>
          <w:szCs w:val="22"/>
          <w:lang w:val="es-419"/>
        </w:rPr>
      </w:pPr>
    </w:p>
    <w:p w:rsidR="00CD4CD8" w:rsidRPr="00C51DCA" w:rsidRDefault="00CD4CD8" w:rsidP="00CD4CD8">
      <w:pPr>
        <w:tabs>
          <w:tab w:val="left" w:pos="426"/>
        </w:tabs>
        <w:rPr>
          <w:szCs w:val="22"/>
          <w:lang w:val="es-419"/>
        </w:rPr>
      </w:pPr>
      <w:r w:rsidRPr="00C51DCA">
        <w:rPr>
          <w:b/>
          <w:szCs w:val="22"/>
          <w:lang w:val="es-419"/>
        </w:rPr>
        <w:t>6.2</w:t>
      </w:r>
      <w:r w:rsidRPr="00C51DCA">
        <w:rPr>
          <w:szCs w:val="22"/>
          <w:lang w:val="es-419"/>
        </w:rPr>
        <w:tab/>
        <w:t>Sólo se podrá divulgar INFORMACIÓN CONFIDENCIAL al personal de la Parte receptora y a terceros que necesiten conocerla, siempre y cuando estén sujetos a una obligación de confidencialidad suficiente y para cumplir con el propósito del presente Memorando de Entendimiento.</w:t>
      </w:r>
    </w:p>
    <w:p w:rsidR="00CD4CD8" w:rsidRPr="00C51DCA" w:rsidRDefault="00CD4CD8" w:rsidP="00CD4CD8">
      <w:pPr>
        <w:tabs>
          <w:tab w:val="left" w:pos="426"/>
        </w:tabs>
        <w:rPr>
          <w:szCs w:val="22"/>
          <w:lang w:val="es-419"/>
        </w:rPr>
      </w:pPr>
    </w:p>
    <w:p w:rsidR="00CD4CD8" w:rsidRPr="00C51DCA" w:rsidRDefault="00CD4CD8" w:rsidP="00CD4CD8">
      <w:pPr>
        <w:tabs>
          <w:tab w:val="left" w:pos="426"/>
        </w:tabs>
        <w:rPr>
          <w:szCs w:val="22"/>
          <w:lang w:val="es-419"/>
        </w:rPr>
      </w:pPr>
      <w:r w:rsidRPr="00C51DCA">
        <w:rPr>
          <w:b/>
          <w:szCs w:val="22"/>
          <w:lang w:val="es-419"/>
        </w:rPr>
        <w:t>6.3</w:t>
      </w:r>
      <w:r w:rsidRPr="00C51DCA">
        <w:rPr>
          <w:szCs w:val="22"/>
          <w:lang w:val="es-419"/>
        </w:rPr>
        <w:tab/>
        <w:t>No se considerará INFORMACIÓN CONFIDENCIAL la información respecto de la cual pueda determinarse lo siguiente:</w:t>
      </w:r>
    </w:p>
    <w:p w:rsidR="00CD4CD8" w:rsidRPr="00C51DCA" w:rsidRDefault="00CD4CD8" w:rsidP="00CD4CD8">
      <w:pPr>
        <w:tabs>
          <w:tab w:val="left" w:pos="426"/>
        </w:tabs>
        <w:rPr>
          <w:szCs w:val="22"/>
          <w:lang w:val="es-419"/>
        </w:rPr>
      </w:pPr>
    </w:p>
    <w:p w:rsidR="00CD4CD8" w:rsidRPr="00C51DCA" w:rsidRDefault="00CD4CD8" w:rsidP="00CD4CD8">
      <w:pPr>
        <w:tabs>
          <w:tab w:val="left" w:pos="426"/>
        </w:tabs>
        <w:rPr>
          <w:szCs w:val="22"/>
          <w:lang w:val="es-419"/>
        </w:rPr>
      </w:pPr>
      <w:r w:rsidRPr="00C51DCA">
        <w:rPr>
          <w:szCs w:val="22"/>
          <w:lang w:val="es-419"/>
        </w:rPr>
        <w:t>a)</w:t>
      </w:r>
      <w:r w:rsidRPr="00C51DCA">
        <w:rPr>
          <w:szCs w:val="22"/>
          <w:lang w:val="es-419"/>
        </w:rPr>
        <w:tab/>
        <w:t>que era conocida por el público antes de la fecha de su divulgación a la Parte receptora o que pase a ser conocida por el público después de su divulgación a la Parte receptora, sin mediar acción ni omisión de la Parte receptora; o</w:t>
      </w:r>
    </w:p>
    <w:p w:rsidR="00CD4CD8" w:rsidRPr="00C51DCA" w:rsidRDefault="00CD4CD8" w:rsidP="00CD4CD8">
      <w:pPr>
        <w:tabs>
          <w:tab w:val="left" w:pos="426"/>
        </w:tabs>
        <w:rPr>
          <w:szCs w:val="22"/>
          <w:lang w:val="es-419"/>
        </w:rPr>
      </w:pPr>
    </w:p>
    <w:p w:rsidR="00CD4CD8" w:rsidRPr="00C51DCA" w:rsidRDefault="00CD4CD8" w:rsidP="00CD4CD8">
      <w:pPr>
        <w:tabs>
          <w:tab w:val="left" w:pos="426"/>
        </w:tabs>
        <w:rPr>
          <w:szCs w:val="22"/>
          <w:lang w:val="es-419"/>
        </w:rPr>
      </w:pPr>
      <w:r w:rsidRPr="00C51DCA">
        <w:rPr>
          <w:szCs w:val="22"/>
          <w:lang w:val="es-419"/>
        </w:rPr>
        <w:t>b)</w:t>
      </w:r>
      <w:r w:rsidRPr="00C51DCA">
        <w:rPr>
          <w:szCs w:val="22"/>
          <w:lang w:val="es-419"/>
        </w:rPr>
        <w:tab/>
        <w:t>que ya era conocida por la Parte receptora en la fecha de su divulgación, sin que mediase obligación de confidencialidad.</w:t>
      </w:r>
    </w:p>
    <w:p w:rsidR="00CD4CD8" w:rsidRPr="00C51DCA" w:rsidRDefault="00CD4CD8" w:rsidP="00CD4CD8">
      <w:pPr>
        <w:tabs>
          <w:tab w:val="left" w:pos="426"/>
        </w:tabs>
        <w:rPr>
          <w:szCs w:val="22"/>
          <w:lang w:val="es-419"/>
        </w:rPr>
      </w:pPr>
    </w:p>
    <w:p w:rsidR="00CD4CD8" w:rsidRPr="00C51DCA" w:rsidRDefault="00CD4CD8" w:rsidP="00A03F6E">
      <w:pPr>
        <w:keepNext/>
        <w:tabs>
          <w:tab w:val="left" w:pos="426"/>
        </w:tabs>
        <w:spacing w:after="480"/>
        <w:rPr>
          <w:szCs w:val="22"/>
          <w:lang w:val="es-419"/>
        </w:rPr>
      </w:pPr>
      <w:r w:rsidRPr="00C51DCA">
        <w:rPr>
          <w:b/>
          <w:szCs w:val="22"/>
          <w:lang w:val="es-419"/>
        </w:rPr>
        <w:t>6.4</w:t>
      </w:r>
      <w:r w:rsidRPr="00C51DCA">
        <w:rPr>
          <w:szCs w:val="22"/>
          <w:lang w:val="es-419"/>
        </w:rPr>
        <w:tab/>
        <w:t>Las obligaciones previstas en el presente artículo mantendrán su vigencia aún después de que quede sin efecto el presente Memorando de Entendimiento</w:t>
      </w:r>
      <w:r w:rsidRPr="00C51DCA">
        <w:rPr>
          <w:bCs/>
          <w:color w:val="000000" w:themeColor="text1"/>
          <w:lang w:val="es-419"/>
        </w:rPr>
        <w:t>.</w:t>
      </w:r>
    </w:p>
    <w:p w:rsidR="00CD4CD8" w:rsidRPr="00C51DCA" w:rsidRDefault="00CD4CD8" w:rsidP="000934EC">
      <w:pPr>
        <w:pStyle w:val="Heading3"/>
        <w:keepNext w:val="0"/>
        <w:spacing w:after="0"/>
        <w:rPr>
          <w:b/>
          <w:u w:val="none"/>
          <w:lang w:val="es-419"/>
        </w:rPr>
      </w:pPr>
      <w:r w:rsidRPr="00C51DCA">
        <w:rPr>
          <w:b/>
          <w:u w:val="none"/>
          <w:lang w:val="es-419"/>
        </w:rPr>
        <w:t>ARTÍCULO 7</w:t>
      </w:r>
    </w:p>
    <w:p w:rsidR="00CD4CD8" w:rsidRPr="00C51DCA" w:rsidRDefault="00CD4CD8" w:rsidP="000934EC">
      <w:pPr>
        <w:pStyle w:val="Heading3"/>
        <w:keepNext w:val="0"/>
        <w:spacing w:before="0" w:after="240"/>
        <w:rPr>
          <w:b/>
          <w:u w:val="none"/>
          <w:lang w:val="es-419"/>
        </w:rPr>
      </w:pPr>
      <w:r w:rsidRPr="00C51DCA">
        <w:rPr>
          <w:b/>
          <w:u w:val="none"/>
          <w:lang w:val="es-419"/>
        </w:rPr>
        <w:t>DERECHOS DE PROPIEDAD INTELECTUAL Y USO DEL NOMBRE Y EL LOGOTIPO</w:t>
      </w:r>
    </w:p>
    <w:p w:rsidR="00CD4CD8" w:rsidRPr="00C51DCA" w:rsidRDefault="00CD4CD8" w:rsidP="00CD4CD8">
      <w:pPr>
        <w:tabs>
          <w:tab w:val="left" w:pos="426"/>
        </w:tabs>
        <w:rPr>
          <w:szCs w:val="22"/>
          <w:lang w:val="es-419"/>
        </w:rPr>
      </w:pPr>
      <w:r w:rsidRPr="00C51DCA">
        <w:rPr>
          <w:rFonts w:eastAsia="Times New Roman"/>
          <w:b/>
          <w:bCs/>
          <w:szCs w:val="22"/>
          <w:lang w:val="es-419"/>
        </w:rPr>
        <w:t>7.1</w:t>
      </w:r>
      <w:r w:rsidRPr="00C51DCA">
        <w:rPr>
          <w:rFonts w:eastAsia="Times New Roman"/>
          <w:b/>
          <w:bCs/>
          <w:szCs w:val="22"/>
          <w:lang w:val="es-419"/>
        </w:rPr>
        <w:tab/>
        <w:t>Propiedad intelectual</w:t>
      </w:r>
      <w:r w:rsidRPr="00C51DCA">
        <w:rPr>
          <w:rFonts w:eastAsia="Times New Roman"/>
          <w:bCs/>
          <w:szCs w:val="22"/>
          <w:lang w:val="es-419"/>
        </w:rPr>
        <w:t xml:space="preserve">: </w:t>
      </w:r>
      <w:r w:rsidRPr="00C51DCA">
        <w:rPr>
          <w:szCs w:val="22"/>
          <w:lang w:val="es-419"/>
        </w:rPr>
        <w:t xml:space="preserve">Cada Parte mantiene la titularidad exclusiva de todos los derechos de propiedad intelectual que le corresponden y cuyo ejercicio ha sido autorizado en virtud del presente Memorando de Entendimiento. Ninguna de las Partes podrá variar la naturaleza </w:t>
      </w:r>
      <w:r w:rsidRPr="00C51DCA">
        <w:rPr>
          <w:color w:val="000000" w:themeColor="text1"/>
          <w:lang w:val="es-419"/>
        </w:rPr>
        <w:t xml:space="preserve">ni la esencia de la </w:t>
      </w:r>
      <w:r w:rsidRPr="00C51DCA">
        <w:rPr>
          <w:szCs w:val="22"/>
          <w:lang w:val="es-419"/>
        </w:rPr>
        <w:t>información o la imagen proporcionada</w:t>
      </w:r>
      <w:r w:rsidRPr="00C51DCA">
        <w:rPr>
          <w:color w:val="000000" w:themeColor="text1"/>
          <w:lang w:val="es-419"/>
        </w:rPr>
        <w:t xml:space="preserve"> por la otra Parte si no ha obtenido la autorización de aquella, otorgada por escrito. En caso de que las Partes prevean la posibilidad de que se cree propiedad intelectual susceptible de protección </w:t>
      </w:r>
      <w:r w:rsidRPr="00C51DCA">
        <w:rPr>
          <w:iCs/>
          <w:color w:val="000000" w:themeColor="text1"/>
          <w:lang w:val="es-419"/>
        </w:rPr>
        <w:t xml:space="preserve">en relación con una actividad o un Proyecto determinados que se ejecuten en virtud del presente Memorando de </w:t>
      </w:r>
      <w:r w:rsidRPr="00C51DCA">
        <w:rPr>
          <w:iCs/>
          <w:color w:val="000000" w:themeColor="text1"/>
          <w:lang w:val="es-419"/>
        </w:rPr>
        <w:lastRenderedPageBreak/>
        <w:t>Entendimiento, las Partes negociarán y acordarán los términos de su titularidad y uso, que se harán constar por escrito.</w:t>
      </w:r>
    </w:p>
    <w:p w:rsidR="00CD4CD8" w:rsidRPr="00C51DCA" w:rsidRDefault="00CD4CD8" w:rsidP="00CD4CD8">
      <w:pPr>
        <w:rPr>
          <w:szCs w:val="22"/>
          <w:lang w:val="es-419"/>
        </w:rPr>
      </w:pPr>
    </w:p>
    <w:p w:rsidR="00CD4CD8" w:rsidRPr="00C51DCA" w:rsidRDefault="00CD4CD8" w:rsidP="00CD4CD8">
      <w:pPr>
        <w:tabs>
          <w:tab w:val="left" w:pos="426"/>
        </w:tabs>
        <w:rPr>
          <w:szCs w:val="22"/>
          <w:lang w:val="es-419"/>
        </w:rPr>
      </w:pPr>
      <w:r w:rsidRPr="00C51DCA">
        <w:rPr>
          <w:b/>
          <w:szCs w:val="22"/>
          <w:lang w:val="es-419"/>
        </w:rPr>
        <w:t>7.2</w:t>
      </w:r>
      <w:r w:rsidRPr="00C51DCA">
        <w:rPr>
          <w:b/>
          <w:szCs w:val="22"/>
          <w:lang w:val="es-419"/>
        </w:rPr>
        <w:tab/>
        <w:t>Uso del nombre o del logotipo:</w:t>
      </w:r>
      <w:r w:rsidRPr="00C51DCA">
        <w:rPr>
          <w:szCs w:val="22"/>
          <w:lang w:val="es-419"/>
        </w:rPr>
        <w:t xml:space="preserve"> </w:t>
      </w:r>
      <w:r w:rsidRPr="00C51DCA">
        <w:rPr>
          <w:lang w:val="es-419"/>
        </w:rPr>
        <w:t>Ninguna de las Partes utilizará el nombre, el logotipo el emblema ni las marcas de la otra sin contar en cada caso con la aprobación previa de la otra Parte, manifestada por escrito.</w:t>
      </w:r>
    </w:p>
    <w:p w:rsidR="00CD4CD8" w:rsidRPr="00C51DCA" w:rsidRDefault="00CD4CD8" w:rsidP="000934EC">
      <w:pPr>
        <w:pStyle w:val="Heading3"/>
        <w:keepNext w:val="0"/>
        <w:spacing w:after="0"/>
        <w:rPr>
          <w:b/>
          <w:u w:val="none"/>
          <w:lang w:val="es-419"/>
        </w:rPr>
      </w:pPr>
      <w:r w:rsidRPr="00C51DCA">
        <w:rPr>
          <w:b/>
          <w:u w:val="none"/>
          <w:lang w:val="es-419"/>
        </w:rPr>
        <w:t>ARTÍCULO 8</w:t>
      </w:r>
    </w:p>
    <w:p w:rsidR="00CD4CD8" w:rsidRPr="00C51DCA" w:rsidRDefault="00CD4CD8" w:rsidP="000934EC">
      <w:pPr>
        <w:pStyle w:val="Heading3"/>
        <w:keepNext w:val="0"/>
        <w:spacing w:before="0" w:after="240"/>
        <w:rPr>
          <w:b/>
          <w:u w:val="none"/>
          <w:lang w:val="es-419"/>
        </w:rPr>
      </w:pPr>
      <w:r w:rsidRPr="00C51DCA">
        <w:rPr>
          <w:b/>
          <w:u w:val="none"/>
          <w:lang w:val="es-419"/>
        </w:rPr>
        <w:t>PRERROGATIVAS E INMUNIDADES</w:t>
      </w:r>
    </w:p>
    <w:p w:rsidR="00CD4CD8" w:rsidRPr="00C51DCA" w:rsidRDefault="00CD4CD8" w:rsidP="00A03F6E">
      <w:pPr>
        <w:keepNext/>
        <w:spacing w:after="480"/>
        <w:rPr>
          <w:szCs w:val="22"/>
          <w:lang w:val="es-419"/>
        </w:rPr>
      </w:pPr>
      <w:r w:rsidRPr="00C51DCA">
        <w:rPr>
          <w:bCs/>
          <w:color w:val="000000" w:themeColor="text1"/>
          <w:lang w:val="es-419"/>
        </w:rPr>
        <w:t>Nada de lo dispuesto en el presente Memorando de Entendimiento o que guarde relación con él se interpretará como una renuncia a las prerrogativas e inmunidades correspondientes a la SIECA o a la OMPI</w:t>
      </w:r>
      <w:r w:rsidRPr="00C51DCA">
        <w:rPr>
          <w:szCs w:val="22"/>
          <w:lang w:val="es-419"/>
        </w:rPr>
        <w:t>, así como a sus respectivos funcionarios.</w:t>
      </w:r>
    </w:p>
    <w:p w:rsidR="00CD4CD8" w:rsidRPr="00C51DCA" w:rsidRDefault="00CD4CD8" w:rsidP="000934EC">
      <w:pPr>
        <w:pStyle w:val="Heading3"/>
        <w:keepNext w:val="0"/>
        <w:spacing w:after="0"/>
        <w:rPr>
          <w:b/>
          <w:u w:val="none"/>
          <w:lang w:val="es-419"/>
        </w:rPr>
      </w:pPr>
      <w:r w:rsidRPr="00C51DCA">
        <w:rPr>
          <w:b/>
          <w:u w:val="none"/>
          <w:lang w:val="es-419"/>
        </w:rPr>
        <w:t>ARTÍCULO 9</w:t>
      </w:r>
    </w:p>
    <w:p w:rsidR="00CD4CD8" w:rsidRPr="00C51DCA" w:rsidRDefault="00CD4CD8" w:rsidP="000934EC">
      <w:pPr>
        <w:pStyle w:val="Heading3"/>
        <w:keepNext w:val="0"/>
        <w:spacing w:before="0" w:after="240"/>
        <w:rPr>
          <w:b/>
          <w:u w:val="none"/>
          <w:lang w:val="es-419"/>
        </w:rPr>
      </w:pPr>
      <w:r w:rsidRPr="00C51DCA">
        <w:rPr>
          <w:b/>
          <w:u w:val="none"/>
          <w:lang w:val="es-419"/>
        </w:rPr>
        <w:t>SOLUCIÓN DE CONTROVERSIAS</w:t>
      </w:r>
    </w:p>
    <w:p w:rsidR="00CD4CD8" w:rsidRPr="00C51DCA" w:rsidRDefault="00CD4CD8" w:rsidP="00A03F6E">
      <w:pPr>
        <w:keepNext/>
        <w:spacing w:after="480"/>
        <w:rPr>
          <w:szCs w:val="22"/>
          <w:lang w:val="es-419"/>
        </w:rPr>
      </w:pPr>
      <w:r w:rsidRPr="00C51DCA">
        <w:rPr>
          <w:szCs w:val="22"/>
          <w:lang w:val="es-419"/>
        </w:rPr>
        <w:t>Cualquier controversia que surja respecto de la interpretación o aplicación del presente Memorando de Entendimiento se resolverá mediante negociación directa entre las Partes. Las soluciones a las que se llegue se harán constar por escrito.</w:t>
      </w:r>
    </w:p>
    <w:p w:rsidR="00CD4CD8" w:rsidRPr="00C51DCA" w:rsidRDefault="00CD4CD8" w:rsidP="000934EC">
      <w:pPr>
        <w:pStyle w:val="Heading3"/>
        <w:keepNext w:val="0"/>
        <w:spacing w:after="0"/>
        <w:rPr>
          <w:b/>
          <w:u w:val="none"/>
          <w:lang w:val="es-419"/>
        </w:rPr>
      </w:pPr>
      <w:r w:rsidRPr="00C51DCA">
        <w:rPr>
          <w:b/>
          <w:u w:val="none"/>
          <w:lang w:val="es-419"/>
        </w:rPr>
        <w:t>ARTÍCULO 10</w:t>
      </w:r>
    </w:p>
    <w:p w:rsidR="00CD4CD8" w:rsidRPr="00C51DCA" w:rsidRDefault="00CD4CD8" w:rsidP="000934EC">
      <w:pPr>
        <w:pStyle w:val="Heading3"/>
        <w:keepNext w:val="0"/>
        <w:spacing w:before="0" w:after="240"/>
        <w:rPr>
          <w:b/>
          <w:u w:val="none"/>
          <w:lang w:val="es-419"/>
        </w:rPr>
      </w:pPr>
      <w:r w:rsidRPr="00C51DCA">
        <w:rPr>
          <w:b/>
          <w:u w:val="none"/>
          <w:lang w:val="es-419"/>
        </w:rPr>
        <w:t>DURACIÓN Y MODIFICACIÓN</w:t>
      </w:r>
    </w:p>
    <w:p w:rsidR="00CD4CD8" w:rsidRPr="00C51DCA" w:rsidRDefault="00CD4CD8" w:rsidP="00CD4CD8">
      <w:pPr>
        <w:rPr>
          <w:szCs w:val="22"/>
          <w:lang w:val="es-419"/>
        </w:rPr>
      </w:pPr>
      <w:r w:rsidRPr="00C51DCA">
        <w:rPr>
          <w:b/>
          <w:szCs w:val="22"/>
          <w:lang w:val="es-419"/>
        </w:rPr>
        <w:t>10.1</w:t>
      </w:r>
      <w:r w:rsidRPr="00C51DCA">
        <w:rPr>
          <w:szCs w:val="22"/>
          <w:lang w:val="es-419"/>
        </w:rPr>
        <w:tab/>
        <w:t>El presente Memorando de Entendimiento entrará en vigor en la fecha en que esté firmado por ambas Partes, y estará vigente por un período de dos (2) años, con la posibilidad de prorrogarlo mediante intercambio de correspondencia entre las Partes, como mínimo tres meses antes de la fecha de su vencimiento.</w:t>
      </w:r>
    </w:p>
    <w:p w:rsidR="00CD4CD8" w:rsidRPr="00C51DCA" w:rsidRDefault="00CD4CD8" w:rsidP="00CD4CD8">
      <w:pPr>
        <w:rPr>
          <w:szCs w:val="22"/>
          <w:lang w:val="es-419"/>
        </w:rPr>
      </w:pPr>
    </w:p>
    <w:p w:rsidR="00CD4CD8" w:rsidRPr="00C51DCA" w:rsidRDefault="00CD4CD8" w:rsidP="00CD4CD8">
      <w:pPr>
        <w:rPr>
          <w:szCs w:val="22"/>
          <w:lang w:val="es-419"/>
        </w:rPr>
      </w:pPr>
      <w:r w:rsidRPr="00C51DCA">
        <w:rPr>
          <w:b/>
          <w:szCs w:val="22"/>
          <w:lang w:val="es-419"/>
        </w:rPr>
        <w:t>10.2</w:t>
      </w:r>
      <w:r w:rsidRPr="00C51DCA">
        <w:rPr>
          <w:szCs w:val="22"/>
          <w:lang w:val="es-419"/>
        </w:rPr>
        <w:tab/>
        <w:t>Las modificaciones del presente Memorando de Entendimiento solo podrán hacerse de común acuerdo expresado por escrito. Los documentos en que consten las modificaciones se añadirán como anexos al presente Memorando de Entendimiento y pasarán a formar parte del mismo.</w:t>
      </w:r>
    </w:p>
    <w:p w:rsidR="00CD4CD8" w:rsidRPr="00C51DCA" w:rsidRDefault="00CD4CD8" w:rsidP="00CD4CD8">
      <w:pPr>
        <w:rPr>
          <w:szCs w:val="22"/>
          <w:lang w:val="es-419"/>
        </w:rPr>
      </w:pPr>
    </w:p>
    <w:p w:rsidR="00CD4CD8" w:rsidRPr="00C51DCA" w:rsidRDefault="00CD4CD8" w:rsidP="00CD4CD8">
      <w:pPr>
        <w:rPr>
          <w:szCs w:val="22"/>
          <w:lang w:val="es-419"/>
        </w:rPr>
      </w:pPr>
      <w:r w:rsidRPr="00C51DCA">
        <w:rPr>
          <w:b/>
          <w:szCs w:val="22"/>
          <w:lang w:val="es-419"/>
        </w:rPr>
        <w:t>10.3</w:t>
      </w:r>
      <w:r w:rsidRPr="00C51DCA">
        <w:rPr>
          <w:szCs w:val="22"/>
          <w:lang w:val="es-419"/>
        </w:rPr>
        <w:tab/>
        <w:t>Podrá ponerse fin a la vigencia del presente Memorando de Entendimiento en cualquier momento, por mutuo consentimiento o por decisión de una de las Partes, manifestada a la otra por escrito con una antelación de tres meses, como mínimo. Salvo que se acuerde otra cosa, el fin de la vigencia del presente Memorando de Entendimiento no afectará las obligaciones previamente contraídas o que surjan de actividades iniciadas y realizadas conforme a los términos expuestos en el presente Memorando de Entendimiento.</w:t>
      </w:r>
    </w:p>
    <w:p w:rsidR="00CD4CD8" w:rsidRPr="00C51DCA" w:rsidRDefault="00CD4CD8" w:rsidP="00CD4CD8">
      <w:pPr>
        <w:rPr>
          <w:szCs w:val="22"/>
          <w:lang w:val="es-419"/>
        </w:rPr>
      </w:pPr>
    </w:p>
    <w:p w:rsidR="00CD4CD8" w:rsidRPr="00C51DCA" w:rsidRDefault="00CD4CD8" w:rsidP="000934EC">
      <w:pPr>
        <w:spacing w:after="480"/>
        <w:rPr>
          <w:szCs w:val="22"/>
          <w:lang w:val="es-419"/>
        </w:rPr>
      </w:pPr>
      <w:r w:rsidRPr="00C51DCA">
        <w:rPr>
          <w:b/>
          <w:bCs/>
          <w:szCs w:val="22"/>
          <w:lang w:val="es-419"/>
        </w:rPr>
        <w:t>10. 4</w:t>
      </w:r>
      <w:r w:rsidRPr="00C51DCA">
        <w:rPr>
          <w:color w:val="000000" w:themeColor="text1"/>
          <w:lang w:val="es-419"/>
        </w:rPr>
        <w:tab/>
      </w:r>
      <w:r w:rsidRPr="00C51DCA">
        <w:rPr>
          <w:color w:val="000000" w:themeColor="text1"/>
          <w:lang w:val="es-419" w:eastAsia="ko-KR"/>
        </w:rPr>
        <w:t>L</w:t>
      </w:r>
      <w:r w:rsidRPr="00C51DCA">
        <w:rPr>
          <w:szCs w:val="22"/>
          <w:lang w:val="es-419"/>
        </w:rPr>
        <w:t>as Partes convienen en poner fin, a partir de la entrada en vigor del presente Memorando de Entendimiento, a la vigencia del Acuerdo Básico de Cooperación entre la Oficina Internacional de la Organización Mundial de la Propiedad Intelectual (OMPI) y la Secretaría Permanente del Tratado General de Integración Económica Centroamericana (SIECA) de mayo de 1985.</w:t>
      </w:r>
    </w:p>
    <w:p w:rsidR="00CD4CD8" w:rsidRPr="00C51DCA" w:rsidRDefault="00CD4CD8" w:rsidP="00A03F6E">
      <w:pPr>
        <w:pStyle w:val="Heading3"/>
        <w:keepLines/>
        <w:spacing w:after="0"/>
        <w:rPr>
          <w:b/>
          <w:u w:val="none"/>
          <w:lang w:val="es-419"/>
        </w:rPr>
      </w:pPr>
      <w:r w:rsidRPr="00C51DCA">
        <w:rPr>
          <w:b/>
          <w:u w:val="none"/>
          <w:lang w:val="es-419"/>
        </w:rPr>
        <w:lastRenderedPageBreak/>
        <w:t>ARTÍCULO 11</w:t>
      </w:r>
    </w:p>
    <w:p w:rsidR="00CD4CD8" w:rsidRPr="00C51DCA" w:rsidRDefault="00CD4CD8" w:rsidP="00A03F6E">
      <w:pPr>
        <w:pStyle w:val="Heading3"/>
        <w:keepLines/>
        <w:spacing w:before="0" w:after="240"/>
        <w:rPr>
          <w:b/>
          <w:u w:val="none"/>
          <w:lang w:val="es-419"/>
        </w:rPr>
      </w:pPr>
      <w:r w:rsidRPr="00C51DCA">
        <w:rPr>
          <w:b/>
          <w:u w:val="none"/>
          <w:lang w:val="es-419"/>
        </w:rPr>
        <w:t>DISPOSICIONES FINALES</w:t>
      </w:r>
    </w:p>
    <w:p w:rsidR="00CD4CD8" w:rsidRPr="00C51DCA" w:rsidRDefault="00CD4CD8" w:rsidP="00E0077E">
      <w:pPr>
        <w:keepNext/>
        <w:keepLines/>
        <w:spacing w:after="240"/>
        <w:rPr>
          <w:szCs w:val="22"/>
          <w:lang w:val="es-419"/>
        </w:rPr>
      </w:pPr>
      <w:r w:rsidRPr="00C51DCA">
        <w:rPr>
          <w:b/>
          <w:szCs w:val="22"/>
          <w:lang w:val="es-419"/>
        </w:rPr>
        <w:t>11.1</w:t>
      </w:r>
      <w:r w:rsidRPr="00C51DCA">
        <w:rPr>
          <w:b/>
          <w:szCs w:val="22"/>
          <w:lang w:val="es-419"/>
        </w:rPr>
        <w:tab/>
      </w:r>
      <w:r w:rsidRPr="00C51DCA">
        <w:rPr>
          <w:szCs w:val="22"/>
          <w:lang w:val="es-419"/>
        </w:rPr>
        <w:t>Para</w:t>
      </w:r>
      <w:r w:rsidRPr="00C51DCA">
        <w:rPr>
          <w:spacing w:val="42"/>
          <w:szCs w:val="22"/>
          <w:lang w:val="es-419"/>
        </w:rPr>
        <w:t xml:space="preserve"> </w:t>
      </w:r>
      <w:r w:rsidRPr="00C51DCA">
        <w:rPr>
          <w:szCs w:val="22"/>
          <w:lang w:val="es-419"/>
        </w:rPr>
        <w:t>los</w:t>
      </w:r>
      <w:r w:rsidRPr="00C51DCA">
        <w:rPr>
          <w:spacing w:val="45"/>
          <w:szCs w:val="22"/>
          <w:lang w:val="es-419"/>
        </w:rPr>
        <w:t xml:space="preserve"> </w:t>
      </w:r>
      <w:r w:rsidRPr="00C51DCA">
        <w:rPr>
          <w:szCs w:val="22"/>
          <w:lang w:val="es-419"/>
        </w:rPr>
        <w:t>efectos que se</w:t>
      </w:r>
      <w:r w:rsidRPr="00C51DCA">
        <w:rPr>
          <w:spacing w:val="32"/>
          <w:szCs w:val="22"/>
          <w:lang w:val="es-419"/>
        </w:rPr>
        <w:t xml:space="preserve"> </w:t>
      </w:r>
      <w:r w:rsidRPr="00C51DCA">
        <w:rPr>
          <w:szCs w:val="22"/>
          <w:lang w:val="es-419"/>
        </w:rPr>
        <w:t>deriven de la</w:t>
      </w:r>
      <w:r w:rsidRPr="00C51DCA">
        <w:rPr>
          <w:spacing w:val="40"/>
          <w:szCs w:val="22"/>
          <w:lang w:val="es-419"/>
        </w:rPr>
        <w:t xml:space="preserve"> </w:t>
      </w:r>
      <w:r w:rsidRPr="00C51DCA">
        <w:rPr>
          <w:szCs w:val="22"/>
          <w:lang w:val="es-419"/>
        </w:rPr>
        <w:t>aplicación del presente Memorando de Entendimiento y</w:t>
      </w:r>
      <w:r w:rsidRPr="00C51DCA">
        <w:rPr>
          <w:spacing w:val="22"/>
          <w:szCs w:val="22"/>
          <w:lang w:val="es-419"/>
        </w:rPr>
        <w:t xml:space="preserve"> </w:t>
      </w:r>
      <w:r w:rsidRPr="00C51DCA">
        <w:rPr>
          <w:szCs w:val="22"/>
          <w:lang w:val="es-419"/>
        </w:rPr>
        <w:t>para</w:t>
      </w:r>
      <w:r w:rsidRPr="00C51DCA">
        <w:rPr>
          <w:spacing w:val="38"/>
          <w:szCs w:val="22"/>
          <w:lang w:val="es-419"/>
        </w:rPr>
        <w:t xml:space="preserve"> </w:t>
      </w:r>
      <w:r w:rsidRPr="00C51DCA">
        <w:rPr>
          <w:szCs w:val="22"/>
          <w:lang w:val="es-419"/>
        </w:rPr>
        <w:t>recibir notificaciones, las</w:t>
      </w:r>
      <w:r w:rsidRPr="00C51DCA">
        <w:rPr>
          <w:spacing w:val="6"/>
          <w:szCs w:val="22"/>
          <w:lang w:val="es-419"/>
        </w:rPr>
        <w:t xml:space="preserve"> </w:t>
      </w:r>
      <w:r w:rsidRPr="00C51DCA">
        <w:rPr>
          <w:szCs w:val="22"/>
          <w:lang w:val="es-419"/>
        </w:rPr>
        <w:t>partes indican la dirección siguiente:</w:t>
      </w:r>
    </w:p>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w:tblDescription w:val="Physical adddresses of SIECA and WIPO"/>
      </w:tblPr>
      <w:tblGrid>
        <w:gridCol w:w="4672"/>
        <w:gridCol w:w="4672"/>
      </w:tblGrid>
      <w:tr w:rsidR="00C51DCA" w:rsidRPr="00C51DCA" w:rsidTr="003C5B99">
        <w:trPr>
          <w:tblHeader/>
        </w:trPr>
        <w:tc>
          <w:tcPr>
            <w:tcW w:w="4672" w:type="dxa"/>
          </w:tcPr>
          <w:p w:rsidR="00C51DCA" w:rsidRPr="00C51DCA" w:rsidRDefault="00C51DCA" w:rsidP="003C5B99">
            <w:pPr>
              <w:rPr>
                <w:lang w:val="es-419"/>
              </w:rPr>
            </w:pPr>
            <w:r w:rsidRPr="00C51DCA">
              <w:rPr>
                <w:lang w:val="es-419"/>
              </w:rPr>
              <w:t>SIECA</w:t>
            </w:r>
          </w:p>
        </w:tc>
        <w:tc>
          <w:tcPr>
            <w:tcW w:w="4672" w:type="dxa"/>
          </w:tcPr>
          <w:p w:rsidR="00C51DCA" w:rsidRPr="00C51DCA" w:rsidRDefault="00C51DCA" w:rsidP="003C5B99">
            <w:pPr>
              <w:rPr>
                <w:color w:val="000000" w:themeColor="text1"/>
                <w:lang w:val="es-419"/>
              </w:rPr>
            </w:pPr>
            <w:r w:rsidRPr="00C51DCA">
              <w:rPr>
                <w:color w:val="000000" w:themeColor="text1"/>
                <w:lang w:val="es-419"/>
              </w:rPr>
              <w:t>OMPI</w:t>
            </w:r>
          </w:p>
        </w:tc>
      </w:tr>
      <w:tr w:rsidR="00C51DCA" w:rsidRPr="00C51DCA" w:rsidTr="003C5B99">
        <w:trPr>
          <w:tblHeader/>
        </w:trPr>
        <w:tc>
          <w:tcPr>
            <w:tcW w:w="4672" w:type="dxa"/>
          </w:tcPr>
          <w:p w:rsidR="00C51DCA" w:rsidRPr="00C51DCA" w:rsidRDefault="00C51DCA" w:rsidP="003C5B99">
            <w:pPr>
              <w:rPr>
                <w:lang w:val="es-419"/>
              </w:rPr>
            </w:pPr>
            <w:r w:rsidRPr="00C51DCA">
              <w:rPr>
                <w:lang w:val="es-419"/>
              </w:rPr>
              <w:t>4ª Avenida 10-25, zona 14</w:t>
            </w:r>
          </w:p>
        </w:tc>
        <w:tc>
          <w:tcPr>
            <w:tcW w:w="4672" w:type="dxa"/>
          </w:tcPr>
          <w:p w:rsidR="00C51DCA" w:rsidRPr="00C51DCA" w:rsidRDefault="00C51DCA" w:rsidP="003C5B99">
            <w:pPr>
              <w:rPr>
                <w:color w:val="000000" w:themeColor="text1"/>
                <w:lang w:val="es-419"/>
              </w:rPr>
            </w:pPr>
            <w:r w:rsidRPr="00C51DCA">
              <w:rPr>
                <w:lang w:val="es-419"/>
              </w:rPr>
              <w:t>34 Chemin des Colombettes</w:t>
            </w:r>
          </w:p>
        </w:tc>
      </w:tr>
      <w:tr w:rsidR="00C51DCA" w:rsidRPr="00C51DCA" w:rsidTr="003C5B99">
        <w:trPr>
          <w:tblHeader/>
        </w:trPr>
        <w:tc>
          <w:tcPr>
            <w:tcW w:w="4672" w:type="dxa"/>
          </w:tcPr>
          <w:p w:rsidR="00C51DCA" w:rsidRPr="00C51DCA" w:rsidRDefault="00C51DCA" w:rsidP="003C5B99">
            <w:pPr>
              <w:rPr>
                <w:lang w:val="es-419"/>
              </w:rPr>
            </w:pPr>
            <w:r w:rsidRPr="00C51DCA">
              <w:rPr>
                <w:color w:val="000000" w:themeColor="text1"/>
                <w:lang w:val="es-419"/>
              </w:rPr>
              <w:t>01014 Guatemala (Guatemala)</w:t>
            </w:r>
          </w:p>
        </w:tc>
        <w:tc>
          <w:tcPr>
            <w:tcW w:w="4672" w:type="dxa"/>
          </w:tcPr>
          <w:p w:rsidR="00C51DCA" w:rsidRPr="00C51DCA" w:rsidRDefault="00C51DCA" w:rsidP="003C5B99">
            <w:pPr>
              <w:rPr>
                <w:lang w:val="es-419"/>
              </w:rPr>
            </w:pPr>
            <w:r w:rsidRPr="00C51DCA">
              <w:rPr>
                <w:color w:val="000000" w:themeColor="text1"/>
                <w:lang w:val="es-419"/>
              </w:rPr>
              <w:t>1211 Ginebra (Suiza)</w:t>
            </w:r>
          </w:p>
        </w:tc>
      </w:tr>
    </w:tbl>
    <w:p w:rsidR="00CD4CD8" w:rsidRPr="00C51DCA" w:rsidRDefault="00CD4CD8" w:rsidP="00E0077E">
      <w:pPr>
        <w:spacing w:before="240"/>
        <w:rPr>
          <w:szCs w:val="22"/>
          <w:lang w:val="es-419"/>
        </w:rPr>
      </w:pPr>
      <w:r w:rsidRPr="00C51DCA">
        <w:rPr>
          <w:b/>
          <w:color w:val="000000" w:themeColor="text1"/>
          <w:lang w:val="es-419"/>
        </w:rPr>
        <w:t>11.2</w:t>
      </w:r>
      <w:r w:rsidRPr="00C51DCA">
        <w:rPr>
          <w:color w:val="000000" w:themeColor="text1"/>
          <w:lang w:val="es-419"/>
        </w:rPr>
        <w:tab/>
      </w:r>
      <w:r w:rsidRPr="00C51DCA">
        <w:rPr>
          <w:szCs w:val="22"/>
          <w:lang w:val="es-419"/>
        </w:rPr>
        <w:t>Cualquier cambio de</w:t>
      </w:r>
      <w:r w:rsidRPr="00C51DCA">
        <w:rPr>
          <w:spacing w:val="25"/>
          <w:szCs w:val="22"/>
          <w:lang w:val="es-419"/>
        </w:rPr>
        <w:t xml:space="preserve"> </w:t>
      </w:r>
      <w:r w:rsidRPr="00C51DCA">
        <w:rPr>
          <w:szCs w:val="22"/>
          <w:lang w:val="es-419"/>
        </w:rPr>
        <w:t>domicilio de</w:t>
      </w:r>
      <w:r w:rsidRPr="00C51DCA">
        <w:rPr>
          <w:spacing w:val="29"/>
          <w:szCs w:val="22"/>
          <w:lang w:val="es-419"/>
        </w:rPr>
        <w:t xml:space="preserve"> </w:t>
      </w:r>
      <w:r w:rsidRPr="00C51DCA">
        <w:rPr>
          <w:szCs w:val="22"/>
          <w:lang w:val="es-419"/>
        </w:rPr>
        <w:t>las</w:t>
      </w:r>
      <w:r w:rsidRPr="00C51DCA">
        <w:rPr>
          <w:spacing w:val="6"/>
          <w:szCs w:val="22"/>
          <w:lang w:val="es-419"/>
        </w:rPr>
        <w:t xml:space="preserve"> </w:t>
      </w:r>
      <w:r w:rsidRPr="00C51DCA">
        <w:rPr>
          <w:szCs w:val="22"/>
          <w:lang w:val="es-419"/>
        </w:rPr>
        <w:t>Partes deberá ser</w:t>
      </w:r>
      <w:r w:rsidRPr="00C51DCA">
        <w:rPr>
          <w:spacing w:val="27"/>
          <w:szCs w:val="22"/>
          <w:lang w:val="es-419"/>
        </w:rPr>
        <w:t xml:space="preserve"> </w:t>
      </w:r>
      <w:r w:rsidRPr="00C51DCA">
        <w:rPr>
          <w:szCs w:val="22"/>
          <w:lang w:val="es-419"/>
        </w:rPr>
        <w:t>notificado sin demora por</w:t>
      </w:r>
      <w:r w:rsidRPr="00C51DCA">
        <w:rPr>
          <w:spacing w:val="44"/>
          <w:szCs w:val="22"/>
          <w:lang w:val="es-419"/>
        </w:rPr>
        <w:t xml:space="preserve"> </w:t>
      </w:r>
      <w:r w:rsidRPr="00C51DCA">
        <w:rPr>
          <w:szCs w:val="22"/>
          <w:lang w:val="es-419"/>
        </w:rPr>
        <w:t>escrito a</w:t>
      </w:r>
      <w:r w:rsidRPr="00C51DCA">
        <w:rPr>
          <w:spacing w:val="6"/>
          <w:szCs w:val="22"/>
          <w:lang w:val="es-419"/>
        </w:rPr>
        <w:t xml:space="preserve"> </w:t>
      </w:r>
      <w:r w:rsidRPr="00C51DCA">
        <w:rPr>
          <w:szCs w:val="22"/>
          <w:lang w:val="es-419"/>
        </w:rPr>
        <w:t>la</w:t>
      </w:r>
      <w:r w:rsidRPr="00C51DCA">
        <w:rPr>
          <w:spacing w:val="15"/>
          <w:szCs w:val="22"/>
          <w:lang w:val="es-419"/>
        </w:rPr>
        <w:t xml:space="preserve"> </w:t>
      </w:r>
      <w:r w:rsidRPr="00C51DCA">
        <w:rPr>
          <w:szCs w:val="22"/>
          <w:lang w:val="es-419"/>
        </w:rPr>
        <w:t>otra Parte, solicitando acuse</w:t>
      </w:r>
      <w:r w:rsidRPr="00C51DCA">
        <w:rPr>
          <w:spacing w:val="30"/>
          <w:szCs w:val="22"/>
          <w:lang w:val="es-419"/>
        </w:rPr>
        <w:t xml:space="preserve"> </w:t>
      </w:r>
      <w:r w:rsidRPr="00C51DCA">
        <w:rPr>
          <w:szCs w:val="22"/>
          <w:lang w:val="es-419"/>
        </w:rPr>
        <w:t>de</w:t>
      </w:r>
      <w:r w:rsidRPr="00C51DCA">
        <w:rPr>
          <w:spacing w:val="39"/>
          <w:szCs w:val="22"/>
          <w:lang w:val="es-419"/>
        </w:rPr>
        <w:t xml:space="preserve"> </w:t>
      </w:r>
      <w:r w:rsidRPr="00C51DCA">
        <w:rPr>
          <w:szCs w:val="22"/>
          <w:lang w:val="es-419"/>
        </w:rPr>
        <w:t>recibo. De no efectuarse esa notificación, se considerarán válidas para todas las comunicaciones las direcciones indicadas en el presente artículo.</w:t>
      </w:r>
    </w:p>
    <w:p w:rsidR="00CD4CD8" w:rsidRPr="00C51DCA" w:rsidRDefault="00CD4CD8" w:rsidP="00A03F6E">
      <w:pPr>
        <w:rPr>
          <w:szCs w:val="22"/>
          <w:lang w:val="es-419"/>
        </w:rPr>
      </w:pPr>
    </w:p>
    <w:p w:rsidR="00CD4CD8" w:rsidRPr="00C51DCA" w:rsidRDefault="00CD4CD8" w:rsidP="00A03F6E">
      <w:pPr>
        <w:rPr>
          <w:szCs w:val="22"/>
          <w:lang w:val="es-419"/>
        </w:rPr>
      </w:pPr>
      <w:r w:rsidRPr="00C51DCA">
        <w:rPr>
          <w:szCs w:val="22"/>
          <w:lang w:val="es-419"/>
        </w:rPr>
        <w:t>En fe de lo cual, las Partes firman dos originales del presente Memorando de Entendimiento, cada uno en español e inglés, siendo ambos textos igualmente auténticos.</w:t>
      </w:r>
    </w:p>
    <w:p w:rsidR="00CD4CD8" w:rsidRPr="00C51DCA" w:rsidRDefault="00CD4CD8" w:rsidP="00A03F6E">
      <w:pPr>
        <w:rPr>
          <w:szCs w:val="22"/>
          <w:lang w:val="es-419"/>
        </w:rPr>
      </w:pPr>
    </w:p>
    <w:p w:rsidR="00CD4CD8" w:rsidRPr="00C51DCA" w:rsidRDefault="00CD4CD8" w:rsidP="00A03F6E">
      <w:pPr>
        <w:rPr>
          <w:szCs w:val="22"/>
          <w:lang w:val="es-419"/>
        </w:rPr>
      </w:pPr>
    </w:p>
    <w:tbl>
      <w:tblPr>
        <w:tblW w:w="9356" w:type="dxa"/>
        <w:tblLayout w:type="fixed"/>
        <w:tblLook w:val="01E0" w:firstRow="1" w:lastRow="1" w:firstColumn="1" w:lastColumn="1" w:noHBand="0" w:noVBand="0"/>
      </w:tblPr>
      <w:tblGrid>
        <w:gridCol w:w="4592"/>
        <w:gridCol w:w="4764"/>
      </w:tblGrid>
      <w:tr w:rsidR="00CD4CD8" w:rsidRPr="00C51DCA" w:rsidTr="001D39EF">
        <w:trPr>
          <w:trHeight w:val="567"/>
        </w:trPr>
        <w:tc>
          <w:tcPr>
            <w:tcW w:w="4592" w:type="dxa"/>
            <w:tcMar>
              <w:left w:w="0" w:type="dxa"/>
              <w:bottom w:w="0" w:type="dxa"/>
              <w:right w:w="227" w:type="dxa"/>
            </w:tcMar>
          </w:tcPr>
          <w:p w:rsidR="00CD4CD8" w:rsidRPr="00C51DCA" w:rsidRDefault="00CD4CD8" w:rsidP="001D39EF">
            <w:pPr>
              <w:keepNext/>
              <w:keepLines/>
              <w:rPr>
                <w:szCs w:val="22"/>
                <w:lang w:val="es-419"/>
              </w:rPr>
            </w:pPr>
            <w:r w:rsidRPr="00C51DCA">
              <w:rPr>
                <w:szCs w:val="22"/>
                <w:lang w:val="es-419"/>
              </w:rPr>
              <w:t>Por la Secretaría de Integración Económica Centroamericana</w:t>
            </w:r>
          </w:p>
          <w:p w:rsidR="00CD4CD8" w:rsidRPr="00C51DCA" w:rsidRDefault="00CD4CD8" w:rsidP="001D39EF">
            <w:pPr>
              <w:keepNext/>
              <w:keepLines/>
              <w:rPr>
                <w:szCs w:val="22"/>
                <w:lang w:val="es-419"/>
              </w:rPr>
            </w:pPr>
            <w:r w:rsidRPr="00C51DCA">
              <w:rPr>
                <w:szCs w:val="22"/>
                <w:lang w:val="es-419"/>
              </w:rPr>
              <w:t>(SIECA)</w:t>
            </w:r>
          </w:p>
        </w:tc>
        <w:tc>
          <w:tcPr>
            <w:tcW w:w="4764" w:type="dxa"/>
            <w:tcMar>
              <w:left w:w="0" w:type="dxa"/>
              <w:right w:w="0" w:type="dxa"/>
            </w:tcMar>
          </w:tcPr>
          <w:p w:rsidR="00CD4CD8" w:rsidRPr="00C51DCA" w:rsidRDefault="00CD4CD8" w:rsidP="001D39EF">
            <w:pPr>
              <w:keepNext/>
              <w:keepLines/>
              <w:rPr>
                <w:szCs w:val="22"/>
                <w:lang w:val="es-419"/>
              </w:rPr>
            </w:pPr>
            <w:r w:rsidRPr="00C51DCA">
              <w:rPr>
                <w:szCs w:val="22"/>
                <w:lang w:val="es-419"/>
              </w:rPr>
              <w:t>Por la Organización Mundial</w:t>
            </w:r>
          </w:p>
          <w:p w:rsidR="00CD4CD8" w:rsidRPr="00C51DCA" w:rsidRDefault="00CD4CD8" w:rsidP="001D39EF">
            <w:pPr>
              <w:keepNext/>
              <w:keepLines/>
              <w:rPr>
                <w:szCs w:val="22"/>
                <w:lang w:val="es-419"/>
              </w:rPr>
            </w:pPr>
            <w:r w:rsidRPr="00C51DCA">
              <w:rPr>
                <w:szCs w:val="22"/>
                <w:lang w:val="es-419"/>
              </w:rPr>
              <w:t>de la Propiedad Intelectual</w:t>
            </w:r>
          </w:p>
          <w:p w:rsidR="00CD4CD8" w:rsidRPr="00C51DCA" w:rsidRDefault="00CD4CD8" w:rsidP="001D39EF">
            <w:pPr>
              <w:keepNext/>
              <w:keepLines/>
              <w:rPr>
                <w:szCs w:val="22"/>
                <w:lang w:val="es-419"/>
              </w:rPr>
            </w:pPr>
            <w:r w:rsidRPr="00C51DCA">
              <w:rPr>
                <w:szCs w:val="22"/>
                <w:lang w:val="es-419"/>
              </w:rPr>
              <w:t>(OMPI)</w:t>
            </w:r>
          </w:p>
        </w:tc>
      </w:tr>
      <w:tr w:rsidR="00CD4CD8" w:rsidRPr="00C51DCA" w:rsidTr="00CD4CD8">
        <w:trPr>
          <w:trHeight w:hRule="exact" w:val="720"/>
        </w:trPr>
        <w:tc>
          <w:tcPr>
            <w:tcW w:w="4592" w:type="dxa"/>
            <w:tcMar>
              <w:left w:w="0" w:type="dxa"/>
              <w:bottom w:w="0" w:type="dxa"/>
              <w:right w:w="227" w:type="dxa"/>
            </w:tcMar>
          </w:tcPr>
          <w:p w:rsidR="00CD4CD8" w:rsidRPr="00C51DCA" w:rsidRDefault="00CD4CD8" w:rsidP="001D39EF">
            <w:pPr>
              <w:keepNext/>
              <w:keepLines/>
              <w:rPr>
                <w:caps/>
                <w:szCs w:val="22"/>
                <w:lang w:val="es-419"/>
              </w:rPr>
            </w:pPr>
          </w:p>
        </w:tc>
        <w:tc>
          <w:tcPr>
            <w:tcW w:w="4764" w:type="dxa"/>
            <w:tcMar>
              <w:left w:w="0" w:type="dxa"/>
              <w:right w:w="0" w:type="dxa"/>
            </w:tcMar>
          </w:tcPr>
          <w:p w:rsidR="00CD4CD8" w:rsidRPr="00C51DCA" w:rsidRDefault="00CD4CD8" w:rsidP="001D39EF">
            <w:pPr>
              <w:keepNext/>
              <w:keepLines/>
              <w:rPr>
                <w:szCs w:val="22"/>
                <w:lang w:val="es-419"/>
              </w:rPr>
            </w:pPr>
          </w:p>
        </w:tc>
      </w:tr>
      <w:tr w:rsidR="00CD4CD8" w:rsidRPr="00C51DCA" w:rsidTr="001D39EF">
        <w:trPr>
          <w:trHeight w:hRule="exact" w:val="1418"/>
        </w:trPr>
        <w:tc>
          <w:tcPr>
            <w:tcW w:w="4592" w:type="dxa"/>
            <w:tcMar>
              <w:left w:w="0" w:type="dxa"/>
              <w:bottom w:w="0" w:type="dxa"/>
              <w:right w:w="227" w:type="dxa"/>
            </w:tcMar>
          </w:tcPr>
          <w:p w:rsidR="00CD4CD8" w:rsidRPr="00C51DCA" w:rsidRDefault="00CD4CD8" w:rsidP="001D39EF">
            <w:pPr>
              <w:keepNext/>
              <w:keepLines/>
              <w:rPr>
                <w:caps/>
                <w:szCs w:val="22"/>
                <w:lang w:val="es-419"/>
              </w:rPr>
            </w:pPr>
          </w:p>
        </w:tc>
        <w:tc>
          <w:tcPr>
            <w:tcW w:w="4764" w:type="dxa"/>
            <w:tcMar>
              <w:left w:w="0" w:type="dxa"/>
              <w:right w:w="0" w:type="dxa"/>
            </w:tcMar>
          </w:tcPr>
          <w:p w:rsidR="00CD4CD8" w:rsidRPr="00C51DCA" w:rsidRDefault="00CD4CD8" w:rsidP="001D39EF">
            <w:pPr>
              <w:keepNext/>
              <w:keepLines/>
              <w:rPr>
                <w:szCs w:val="22"/>
                <w:lang w:val="es-419"/>
              </w:rPr>
            </w:pPr>
          </w:p>
        </w:tc>
      </w:tr>
      <w:tr w:rsidR="00CD4CD8" w:rsidRPr="00C51DCA" w:rsidTr="001D39EF">
        <w:trPr>
          <w:trHeight w:val="567"/>
        </w:trPr>
        <w:tc>
          <w:tcPr>
            <w:tcW w:w="4592" w:type="dxa"/>
            <w:tcMar>
              <w:top w:w="0" w:type="dxa"/>
              <w:left w:w="0" w:type="dxa"/>
              <w:bottom w:w="0" w:type="dxa"/>
              <w:right w:w="227" w:type="dxa"/>
            </w:tcMar>
          </w:tcPr>
          <w:p w:rsidR="00CD4CD8" w:rsidRPr="00C51DCA" w:rsidRDefault="00CD4CD8" w:rsidP="001D39EF">
            <w:pPr>
              <w:keepNext/>
              <w:keepLines/>
              <w:rPr>
                <w:caps/>
                <w:szCs w:val="22"/>
                <w:lang w:val="es-419"/>
              </w:rPr>
            </w:pPr>
            <w:r w:rsidRPr="00C51DCA">
              <w:rPr>
                <w:rFonts w:eastAsia="Times New Roman"/>
                <w:szCs w:val="22"/>
                <w:lang w:val="es-419" w:eastAsia="en-US"/>
              </w:rPr>
              <w:t>Francisco A. Lima Mena</w:t>
            </w:r>
          </w:p>
        </w:tc>
        <w:tc>
          <w:tcPr>
            <w:tcW w:w="4764" w:type="dxa"/>
            <w:tcMar>
              <w:left w:w="0" w:type="dxa"/>
              <w:right w:w="0" w:type="dxa"/>
            </w:tcMar>
          </w:tcPr>
          <w:p w:rsidR="00CD4CD8" w:rsidRPr="00C51DCA" w:rsidRDefault="00CD4CD8" w:rsidP="001D39EF">
            <w:pPr>
              <w:keepNext/>
              <w:keepLines/>
              <w:rPr>
                <w:caps/>
                <w:szCs w:val="22"/>
                <w:lang w:val="es-419"/>
              </w:rPr>
            </w:pPr>
            <w:r w:rsidRPr="00C51DCA">
              <w:rPr>
                <w:rFonts w:eastAsia="Times New Roman"/>
                <w:szCs w:val="22"/>
                <w:lang w:val="es-419" w:eastAsia="en-US"/>
              </w:rPr>
              <w:t>Daren Tang</w:t>
            </w:r>
          </w:p>
        </w:tc>
      </w:tr>
      <w:tr w:rsidR="00CD4CD8" w:rsidRPr="00C51DCA" w:rsidTr="001D39EF">
        <w:trPr>
          <w:trHeight w:val="567"/>
        </w:trPr>
        <w:tc>
          <w:tcPr>
            <w:tcW w:w="4592" w:type="dxa"/>
            <w:tcMar>
              <w:top w:w="0" w:type="dxa"/>
              <w:left w:w="0" w:type="dxa"/>
              <w:bottom w:w="0" w:type="dxa"/>
              <w:right w:w="227" w:type="dxa"/>
            </w:tcMar>
          </w:tcPr>
          <w:p w:rsidR="00CD4CD8" w:rsidRPr="00C51DCA" w:rsidRDefault="00CD4CD8" w:rsidP="001D39EF">
            <w:pPr>
              <w:keepNext/>
              <w:keepLines/>
              <w:rPr>
                <w:rFonts w:eastAsia="Times New Roman"/>
                <w:szCs w:val="22"/>
                <w:lang w:val="es-419" w:eastAsia="en-US"/>
              </w:rPr>
            </w:pPr>
            <w:r w:rsidRPr="00C51DCA">
              <w:rPr>
                <w:color w:val="000000" w:themeColor="text1"/>
                <w:lang w:val="es-419"/>
              </w:rPr>
              <w:t xml:space="preserve">Fecha: </w:t>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p>
        </w:tc>
        <w:tc>
          <w:tcPr>
            <w:tcW w:w="4764" w:type="dxa"/>
            <w:tcMar>
              <w:left w:w="0" w:type="dxa"/>
              <w:right w:w="0" w:type="dxa"/>
            </w:tcMar>
          </w:tcPr>
          <w:p w:rsidR="00CD4CD8" w:rsidRPr="00C51DCA" w:rsidRDefault="00CD4CD8" w:rsidP="001D39EF">
            <w:pPr>
              <w:keepNext/>
              <w:keepLines/>
              <w:rPr>
                <w:rFonts w:eastAsia="Times New Roman"/>
                <w:szCs w:val="22"/>
                <w:lang w:val="es-419" w:eastAsia="en-US"/>
              </w:rPr>
            </w:pPr>
            <w:r w:rsidRPr="00C51DCA">
              <w:rPr>
                <w:rFonts w:eastAsia="Times New Roman"/>
                <w:szCs w:val="22"/>
                <w:lang w:val="es-419" w:eastAsia="en-US"/>
              </w:rPr>
              <w:t>Fecha</w:t>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r w:rsidRPr="00C51DCA">
              <w:rPr>
                <w:color w:val="000000" w:themeColor="text1"/>
                <w:lang w:val="es-419"/>
              </w:rPr>
              <w:noBreakHyphen/>
            </w:r>
          </w:p>
        </w:tc>
      </w:tr>
    </w:tbl>
    <w:p w:rsidR="00CD4CD8" w:rsidRPr="00C51DCA" w:rsidRDefault="00CD4CD8" w:rsidP="000934EC">
      <w:pPr>
        <w:spacing w:before="600"/>
        <w:ind w:left="5761"/>
        <w:jc w:val="center"/>
        <w:rPr>
          <w:lang w:val="es-419"/>
        </w:rPr>
      </w:pPr>
      <w:r w:rsidRPr="00C51DCA">
        <w:rPr>
          <w:lang w:val="es-419"/>
        </w:rPr>
        <w:t>[Fin del Anexo y del documento]</w:t>
      </w:r>
    </w:p>
    <w:sectPr w:rsidR="00CD4CD8" w:rsidRPr="00C51DCA" w:rsidSect="009C349A">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0A3" w:rsidRDefault="009330A3">
      <w:r>
        <w:separator/>
      </w:r>
    </w:p>
  </w:endnote>
  <w:endnote w:type="continuationSeparator" w:id="0">
    <w:p w:rsidR="009330A3" w:rsidRPr="009D30E6" w:rsidRDefault="009330A3" w:rsidP="007E663E">
      <w:pPr>
        <w:rPr>
          <w:sz w:val="17"/>
          <w:szCs w:val="17"/>
        </w:rPr>
      </w:pPr>
      <w:r w:rsidRPr="009D30E6">
        <w:rPr>
          <w:sz w:val="17"/>
          <w:szCs w:val="17"/>
        </w:rPr>
        <w:separator/>
      </w:r>
    </w:p>
    <w:p w:rsidR="009330A3" w:rsidRPr="007E663E" w:rsidRDefault="009330A3" w:rsidP="007E663E">
      <w:pPr>
        <w:spacing w:after="60"/>
        <w:rPr>
          <w:sz w:val="17"/>
          <w:szCs w:val="17"/>
        </w:rPr>
      </w:pPr>
      <w:r>
        <w:rPr>
          <w:sz w:val="17"/>
        </w:rPr>
        <w:t>[Continuación de la nota de la página anterior]</w:t>
      </w:r>
    </w:p>
  </w:endnote>
  <w:endnote w:type="continuationNotice" w:id="1">
    <w:p w:rsidR="009330A3" w:rsidRPr="007E663E" w:rsidRDefault="009330A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2" w:rsidRDefault="000F0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2" w:rsidRDefault="000F0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2" w:rsidRDefault="000F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0A3" w:rsidRDefault="009330A3">
      <w:r>
        <w:separator/>
      </w:r>
    </w:p>
  </w:footnote>
  <w:footnote w:type="continuationSeparator" w:id="0">
    <w:p w:rsidR="009330A3" w:rsidRPr="009D30E6" w:rsidRDefault="009330A3" w:rsidP="007E663E">
      <w:pPr>
        <w:rPr>
          <w:sz w:val="17"/>
          <w:szCs w:val="17"/>
        </w:rPr>
      </w:pPr>
      <w:r w:rsidRPr="009D30E6">
        <w:rPr>
          <w:sz w:val="17"/>
          <w:szCs w:val="17"/>
        </w:rPr>
        <w:separator/>
      </w:r>
    </w:p>
    <w:p w:rsidR="009330A3" w:rsidRPr="007E663E" w:rsidRDefault="009330A3" w:rsidP="007E663E">
      <w:pPr>
        <w:spacing w:after="60"/>
        <w:rPr>
          <w:sz w:val="17"/>
          <w:szCs w:val="17"/>
        </w:rPr>
      </w:pPr>
      <w:r>
        <w:rPr>
          <w:sz w:val="17"/>
        </w:rPr>
        <w:t>[Continuación de la nota de la página anterior]</w:t>
      </w:r>
    </w:p>
  </w:footnote>
  <w:footnote w:type="continuationNotice" w:id="1">
    <w:p w:rsidR="009330A3" w:rsidRPr="007E663E" w:rsidRDefault="009330A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2" w:rsidRDefault="000F0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5E2D99" w:rsidP="00477D6B">
    <w:pPr>
      <w:jc w:val="right"/>
    </w:pPr>
    <w:bookmarkStart w:id="6" w:name="Code2"/>
    <w:bookmarkEnd w:id="6"/>
    <w:r>
      <w:t>WO/CC/81/1</w:t>
    </w:r>
  </w:p>
  <w:p w:rsidR="00F84474" w:rsidRDefault="009C349A"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5250A6">
      <w:rPr>
        <w:noProof/>
      </w:rPr>
      <w:t>5</w:t>
    </w:r>
    <w:r w:rsidR="00F84474">
      <w:fldChar w:fldCharType="end"/>
    </w:r>
  </w:p>
  <w:p w:rsidR="00F84474" w:rsidRDefault="00F8447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2" w:rsidRDefault="000F0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49A" w:rsidRDefault="009C349A" w:rsidP="009C349A">
    <w:pPr>
      <w:pStyle w:val="Header"/>
      <w:jc w:val="right"/>
    </w:pPr>
    <w:r>
      <w:t>WO/CC/81/1</w:t>
    </w:r>
  </w:p>
  <w:p w:rsidR="009C349A" w:rsidRDefault="009C349A" w:rsidP="009C349A">
    <w:pPr>
      <w:pStyle w:val="Header"/>
      <w:jc w:val="right"/>
    </w:pPr>
    <w:r>
      <w:t>ANEXO</w:t>
    </w:r>
  </w:p>
  <w:p w:rsidR="009C349A" w:rsidRDefault="009C3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706B8"/>
    <w:multiLevelType w:val="hybridMultilevel"/>
    <w:tmpl w:val="1BF266B6"/>
    <w:lvl w:ilvl="0" w:tplc="100A0017">
      <w:start w:val="1"/>
      <w:numFmt w:val="lowerLetter"/>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xUPOV 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 Template|TextBase TMs\WorkspaceSTS\UPOV\U Instruments"/>
    <w:docVar w:name="TextBaseURL" w:val="empty"/>
    <w:docVar w:name="UILng" w:val="en"/>
  </w:docVars>
  <w:rsids>
    <w:rsidRoot w:val="005E2D99"/>
    <w:rsid w:val="000934EC"/>
    <w:rsid w:val="000E3BB3"/>
    <w:rsid w:val="000F0372"/>
    <w:rsid w:val="000F5E56"/>
    <w:rsid w:val="001362EE"/>
    <w:rsid w:val="00152CEA"/>
    <w:rsid w:val="0017105C"/>
    <w:rsid w:val="001832A6"/>
    <w:rsid w:val="00186911"/>
    <w:rsid w:val="001A7E3F"/>
    <w:rsid w:val="001C4DD3"/>
    <w:rsid w:val="00220E89"/>
    <w:rsid w:val="002634C4"/>
    <w:rsid w:val="002E47E7"/>
    <w:rsid w:val="002F4E68"/>
    <w:rsid w:val="00307787"/>
    <w:rsid w:val="00310DB5"/>
    <w:rsid w:val="00323EB5"/>
    <w:rsid w:val="00354647"/>
    <w:rsid w:val="00377273"/>
    <w:rsid w:val="003845C1"/>
    <w:rsid w:val="00387287"/>
    <w:rsid w:val="003B5563"/>
    <w:rsid w:val="003D41D4"/>
    <w:rsid w:val="00423E3E"/>
    <w:rsid w:val="00427AF4"/>
    <w:rsid w:val="0045231F"/>
    <w:rsid w:val="004647DA"/>
    <w:rsid w:val="00477D6B"/>
    <w:rsid w:val="004A6C37"/>
    <w:rsid w:val="004F7418"/>
    <w:rsid w:val="005250A6"/>
    <w:rsid w:val="0055013B"/>
    <w:rsid w:val="0056224D"/>
    <w:rsid w:val="00571B99"/>
    <w:rsid w:val="005D64EC"/>
    <w:rsid w:val="005E2D99"/>
    <w:rsid w:val="00605827"/>
    <w:rsid w:val="00675021"/>
    <w:rsid w:val="00696E45"/>
    <w:rsid w:val="006A06C6"/>
    <w:rsid w:val="007E63AC"/>
    <w:rsid w:val="007E663E"/>
    <w:rsid w:val="00815082"/>
    <w:rsid w:val="00843582"/>
    <w:rsid w:val="008B14EA"/>
    <w:rsid w:val="008B2CC1"/>
    <w:rsid w:val="0090731E"/>
    <w:rsid w:val="009330A3"/>
    <w:rsid w:val="00966A22"/>
    <w:rsid w:val="00972F03"/>
    <w:rsid w:val="009A0C8B"/>
    <w:rsid w:val="009B6241"/>
    <w:rsid w:val="009C349A"/>
    <w:rsid w:val="00A03F6E"/>
    <w:rsid w:val="00A16FC0"/>
    <w:rsid w:val="00A32C9E"/>
    <w:rsid w:val="00A7453D"/>
    <w:rsid w:val="00A8369F"/>
    <w:rsid w:val="00AB613D"/>
    <w:rsid w:val="00AD6B7B"/>
    <w:rsid w:val="00B65A0A"/>
    <w:rsid w:val="00B72D36"/>
    <w:rsid w:val="00BC4164"/>
    <w:rsid w:val="00BD2DCC"/>
    <w:rsid w:val="00BE1A8C"/>
    <w:rsid w:val="00C06472"/>
    <w:rsid w:val="00C51DCA"/>
    <w:rsid w:val="00C90559"/>
    <w:rsid w:val="00CD4CD8"/>
    <w:rsid w:val="00D36B79"/>
    <w:rsid w:val="00D40CF0"/>
    <w:rsid w:val="00D56C7C"/>
    <w:rsid w:val="00D71B4D"/>
    <w:rsid w:val="00D90289"/>
    <w:rsid w:val="00D93D55"/>
    <w:rsid w:val="00E0077E"/>
    <w:rsid w:val="00E45C84"/>
    <w:rsid w:val="00E504E5"/>
    <w:rsid w:val="00E73ABF"/>
    <w:rsid w:val="00E81788"/>
    <w:rsid w:val="00EB7A3E"/>
    <w:rsid w:val="00EC401A"/>
    <w:rsid w:val="00EF530A"/>
    <w:rsid w:val="00EF6622"/>
    <w:rsid w:val="00F55408"/>
    <w:rsid w:val="00F616DA"/>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8EF67F-A48F-45D7-A311-6BAFCAF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9C349A"/>
    <w:rPr>
      <w:rFonts w:ascii="Arial" w:eastAsia="SimSun" w:hAnsi="Arial" w:cs="Arial"/>
      <w:sz w:val="22"/>
      <w:lang w:val="es-ES" w:eastAsia="zh-CN"/>
    </w:rPr>
  </w:style>
  <w:style w:type="paragraph" w:styleId="ListParagraph">
    <w:name w:val="List Paragraph"/>
    <w:aliases w:val="Articulo,List Paragraph 1,Lista vistosa - Énfasis 11,Cuadros,figuras y gráficos,References,Dot pt,No Spacing1,List Paragraph Char Char Char,Indicator Text,List Paragraph1,Numbered Para 1,Colorful List - Accent 11,Bullet 1,Bullet Points"/>
    <w:basedOn w:val="Normal"/>
    <w:link w:val="ListParagraphChar"/>
    <w:uiPriority w:val="34"/>
    <w:qFormat/>
    <w:rsid w:val="00CD4CD8"/>
    <w:pPr>
      <w:spacing w:after="120"/>
      <w:ind w:left="720"/>
      <w:contextualSpacing/>
    </w:pPr>
    <w:rPr>
      <w:rFonts w:asciiTheme="minorHAnsi" w:eastAsiaTheme="minorHAnsi" w:hAnsiTheme="minorHAnsi" w:cstheme="minorBidi"/>
      <w:szCs w:val="24"/>
      <w:lang w:val="es-ES_tradnl" w:eastAsia="en-US"/>
    </w:rPr>
  </w:style>
  <w:style w:type="character" w:customStyle="1" w:styleId="ListParagraphChar">
    <w:name w:val="List Paragraph Char"/>
    <w:aliases w:val="Articulo Char,List Paragraph 1 Char,Lista vistosa - Énfasis 11 Char,Cuadros Char,figuras y gráficos Char,References Char,Dot pt Char,No Spacing1 Char,List Paragraph Char Char Char Char,Indicator Text Char,List Paragraph1 Char"/>
    <w:link w:val="ListParagraph"/>
    <w:uiPriority w:val="34"/>
    <w:qFormat/>
    <w:locked/>
    <w:rsid w:val="00CD4CD8"/>
    <w:rPr>
      <w:rFonts w:asciiTheme="minorHAnsi" w:eastAsiaTheme="minorHAnsi" w:hAnsiTheme="minorHAnsi" w:cstheme="minorBidi"/>
      <w:sz w:val="22"/>
      <w:szCs w:val="24"/>
      <w:lang w:val="es-ES_tradnl" w:eastAsia="en-US"/>
    </w:rPr>
  </w:style>
  <w:style w:type="table" w:styleId="TableGrid">
    <w:name w:val="Table Grid"/>
    <w:basedOn w:val="TableNormal"/>
    <w:rsid w:val="00CD4CD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81 (S)</Template>
  <TotalTime>0</TotalTime>
  <Pages>6</Pages>
  <Words>1914</Words>
  <Characters>10746</Characters>
  <Application>Microsoft Office Word</Application>
  <DocSecurity>0</DocSecurity>
  <Lines>234</Lines>
  <Paragraphs>89</Paragraphs>
  <ScaleCrop>false</ScaleCrop>
  <HeadingPairs>
    <vt:vector size="2" baseType="variant">
      <vt:variant>
        <vt:lpstr>Title</vt:lpstr>
      </vt:variant>
      <vt:variant>
        <vt:i4>1</vt:i4>
      </vt:variant>
    </vt:vector>
  </HeadingPairs>
  <TitlesOfParts>
    <vt:vector size="1" baseType="lpstr">
      <vt:lpstr>WO/CC/81/1</vt:lpstr>
    </vt:vector>
  </TitlesOfParts>
  <Company>WIPO</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WO/CC/81/1</dc:title>
  <dc:creator>WIPO</dc:creator>
  <cp:keywords>PUBLIC</cp:keywords>
  <cp:lastModifiedBy>HÄFLIGER Patience</cp:lastModifiedBy>
  <cp:revision>3</cp:revision>
  <dcterms:created xsi:type="dcterms:W3CDTF">2022-04-28T08:46:00Z</dcterms:created>
  <dcterms:modified xsi:type="dcterms:W3CDTF">2022-04-28T08:46:00Z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