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1C48E0" w14:textId="77777777" w:rsidR="008B2CC1" w:rsidRPr="003A2471" w:rsidRDefault="00472A6E" w:rsidP="003A2471">
      <w:pPr>
        <w:spacing w:before="360" w:after="240"/>
        <w:ind w:right="-57"/>
        <w:jc w:val="right"/>
        <w:rPr>
          <w:lang w:val="es-ES_tradnl"/>
        </w:rPr>
      </w:pPr>
      <w:r w:rsidRPr="003A2471">
        <w:rPr>
          <w:noProof/>
          <w:lang w:val="en-US" w:eastAsia="en-US"/>
        </w:rPr>
        <w:drawing>
          <wp:inline distT="0" distB="0" distL="0" distR="0" wp14:anchorId="68B2EBA8" wp14:editId="330782DE">
            <wp:extent cx="3147729" cy="1353054"/>
            <wp:effectExtent l="0" t="0" r="0" b="0"/>
            <wp:docPr id="2" name="Picture 2"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PO_logo_S.png"/>
                    <pic:cNvPicPr/>
                  </pic:nvPicPr>
                  <pic:blipFill>
                    <a:blip r:embed="rId8">
                      <a:extLst>
                        <a:ext uri="{28A0092B-C50C-407E-A947-70E740481C1C}">
                          <a14:useLocalDpi xmlns:a14="http://schemas.microsoft.com/office/drawing/2010/main" val="0"/>
                        </a:ext>
                      </a:extLst>
                    </a:blip>
                    <a:stretch>
                      <a:fillRect/>
                    </a:stretch>
                  </pic:blipFill>
                  <pic:spPr>
                    <a:xfrm>
                      <a:off x="0" y="0"/>
                      <a:ext cx="3147729" cy="1353054"/>
                    </a:xfrm>
                    <a:prstGeom prst="rect">
                      <a:avLst/>
                    </a:prstGeom>
                  </pic:spPr>
                </pic:pic>
              </a:graphicData>
            </a:graphic>
          </wp:inline>
        </w:drawing>
      </w:r>
    </w:p>
    <w:p w14:paraId="25248C2D" w14:textId="6D038458" w:rsidR="00472A6E" w:rsidRPr="003A2471" w:rsidRDefault="0070598A" w:rsidP="003A2471">
      <w:pPr>
        <w:pBdr>
          <w:top w:val="single" w:sz="4" w:space="16" w:color="auto"/>
        </w:pBdr>
        <w:jc w:val="right"/>
        <w:rPr>
          <w:rFonts w:ascii="Arial Black" w:hAnsi="Arial Black"/>
          <w:caps/>
          <w:sz w:val="15"/>
          <w:lang w:val="es-ES_tradnl"/>
        </w:rPr>
      </w:pPr>
      <w:r w:rsidRPr="003A2471">
        <w:rPr>
          <w:rFonts w:ascii="Arial Black" w:hAnsi="Arial Black"/>
          <w:caps/>
          <w:sz w:val="15"/>
          <w:lang w:val="es-ES_tradnl"/>
        </w:rPr>
        <w:t>WO/CC/78</w:t>
      </w:r>
      <w:r w:rsidR="001E1326" w:rsidRPr="003A2471">
        <w:rPr>
          <w:rFonts w:ascii="Arial Black" w:hAnsi="Arial Black"/>
          <w:caps/>
          <w:sz w:val="15"/>
          <w:lang w:val="es-ES_tradnl"/>
        </w:rPr>
        <w:t>/</w:t>
      </w:r>
      <w:bookmarkStart w:id="0" w:name="Code"/>
      <w:r w:rsidR="00431F02" w:rsidRPr="003A2471">
        <w:rPr>
          <w:rFonts w:ascii="Arial Black" w:hAnsi="Arial Black"/>
          <w:caps/>
          <w:sz w:val="15"/>
          <w:lang w:val="es-ES_tradnl"/>
        </w:rPr>
        <w:t>inf/</w:t>
      </w:r>
      <w:r w:rsidR="00145FB2" w:rsidRPr="003A2471">
        <w:rPr>
          <w:rFonts w:ascii="Arial Black" w:hAnsi="Arial Black"/>
          <w:caps/>
          <w:sz w:val="15"/>
          <w:lang w:val="es-ES_tradnl"/>
        </w:rPr>
        <w:t>1 Rev.</w:t>
      </w:r>
    </w:p>
    <w:bookmarkEnd w:id="0"/>
    <w:p w14:paraId="06224E50" w14:textId="77777777" w:rsidR="008B2CC1" w:rsidRPr="003A2471" w:rsidRDefault="00472A6E" w:rsidP="003A2471">
      <w:pPr>
        <w:jc w:val="right"/>
        <w:rPr>
          <w:lang w:val="es-ES_tradnl"/>
        </w:rPr>
      </w:pPr>
      <w:r w:rsidRPr="003A2471">
        <w:rPr>
          <w:rFonts w:ascii="Arial Black" w:hAnsi="Arial Black"/>
          <w:caps/>
          <w:sz w:val="15"/>
          <w:lang w:val="es-ES_tradnl"/>
        </w:rPr>
        <w:t xml:space="preserve">ORIGINAL: </w:t>
      </w:r>
      <w:bookmarkStart w:id="1" w:name="Original"/>
      <w:r w:rsidR="00431F02" w:rsidRPr="003A2471">
        <w:rPr>
          <w:rFonts w:ascii="Arial Black" w:hAnsi="Arial Black"/>
          <w:caps/>
          <w:sz w:val="15"/>
          <w:lang w:val="es-ES_tradnl"/>
        </w:rPr>
        <w:t>INGLÉS</w:t>
      </w:r>
    </w:p>
    <w:bookmarkEnd w:id="1"/>
    <w:p w14:paraId="6D23187B" w14:textId="475634B2" w:rsidR="008B2CC1" w:rsidRPr="003A2471" w:rsidRDefault="00472A6E" w:rsidP="003A2471">
      <w:pPr>
        <w:spacing w:after="1200"/>
        <w:jc w:val="right"/>
        <w:rPr>
          <w:lang w:val="es-ES_tradnl"/>
        </w:rPr>
      </w:pPr>
      <w:r w:rsidRPr="003A2471">
        <w:rPr>
          <w:rFonts w:ascii="Arial Black" w:hAnsi="Arial Black"/>
          <w:caps/>
          <w:sz w:val="15"/>
          <w:lang w:val="es-ES_tradnl"/>
        </w:rPr>
        <w:t xml:space="preserve">fecha: </w:t>
      </w:r>
      <w:bookmarkStart w:id="2" w:name="Date"/>
      <w:r w:rsidR="00C866D2">
        <w:rPr>
          <w:rFonts w:ascii="Arial Black" w:hAnsi="Arial Black"/>
          <w:caps/>
          <w:sz w:val="15"/>
          <w:szCs w:val="15"/>
          <w:lang w:val="es-ES_tradnl"/>
        </w:rPr>
        <w:t>3</w:t>
      </w:r>
      <w:r w:rsidR="00431F02" w:rsidRPr="003A2471">
        <w:rPr>
          <w:rFonts w:ascii="Arial Black" w:hAnsi="Arial Black"/>
          <w:caps/>
          <w:sz w:val="15"/>
          <w:szCs w:val="15"/>
          <w:lang w:val="es-ES_tradnl"/>
        </w:rPr>
        <w:t>1 DE JULIO DE 2020</w:t>
      </w:r>
    </w:p>
    <w:bookmarkEnd w:id="2"/>
    <w:p w14:paraId="766F1ED4" w14:textId="77777777" w:rsidR="00B67CDC" w:rsidRPr="003A2471" w:rsidRDefault="0070598A" w:rsidP="003A2471">
      <w:pPr>
        <w:pStyle w:val="Heading1"/>
        <w:keepNext w:val="0"/>
        <w:spacing w:before="0" w:after="600"/>
        <w:rPr>
          <w:sz w:val="28"/>
          <w:szCs w:val="28"/>
          <w:lang w:val="es-ES_tradnl"/>
        </w:rPr>
      </w:pPr>
      <w:r w:rsidRPr="003A2471">
        <w:rPr>
          <w:caps w:val="0"/>
          <w:sz w:val="28"/>
          <w:szCs w:val="28"/>
          <w:lang w:val="es-ES_tradnl"/>
        </w:rPr>
        <w:t>Comité de Coordinación de la OMPI</w:t>
      </w:r>
    </w:p>
    <w:p w14:paraId="3F040D0A" w14:textId="77777777" w:rsidR="00247B77" w:rsidRPr="003A2471" w:rsidRDefault="0070598A" w:rsidP="003A2471">
      <w:pPr>
        <w:outlineLvl w:val="1"/>
        <w:rPr>
          <w:b/>
          <w:sz w:val="24"/>
          <w:szCs w:val="24"/>
          <w:lang w:val="es-ES_tradnl"/>
        </w:rPr>
      </w:pPr>
      <w:r w:rsidRPr="003A2471">
        <w:rPr>
          <w:b/>
          <w:sz w:val="24"/>
          <w:szCs w:val="24"/>
          <w:lang w:val="es-ES_tradnl"/>
        </w:rPr>
        <w:t>Septuagésima octava sesión (51.</w:t>
      </w:r>
      <w:r w:rsidR="00305C54" w:rsidRPr="003A2471">
        <w:rPr>
          <w:b/>
          <w:sz w:val="24"/>
          <w:szCs w:val="24"/>
          <w:lang w:val="es-ES_tradnl"/>
        </w:rPr>
        <w:t>ª</w:t>
      </w:r>
      <w:r w:rsidRPr="003A2471">
        <w:rPr>
          <w:b/>
          <w:sz w:val="24"/>
          <w:szCs w:val="24"/>
          <w:lang w:val="es-ES_tradnl"/>
        </w:rPr>
        <w:t xml:space="preserve"> ordinaria)</w:t>
      </w:r>
    </w:p>
    <w:p w14:paraId="1FFEA214" w14:textId="19750B48" w:rsidR="00B67CDC" w:rsidRPr="003A2471" w:rsidRDefault="0070598A" w:rsidP="003A2471">
      <w:pPr>
        <w:spacing w:after="720"/>
        <w:outlineLvl w:val="1"/>
        <w:rPr>
          <w:b/>
          <w:sz w:val="24"/>
          <w:szCs w:val="24"/>
          <w:lang w:val="es-ES_tradnl"/>
        </w:rPr>
      </w:pPr>
      <w:r w:rsidRPr="003A2471">
        <w:rPr>
          <w:b/>
          <w:sz w:val="24"/>
          <w:szCs w:val="24"/>
          <w:lang w:val="es-ES_tradnl"/>
        </w:rPr>
        <w:t>Ginebra, 21 a 29 de septiembre de 2020</w:t>
      </w:r>
    </w:p>
    <w:p w14:paraId="069CA4DF" w14:textId="77777777" w:rsidR="00431F02" w:rsidRPr="003A2471" w:rsidRDefault="00431F02" w:rsidP="003A2471">
      <w:pPr>
        <w:spacing w:after="360"/>
        <w:rPr>
          <w:caps/>
          <w:sz w:val="24"/>
          <w:szCs w:val="24"/>
          <w:lang w:val="es-ES_tradnl"/>
        </w:rPr>
      </w:pPr>
      <w:bookmarkStart w:id="3" w:name="Prepared"/>
      <w:r w:rsidRPr="003A2471">
        <w:rPr>
          <w:caps/>
          <w:sz w:val="24"/>
          <w:szCs w:val="24"/>
          <w:lang w:val="es-ES_tradnl"/>
        </w:rPr>
        <w:t>INFORME anual SOBRE RECURSOS HUMANOS</w:t>
      </w:r>
    </w:p>
    <w:p w14:paraId="426DBD0D" w14:textId="77777777" w:rsidR="00152CEA" w:rsidRPr="003A2471" w:rsidRDefault="00431F02" w:rsidP="003A2471">
      <w:pPr>
        <w:spacing w:after="960"/>
        <w:rPr>
          <w:i/>
          <w:lang w:val="es-ES_tradnl"/>
        </w:rPr>
      </w:pPr>
      <w:r w:rsidRPr="003A2471">
        <w:rPr>
          <w:i/>
          <w:lang w:val="es-ES_tradnl"/>
        </w:rPr>
        <w:t>preparado por la Secretaría</w:t>
      </w:r>
      <w:bookmarkEnd w:id="3"/>
    </w:p>
    <w:p w14:paraId="06FA84DA" w14:textId="77777777" w:rsidR="00431F02" w:rsidRPr="003A2471" w:rsidRDefault="00431F02" w:rsidP="003A2471">
      <w:pPr>
        <w:pStyle w:val="Heading1"/>
        <w:keepNext w:val="0"/>
        <w:numPr>
          <w:ilvl w:val="0"/>
          <w:numId w:val="14"/>
        </w:numPr>
        <w:spacing w:before="0" w:after="240"/>
        <w:ind w:left="567" w:hanging="567"/>
        <w:rPr>
          <w:lang w:val="es-ES_tradnl"/>
        </w:rPr>
      </w:pPr>
      <w:r w:rsidRPr="003A2471">
        <w:rPr>
          <w:lang w:val="es-ES_tradnl"/>
        </w:rPr>
        <w:t>INTRODUCCIÓN</w:t>
      </w:r>
    </w:p>
    <w:p w14:paraId="1FD28CA2" w14:textId="6ABBDEC3" w:rsidR="00431F02" w:rsidRPr="003A2471" w:rsidRDefault="00474D5C" w:rsidP="003A2471">
      <w:pPr>
        <w:pStyle w:val="ListParagraph"/>
        <w:numPr>
          <w:ilvl w:val="0"/>
          <w:numId w:val="7"/>
        </w:numPr>
        <w:spacing w:after="240"/>
        <w:ind w:left="0" w:firstLine="0"/>
        <w:contextualSpacing w:val="0"/>
        <w:rPr>
          <w:rFonts w:ascii="Arial" w:hAnsi="Arial" w:cs="Arial"/>
          <w:sz w:val="22"/>
          <w:szCs w:val="22"/>
          <w:lang w:val="es-ES_tradnl"/>
        </w:rPr>
      </w:pPr>
      <w:r w:rsidRPr="003A2471">
        <w:rPr>
          <w:rFonts w:ascii="Arial" w:hAnsi="Arial" w:cs="Arial"/>
          <w:sz w:val="22"/>
          <w:szCs w:val="22"/>
          <w:lang w:val="es-ES_tradnl"/>
        </w:rPr>
        <w:t>El presente informe anual sobre recursos humanos</w:t>
      </w:r>
      <w:r w:rsidR="00431F02" w:rsidRPr="003A2471">
        <w:rPr>
          <w:rFonts w:ascii="Arial" w:hAnsi="Arial" w:cs="Arial"/>
          <w:sz w:val="22"/>
          <w:szCs w:val="22"/>
          <w:lang w:val="es-ES_tradnl"/>
        </w:rPr>
        <w:t xml:space="preserve"> (</w:t>
      </w:r>
      <w:r w:rsidRPr="003A2471">
        <w:rPr>
          <w:rFonts w:ascii="Arial" w:hAnsi="Arial" w:cs="Arial"/>
          <w:sz w:val="22"/>
          <w:szCs w:val="22"/>
          <w:lang w:val="es-ES_tradnl"/>
        </w:rPr>
        <w:t>RR.HH.</w:t>
      </w:r>
      <w:r w:rsidR="00431F02" w:rsidRPr="003A2471">
        <w:rPr>
          <w:rFonts w:ascii="Arial" w:hAnsi="Arial" w:cs="Arial"/>
          <w:sz w:val="22"/>
          <w:szCs w:val="22"/>
          <w:lang w:val="es-ES_tradnl"/>
        </w:rPr>
        <w:t xml:space="preserve">) </w:t>
      </w:r>
      <w:r w:rsidRPr="003A2471">
        <w:rPr>
          <w:rFonts w:ascii="Arial" w:hAnsi="Arial" w:cs="Arial"/>
          <w:sz w:val="22"/>
          <w:szCs w:val="22"/>
          <w:lang w:val="es-ES_tradnl"/>
        </w:rPr>
        <w:t xml:space="preserve">abarca todas las cuestiones relativas a los RR.HH. que deben comunicarse al Comité de Coordinación de la OMPI y otras cuestiones relativas al personal que son de interés para los Estados miembros. En él se incluye información sobre los avances logrados en los objetivos </w:t>
      </w:r>
      <w:r w:rsidR="00BC7FC0" w:rsidRPr="003A2471">
        <w:rPr>
          <w:rFonts w:ascii="Arial" w:hAnsi="Arial" w:cs="Arial"/>
          <w:sz w:val="22"/>
          <w:szCs w:val="22"/>
          <w:lang w:val="es-ES_tradnl"/>
        </w:rPr>
        <w:t>sobre</w:t>
      </w:r>
      <w:r w:rsidRPr="003A2471">
        <w:rPr>
          <w:rFonts w:ascii="Arial" w:hAnsi="Arial" w:cs="Arial"/>
          <w:sz w:val="22"/>
          <w:szCs w:val="22"/>
          <w:lang w:val="es-ES_tradnl"/>
        </w:rPr>
        <w:t xml:space="preserve"> cuestiones de personal y una visión general de las políticas, iniciativas y actividades pertinentes enmarcadas en la estrategia de RR.HH. de la OMPI para </w:t>
      </w:r>
      <w:r w:rsidR="00431F02" w:rsidRPr="003A2471">
        <w:rPr>
          <w:rFonts w:ascii="Arial" w:hAnsi="Arial" w:cs="Arial"/>
          <w:sz w:val="22"/>
          <w:szCs w:val="22"/>
          <w:lang w:val="es-ES_tradnl"/>
        </w:rPr>
        <w:t>2017-2021.</w:t>
      </w:r>
      <w:r w:rsidR="00431F02" w:rsidRPr="003A2471">
        <w:rPr>
          <w:rStyle w:val="FootnoteReference"/>
          <w:rFonts w:ascii="Arial" w:hAnsi="Arial" w:cs="Arial"/>
          <w:sz w:val="22"/>
          <w:szCs w:val="22"/>
          <w:lang w:val="es-ES_tradnl"/>
        </w:rPr>
        <w:footnoteReference w:id="2"/>
      </w:r>
    </w:p>
    <w:p w14:paraId="5A46D889" w14:textId="52854D2D" w:rsidR="00431F02" w:rsidRPr="003A2471" w:rsidRDefault="00474D5C" w:rsidP="003A2471">
      <w:pPr>
        <w:pStyle w:val="ListParagraph"/>
        <w:numPr>
          <w:ilvl w:val="0"/>
          <w:numId w:val="7"/>
        </w:numPr>
        <w:spacing w:after="240"/>
        <w:ind w:left="0" w:firstLine="0"/>
        <w:contextualSpacing w:val="0"/>
        <w:rPr>
          <w:rFonts w:ascii="Arial" w:hAnsi="Arial" w:cs="Arial"/>
          <w:sz w:val="22"/>
          <w:szCs w:val="22"/>
          <w:lang w:val="es-ES_tradnl"/>
        </w:rPr>
      </w:pPr>
      <w:r w:rsidRPr="003A2471">
        <w:rPr>
          <w:rFonts w:ascii="Arial" w:hAnsi="Arial" w:cs="Arial"/>
          <w:sz w:val="22"/>
          <w:szCs w:val="22"/>
          <w:lang w:val="es-ES_tradnl"/>
        </w:rPr>
        <w:t xml:space="preserve">El presente informe abarca el período comprendido entre el 1 de julio de 2019 y el 30 de junio de 2020. </w:t>
      </w:r>
      <w:r w:rsidR="00E35784" w:rsidRPr="003A2471">
        <w:rPr>
          <w:rFonts w:ascii="Arial" w:hAnsi="Arial" w:cs="Arial"/>
          <w:sz w:val="22"/>
          <w:szCs w:val="22"/>
          <w:lang w:val="es-ES_tradnl"/>
        </w:rPr>
        <w:t>Como complement</w:t>
      </w:r>
      <w:r w:rsidR="00256929" w:rsidRPr="003A2471">
        <w:rPr>
          <w:rFonts w:ascii="Arial" w:hAnsi="Arial" w:cs="Arial"/>
          <w:sz w:val="22"/>
          <w:szCs w:val="22"/>
          <w:lang w:val="es-ES_tradnl"/>
        </w:rPr>
        <w:t>o</w:t>
      </w:r>
      <w:r w:rsidR="00E35784" w:rsidRPr="003A2471">
        <w:rPr>
          <w:rFonts w:ascii="Arial" w:hAnsi="Arial" w:cs="Arial"/>
          <w:sz w:val="22"/>
          <w:szCs w:val="22"/>
          <w:lang w:val="es-ES_tradnl"/>
        </w:rPr>
        <w:t xml:space="preserve"> </w:t>
      </w:r>
      <w:r w:rsidR="00BC7FC0" w:rsidRPr="003A2471">
        <w:rPr>
          <w:rFonts w:ascii="Arial" w:hAnsi="Arial" w:cs="Arial"/>
          <w:sz w:val="22"/>
          <w:szCs w:val="22"/>
          <w:lang w:val="es-ES_tradnl"/>
        </w:rPr>
        <w:t>del mismo</w:t>
      </w:r>
      <w:r w:rsidR="00E35784" w:rsidRPr="003A2471">
        <w:rPr>
          <w:rFonts w:ascii="Arial" w:hAnsi="Arial" w:cs="Arial"/>
          <w:sz w:val="22"/>
          <w:szCs w:val="22"/>
          <w:lang w:val="es-ES_tradnl"/>
        </w:rPr>
        <w:t xml:space="preserve"> se publica por separado un folleto de RR.HH. en el que figuran datos esenciales que abarcan el mismo período o b</w:t>
      </w:r>
      <w:r w:rsidR="0025386A" w:rsidRPr="003A2471">
        <w:rPr>
          <w:rFonts w:ascii="Arial" w:hAnsi="Arial" w:cs="Arial"/>
          <w:sz w:val="22"/>
          <w:szCs w:val="22"/>
          <w:lang w:val="es-ES_tradnl"/>
        </w:rPr>
        <w:t>ien el año civil. El folleto de </w:t>
      </w:r>
      <w:r w:rsidR="00E35784" w:rsidRPr="003A2471">
        <w:rPr>
          <w:rFonts w:ascii="Arial" w:hAnsi="Arial" w:cs="Arial"/>
          <w:sz w:val="22"/>
          <w:szCs w:val="22"/>
          <w:lang w:val="es-ES_tradnl"/>
        </w:rPr>
        <w:t xml:space="preserve">2020 sobre recursos humanos, titulado </w:t>
      </w:r>
      <w:r w:rsidR="00E35784" w:rsidRPr="003A2471">
        <w:rPr>
          <w:rFonts w:ascii="Arial" w:hAnsi="Arial" w:cs="Arial"/>
          <w:i/>
          <w:sz w:val="22"/>
          <w:szCs w:val="22"/>
          <w:lang w:val="es-ES_tradnl"/>
        </w:rPr>
        <w:t xml:space="preserve">“Staff@WIPO: Engaged, Innovative, Resilient” </w:t>
      </w:r>
      <w:r w:rsidR="00E35784" w:rsidRPr="003A2471">
        <w:rPr>
          <w:rFonts w:ascii="Arial" w:hAnsi="Arial" w:cs="Arial"/>
          <w:sz w:val="22"/>
          <w:szCs w:val="22"/>
          <w:lang w:val="es-ES_tradnl"/>
        </w:rPr>
        <w:t>puede consultarse en el sitio web de la OMPI</w:t>
      </w:r>
      <w:r w:rsidR="00431F02" w:rsidRPr="003A2471">
        <w:rPr>
          <w:rFonts w:ascii="Arial" w:hAnsi="Arial" w:cs="Arial"/>
          <w:sz w:val="22"/>
          <w:szCs w:val="22"/>
          <w:lang w:val="es-ES_tradnl"/>
        </w:rPr>
        <w:t>.</w:t>
      </w:r>
      <w:r w:rsidR="00431F02" w:rsidRPr="003A2471">
        <w:rPr>
          <w:rStyle w:val="FootnoteReference"/>
          <w:rFonts w:ascii="Arial" w:hAnsi="Arial" w:cs="Arial"/>
          <w:sz w:val="22"/>
          <w:szCs w:val="22"/>
          <w:lang w:val="es-ES_tradnl"/>
        </w:rPr>
        <w:footnoteReference w:id="3"/>
      </w:r>
      <w:r w:rsidR="00431F02" w:rsidRPr="003A2471">
        <w:rPr>
          <w:rFonts w:ascii="Arial" w:hAnsi="Arial" w:cs="Arial"/>
          <w:sz w:val="22"/>
          <w:szCs w:val="22"/>
          <w:lang w:val="es-ES_tradnl"/>
        </w:rPr>
        <w:t xml:space="preserve"> </w:t>
      </w:r>
      <w:r w:rsidR="00E35784" w:rsidRPr="003A2471">
        <w:rPr>
          <w:rFonts w:ascii="Arial" w:hAnsi="Arial" w:cs="Arial"/>
          <w:sz w:val="22"/>
          <w:szCs w:val="22"/>
          <w:lang w:val="es-ES_tradnl"/>
        </w:rPr>
        <w:t>En él se hace referencia a los cuadros y gráficos que figuran en el folleto de RR.HH</w:t>
      </w:r>
      <w:r w:rsidR="00431F02" w:rsidRPr="003A2471">
        <w:rPr>
          <w:rFonts w:ascii="Arial" w:hAnsi="Arial" w:cs="Arial"/>
          <w:sz w:val="22"/>
          <w:szCs w:val="22"/>
          <w:lang w:val="es-ES_tradnl"/>
        </w:rPr>
        <w:t>.</w:t>
      </w:r>
    </w:p>
    <w:p w14:paraId="422982B0" w14:textId="77777777" w:rsidR="00431F02" w:rsidRPr="003A2471" w:rsidRDefault="00431F02" w:rsidP="003A2471">
      <w:pPr>
        <w:pStyle w:val="Heading1"/>
        <w:keepLines/>
        <w:numPr>
          <w:ilvl w:val="0"/>
          <w:numId w:val="14"/>
        </w:numPr>
        <w:spacing w:before="0" w:after="240"/>
        <w:ind w:left="567" w:hanging="567"/>
        <w:rPr>
          <w:lang w:val="es-ES_tradnl"/>
        </w:rPr>
      </w:pPr>
      <w:r w:rsidRPr="003A2471">
        <w:rPr>
          <w:lang w:val="es-ES_tradnl"/>
        </w:rPr>
        <w:lastRenderedPageBreak/>
        <w:t>resumen de los datos relativos al conjunto de los empleados</w:t>
      </w:r>
    </w:p>
    <w:p w14:paraId="612962B0" w14:textId="4FBA80B0" w:rsidR="00431F02" w:rsidRPr="003A2471" w:rsidRDefault="00E35784" w:rsidP="003A2471">
      <w:pPr>
        <w:pStyle w:val="ListParagraph"/>
        <w:numPr>
          <w:ilvl w:val="0"/>
          <w:numId w:val="7"/>
        </w:numPr>
        <w:spacing w:after="240"/>
        <w:ind w:left="0" w:firstLine="0"/>
        <w:contextualSpacing w:val="0"/>
        <w:rPr>
          <w:rFonts w:ascii="Arial" w:hAnsi="Arial" w:cs="Arial"/>
          <w:sz w:val="22"/>
          <w:szCs w:val="22"/>
          <w:lang w:val="es-ES_tradnl"/>
        </w:rPr>
      </w:pPr>
      <w:r w:rsidRPr="003A2471">
        <w:rPr>
          <w:rFonts w:ascii="Arial" w:hAnsi="Arial" w:cs="Arial"/>
          <w:sz w:val="22"/>
          <w:szCs w:val="22"/>
          <w:lang w:val="es-ES_tradnl"/>
        </w:rPr>
        <w:t>Al 30 de junio de</w:t>
      </w:r>
      <w:r w:rsidR="00431F02" w:rsidRPr="003A2471">
        <w:rPr>
          <w:rFonts w:ascii="Arial" w:hAnsi="Arial" w:cs="Arial"/>
          <w:sz w:val="22"/>
          <w:szCs w:val="22"/>
          <w:lang w:val="es-ES_tradnl"/>
        </w:rPr>
        <w:t xml:space="preserve"> 2020, </w:t>
      </w:r>
      <w:r w:rsidRPr="003A2471">
        <w:rPr>
          <w:rFonts w:ascii="Arial" w:hAnsi="Arial" w:cs="Arial"/>
          <w:sz w:val="22"/>
          <w:szCs w:val="22"/>
          <w:lang w:val="es-ES_tradnl"/>
        </w:rPr>
        <w:t xml:space="preserve">el conjunto de empleados de la OMPI comprende </w:t>
      </w:r>
      <w:r w:rsidR="00431F02" w:rsidRPr="003A2471">
        <w:rPr>
          <w:rFonts w:ascii="Arial" w:hAnsi="Arial" w:cs="Arial"/>
          <w:sz w:val="22"/>
          <w:szCs w:val="22"/>
          <w:lang w:val="es-ES_tradnl"/>
        </w:rPr>
        <w:t>1</w:t>
      </w:r>
      <w:r w:rsidRPr="003A2471">
        <w:rPr>
          <w:rFonts w:ascii="Arial" w:hAnsi="Arial" w:cs="Arial"/>
          <w:sz w:val="22"/>
          <w:szCs w:val="22"/>
          <w:lang w:val="es-ES_tradnl"/>
        </w:rPr>
        <w:t>.</w:t>
      </w:r>
      <w:r w:rsidR="00431F02" w:rsidRPr="003A2471">
        <w:rPr>
          <w:rFonts w:ascii="Arial" w:hAnsi="Arial" w:cs="Arial"/>
          <w:sz w:val="22"/>
          <w:szCs w:val="22"/>
          <w:lang w:val="es-ES_tradnl"/>
        </w:rPr>
        <w:t>508</w:t>
      </w:r>
      <w:r w:rsidRPr="003A2471">
        <w:rPr>
          <w:rFonts w:ascii="Arial" w:hAnsi="Arial" w:cs="Arial"/>
          <w:sz w:val="22"/>
          <w:szCs w:val="22"/>
          <w:lang w:val="es-ES_tradnl"/>
        </w:rPr>
        <w:t xml:space="preserve"> empleados</w:t>
      </w:r>
      <w:r w:rsidR="00431F02" w:rsidRPr="003A2471">
        <w:rPr>
          <w:rFonts w:ascii="Arial" w:hAnsi="Arial" w:cs="Arial"/>
          <w:sz w:val="22"/>
          <w:szCs w:val="22"/>
          <w:lang w:val="es-ES_tradnl"/>
        </w:rPr>
        <w:t xml:space="preserve">. </w:t>
      </w:r>
      <w:r w:rsidRPr="003A2471">
        <w:rPr>
          <w:rFonts w:ascii="Arial" w:hAnsi="Arial" w:cs="Arial"/>
          <w:sz w:val="22"/>
          <w:szCs w:val="22"/>
          <w:lang w:val="es-ES_tradnl"/>
        </w:rPr>
        <w:t xml:space="preserve">La proporción entre </w:t>
      </w:r>
      <w:r w:rsidR="006A1C06" w:rsidRPr="003A2471">
        <w:rPr>
          <w:rFonts w:ascii="Arial" w:hAnsi="Arial" w:cs="Arial"/>
          <w:sz w:val="22"/>
          <w:szCs w:val="22"/>
          <w:lang w:val="es-ES_tradnl"/>
        </w:rPr>
        <w:t>el componente central de empleados</w:t>
      </w:r>
      <w:r w:rsidR="00431F02" w:rsidRPr="003A2471">
        <w:rPr>
          <w:rFonts w:ascii="Arial" w:hAnsi="Arial" w:cs="Arial"/>
          <w:sz w:val="22"/>
          <w:szCs w:val="22"/>
          <w:lang w:val="es-ES_tradnl"/>
        </w:rPr>
        <w:t xml:space="preserve"> (72</w:t>
      </w:r>
      <w:r w:rsidRPr="003A2471">
        <w:rPr>
          <w:rFonts w:ascii="Arial" w:hAnsi="Arial" w:cs="Arial"/>
          <w:sz w:val="22"/>
          <w:szCs w:val="22"/>
          <w:lang w:val="es-ES_tradnl"/>
        </w:rPr>
        <w:t>,</w:t>
      </w:r>
      <w:r w:rsidR="00431F02" w:rsidRPr="003A2471">
        <w:rPr>
          <w:rFonts w:ascii="Arial" w:hAnsi="Arial" w:cs="Arial"/>
          <w:sz w:val="22"/>
          <w:szCs w:val="22"/>
          <w:lang w:val="es-ES_tradnl"/>
        </w:rPr>
        <w:t>3</w:t>
      </w:r>
      <w:r w:rsidRPr="003A2471">
        <w:rPr>
          <w:rFonts w:ascii="Arial" w:hAnsi="Arial" w:cs="Arial"/>
          <w:sz w:val="22"/>
          <w:szCs w:val="22"/>
          <w:lang w:val="es-ES_tradnl"/>
        </w:rPr>
        <w:t>%</w:t>
      </w:r>
      <w:r w:rsidR="00431F02" w:rsidRPr="003A2471">
        <w:rPr>
          <w:rFonts w:ascii="Arial" w:hAnsi="Arial" w:cs="Arial"/>
          <w:sz w:val="22"/>
          <w:szCs w:val="22"/>
          <w:lang w:val="es-ES_tradnl"/>
        </w:rPr>
        <w:t xml:space="preserve">) </w:t>
      </w:r>
      <w:r w:rsidR="006A1C06" w:rsidRPr="003A2471">
        <w:rPr>
          <w:rFonts w:ascii="Arial" w:hAnsi="Arial" w:cs="Arial"/>
          <w:sz w:val="22"/>
          <w:szCs w:val="22"/>
          <w:lang w:val="es-ES_tradnl"/>
        </w:rPr>
        <w:t>y el flexible</w:t>
      </w:r>
      <w:r w:rsidR="00431F02" w:rsidRPr="003A2471">
        <w:rPr>
          <w:rFonts w:ascii="Arial" w:hAnsi="Arial" w:cs="Arial"/>
          <w:sz w:val="22"/>
          <w:szCs w:val="22"/>
          <w:lang w:val="es-ES_tradnl"/>
        </w:rPr>
        <w:t xml:space="preserve"> (27</w:t>
      </w:r>
      <w:r w:rsidR="006A1C06" w:rsidRPr="003A2471">
        <w:rPr>
          <w:rFonts w:ascii="Arial" w:hAnsi="Arial" w:cs="Arial"/>
          <w:sz w:val="22"/>
          <w:szCs w:val="22"/>
          <w:lang w:val="es-ES_tradnl"/>
        </w:rPr>
        <w:t>,</w:t>
      </w:r>
      <w:r w:rsidR="00431F02" w:rsidRPr="003A2471">
        <w:rPr>
          <w:rFonts w:ascii="Arial" w:hAnsi="Arial" w:cs="Arial"/>
          <w:sz w:val="22"/>
          <w:szCs w:val="22"/>
          <w:lang w:val="es-ES_tradnl"/>
        </w:rPr>
        <w:t>7</w:t>
      </w:r>
      <w:r w:rsidR="006A1C06" w:rsidRPr="003A2471">
        <w:rPr>
          <w:rFonts w:ascii="Arial" w:hAnsi="Arial" w:cs="Arial"/>
          <w:sz w:val="22"/>
          <w:szCs w:val="22"/>
          <w:lang w:val="es-ES_tradnl"/>
        </w:rPr>
        <w:t>%</w:t>
      </w:r>
      <w:r w:rsidR="00431F02" w:rsidRPr="003A2471">
        <w:rPr>
          <w:rFonts w:ascii="Arial" w:hAnsi="Arial" w:cs="Arial"/>
          <w:sz w:val="22"/>
          <w:szCs w:val="22"/>
          <w:lang w:val="es-ES_tradnl"/>
        </w:rPr>
        <w:t xml:space="preserve">) </w:t>
      </w:r>
      <w:r w:rsidR="006A1C06" w:rsidRPr="003A2471">
        <w:rPr>
          <w:rFonts w:ascii="Arial" w:hAnsi="Arial" w:cs="Arial"/>
          <w:sz w:val="22"/>
          <w:szCs w:val="22"/>
          <w:lang w:val="es-ES_tradnl"/>
        </w:rPr>
        <w:t>sigue siendo estable</w:t>
      </w:r>
      <w:r w:rsidR="00431F02" w:rsidRPr="003A2471">
        <w:rPr>
          <w:rFonts w:ascii="Arial" w:hAnsi="Arial" w:cs="Arial"/>
          <w:sz w:val="22"/>
          <w:szCs w:val="22"/>
          <w:lang w:val="es-ES_tradnl"/>
        </w:rPr>
        <w:t xml:space="preserve"> (</w:t>
      </w:r>
      <w:r w:rsidR="006A1C06" w:rsidRPr="003A2471">
        <w:rPr>
          <w:rFonts w:ascii="Arial" w:hAnsi="Arial" w:cs="Arial"/>
          <w:sz w:val="22"/>
          <w:szCs w:val="22"/>
          <w:lang w:val="es-ES_tradnl"/>
        </w:rPr>
        <w:t>cuadro</w:t>
      </w:r>
      <w:r w:rsidR="00431F02" w:rsidRPr="003A2471">
        <w:rPr>
          <w:rFonts w:ascii="Arial" w:hAnsi="Arial" w:cs="Arial"/>
          <w:sz w:val="22"/>
          <w:szCs w:val="22"/>
          <w:lang w:val="es-ES_tradnl"/>
        </w:rPr>
        <w:t> 1).</w:t>
      </w:r>
      <w:r w:rsidR="00431F02" w:rsidRPr="003A2471">
        <w:rPr>
          <w:rStyle w:val="FootnoteReference"/>
          <w:rFonts w:ascii="Arial" w:hAnsi="Arial" w:cs="Arial"/>
          <w:sz w:val="22"/>
          <w:szCs w:val="22"/>
          <w:lang w:val="es-ES_tradnl"/>
        </w:rPr>
        <w:footnoteReference w:id="4"/>
      </w:r>
    </w:p>
    <w:p w14:paraId="405F0377" w14:textId="0EFC615C" w:rsidR="00431F02" w:rsidRPr="003A2471" w:rsidRDefault="00C3493D" w:rsidP="003A2471">
      <w:pPr>
        <w:pStyle w:val="ListParagraph"/>
        <w:numPr>
          <w:ilvl w:val="0"/>
          <w:numId w:val="7"/>
        </w:numPr>
        <w:spacing w:before="220" w:after="360"/>
        <w:ind w:left="0" w:firstLine="0"/>
        <w:contextualSpacing w:val="0"/>
        <w:rPr>
          <w:rFonts w:ascii="Arial" w:hAnsi="Arial" w:cs="Arial"/>
          <w:sz w:val="22"/>
          <w:szCs w:val="22"/>
          <w:lang w:val="es-ES_tradnl"/>
        </w:rPr>
      </w:pPr>
      <w:r w:rsidRPr="003A2471">
        <w:rPr>
          <w:rFonts w:ascii="Arial" w:hAnsi="Arial" w:cs="Arial"/>
          <w:sz w:val="22"/>
          <w:szCs w:val="22"/>
          <w:lang w:val="es-ES_tradnl"/>
        </w:rPr>
        <w:t xml:space="preserve">La productividad de los empleados sigue siendo estable, en particular, en los sistemas del Tratado de Cooperación en materia de Patentes (PCT) y de Madrid, pese a la crisis sanitaria y el confinamiento provocados por la COVID-19. Ambos sistemas, que son los principales servicios mundiales de registro que administra la OMPI, siguen siendo la principal fuente de ingresos de la Organización. Los detalles de productividad pueden consultarse en el </w:t>
      </w:r>
      <w:r w:rsidR="00256929" w:rsidRPr="003A2471">
        <w:rPr>
          <w:rFonts w:ascii="Arial" w:hAnsi="Arial" w:cs="Arial"/>
          <w:sz w:val="22"/>
          <w:szCs w:val="22"/>
          <w:lang w:val="es-ES_tradnl"/>
        </w:rPr>
        <w:t>t</w:t>
      </w:r>
      <w:r w:rsidRPr="003A2471">
        <w:rPr>
          <w:rFonts w:ascii="Arial" w:hAnsi="Arial" w:cs="Arial"/>
          <w:sz w:val="22"/>
          <w:szCs w:val="22"/>
          <w:lang w:val="es-ES_tradnl"/>
        </w:rPr>
        <w:t xml:space="preserve">ablero de control de la OMPI de </w:t>
      </w:r>
      <w:r w:rsidR="003F214B" w:rsidRPr="003A2471">
        <w:rPr>
          <w:rFonts w:ascii="Arial" w:hAnsi="Arial" w:cs="Arial"/>
          <w:sz w:val="22"/>
          <w:szCs w:val="22"/>
          <w:lang w:val="es-ES_tradnl"/>
        </w:rPr>
        <w:t xml:space="preserve">la </w:t>
      </w:r>
      <w:r w:rsidRPr="003A2471">
        <w:rPr>
          <w:rFonts w:ascii="Arial" w:hAnsi="Arial" w:cs="Arial"/>
          <w:sz w:val="22"/>
          <w:szCs w:val="22"/>
          <w:lang w:val="es-ES_tradnl"/>
        </w:rPr>
        <w:t>gestión de la crisis</w:t>
      </w:r>
      <w:r w:rsidR="00431F02" w:rsidRPr="003A2471">
        <w:rPr>
          <w:rFonts w:ascii="Arial" w:hAnsi="Arial" w:cs="Arial"/>
          <w:sz w:val="22"/>
          <w:szCs w:val="22"/>
          <w:lang w:val="es-ES_tradnl"/>
        </w:rPr>
        <w:t>.</w:t>
      </w:r>
      <w:r w:rsidR="00431F02" w:rsidRPr="003A2471">
        <w:rPr>
          <w:rStyle w:val="FootnoteReference"/>
          <w:rFonts w:ascii="Arial" w:hAnsi="Arial" w:cs="Arial"/>
          <w:sz w:val="22"/>
          <w:szCs w:val="22"/>
          <w:lang w:val="es-ES_tradnl"/>
        </w:rPr>
        <w:footnoteReference w:id="5"/>
      </w:r>
    </w:p>
    <w:p w14:paraId="6FFDF7D7" w14:textId="62A41DA1" w:rsidR="0061138D" w:rsidRPr="003A2471" w:rsidRDefault="00431F02" w:rsidP="003A2471">
      <w:pPr>
        <w:pStyle w:val="Heading1"/>
        <w:keepNext w:val="0"/>
        <w:numPr>
          <w:ilvl w:val="0"/>
          <w:numId w:val="14"/>
        </w:numPr>
        <w:spacing w:before="0" w:after="240"/>
        <w:ind w:left="567" w:hanging="567"/>
        <w:rPr>
          <w:lang w:val="es-ES_tradnl"/>
        </w:rPr>
      </w:pPr>
      <w:r w:rsidRPr="003A2471">
        <w:rPr>
          <w:lang w:val="es-ES_tradnl"/>
        </w:rPr>
        <w:t>cuestiones que deben ser comunicadas obligatoriamente al comité de coordinación de la ompi</w:t>
      </w:r>
    </w:p>
    <w:p w14:paraId="093250E3" w14:textId="7C242649" w:rsidR="00431F02" w:rsidRPr="003A2471" w:rsidRDefault="00B43D50" w:rsidP="003A2471">
      <w:pPr>
        <w:pStyle w:val="Heading2"/>
        <w:keepNext w:val="0"/>
        <w:spacing w:after="240"/>
        <w:rPr>
          <w:lang w:val="es-ES_tradnl"/>
        </w:rPr>
      </w:pPr>
      <w:r w:rsidRPr="003A2471">
        <w:rPr>
          <w:lang w:val="es-ES_tradnl"/>
        </w:rPr>
        <w:t>RESCISIÓN DE NOMBRAMIENTOS</w:t>
      </w:r>
    </w:p>
    <w:p w14:paraId="79068D28" w14:textId="0FBA4193" w:rsidR="00431F02" w:rsidRPr="003A2471" w:rsidRDefault="002D619D" w:rsidP="003A2471">
      <w:pPr>
        <w:pStyle w:val="ListParagraph"/>
        <w:numPr>
          <w:ilvl w:val="0"/>
          <w:numId w:val="7"/>
        </w:numPr>
        <w:spacing w:after="240"/>
        <w:ind w:left="0" w:firstLine="0"/>
        <w:contextualSpacing w:val="0"/>
        <w:rPr>
          <w:rFonts w:ascii="Arial" w:hAnsi="Arial" w:cs="Arial"/>
          <w:sz w:val="22"/>
          <w:szCs w:val="22"/>
          <w:lang w:val="es-ES_tradnl"/>
        </w:rPr>
      </w:pPr>
      <w:r w:rsidRPr="003A2471">
        <w:rPr>
          <w:rFonts w:ascii="Arial" w:hAnsi="Arial" w:cs="Arial"/>
          <w:sz w:val="22"/>
          <w:szCs w:val="22"/>
          <w:lang w:val="es-ES_tradnl"/>
        </w:rPr>
        <w:t xml:space="preserve">La </w:t>
      </w:r>
      <w:r w:rsidR="002656B2" w:rsidRPr="003A2471">
        <w:rPr>
          <w:rFonts w:ascii="Arial" w:hAnsi="Arial" w:cs="Arial"/>
          <w:sz w:val="22"/>
          <w:szCs w:val="22"/>
          <w:lang w:val="es-ES_tradnl"/>
        </w:rPr>
        <w:t>cláusula 9.2.g) del Estatuto del Personal de la OMPI exige que el director general informe al Comité de Coordinación de la OMPI de todos los casos de rescisión de nombramientos de funcionarios. Entre el 1 de julio de 2019 y el 20 de junio de 2020 se rescindieron los siguientes nombramientos</w:t>
      </w:r>
      <w:r w:rsidR="00431F02" w:rsidRPr="003A2471">
        <w:rPr>
          <w:rFonts w:ascii="Arial" w:hAnsi="Arial" w:cs="Arial"/>
          <w:sz w:val="22"/>
          <w:szCs w:val="22"/>
          <w:lang w:val="es-ES_tradnl"/>
        </w:rPr>
        <w:t>:</w:t>
      </w:r>
    </w:p>
    <w:p w14:paraId="52CD0FF0" w14:textId="0FDC2B7E" w:rsidR="00431F02" w:rsidRPr="003A2471" w:rsidRDefault="002656B2" w:rsidP="003A2471">
      <w:pPr>
        <w:pStyle w:val="ListParagraph"/>
        <w:numPr>
          <w:ilvl w:val="0"/>
          <w:numId w:val="9"/>
        </w:numPr>
        <w:ind w:hanging="720"/>
        <w:contextualSpacing w:val="0"/>
        <w:rPr>
          <w:rFonts w:ascii="Arial" w:hAnsi="Arial" w:cs="Arial"/>
          <w:sz w:val="22"/>
          <w:szCs w:val="22"/>
          <w:lang w:val="es-ES_tradnl"/>
        </w:rPr>
      </w:pPr>
      <w:r w:rsidRPr="003A2471">
        <w:rPr>
          <w:rFonts w:ascii="Arial" w:hAnsi="Arial" w:cs="Arial"/>
          <w:sz w:val="22"/>
          <w:szCs w:val="22"/>
          <w:lang w:val="es-ES_tradnl"/>
        </w:rPr>
        <w:t xml:space="preserve">Cuatro por motivos de salud, de conformidad con la cláusula </w:t>
      </w:r>
      <w:r w:rsidR="00431F02" w:rsidRPr="003A2471">
        <w:rPr>
          <w:rFonts w:ascii="Arial" w:hAnsi="Arial" w:cs="Arial"/>
          <w:sz w:val="22"/>
          <w:szCs w:val="22"/>
          <w:lang w:val="es-ES_tradnl"/>
        </w:rPr>
        <w:t>9.2</w:t>
      </w:r>
      <w:r w:rsidRPr="003A2471">
        <w:rPr>
          <w:rFonts w:ascii="Arial" w:hAnsi="Arial" w:cs="Arial"/>
          <w:sz w:val="22"/>
          <w:szCs w:val="22"/>
          <w:lang w:val="es-ES_tradnl"/>
        </w:rPr>
        <w:t>.a)</w:t>
      </w:r>
      <w:r w:rsidR="00431F02" w:rsidRPr="003A2471">
        <w:rPr>
          <w:rFonts w:ascii="Arial" w:hAnsi="Arial" w:cs="Arial"/>
          <w:sz w:val="22"/>
          <w:szCs w:val="22"/>
          <w:lang w:val="es-ES_tradnl"/>
        </w:rPr>
        <w:t>2)</w:t>
      </w:r>
      <w:r w:rsidRPr="003A2471">
        <w:rPr>
          <w:rFonts w:ascii="Arial" w:hAnsi="Arial" w:cs="Arial"/>
          <w:sz w:val="22"/>
          <w:szCs w:val="22"/>
          <w:lang w:val="es-ES_tradnl"/>
        </w:rPr>
        <w:t xml:space="preserve"> del Estatuto del Personal</w:t>
      </w:r>
      <w:r w:rsidR="00431F02" w:rsidRPr="003A2471">
        <w:rPr>
          <w:rFonts w:ascii="Arial" w:hAnsi="Arial" w:cs="Arial"/>
          <w:sz w:val="22"/>
          <w:szCs w:val="22"/>
          <w:lang w:val="es-ES_tradnl"/>
        </w:rPr>
        <w:t>;</w:t>
      </w:r>
    </w:p>
    <w:p w14:paraId="1FE93977" w14:textId="4AEF6EA3" w:rsidR="00431F02" w:rsidRPr="003A2471" w:rsidRDefault="002656B2" w:rsidP="003A2471">
      <w:pPr>
        <w:pStyle w:val="ListParagraph"/>
        <w:numPr>
          <w:ilvl w:val="0"/>
          <w:numId w:val="9"/>
        </w:numPr>
        <w:ind w:hanging="720"/>
        <w:contextualSpacing w:val="0"/>
        <w:rPr>
          <w:rFonts w:ascii="Arial" w:hAnsi="Arial" w:cs="Arial"/>
          <w:sz w:val="22"/>
          <w:szCs w:val="22"/>
          <w:lang w:val="es-ES_tradnl"/>
        </w:rPr>
      </w:pPr>
      <w:r w:rsidRPr="003A2471">
        <w:rPr>
          <w:rFonts w:ascii="Arial" w:hAnsi="Arial" w:cs="Arial"/>
          <w:sz w:val="22"/>
          <w:szCs w:val="22"/>
          <w:lang w:val="es-ES_tradnl"/>
        </w:rPr>
        <w:t>Dos por mala conducta, de conformidad con la cláusula 9.2.a)</w:t>
      </w:r>
      <w:r w:rsidR="00431F02" w:rsidRPr="003A2471">
        <w:rPr>
          <w:rFonts w:ascii="Arial" w:hAnsi="Arial" w:cs="Arial"/>
          <w:sz w:val="22"/>
          <w:szCs w:val="22"/>
          <w:lang w:val="es-ES_tradnl"/>
        </w:rPr>
        <w:t>3)</w:t>
      </w:r>
      <w:r w:rsidRPr="003A2471">
        <w:rPr>
          <w:rFonts w:ascii="Arial" w:hAnsi="Arial" w:cs="Arial"/>
          <w:sz w:val="22"/>
          <w:szCs w:val="22"/>
          <w:lang w:val="es-ES_tradnl"/>
        </w:rPr>
        <w:t xml:space="preserve"> del Estatuto del Personal</w:t>
      </w:r>
      <w:r w:rsidR="00256929" w:rsidRPr="003A2471">
        <w:rPr>
          <w:rFonts w:ascii="Arial" w:hAnsi="Arial" w:cs="Arial"/>
          <w:sz w:val="22"/>
          <w:szCs w:val="22"/>
          <w:lang w:val="es-ES_tradnl"/>
        </w:rPr>
        <w:t>,</w:t>
      </w:r>
      <w:r w:rsidR="00431F02" w:rsidRPr="003A2471">
        <w:rPr>
          <w:rFonts w:ascii="Arial" w:hAnsi="Arial" w:cs="Arial"/>
          <w:sz w:val="22"/>
          <w:szCs w:val="22"/>
          <w:lang w:val="es-ES_tradnl"/>
        </w:rPr>
        <w:t> </w:t>
      </w:r>
      <w:r w:rsidRPr="003A2471">
        <w:rPr>
          <w:rFonts w:ascii="Arial" w:hAnsi="Arial" w:cs="Arial"/>
          <w:sz w:val="22"/>
          <w:szCs w:val="22"/>
          <w:lang w:val="es-ES_tradnl"/>
        </w:rPr>
        <w:t>y</w:t>
      </w:r>
    </w:p>
    <w:p w14:paraId="514E4473" w14:textId="7B42385D" w:rsidR="00431F02" w:rsidRPr="003A2471" w:rsidRDefault="00431F02" w:rsidP="003A2471">
      <w:pPr>
        <w:pStyle w:val="ListParagraph"/>
        <w:numPr>
          <w:ilvl w:val="0"/>
          <w:numId w:val="9"/>
        </w:numPr>
        <w:spacing w:after="360"/>
        <w:ind w:hanging="720"/>
        <w:contextualSpacing w:val="0"/>
        <w:rPr>
          <w:rFonts w:ascii="Arial" w:hAnsi="Arial" w:cs="Arial"/>
          <w:sz w:val="22"/>
          <w:szCs w:val="22"/>
          <w:lang w:val="es-ES_tradnl"/>
        </w:rPr>
      </w:pPr>
      <w:r w:rsidRPr="003A2471">
        <w:rPr>
          <w:rFonts w:ascii="Arial" w:hAnsi="Arial" w:cs="Arial"/>
          <w:sz w:val="22"/>
          <w:szCs w:val="22"/>
          <w:lang w:val="es-ES_tradnl"/>
        </w:rPr>
        <w:t xml:space="preserve">18 </w:t>
      </w:r>
      <w:r w:rsidR="002656B2" w:rsidRPr="003A2471">
        <w:rPr>
          <w:rFonts w:ascii="Arial" w:hAnsi="Arial" w:cs="Arial"/>
          <w:sz w:val="22"/>
          <w:szCs w:val="22"/>
          <w:lang w:val="es-ES_tradnl"/>
        </w:rPr>
        <w:t xml:space="preserve">en </w:t>
      </w:r>
      <w:r w:rsidR="0000659B" w:rsidRPr="003A2471">
        <w:rPr>
          <w:rFonts w:ascii="Arial" w:hAnsi="Arial" w:cs="Arial"/>
          <w:sz w:val="22"/>
          <w:szCs w:val="22"/>
          <w:lang w:val="es-ES_tradnl"/>
        </w:rPr>
        <w:t>interés</w:t>
      </w:r>
      <w:r w:rsidR="002656B2" w:rsidRPr="003A2471">
        <w:rPr>
          <w:rFonts w:ascii="Arial" w:hAnsi="Arial" w:cs="Arial"/>
          <w:sz w:val="22"/>
          <w:szCs w:val="22"/>
          <w:lang w:val="es-ES_tradnl"/>
        </w:rPr>
        <w:t xml:space="preserve"> de la buena administración de la Organización y con el acuerdo de los funcionarios afectados, de conformidad con la cláusula</w:t>
      </w:r>
      <w:r w:rsidRPr="003A2471">
        <w:rPr>
          <w:rFonts w:ascii="Arial" w:hAnsi="Arial" w:cs="Arial"/>
          <w:sz w:val="22"/>
          <w:szCs w:val="22"/>
          <w:lang w:val="es-ES_tradnl"/>
        </w:rPr>
        <w:t xml:space="preserve"> 9.2</w:t>
      </w:r>
      <w:r w:rsidR="002656B2" w:rsidRPr="003A2471">
        <w:rPr>
          <w:rFonts w:ascii="Arial" w:hAnsi="Arial" w:cs="Arial"/>
          <w:sz w:val="22"/>
          <w:szCs w:val="22"/>
          <w:lang w:val="es-ES_tradnl"/>
        </w:rPr>
        <w:t>.</w:t>
      </w:r>
      <w:r w:rsidRPr="003A2471">
        <w:rPr>
          <w:rFonts w:ascii="Arial" w:hAnsi="Arial" w:cs="Arial"/>
          <w:sz w:val="22"/>
          <w:szCs w:val="22"/>
          <w:lang w:val="es-ES_tradnl"/>
        </w:rPr>
        <w:t>a)5)</w:t>
      </w:r>
      <w:r w:rsidR="002656B2" w:rsidRPr="003A2471">
        <w:rPr>
          <w:rFonts w:ascii="Arial" w:hAnsi="Arial" w:cs="Arial"/>
          <w:sz w:val="22"/>
          <w:szCs w:val="22"/>
          <w:lang w:val="es-ES_tradnl"/>
        </w:rPr>
        <w:t xml:space="preserve"> del Estatuto del Personal</w:t>
      </w:r>
      <w:r w:rsidRPr="003A2471">
        <w:rPr>
          <w:rFonts w:ascii="Arial" w:hAnsi="Arial" w:cs="Arial"/>
          <w:sz w:val="22"/>
          <w:szCs w:val="22"/>
          <w:lang w:val="es-ES_tradnl"/>
        </w:rPr>
        <w:t>.</w:t>
      </w:r>
    </w:p>
    <w:p w14:paraId="479DDB26" w14:textId="6FD70AF1" w:rsidR="00431F02" w:rsidRPr="003A2471" w:rsidRDefault="00FB50A2" w:rsidP="003A2471">
      <w:pPr>
        <w:pStyle w:val="Heading2"/>
        <w:keepNext w:val="0"/>
        <w:spacing w:after="240"/>
        <w:rPr>
          <w:lang w:val="es-ES_tradnl"/>
        </w:rPr>
      </w:pPr>
      <w:r w:rsidRPr="003A2471">
        <w:rPr>
          <w:lang w:val="es-ES_tradnl"/>
        </w:rPr>
        <w:t>APLICACIÓN DE LA POLÍTICA DE LA OMPI SOBRE LA IGUALDAD DE GÉNERO</w:t>
      </w:r>
    </w:p>
    <w:p w14:paraId="59B439AD" w14:textId="69C50F10" w:rsidR="00431F02" w:rsidRPr="003A2471" w:rsidRDefault="00FB50A2" w:rsidP="003A2471">
      <w:pPr>
        <w:pStyle w:val="ListParagraph"/>
        <w:numPr>
          <w:ilvl w:val="0"/>
          <w:numId w:val="7"/>
        </w:numPr>
        <w:autoSpaceDE w:val="0"/>
        <w:autoSpaceDN w:val="0"/>
        <w:adjustRightInd w:val="0"/>
        <w:spacing w:after="240"/>
        <w:ind w:left="0" w:firstLine="0"/>
        <w:contextualSpacing w:val="0"/>
        <w:rPr>
          <w:rFonts w:ascii="Arial" w:hAnsi="Arial" w:cs="Arial"/>
          <w:color w:val="000000"/>
          <w:sz w:val="22"/>
          <w:szCs w:val="22"/>
          <w:lang w:val="es-ES_tradnl"/>
        </w:rPr>
      </w:pPr>
      <w:r w:rsidRPr="003A2471">
        <w:rPr>
          <w:rFonts w:ascii="Arial" w:hAnsi="Arial" w:cs="Arial"/>
          <w:color w:val="000000"/>
          <w:sz w:val="22"/>
          <w:szCs w:val="22"/>
          <w:lang w:val="es-ES_tradnl"/>
        </w:rPr>
        <w:t xml:space="preserve">Reconociendo que el desarrollo económico, social y cultural no será posible </w:t>
      </w:r>
      <w:r w:rsidR="0000659B" w:rsidRPr="003A2471">
        <w:rPr>
          <w:rFonts w:ascii="Arial" w:hAnsi="Arial" w:cs="Arial"/>
          <w:color w:val="000000"/>
          <w:sz w:val="22"/>
          <w:szCs w:val="22"/>
          <w:lang w:val="es-ES_tradnl"/>
        </w:rPr>
        <w:t xml:space="preserve">ni sostenible </w:t>
      </w:r>
      <w:r w:rsidRPr="003A2471">
        <w:rPr>
          <w:rFonts w:ascii="Arial" w:hAnsi="Arial" w:cs="Arial"/>
          <w:color w:val="000000"/>
          <w:sz w:val="22"/>
          <w:szCs w:val="22"/>
          <w:lang w:val="es-ES_tradnl"/>
        </w:rPr>
        <w:t>si no se fomenta la igualdad de g</w:t>
      </w:r>
      <w:r w:rsidR="005D45FD" w:rsidRPr="003A2471">
        <w:rPr>
          <w:rFonts w:ascii="Arial" w:hAnsi="Arial" w:cs="Arial"/>
          <w:color w:val="000000"/>
          <w:sz w:val="22"/>
          <w:szCs w:val="22"/>
          <w:lang w:val="es-ES_tradnl"/>
        </w:rPr>
        <w:t>énero y el empoderamiento de la mujer</w:t>
      </w:r>
      <w:r w:rsidRPr="003A2471">
        <w:rPr>
          <w:rFonts w:ascii="Arial" w:hAnsi="Arial" w:cs="Arial"/>
          <w:color w:val="000000"/>
          <w:sz w:val="22"/>
          <w:szCs w:val="22"/>
          <w:lang w:val="es-ES_tradnl"/>
        </w:rPr>
        <w:t xml:space="preserve">, la OMPI se ha comprometido a integrar </w:t>
      </w:r>
      <w:r w:rsidR="0000659B" w:rsidRPr="003A2471">
        <w:rPr>
          <w:rFonts w:ascii="Arial" w:hAnsi="Arial" w:cs="Arial"/>
          <w:color w:val="000000"/>
          <w:sz w:val="22"/>
          <w:szCs w:val="22"/>
          <w:lang w:val="es-ES_tradnl"/>
        </w:rPr>
        <w:t>dicho</w:t>
      </w:r>
      <w:r w:rsidRPr="003A2471">
        <w:rPr>
          <w:rFonts w:ascii="Arial" w:hAnsi="Arial" w:cs="Arial"/>
          <w:color w:val="000000"/>
          <w:sz w:val="22"/>
          <w:szCs w:val="22"/>
          <w:lang w:val="es-ES_tradnl"/>
        </w:rPr>
        <w:t xml:space="preserve"> objetivo en su mandato</w:t>
      </w:r>
      <w:r w:rsidR="00431F02" w:rsidRPr="003A2471">
        <w:rPr>
          <w:rFonts w:ascii="Arial" w:hAnsi="Arial" w:cs="Arial"/>
          <w:color w:val="000000"/>
          <w:sz w:val="22"/>
          <w:szCs w:val="22"/>
          <w:lang w:val="es-ES_tradnl"/>
        </w:rPr>
        <w:t>.</w:t>
      </w:r>
      <w:r w:rsidR="001A212F" w:rsidRPr="003A2471">
        <w:rPr>
          <w:rFonts w:ascii="Arial" w:hAnsi="Arial" w:cs="Arial"/>
          <w:color w:val="000000"/>
          <w:sz w:val="22"/>
          <w:szCs w:val="22"/>
          <w:lang w:val="es-ES_tradnl"/>
        </w:rPr>
        <w:t xml:space="preserve"> Esa labor se rige por la Política sobre la </w:t>
      </w:r>
      <w:r w:rsidR="00B27F72" w:rsidRPr="003A2471">
        <w:rPr>
          <w:rFonts w:ascii="Arial" w:hAnsi="Arial" w:cs="Arial"/>
          <w:color w:val="000000"/>
          <w:sz w:val="22"/>
          <w:szCs w:val="22"/>
          <w:lang w:val="es-ES_tradnl"/>
        </w:rPr>
        <w:t>igualdad de género</w:t>
      </w:r>
      <w:r w:rsidR="001A212F" w:rsidRPr="003A2471">
        <w:rPr>
          <w:rFonts w:ascii="Arial" w:hAnsi="Arial" w:cs="Arial"/>
          <w:color w:val="000000"/>
          <w:sz w:val="22"/>
          <w:szCs w:val="22"/>
          <w:lang w:val="es-ES_tradnl"/>
        </w:rPr>
        <w:t>, puesta en marcha en 2014, que proporciona un marco general para integrar la perspectiva de género en las políticas y la labor programática así como en la gestión de los recursos humanos. En 2019, la D</w:t>
      </w:r>
      <w:r w:rsidR="00256929" w:rsidRPr="003A2471">
        <w:rPr>
          <w:rFonts w:ascii="Arial" w:hAnsi="Arial" w:cs="Arial"/>
          <w:color w:val="000000"/>
          <w:sz w:val="22"/>
          <w:szCs w:val="22"/>
          <w:lang w:val="es-ES_tradnl"/>
        </w:rPr>
        <w:t xml:space="preserve">ivisión de </w:t>
      </w:r>
      <w:r w:rsidR="001A212F" w:rsidRPr="003A2471">
        <w:rPr>
          <w:rFonts w:ascii="Arial" w:hAnsi="Arial" w:cs="Arial"/>
          <w:color w:val="000000"/>
          <w:sz w:val="22"/>
          <w:szCs w:val="22"/>
          <w:lang w:val="es-ES_tradnl"/>
        </w:rPr>
        <w:t>S</w:t>
      </w:r>
      <w:r w:rsidR="00256929" w:rsidRPr="003A2471">
        <w:rPr>
          <w:rFonts w:ascii="Arial" w:hAnsi="Arial" w:cs="Arial"/>
          <w:color w:val="000000"/>
          <w:sz w:val="22"/>
          <w:szCs w:val="22"/>
          <w:lang w:val="es-ES_tradnl"/>
        </w:rPr>
        <w:t xml:space="preserve">upervisión </w:t>
      </w:r>
      <w:r w:rsidR="001A212F" w:rsidRPr="003A2471">
        <w:rPr>
          <w:rFonts w:ascii="Arial" w:hAnsi="Arial" w:cs="Arial"/>
          <w:color w:val="000000"/>
          <w:sz w:val="22"/>
          <w:szCs w:val="22"/>
          <w:lang w:val="es-ES_tradnl"/>
        </w:rPr>
        <w:t>I</w:t>
      </w:r>
      <w:r w:rsidR="00256929" w:rsidRPr="003A2471">
        <w:rPr>
          <w:rFonts w:ascii="Arial" w:hAnsi="Arial" w:cs="Arial"/>
          <w:color w:val="000000"/>
          <w:sz w:val="22"/>
          <w:szCs w:val="22"/>
          <w:lang w:val="es-ES_tradnl"/>
        </w:rPr>
        <w:t>nterna (DSI)</w:t>
      </w:r>
      <w:r w:rsidR="001A212F" w:rsidRPr="003A2471">
        <w:rPr>
          <w:rFonts w:ascii="Arial" w:hAnsi="Arial" w:cs="Arial"/>
          <w:color w:val="000000"/>
          <w:sz w:val="22"/>
          <w:szCs w:val="22"/>
          <w:lang w:val="es-ES_tradnl"/>
        </w:rPr>
        <w:t xml:space="preserve"> llevó a cabo una auditoría y evaluación de la Política de la OMPI sobre la Igualdad de Género. Las conclusiones y recomendaciones de la DSI </w:t>
      </w:r>
      <w:r w:rsidR="005E251A" w:rsidRPr="003A2471">
        <w:rPr>
          <w:rFonts w:ascii="Arial" w:hAnsi="Arial" w:cs="Arial"/>
          <w:color w:val="000000"/>
          <w:sz w:val="22"/>
          <w:szCs w:val="22"/>
          <w:lang w:val="es-ES_tradnl"/>
        </w:rPr>
        <w:t>servirán de base en la siguiente etapa de la aplicación de la política y en su revisión</w:t>
      </w:r>
      <w:r w:rsidR="00431F02" w:rsidRPr="003A2471">
        <w:rPr>
          <w:rFonts w:ascii="Arial" w:hAnsi="Arial" w:cs="Arial"/>
          <w:color w:val="000000"/>
          <w:sz w:val="22"/>
          <w:szCs w:val="22"/>
          <w:lang w:val="es-ES_tradnl"/>
        </w:rPr>
        <w:t>.</w:t>
      </w:r>
    </w:p>
    <w:p w14:paraId="3EEEACD3" w14:textId="7C4F38EF" w:rsidR="00431F02" w:rsidRPr="003A2471" w:rsidRDefault="003F214B" w:rsidP="003A2471">
      <w:pPr>
        <w:numPr>
          <w:ilvl w:val="0"/>
          <w:numId w:val="7"/>
        </w:numPr>
        <w:autoSpaceDE w:val="0"/>
        <w:autoSpaceDN w:val="0"/>
        <w:adjustRightInd w:val="0"/>
        <w:spacing w:after="360"/>
        <w:ind w:left="0" w:firstLine="0"/>
        <w:rPr>
          <w:color w:val="000000"/>
          <w:szCs w:val="22"/>
          <w:lang w:val="es-ES_tradnl"/>
        </w:rPr>
      </w:pPr>
      <w:r w:rsidRPr="003A2471">
        <w:rPr>
          <w:color w:val="000000"/>
          <w:szCs w:val="22"/>
          <w:lang w:val="es-ES_tradnl"/>
        </w:rPr>
        <w:t>En el marco de su labor para fomentar la igualdad de género y el empoderamiento de la mujer, l</w:t>
      </w:r>
      <w:r w:rsidR="005D45FD" w:rsidRPr="003A2471">
        <w:rPr>
          <w:color w:val="000000"/>
          <w:szCs w:val="22"/>
          <w:lang w:val="es-ES_tradnl"/>
        </w:rPr>
        <w:t xml:space="preserve">a OMPI ha adoptado un enfoque </w:t>
      </w:r>
      <w:r w:rsidR="00C54F42" w:rsidRPr="003A2471">
        <w:rPr>
          <w:color w:val="000000"/>
          <w:szCs w:val="22"/>
          <w:lang w:val="es-ES_tradnl"/>
        </w:rPr>
        <w:t>dual</w:t>
      </w:r>
      <w:r w:rsidR="005D45FD" w:rsidRPr="003A2471">
        <w:rPr>
          <w:color w:val="000000"/>
          <w:szCs w:val="22"/>
          <w:lang w:val="es-ES_tradnl"/>
        </w:rPr>
        <w:t xml:space="preserve"> </w:t>
      </w:r>
      <w:r w:rsidR="00C54F42" w:rsidRPr="003A2471">
        <w:rPr>
          <w:color w:val="000000"/>
          <w:szCs w:val="22"/>
          <w:lang w:val="es-ES_tradnl"/>
        </w:rPr>
        <w:t>que consiste</w:t>
      </w:r>
      <w:r w:rsidR="005D45FD" w:rsidRPr="003A2471">
        <w:rPr>
          <w:color w:val="000000"/>
          <w:szCs w:val="22"/>
          <w:lang w:val="es-ES_tradnl"/>
        </w:rPr>
        <w:t xml:space="preserve"> </w:t>
      </w:r>
      <w:r w:rsidR="00B344F6" w:rsidRPr="003A2471">
        <w:rPr>
          <w:color w:val="000000"/>
          <w:szCs w:val="22"/>
          <w:lang w:val="es-ES_tradnl"/>
        </w:rPr>
        <w:t>en</w:t>
      </w:r>
      <w:r w:rsidR="005D45FD" w:rsidRPr="003A2471">
        <w:rPr>
          <w:color w:val="000000"/>
          <w:szCs w:val="22"/>
          <w:lang w:val="es-ES_tradnl"/>
        </w:rPr>
        <w:t xml:space="preserve"> </w:t>
      </w:r>
      <w:r w:rsidR="00B344F6" w:rsidRPr="003A2471">
        <w:rPr>
          <w:color w:val="000000"/>
          <w:szCs w:val="22"/>
          <w:lang w:val="es-ES_tradnl"/>
        </w:rPr>
        <w:t>llevar a cabo</w:t>
      </w:r>
      <w:r w:rsidR="00C54F42" w:rsidRPr="003A2471">
        <w:rPr>
          <w:color w:val="000000"/>
          <w:szCs w:val="22"/>
          <w:lang w:val="es-ES_tradnl"/>
        </w:rPr>
        <w:t xml:space="preserve"> al mismo tiempo</w:t>
      </w:r>
      <w:r w:rsidR="00B344F6" w:rsidRPr="003A2471">
        <w:rPr>
          <w:color w:val="000000"/>
          <w:szCs w:val="22"/>
          <w:lang w:val="es-ES_tradnl"/>
        </w:rPr>
        <w:t>,</w:t>
      </w:r>
      <w:r w:rsidR="005D45FD" w:rsidRPr="003A2471">
        <w:rPr>
          <w:color w:val="000000"/>
          <w:szCs w:val="22"/>
          <w:lang w:val="es-ES_tradnl"/>
        </w:rPr>
        <w:t xml:space="preserve"> </w:t>
      </w:r>
      <w:r w:rsidR="00B344F6" w:rsidRPr="003A2471">
        <w:rPr>
          <w:color w:val="000000"/>
          <w:szCs w:val="22"/>
          <w:lang w:val="es-ES_tradnl"/>
        </w:rPr>
        <w:t xml:space="preserve">en algunos casos, </w:t>
      </w:r>
      <w:r w:rsidR="005D45FD" w:rsidRPr="003A2471">
        <w:rPr>
          <w:color w:val="000000"/>
          <w:szCs w:val="22"/>
          <w:lang w:val="es-ES_tradnl"/>
        </w:rPr>
        <w:t>iniciativas específicas de género</w:t>
      </w:r>
      <w:r w:rsidR="00B344F6" w:rsidRPr="003A2471">
        <w:rPr>
          <w:color w:val="000000"/>
          <w:szCs w:val="22"/>
          <w:lang w:val="es-ES_tradnl"/>
        </w:rPr>
        <w:t xml:space="preserve"> y en</w:t>
      </w:r>
      <w:r w:rsidR="005D45FD" w:rsidRPr="003A2471">
        <w:rPr>
          <w:color w:val="000000"/>
          <w:szCs w:val="22"/>
          <w:lang w:val="es-ES_tradnl"/>
        </w:rPr>
        <w:t xml:space="preserve"> integrar consideraciones de género</w:t>
      </w:r>
      <w:r w:rsidR="00B344F6" w:rsidRPr="003A2471">
        <w:rPr>
          <w:color w:val="000000"/>
          <w:szCs w:val="22"/>
          <w:lang w:val="es-ES_tradnl"/>
        </w:rPr>
        <w:t>, en los restantes</w:t>
      </w:r>
      <w:r w:rsidR="005D45FD" w:rsidRPr="003A2471">
        <w:rPr>
          <w:color w:val="000000"/>
          <w:szCs w:val="22"/>
          <w:lang w:val="es-ES_tradnl"/>
        </w:rPr>
        <w:t xml:space="preserve">. Por otra parte, a la vez que participa en las iniciativas que se </w:t>
      </w:r>
      <w:r w:rsidR="008C5EC6" w:rsidRPr="003A2471">
        <w:rPr>
          <w:color w:val="000000"/>
          <w:szCs w:val="22"/>
          <w:lang w:val="es-ES_tradnl"/>
        </w:rPr>
        <w:t>ponen en marcha</w:t>
      </w:r>
      <w:r w:rsidR="005D45FD" w:rsidRPr="003A2471">
        <w:rPr>
          <w:color w:val="000000"/>
          <w:szCs w:val="22"/>
          <w:lang w:val="es-ES_tradnl"/>
        </w:rPr>
        <w:t xml:space="preserve"> a escala de todo el sistema de las Naciones Unidas, aplica medidas propias de la Organización</w:t>
      </w:r>
      <w:r w:rsidR="008C5EC6" w:rsidRPr="003A2471">
        <w:rPr>
          <w:color w:val="000000"/>
          <w:szCs w:val="22"/>
          <w:lang w:val="es-ES_tradnl"/>
        </w:rPr>
        <w:t>.</w:t>
      </w:r>
    </w:p>
    <w:p w14:paraId="03E8F4F0" w14:textId="12F836FB" w:rsidR="00431F02" w:rsidRPr="003A2471" w:rsidRDefault="005D45FD" w:rsidP="003A2471">
      <w:pPr>
        <w:pStyle w:val="Heading3"/>
        <w:keepNext w:val="0"/>
        <w:spacing w:after="240"/>
        <w:rPr>
          <w:i/>
          <w:u w:val="none"/>
          <w:lang w:val="es-ES_tradnl"/>
        </w:rPr>
      </w:pPr>
      <w:r w:rsidRPr="003A2471">
        <w:rPr>
          <w:i/>
          <w:u w:val="none"/>
          <w:lang w:val="es-ES_tradnl"/>
        </w:rPr>
        <w:t>Incorporación de las cuestiones de género en las funciones organizativas</w:t>
      </w:r>
    </w:p>
    <w:p w14:paraId="4C1F03D4" w14:textId="0DD67BC0" w:rsidR="00431F02" w:rsidRPr="003A2471" w:rsidRDefault="00FF6F97" w:rsidP="003A2471">
      <w:pPr>
        <w:numPr>
          <w:ilvl w:val="0"/>
          <w:numId w:val="7"/>
        </w:numPr>
        <w:spacing w:after="240"/>
        <w:ind w:left="0" w:firstLine="0"/>
        <w:rPr>
          <w:szCs w:val="22"/>
          <w:lang w:val="es-ES_tradnl"/>
        </w:rPr>
      </w:pPr>
      <w:r w:rsidRPr="003A2471">
        <w:rPr>
          <w:szCs w:val="22"/>
          <w:lang w:val="es-ES_tradnl"/>
        </w:rPr>
        <w:t>En lo que respecta a la labor a escala de todo el sis</w:t>
      </w:r>
      <w:r w:rsidR="00B344F6" w:rsidRPr="003A2471">
        <w:rPr>
          <w:szCs w:val="22"/>
          <w:lang w:val="es-ES_tradnl"/>
        </w:rPr>
        <w:t>tema de las Naciones Unidas, en </w:t>
      </w:r>
      <w:r w:rsidRPr="003A2471">
        <w:rPr>
          <w:szCs w:val="22"/>
          <w:lang w:val="es-ES_tradnl"/>
        </w:rPr>
        <w:t xml:space="preserve">2019, la OMPI siguió aplicando el Plan de Acción </w:t>
      </w:r>
      <w:r w:rsidR="00077EB1" w:rsidRPr="003A2471">
        <w:rPr>
          <w:szCs w:val="22"/>
          <w:lang w:val="es-ES_tradnl"/>
        </w:rPr>
        <w:t>para todo el sistema de las Naciones Unidas sobre la I</w:t>
      </w:r>
      <w:r w:rsidRPr="003A2471">
        <w:rPr>
          <w:szCs w:val="22"/>
          <w:lang w:val="es-ES_tradnl"/>
        </w:rPr>
        <w:t>gualdad de G</w:t>
      </w:r>
      <w:r w:rsidR="00077EB1" w:rsidRPr="003A2471">
        <w:rPr>
          <w:szCs w:val="22"/>
          <w:lang w:val="es-ES_tradnl"/>
        </w:rPr>
        <w:t>énero y el Empoderamiento de las Mujeres</w:t>
      </w:r>
      <w:r w:rsidRPr="003A2471">
        <w:rPr>
          <w:szCs w:val="22"/>
          <w:lang w:val="es-ES_tradnl"/>
        </w:rPr>
        <w:t xml:space="preserve"> (ONU-SWAP), como ha venido haciendo desde 2012. </w:t>
      </w:r>
      <w:r w:rsidR="00266E02" w:rsidRPr="003A2471">
        <w:rPr>
          <w:szCs w:val="22"/>
          <w:lang w:val="es-ES_tradnl"/>
        </w:rPr>
        <w:t>ONU</w:t>
      </w:r>
      <w:r w:rsidR="009E30DD" w:rsidRPr="003A2471">
        <w:rPr>
          <w:szCs w:val="22"/>
          <w:lang w:val="es-ES_tradnl"/>
        </w:rPr>
        <w:t>-SWAP es un mecanismo de rendición de cuentas aprobado por la Junta de los jefes ejecutivos del sistema de las Naciones Unidas para la Coordinación (JJE)</w:t>
      </w:r>
      <w:r w:rsidR="00431F02" w:rsidRPr="003A2471">
        <w:rPr>
          <w:szCs w:val="22"/>
          <w:lang w:val="es-ES_tradnl"/>
        </w:rPr>
        <w:t>.</w:t>
      </w:r>
      <w:r w:rsidR="00431F02" w:rsidRPr="003A2471">
        <w:rPr>
          <w:szCs w:val="22"/>
          <w:vertAlign w:val="superscript"/>
          <w:lang w:val="es-ES_tradnl"/>
        </w:rPr>
        <w:footnoteReference w:id="6"/>
      </w:r>
      <w:r w:rsidR="00431F02" w:rsidRPr="003A2471">
        <w:rPr>
          <w:szCs w:val="22"/>
          <w:lang w:val="es-ES_tradnl"/>
        </w:rPr>
        <w:t xml:space="preserve"> </w:t>
      </w:r>
      <w:r w:rsidR="009E30DD" w:rsidRPr="003A2471">
        <w:rPr>
          <w:szCs w:val="22"/>
          <w:lang w:val="es-ES_tradnl"/>
        </w:rPr>
        <w:t>La segunda fase se emprendió en 2018</w:t>
      </w:r>
      <w:r w:rsidR="00315456" w:rsidRPr="003A2471">
        <w:rPr>
          <w:szCs w:val="22"/>
          <w:lang w:val="es-ES_tradnl"/>
        </w:rPr>
        <w:t>,</w:t>
      </w:r>
      <w:r w:rsidR="009E30DD" w:rsidRPr="003A2471">
        <w:rPr>
          <w:szCs w:val="22"/>
          <w:lang w:val="es-ES_tradnl"/>
        </w:rPr>
        <w:t xml:space="preserve"> ampliando el número de indicadores y elevando los umbrales de cumplimiento. Entre 2018 y 2019, el índice de cumplimiento de la OMPI </w:t>
      </w:r>
      <w:r w:rsidR="00266E02" w:rsidRPr="003A2471">
        <w:rPr>
          <w:szCs w:val="22"/>
          <w:lang w:val="es-ES_tradnl"/>
        </w:rPr>
        <w:t>mejoró en</w:t>
      </w:r>
      <w:r w:rsidR="009E30DD" w:rsidRPr="003A2471">
        <w:rPr>
          <w:szCs w:val="22"/>
          <w:lang w:val="es-ES_tradnl"/>
        </w:rPr>
        <w:t xml:space="preserve"> 17 puntos porcentuales. Así, en 2019 la OMPI </w:t>
      </w:r>
      <w:r w:rsidR="00315456" w:rsidRPr="003A2471">
        <w:rPr>
          <w:szCs w:val="22"/>
          <w:lang w:val="es-ES_tradnl"/>
        </w:rPr>
        <w:t>cumplió o superó</w:t>
      </w:r>
      <w:r w:rsidR="009E30DD" w:rsidRPr="003A2471">
        <w:rPr>
          <w:szCs w:val="22"/>
          <w:lang w:val="es-ES_tradnl"/>
        </w:rPr>
        <w:t xml:space="preserve"> los requisitos de</w:t>
      </w:r>
      <w:r w:rsidR="00963B2A" w:rsidRPr="003A2471">
        <w:rPr>
          <w:szCs w:val="22"/>
          <w:lang w:val="es-ES_tradnl"/>
        </w:rPr>
        <w:t>l</w:t>
      </w:r>
      <w:r w:rsidR="009E30DD" w:rsidRPr="003A2471">
        <w:rPr>
          <w:szCs w:val="22"/>
          <w:lang w:val="es-ES_tradnl"/>
        </w:rPr>
        <w:t xml:space="preserve"> 41</w:t>
      </w:r>
      <w:r w:rsidR="00963B2A" w:rsidRPr="003A2471">
        <w:rPr>
          <w:szCs w:val="22"/>
          <w:lang w:val="es-ES_tradnl"/>
        </w:rPr>
        <w:t>% de l</w:t>
      </w:r>
      <w:r w:rsidR="00266E02" w:rsidRPr="003A2471">
        <w:rPr>
          <w:szCs w:val="22"/>
          <w:lang w:val="es-ES_tradnl"/>
        </w:rPr>
        <w:t>o</w:t>
      </w:r>
      <w:r w:rsidR="00963B2A" w:rsidRPr="003A2471">
        <w:rPr>
          <w:szCs w:val="22"/>
          <w:lang w:val="es-ES_tradnl"/>
        </w:rPr>
        <w:t xml:space="preserve">s </w:t>
      </w:r>
      <w:r w:rsidR="00266E02" w:rsidRPr="003A2471">
        <w:rPr>
          <w:szCs w:val="22"/>
          <w:lang w:val="es-ES_tradnl"/>
        </w:rPr>
        <w:t>valores</w:t>
      </w:r>
      <w:r w:rsidR="00963B2A" w:rsidRPr="003A2471">
        <w:rPr>
          <w:szCs w:val="22"/>
          <w:lang w:val="es-ES_tradnl"/>
        </w:rPr>
        <w:t>, o siete indicadores</w:t>
      </w:r>
      <w:r w:rsidR="00431F02" w:rsidRPr="003A2471">
        <w:rPr>
          <w:szCs w:val="22"/>
          <w:lang w:val="es-ES_tradnl"/>
        </w:rPr>
        <w:t>.</w:t>
      </w:r>
      <w:r w:rsidR="00431F02" w:rsidRPr="003A2471">
        <w:rPr>
          <w:szCs w:val="22"/>
          <w:vertAlign w:val="superscript"/>
          <w:lang w:val="es-ES_tradnl"/>
        </w:rPr>
        <w:footnoteReference w:id="7"/>
      </w:r>
      <w:r w:rsidR="00431F02" w:rsidRPr="003A2471">
        <w:rPr>
          <w:szCs w:val="22"/>
          <w:lang w:val="es-ES_tradnl"/>
        </w:rPr>
        <w:t xml:space="preserve"> </w:t>
      </w:r>
      <w:r w:rsidR="00963B2A" w:rsidRPr="003A2471">
        <w:rPr>
          <w:szCs w:val="22"/>
          <w:lang w:val="es-ES_tradnl"/>
        </w:rPr>
        <w:t xml:space="preserve">Por otra parte, en </w:t>
      </w:r>
      <w:r w:rsidR="00431F02" w:rsidRPr="003A2471">
        <w:rPr>
          <w:szCs w:val="22"/>
          <w:lang w:val="es-ES_tradnl"/>
        </w:rPr>
        <w:t xml:space="preserve">2019, </w:t>
      </w:r>
      <w:r w:rsidR="00963B2A" w:rsidRPr="003A2471">
        <w:rPr>
          <w:szCs w:val="22"/>
          <w:lang w:val="es-ES_tradnl"/>
        </w:rPr>
        <w:t xml:space="preserve">por primera vez desde la aplicación del Plan de Acción ONU-SWAP, la OMPI </w:t>
      </w:r>
      <w:r w:rsidR="00315456" w:rsidRPr="003A2471">
        <w:rPr>
          <w:szCs w:val="22"/>
          <w:lang w:val="es-ES_tradnl"/>
        </w:rPr>
        <w:t>superó</w:t>
      </w:r>
      <w:r w:rsidR="00963B2A" w:rsidRPr="003A2471">
        <w:rPr>
          <w:szCs w:val="22"/>
          <w:lang w:val="es-ES_tradnl"/>
        </w:rPr>
        <w:t xml:space="preserve"> los requisitos con respecto a dos indicadores (correspondientes a la evaluación y la auditoría) y </w:t>
      </w:r>
      <w:r w:rsidR="009A1266" w:rsidRPr="003A2471">
        <w:rPr>
          <w:szCs w:val="22"/>
          <w:lang w:val="es-ES_tradnl"/>
        </w:rPr>
        <w:t>cumplió</w:t>
      </w:r>
      <w:r w:rsidR="00963B2A" w:rsidRPr="003A2471">
        <w:rPr>
          <w:szCs w:val="22"/>
          <w:lang w:val="es-ES_tradnl"/>
        </w:rPr>
        <w:t xml:space="preserve"> los requisitos de cinco indicadores</w:t>
      </w:r>
      <w:r w:rsidR="00C54F42" w:rsidRPr="003A2471">
        <w:rPr>
          <w:szCs w:val="22"/>
          <w:lang w:val="es-ES_tradnl"/>
        </w:rPr>
        <w:t>.</w:t>
      </w:r>
    </w:p>
    <w:p w14:paraId="03A33EFD" w14:textId="3649A55A" w:rsidR="00431F02" w:rsidRPr="003A2471" w:rsidRDefault="00963B2A" w:rsidP="003A2471">
      <w:pPr>
        <w:numPr>
          <w:ilvl w:val="0"/>
          <w:numId w:val="7"/>
        </w:numPr>
        <w:spacing w:after="240"/>
        <w:ind w:left="0" w:firstLine="0"/>
        <w:rPr>
          <w:szCs w:val="22"/>
          <w:lang w:val="es-ES_tradnl"/>
        </w:rPr>
      </w:pPr>
      <w:r w:rsidRPr="003A2471">
        <w:rPr>
          <w:szCs w:val="22"/>
          <w:lang w:val="es-ES_tradnl"/>
        </w:rPr>
        <w:t xml:space="preserve">En el cuadro siguiente se muestran los resultados del Plan de Acción ONU-SWAP de la OMPI </w:t>
      </w:r>
      <w:r w:rsidR="00193C59" w:rsidRPr="003A2471">
        <w:rPr>
          <w:szCs w:val="22"/>
          <w:lang w:val="es-ES_tradnl"/>
        </w:rPr>
        <w:t xml:space="preserve">en 2019 </w:t>
      </w:r>
      <w:r w:rsidRPr="003A2471">
        <w:rPr>
          <w:szCs w:val="22"/>
          <w:lang w:val="es-ES_tradnl"/>
        </w:rPr>
        <w:t>con respecto a los resultados de 2018</w:t>
      </w:r>
      <w:r w:rsidR="00431F02" w:rsidRPr="003A2471">
        <w:rPr>
          <w:szCs w:val="22"/>
          <w:lang w:val="es-ES_tradnl"/>
        </w:rPr>
        <w:t>:</w:t>
      </w:r>
    </w:p>
    <w:p w14:paraId="22091B47" w14:textId="74A289E0" w:rsidR="00431F02" w:rsidRPr="003A2471" w:rsidRDefault="00247B77" w:rsidP="003A2471">
      <w:pPr>
        <w:spacing w:after="240"/>
        <w:ind w:left="-142"/>
        <w:rPr>
          <w:szCs w:val="22"/>
          <w:lang w:val="es-ES_tradnl"/>
        </w:rPr>
      </w:pPr>
      <w:r w:rsidRPr="003A2471">
        <w:rPr>
          <w:noProof/>
          <w:lang w:val="en-US" w:eastAsia="en-US"/>
        </w:rPr>
        <w:drawing>
          <wp:inline distT="0" distB="0" distL="0" distR="0" wp14:anchorId="137FD19D" wp14:editId="60C2F939">
            <wp:extent cx="6204781" cy="1821180"/>
            <wp:effectExtent l="0" t="0" r="5715" b="7620"/>
            <wp:docPr id="1" name="Picture 1" descr="Resultados del Plan de Acción ONU-SWAP de la OMPI en 2019 con respecto a los resultados de 2018" title="Cuadro (resultados del Plan de Acción ONU-Swap de la OM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237628" cy="1830821"/>
                    </a:xfrm>
                    <a:prstGeom prst="rect">
                      <a:avLst/>
                    </a:prstGeom>
                    <a:noFill/>
                    <a:ln>
                      <a:noFill/>
                    </a:ln>
                  </pic:spPr>
                </pic:pic>
              </a:graphicData>
            </a:graphic>
          </wp:inline>
        </w:drawing>
      </w:r>
    </w:p>
    <w:p w14:paraId="67D7E71D" w14:textId="384B4080" w:rsidR="00431F02" w:rsidRPr="003A2471" w:rsidRDefault="004946F4" w:rsidP="003A2471">
      <w:pPr>
        <w:numPr>
          <w:ilvl w:val="0"/>
          <w:numId w:val="7"/>
        </w:numPr>
        <w:spacing w:after="360"/>
        <w:ind w:left="0" w:firstLine="0"/>
        <w:rPr>
          <w:szCs w:val="22"/>
          <w:lang w:val="es-ES_tradnl"/>
        </w:rPr>
      </w:pPr>
      <w:r w:rsidRPr="003A2471">
        <w:rPr>
          <w:szCs w:val="22"/>
          <w:lang w:val="es-ES_tradnl"/>
        </w:rPr>
        <w:t>En el período objeto de informe</w:t>
      </w:r>
      <w:r w:rsidR="00431F02" w:rsidRPr="003A2471">
        <w:rPr>
          <w:szCs w:val="22"/>
          <w:lang w:val="es-ES_tradnl"/>
        </w:rPr>
        <w:t xml:space="preserve">, </w:t>
      </w:r>
      <w:r w:rsidR="00200111" w:rsidRPr="003A2471">
        <w:rPr>
          <w:szCs w:val="22"/>
          <w:lang w:val="es-ES_tradnl"/>
        </w:rPr>
        <w:t xml:space="preserve">la OMPI siguió fortaleciendo las capacidades de los coordinadores </w:t>
      </w:r>
      <w:r w:rsidR="00193C59" w:rsidRPr="003A2471">
        <w:rPr>
          <w:szCs w:val="22"/>
          <w:lang w:val="es-ES_tradnl"/>
        </w:rPr>
        <w:t>en</w:t>
      </w:r>
      <w:r w:rsidR="00200111" w:rsidRPr="003A2471">
        <w:rPr>
          <w:szCs w:val="22"/>
          <w:lang w:val="es-ES_tradnl"/>
        </w:rPr>
        <w:t xml:space="preserve"> cuestiones de género, de manera que puedan integrar más eficazmente la igualdad de género en los programas y </w:t>
      </w:r>
      <w:r w:rsidR="00C54F42" w:rsidRPr="003A2471">
        <w:rPr>
          <w:szCs w:val="22"/>
          <w:lang w:val="es-ES_tradnl"/>
        </w:rPr>
        <w:t xml:space="preserve">las </w:t>
      </w:r>
      <w:r w:rsidR="00200111" w:rsidRPr="003A2471">
        <w:rPr>
          <w:szCs w:val="22"/>
          <w:lang w:val="es-ES_tradnl"/>
        </w:rPr>
        <w:t xml:space="preserve">funciones. Se organizó una actividad de formación de un día </w:t>
      </w:r>
      <w:r w:rsidR="002D38B2" w:rsidRPr="003A2471">
        <w:rPr>
          <w:szCs w:val="22"/>
          <w:lang w:val="es-ES_tradnl"/>
        </w:rPr>
        <w:t>de</w:t>
      </w:r>
      <w:r w:rsidR="00E700FD" w:rsidRPr="003A2471">
        <w:rPr>
          <w:szCs w:val="22"/>
          <w:lang w:val="es-ES_tradnl"/>
        </w:rPr>
        <w:t xml:space="preserve"> duración </w:t>
      </w:r>
      <w:r w:rsidR="00200111" w:rsidRPr="003A2471">
        <w:rPr>
          <w:szCs w:val="22"/>
          <w:lang w:val="es-ES_tradnl"/>
        </w:rPr>
        <w:t xml:space="preserve">a fin de recabar los resultados y las enseñanzas extraídas hasta la fecha de la aplicación de la Política de la OMPI sobre la Igualdad de Género. La formación sirvió asimismo para </w:t>
      </w:r>
      <w:r w:rsidR="000E16BE" w:rsidRPr="003A2471">
        <w:rPr>
          <w:szCs w:val="22"/>
          <w:lang w:val="es-ES_tradnl"/>
        </w:rPr>
        <w:t xml:space="preserve">empezar a establecer la nueva política de la OMPI y la posible revisión de la función de los coordinadores. Se han seguido llevando a cabo </w:t>
      </w:r>
      <w:r w:rsidR="00FF61EA" w:rsidRPr="003A2471">
        <w:rPr>
          <w:szCs w:val="22"/>
          <w:lang w:val="es-ES_tradnl"/>
        </w:rPr>
        <w:t>mensualmente</w:t>
      </w:r>
      <w:r w:rsidR="000E16BE" w:rsidRPr="003A2471">
        <w:rPr>
          <w:szCs w:val="22"/>
          <w:lang w:val="es-ES_tradnl"/>
        </w:rPr>
        <w:t xml:space="preserve"> actividades de fortalecimiento de capacidades, </w:t>
      </w:r>
      <w:r w:rsidR="00FF61EA" w:rsidRPr="003A2471">
        <w:rPr>
          <w:szCs w:val="22"/>
          <w:lang w:val="es-ES_tradnl"/>
        </w:rPr>
        <w:t>prestando</w:t>
      </w:r>
      <w:r w:rsidR="000E16BE" w:rsidRPr="003A2471">
        <w:rPr>
          <w:szCs w:val="22"/>
          <w:lang w:val="es-ES_tradnl"/>
        </w:rPr>
        <w:t xml:space="preserve"> especial atención </w:t>
      </w:r>
      <w:r w:rsidR="00FF61EA" w:rsidRPr="003A2471">
        <w:rPr>
          <w:szCs w:val="22"/>
          <w:lang w:val="es-ES_tradnl"/>
        </w:rPr>
        <w:t>al</w:t>
      </w:r>
      <w:r w:rsidR="000E16BE" w:rsidRPr="003A2471">
        <w:rPr>
          <w:szCs w:val="22"/>
          <w:lang w:val="es-ES_tradnl"/>
        </w:rPr>
        <w:t xml:space="preserve"> intercambio de buenas prácticas entre los coordinadores. Se espera que con ello se refuerce la intensidad y el alcance de las iniciativas de integración a medio plazo</w:t>
      </w:r>
      <w:r w:rsidR="00431F02" w:rsidRPr="003A2471">
        <w:rPr>
          <w:szCs w:val="22"/>
          <w:lang w:val="es-ES_tradnl"/>
        </w:rPr>
        <w:t>.</w:t>
      </w:r>
    </w:p>
    <w:p w14:paraId="772CA9D2" w14:textId="42888C77" w:rsidR="00431F02" w:rsidRPr="003A2471" w:rsidRDefault="00077EB1" w:rsidP="003A2471">
      <w:pPr>
        <w:pStyle w:val="Heading3"/>
        <w:keepLines/>
        <w:spacing w:after="240"/>
        <w:rPr>
          <w:i/>
          <w:u w:val="none"/>
          <w:lang w:val="es-ES_tradnl"/>
        </w:rPr>
      </w:pPr>
      <w:r w:rsidRPr="003A2471">
        <w:rPr>
          <w:i/>
          <w:u w:val="none"/>
          <w:lang w:val="es-ES_tradnl"/>
        </w:rPr>
        <w:t>Equilibrio de Género</w:t>
      </w:r>
    </w:p>
    <w:p w14:paraId="366E56A0" w14:textId="2FB150ED" w:rsidR="00431F02" w:rsidRPr="003A2471" w:rsidRDefault="00192931" w:rsidP="003A2471">
      <w:pPr>
        <w:numPr>
          <w:ilvl w:val="0"/>
          <w:numId w:val="7"/>
        </w:numPr>
        <w:spacing w:after="240"/>
        <w:ind w:left="0" w:firstLine="0"/>
        <w:rPr>
          <w:szCs w:val="22"/>
          <w:lang w:val="es-ES_tradnl"/>
        </w:rPr>
      </w:pPr>
      <w:r w:rsidRPr="003A2471">
        <w:rPr>
          <w:szCs w:val="22"/>
          <w:lang w:val="es-ES_tradnl"/>
        </w:rPr>
        <w:t xml:space="preserve">Para el bienio </w:t>
      </w:r>
      <w:r w:rsidR="00431F02" w:rsidRPr="003A2471">
        <w:rPr>
          <w:szCs w:val="22"/>
          <w:lang w:val="es-ES_tradnl"/>
        </w:rPr>
        <w:t>2020/2021</w:t>
      </w:r>
      <w:r w:rsidRPr="003A2471">
        <w:rPr>
          <w:szCs w:val="22"/>
          <w:lang w:val="es-ES_tradnl"/>
        </w:rPr>
        <w:t>, los Estados miembros de la OMPI aprobaron los objetivos de equilibrio entre géneros con respecto a los grados</w:t>
      </w:r>
      <w:r w:rsidR="00431F02" w:rsidRPr="003A2471">
        <w:rPr>
          <w:szCs w:val="22"/>
          <w:lang w:val="es-ES_tradnl"/>
        </w:rPr>
        <w:t xml:space="preserve"> D2, D1, P5 </w:t>
      </w:r>
      <w:r w:rsidRPr="003A2471">
        <w:rPr>
          <w:szCs w:val="22"/>
          <w:lang w:val="es-ES_tradnl"/>
        </w:rPr>
        <w:t>y</w:t>
      </w:r>
      <w:r w:rsidR="00431F02" w:rsidRPr="003A2471">
        <w:rPr>
          <w:szCs w:val="22"/>
          <w:lang w:val="es-ES_tradnl"/>
        </w:rPr>
        <w:t xml:space="preserve"> P4 </w:t>
      </w:r>
      <w:r w:rsidR="005C67C0" w:rsidRPr="003A2471">
        <w:rPr>
          <w:szCs w:val="22"/>
          <w:lang w:val="es-ES_tradnl"/>
        </w:rPr>
        <w:t>en los porcentajes siguientes</w:t>
      </w:r>
      <w:r w:rsidR="00431F02" w:rsidRPr="003A2471">
        <w:rPr>
          <w:szCs w:val="22"/>
          <w:lang w:val="es-ES_tradnl"/>
        </w:rPr>
        <w:t>:</w:t>
      </w:r>
    </w:p>
    <w:tbl>
      <w:tblPr>
        <w:tblStyle w:val="TableGrid"/>
        <w:tblW w:w="0" w:type="auto"/>
        <w:tblInd w:w="562" w:type="dxa"/>
        <w:tblLook w:val="04A0" w:firstRow="1" w:lastRow="0" w:firstColumn="1" w:lastColumn="0" w:noHBand="0" w:noVBand="1"/>
        <w:tblCaption w:val="Cuadro (Equilibrio de Género)"/>
        <w:tblDescription w:val="Por grados y por objetivo&#10;&#10;"/>
      </w:tblPr>
      <w:tblGrid>
        <w:gridCol w:w="1347"/>
        <w:gridCol w:w="1347"/>
      </w:tblGrid>
      <w:tr w:rsidR="00431F02" w:rsidRPr="003A2471" w14:paraId="054E4D72" w14:textId="77777777" w:rsidTr="001A212F">
        <w:trPr>
          <w:tblHeader/>
        </w:trPr>
        <w:tc>
          <w:tcPr>
            <w:tcW w:w="1347" w:type="dxa"/>
          </w:tcPr>
          <w:p w14:paraId="4BE7182F" w14:textId="6126011F" w:rsidR="00431F02" w:rsidRPr="003A2471" w:rsidRDefault="00431F02" w:rsidP="003A2471">
            <w:pPr>
              <w:widowControl/>
              <w:jc w:val="center"/>
              <w:rPr>
                <w:b/>
                <w:lang w:val="es-ES_tradnl"/>
              </w:rPr>
            </w:pPr>
            <w:r w:rsidRPr="003A2471">
              <w:rPr>
                <w:b/>
                <w:lang w:val="es-ES_tradnl"/>
              </w:rPr>
              <w:t>Grad</w:t>
            </w:r>
            <w:r w:rsidR="005C67C0" w:rsidRPr="003A2471">
              <w:rPr>
                <w:b/>
                <w:lang w:val="es-ES_tradnl"/>
              </w:rPr>
              <w:t>o</w:t>
            </w:r>
            <w:r w:rsidRPr="003A2471">
              <w:rPr>
                <w:b/>
                <w:lang w:val="es-ES_tradnl"/>
              </w:rPr>
              <w:t>s</w:t>
            </w:r>
          </w:p>
        </w:tc>
        <w:tc>
          <w:tcPr>
            <w:tcW w:w="1347" w:type="dxa"/>
          </w:tcPr>
          <w:p w14:paraId="7B97B02B" w14:textId="669AE5EF" w:rsidR="00431F02" w:rsidRPr="003A2471" w:rsidRDefault="005C67C0" w:rsidP="003A2471">
            <w:pPr>
              <w:widowControl/>
              <w:jc w:val="center"/>
              <w:rPr>
                <w:b/>
                <w:lang w:val="es-ES_tradnl"/>
              </w:rPr>
            </w:pPr>
            <w:r w:rsidRPr="003A2471">
              <w:rPr>
                <w:b/>
                <w:lang w:val="es-ES_tradnl"/>
              </w:rPr>
              <w:t>Objetivo</w:t>
            </w:r>
          </w:p>
        </w:tc>
      </w:tr>
      <w:tr w:rsidR="00431F02" w:rsidRPr="003A2471" w14:paraId="1F3C2F76" w14:textId="77777777" w:rsidTr="001A212F">
        <w:tc>
          <w:tcPr>
            <w:tcW w:w="1347" w:type="dxa"/>
          </w:tcPr>
          <w:p w14:paraId="27FDD094" w14:textId="77777777" w:rsidR="00431F02" w:rsidRPr="003A2471" w:rsidRDefault="00431F02" w:rsidP="003A2471">
            <w:pPr>
              <w:widowControl/>
              <w:jc w:val="center"/>
              <w:rPr>
                <w:lang w:val="es-ES_tradnl"/>
              </w:rPr>
            </w:pPr>
            <w:r w:rsidRPr="003A2471">
              <w:rPr>
                <w:lang w:val="es-ES_tradnl"/>
              </w:rPr>
              <w:t>D2</w:t>
            </w:r>
          </w:p>
        </w:tc>
        <w:tc>
          <w:tcPr>
            <w:tcW w:w="1347" w:type="dxa"/>
          </w:tcPr>
          <w:p w14:paraId="4F378027" w14:textId="77777777" w:rsidR="00431F02" w:rsidRPr="003A2471" w:rsidRDefault="00431F02" w:rsidP="003A2471">
            <w:pPr>
              <w:widowControl/>
              <w:jc w:val="center"/>
              <w:rPr>
                <w:lang w:val="es-ES_tradnl"/>
              </w:rPr>
            </w:pPr>
            <w:r w:rsidRPr="003A2471">
              <w:rPr>
                <w:lang w:val="es-ES_tradnl"/>
              </w:rPr>
              <w:t>24%</w:t>
            </w:r>
          </w:p>
        </w:tc>
      </w:tr>
      <w:tr w:rsidR="00431F02" w:rsidRPr="003A2471" w14:paraId="58EF1EBE" w14:textId="77777777" w:rsidTr="001A212F">
        <w:tc>
          <w:tcPr>
            <w:tcW w:w="1347" w:type="dxa"/>
          </w:tcPr>
          <w:p w14:paraId="62F58CCB" w14:textId="77777777" w:rsidR="00431F02" w:rsidRPr="003A2471" w:rsidRDefault="00431F02" w:rsidP="003A2471">
            <w:pPr>
              <w:widowControl/>
              <w:jc w:val="center"/>
              <w:rPr>
                <w:lang w:val="es-ES_tradnl"/>
              </w:rPr>
            </w:pPr>
            <w:r w:rsidRPr="003A2471">
              <w:rPr>
                <w:lang w:val="es-ES_tradnl"/>
              </w:rPr>
              <w:t>D1</w:t>
            </w:r>
          </w:p>
        </w:tc>
        <w:tc>
          <w:tcPr>
            <w:tcW w:w="1347" w:type="dxa"/>
          </w:tcPr>
          <w:p w14:paraId="01273A2A" w14:textId="77777777" w:rsidR="00431F02" w:rsidRPr="003A2471" w:rsidRDefault="00431F02" w:rsidP="003A2471">
            <w:pPr>
              <w:widowControl/>
              <w:jc w:val="center"/>
              <w:rPr>
                <w:lang w:val="es-ES_tradnl"/>
              </w:rPr>
            </w:pPr>
            <w:r w:rsidRPr="003A2471">
              <w:rPr>
                <w:lang w:val="es-ES_tradnl"/>
              </w:rPr>
              <w:t>37%</w:t>
            </w:r>
          </w:p>
        </w:tc>
      </w:tr>
      <w:tr w:rsidR="00431F02" w:rsidRPr="003A2471" w14:paraId="5D55D167" w14:textId="77777777" w:rsidTr="001A212F">
        <w:tc>
          <w:tcPr>
            <w:tcW w:w="1347" w:type="dxa"/>
          </w:tcPr>
          <w:p w14:paraId="687B55C9" w14:textId="77777777" w:rsidR="00431F02" w:rsidRPr="003A2471" w:rsidRDefault="00431F02" w:rsidP="003A2471">
            <w:pPr>
              <w:widowControl/>
              <w:jc w:val="center"/>
              <w:rPr>
                <w:lang w:val="es-ES_tradnl"/>
              </w:rPr>
            </w:pPr>
            <w:r w:rsidRPr="003A2471">
              <w:rPr>
                <w:lang w:val="es-ES_tradnl"/>
              </w:rPr>
              <w:t>P5</w:t>
            </w:r>
          </w:p>
        </w:tc>
        <w:tc>
          <w:tcPr>
            <w:tcW w:w="1347" w:type="dxa"/>
          </w:tcPr>
          <w:p w14:paraId="5E96E180" w14:textId="77777777" w:rsidR="00431F02" w:rsidRPr="003A2471" w:rsidRDefault="00431F02" w:rsidP="003A2471">
            <w:pPr>
              <w:widowControl/>
              <w:jc w:val="center"/>
              <w:rPr>
                <w:lang w:val="es-ES_tradnl"/>
              </w:rPr>
            </w:pPr>
            <w:r w:rsidRPr="003A2471">
              <w:rPr>
                <w:lang w:val="es-ES_tradnl"/>
              </w:rPr>
              <w:t>43%</w:t>
            </w:r>
          </w:p>
        </w:tc>
      </w:tr>
      <w:tr w:rsidR="00431F02" w:rsidRPr="003A2471" w14:paraId="78B97EF1" w14:textId="77777777" w:rsidTr="001A212F">
        <w:tc>
          <w:tcPr>
            <w:tcW w:w="1347" w:type="dxa"/>
          </w:tcPr>
          <w:p w14:paraId="404F3775" w14:textId="77777777" w:rsidR="00431F02" w:rsidRPr="003A2471" w:rsidRDefault="00431F02" w:rsidP="003A2471">
            <w:pPr>
              <w:widowControl/>
              <w:jc w:val="center"/>
              <w:rPr>
                <w:lang w:val="es-ES_tradnl"/>
              </w:rPr>
            </w:pPr>
            <w:r w:rsidRPr="003A2471">
              <w:rPr>
                <w:lang w:val="es-ES_tradnl"/>
              </w:rPr>
              <w:t>P4</w:t>
            </w:r>
          </w:p>
        </w:tc>
        <w:tc>
          <w:tcPr>
            <w:tcW w:w="1347" w:type="dxa"/>
          </w:tcPr>
          <w:p w14:paraId="3A0F5194" w14:textId="77777777" w:rsidR="00431F02" w:rsidRPr="003A2471" w:rsidRDefault="00431F02" w:rsidP="003A2471">
            <w:pPr>
              <w:widowControl/>
              <w:jc w:val="center"/>
              <w:rPr>
                <w:lang w:val="es-ES_tradnl"/>
              </w:rPr>
            </w:pPr>
            <w:r w:rsidRPr="003A2471">
              <w:rPr>
                <w:lang w:val="es-ES_tradnl"/>
              </w:rPr>
              <w:t>50%</w:t>
            </w:r>
          </w:p>
        </w:tc>
      </w:tr>
    </w:tbl>
    <w:p w14:paraId="03219E7D" w14:textId="1284BDB1" w:rsidR="00431F02" w:rsidRPr="003A2471" w:rsidRDefault="0005629B" w:rsidP="003A2471">
      <w:pPr>
        <w:pStyle w:val="ListParagraph"/>
        <w:numPr>
          <w:ilvl w:val="0"/>
          <w:numId w:val="7"/>
        </w:numPr>
        <w:spacing w:before="240" w:after="240"/>
        <w:ind w:left="0" w:firstLine="0"/>
        <w:contextualSpacing w:val="0"/>
        <w:rPr>
          <w:rFonts w:ascii="Arial" w:hAnsi="Arial" w:cs="Arial"/>
          <w:sz w:val="22"/>
          <w:szCs w:val="22"/>
          <w:lang w:val="es-ES_tradnl"/>
        </w:rPr>
      </w:pPr>
      <w:r w:rsidRPr="003A2471">
        <w:rPr>
          <w:rFonts w:ascii="Arial" w:hAnsi="Arial" w:cs="Arial"/>
          <w:sz w:val="22"/>
          <w:szCs w:val="22"/>
          <w:lang w:val="es-ES_tradnl"/>
        </w:rPr>
        <w:t>Al 30 de junio de</w:t>
      </w:r>
      <w:r w:rsidR="00431F02" w:rsidRPr="003A2471">
        <w:rPr>
          <w:rFonts w:ascii="Arial" w:hAnsi="Arial" w:cs="Arial"/>
          <w:sz w:val="22"/>
          <w:szCs w:val="22"/>
          <w:lang w:val="es-ES_tradnl"/>
        </w:rPr>
        <w:t xml:space="preserve"> 2020, </w:t>
      </w:r>
      <w:r w:rsidR="009C7315" w:rsidRPr="003A2471">
        <w:rPr>
          <w:rFonts w:ascii="Arial" w:hAnsi="Arial" w:cs="Arial"/>
          <w:sz w:val="22"/>
          <w:szCs w:val="22"/>
          <w:lang w:val="es-ES_tradnl"/>
        </w:rPr>
        <w:t>las mu</w:t>
      </w:r>
      <w:r w:rsidR="007C0E8B" w:rsidRPr="003A2471">
        <w:rPr>
          <w:rFonts w:ascii="Arial" w:hAnsi="Arial" w:cs="Arial"/>
          <w:sz w:val="22"/>
          <w:szCs w:val="22"/>
          <w:lang w:val="es-ES_tradnl"/>
        </w:rPr>
        <w:t>jeres representaban el 54,4% d</w:t>
      </w:r>
      <w:r w:rsidR="009C7315" w:rsidRPr="003A2471">
        <w:rPr>
          <w:rFonts w:ascii="Arial" w:hAnsi="Arial" w:cs="Arial"/>
          <w:sz w:val="22"/>
          <w:szCs w:val="22"/>
          <w:lang w:val="es-ES_tradnl"/>
        </w:rPr>
        <w:t>el personal de la OMPI</w:t>
      </w:r>
      <w:r w:rsidR="00431F02" w:rsidRPr="003A2471">
        <w:rPr>
          <w:rFonts w:ascii="Arial" w:hAnsi="Arial" w:cs="Arial"/>
          <w:sz w:val="22"/>
          <w:szCs w:val="22"/>
          <w:lang w:val="es-ES_tradnl"/>
        </w:rPr>
        <w:t>.</w:t>
      </w:r>
      <w:r w:rsidR="00431F02" w:rsidRPr="003A2471">
        <w:rPr>
          <w:rStyle w:val="FootnoteReference"/>
          <w:rFonts w:ascii="Arial" w:hAnsi="Arial" w:cs="Arial"/>
          <w:sz w:val="22"/>
          <w:szCs w:val="22"/>
          <w:lang w:val="es-ES_tradnl"/>
        </w:rPr>
        <w:footnoteReference w:id="8"/>
      </w:r>
      <w:r w:rsidR="00431F02" w:rsidRPr="003A2471">
        <w:rPr>
          <w:rFonts w:ascii="Arial" w:hAnsi="Arial" w:cs="Arial"/>
          <w:sz w:val="22"/>
          <w:szCs w:val="22"/>
          <w:lang w:val="es-ES_tradnl"/>
        </w:rPr>
        <w:t xml:space="preserve"> </w:t>
      </w:r>
      <w:r w:rsidR="009C7315" w:rsidRPr="003A2471">
        <w:rPr>
          <w:rFonts w:ascii="Arial" w:hAnsi="Arial" w:cs="Arial"/>
          <w:sz w:val="22"/>
          <w:szCs w:val="22"/>
          <w:lang w:val="es-ES_tradnl"/>
        </w:rPr>
        <w:t xml:space="preserve">Sin embargo, dicha representación varía considerablemente en las diferentes categorías, </w:t>
      </w:r>
      <w:r w:rsidR="006B5EFB" w:rsidRPr="003A2471">
        <w:rPr>
          <w:rFonts w:ascii="Arial" w:hAnsi="Arial" w:cs="Arial"/>
          <w:sz w:val="22"/>
          <w:szCs w:val="22"/>
          <w:lang w:val="es-ES_tradnl"/>
        </w:rPr>
        <w:t>registrando una</w:t>
      </w:r>
      <w:r w:rsidR="009C7315" w:rsidRPr="003A2471">
        <w:rPr>
          <w:rFonts w:ascii="Arial" w:hAnsi="Arial" w:cs="Arial"/>
          <w:sz w:val="22"/>
          <w:szCs w:val="22"/>
          <w:lang w:val="es-ES_tradnl"/>
        </w:rPr>
        <w:t xml:space="preserve"> menor representación en los altos cargos directivos: las mujere</w:t>
      </w:r>
      <w:r w:rsidR="007C0E8B" w:rsidRPr="003A2471">
        <w:rPr>
          <w:rFonts w:ascii="Arial" w:hAnsi="Arial" w:cs="Arial"/>
          <w:sz w:val="22"/>
          <w:szCs w:val="22"/>
          <w:lang w:val="es-ES_tradnl"/>
        </w:rPr>
        <w:t>s constituyen el </w:t>
      </w:r>
      <w:r w:rsidR="009C7315" w:rsidRPr="003A2471">
        <w:rPr>
          <w:rFonts w:ascii="Arial" w:hAnsi="Arial" w:cs="Arial"/>
          <w:sz w:val="22"/>
          <w:szCs w:val="22"/>
          <w:lang w:val="es-ES_tradnl"/>
        </w:rPr>
        <w:t xml:space="preserve">100% en la categoría de funcionario nacional profesional; el </w:t>
      </w:r>
      <w:r w:rsidR="00431F02" w:rsidRPr="003A2471">
        <w:rPr>
          <w:rFonts w:ascii="Arial" w:hAnsi="Arial" w:cs="Arial"/>
          <w:sz w:val="22"/>
          <w:szCs w:val="22"/>
          <w:lang w:val="es-ES_tradnl"/>
        </w:rPr>
        <w:t>63</w:t>
      </w:r>
      <w:r w:rsidR="009C7315" w:rsidRPr="003A2471">
        <w:rPr>
          <w:rFonts w:ascii="Arial" w:hAnsi="Arial" w:cs="Arial"/>
          <w:sz w:val="22"/>
          <w:szCs w:val="22"/>
          <w:lang w:val="es-ES_tradnl"/>
        </w:rPr>
        <w:t>,</w:t>
      </w:r>
      <w:r w:rsidR="00431F02" w:rsidRPr="003A2471">
        <w:rPr>
          <w:rFonts w:ascii="Arial" w:hAnsi="Arial" w:cs="Arial"/>
          <w:sz w:val="22"/>
          <w:szCs w:val="22"/>
          <w:lang w:val="es-ES_tradnl"/>
        </w:rPr>
        <w:t>2</w:t>
      </w:r>
      <w:r w:rsidR="009C7315" w:rsidRPr="003A2471">
        <w:rPr>
          <w:rFonts w:ascii="Arial" w:hAnsi="Arial" w:cs="Arial"/>
          <w:sz w:val="22"/>
          <w:szCs w:val="22"/>
          <w:lang w:val="es-ES_tradnl"/>
        </w:rPr>
        <w:t xml:space="preserve">% en la categoría de servicios generales; el </w:t>
      </w:r>
      <w:r w:rsidR="00431F02" w:rsidRPr="003A2471">
        <w:rPr>
          <w:rFonts w:ascii="Arial" w:hAnsi="Arial" w:cs="Arial"/>
          <w:sz w:val="22"/>
          <w:szCs w:val="22"/>
          <w:lang w:val="es-ES_tradnl"/>
        </w:rPr>
        <w:t>49</w:t>
      </w:r>
      <w:r w:rsidR="009C7315" w:rsidRPr="003A2471">
        <w:rPr>
          <w:rFonts w:ascii="Arial" w:hAnsi="Arial" w:cs="Arial"/>
          <w:sz w:val="22"/>
          <w:szCs w:val="22"/>
          <w:lang w:val="es-ES_tradnl"/>
        </w:rPr>
        <w:t>,</w:t>
      </w:r>
      <w:r w:rsidR="00431F02" w:rsidRPr="003A2471">
        <w:rPr>
          <w:rFonts w:ascii="Arial" w:hAnsi="Arial" w:cs="Arial"/>
          <w:sz w:val="22"/>
          <w:szCs w:val="22"/>
          <w:lang w:val="es-ES_tradnl"/>
        </w:rPr>
        <w:t>3</w:t>
      </w:r>
      <w:r w:rsidR="009C7315" w:rsidRPr="003A2471">
        <w:rPr>
          <w:rFonts w:ascii="Arial" w:hAnsi="Arial" w:cs="Arial"/>
          <w:sz w:val="22"/>
          <w:szCs w:val="22"/>
          <w:lang w:val="es-ES_tradnl"/>
        </w:rPr>
        <w:t xml:space="preserve">% en la categoría profesional y el </w:t>
      </w:r>
      <w:r w:rsidR="00431F02" w:rsidRPr="003A2471">
        <w:rPr>
          <w:rFonts w:ascii="Arial" w:hAnsi="Arial" w:cs="Arial"/>
          <w:sz w:val="22"/>
          <w:szCs w:val="22"/>
          <w:lang w:val="es-ES_tradnl"/>
        </w:rPr>
        <w:t>31</w:t>
      </w:r>
      <w:r w:rsidR="009C7315" w:rsidRPr="003A2471">
        <w:rPr>
          <w:rFonts w:ascii="Arial" w:hAnsi="Arial" w:cs="Arial"/>
          <w:sz w:val="22"/>
          <w:szCs w:val="22"/>
          <w:lang w:val="es-ES_tradnl"/>
        </w:rPr>
        <w:t>,</w:t>
      </w:r>
      <w:r w:rsidR="00431F02" w:rsidRPr="003A2471">
        <w:rPr>
          <w:rFonts w:ascii="Arial" w:hAnsi="Arial" w:cs="Arial"/>
          <w:sz w:val="22"/>
          <w:szCs w:val="22"/>
          <w:lang w:val="es-ES_tradnl"/>
        </w:rPr>
        <w:t>6</w:t>
      </w:r>
      <w:r w:rsidR="009C7315" w:rsidRPr="003A2471">
        <w:rPr>
          <w:rFonts w:ascii="Arial" w:hAnsi="Arial" w:cs="Arial"/>
          <w:sz w:val="22"/>
          <w:szCs w:val="22"/>
          <w:lang w:val="es-ES_tradnl"/>
        </w:rPr>
        <w:t>% en la categoría de director</w:t>
      </w:r>
      <w:r w:rsidR="00431F02" w:rsidRPr="003A2471">
        <w:rPr>
          <w:rFonts w:ascii="Arial" w:hAnsi="Arial" w:cs="Arial"/>
          <w:sz w:val="22"/>
          <w:szCs w:val="22"/>
          <w:lang w:val="es-ES_tradnl"/>
        </w:rPr>
        <w:t xml:space="preserve">. </w:t>
      </w:r>
      <w:r w:rsidR="00D20695" w:rsidRPr="003A2471">
        <w:rPr>
          <w:rFonts w:ascii="Arial" w:hAnsi="Arial" w:cs="Arial"/>
          <w:sz w:val="22"/>
          <w:szCs w:val="22"/>
          <w:lang w:val="es-ES_tradnl"/>
        </w:rPr>
        <w:t>En tendencia</w:t>
      </w:r>
      <w:r w:rsidR="006B5EFB" w:rsidRPr="003A2471">
        <w:rPr>
          <w:rFonts w:ascii="Arial" w:hAnsi="Arial" w:cs="Arial"/>
          <w:sz w:val="22"/>
          <w:szCs w:val="22"/>
          <w:lang w:val="es-ES_tradnl"/>
        </w:rPr>
        <w:t xml:space="preserve"> positiva</w:t>
      </w:r>
      <w:r w:rsidR="00D20695" w:rsidRPr="003A2471">
        <w:rPr>
          <w:rFonts w:ascii="Arial" w:hAnsi="Arial" w:cs="Arial"/>
          <w:sz w:val="22"/>
          <w:szCs w:val="22"/>
          <w:lang w:val="es-ES_tradnl"/>
        </w:rPr>
        <w:t>, como muestra el cuadro a continuación</w:t>
      </w:r>
      <w:r w:rsidR="00431F02" w:rsidRPr="003A2471">
        <w:rPr>
          <w:rFonts w:ascii="Arial" w:hAnsi="Arial" w:cs="Arial"/>
          <w:sz w:val="22"/>
          <w:szCs w:val="22"/>
          <w:lang w:val="es-ES_tradnl"/>
        </w:rPr>
        <w:t xml:space="preserve">, </w:t>
      </w:r>
      <w:r w:rsidR="00D20695" w:rsidRPr="003A2471">
        <w:rPr>
          <w:rFonts w:ascii="Arial" w:hAnsi="Arial" w:cs="Arial"/>
          <w:sz w:val="22"/>
          <w:szCs w:val="22"/>
          <w:lang w:val="es-ES_tradnl"/>
        </w:rPr>
        <w:t>algunos grados han mejorado con respecto a los dos anteriores bienios</w:t>
      </w:r>
      <w:r w:rsidR="00431F02" w:rsidRPr="003A2471">
        <w:rPr>
          <w:rFonts w:ascii="Arial" w:hAnsi="Arial" w:cs="Arial"/>
          <w:sz w:val="22"/>
          <w:szCs w:val="22"/>
          <w:lang w:val="es-ES_tradnl"/>
        </w:rPr>
        <w:t>.</w:t>
      </w:r>
      <w:r w:rsidR="00D20695" w:rsidRPr="003A2471">
        <w:rPr>
          <w:rFonts w:ascii="Arial" w:hAnsi="Arial" w:cs="Arial"/>
          <w:sz w:val="22"/>
          <w:szCs w:val="22"/>
          <w:lang w:val="es-ES_tradnl"/>
        </w:rPr>
        <w:t xml:space="preserve"> Por ejemplo, el grado</w:t>
      </w:r>
      <w:r w:rsidR="007C0E8B" w:rsidRPr="003A2471">
        <w:rPr>
          <w:rFonts w:ascii="Arial" w:hAnsi="Arial" w:cs="Arial"/>
          <w:sz w:val="22"/>
          <w:szCs w:val="22"/>
          <w:lang w:val="es-ES_tradnl"/>
        </w:rPr>
        <w:t xml:space="preserve"> P4 ha alcanzado el objetivo de </w:t>
      </w:r>
      <w:r w:rsidR="00D20695" w:rsidRPr="003A2471">
        <w:rPr>
          <w:rFonts w:ascii="Arial" w:hAnsi="Arial" w:cs="Arial"/>
          <w:sz w:val="22"/>
          <w:szCs w:val="22"/>
          <w:lang w:val="es-ES_tradnl"/>
        </w:rPr>
        <w:t>2021 con más de un año de antelación al vencimiento del plazo fijado</w:t>
      </w:r>
      <w:r w:rsidR="00431F02" w:rsidRPr="003A2471">
        <w:rPr>
          <w:rFonts w:ascii="Arial" w:hAnsi="Arial" w:cs="Arial"/>
          <w:sz w:val="22"/>
          <w:szCs w:val="22"/>
          <w:lang w:val="es-ES_tradnl"/>
        </w:rPr>
        <w:t xml:space="preserve">. </w:t>
      </w:r>
      <w:r w:rsidR="00D20695" w:rsidRPr="003A2471">
        <w:rPr>
          <w:rFonts w:ascii="Arial" w:hAnsi="Arial" w:cs="Arial"/>
          <w:sz w:val="22"/>
          <w:szCs w:val="22"/>
          <w:lang w:val="es-ES_tradnl"/>
        </w:rPr>
        <w:t xml:space="preserve">El grado D1 también ha mejorado de manera constante y actualmente solo quedan dos puntos porcentuales para </w:t>
      </w:r>
      <w:r w:rsidR="003966FF" w:rsidRPr="003A2471">
        <w:rPr>
          <w:rFonts w:ascii="Arial" w:hAnsi="Arial" w:cs="Arial"/>
          <w:sz w:val="22"/>
          <w:szCs w:val="22"/>
          <w:lang w:val="es-ES_tradnl"/>
        </w:rPr>
        <w:t>que alcance</w:t>
      </w:r>
      <w:r w:rsidR="00D20695" w:rsidRPr="003A2471">
        <w:rPr>
          <w:rFonts w:ascii="Arial" w:hAnsi="Arial" w:cs="Arial"/>
          <w:sz w:val="22"/>
          <w:szCs w:val="22"/>
          <w:lang w:val="es-ES_tradnl"/>
        </w:rPr>
        <w:t xml:space="preserve"> su objetivo</w:t>
      </w:r>
      <w:r w:rsidR="00431F02" w:rsidRPr="003A2471">
        <w:rPr>
          <w:rFonts w:ascii="Arial" w:hAnsi="Arial" w:cs="Arial"/>
          <w:sz w:val="22"/>
          <w:szCs w:val="22"/>
          <w:lang w:val="es-ES_tradnl"/>
        </w:rPr>
        <w:t>.</w:t>
      </w:r>
    </w:p>
    <w:tbl>
      <w:tblPr>
        <w:tblStyle w:val="TableGrid"/>
        <w:tblW w:w="0" w:type="auto"/>
        <w:tblLook w:val="04A0" w:firstRow="1" w:lastRow="0" w:firstColumn="1" w:lastColumn="0" w:noHBand="0" w:noVBand="1"/>
        <w:tblCaption w:val="Cuadro "/>
        <w:tblDescription w:val="En comparación con los objetivos de los niveles D2, D1, P5 y P4, este cuadro muestra que algunos grados han avanzado en los dos últimos bienios.   Por ejemplo, el nivel P4 ha alcanzado su objetivo para 2021, más de un año antes de la fecha límite.  El nivel D1 también ha mejorado constantemente y ahora está a dos puntos porcentuales de alcanzar su objetivo."/>
      </w:tblPr>
      <w:tblGrid>
        <w:gridCol w:w="1510"/>
        <w:gridCol w:w="1510"/>
        <w:gridCol w:w="1510"/>
        <w:gridCol w:w="1511"/>
        <w:gridCol w:w="1511"/>
        <w:gridCol w:w="1511"/>
      </w:tblGrid>
      <w:tr w:rsidR="00431F02" w:rsidRPr="003A2471" w14:paraId="32CB2376" w14:textId="77777777" w:rsidTr="001A212F">
        <w:trPr>
          <w:tblHeader/>
        </w:trPr>
        <w:tc>
          <w:tcPr>
            <w:tcW w:w="1510" w:type="dxa"/>
            <w:vAlign w:val="center"/>
          </w:tcPr>
          <w:p w14:paraId="493DD709" w14:textId="70CE8479" w:rsidR="00431F02" w:rsidRPr="003A2471" w:rsidRDefault="00431F02" w:rsidP="003A2471">
            <w:pPr>
              <w:widowControl/>
              <w:jc w:val="center"/>
              <w:rPr>
                <w:lang w:val="es-ES_tradnl"/>
              </w:rPr>
            </w:pPr>
            <w:r w:rsidRPr="003A2471">
              <w:rPr>
                <w:b/>
                <w:sz w:val="20"/>
                <w:lang w:val="es-ES_tradnl"/>
              </w:rPr>
              <w:t>Grad</w:t>
            </w:r>
            <w:r w:rsidR="00D20695" w:rsidRPr="003A2471">
              <w:rPr>
                <w:b/>
                <w:sz w:val="20"/>
                <w:lang w:val="es-ES_tradnl"/>
              </w:rPr>
              <w:t>o</w:t>
            </w:r>
            <w:r w:rsidRPr="003A2471">
              <w:rPr>
                <w:b/>
                <w:sz w:val="20"/>
                <w:lang w:val="es-ES_tradnl"/>
              </w:rPr>
              <w:t>s</w:t>
            </w:r>
          </w:p>
        </w:tc>
        <w:tc>
          <w:tcPr>
            <w:tcW w:w="1510" w:type="dxa"/>
            <w:vAlign w:val="center"/>
          </w:tcPr>
          <w:p w14:paraId="646F4E7B" w14:textId="48E86688" w:rsidR="00431F02" w:rsidRPr="003A2471" w:rsidRDefault="00D20695" w:rsidP="003A2471">
            <w:pPr>
              <w:widowControl/>
              <w:jc w:val="center"/>
              <w:rPr>
                <w:lang w:val="es-ES_tradnl"/>
              </w:rPr>
            </w:pPr>
            <w:r w:rsidRPr="003A2471">
              <w:rPr>
                <w:b/>
                <w:sz w:val="20"/>
                <w:lang w:val="es-ES_tradnl"/>
              </w:rPr>
              <w:t>Situación al</w:t>
            </w:r>
            <w:r w:rsidR="00431F02" w:rsidRPr="003A2471">
              <w:rPr>
                <w:b/>
                <w:sz w:val="20"/>
                <w:lang w:val="es-ES_tradnl"/>
              </w:rPr>
              <w:t xml:space="preserve"> 30</w:t>
            </w:r>
            <w:r w:rsidRPr="003A2471">
              <w:rPr>
                <w:b/>
                <w:sz w:val="20"/>
                <w:lang w:val="es-ES_tradnl"/>
              </w:rPr>
              <w:t xml:space="preserve"> de junio de</w:t>
            </w:r>
            <w:r w:rsidR="00431F02" w:rsidRPr="003A2471">
              <w:rPr>
                <w:b/>
                <w:sz w:val="20"/>
                <w:lang w:val="es-ES_tradnl"/>
              </w:rPr>
              <w:t xml:space="preserve"> 2017</w:t>
            </w:r>
          </w:p>
        </w:tc>
        <w:tc>
          <w:tcPr>
            <w:tcW w:w="1510" w:type="dxa"/>
            <w:vAlign w:val="center"/>
          </w:tcPr>
          <w:p w14:paraId="1D22B933" w14:textId="644E7537" w:rsidR="00431F02" w:rsidRPr="003A2471" w:rsidRDefault="001A7800" w:rsidP="003A2471">
            <w:pPr>
              <w:widowControl/>
              <w:jc w:val="center"/>
              <w:rPr>
                <w:lang w:val="es-ES_tradnl"/>
              </w:rPr>
            </w:pPr>
            <w:r w:rsidRPr="003A2471">
              <w:rPr>
                <w:b/>
                <w:sz w:val="20"/>
                <w:lang w:val="es-ES_tradnl"/>
              </w:rPr>
              <w:t xml:space="preserve">Situación al </w:t>
            </w:r>
            <w:r w:rsidR="00431F02" w:rsidRPr="003A2471">
              <w:rPr>
                <w:b/>
                <w:sz w:val="20"/>
                <w:lang w:val="es-ES_tradnl"/>
              </w:rPr>
              <w:t>30</w:t>
            </w:r>
            <w:r w:rsidRPr="003A2471">
              <w:rPr>
                <w:b/>
                <w:sz w:val="20"/>
                <w:lang w:val="es-ES_tradnl"/>
              </w:rPr>
              <w:t xml:space="preserve"> de junio de</w:t>
            </w:r>
            <w:r w:rsidR="00431F02" w:rsidRPr="003A2471">
              <w:rPr>
                <w:b/>
                <w:sz w:val="20"/>
                <w:lang w:val="es-ES_tradnl"/>
              </w:rPr>
              <w:t xml:space="preserve"> 2018</w:t>
            </w:r>
          </w:p>
        </w:tc>
        <w:tc>
          <w:tcPr>
            <w:tcW w:w="1511" w:type="dxa"/>
            <w:vAlign w:val="center"/>
          </w:tcPr>
          <w:p w14:paraId="58279E4F" w14:textId="08C0E145" w:rsidR="00431F02" w:rsidRPr="003A2471" w:rsidRDefault="001A7800" w:rsidP="003A2471">
            <w:pPr>
              <w:widowControl/>
              <w:jc w:val="center"/>
              <w:rPr>
                <w:lang w:val="es-ES_tradnl"/>
              </w:rPr>
            </w:pPr>
            <w:r w:rsidRPr="003A2471">
              <w:rPr>
                <w:b/>
                <w:sz w:val="20"/>
                <w:lang w:val="es-ES_tradnl"/>
              </w:rPr>
              <w:t>Situación al</w:t>
            </w:r>
            <w:r w:rsidR="00431F02" w:rsidRPr="003A2471">
              <w:rPr>
                <w:b/>
                <w:sz w:val="20"/>
                <w:lang w:val="es-ES_tradnl"/>
              </w:rPr>
              <w:t xml:space="preserve"> 30</w:t>
            </w:r>
            <w:r w:rsidRPr="003A2471">
              <w:rPr>
                <w:b/>
                <w:sz w:val="20"/>
                <w:lang w:val="es-ES_tradnl"/>
              </w:rPr>
              <w:t xml:space="preserve"> de junio de</w:t>
            </w:r>
            <w:r w:rsidR="00431F02" w:rsidRPr="003A2471">
              <w:rPr>
                <w:b/>
                <w:sz w:val="20"/>
                <w:lang w:val="es-ES_tradnl"/>
              </w:rPr>
              <w:t xml:space="preserve"> 2019</w:t>
            </w:r>
          </w:p>
        </w:tc>
        <w:tc>
          <w:tcPr>
            <w:tcW w:w="1511" w:type="dxa"/>
            <w:vAlign w:val="center"/>
          </w:tcPr>
          <w:p w14:paraId="02F1332A" w14:textId="44CFAE04" w:rsidR="00431F02" w:rsidRPr="003A2471" w:rsidRDefault="001A7800" w:rsidP="003A2471">
            <w:pPr>
              <w:widowControl/>
              <w:jc w:val="center"/>
              <w:rPr>
                <w:lang w:val="es-ES_tradnl"/>
              </w:rPr>
            </w:pPr>
            <w:r w:rsidRPr="003A2471">
              <w:rPr>
                <w:b/>
                <w:sz w:val="20"/>
                <w:lang w:val="es-ES_tradnl"/>
              </w:rPr>
              <w:t xml:space="preserve">Situación al </w:t>
            </w:r>
            <w:r w:rsidR="00431F02" w:rsidRPr="003A2471">
              <w:rPr>
                <w:b/>
                <w:sz w:val="20"/>
                <w:lang w:val="es-ES_tradnl"/>
              </w:rPr>
              <w:t>30</w:t>
            </w:r>
            <w:r w:rsidRPr="003A2471">
              <w:rPr>
                <w:b/>
                <w:sz w:val="20"/>
                <w:lang w:val="es-ES_tradnl"/>
              </w:rPr>
              <w:t xml:space="preserve"> de junio de</w:t>
            </w:r>
            <w:r w:rsidR="00431F02" w:rsidRPr="003A2471">
              <w:rPr>
                <w:b/>
                <w:sz w:val="20"/>
                <w:lang w:val="es-ES_tradnl"/>
              </w:rPr>
              <w:t xml:space="preserve"> 2020</w:t>
            </w:r>
          </w:p>
        </w:tc>
        <w:tc>
          <w:tcPr>
            <w:tcW w:w="1511" w:type="dxa"/>
            <w:shd w:val="clear" w:color="auto" w:fill="BFBFBF" w:themeFill="background1" w:themeFillShade="BF"/>
            <w:vAlign w:val="center"/>
          </w:tcPr>
          <w:p w14:paraId="7A448C66" w14:textId="6ECD744C" w:rsidR="00431F02" w:rsidRPr="003A2471" w:rsidRDefault="00D20695" w:rsidP="003A2471">
            <w:pPr>
              <w:widowControl/>
              <w:jc w:val="center"/>
              <w:rPr>
                <w:lang w:val="es-ES_tradnl"/>
              </w:rPr>
            </w:pPr>
            <w:r w:rsidRPr="003A2471">
              <w:rPr>
                <w:b/>
                <w:sz w:val="20"/>
                <w:lang w:val="es-ES_tradnl"/>
              </w:rPr>
              <w:t>Objetivos para diciembre</w:t>
            </w:r>
            <w:r w:rsidR="00431F02" w:rsidRPr="003A2471">
              <w:rPr>
                <w:b/>
                <w:sz w:val="20"/>
                <w:lang w:val="es-ES_tradnl"/>
              </w:rPr>
              <w:t xml:space="preserve"> </w:t>
            </w:r>
            <w:r w:rsidR="006B5EFB" w:rsidRPr="003A2471">
              <w:rPr>
                <w:b/>
                <w:sz w:val="20"/>
                <w:lang w:val="es-ES_tradnl"/>
              </w:rPr>
              <w:t xml:space="preserve">de </w:t>
            </w:r>
            <w:r w:rsidR="00431F02" w:rsidRPr="003A2471">
              <w:rPr>
                <w:b/>
                <w:sz w:val="20"/>
                <w:lang w:val="es-ES_tradnl"/>
              </w:rPr>
              <w:t>2021</w:t>
            </w:r>
          </w:p>
        </w:tc>
      </w:tr>
      <w:tr w:rsidR="00431F02" w:rsidRPr="003A2471" w14:paraId="7BD02348" w14:textId="77777777" w:rsidTr="001A212F">
        <w:tc>
          <w:tcPr>
            <w:tcW w:w="1510" w:type="dxa"/>
          </w:tcPr>
          <w:p w14:paraId="361C40C2" w14:textId="77777777" w:rsidR="00431F02" w:rsidRPr="003A2471" w:rsidRDefault="00431F02" w:rsidP="003A2471">
            <w:pPr>
              <w:widowControl/>
              <w:jc w:val="center"/>
              <w:rPr>
                <w:lang w:val="es-ES_tradnl"/>
              </w:rPr>
            </w:pPr>
            <w:r w:rsidRPr="003A2471">
              <w:rPr>
                <w:lang w:val="es-ES_tradnl"/>
              </w:rPr>
              <w:t>D2</w:t>
            </w:r>
          </w:p>
        </w:tc>
        <w:tc>
          <w:tcPr>
            <w:tcW w:w="1510" w:type="dxa"/>
          </w:tcPr>
          <w:p w14:paraId="74ED129D" w14:textId="77777777" w:rsidR="00431F02" w:rsidRPr="003A2471" w:rsidRDefault="00431F02" w:rsidP="003A2471">
            <w:pPr>
              <w:widowControl/>
              <w:jc w:val="center"/>
              <w:rPr>
                <w:lang w:val="es-ES_tradnl"/>
              </w:rPr>
            </w:pPr>
            <w:r w:rsidRPr="003A2471">
              <w:rPr>
                <w:lang w:val="es-ES_tradnl"/>
              </w:rPr>
              <w:t>18%</w:t>
            </w:r>
          </w:p>
        </w:tc>
        <w:tc>
          <w:tcPr>
            <w:tcW w:w="1510" w:type="dxa"/>
          </w:tcPr>
          <w:p w14:paraId="45EFFD75" w14:textId="6269DA23" w:rsidR="00431F02" w:rsidRPr="003A2471" w:rsidRDefault="00431F02" w:rsidP="003A2471">
            <w:pPr>
              <w:widowControl/>
              <w:jc w:val="center"/>
              <w:rPr>
                <w:lang w:val="es-ES_tradnl"/>
              </w:rPr>
            </w:pPr>
            <w:r w:rsidRPr="003A2471">
              <w:rPr>
                <w:lang w:val="es-ES_tradnl"/>
              </w:rPr>
              <w:t>16</w:t>
            </w:r>
            <w:r w:rsidR="001A7800" w:rsidRPr="003A2471">
              <w:rPr>
                <w:lang w:val="es-ES_tradnl"/>
              </w:rPr>
              <w:t>,</w:t>
            </w:r>
            <w:r w:rsidRPr="003A2471">
              <w:rPr>
                <w:lang w:val="es-ES_tradnl"/>
              </w:rPr>
              <w:t>7%</w:t>
            </w:r>
          </w:p>
        </w:tc>
        <w:tc>
          <w:tcPr>
            <w:tcW w:w="1511" w:type="dxa"/>
          </w:tcPr>
          <w:p w14:paraId="22DB450D" w14:textId="3968DC6D" w:rsidR="00431F02" w:rsidRPr="003A2471" w:rsidRDefault="00431F02" w:rsidP="003A2471">
            <w:pPr>
              <w:widowControl/>
              <w:jc w:val="center"/>
              <w:rPr>
                <w:lang w:val="es-ES_tradnl"/>
              </w:rPr>
            </w:pPr>
            <w:r w:rsidRPr="003A2471">
              <w:rPr>
                <w:lang w:val="es-ES_tradnl"/>
              </w:rPr>
              <w:t>15</w:t>
            </w:r>
            <w:r w:rsidR="001A7800" w:rsidRPr="003A2471">
              <w:rPr>
                <w:lang w:val="es-ES_tradnl"/>
              </w:rPr>
              <w:t>,</w:t>
            </w:r>
            <w:r w:rsidRPr="003A2471">
              <w:rPr>
                <w:lang w:val="es-ES_tradnl"/>
              </w:rPr>
              <w:t>4%</w:t>
            </w:r>
          </w:p>
        </w:tc>
        <w:tc>
          <w:tcPr>
            <w:tcW w:w="1511" w:type="dxa"/>
          </w:tcPr>
          <w:p w14:paraId="50F4CB81" w14:textId="3C85A1E3" w:rsidR="00431F02" w:rsidRPr="003A2471" w:rsidRDefault="00431F02" w:rsidP="003A2471">
            <w:pPr>
              <w:widowControl/>
              <w:jc w:val="center"/>
              <w:rPr>
                <w:lang w:val="es-ES_tradnl"/>
              </w:rPr>
            </w:pPr>
            <w:r w:rsidRPr="003A2471">
              <w:rPr>
                <w:lang w:val="es-ES_tradnl"/>
              </w:rPr>
              <w:t>15</w:t>
            </w:r>
            <w:r w:rsidR="001A7800" w:rsidRPr="003A2471">
              <w:rPr>
                <w:lang w:val="es-ES_tradnl"/>
              </w:rPr>
              <w:t>,</w:t>
            </w:r>
            <w:r w:rsidRPr="003A2471">
              <w:rPr>
                <w:lang w:val="es-ES_tradnl"/>
              </w:rPr>
              <w:t>4%</w:t>
            </w:r>
          </w:p>
        </w:tc>
        <w:tc>
          <w:tcPr>
            <w:tcW w:w="1511" w:type="dxa"/>
            <w:shd w:val="clear" w:color="auto" w:fill="BFBFBF" w:themeFill="background1" w:themeFillShade="BF"/>
          </w:tcPr>
          <w:p w14:paraId="5A2FEE27" w14:textId="77777777" w:rsidR="00431F02" w:rsidRPr="003A2471" w:rsidRDefault="00431F02" w:rsidP="003A2471">
            <w:pPr>
              <w:widowControl/>
              <w:jc w:val="center"/>
              <w:rPr>
                <w:lang w:val="es-ES_tradnl"/>
              </w:rPr>
            </w:pPr>
            <w:r w:rsidRPr="003A2471">
              <w:rPr>
                <w:lang w:val="es-ES_tradnl"/>
              </w:rPr>
              <w:t>24%</w:t>
            </w:r>
          </w:p>
        </w:tc>
      </w:tr>
      <w:tr w:rsidR="00431F02" w:rsidRPr="003A2471" w14:paraId="6AD9AFA2" w14:textId="77777777" w:rsidTr="001A212F">
        <w:tc>
          <w:tcPr>
            <w:tcW w:w="1510" w:type="dxa"/>
          </w:tcPr>
          <w:p w14:paraId="7AE68E8B" w14:textId="77777777" w:rsidR="00431F02" w:rsidRPr="003A2471" w:rsidRDefault="00431F02" w:rsidP="003A2471">
            <w:pPr>
              <w:widowControl/>
              <w:jc w:val="center"/>
              <w:rPr>
                <w:lang w:val="es-ES_tradnl"/>
              </w:rPr>
            </w:pPr>
            <w:r w:rsidRPr="003A2471">
              <w:rPr>
                <w:lang w:val="es-ES_tradnl"/>
              </w:rPr>
              <w:t>D1</w:t>
            </w:r>
          </w:p>
        </w:tc>
        <w:tc>
          <w:tcPr>
            <w:tcW w:w="1510" w:type="dxa"/>
          </w:tcPr>
          <w:p w14:paraId="79F76167" w14:textId="77777777" w:rsidR="00431F02" w:rsidRPr="003A2471" w:rsidRDefault="00431F02" w:rsidP="003A2471">
            <w:pPr>
              <w:widowControl/>
              <w:jc w:val="center"/>
              <w:rPr>
                <w:lang w:val="es-ES_tradnl"/>
              </w:rPr>
            </w:pPr>
            <w:r w:rsidRPr="003A2471">
              <w:rPr>
                <w:lang w:val="es-ES_tradnl"/>
              </w:rPr>
              <w:t>31%</w:t>
            </w:r>
          </w:p>
        </w:tc>
        <w:tc>
          <w:tcPr>
            <w:tcW w:w="1510" w:type="dxa"/>
          </w:tcPr>
          <w:p w14:paraId="2260B6D0" w14:textId="36A95711" w:rsidR="00431F02" w:rsidRPr="003A2471" w:rsidRDefault="00431F02" w:rsidP="003A2471">
            <w:pPr>
              <w:widowControl/>
              <w:jc w:val="center"/>
              <w:rPr>
                <w:lang w:val="es-ES_tradnl"/>
              </w:rPr>
            </w:pPr>
            <w:r w:rsidRPr="003A2471">
              <w:rPr>
                <w:lang w:val="es-ES_tradnl"/>
              </w:rPr>
              <w:t>34</w:t>
            </w:r>
            <w:r w:rsidR="001A7800" w:rsidRPr="003A2471">
              <w:rPr>
                <w:lang w:val="es-ES_tradnl"/>
              </w:rPr>
              <w:t>,</w:t>
            </w:r>
            <w:r w:rsidRPr="003A2471">
              <w:rPr>
                <w:lang w:val="es-ES_tradnl"/>
              </w:rPr>
              <w:t>6%</w:t>
            </w:r>
          </w:p>
        </w:tc>
        <w:tc>
          <w:tcPr>
            <w:tcW w:w="1511" w:type="dxa"/>
          </w:tcPr>
          <w:p w14:paraId="73520FEB" w14:textId="74352A82" w:rsidR="00431F02" w:rsidRPr="003A2471" w:rsidRDefault="00431F02" w:rsidP="003A2471">
            <w:pPr>
              <w:widowControl/>
              <w:jc w:val="center"/>
              <w:rPr>
                <w:lang w:val="es-ES_tradnl"/>
              </w:rPr>
            </w:pPr>
            <w:r w:rsidRPr="003A2471">
              <w:rPr>
                <w:lang w:val="es-ES_tradnl"/>
              </w:rPr>
              <w:t>36</w:t>
            </w:r>
            <w:r w:rsidR="001A7800" w:rsidRPr="003A2471">
              <w:rPr>
                <w:lang w:val="es-ES_tradnl"/>
              </w:rPr>
              <w:t>,</w:t>
            </w:r>
            <w:r w:rsidRPr="003A2471">
              <w:rPr>
                <w:lang w:val="es-ES_tradnl"/>
              </w:rPr>
              <w:t>8%</w:t>
            </w:r>
          </w:p>
        </w:tc>
        <w:tc>
          <w:tcPr>
            <w:tcW w:w="1511" w:type="dxa"/>
          </w:tcPr>
          <w:p w14:paraId="2E3999B7" w14:textId="785E4903" w:rsidR="00431F02" w:rsidRPr="003A2471" w:rsidRDefault="00431F02" w:rsidP="003A2471">
            <w:pPr>
              <w:widowControl/>
              <w:jc w:val="center"/>
              <w:rPr>
                <w:lang w:val="es-ES_tradnl"/>
              </w:rPr>
            </w:pPr>
            <w:r w:rsidRPr="003A2471">
              <w:rPr>
                <w:lang w:val="es-ES_tradnl"/>
              </w:rPr>
              <w:t>34</w:t>
            </w:r>
            <w:r w:rsidR="001A7800" w:rsidRPr="003A2471">
              <w:rPr>
                <w:lang w:val="es-ES_tradnl"/>
              </w:rPr>
              <w:t>,</w:t>
            </w:r>
            <w:r w:rsidRPr="003A2471">
              <w:rPr>
                <w:lang w:val="es-ES_tradnl"/>
              </w:rPr>
              <w:t>9%</w:t>
            </w:r>
          </w:p>
        </w:tc>
        <w:tc>
          <w:tcPr>
            <w:tcW w:w="1511" w:type="dxa"/>
            <w:shd w:val="clear" w:color="auto" w:fill="BFBFBF" w:themeFill="background1" w:themeFillShade="BF"/>
          </w:tcPr>
          <w:p w14:paraId="72CAD852" w14:textId="77777777" w:rsidR="00431F02" w:rsidRPr="003A2471" w:rsidRDefault="00431F02" w:rsidP="003A2471">
            <w:pPr>
              <w:widowControl/>
              <w:jc w:val="center"/>
              <w:rPr>
                <w:lang w:val="es-ES_tradnl"/>
              </w:rPr>
            </w:pPr>
            <w:r w:rsidRPr="003A2471">
              <w:rPr>
                <w:lang w:val="es-ES_tradnl"/>
              </w:rPr>
              <w:t>37%</w:t>
            </w:r>
          </w:p>
        </w:tc>
      </w:tr>
      <w:tr w:rsidR="00431F02" w:rsidRPr="003A2471" w14:paraId="6639BE4B" w14:textId="77777777" w:rsidTr="001A212F">
        <w:tc>
          <w:tcPr>
            <w:tcW w:w="1510" w:type="dxa"/>
          </w:tcPr>
          <w:p w14:paraId="3C33BEC8" w14:textId="77777777" w:rsidR="00431F02" w:rsidRPr="003A2471" w:rsidRDefault="00431F02" w:rsidP="003A2471">
            <w:pPr>
              <w:widowControl/>
              <w:jc w:val="center"/>
              <w:rPr>
                <w:lang w:val="es-ES_tradnl"/>
              </w:rPr>
            </w:pPr>
            <w:r w:rsidRPr="003A2471">
              <w:rPr>
                <w:lang w:val="es-ES_tradnl"/>
              </w:rPr>
              <w:t>P5</w:t>
            </w:r>
          </w:p>
        </w:tc>
        <w:tc>
          <w:tcPr>
            <w:tcW w:w="1510" w:type="dxa"/>
          </w:tcPr>
          <w:p w14:paraId="282ACBE9" w14:textId="77777777" w:rsidR="00431F02" w:rsidRPr="003A2471" w:rsidRDefault="00431F02" w:rsidP="003A2471">
            <w:pPr>
              <w:widowControl/>
              <w:jc w:val="center"/>
              <w:rPr>
                <w:lang w:val="es-ES_tradnl"/>
              </w:rPr>
            </w:pPr>
            <w:r w:rsidRPr="003A2471">
              <w:rPr>
                <w:lang w:val="es-ES_tradnl"/>
              </w:rPr>
              <w:t>35%</w:t>
            </w:r>
          </w:p>
        </w:tc>
        <w:tc>
          <w:tcPr>
            <w:tcW w:w="1510" w:type="dxa"/>
          </w:tcPr>
          <w:p w14:paraId="0CDD678A" w14:textId="0D18D8D2" w:rsidR="00431F02" w:rsidRPr="003A2471" w:rsidRDefault="00431F02" w:rsidP="003A2471">
            <w:pPr>
              <w:widowControl/>
              <w:jc w:val="center"/>
              <w:rPr>
                <w:lang w:val="es-ES_tradnl"/>
              </w:rPr>
            </w:pPr>
            <w:r w:rsidRPr="003A2471">
              <w:rPr>
                <w:lang w:val="es-ES_tradnl"/>
              </w:rPr>
              <w:t>33</w:t>
            </w:r>
            <w:r w:rsidR="001A7800" w:rsidRPr="003A2471">
              <w:rPr>
                <w:lang w:val="es-ES_tradnl"/>
              </w:rPr>
              <w:t>,</w:t>
            </w:r>
            <w:r w:rsidRPr="003A2471">
              <w:rPr>
                <w:lang w:val="es-ES_tradnl"/>
              </w:rPr>
              <w:t>3%</w:t>
            </w:r>
          </w:p>
        </w:tc>
        <w:tc>
          <w:tcPr>
            <w:tcW w:w="1511" w:type="dxa"/>
          </w:tcPr>
          <w:p w14:paraId="24D9CDF6" w14:textId="445D3068" w:rsidR="00431F02" w:rsidRPr="003A2471" w:rsidRDefault="00431F02" w:rsidP="003A2471">
            <w:pPr>
              <w:widowControl/>
              <w:jc w:val="center"/>
              <w:rPr>
                <w:lang w:val="es-ES_tradnl"/>
              </w:rPr>
            </w:pPr>
            <w:r w:rsidRPr="003A2471">
              <w:rPr>
                <w:lang w:val="es-ES_tradnl"/>
              </w:rPr>
              <w:t>32</w:t>
            </w:r>
            <w:r w:rsidR="001A7800" w:rsidRPr="003A2471">
              <w:rPr>
                <w:lang w:val="es-ES_tradnl"/>
              </w:rPr>
              <w:t>,</w:t>
            </w:r>
            <w:r w:rsidRPr="003A2471">
              <w:rPr>
                <w:lang w:val="es-ES_tradnl"/>
              </w:rPr>
              <w:t>4%</w:t>
            </w:r>
          </w:p>
        </w:tc>
        <w:tc>
          <w:tcPr>
            <w:tcW w:w="1511" w:type="dxa"/>
          </w:tcPr>
          <w:p w14:paraId="52BF0C04" w14:textId="621CB5B5" w:rsidR="00431F02" w:rsidRPr="003A2471" w:rsidRDefault="00431F02" w:rsidP="003A2471">
            <w:pPr>
              <w:widowControl/>
              <w:jc w:val="center"/>
              <w:rPr>
                <w:lang w:val="es-ES_tradnl"/>
              </w:rPr>
            </w:pPr>
            <w:r w:rsidRPr="003A2471">
              <w:rPr>
                <w:lang w:val="es-ES_tradnl"/>
              </w:rPr>
              <w:t>32</w:t>
            </w:r>
            <w:r w:rsidR="001A7800" w:rsidRPr="003A2471">
              <w:rPr>
                <w:lang w:val="es-ES_tradnl"/>
              </w:rPr>
              <w:t>,</w:t>
            </w:r>
            <w:r w:rsidRPr="003A2471">
              <w:rPr>
                <w:lang w:val="es-ES_tradnl"/>
              </w:rPr>
              <w:t>7%</w:t>
            </w:r>
          </w:p>
        </w:tc>
        <w:tc>
          <w:tcPr>
            <w:tcW w:w="1511" w:type="dxa"/>
            <w:shd w:val="clear" w:color="auto" w:fill="BFBFBF" w:themeFill="background1" w:themeFillShade="BF"/>
          </w:tcPr>
          <w:p w14:paraId="063CD165" w14:textId="77777777" w:rsidR="00431F02" w:rsidRPr="003A2471" w:rsidRDefault="00431F02" w:rsidP="003A2471">
            <w:pPr>
              <w:widowControl/>
              <w:jc w:val="center"/>
              <w:rPr>
                <w:lang w:val="es-ES_tradnl"/>
              </w:rPr>
            </w:pPr>
            <w:r w:rsidRPr="003A2471">
              <w:rPr>
                <w:lang w:val="es-ES_tradnl"/>
              </w:rPr>
              <w:t>43%</w:t>
            </w:r>
          </w:p>
        </w:tc>
      </w:tr>
      <w:tr w:rsidR="00431F02" w:rsidRPr="003A2471" w14:paraId="55F960B6" w14:textId="77777777" w:rsidTr="001A212F">
        <w:tc>
          <w:tcPr>
            <w:tcW w:w="1510" w:type="dxa"/>
          </w:tcPr>
          <w:p w14:paraId="504642B3" w14:textId="77777777" w:rsidR="00431F02" w:rsidRPr="003A2471" w:rsidRDefault="00431F02" w:rsidP="003A2471">
            <w:pPr>
              <w:widowControl/>
              <w:jc w:val="center"/>
              <w:rPr>
                <w:lang w:val="es-ES_tradnl"/>
              </w:rPr>
            </w:pPr>
            <w:r w:rsidRPr="003A2471">
              <w:rPr>
                <w:lang w:val="es-ES_tradnl"/>
              </w:rPr>
              <w:t>P4</w:t>
            </w:r>
          </w:p>
        </w:tc>
        <w:tc>
          <w:tcPr>
            <w:tcW w:w="1510" w:type="dxa"/>
          </w:tcPr>
          <w:p w14:paraId="3279A5BE" w14:textId="77777777" w:rsidR="00431F02" w:rsidRPr="003A2471" w:rsidRDefault="00431F02" w:rsidP="003A2471">
            <w:pPr>
              <w:widowControl/>
              <w:jc w:val="center"/>
              <w:rPr>
                <w:lang w:val="es-ES_tradnl"/>
              </w:rPr>
            </w:pPr>
            <w:r w:rsidRPr="003A2471">
              <w:rPr>
                <w:lang w:val="es-ES_tradnl"/>
              </w:rPr>
              <w:t>45%</w:t>
            </w:r>
          </w:p>
        </w:tc>
        <w:tc>
          <w:tcPr>
            <w:tcW w:w="1510" w:type="dxa"/>
          </w:tcPr>
          <w:p w14:paraId="7FD84642" w14:textId="5E27F2E2" w:rsidR="00431F02" w:rsidRPr="003A2471" w:rsidRDefault="00431F02" w:rsidP="003A2471">
            <w:pPr>
              <w:widowControl/>
              <w:jc w:val="center"/>
              <w:rPr>
                <w:lang w:val="es-ES_tradnl"/>
              </w:rPr>
            </w:pPr>
            <w:r w:rsidRPr="003A2471">
              <w:rPr>
                <w:lang w:val="es-ES_tradnl"/>
              </w:rPr>
              <w:t>47</w:t>
            </w:r>
            <w:r w:rsidR="001A7800" w:rsidRPr="003A2471">
              <w:rPr>
                <w:lang w:val="es-ES_tradnl"/>
              </w:rPr>
              <w:t>,</w:t>
            </w:r>
            <w:r w:rsidRPr="003A2471">
              <w:rPr>
                <w:lang w:val="es-ES_tradnl"/>
              </w:rPr>
              <w:t>2%</w:t>
            </w:r>
          </w:p>
        </w:tc>
        <w:tc>
          <w:tcPr>
            <w:tcW w:w="1511" w:type="dxa"/>
          </w:tcPr>
          <w:p w14:paraId="270C42D2" w14:textId="4C1F51B6" w:rsidR="00431F02" w:rsidRPr="003A2471" w:rsidRDefault="00431F02" w:rsidP="003A2471">
            <w:pPr>
              <w:widowControl/>
              <w:jc w:val="center"/>
              <w:rPr>
                <w:lang w:val="es-ES_tradnl"/>
              </w:rPr>
            </w:pPr>
            <w:r w:rsidRPr="003A2471">
              <w:rPr>
                <w:lang w:val="es-ES_tradnl"/>
              </w:rPr>
              <w:t>48</w:t>
            </w:r>
            <w:r w:rsidR="001A7800" w:rsidRPr="003A2471">
              <w:rPr>
                <w:lang w:val="es-ES_tradnl"/>
              </w:rPr>
              <w:t>,</w:t>
            </w:r>
            <w:r w:rsidRPr="003A2471">
              <w:rPr>
                <w:lang w:val="es-ES_tradnl"/>
              </w:rPr>
              <w:t>7%</w:t>
            </w:r>
          </w:p>
        </w:tc>
        <w:tc>
          <w:tcPr>
            <w:tcW w:w="1511" w:type="dxa"/>
          </w:tcPr>
          <w:p w14:paraId="1C6C3B0C" w14:textId="29B18D75" w:rsidR="00431F02" w:rsidRPr="003A2471" w:rsidRDefault="00431F02" w:rsidP="003A2471">
            <w:pPr>
              <w:widowControl/>
              <w:jc w:val="center"/>
              <w:rPr>
                <w:lang w:val="es-ES_tradnl"/>
              </w:rPr>
            </w:pPr>
            <w:r w:rsidRPr="003A2471">
              <w:rPr>
                <w:lang w:val="es-ES_tradnl"/>
              </w:rPr>
              <w:t>50</w:t>
            </w:r>
            <w:r w:rsidR="001A7800" w:rsidRPr="003A2471">
              <w:rPr>
                <w:lang w:val="es-ES_tradnl"/>
              </w:rPr>
              <w:t>,</w:t>
            </w:r>
            <w:r w:rsidRPr="003A2471">
              <w:rPr>
                <w:lang w:val="es-ES_tradnl"/>
              </w:rPr>
              <w:t>0%</w:t>
            </w:r>
          </w:p>
        </w:tc>
        <w:tc>
          <w:tcPr>
            <w:tcW w:w="1511" w:type="dxa"/>
            <w:shd w:val="clear" w:color="auto" w:fill="BFBFBF" w:themeFill="background1" w:themeFillShade="BF"/>
          </w:tcPr>
          <w:p w14:paraId="7F21FD25" w14:textId="77777777" w:rsidR="00431F02" w:rsidRPr="003A2471" w:rsidRDefault="00431F02" w:rsidP="003A2471">
            <w:pPr>
              <w:widowControl/>
              <w:jc w:val="center"/>
              <w:rPr>
                <w:lang w:val="es-ES_tradnl"/>
              </w:rPr>
            </w:pPr>
            <w:r w:rsidRPr="003A2471">
              <w:rPr>
                <w:lang w:val="es-ES_tradnl"/>
              </w:rPr>
              <w:t>50%</w:t>
            </w:r>
          </w:p>
        </w:tc>
      </w:tr>
    </w:tbl>
    <w:p w14:paraId="2CC2CC61" w14:textId="182F87BF" w:rsidR="00431F02" w:rsidRPr="003A2471" w:rsidRDefault="000C093F" w:rsidP="003A2471">
      <w:pPr>
        <w:pStyle w:val="ListParagraph"/>
        <w:numPr>
          <w:ilvl w:val="0"/>
          <w:numId w:val="7"/>
        </w:numPr>
        <w:spacing w:before="240" w:after="240"/>
        <w:ind w:left="0" w:firstLine="0"/>
        <w:contextualSpacing w:val="0"/>
        <w:rPr>
          <w:rFonts w:ascii="Arial" w:hAnsi="Arial" w:cs="Arial"/>
          <w:sz w:val="22"/>
          <w:szCs w:val="22"/>
          <w:lang w:val="es-ES_tradnl"/>
        </w:rPr>
      </w:pPr>
      <w:r w:rsidRPr="003A2471">
        <w:rPr>
          <w:rFonts w:ascii="Arial" w:hAnsi="Arial" w:cs="Arial"/>
          <w:sz w:val="22"/>
          <w:szCs w:val="22"/>
          <w:lang w:val="es-ES_tradnl"/>
        </w:rPr>
        <w:t xml:space="preserve">Las labores de la OMPI para mejorar el equilibrio de género entre su personal están impulsadas por programas de divulgación específicos. Un </w:t>
      </w:r>
      <w:r w:rsidR="007C0E8B" w:rsidRPr="003A2471">
        <w:rPr>
          <w:rFonts w:ascii="Arial" w:hAnsi="Arial" w:cs="Arial"/>
          <w:sz w:val="22"/>
          <w:szCs w:val="22"/>
          <w:lang w:val="es-ES_tradnl"/>
        </w:rPr>
        <w:t>claro</w:t>
      </w:r>
      <w:r w:rsidRPr="003A2471">
        <w:rPr>
          <w:rFonts w:ascii="Arial" w:hAnsi="Arial" w:cs="Arial"/>
          <w:sz w:val="22"/>
          <w:szCs w:val="22"/>
          <w:lang w:val="es-ES_tradnl"/>
        </w:rPr>
        <w:t xml:space="preserve"> indicador de que las iniciativas de </w:t>
      </w:r>
      <w:r w:rsidR="00621BDB" w:rsidRPr="003A2471">
        <w:rPr>
          <w:rFonts w:ascii="Arial" w:hAnsi="Arial" w:cs="Arial"/>
          <w:sz w:val="22"/>
          <w:szCs w:val="22"/>
          <w:lang w:val="es-ES_tradnl"/>
        </w:rPr>
        <w:t>promoción institucional</w:t>
      </w:r>
      <w:r w:rsidRPr="003A2471">
        <w:rPr>
          <w:rFonts w:ascii="Arial" w:hAnsi="Arial" w:cs="Arial"/>
          <w:sz w:val="22"/>
          <w:szCs w:val="22"/>
          <w:lang w:val="es-ES_tradnl"/>
        </w:rPr>
        <w:t xml:space="preserve"> y </w:t>
      </w:r>
      <w:r w:rsidR="00621BDB" w:rsidRPr="003A2471">
        <w:rPr>
          <w:rFonts w:ascii="Arial" w:hAnsi="Arial" w:cs="Arial"/>
          <w:sz w:val="22"/>
          <w:szCs w:val="22"/>
          <w:lang w:val="es-ES_tradnl"/>
        </w:rPr>
        <w:t xml:space="preserve">de </w:t>
      </w:r>
      <w:r w:rsidRPr="003A2471">
        <w:rPr>
          <w:rFonts w:ascii="Arial" w:hAnsi="Arial" w:cs="Arial"/>
          <w:sz w:val="22"/>
          <w:szCs w:val="22"/>
          <w:lang w:val="es-ES_tradnl"/>
        </w:rPr>
        <w:t>divulgación producen resultados positivos en la inversión en equilibrio de género es el constante aumento del porcentaje de mujeres en determinadas áreas de trabajo, por ejemplo, la</w:t>
      </w:r>
      <w:r w:rsidR="00F776CF" w:rsidRPr="003A2471">
        <w:rPr>
          <w:rFonts w:ascii="Arial" w:hAnsi="Arial" w:cs="Arial"/>
          <w:sz w:val="22"/>
          <w:szCs w:val="22"/>
          <w:lang w:val="es-ES_tradnl"/>
        </w:rPr>
        <w:t>s</w:t>
      </w:r>
      <w:r w:rsidRPr="003A2471">
        <w:rPr>
          <w:rFonts w:ascii="Arial" w:hAnsi="Arial" w:cs="Arial"/>
          <w:sz w:val="22"/>
          <w:szCs w:val="22"/>
          <w:lang w:val="es-ES_tradnl"/>
        </w:rPr>
        <w:t xml:space="preserve"> tecnología</w:t>
      </w:r>
      <w:r w:rsidR="00F776CF" w:rsidRPr="003A2471">
        <w:rPr>
          <w:rFonts w:ascii="Arial" w:hAnsi="Arial" w:cs="Arial"/>
          <w:sz w:val="22"/>
          <w:szCs w:val="22"/>
          <w:lang w:val="es-ES_tradnl"/>
        </w:rPr>
        <w:t>s</w:t>
      </w:r>
      <w:r w:rsidRPr="003A2471">
        <w:rPr>
          <w:rFonts w:ascii="Arial" w:hAnsi="Arial" w:cs="Arial"/>
          <w:sz w:val="22"/>
          <w:szCs w:val="22"/>
          <w:lang w:val="es-ES_tradnl"/>
        </w:rPr>
        <w:t xml:space="preserve"> de la información (TI), á</w:t>
      </w:r>
      <w:r w:rsidR="003A2471" w:rsidRPr="003A2471">
        <w:rPr>
          <w:rFonts w:ascii="Arial" w:hAnsi="Arial" w:cs="Arial"/>
          <w:sz w:val="22"/>
          <w:szCs w:val="22"/>
          <w:lang w:val="es-ES_tradnl"/>
        </w:rPr>
        <w:t>mbito en el que, en los últimos </w:t>
      </w:r>
      <w:r w:rsidRPr="003A2471">
        <w:rPr>
          <w:rFonts w:ascii="Arial" w:hAnsi="Arial" w:cs="Arial"/>
          <w:sz w:val="22"/>
          <w:szCs w:val="22"/>
          <w:lang w:val="es-ES_tradnl"/>
        </w:rPr>
        <w:t>12 meses, el número de mujeres ha pasado del 20,5% al 24%, en una tendencia al alza ininterrumpida</w:t>
      </w:r>
      <w:r w:rsidR="00431F02" w:rsidRPr="003A2471">
        <w:rPr>
          <w:rFonts w:ascii="Arial" w:hAnsi="Arial" w:cs="Arial"/>
          <w:sz w:val="22"/>
          <w:szCs w:val="22"/>
          <w:lang w:val="es-ES_tradnl"/>
        </w:rPr>
        <w:t>.</w:t>
      </w:r>
    </w:p>
    <w:p w14:paraId="2E377475" w14:textId="3458511C" w:rsidR="00431F02" w:rsidRPr="003A2471" w:rsidRDefault="00544395" w:rsidP="003A2471">
      <w:pPr>
        <w:numPr>
          <w:ilvl w:val="0"/>
          <w:numId w:val="7"/>
        </w:numPr>
        <w:spacing w:after="360"/>
        <w:ind w:left="0" w:firstLine="0"/>
        <w:rPr>
          <w:szCs w:val="22"/>
          <w:lang w:val="es-ES_tradnl"/>
        </w:rPr>
      </w:pPr>
      <w:r w:rsidRPr="003A2471">
        <w:rPr>
          <w:szCs w:val="22"/>
          <w:lang w:val="es-ES_tradnl"/>
        </w:rPr>
        <w:t xml:space="preserve">A fin de aumentar el número de candidatas a grados </w:t>
      </w:r>
      <w:r w:rsidR="00F776CF" w:rsidRPr="003A2471">
        <w:rPr>
          <w:szCs w:val="22"/>
          <w:lang w:val="es-ES_tradnl"/>
        </w:rPr>
        <w:t>de alto nivel</w:t>
      </w:r>
      <w:r w:rsidR="007C0E8B" w:rsidRPr="003A2471">
        <w:rPr>
          <w:szCs w:val="22"/>
          <w:lang w:val="es-ES_tradnl"/>
        </w:rPr>
        <w:t xml:space="preserve"> (P5 y superiores), en </w:t>
      </w:r>
      <w:r w:rsidRPr="003A2471">
        <w:rPr>
          <w:szCs w:val="22"/>
          <w:lang w:val="es-ES_tradnl"/>
        </w:rPr>
        <w:t>2019 se creó una reserva de talento femenino de alto nivel para que las posibles candidatas puedan presentar manifestaciones de interés por trabajar en ámbitos específicos de la OMPI, mientras no haya vacantes que se ajusten a sus perfiles. Cuando surgen vacantes que puedan interesar a estas personas, incluidas las plazas temporales, la OMPI se lo notifica, reservándose la facultad de contratar a los talentos interesados en oportunidades futuras</w:t>
      </w:r>
      <w:r w:rsidR="00431F02" w:rsidRPr="003A2471">
        <w:rPr>
          <w:szCs w:val="22"/>
          <w:lang w:val="es-ES_tradnl"/>
        </w:rPr>
        <w:t>.</w:t>
      </w:r>
    </w:p>
    <w:p w14:paraId="3A85162E" w14:textId="392F695E" w:rsidR="00431F02" w:rsidRPr="003A2471" w:rsidRDefault="0046421C" w:rsidP="003A2471">
      <w:pPr>
        <w:pStyle w:val="Heading3"/>
        <w:keepNext w:val="0"/>
        <w:spacing w:after="240"/>
        <w:rPr>
          <w:i/>
          <w:u w:val="none"/>
          <w:lang w:val="es-ES_tradnl"/>
        </w:rPr>
      </w:pPr>
      <w:r w:rsidRPr="003A2471">
        <w:rPr>
          <w:i/>
          <w:u w:val="none"/>
          <w:lang w:val="es-ES_tradnl"/>
        </w:rPr>
        <w:t>Fomentar el talento femenino</w:t>
      </w:r>
    </w:p>
    <w:p w14:paraId="7D3E3EE4" w14:textId="06F19EE9" w:rsidR="00431F02" w:rsidRPr="003A2471" w:rsidRDefault="0016164D" w:rsidP="003A2471">
      <w:pPr>
        <w:numPr>
          <w:ilvl w:val="0"/>
          <w:numId w:val="7"/>
        </w:numPr>
        <w:spacing w:after="240"/>
        <w:ind w:left="0" w:firstLine="0"/>
        <w:rPr>
          <w:szCs w:val="22"/>
          <w:lang w:val="es-ES_tradnl"/>
        </w:rPr>
      </w:pPr>
      <w:r w:rsidRPr="003A2471">
        <w:rPr>
          <w:szCs w:val="22"/>
          <w:lang w:val="es-ES_tradnl"/>
        </w:rPr>
        <w:t xml:space="preserve">La OMPI sigue participando activamente en EMERGE, un programa desarrollado conjuntamente por 11 entidades de las Naciones Unidas </w:t>
      </w:r>
      <w:r w:rsidR="00215350" w:rsidRPr="003A2471">
        <w:rPr>
          <w:szCs w:val="22"/>
          <w:lang w:val="es-ES_tradnl"/>
        </w:rPr>
        <w:t xml:space="preserve">que actualmente se encuentra en su cuarto año de aplicación. </w:t>
      </w:r>
      <w:r w:rsidR="00CD09FC" w:rsidRPr="003A2471">
        <w:rPr>
          <w:szCs w:val="22"/>
          <w:lang w:val="es-ES_tradnl"/>
        </w:rPr>
        <w:t xml:space="preserve">El programa, de nueve meses de duración, prepara a las funcionarias de grado P3 para ocupar plazas de liderazgo. En octubre de 2019 se inició un nuevo ciclo. Desde su creación, </w:t>
      </w:r>
      <w:r w:rsidR="00F776CF" w:rsidRPr="003A2471">
        <w:rPr>
          <w:szCs w:val="22"/>
          <w:lang w:val="es-ES_tradnl"/>
        </w:rPr>
        <w:t>el programa ha resultado útil a</w:t>
      </w:r>
      <w:r w:rsidR="00CD09FC" w:rsidRPr="003A2471">
        <w:rPr>
          <w:szCs w:val="22"/>
          <w:lang w:val="es-ES_tradnl"/>
        </w:rPr>
        <w:t xml:space="preserve"> 10 participantes de la OMPI</w:t>
      </w:r>
      <w:r w:rsidR="00431F02" w:rsidRPr="003A2471">
        <w:rPr>
          <w:szCs w:val="22"/>
          <w:lang w:val="es-ES_tradnl"/>
        </w:rPr>
        <w:t>.</w:t>
      </w:r>
    </w:p>
    <w:p w14:paraId="0726126F" w14:textId="4AD38F88" w:rsidR="00431F02" w:rsidRPr="003A2471" w:rsidRDefault="00CD09FC" w:rsidP="003A2471">
      <w:pPr>
        <w:numPr>
          <w:ilvl w:val="0"/>
          <w:numId w:val="7"/>
        </w:numPr>
        <w:spacing w:after="360"/>
        <w:ind w:left="0" w:firstLine="0"/>
        <w:rPr>
          <w:szCs w:val="22"/>
          <w:lang w:val="es-ES_tradnl"/>
        </w:rPr>
      </w:pPr>
      <w:r w:rsidRPr="003A2471">
        <w:rPr>
          <w:i/>
          <w:szCs w:val="22"/>
          <w:lang w:val="es-ES_tradnl"/>
        </w:rPr>
        <w:t xml:space="preserve">I-seize, </w:t>
      </w:r>
      <w:r w:rsidRPr="003A2471">
        <w:rPr>
          <w:szCs w:val="22"/>
          <w:lang w:val="es-ES_tradnl"/>
        </w:rPr>
        <w:t xml:space="preserve">un programa de la OMPI de desarrollo profesional y de las perspectivas de </w:t>
      </w:r>
      <w:r w:rsidR="003966FF" w:rsidRPr="003A2471">
        <w:rPr>
          <w:szCs w:val="22"/>
          <w:lang w:val="es-ES_tradnl"/>
        </w:rPr>
        <w:t>c</w:t>
      </w:r>
      <w:r w:rsidRPr="003A2471">
        <w:rPr>
          <w:szCs w:val="22"/>
          <w:lang w:val="es-ES_tradnl"/>
        </w:rPr>
        <w:t xml:space="preserve">arrera, dirigido a mujeres en los grados P3, P4 y P5 y a hombres en la categoría de servicios generales, cumplió su cuarto año. En 2019, cinco miembros del personal (cuatro mujeres y un hombre) fueron seleccionados para participar en el programa de un año de duración, que comprende </w:t>
      </w:r>
      <w:r w:rsidR="000179B8" w:rsidRPr="003A2471">
        <w:rPr>
          <w:szCs w:val="22"/>
          <w:lang w:val="es-ES_tradnl"/>
        </w:rPr>
        <w:t xml:space="preserve">orientación personalizada y sesiones de tutoría, intercambios de grupos, evaluaciones y ejercicios, y en el que se imparten además sesiones de aprendizaje individuales. Habida cuenta de los buenos resultados obtenidos, actualmente </w:t>
      </w:r>
      <w:r w:rsidR="00AA1BAB" w:rsidRPr="003A2471">
        <w:rPr>
          <w:szCs w:val="22"/>
          <w:lang w:val="es-ES_tradnl"/>
        </w:rPr>
        <w:t xml:space="preserve">el programa </w:t>
      </w:r>
      <w:r w:rsidR="000179B8" w:rsidRPr="003A2471">
        <w:rPr>
          <w:szCs w:val="22"/>
          <w:lang w:val="es-ES_tradnl"/>
        </w:rPr>
        <w:t>se está mejorando para adecuarlo a un mayor número de participantes</w:t>
      </w:r>
      <w:r w:rsidR="00431F02" w:rsidRPr="003A2471">
        <w:rPr>
          <w:szCs w:val="22"/>
          <w:lang w:val="es-ES_tradnl"/>
        </w:rPr>
        <w:t>.</w:t>
      </w:r>
    </w:p>
    <w:p w14:paraId="5A9DD8AE" w14:textId="5966ABE4" w:rsidR="00431F02" w:rsidRPr="003A2471" w:rsidRDefault="000179B8" w:rsidP="003A2471">
      <w:pPr>
        <w:pStyle w:val="Heading3"/>
        <w:keepNext w:val="0"/>
        <w:spacing w:after="240"/>
        <w:rPr>
          <w:i/>
          <w:u w:val="none"/>
          <w:lang w:val="es-ES_tradnl"/>
        </w:rPr>
      </w:pPr>
      <w:r w:rsidRPr="003A2471">
        <w:rPr>
          <w:i/>
          <w:u w:val="none"/>
          <w:lang w:val="es-ES_tradnl"/>
        </w:rPr>
        <w:t>Integración de las cuestiones de género en los programas</w:t>
      </w:r>
    </w:p>
    <w:p w14:paraId="18D55238" w14:textId="551D7BD2" w:rsidR="00431F02" w:rsidRPr="003A2471" w:rsidRDefault="00BB09D2" w:rsidP="003A2471">
      <w:pPr>
        <w:numPr>
          <w:ilvl w:val="0"/>
          <w:numId w:val="7"/>
        </w:numPr>
        <w:spacing w:after="240"/>
        <w:ind w:left="0" w:firstLine="0"/>
        <w:rPr>
          <w:szCs w:val="22"/>
          <w:lang w:val="es-ES_tradnl"/>
        </w:rPr>
      </w:pPr>
      <w:r w:rsidRPr="003A2471">
        <w:rPr>
          <w:szCs w:val="22"/>
          <w:lang w:val="es-ES_tradnl"/>
        </w:rPr>
        <w:t>Durante las Asambleas de 2019, la OMPI organizó una mesa redonda sobre igualdad de género y derechos de autor titulada “Empoderamiento de la mujer en la industria editorial”. En ella se analizó la repercusión de la igualdad de género en las elecciones editoriales, las políticas comerciales y las estrategias educativas. Los representantes de las asociaciones de creadores y editores intercambiaron información sobre la representación de la mujer en la industria y examinaron las tendencias, los desequilibrios que aún subsisten y las áreas que requieren mayor atención</w:t>
      </w:r>
      <w:r w:rsidR="00431F02" w:rsidRPr="003A2471">
        <w:rPr>
          <w:szCs w:val="22"/>
          <w:lang w:val="es-ES_tradnl"/>
        </w:rPr>
        <w:t>.</w:t>
      </w:r>
    </w:p>
    <w:p w14:paraId="42B953BF" w14:textId="6EC24EA2" w:rsidR="00431F02" w:rsidRPr="003A2471" w:rsidRDefault="00674CA2" w:rsidP="003A2471">
      <w:pPr>
        <w:numPr>
          <w:ilvl w:val="0"/>
          <w:numId w:val="7"/>
        </w:numPr>
        <w:spacing w:after="240"/>
        <w:ind w:left="0" w:firstLine="0"/>
        <w:rPr>
          <w:szCs w:val="22"/>
          <w:lang w:val="es-ES_tradnl"/>
        </w:rPr>
      </w:pPr>
      <w:r w:rsidRPr="003A2471">
        <w:rPr>
          <w:szCs w:val="22"/>
          <w:lang w:val="es-ES_tradnl"/>
        </w:rPr>
        <w:t xml:space="preserve">La OMPI organizó además un taller muy interactivo de un día de duración, dirigido a los delegados, sobre sesgos inconscientes, diversidad e inclusión. El taller tenía por objeto concienciar acerca de la incidencia de la diversidad en la creatividad, la innovación, la productividad y los valores globales y apoyar a los líderes para que </w:t>
      </w:r>
      <w:r w:rsidR="00AA1BAB" w:rsidRPr="003A2471">
        <w:rPr>
          <w:szCs w:val="22"/>
          <w:lang w:val="es-ES_tradnl"/>
        </w:rPr>
        <w:t>desempeñen su función</w:t>
      </w:r>
      <w:r w:rsidRPr="003A2471">
        <w:rPr>
          <w:szCs w:val="22"/>
          <w:lang w:val="es-ES_tradnl"/>
        </w:rPr>
        <w:t xml:space="preserve"> de manera </w:t>
      </w:r>
      <w:r w:rsidR="00AA1BAB" w:rsidRPr="003A2471">
        <w:rPr>
          <w:szCs w:val="22"/>
          <w:lang w:val="es-ES_tradnl"/>
        </w:rPr>
        <w:t>incluyente</w:t>
      </w:r>
      <w:r w:rsidRPr="003A2471">
        <w:rPr>
          <w:szCs w:val="22"/>
          <w:lang w:val="es-ES_tradnl"/>
        </w:rPr>
        <w:t xml:space="preserve"> mediante la exploración de estrategias de adaptación en torno a la cultura y la mitigación de los prejuicios. Además, el taller comprendía simulaciones prácticas y una autoevaluación individual centrados en estrategias de liderazgo, conductas </w:t>
      </w:r>
      <w:r w:rsidR="00AA1BAB" w:rsidRPr="003A2471">
        <w:rPr>
          <w:szCs w:val="22"/>
          <w:lang w:val="es-ES_tradnl"/>
        </w:rPr>
        <w:t>incluyentes</w:t>
      </w:r>
      <w:r w:rsidRPr="003A2471">
        <w:rPr>
          <w:szCs w:val="22"/>
          <w:lang w:val="es-ES_tradnl"/>
        </w:rPr>
        <w:t xml:space="preserve"> y estilos de comunicación cultural</w:t>
      </w:r>
      <w:r w:rsidR="00431F02" w:rsidRPr="003A2471">
        <w:rPr>
          <w:szCs w:val="22"/>
          <w:lang w:val="es-ES_tradnl"/>
        </w:rPr>
        <w:t>.</w:t>
      </w:r>
    </w:p>
    <w:p w14:paraId="467AC4FF" w14:textId="716C0774" w:rsidR="00431F02" w:rsidRPr="003A2471" w:rsidRDefault="007F6EB5" w:rsidP="003A2471">
      <w:pPr>
        <w:numPr>
          <w:ilvl w:val="0"/>
          <w:numId w:val="7"/>
        </w:numPr>
        <w:spacing w:after="240"/>
        <w:ind w:left="0" w:firstLine="0"/>
        <w:rPr>
          <w:szCs w:val="22"/>
          <w:lang w:val="es-ES_tradnl"/>
        </w:rPr>
      </w:pPr>
      <w:r w:rsidRPr="003A2471">
        <w:rPr>
          <w:szCs w:val="22"/>
          <w:lang w:val="es-ES_tradnl"/>
        </w:rPr>
        <w:t xml:space="preserve">A raíz de la decisión adoptada en 2018 por el Comité de Desarrollo y Propiedad Intelectual sobre las mujeres y la PI, la OMPI </w:t>
      </w:r>
      <w:r w:rsidR="003966FF" w:rsidRPr="003A2471">
        <w:rPr>
          <w:szCs w:val="22"/>
          <w:lang w:val="es-ES_tradnl"/>
        </w:rPr>
        <w:t>emprendió</w:t>
      </w:r>
      <w:r w:rsidRPr="003A2471">
        <w:rPr>
          <w:szCs w:val="22"/>
          <w:lang w:val="es-ES_tradnl"/>
        </w:rPr>
        <w:t xml:space="preserve"> un proyecto de cuatro años para ampliar </w:t>
      </w:r>
      <w:r w:rsidR="00FB543C" w:rsidRPr="003A2471">
        <w:rPr>
          <w:szCs w:val="22"/>
          <w:lang w:val="es-ES_tradnl"/>
        </w:rPr>
        <w:t>la sensibilización acerca del</w:t>
      </w:r>
      <w:r w:rsidRPr="003A2471">
        <w:rPr>
          <w:szCs w:val="22"/>
          <w:lang w:val="es-ES_tradnl"/>
        </w:rPr>
        <w:t xml:space="preserve"> sistema de PI</w:t>
      </w:r>
      <w:r w:rsidR="00FB543C" w:rsidRPr="003A2471">
        <w:rPr>
          <w:szCs w:val="22"/>
          <w:lang w:val="es-ES_tradnl"/>
        </w:rPr>
        <w:t>, así como el conocimiento y uso del mismo</w:t>
      </w:r>
      <w:r w:rsidRPr="003A2471">
        <w:rPr>
          <w:szCs w:val="22"/>
          <w:lang w:val="es-ES_tradnl"/>
        </w:rPr>
        <w:t xml:space="preserve">. En la primera etapa del proyecto se </w:t>
      </w:r>
      <w:r w:rsidR="00FB543C" w:rsidRPr="003A2471">
        <w:rPr>
          <w:szCs w:val="22"/>
          <w:lang w:val="es-ES_tradnl"/>
        </w:rPr>
        <w:t>produjeron</w:t>
      </w:r>
      <w:r w:rsidRPr="003A2471">
        <w:rPr>
          <w:szCs w:val="22"/>
          <w:lang w:val="es-ES_tradnl"/>
        </w:rPr>
        <w:t xml:space="preserve"> estudios mundiales y por países sobre los factores que determinan la escasa representación de mujeres en el sistema de PI y </w:t>
      </w:r>
      <w:r w:rsidR="00FB543C" w:rsidRPr="003A2471">
        <w:rPr>
          <w:szCs w:val="22"/>
          <w:lang w:val="es-ES_tradnl"/>
        </w:rPr>
        <w:t xml:space="preserve">las </w:t>
      </w:r>
      <w:r w:rsidRPr="003A2471">
        <w:rPr>
          <w:szCs w:val="22"/>
          <w:lang w:val="es-ES_tradnl"/>
        </w:rPr>
        <w:t>buenas prácticas de mitigación conexas</w:t>
      </w:r>
      <w:r w:rsidR="003966FF" w:rsidRPr="003A2471">
        <w:rPr>
          <w:szCs w:val="22"/>
          <w:lang w:val="es-ES_tradnl"/>
        </w:rPr>
        <w:t>, señalando</w:t>
      </w:r>
      <w:r w:rsidRPr="003A2471">
        <w:rPr>
          <w:szCs w:val="22"/>
          <w:lang w:val="es-ES_tradnl"/>
        </w:rPr>
        <w:t xml:space="preserve"> </w:t>
      </w:r>
      <w:r w:rsidR="003966FF" w:rsidRPr="003A2471">
        <w:rPr>
          <w:szCs w:val="22"/>
          <w:lang w:val="es-ES_tradnl"/>
        </w:rPr>
        <w:t>las deficiencias persistentes</w:t>
      </w:r>
      <w:r w:rsidRPr="003A2471">
        <w:rPr>
          <w:szCs w:val="22"/>
          <w:lang w:val="es-ES_tradnl"/>
        </w:rPr>
        <w:t xml:space="preserve"> en la disponibilidad de datos que </w:t>
      </w:r>
      <w:r w:rsidR="004C31B8" w:rsidRPr="003A2471">
        <w:rPr>
          <w:szCs w:val="22"/>
          <w:lang w:val="es-ES_tradnl"/>
        </w:rPr>
        <w:t>obstaculizan la elaboración de políticas mundiales y locales.</w:t>
      </w:r>
    </w:p>
    <w:p w14:paraId="47C1BB5E" w14:textId="593329A8" w:rsidR="00431F02" w:rsidRPr="003A2471" w:rsidRDefault="00DA7FDB" w:rsidP="003A2471">
      <w:pPr>
        <w:numPr>
          <w:ilvl w:val="0"/>
          <w:numId w:val="7"/>
        </w:numPr>
        <w:spacing w:after="240"/>
        <w:ind w:left="0" w:firstLine="0"/>
        <w:rPr>
          <w:szCs w:val="22"/>
          <w:lang w:val="es-ES_tradnl"/>
        </w:rPr>
      </w:pPr>
      <w:r w:rsidRPr="003A2471">
        <w:rPr>
          <w:szCs w:val="22"/>
          <w:lang w:val="es-ES_tradnl"/>
        </w:rPr>
        <w:t>La OMPI ha seguido trabajando con las Oficinas de PI de distintas regiones para mejorar los servicios de PI con perspectiva de género (acceso, inscripción y seguimiento) para inventoras</w:t>
      </w:r>
      <w:r w:rsidR="001C2382" w:rsidRPr="003A2471">
        <w:rPr>
          <w:szCs w:val="22"/>
          <w:lang w:val="es-ES_tradnl"/>
        </w:rPr>
        <w:t>,</w:t>
      </w:r>
      <w:r w:rsidRPr="003A2471">
        <w:rPr>
          <w:szCs w:val="22"/>
          <w:lang w:val="es-ES_tradnl"/>
        </w:rPr>
        <w:t xml:space="preserve"> </w:t>
      </w:r>
      <w:r w:rsidR="00FB543C" w:rsidRPr="003A2471">
        <w:rPr>
          <w:szCs w:val="22"/>
          <w:lang w:val="es-ES_tradnl"/>
        </w:rPr>
        <w:t>a fin de</w:t>
      </w:r>
      <w:r w:rsidRPr="003A2471">
        <w:rPr>
          <w:szCs w:val="22"/>
          <w:lang w:val="es-ES_tradnl"/>
        </w:rPr>
        <w:t xml:space="preserve"> concienciar acerca de la importancia </w:t>
      </w:r>
      <w:r w:rsidR="00FB543C" w:rsidRPr="003A2471">
        <w:rPr>
          <w:szCs w:val="22"/>
          <w:lang w:val="es-ES_tradnl"/>
        </w:rPr>
        <w:t>que revisten</w:t>
      </w:r>
      <w:r w:rsidRPr="003A2471">
        <w:rPr>
          <w:szCs w:val="22"/>
          <w:lang w:val="es-ES_tradnl"/>
        </w:rPr>
        <w:t xml:space="preserve"> las prácticas de PI incluyentes, como la gestión, la elaboración de políticas y la prestación de servicios. Los sectores interesados de América Latina, por ejemplo, están trabajando en coordinación sobre métodos de compilación de datos con perspectiva de género</w:t>
      </w:r>
      <w:r w:rsidR="00431F02" w:rsidRPr="003A2471">
        <w:rPr>
          <w:szCs w:val="22"/>
          <w:lang w:val="es-ES_tradnl"/>
        </w:rPr>
        <w:t>.</w:t>
      </w:r>
    </w:p>
    <w:p w14:paraId="5383455D" w14:textId="4F368A82" w:rsidR="00431F02" w:rsidRPr="003A2471" w:rsidRDefault="00FC6290" w:rsidP="003A2471">
      <w:pPr>
        <w:numPr>
          <w:ilvl w:val="0"/>
          <w:numId w:val="7"/>
        </w:numPr>
        <w:spacing w:after="360"/>
        <w:ind w:left="0" w:firstLine="0"/>
        <w:rPr>
          <w:lang w:val="es-ES_tradnl"/>
        </w:rPr>
      </w:pPr>
      <w:r w:rsidRPr="003A2471">
        <w:rPr>
          <w:szCs w:val="22"/>
          <w:lang w:val="es-ES_tradnl"/>
        </w:rPr>
        <w:t>Por otra parte, la OMPI ha ofrecido un programa de formación y tutoría, dirigido a empre</w:t>
      </w:r>
      <w:r w:rsidR="001C2382" w:rsidRPr="003A2471">
        <w:rPr>
          <w:szCs w:val="22"/>
          <w:lang w:val="es-ES_tradnl"/>
        </w:rPr>
        <w:t>sarias</w:t>
      </w:r>
      <w:r w:rsidRPr="003A2471">
        <w:rPr>
          <w:szCs w:val="22"/>
          <w:lang w:val="es-ES_tradnl"/>
        </w:rPr>
        <w:t xml:space="preserve"> pertenecientes a pueblos indígenas y comunidades locales, sobre PI y conocimientos tradicionales y expresiones culturales, </w:t>
      </w:r>
      <w:r w:rsidR="00FB543C" w:rsidRPr="003A2471">
        <w:rPr>
          <w:szCs w:val="22"/>
          <w:lang w:val="es-ES_tradnl"/>
        </w:rPr>
        <w:t>incluido el ámbito de la</w:t>
      </w:r>
      <w:r w:rsidR="001C2382" w:rsidRPr="003A2471">
        <w:rPr>
          <w:szCs w:val="22"/>
          <w:lang w:val="es-ES_tradnl"/>
        </w:rPr>
        <w:t xml:space="preserve"> biodiversidad. En </w:t>
      </w:r>
      <w:r w:rsidRPr="003A2471">
        <w:rPr>
          <w:szCs w:val="22"/>
          <w:lang w:val="es-ES_tradnl"/>
        </w:rPr>
        <w:t>2019 se impartió formación a 24 inventoras.</w:t>
      </w:r>
    </w:p>
    <w:p w14:paraId="6E08F49F" w14:textId="1AF8FB69" w:rsidR="00431F02" w:rsidRPr="003A2471" w:rsidRDefault="000C2032" w:rsidP="003A2471">
      <w:pPr>
        <w:pStyle w:val="Heading2"/>
        <w:keepLines/>
        <w:spacing w:before="0" w:after="240"/>
        <w:rPr>
          <w:lang w:val="es-ES_tradnl"/>
        </w:rPr>
      </w:pPr>
      <w:r w:rsidRPr="003A2471">
        <w:rPr>
          <w:lang w:val="es-ES_tradnl"/>
        </w:rPr>
        <w:t>INFORME DE LA COMISIÓN DE ADMINISTRACIÓN PÚBLICA INTERNACIONAL</w:t>
      </w:r>
      <w:r w:rsidR="00431F02" w:rsidRPr="003A2471">
        <w:rPr>
          <w:lang w:val="es-ES_tradnl"/>
        </w:rPr>
        <w:t xml:space="preserve"> (</w:t>
      </w:r>
      <w:r w:rsidRPr="003A2471">
        <w:rPr>
          <w:lang w:val="es-ES_tradnl"/>
        </w:rPr>
        <w:t>capi</w:t>
      </w:r>
      <w:r w:rsidR="00431F02" w:rsidRPr="003A2471">
        <w:rPr>
          <w:lang w:val="es-ES_tradnl"/>
        </w:rPr>
        <w:t>)</w:t>
      </w:r>
    </w:p>
    <w:p w14:paraId="7B01DCA1" w14:textId="7D43C4EF" w:rsidR="00431F02" w:rsidRPr="003A2471" w:rsidRDefault="00460714" w:rsidP="003A2471">
      <w:pPr>
        <w:pStyle w:val="ListParagraph"/>
        <w:numPr>
          <w:ilvl w:val="0"/>
          <w:numId w:val="7"/>
        </w:numPr>
        <w:spacing w:after="360"/>
        <w:ind w:left="0" w:firstLine="0"/>
        <w:contextualSpacing w:val="0"/>
        <w:rPr>
          <w:rFonts w:ascii="Arial" w:hAnsi="Arial" w:cs="Arial"/>
          <w:sz w:val="22"/>
          <w:szCs w:val="22"/>
          <w:lang w:val="es-ES_tradnl"/>
        </w:rPr>
      </w:pPr>
      <w:r w:rsidRPr="003A2471">
        <w:rPr>
          <w:rFonts w:ascii="Arial" w:hAnsi="Arial" w:cs="Arial"/>
          <w:sz w:val="22"/>
          <w:szCs w:val="22"/>
          <w:lang w:val="es-ES_tradnl"/>
        </w:rPr>
        <w:t>El artículo 17 del Estatuto de la CAPI establece que “la Comisión presentará un informe anual a la Asamblea General [de las Naciones Unidas] con información sobre la aplicación de sus decisiones y recomendaciones. El informe se transmitirá a los órganos rectores de las demás organizaciones, por medio de sus jefes ejecutivos […]</w:t>
      </w:r>
      <w:r w:rsidR="00431F02" w:rsidRPr="003A2471">
        <w:rPr>
          <w:rFonts w:ascii="Arial" w:hAnsi="Arial" w:cs="Arial"/>
          <w:sz w:val="22"/>
          <w:szCs w:val="22"/>
          <w:lang w:val="es-ES_tradnl"/>
        </w:rPr>
        <w:t xml:space="preserve">”. </w:t>
      </w:r>
      <w:r w:rsidRPr="003A2471">
        <w:rPr>
          <w:rFonts w:ascii="Arial" w:hAnsi="Arial" w:cs="Arial"/>
          <w:sz w:val="22"/>
          <w:szCs w:val="22"/>
          <w:lang w:val="es-ES_tradnl"/>
        </w:rPr>
        <w:t xml:space="preserve">En consecuencia, el director general señala a la atención del Comité de Coordinación de la OMPI el informe de la CAPI correspondiente a 2019 (documento de las Naciones Unidas </w:t>
      </w:r>
      <w:r w:rsidR="00431F02" w:rsidRPr="003A2471">
        <w:rPr>
          <w:rFonts w:ascii="Arial" w:hAnsi="Arial" w:cs="Arial"/>
          <w:sz w:val="22"/>
          <w:szCs w:val="22"/>
          <w:lang w:val="es-ES_tradnl"/>
        </w:rPr>
        <w:t>A/74/30).</w:t>
      </w:r>
      <w:r w:rsidR="00431F02" w:rsidRPr="003A2471">
        <w:rPr>
          <w:rStyle w:val="FootnoteReference"/>
          <w:rFonts w:ascii="Arial" w:hAnsi="Arial" w:cs="Arial"/>
          <w:sz w:val="22"/>
          <w:szCs w:val="22"/>
          <w:lang w:val="es-ES_tradnl"/>
        </w:rPr>
        <w:footnoteReference w:id="9"/>
      </w:r>
    </w:p>
    <w:p w14:paraId="117A16F5" w14:textId="1FFA5B0C" w:rsidR="00431F02" w:rsidRPr="003A2471" w:rsidRDefault="00097F1F" w:rsidP="003A2471">
      <w:pPr>
        <w:pStyle w:val="Heading2"/>
        <w:keepNext w:val="0"/>
        <w:spacing w:after="240"/>
        <w:rPr>
          <w:lang w:val="es-ES_tradnl"/>
        </w:rPr>
      </w:pPr>
      <w:r w:rsidRPr="003A2471">
        <w:rPr>
          <w:lang w:val="es-ES_tradnl"/>
        </w:rPr>
        <w:t xml:space="preserve">INFORME DEL COMITÉ MIXTO DE PENSIONES DEL PERSONAL DE LAS NACIONES UNIDAS </w:t>
      </w:r>
    </w:p>
    <w:p w14:paraId="0D33AED7" w14:textId="0766683A" w:rsidR="00431F02" w:rsidRPr="003A2471" w:rsidRDefault="00097F1F" w:rsidP="003A2471">
      <w:pPr>
        <w:pStyle w:val="ListParagraph"/>
        <w:numPr>
          <w:ilvl w:val="0"/>
          <w:numId w:val="7"/>
        </w:numPr>
        <w:tabs>
          <w:tab w:val="left" w:pos="0"/>
        </w:tabs>
        <w:spacing w:after="360"/>
        <w:ind w:left="0" w:firstLine="0"/>
        <w:contextualSpacing w:val="0"/>
        <w:rPr>
          <w:rFonts w:ascii="Arial" w:hAnsi="Arial" w:cs="Arial"/>
          <w:sz w:val="22"/>
          <w:szCs w:val="22"/>
          <w:lang w:val="es-ES_tradnl"/>
        </w:rPr>
      </w:pPr>
      <w:r w:rsidRPr="003A2471">
        <w:rPr>
          <w:rFonts w:ascii="Arial" w:hAnsi="Arial" w:cs="Arial"/>
          <w:sz w:val="22"/>
          <w:szCs w:val="22"/>
          <w:lang w:val="es-ES_tradnl"/>
        </w:rPr>
        <w:t>El artículo 14</w:t>
      </w:r>
      <w:r w:rsidR="006F4CE5" w:rsidRPr="003A2471">
        <w:rPr>
          <w:rFonts w:ascii="Arial" w:hAnsi="Arial" w:cs="Arial"/>
          <w:sz w:val="22"/>
          <w:szCs w:val="22"/>
          <w:lang w:val="es-ES_tradnl"/>
        </w:rPr>
        <w:t>.a)</w:t>
      </w:r>
      <w:r w:rsidRPr="003A2471">
        <w:rPr>
          <w:rFonts w:ascii="Arial" w:hAnsi="Arial" w:cs="Arial"/>
          <w:sz w:val="22"/>
          <w:szCs w:val="22"/>
          <w:lang w:val="es-ES_tradnl"/>
        </w:rPr>
        <w:t xml:space="preserve"> del Estatuto de la Caja Común de Pensiones del Personal de las Naciones Unidas (“la Caja”) establece que el Comité Mixto presentará a la Asamblea General de las Naciones Unidas y a las organizaciones afiliadas, al menos una vez al año, “un informe </w:t>
      </w:r>
      <w:r w:rsidRPr="003A2471">
        <w:rPr>
          <w:rFonts w:ascii="Arial" w:hAnsi="Arial" w:cs="Arial"/>
          <w:sz w:val="22"/>
          <w:szCs w:val="22"/>
          <w:lang w:val="es-ES_tradnl"/>
        </w:rPr>
        <w:noBreakHyphen/>
        <w:t>que incluya los estados financieros</w:t>
      </w:r>
      <w:r w:rsidRPr="003A2471">
        <w:rPr>
          <w:rFonts w:ascii="Arial" w:hAnsi="Arial" w:cs="Arial"/>
          <w:sz w:val="22"/>
          <w:szCs w:val="22"/>
          <w:lang w:val="es-ES_tradnl"/>
        </w:rPr>
        <w:noBreakHyphen/>
        <w:t xml:space="preserve"> sobre las operaciones de la Caja, e informará a cada una de las organizaciones afiliadas de las medidas que adopte la Asamblea General al respecto”. El informe de 2019 del Comité Mixto se presentó a la Asamblea General de las Naciones Unidas en su septuagésimo </w:t>
      </w:r>
      <w:r w:rsidR="006F4CE5" w:rsidRPr="003A2471">
        <w:rPr>
          <w:rFonts w:ascii="Arial" w:hAnsi="Arial" w:cs="Arial"/>
          <w:sz w:val="22"/>
          <w:szCs w:val="22"/>
          <w:lang w:val="es-ES_tradnl"/>
        </w:rPr>
        <w:t>cuarto</w:t>
      </w:r>
      <w:r w:rsidRPr="003A2471">
        <w:rPr>
          <w:rFonts w:ascii="Arial" w:hAnsi="Arial" w:cs="Arial"/>
          <w:sz w:val="22"/>
          <w:szCs w:val="22"/>
          <w:lang w:val="es-ES_tradnl"/>
        </w:rPr>
        <w:t xml:space="preserve"> período de sesiones (documento de las Naciones Unidas</w:t>
      </w:r>
      <w:r w:rsidR="00431F02" w:rsidRPr="003A2471">
        <w:rPr>
          <w:rFonts w:ascii="Arial" w:hAnsi="Arial" w:cs="Arial"/>
          <w:sz w:val="22"/>
          <w:szCs w:val="22"/>
          <w:lang w:val="es-ES_tradnl"/>
        </w:rPr>
        <w:t xml:space="preserve"> A/74/331).</w:t>
      </w:r>
      <w:r w:rsidR="00431F02" w:rsidRPr="003A2471">
        <w:rPr>
          <w:rStyle w:val="FootnoteReference"/>
          <w:rFonts w:ascii="Arial" w:hAnsi="Arial" w:cs="Arial"/>
          <w:sz w:val="22"/>
          <w:szCs w:val="22"/>
          <w:lang w:val="es-ES_tradnl"/>
        </w:rPr>
        <w:footnoteReference w:id="10"/>
      </w:r>
      <w:r w:rsidR="00431F02" w:rsidRPr="003A2471">
        <w:rPr>
          <w:rFonts w:ascii="Arial" w:hAnsi="Arial" w:cs="Arial"/>
          <w:sz w:val="22"/>
          <w:szCs w:val="22"/>
          <w:lang w:val="es-ES_tradnl"/>
        </w:rPr>
        <w:t xml:space="preserve"> </w:t>
      </w:r>
      <w:r w:rsidRPr="003A2471">
        <w:rPr>
          <w:rFonts w:ascii="Arial" w:hAnsi="Arial" w:cs="Arial"/>
          <w:sz w:val="22"/>
          <w:szCs w:val="22"/>
          <w:lang w:val="es-ES_tradnl"/>
        </w:rPr>
        <w:t>La Oficina Internacional señala a la atención de los Estados miembros</w:t>
      </w:r>
      <w:r w:rsidR="006F4CE5" w:rsidRPr="003A2471">
        <w:rPr>
          <w:rFonts w:ascii="Arial" w:hAnsi="Arial" w:cs="Arial"/>
          <w:sz w:val="22"/>
          <w:szCs w:val="22"/>
          <w:lang w:val="es-ES_tradnl"/>
        </w:rPr>
        <w:t xml:space="preserve"> dicho informe</w:t>
      </w:r>
      <w:r w:rsidR="00431F02" w:rsidRPr="003A2471">
        <w:rPr>
          <w:rFonts w:ascii="Arial" w:hAnsi="Arial" w:cs="Arial"/>
          <w:sz w:val="22"/>
          <w:szCs w:val="22"/>
          <w:lang w:val="es-ES_tradnl"/>
        </w:rPr>
        <w:t>.</w:t>
      </w:r>
    </w:p>
    <w:p w14:paraId="12C723C2" w14:textId="14175D8D" w:rsidR="00431F02" w:rsidRPr="003A2471" w:rsidRDefault="00431F02" w:rsidP="003A2471">
      <w:pPr>
        <w:pStyle w:val="Heading2"/>
        <w:keepNext w:val="0"/>
        <w:spacing w:after="240"/>
        <w:rPr>
          <w:b/>
          <w:lang w:val="es-ES_tradnl"/>
        </w:rPr>
      </w:pPr>
      <w:r w:rsidRPr="003A2471">
        <w:rPr>
          <w:lang w:val="es-ES_tradnl"/>
        </w:rPr>
        <w:t>RE</w:t>
      </w:r>
      <w:r w:rsidR="006C5316" w:rsidRPr="003A2471">
        <w:rPr>
          <w:lang w:val="es-ES_tradnl"/>
        </w:rPr>
        <w:t>compensas y reconocimiento</w:t>
      </w:r>
    </w:p>
    <w:p w14:paraId="0D1DEAB2" w14:textId="62C010B2" w:rsidR="00431F02" w:rsidRPr="003A2471" w:rsidRDefault="00983FC6" w:rsidP="003A2471">
      <w:pPr>
        <w:pStyle w:val="Default"/>
        <w:numPr>
          <w:ilvl w:val="0"/>
          <w:numId w:val="7"/>
        </w:numPr>
        <w:spacing w:after="240"/>
        <w:ind w:left="0" w:firstLine="0"/>
        <w:rPr>
          <w:rFonts w:ascii="Arial" w:hAnsi="Arial" w:cs="Arial"/>
          <w:sz w:val="22"/>
          <w:szCs w:val="22"/>
          <w:lang w:val="es-ES_tradnl"/>
        </w:rPr>
      </w:pPr>
      <w:r w:rsidRPr="003A2471">
        <w:rPr>
          <w:rFonts w:ascii="Arial" w:hAnsi="Arial" w:cs="Arial"/>
          <w:sz w:val="22"/>
          <w:szCs w:val="22"/>
          <w:lang w:val="es-ES_tradnl"/>
        </w:rPr>
        <w:t xml:space="preserve">Conforme a la solicitud formulada por el Comité de Coordinación de la OMPI en su reunión anual, celebrada en septiembre de 2018, </w:t>
      </w:r>
      <w:r w:rsidR="00E518ED" w:rsidRPr="003A2471">
        <w:rPr>
          <w:rFonts w:ascii="Arial" w:hAnsi="Arial" w:cs="Arial"/>
          <w:sz w:val="22"/>
          <w:szCs w:val="22"/>
          <w:lang w:val="es-ES_tradnl"/>
        </w:rPr>
        <w:t xml:space="preserve">la Secretaría informará </w:t>
      </w:r>
      <w:r w:rsidR="00A46B09" w:rsidRPr="003A2471">
        <w:rPr>
          <w:rFonts w:ascii="Arial" w:hAnsi="Arial" w:cs="Arial"/>
          <w:sz w:val="22"/>
          <w:szCs w:val="22"/>
          <w:lang w:val="es-ES_tradnl"/>
        </w:rPr>
        <w:t>de</w:t>
      </w:r>
      <w:r w:rsidR="00E518ED" w:rsidRPr="003A2471">
        <w:rPr>
          <w:rFonts w:ascii="Arial" w:hAnsi="Arial" w:cs="Arial"/>
          <w:sz w:val="22"/>
          <w:szCs w:val="22"/>
          <w:lang w:val="es-ES_tradnl"/>
        </w:rPr>
        <w:t xml:space="preserve"> la aplicación de su </w:t>
      </w:r>
      <w:r w:rsidR="0097616D" w:rsidRPr="003A2471">
        <w:rPr>
          <w:rFonts w:ascii="Arial" w:hAnsi="Arial" w:cs="Arial"/>
          <w:sz w:val="22"/>
          <w:szCs w:val="22"/>
          <w:lang w:val="es-ES_tradnl"/>
        </w:rPr>
        <w:t>p</w:t>
      </w:r>
      <w:r w:rsidR="00E518ED" w:rsidRPr="003A2471">
        <w:rPr>
          <w:rFonts w:ascii="Arial" w:hAnsi="Arial" w:cs="Arial"/>
          <w:sz w:val="22"/>
          <w:szCs w:val="22"/>
          <w:lang w:val="es-ES_tradnl"/>
        </w:rPr>
        <w:t xml:space="preserve">rograma de </w:t>
      </w:r>
      <w:r w:rsidR="0097616D" w:rsidRPr="003A2471">
        <w:rPr>
          <w:rFonts w:ascii="Arial" w:hAnsi="Arial" w:cs="Arial"/>
          <w:sz w:val="22"/>
          <w:szCs w:val="22"/>
          <w:lang w:val="es-ES_tradnl"/>
        </w:rPr>
        <w:t>r</w:t>
      </w:r>
      <w:r w:rsidR="00E518ED" w:rsidRPr="003A2471">
        <w:rPr>
          <w:rFonts w:ascii="Arial" w:hAnsi="Arial" w:cs="Arial"/>
          <w:sz w:val="22"/>
          <w:szCs w:val="22"/>
          <w:lang w:val="es-ES_tradnl"/>
        </w:rPr>
        <w:t>ecompensa</w:t>
      </w:r>
      <w:r w:rsidR="0097616D" w:rsidRPr="003A2471">
        <w:rPr>
          <w:rFonts w:ascii="Arial" w:hAnsi="Arial" w:cs="Arial"/>
          <w:sz w:val="22"/>
          <w:szCs w:val="22"/>
          <w:lang w:val="es-ES_tradnl"/>
        </w:rPr>
        <w:t>s</w:t>
      </w:r>
      <w:r w:rsidR="00E518ED" w:rsidRPr="003A2471">
        <w:rPr>
          <w:rFonts w:ascii="Arial" w:hAnsi="Arial" w:cs="Arial"/>
          <w:sz w:val="22"/>
          <w:szCs w:val="22"/>
          <w:lang w:val="es-ES_tradnl"/>
        </w:rPr>
        <w:t xml:space="preserve"> y </w:t>
      </w:r>
      <w:r w:rsidR="0097616D" w:rsidRPr="003A2471">
        <w:rPr>
          <w:rFonts w:ascii="Arial" w:hAnsi="Arial" w:cs="Arial"/>
          <w:sz w:val="22"/>
          <w:szCs w:val="22"/>
          <w:lang w:val="es-ES_tradnl"/>
        </w:rPr>
        <w:t>r</w:t>
      </w:r>
      <w:r w:rsidR="00A46B09" w:rsidRPr="003A2471">
        <w:rPr>
          <w:rFonts w:ascii="Arial" w:hAnsi="Arial" w:cs="Arial"/>
          <w:sz w:val="22"/>
          <w:szCs w:val="22"/>
          <w:lang w:val="es-ES_tradnl"/>
        </w:rPr>
        <w:t>econocimiento y</w:t>
      </w:r>
      <w:r w:rsidR="00E518ED" w:rsidRPr="003A2471">
        <w:rPr>
          <w:rFonts w:ascii="Arial" w:hAnsi="Arial" w:cs="Arial"/>
          <w:sz w:val="22"/>
          <w:szCs w:val="22"/>
          <w:lang w:val="es-ES_tradnl"/>
        </w:rPr>
        <w:t xml:space="preserve"> los cambios introducidos desde el anterior informe anual sobre recursos humanos. En dicho programa se refleja la cultura de excelencia de la OMPI y se reconocen las contribuciones de los miembros del personal y de los equipos en la obtención de los resultados de la Organización</w:t>
      </w:r>
      <w:r w:rsidR="00431F02" w:rsidRPr="003A2471">
        <w:rPr>
          <w:rFonts w:ascii="Arial" w:hAnsi="Arial" w:cs="Arial"/>
          <w:sz w:val="22"/>
          <w:szCs w:val="22"/>
          <w:lang w:val="es-ES_tradnl"/>
        </w:rPr>
        <w:t>.</w:t>
      </w:r>
    </w:p>
    <w:p w14:paraId="48C7D1C9" w14:textId="4E7C58DF" w:rsidR="00431F02" w:rsidRPr="003A2471" w:rsidRDefault="00F948F9" w:rsidP="003A2471">
      <w:pPr>
        <w:pStyle w:val="Default"/>
        <w:numPr>
          <w:ilvl w:val="0"/>
          <w:numId w:val="7"/>
        </w:numPr>
        <w:spacing w:after="240"/>
        <w:ind w:left="0" w:firstLine="0"/>
        <w:rPr>
          <w:rFonts w:ascii="Arial" w:hAnsi="Arial" w:cs="Arial"/>
          <w:sz w:val="22"/>
          <w:szCs w:val="22"/>
          <w:lang w:val="es-ES_tradnl"/>
        </w:rPr>
      </w:pPr>
      <w:r w:rsidRPr="003A2471">
        <w:rPr>
          <w:rFonts w:ascii="Arial" w:hAnsi="Arial" w:cs="Arial"/>
          <w:sz w:val="22"/>
          <w:szCs w:val="22"/>
          <w:lang w:val="es-ES_tradnl"/>
        </w:rPr>
        <w:t>Para el bienio</w:t>
      </w:r>
      <w:r w:rsidR="00431F02" w:rsidRPr="003A2471">
        <w:rPr>
          <w:rFonts w:ascii="Arial" w:hAnsi="Arial" w:cs="Arial"/>
          <w:sz w:val="22"/>
          <w:szCs w:val="22"/>
          <w:lang w:val="es-ES_tradnl"/>
        </w:rPr>
        <w:t xml:space="preserve"> 2020/21,</w:t>
      </w:r>
      <w:r w:rsidRPr="003A2471">
        <w:rPr>
          <w:rFonts w:ascii="Arial" w:hAnsi="Arial" w:cs="Arial"/>
          <w:sz w:val="22"/>
          <w:szCs w:val="22"/>
          <w:lang w:val="es-ES_tradnl"/>
        </w:rPr>
        <w:t xml:space="preserve"> los Estados miembros de la </w:t>
      </w:r>
      <w:r w:rsidR="001C2382" w:rsidRPr="003A2471">
        <w:rPr>
          <w:rFonts w:ascii="Arial" w:hAnsi="Arial" w:cs="Arial"/>
          <w:sz w:val="22"/>
          <w:szCs w:val="22"/>
          <w:lang w:val="es-ES_tradnl"/>
        </w:rPr>
        <w:t>OMPI han convenido en consignar </w:t>
      </w:r>
      <w:r w:rsidRPr="003A2471">
        <w:rPr>
          <w:rFonts w:ascii="Arial" w:hAnsi="Arial" w:cs="Arial"/>
          <w:sz w:val="22"/>
          <w:szCs w:val="22"/>
          <w:lang w:val="es-ES_tradnl"/>
        </w:rPr>
        <w:t>1.152.000 francos suizos para la financiación de ese programa</w:t>
      </w:r>
      <w:r w:rsidR="00431F02" w:rsidRPr="003A2471">
        <w:rPr>
          <w:rFonts w:ascii="Arial" w:hAnsi="Arial" w:cs="Arial"/>
          <w:sz w:val="22"/>
          <w:szCs w:val="22"/>
          <w:lang w:val="es-ES_tradnl"/>
        </w:rPr>
        <w:t>.</w:t>
      </w:r>
      <w:r w:rsidRPr="003A2471">
        <w:rPr>
          <w:rFonts w:ascii="Arial" w:hAnsi="Arial" w:cs="Arial"/>
          <w:sz w:val="22"/>
          <w:szCs w:val="22"/>
          <w:lang w:val="es-ES_tradnl"/>
        </w:rPr>
        <w:t xml:space="preserve"> En el </w:t>
      </w:r>
      <w:r w:rsidR="0097616D" w:rsidRPr="003A2471">
        <w:rPr>
          <w:rFonts w:ascii="Arial" w:hAnsi="Arial" w:cs="Arial"/>
          <w:sz w:val="22"/>
          <w:szCs w:val="22"/>
          <w:lang w:val="es-ES_tradnl"/>
        </w:rPr>
        <w:t>p</w:t>
      </w:r>
      <w:r w:rsidRPr="003A2471">
        <w:rPr>
          <w:rFonts w:ascii="Arial" w:hAnsi="Arial" w:cs="Arial"/>
          <w:sz w:val="22"/>
          <w:szCs w:val="22"/>
          <w:lang w:val="es-ES_tradnl"/>
        </w:rPr>
        <w:t xml:space="preserve">rograma de </w:t>
      </w:r>
      <w:r w:rsidR="0097616D" w:rsidRPr="003A2471">
        <w:rPr>
          <w:rFonts w:ascii="Arial" w:hAnsi="Arial" w:cs="Arial"/>
          <w:sz w:val="22"/>
          <w:szCs w:val="22"/>
          <w:lang w:val="es-ES_tradnl"/>
        </w:rPr>
        <w:t>r</w:t>
      </w:r>
      <w:r w:rsidRPr="003A2471">
        <w:rPr>
          <w:rFonts w:ascii="Arial" w:hAnsi="Arial" w:cs="Arial"/>
          <w:sz w:val="22"/>
          <w:szCs w:val="22"/>
          <w:lang w:val="es-ES_tradnl"/>
        </w:rPr>
        <w:t>ecompensa</w:t>
      </w:r>
      <w:r w:rsidR="0097616D" w:rsidRPr="003A2471">
        <w:rPr>
          <w:rFonts w:ascii="Arial" w:hAnsi="Arial" w:cs="Arial"/>
          <w:sz w:val="22"/>
          <w:szCs w:val="22"/>
          <w:lang w:val="es-ES_tradnl"/>
        </w:rPr>
        <w:t>s</w:t>
      </w:r>
      <w:r w:rsidRPr="003A2471">
        <w:rPr>
          <w:rFonts w:ascii="Arial" w:hAnsi="Arial" w:cs="Arial"/>
          <w:sz w:val="22"/>
          <w:szCs w:val="22"/>
          <w:lang w:val="es-ES_tradnl"/>
        </w:rPr>
        <w:t xml:space="preserve"> y </w:t>
      </w:r>
      <w:r w:rsidR="0097616D" w:rsidRPr="003A2471">
        <w:rPr>
          <w:rFonts w:ascii="Arial" w:hAnsi="Arial" w:cs="Arial"/>
          <w:sz w:val="22"/>
          <w:szCs w:val="22"/>
          <w:lang w:val="es-ES_tradnl"/>
        </w:rPr>
        <w:t>r</w:t>
      </w:r>
      <w:r w:rsidRPr="003A2471">
        <w:rPr>
          <w:rFonts w:ascii="Arial" w:hAnsi="Arial" w:cs="Arial"/>
          <w:sz w:val="22"/>
          <w:szCs w:val="22"/>
          <w:lang w:val="es-ES_tradnl"/>
        </w:rPr>
        <w:t xml:space="preserve">econocimiento de </w:t>
      </w:r>
      <w:r w:rsidR="00431F02" w:rsidRPr="003A2471">
        <w:rPr>
          <w:rFonts w:ascii="Arial" w:hAnsi="Arial" w:cs="Arial"/>
          <w:sz w:val="22"/>
          <w:szCs w:val="22"/>
          <w:lang w:val="es-ES_tradnl"/>
        </w:rPr>
        <w:t>2020</w:t>
      </w:r>
      <w:r w:rsidRPr="003A2471">
        <w:rPr>
          <w:rFonts w:ascii="Arial" w:hAnsi="Arial" w:cs="Arial"/>
          <w:sz w:val="22"/>
          <w:szCs w:val="22"/>
          <w:lang w:val="es-ES_tradnl"/>
        </w:rPr>
        <w:t xml:space="preserve"> se introdujeron los siguientes cambios</w:t>
      </w:r>
      <w:r w:rsidR="001C2382" w:rsidRPr="003A2471">
        <w:rPr>
          <w:rFonts w:ascii="Arial" w:hAnsi="Arial" w:cs="Arial"/>
          <w:sz w:val="22"/>
          <w:szCs w:val="22"/>
          <w:lang w:val="es-ES_tradnl"/>
        </w:rPr>
        <w:t>:</w:t>
      </w:r>
    </w:p>
    <w:p w14:paraId="72E9C4AE" w14:textId="55085B69" w:rsidR="00431F02" w:rsidRPr="003A2471" w:rsidRDefault="00725DDF" w:rsidP="003A2471">
      <w:pPr>
        <w:pStyle w:val="ListParagraph"/>
        <w:numPr>
          <w:ilvl w:val="0"/>
          <w:numId w:val="12"/>
        </w:numPr>
        <w:spacing w:after="120"/>
        <w:ind w:left="714" w:hanging="357"/>
        <w:contextualSpacing w:val="0"/>
        <w:rPr>
          <w:rFonts w:ascii="Arial" w:hAnsi="Arial" w:cs="Arial"/>
          <w:sz w:val="22"/>
          <w:szCs w:val="22"/>
          <w:lang w:val="es-ES_tradnl"/>
        </w:rPr>
      </w:pPr>
      <w:r w:rsidRPr="003A2471">
        <w:rPr>
          <w:rFonts w:ascii="Arial" w:hAnsi="Arial" w:cs="Arial"/>
          <w:sz w:val="22"/>
          <w:szCs w:val="22"/>
          <w:lang w:val="es-ES_tradnl"/>
        </w:rPr>
        <w:t xml:space="preserve">La inclusión de coordinadores </w:t>
      </w:r>
      <w:r w:rsidR="00A46B09" w:rsidRPr="003A2471">
        <w:rPr>
          <w:rFonts w:ascii="Arial" w:hAnsi="Arial" w:cs="Arial"/>
          <w:sz w:val="22"/>
          <w:szCs w:val="22"/>
          <w:lang w:val="es-ES_tradnl"/>
        </w:rPr>
        <w:t>en</w:t>
      </w:r>
      <w:r w:rsidRPr="003A2471">
        <w:rPr>
          <w:rFonts w:ascii="Arial" w:hAnsi="Arial" w:cs="Arial"/>
          <w:sz w:val="22"/>
          <w:szCs w:val="22"/>
          <w:lang w:val="es-ES_tradnl"/>
        </w:rPr>
        <w:t xml:space="preserve"> cuestiones de género bajo el rubro “Contribuciones Especiales al Funcionamiento Interno de la OMPI</w:t>
      </w:r>
      <w:r w:rsidR="00431F02" w:rsidRPr="003A2471">
        <w:rPr>
          <w:rFonts w:ascii="Arial" w:hAnsi="Arial" w:cs="Arial"/>
          <w:sz w:val="22"/>
          <w:szCs w:val="22"/>
          <w:lang w:val="es-ES_tradnl"/>
        </w:rPr>
        <w:t>”;</w:t>
      </w:r>
    </w:p>
    <w:p w14:paraId="0D2B2F24" w14:textId="7A4CA110" w:rsidR="00431F02" w:rsidRPr="003A2471" w:rsidRDefault="00725DDF" w:rsidP="003A2471">
      <w:pPr>
        <w:pStyle w:val="ListParagraph"/>
        <w:numPr>
          <w:ilvl w:val="0"/>
          <w:numId w:val="12"/>
        </w:numPr>
        <w:spacing w:after="120"/>
        <w:ind w:left="714" w:hanging="357"/>
        <w:contextualSpacing w:val="0"/>
        <w:rPr>
          <w:rFonts w:ascii="Arial" w:hAnsi="Arial" w:cs="Arial"/>
          <w:sz w:val="22"/>
          <w:szCs w:val="22"/>
          <w:lang w:val="es-ES_tradnl"/>
        </w:rPr>
      </w:pPr>
      <w:r w:rsidRPr="003A2471">
        <w:rPr>
          <w:rFonts w:ascii="Arial" w:hAnsi="Arial" w:cs="Arial"/>
          <w:sz w:val="22"/>
          <w:szCs w:val="22"/>
          <w:lang w:val="es-ES_tradnl"/>
        </w:rPr>
        <w:t xml:space="preserve">En lo que respecta </w:t>
      </w:r>
      <w:r w:rsidR="005F14F4" w:rsidRPr="003A2471">
        <w:rPr>
          <w:rFonts w:ascii="Arial" w:hAnsi="Arial" w:cs="Arial"/>
          <w:sz w:val="22"/>
          <w:szCs w:val="22"/>
          <w:lang w:val="es-ES_tradnl"/>
        </w:rPr>
        <w:t>a la recompensa</w:t>
      </w:r>
      <w:r w:rsidRPr="003A2471">
        <w:rPr>
          <w:rFonts w:ascii="Arial" w:hAnsi="Arial" w:cs="Arial"/>
          <w:sz w:val="22"/>
          <w:szCs w:val="22"/>
          <w:lang w:val="es-ES_tradnl"/>
        </w:rPr>
        <w:t xml:space="preserve"> por “Ofrecer excelencia”</w:t>
      </w:r>
      <w:r w:rsidR="00431F02" w:rsidRPr="003A2471">
        <w:rPr>
          <w:rFonts w:ascii="Arial" w:hAnsi="Arial" w:cs="Arial"/>
          <w:sz w:val="22"/>
          <w:szCs w:val="22"/>
          <w:lang w:val="es-ES_tradnl"/>
        </w:rPr>
        <w:t xml:space="preserve">: </w:t>
      </w:r>
      <w:r w:rsidR="005F14F4" w:rsidRPr="003A2471">
        <w:rPr>
          <w:rFonts w:ascii="Arial" w:hAnsi="Arial" w:cs="Arial"/>
          <w:sz w:val="22"/>
          <w:szCs w:val="22"/>
          <w:lang w:val="es-ES_tradnl"/>
        </w:rPr>
        <w:t>un aumento del número de recompensas por sector</w:t>
      </w:r>
      <w:r w:rsidR="00431F02" w:rsidRPr="003A2471">
        <w:rPr>
          <w:rFonts w:ascii="Arial" w:hAnsi="Arial" w:cs="Arial"/>
          <w:sz w:val="22"/>
          <w:szCs w:val="22"/>
          <w:lang w:val="es-ES_tradnl"/>
        </w:rPr>
        <w:t xml:space="preserve"> (</w:t>
      </w:r>
      <w:r w:rsidR="005F14F4" w:rsidRPr="003A2471">
        <w:rPr>
          <w:rFonts w:ascii="Arial" w:hAnsi="Arial" w:cs="Arial"/>
          <w:sz w:val="22"/>
          <w:szCs w:val="22"/>
          <w:lang w:val="es-ES_tradnl"/>
        </w:rPr>
        <w:t>de una por cada 50 miemb</w:t>
      </w:r>
      <w:r w:rsidR="001C2382" w:rsidRPr="003A2471">
        <w:rPr>
          <w:rFonts w:ascii="Arial" w:hAnsi="Arial" w:cs="Arial"/>
          <w:sz w:val="22"/>
          <w:szCs w:val="22"/>
          <w:lang w:val="es-ES_tradnl"/>
        </w:rPr>
        <w:t>ros del personal a una por cada </w:t>
      </w:r>
      <w:r w:rsidR="005F14F4" w:rsidRPr="003A2471">
        <w:rPr>
          <w:rFonts w:ascii="Arial" w:hAnsi="Arial" w:cs="Arial"/>
          <w:sz w:val="22"/>
          <w:szCs w:val="22"/>
          <w:lang w:val="es-ES_tradnl"/>
        </w:rPr>
        <w:t>15 miembros del personal</w:t>
      </w:r>
      <w:r w:rsidR="00431F02" w:rsidRPr="003A2471">
        <w:rPr>
          <w:rFonts w:ascii="Arial" w:hAnsi="Arial" w:cs="Arial"/>
          <w:sz w:val="22"/>
          <w:szCs w:val="22"/>
          <w:lang w:val="es-ES_tradnl"/>
        </w:rPr>
        <w:t xml:space="preserve">), </w:t>
      </w:r>
      <w:r w:rsidR="005F14F4" w:rsidRPr="003A2471">
        <w:rPr>
          <w:rFonts w:ascii="Arial" w:hAnsi="Arial" w:cs="Arial"/>
          <w:sz w:val="22"/>
          <w:szCs w:val="22"/>
          <w:lang w:val="es-ES_tradnl"/>
        </w:rPr>
        <w:t>en combinación con una reducción del monto</w:t>
      </w:r>
      <w:r w:rsidR="00431F02" w:rsidRPr="003A2471">
        <w:rPr>
          <w:rFonts w:ascii="Arial" w:hAnsi="Arial" w:cs="Arial"/>
          <w:sz w:val="22"/>
          <w:szCs w:val="22"/>
          <w:lang w:val="es-ES_tradnl"/>
        </w:rPr>
        <w:t xml:space="preserve"> (</w:t>
      </w:r>
      <w:r w:rsidR="005F14F4" w:rsidRPr="003A2471">
        <w:rPr>
          <w:rFonts w:ascii="Arial" w:hAnsi="Arial" w:cs="Arial"/>
          <w:sz w:val="22"/>
          <w:szCs w:val="22"/>
          <w:lang w:val="es-ES_tradnl"/>
        </w:rPr>
        <w:t>de</w:t>
      </w:r>
      <w:r w:rsidR="001C2382" w:rsidRPr="003A2471">
        <w:rPr>
          <w:rFonts w:ascii="Arial" w:hAnsi="Arial" w:cs="Arial"/>
          <w:sz w:val="22"/>
          <w:szCs w:val="22"/>
          <w:lang w:val="es-ES_tradnl"/>
        </w:rPr>
        <w:t> </w:t>
      </w:r>
      <w:r w:rsidR="00431F02" w:rsidRPr="003A2471">
        <w:rPr>
          <w:rFonts w:ascii="Arial" w:hAnsi="Arial" w:cs="Arial"/>
          <w:sz w:val="22"/>
          <w:szCs w:val="22"/>
          <w:lang w:val="es-ES_tradnl"/>
        </w:rPr>
        <w:t>7</w:t>
      </w:r>
      <w:r w:rsidR="005F14F4" w:rsidRPr="003A2471">
        <w:rPr>
          <w:rFonts w:ascii="Arial" w:hAnsi="Arial" w:cs="Arial"/>
          <w:sz w:val="22"/>
          <w:szCs w:val="22"/>
          <w:lang w:val="es-ES_tradnl"/>
        </w:rPr>
        <w:t>.</w:t>
      </w:r>
      <w:r w:rsidR="00431F02" w:rsidRPr="003A2471">
        <w:rPr>
          <w:rFonts w:ascii="Arial" w:hAnsi="Arial" w:cs="Arial"/>
          <w:sz w:val="22"/>
          <w:szCs w:val="22"/>
          <w:lang w:val="es-ES_tradnl"/>
        </w:rPr>
        <w:t>500</w:t>
      </w:r>
      <w:r w:rsidR="005F14F4" w:rsidRPr="003A2471">
        <w:rPr>
          <w:rFonts w:ascii="Arial" w:hAnsi="Arial" w:cs="Arial"/>
          <w:sz w:val="22"/>
          <w:szCs w:val="22"/>
          <w:lang w:val="es-ES_tradnl"/>
        </w:rPr>
        <w:t xml:space="preserve"> francos suizos a </w:t>
      </w:r>
      <w:r w:rsidR="00431F02" w:rsidRPr="003A2471">
        <w:rPr>
          <w:rFonts w:ascii="Arial" w:hAnsi="Arial" w:cs="Arial"/>
          <w:sz w:val="22"/>
          <w:szCs w:val="22"/>
          <w:lang w:val="es-ES_tradnl"/>
        </w:rPr>
        <w:t>2</w:t>
      </w:r>
      <w:r w:rsidR="005F14F4" w:rsidRPr="003A2471">
        <w:rPr>
          <w:rFonts w:ascii="Arial" w:hAnsi="Arial" w:cs="Arial"/>
          <w:sz w:val="22"/>
          <w:szCs w:val="22"/>
          <w:lang w:val="es-ES_tradnl"/>
        </w:rPr>
        <w:t>.</w:t>
      </w:r>
      <w:r w:rsidR="00431F02" w:rsidRPr="003A2471">
        <w:rPr>
          <w:rFonts w:ascii="Arial" w:hAnsi="Arial" w:cs="Arial"/>
          <w:sz w:val="22"/>
          <w:szCs w:val="22"/>
          <w:lang w:val="es-ES_tradnl"/>
        </w:rPr>
        <w:t>000</w:t>
      </w:r>
      <w:r w:rsidR="005F14F4" w:rsidRPr="003A2471">
        <w:rPr>
          <w:rFonts w:ascii="Arial" w:hAnsi="Arial" w:cs="Arial"/>
          <w:sz w:val="22"/>
          <w:szCs w:val="22"/>
          <w:lang w:val="es-ES_tradnl"/>
        </w:rPr>
        <w:t> francos suizos</w:t>
      </w:r>
      <w:r w:rsidR="00431F02" w:rsidRPr="003A2471">
        <w:rPr>
          <w:rFonts w:ascii="Arial" w:hAnsi="Arial" w:cs="Arial"/>
          <w:sz w:val="22"/>
          <w:szCs w:val="22"/>
          <w:lang w:val="es-ES_tradnl"/>
        </w:rPr>
        <w:t xml:space="preserve">) </w:t>
      </w:r>
      <w:r w:rsidR="005F14F4" w:rsidRPr="003A2471">
        <w:rPr>
          <w:rFonts w:ascii="Arial" w:hAnsi="Arial" w:cs="Arial"/>
          <w:sz w:val="22"/>
          <w:szCs w:val="22"/>
          <w:lang w:val="es-ES_tradnl"/>
        </w:rPr>
        <w:t>y una mayor flexibilidad en los criterios para poder acceder a esta recompensa</w:t>
      </w:r>
      <w:r w:rsidR="00431F02" w:rsidRPr="003A2471">
        <w:rPr>
          <w:rFonts w:ascii="Arial" w:hAnsi="Arial" w:cs="Arial"/>
          <w:sz w:val="22"/>
          <w:szCs w:val="22"/>
          <w:lang w:val="es-ES_tradnl"/>
        </w:rPr>
        <w:t>;</w:t>
      </w:r>
    </w:p>
    <w:p w14:paraId="6983BC65" w14:textId="73E9D199" w:rsidR="00431F02" w:rsidRPr="003A2471" w:rsidRDefault="00463C2F" w:rsidP="003A2471">
      <w:pPr>
        <w:pStyle w:val="ListParagraph"/>
        <w:numPr>
          <w:ilvl w:val="0"/>
          <w:numId w:val="12"/>
        </w:numPr>
        <w:spacing w:after="120"/>
        <w:ind w:left="714" w:hanging="357"/>
        <w:contextualSpacing w:val="0"/>
        <w:rPr>
          <w:rFonts w:ascii="Arial" w:hAnsi="Arial" w:cs="Arial"/>
          <w:sz w:val="22"/>
          <w:szCs w:val="22"/>
          <w:lang w:val="es-ES_tradnl"/>
        </w:rPr>
      </w:pPr>
      <w:r w:rsidRPr="003A2471">
        <w:rPr>
          <w:rFonts w:ascii="Arial" w:hAnsi="Arial" w:cs="Arial"/>
          <w:sz w:val="22"/>
          <w:szCs w:val="22"/>
          <w:lang w:val="es-ES_tradnl"/>
        </w:rPr>
        <w:t>En lo que respecta a la recompensa por</w:t>
      </w:r>
      <w:r w:rsidR="00431F02" w:rsidRPr="003A2471">
        <w:rPr>
          <w:rFonts w:ascii="Arial" w:hAnsi="Arial" w:cs="Arial"/>
          <w:sz w:val="22"/>
          <w:szCs w:val="22"/>
          <w:lang w:val="es-ES_tradnl"/>
        </w:rPr>
        <w:t xml:space="preserve"> “</w:t>
      </w:r>
      <w:r w:rsidRPr="003A2471">
        <w:rPr>
          <w:rFonts w:ascii="Arial" w:hAnsi="Arial" w:cs="Arial"/>
          <w:sz w:val="22"/>
          <w:szCs w:val="22"/>
          <w:lang w:val="es-ES_tradnl"/>
        </w:rPr>
        <w:t>Actuar con responsabilidad</w:t>
      </w:r>
      <w:r w:rsidR="00431F02" w:rsidRPr="003A2471">
        <w:rPr>
          <w:rFonts w:ascii="Arial" w:hAnsi="Arial" w:cs="Arial"/>
          <w:sz w:val="22"/>
          <w:szCs w:val="22"/>
          <w:lang w:val="es-ES_tradnl"/>
        </w:rPr>
        <w:t>”:</w:t>
      </w:r>
      <w:r w:rsidRPr="003A2471">
        <w:rPr>
          <w:rFonts w:ascii="Arial" w:hAnsi="Arial" w:cs="Arial"/>
          <w:sz w:val="22"/>
          <w:szCs w:val="22"/>
          <w:lang w:val="es-ES_tradnl"/>
        </w:rPr>
        <w:t xml:space="preserve"> una reducción del monto</w:t>
      </w:r>
      <w:r w:rsidR="00431F02" w:rsidRPr="003A2471">
        <w:rPr>
          <w:rFonts w:ascii="Arial" w:hAnsi="Arial" w:cs="Arial"/>
          <w:sz w:val="22"/>
          <w:szCs w:val="22"/>
          <w:lang w:val="es-ES_tradnl"/>
        </w:rPr>
        <w:t xml:space="preserve"> (</w:t>
      </w:r>
      <w:r w:rsidRPr="003A2471">
        <w:rPr>
          <w:rFonts w:ascii="Arial" w:hAnsi="Arial" w:cs="Arial"/>
          <w:sz w:val="22"/>
          <w:szCs w:val="22"/>
          <w:lang w:val="es-ES_tradnl"/>
        </w:rPr>
        <w:t xml:space="preserve">de </w:t>
      </w:r>
      <w:r w:rsidR="00431F02" w:rsidRPr="003A2471">
        <w:rPr>
          <w:rFonts w:ascii="Arial" w:hAnsi="Arial" w:cs="Arial"/>
          <w:sz w:val="22"/>
          <w:szCs w:val="22"/>
          <w:lang w:val="es-ES_tradnl"/>
        </w:rPr>
        <w:t>4</w:t>
      </w:r>
      <w:r w:rsidRPr="003A2471">
        <w:rPr>
          <w:rFonts w:ascii="Arial" w:hAnsi="Arial" w:cs="Arial"/>
          <w:sz w:val="22"/>
          <w:szCs w:val="22"/>
          <w:lang w:val="es-ES_tradnl"/>
        </w:rPr>
        <w:t>.</w:t>
      </w:r>
      <w:r w:rsidR="00431F02" w:rsidRPr="003A2471">
        <w:rPr>
          <w:rFonts w:ascii="Arial" w:hAnsi="Arial" w:cs="Arial"/>
          <w:sz w:val="22"/>
          <w:szCs w:val="22"/>
          <w:lang w:val="es-ES_tradnl"/>
        </w:rPr>
        <w:t>000</w:t>
      </w:r>
      <w:r w:rsidRPr="003A2471">
        <w:rPr>
          <w:rFonts w:ascii="Arial" w:hAnsi="Arial" w:cs="Arial"/>
          <w:sz w:val="22"/>
          <w:szCs w:val="22"/>
          <w:lang w:val="es-ES_tradnl"/>
        </w:rPr>
        <w:t> francos suizos a 2.000 francos suizos), de conformidad con la reducción del monto correspondiente a la recompensa por “Ofrecer excelencia”</w:t>
      </w:r>
      <w:r w:rsidR="00431F02" w:rsidRPr="003A2471">
        <w:rPr>
          <w:rFonts w:ascii="Arial" w:hAnsi="Arial" w:cs="Arial"/>
          <w:sz w:val="22"/>
          <w:szCs w:val="22"/>
          <w:lang w:val="es-ES_tradnl"/>
        </w:rPr>
        <w:t xml:space="preserve">; </w:t>
      </w:r>
    </w:p>
    <w:p w14:paraId="7DDF58DD" w14:textId="335DD789" w:rsidR="00431F02" w:rsidRPr="003A2471" w:rsidRDefault="00463C2F" w:rsidP="003A2471">
      <w:pPr>
        <w:pStyle w:val="ListParagraph"/>
        <w:numPr>
          <w:ilvl w:val="0"/>
          <w:numId w:val="12"/>
        </w:numPr>
        <w:spacing w:after="120"/>
        <w:ind w:left="714" w:hanging="357"/>
        <w:contextualSpacing w:val="0"/>
        <w:rPr>
          <w:rFonts w:ascii="Arial" w:hAnsi="Arial" w:cs="Arial"/>
          <w:sz w:val="22"/>
          <w:szCs w:val="22"/>
          <w:lang w:val="es-ES_tradnl"/>
        </w:rPr>
      </w:pPr>
      <w:r w:rsidRPr="003A2471">
        <w:rPr>
          <w:rFonts w:ascii="Arial" w:hAnsi="Arial" w:cs="Arial"/>
          <w:sz w:val="22"/>
          <w:szCs w:val="22"/>
          <w:lang w:val="es-ES_tradnl"/>
        </w:rPr>
        <w:t>Mayor flexibilidad en los criterios para acceder a la recompensa por “Modelar el futuro”</w:t>
      </w:r>
      <w:r w:rsidR="00431F02" w:rsidRPr="003A2471">
        <w:rPr>
          <w:rFonts w:ascii="Arial" w:hAnsi="Arial" w:cs="Arial"/>
          <w:sz w:val="22"/>
          <w:szCs w:val="22"/>
          <w:lang w:val="es-ES_tradnl"/>
        </w:rPr>
        <w:t>;</w:t>
      </w:r>
    </w:p>
    <w:p w14:paraId="7C60FEE2" w14:textId="653EA803" w:rsidR="00431F02" w:rsidRPr="003A2471" w:rsidRDefault="00463C2F" w:rsidP="003A2471">
      <w:pPr>
        <w:pStyle w:val="ListParagraph"/>
        <w:numPr>
          <w:ilvl w:val="0"/>
          <w:numId w:val="12"/>
        </w:numPr>
        <w:spacing w:after="120"/>
        <w:ind w:left="714" w:hanging="357"/>
        <w:contextualSpacing w:val="0"/>
        <w:rPr>
          <w:rFonts w:ascii="Arial" w:hAnsi="Arial" w:cs="Arial"/>
          <w:sz w:val="22"/>
          <w:szCs w:val="22"/>
          <w:lang w:val="es-ES_tradnl"/>
        </w:rPr>
      </w:pPr>
      <w:r w:rsidRPr="003A2471">
        <w:rPr>
          <w:rFonts w:ascii="Arial" w:hAnsi="Arial" w:cs="Arial"/>
          <w:sz w:val="22"/>
          <w:szCs w:val="22"/>
          <w:lang w:val="es-ES_tradnl"/>
        </w:rPr>
        <w:t>En lo que respecta a la recompensa por</w:t>
      </w:r>
      <w:r w:rsidR="00431F02" w:rsidRPr="003A2471">
        <w:rPr>
          <w:rFonts w:ascii="Arial" w:hAnsi="Arial" w:cs="Arial"/>
          <w:sz w:val="22"/>
          <w:szCs w:val="22"/>
          <w:lang w:val="es-ES_tradnl"/>
        </w:rPr>
        <w:t xml:space="preserve"> “</w:t>
      </w:r>
      <w:r w:rsidRPr="003A2471">
        <w:rPr>
          <w:rFonts w:ascii="Arial" w:hAnsi="Arial" w:cs="Arial"/>
          <w:sz w:val="22"/>
          <w:szCs w:val="22"/>
          <w:lang w:val="es-ES_tradnl"/>
        </w:rPr>
        <w:t>Mancomunar esfuerzos</w:t>
      </w:r>
      <w:r w:rsidR="00431F02" w:rsidRPr="003A2471">
        <w:rPr>
          <w:rFonts w:ascii="Arial" w:hAnsi="Arial" w:cs="Arial"/>
          <w:sz w:val="22"/>
          <w:szCs w:val="22"/>
          <w:lang w:val="es-ES_tradnl"/>
        </w:rPr>
        <w:t xml:space="preserve">”: </w:t>
      </w:r>
      <w:r w:rsidRPr="003A2471">
        <w:rPr>
          <w:rFonts w:ascii="Arial" w:hAnsi="Arial" w:cs="Arial"/>
          <w:sz w:val="22"/>
          <w:szCs w:val="22"/>
          <w:lang w:val="es-ES_tradnl"/>
        </w:rPr>
        <w:t>un aumento en el número de recompensas</w:t>
      </w:r>
      <w:r w:rsidR="00431F02" w:rsidRPr="003A2471">
        <w:rPr>
          <w:rFonts w:ascii="Arial" w:hAnsi="Arial" w:cs="Arial"/>
          <w:sz w:val="22"/>
          <w:szCs w:val="22"/>
          <w:lang w:val="es-ES_tradnl"/>
        </w:rPr>
        <w:t xml:space="preserve"> (</w:t>
      </w:r>
      <w:r w:rsidRPr="003A2471">
        <w:rPr>
          <w:rFonts w:ascii="Arial" w:hAnsi="Arial" w:cs="Arial"/>
          <w:sz w:val="22"/>
          <w:szCs w:val="22"/>
          <w:lang w:val="es-ES_tradnl"/>
        </w:rPr>
        <w:t>de cinco a diez</w:t>
      </w:r>
      <w:r w:rsidR="00431F02" w:rsidRPr="003A2471">
        <w:rPr>
          <w:rFonts w:ascii="Arial" w:hAnsi="Arial" w:cs="Arial"/>
          <w:sz w:val="22"/>
          <w:szCs w:val="22"/>
          <w:lang w:val="es-ES_tradnl"/>
        </w:rPr>
        <w:t>);</w:t>
      </w:r>
      <w:r w:rsidRPr="003A2471">
        <w:rPr>
          <w:rFonts w:ascii="Arial" w:hAnsi="Arial" w:cs="Arial"/>
          <w:sz w:val="22"/>
          <w:szCs w:val="22"/>
          <w:lang w:val="es-ES_tradnl"/>
        </w:rPr>
        <w:t xml:space="preserve"> y</w:t>
      </w:r>
    </w:p>
    <w:p w14:paraId="301F13D2" w14:textId="26C3F8B7" w:rsidR="00431F02" w:rsidRPr="003A2471" w:rsidRDefault="00463C2F" w:rsidP="003A2471">
      <w:pPr>
        <w:pStyle w:val="ListParagraph"/>
        <w:numPr>
          <w:ilvl w:val="0"/>
          <w:numId w:val="12"/>
        </w:numPr>
        <w:spacing w:after="240"/>
        <w:contextualSpacing w:val="0"/>
        <w:rPr>
          <w:rFonts w:ascii="Arial" w:hAnsi="Arial" w:cs="Arial"/>
          <w:sz w:val="22"/>
          <w:szCs w:val="22"/>
          <w:lang w:val="es-ES_tradnl"/>
        </w:rPr>
      </w:pPr>
      <w:r w:rsidRPr="003A2471">
        <w:rPr>
          <w:rFonts w:ascii="Arial" w:hAnsi="Arial" w:cs="Arial"/>
          <w:sz w:val="22"/>
          <w:szCs w:val="22"/>
          <w:lang w:val="es-ES_tradnl"/>
        </w:rPr>
        <w:t>Supresión de la recompensa por “Desempeño institucional”, por solicitud de los Estados miembros</w:t>
      </w:r>
      <w:r w:rsidR="00431F02" w:rsidRPr="003A2471">
        <w:rPr>
          <w:rFonts w:ascii="Arial" w:hAnsi="Arial" w:cs="Arial"/>
          <w:sz w:val="22"/>
          <w:szCs w:val="22"/>
          <w:lang w:val="es-ES_tradnl"/>
        </w:rPr>
        <w:t>.</w:t>
      </w:r>
    </w:p>
    <w:p w14:paraId="48215E68" w14:textId="3AE4EACF" w:rsidR="00431F02" w:rsidRPr="003A2471" w:rsidRDefault="0097616D" w:rsidP="003A2471">
      <w:pPr>
        <w:pStyle w:val="Default"/>
        <w:numPr>
          <w:ilvl w:val="0"/>
          <w:numId w:val="7"/>
        </w:numPr>
        <w:spacing w:after="360"/>
        <w:ind w:left="0" w:firstLine="0"/>
        <w:rPr>
          <w:rFonts w:ascii="Arial" w:hAnsi="Arial" w:cs="Arial"/>
          <w:sz w:val="22"/>
          <w:szCs w:val="22"/>
          <w:lang w:val="es-ES_tradnl"/>
        </w:rPr>
      </w:pPr>
      <w:r w:rsidRPr="003A2471">
        <w:rPr>
          <w:rFonts w:ascii="Arial" w:eastAsia="SimSun" w:hAnsi="Arial" w:cs="Arial"/>
          <w:bCs/>
          <w:sz w:val="22"/>
          <w:szCs w:val="22"/>
          <w:lang w:val="es-ES_tradnl"/>
        </w:rPr>
        <w:t>Se estima que</w:t>
      </w:r>
      <w:r w:rsidR="001C2382" w:rsidRPr="003A2471">
        <w:rPr>
          <w:rFonts w:ascii="Arial" w:eastAsia="SimSun" w:hAnsi="Arial" w:cs="Arial"/>
          <w:bCs/>
          <w:sz w:val="22"/>
          <w:szCs w:val="22"/>
          <w:lang w:val="es-ES_tradnl"/>
        </w:rPr>
        <w:t>,</w:t>
      </w:r>
      <w:r w:rsidRPr="003A2471">
        <w:rPr>
          <w:rFonts w:ascii="Arial" w:eastAsia="SimSun" w:hAnsi="Arial" w:cs="Arial"/>
          <w:bCs/>
          <w:sz w:val="22"/>
          <w:szCs w:val="22"/>
          <w:lang w:val="es-ES_tradnl"/>
        </w:rPr>
        <w:t xml:space="preserve"> </w:t>
      </w:r>
      <w:r w:rsidR="00A46B09" w:rsidRPr="003A2471">
        <w:rPr>
          <w:rFonts w:ascii="Arial" w:eastAsia="SimSun" w:hAnsi="Arial" w:cs="Arial"/>
          <w:bCs/>
          <w:sz w:val="22"/>
          <w:szCs w:val="22"/>
          <w:lang w:val="es-ES_tradnl"/>
        </w:rPr>
        <w:t xml:space="preserve">en 2020, </w:t>
      </w:r>
      <w:r w:rsidRPr="003A2471">
        <w:rPr>
          <w:rFonts w:ascii="Arial" w:eastAsia="SimSun" w:hAnsi="Arial" w:cs="Arial"/>
          <w:bCs/>
          <w:sz w:val="22"/>
          <w:szCs w:val="22"/>
          <w:lang w:val="es-ES_tradnl"/>
        </w:rPr>
        <w:t>el costo global del programa de recompensas y reconocimiento se</w:t>
      </w:r>
      <w:r w:rsidR="00A46B09" w:rsidRPr="003A2471">
        <w:rPr>
          <w:rFonts w:ascii="Arial" w:eastAsia="SimSun" w:hAnsi="Arial" w:cs="Arial"/>
          <w:bCs/>
          <w:sz w:val="22"/>
          <w:szCs w:val="22"/>
          <w:lang w:val="es-ES_tradnl"/>
        </w:rPr>
        <w:t>rá</w:t>
      </w:r>
      <w:r w:rsidRPr="003A2471">
        <w:rPr>
          <w:rFonts w:ascii="Arial" w:eastAsia="SimSun" w:hAnsi="Arial" w:cs="Arial"/>
          <w:bCs/>
          <w:sz w:val="22"/>
          <w:szCs w:val="22"/>
          <w:lang w:val="es-ES_tradnl"/>
        </w:rPr>
        <w:t xml:space="preserve"> de 321.000 francos suizos, lo que supone aproximadamente el </w:t>
      </w:r>
      <w:r w:rsidR="00A46B09" w:rsidRPr="003A2471">
        <w:rPr>
          <w:rFonts w:ascii="Arial" w:eastAsia="SimSun" w:hAnsi="Arial" w:cs="Arial"/>
          <w:bCs/>
          <w:sz w:val="22"/>
          <w:szCs w:val="22"/>
          <w:lang w:val="es-ES_tradnl"/>
        </w:rPr>
        <w:t>0,</w:t>
      </w:r>
      <w:r w:rsidRPr="003A2471">
        <w:rPr>
          <w:rFonts w:ascii="Arial" w:eastAsia="SimSun" w:hAnsi="Arial" w:cs="Arial"/>
          <w:bCs/>
          <w:sz w:val="22"/>
          <w:szCs w:val="22"/>
          <w:lang w:val="es-ES_tradnl"/>
        </w:rPr>
        <w:t>2% de la remuneración total soportada por la OMPI (esto es, la remuneración neta correspondiente a las categorías profesional y superiores y los sueldos correspondientes a la categoría de servicios generales y categorías conexas</w:t>
      </w:r>
      <w:r w:rsidR="00431F02" w:rsidRPr="003A2471">
        <w:rPr>
          <w:rFonts w:ascii="Arial" w:hAnsi="Arial" w:cs="Arial"/>
          <w:sz w:val="22"/>
          <w:szCs w:val="22"/>
          <w:lang w:val="es-ES_tradnl"/>
        </w:rPr>
        <w:t>).</w:t>
      </w:r>
    </w:p>
    <w:p w14:paraId="432F8F7A" w14:textId="710A042A" w:rsidR="00431F02" w:rsidRPr="003A2471" w:rsidRDefault="0097616D" w:rsidP="003A2471">
      <w:pPr>
        <w:pStyle w:val="Heading2"/>
        <w:keepNext w:val="0"/>
        <w:spacing w:after="240"/>
        <w:rPr>
          <w:szCs w:val="22"/>
          <w:lang w:val="es-ES_tradnl"/>
        </w:rPr>
      </w:pPr>
      <w:r w:rsidRPr="003A2471">
        <w:rPr>
          <w:szCs w:val="22"/>
          <w:lang w:val="es-ES_tradnl"/>
        </w:rPr>
        <w:t>PRÓRROGAS DE LOS NOMBRAMIENTOS TEMPORALES</w:t>
      </w:r>
    </w:p>
    <w:p w14:paraId="6B3B723F" w14:textId="21324470" w:rsidR="00431F02" w:rsidRPr="003A2471" w:rsidRDefault="0097616D" w:rsidP="003A2471">
      <w:pPr>
        <w:pStyle w:val="ListParagraph"/>
        <w:numPr>
          <w:ilvl w:val="0"/>
          <w:numId w:val="7"/>
        </w:numPr>
        <w:spacing w:after="240"/>
        <w:ind w:left="0" w:firstLine="0"/>
        <w:contextualSpacing w:val="0"/>
        <w:rPr>
          <w:rFonts w:ascii="Arial" w:hAnsi="Arial" w:cs="Arial"/>
          <w:sz w:val="22"/>
          <w:szCs w:val="22"/>
          <w:lang w:val="es-ES_tradnl"/>
        </w:rPr>
      </w:pPr>
      <w:r w:rsidRPr="003A2471">
        <w:rPr>
          <w:rFonts w:ascii="Arial" w:hAnsi="Arial" w:cs="Arial"/>
          <w:sz w:val="22"/>
          <w:szCs w:val="22"/>
          <w:lang w:val="es-ES_tradnl"/>
        </w:rPr>
        <w:t xml:space="preserve">En su reunión anual de septiembre de 2018, el Comité de Coordinación de la OMPI pidió a la Secretaría que incluyera sistemáticamente en su informe anual sobre recursos humanos información detallada sobre el número de nombramientos temporales prorrogados por el director general más allá de dos años en virtud de la cláusula </w:t>
      </w:r>
      <w:r w:rsidR="00431F02" w:rsidRPr="003A2471">
        <w:rPr>
          <w:rFonts w:ascii="Arial" w:hAnsi="Arial" w:cs="Arial"/>
          <w:sz w:val="22"/>
          <w:szCs w:val="22"/>
          <w:lang w:val="es-ES_tradnl"/>
        </w:rPr>
        <w:t>4.16</w:t>
      </w:r>
      <w:r w:rsidRPr="003A2471">
        <w:rPr>
          <w:rFonts w:ascii="Arial" w:hAnsi="Arial" w:cs="Arial"/>
          <w:sz w:val="22"/>
          <w:szCs w:val="22"/>
          <w:lang w:val="es-ES_tradnl"/>
        </w:rPr>
        <w:t>.</w:t>
      </w:r>
      <w:r w:rsidR="00431F02" w:rsidRPr="003A2471">
        <w:rPr>
          <w:rFonts w:ascii="Arial" w:hAnsi="Arial" w:cs="Arial"/>
          <w:sz w:val="22"/>
          <w:szCs w:val="22"/>
          <w:lang w:val="es-ES_tradnl"/>
        </w:rPr>
        <w:t>a)</w:t>
      </w:r>
      <w:r w:rsidR="00431F02" w:rsidRPr="003A2471">
        <w:rPr>
          <w:rStyle w:val="FootnoteReference"/>
          <w:rFonts w:ascii="Arial" w:hAnsi="Arial" w:cs="Arial"/>
          <w:sz w:val="22"/>
          <w:szCs w:val="22"/>
          <w:lang w:val="es-ES_tradnl"/>
        </w:rPr>
        <w:footnoteReference w:id="11"/>
      </w:r>
      <w:r w:rsidR="00431F02" w:rsidRPr="003A2471">
        <w:rPr>
          <w:rFonts w:ascii="Arial" w:hAnsi="Arial" w:cs="Arial"/>
          <w:sz w:val="22"/>
          <w:szCs w:val="22"/>
          <w:lang w:val="es-ES_tradnl"/>
        </w:rPr>
        <w:t xml:space="preserve"> </w:t>
      </w:r>
      <w:r w:rsidRPr="003A2471">
        <w:rPr>
          <w:rFonts w:ascii="Arial" w:hAnsi="Arial" w:cs="Arial"/>
          <w:sz w:val="22"/>
          <w:szCs w:val="22"/>
          <w:lang w:val="es-ES_tradnl"/>
        </w:rPr>
        <w:t>del Estatuto del Personal, así como las razones que justifican la aplicación de esa medida excepcional</w:t>
      </w:r>
      <w:r w:rsidR="00431F02" w:rsidRPr="003A2471">
        <w:rPr>
          <w:rFonts w:ascii="Arial" w:hAnsi="Arial" w:cs="Arial"/>
          <w:sz w:val="22"/>
          <w:szCs w:val="22"/>
          <w:lang w:val="es-ES_tradnl"/>
        </w:rPr>
        <w:t xml:space="preserve">. </w:t>
      </w:r>
      <w:r w:rsidRPr="003A2471">
        <w:rPr>
          <w:rFonts w:ascii="Arial" w:hAnsi="Arial" w:cs="Arial"/>
          <w:sz w:val="22"/>
          <w:szCs w:val="22"/>
          <w:lang w:val="es-ES_tradnl"/>
        </w:rPr>
        <w:t xml:space="preserve">Durante el período objeto de informe que concluye el 30 de junio de 2020, los nombramientos temporales de 10 miembros del personal se prorrogaron </w:t>
      </w:r>
      <w:r w:rsidR="00025991" w:rsidRPr="003A2471">
        <w:rPr>
          <w:rFonts w:ascii="Arial" w:hAnsi="Arial" w:cs="Arial"/>
          <w:sz w:val="22"/>
          <w:szCs w:val="22"/>
          <w:lang w:val="es-ES_tradnl"/>
        </w:rPr>
        <w:t xml:space="preserve">más allá de dos años. </w:t>
      </w:r>
      <w:r w:rsidR="007B64C6" w:rsidRPr="003A2471">
        <w:rPr>
          <w:rFonts w:ascii="Arial" w:hAnsi="Arial" w:cs="Arial"/>
          <w:sz w:val="22"/>
          <w:szCs w:val="22"/>
          <w:lang w:val="es-ES_tradnl"/>
        </w:rPr>
        <w:t xml:space="preserve">A </w:t>
      </w:r>
      <w:r w:rsidR="00D53CFE" w:rsidRPr="003A2471">
        <w:rPr>
          <w:rFonts w:ascii="Arial" w:hAnsi="Arial" w:cs="Arial"/>
          <w:sz w:val="22"/>
          <w:szCs w:val="22"/>
          <w:lang w:val="es-ES_tradnl"/>
        </w:rPr>
        <w:t>continuación,</w:t>
      </w:r>
      <w:r w:rsidR="007B64C6" w:rsidRPr="003A2471">
        <w:rPr>
          <w:rFonts w:ascii="Arial" w:hAnsi="Arial" w:cs="Arial"/>
          <w:sz w:val="22"/>
          <w:szCs w:val="22"/>
          <w:lang w:val="es-ES_tradnl"/>
        </w:rPr>
        <w:t xml:space="preserve"> se exponen los</w:t>
      </w:r>
      <w:r w:rsidR="00025991" w:rsidRPr="003A2471">
        <w:rPr>
          <w:rFonts w:ascii="Arial" w:hAnsi="Arial" w:cs="Arial"/>
          <w:sz w:val="22"/>
          <w:szCs w:val="22"/>
          <w:lang w:val="es-ES_tradnl"/>
        </w:rPr>
        <w:t xml:space="preserve"> motivos de esas prórrogas excepcionales</w:t>
      </w:r>
      <w:r w:rsidR="00431F02" w:rsidRPr="003A2471">
        <w:rPr>
          <w:rFonts w:ascii="Arial" w:hAnsi="Arial" w:cs="Arial"/>
          <w:sz w:val="22"/>
          <w:szCs w:val="22"/>
          <w:lang w:val="es-ES_tradnl"/>
        </w:rPr>
        <w:t>:</w:t>
      </w:r>
    </w:p>
    <w:p w14:paraId="67FF481B" w14:textId="477773E5" w:rsidR="00431F02" w:rsidRPr="003A2471" w:rsidRDefault="00D117F8" w:rsidP="003A2471">
      <w:pPr>
        <w:pStyle w:val="ListParagraph"/>
        <w:numPr>
          <w:ilvl w:val="0"/>
          <w:numId w:val="11"/>
        </w:numPr>
        <w:autoSpaceDE w:val="0"/>
        <w:autoSpaceDN w:val="0"/>
        <w:adjustRightInd w:val="0"/>
        <w:spacing w:after="120"/>
        <w:contextualSpacing w:val="0"/>
        <w:rPr>
          <w:rFonts w:ascii="Arial" w:hAnsi="Arial" w:cs="Arial"/>
          <w:color w:val="000000"/>
          <w:sz w:val="22"/>
          <w:szCs w:val="22"/>
          <w:lang w:val="es-ES_tradnl"/>
        </w:rPr>
      </w:pPr>
      <w:r w:rsidRPr="003A2471">
        <w:rPr>
          <w:rFonts w:ascii="Arial" w:hAnsi="Arial" w:cs="Arial"/>
          <w:color w:val="000000"/>
          <w:sz w:val="22"/>
          <w:szCs w:val="22"/>
          <w:lang w:val="es-ES_tradnl"/>
        </w:rPr>
        <w:t>Cinco plazas temporales debían ser sustituidas por nombramientos de plazo fijo. Debido a demoras imprevistas, la contratación para los puestos de plazo fijo no pudo concluir antes del vencimiento de los nombramientos temporales de los titulares de puestos temporales</w:t>
      </w:r>
      <w:r w:rsidR="00431F02" w:rsidRPr="003A2471">
        <w:rPr>
          <w:rFonts w:ascii="Arial" w:hAnsi="Arial" w:cs="Arial"/>
          <w:color w:val="000000"/>
          <w:sz w:val="22"/>
          <w:szCs w:val="22"/>
          <w:lang w:val="es-ES_tradnl"/>
        </w:rPr>
        <w:t>.</w:t>
      </w:r>
      <w:r w:rsidRPr="003A2471">
        <w:rPr>
          <w:rFonts w:ascii="Arial" w:hAnsi="Arial" w:cs="Arial"/>
          <w:color w:val="000000"/>
          <w:sz w:val="22"/>
          <w:szCs w:val="22"/>
          <w:lang w:val="es-ES_tradnl"/>
        </w:rPr>
        <w:t xml:space="preserve"> Los nombramientos temporales se prorrogaron (por períodos de entre un mes y cinco meses) para permitir que finalizara el proceso de selección de los puestos de plazo fijo</w:t>
      </w:r>
      <w:r w:rsidR="00431F02" w:rsidRPr="003A2471">
        <w:rPr>
          <w:rFonts w:ascii="Arial" w:hAnsi="Arial" w:cs="Arial"/>
          <w:color w:val="000000"/>
          <w:sz w:val="22"/>
          <w:szCs w:val="22"/>
          <w:lang w:val="es-ES_tradnl"/>
        </w:rPr>
        <w:t>.</w:t>
      </w:r>
    </w:p>
    <w:p w14:paraId="4CBB69FF" w14:textId="156E8CF1" w:rsidR="00431F02" w:rsidRPr="003A2471" w:rsidRDefault="00D117F8" w:rsidP="003A2471">
      <w:pPr>
        <w:pStyle w:val="ListParagraph"/>
        <w:numPr>
          <w:ilvl w:val="0"/>
          <w:numId w:val="11"/>
        </w:numPr>
        <w:autoSpaceDE w:val="0"/>
        <w:autoSpaceDN w:val="0"/>
        <w:adjustRightInd w:val="0"/>
        <w:spacing w:after="120"/>
        <w:contextualSpacing w:val="0"/>
        <w:rPr>
          <w:rFonts w:ascii="Arial" w:hAnsi="Arial" w:cs="Arial"/>
          <w:color w:val="000000"/>
          <w:sz w:val="22"/>
          <w:szCs w:val="22"/>
          <w:lang w:val="es-ES_tradnl"/>
        </w:rPr>
      </w:pPr>
      <w:r w:rsidRPr="003A2471">
        <w:rPr>
          <w:rFonts w:ascii="Arial" w:hAnsi="Arial" w:cs="Arial"/>
          <w:color w:val="000000"/>
          <w:sz w:val="22"/>
          <w:szCs w:val="22"/>
          <w:lang w:val="es-ES_tradnl"/>
        </w:rPr>
        <w:t xml:space="preserve">Dos nombramientos temporales fueron prorrogados excepcionalmente por un año debido al retraso en la licitación internacional para la sustitución de las máquinas y el </w:t>
      </w:r>
      <w:r w:rsidRPr="003A2471">
        <w:rPr>
          <w:rFonts w:ascii="Arial" w:hAnsi="Arial" w:cs="Arial"/>
          <w:i/>
          <w:color w:val="000000"/>
          <w:sz w:val="22"/>
          <w:szCs w:val="22"/>
          <w:lang w:val="es-ES_tradnl"/>
        </w:rPr>
        <w:t>software</w:t>
      </w:r>
      <w:r w:rsidRPr="003A2471">
        <w:rPr>
          <w:rFonts w:ascii="Arial" w:hAnsi="Arial" w:cs="Arial"/>
          <w:color w:val="000000"/>
          <w:sz w:val="22"/>
          <w:szCs w:val="22"/>
          <w:lang w:val="es-ES_tradnl"/>
        </w:rPr>
        <w:t xml:space="preserve"> de impresión</w:t>
      </w:r>
      <w:r w:rsidR="00431F02" w:rsidRPr="003A2471">
        <w:rPr>
          <w:rFonts w:ascii="Arial" w:hAnsi="Arial" w:cs="Arial"/>
          <w:color w:val="000000"/>
          <w:sz w:val="22"/>
          <w:szCs w:val="22"/>
          <w:lang w:val="es-ES_tradnl"/>
        </w:rPr>
        <w:t>.</w:t>
      </w:r>
    </w:p>
    <w:p w14:paraId="4D21C813" w14:textId="2E076D62" w:rsidR="00D117F8" w:rsidRPr="003A2471" w:rsidRDefault="00D117F8" w:rsidP="003A2471">
      <w:pPr>
        <w:pStyle w:val="ListParagraph"/>
        <w:numPr>
          <w:ilvl w:val="0"/>
          <w:numId w:val="11"/>
        </w:numPr>
        <w:autoSpaceDE w:val="0"/>
        <w:autoSpaceDN w:val="0"/>
        <w:adjustRightInd w:val="0"/>
        <w:spacing w:after="120"/>
        <w:contextualSpacing w:val="0"/>
        <w:rPr>
          <w:rFonts w:ascii="Arial" w:hAnsi="Arial" w:cs="Arial"/>
          <w:color w:val="000000"/>
          <w:sz w:val="22"/>
          <w:szCs w:val="22"/>
          <w:lang w:val="es-ES_tradnl"/>
        </w:rPr>
      </w:pPr>
      <w:r w:rsidRPr="003A2471">
        <w:rPr>
          <w:rFonts w:ascii="Arial" w:hAnsi="Arial" w:cs="Arial"/>
          <w:color w:val="000000"/>
          <w:sz w:val="22"/>
          <w:szCs w:val="22"/>
          <w:lang w:val="es-ES_tradnl"/>
        </w:rPr>
        <w:t xml:space="preserve">Dos nombramientos temporales fueron prorrogados excepcionalmente (por tres meses y 15 días, respectivamente) debido a la situación producida por la COVID-19 y </w:t>
      </w:r>
      <w:r w:rsidR="00506AF2" w:rsidRPr="003A2471">
        <w:rPr>
          <w:rFonts w:ascii="Arial" w:hAnsi="Arial" w:cs="Arial"/>
          <w:color w:val="000000"/>
          <w:sz w:val="22"/>
          <w:szCs w:val="22"/>
          <w:lang w:val="es-ES_tradnl"/>
        </w:rPr>
        <w:t xml:space="preserve">a que </w:t>
      </w:r>
      <w:r w:rsidR="008B6EDD" w:rsidRPr="003A2471">
        <w:rPr>
          <w:rFonts w:ascii="Arial" w:hAnsi="Arial" w:cs="Arial"/>
          <w:color w:val="000000"/>
          <w:sz w:val="22"/>
          <w:szCs w:val="22"/>
          <w:lang w:val="es-ES_tradnl"/>
        </w:rPr>
        <w:t xml:space="preserve">esos </w:t>
      </w:r>
      <w:r w:rsidR="00506AF2" w:rsidRPr="003A2471">
        <w:rPr>
          <w:rFonts w:ascii="Arial" w:hAnsi="Arial" w:cs="Arial"/>
          <w:color w:val="000000"/>
          <w:sz w:val="22"/>
          <w:szCs w:val="22"/>
          <w:lang w:val="es-ES_tradnl"/>
        </w:rPr>
        <w:t xml:space="preserve">dos miembros del personal no pudieron volver a sus </w:t>
      </w:r>
      <w:r w:rsidR="008B6EDD" w:rsidRPr="003A2471">
        <w:rPr>
          <w:rFonts w:ascii="Arial" w:hAnsi="Arial" w:cs="Arial"/>
          <w:color w:val="000000"/>
          <w:sz w:val="22"/>
          <w:szCs w:val="22"/>
          <w:lang w:val="es-ES_tradnl"/>
        </w:rPr>
        <w:t>domicilios</w:t>
      </w:r>
      <w:r w:rsidR="00506AF2" w:rsidRPr="003A2471">
        <w:rPr>
          <w:rFonts w:ascii="Arial" w:hAnsi="Arial" w:cs="Arial"/>
          <w:color w:val="000000"/>
          <w:sz w:val="22"/>
          <w:szCs w:val="22"/>
          <w:lang w:val="es-ES_tradnl"/>
        </w:rPr>
        <w:t xml:space="preserve"> por no haber oferta de vuelos.</w:t>
      </w:r>
    </w:p>
    <w:p w14:paraId="29C524D4" w14:textId="2E60B382" w:rsidR="00431F02" w:rsidRPr="003A2471" w:rsidRDefault="00506AF2" w:rsidP="003A2471">
      <w:pPr>
        <w:pStyle w:val="ListParagraph"/>
        <w:numPr>
          <w:ilvl w:val="0"/>
          <w:numId w:val="11"/>
        </w:numPr>
        <w:autoSpaceDE w:val="0"/>
        <w:autoSpaceDN w:val="0"/>
        <w:adjustRightInd w:val="0"/>
        <w:spacing w:after="360"/>
        <w:ind w:left="714" w:hanging="357"/>
        <w:contextualSpacing w:val="0"/>
        <w:rPr>
          <w:rFonts w:ascii="Arial" w:hAnsi="Arial" w:cs="Arial"/>
          <w:color w:val="000000"/>
          <w:sz w:val="22"/>
          <w:szCs w:val="22"/>
          <w:lang w:val="es-ES_tradnl"/>
        </w:rPr>
      </w:pPr>
      <w:r w:rsidRPr="003A2471">
        <w:rPr>
          <w:rFonts w:ascii="Arial" w:hAnsi="Arial" w:cs="Arial"/>
          <w:color w:val="000000"/>
          <w:sz w:val="22"/>
          <w:szCs w:val="22"/>
          <w:lang w:val="es-ES_tradnl"/>
        </w:rPr>
        <w:t>Un nombramiento temporal fue prorrogado (por un mes) debido a necesidades operativas en espera a que regresara el jefe de Sección en licencia especial sin sueldo</w:t>
      </w:r>
      <w:r w:rsidR="00431F02" w:rsidRPr="003A2471">
        <w:rPr>
          <w:rFonts w:ascii="Arial" w:hAnsi="Arial" w:cs="Arial"/>
          <w:color w:val="000000"/>
          <w:sz w:val="22"/>
          <w:szCs w:val="22"/>
          <w:lang w:val="es-ES_tradnl"/>
        </w:rPr>
        <w:t>.</w:t>
      </w:r>
    </w:p>
    <w:p w14:paraId="4B1AC56A" w14:textId="23D8C1FD" w:rsidR="00431F02" w:rsidRPr="003A2471" w:rsidRDefault="00506AF2" w:rsidP="003A2471">
      <w:pPr>
        <w:pStyle w:val="Heading1"/>
        <w:keepNext w:val="0"/>
        <w:numPr>
          <w:ilvl w:val="0"/>
          <w:numId w:val="14"/>
        </w:numPr>
        <w:spacing w:before="220" w:after="240"/>
        <w:ind w:left="562" w:hanging="562"/>
        <w:rPr>
          <w:lang w:val="es-ES_tradnl"/>
        </w:rPr>
      </w:pPr>
      <w:r w:rsidRPr="003A2471">
        <w:rPr>
          <w:lang w:val="es-ES_tradnl"/>
        </w:rPr>
        <w:t xml:space="preserve">gestión del conjunto de empleados de la ompi durante la crisis producida por la </w:t>
      </w:r>
      <w:r w:rsidR="00431F02" w:rsidRPr="003A2471">
        <w:rPr>
          <w:lang w:val="es-ES_tradnl"/>
        </w:rPr>
        <w:t>COVID-19</w:t>
      </w:r>
    </w:p>
    <w:p w14:paraId="6F583BF5" w14:textId="0606599B" w:rsidR="00431F02" w:rsidRPr="003A2471" w:rsidRDefault="00BE4DC4" w:rsidP="003A2471">
      <w:pPr>
        <w:pStyle w:val="Default"/>
        <w:numPr>
          <w:ilvl w:val="0"/>
          <w:numId w:val="7"/>
        </w:numPr>
        <w:spacing w:after="240"/>
        <w:ind w:left="0" w:firstLine="0"/>
        <w:rPr>
          <w:rFonts w:ascii="Arial" w:hAnsi="Arial" w:cs="Arial"/>
          <w:sz w:val="22"/>
          <w:szCs w:val="22"/>
          <w:lang w:val="es-ES_tradnl"/>
        </w:rPr>
      </w:pPr>
      <w:r w:rsidRPr="003A2471">
        <w:rPr>
          <w:rFonts w:ascii="Arial" w:hAnsi="Arial" w:cs="Arial"/>
          <w:sz w:val="22"/>
          <w:szCs w:val="22"/>
          <w:lang w:val="es-ES_tradnl"/>
        </w:rPr>
        <w:t xml:space="preserve">El 16 de marzo de 2020, la OMPI cerró las oficinas de la sede, en Ginebra, ante la evolución de la crisis sanitaria producida por la COVID-19 y las decisiones de confinamiento adoptadas por el Gobierno anfitrión. Se hizo así necesario que el personal de la OMPI trabajara desde el domicilio, a excepción de </w:t>
      </w:r>
      <w:r w:rsidR="00E869CD" w:rsidRPr="003A2471">
        <w:rPr>
          <w:rFonts w:ascii="Arial" w:hAnsi="Arial" w:cs="Arial"/>
          <w:sz w:val="22"/>
          <w:szCs w:val="22"/>
          <w:lang w:val="es-ES_tradnl"/>
        </w:rPr>
        <w:t>la reducida presencia de determinados miembros del personal de los</w:t>
      </w:r>
      <w:r w:rsidRPr="003A2471">
        <w:rPr>
          <w:rFonts w:ascii="Arial" w:hAnsi="Arial" w:cs="Arial"/>
          <w:sz w:val="22"/>
          <w:szCs w:val="22"/>
          <w:lang w:val="es-ES_tradnl"/>
        </w:rPr>
        <w:t xml:space="preserve"> servicio</w:t>
      </w:r>
      <w:r w:rsidR="00E869CD" w:rsidRPr="003A2471">
        <w:rPr>
          <w:rFonts w:ascii="Arial" w:hAnsi="Arial" w:cs="Arial"/>
          <w:sz w:val="22"/>
          <w:szCs w:val="22"/>
          <w:lang w:val="es-ES_tradnl"/>
        </w:rPr>
        <w:t>s</w:t>
      </w:r>
      <w:r w:rsidRPr="003A2471">
        <w:rPr>
          <w:rFonts w:ascii="Arial" w:hAnsi="Arial" w:cs="Arial"/>
          <w:sz w:val="22"/>
          <w:szCs w:val="22"/>
          <w:lang w:val="es-ES_tradnl"/>
        </w:rPr>
        <w:t xml:space="preserve"> </w:t>
      </w:r>
      <w:r w:rsidR="00E869CD" w:rsidRPr="003A2471">
        <w:rPr>
          <w:rFonts w:ascii="Arial" w:hAnsi="Arial" w:cs="Arial"/>
          <w:sz w:val="22"/>
          <w:szCs w:val="22"/>
          <w:lang w:val="es-ES_tradnl"/>
        </w:rPr>
        <w:t>M</w:t>
      </w:r>
      <w:r w:rsidRPr="003A2471">
        <w:rPr>
          <w:rFonts w:ascii="Arial" w:hAnsi="Arial" w:cs="Arial"/>
          <w:sz w:val="22"/>
          <w:szCs w:val="22"/>
          <w:lang w:val="es-ES_tradnl"/>
        </w:rPr>
        <w:t xml:space="preserve">édico, </w:t>
      </w:r>
      <w:r w:rsidR="00E869CD" w:rsidRPr="003A2471">
        <w:rPr>
          <w:rFonts w:ascii="Arial" w:hAnsi="Arial" w:cs="Arial"/>
          <w:sz w:val="22"/>
          <w:szCs w:val="22"/>
          <w:lang w:val="es-ES_tradnl"/>
        </w:rPr>
        <w:t>E</w:t>
      </w:r>
      <w:r w:rsidRPr="003A2471">
        <w:rPr>
          <w:rFonts w:ascii="Arial" w:hAnsi="Arial" w:cs="Arial"/>
          <w:sz w:val="22"/>
          <w:szCs w:val="22"/>
          <w:lang w:val="es-ES_tradnl"/>
        </w:rPr>
        <w:t xml:space="preserve">dificios, TI, </w:t>
      </w:r>
      <w:r w:rsidR="00E869CD" w:rsidRPr="003A2471">
        <w:rPr>
          <w:rFonts w:ascii="Arial" w:hAnsi="Arial" w:cs="Arial"/>
          <w:sz w:val="22"/>
          <w:szCs w:val="22"/>
          <w:lang w:val="es-ES_tradnl"/>
        </w:rPr>
        <w:t>Seguridad</w:t>
      </w:r>
      <w:r w:rsidR="00145FB2" w:rsidRPr="003A2471">
        <w:rPr>
          <w:rFonts w:ascii="Arial" w:hAnsi="Arial" w:cs="Arial"/>
          <w:sz w:val="22"/>
          <w:szCs w:val="22"/>
          <w:lang w:val="es-ES_tradnl"/>
        </w:rPr>
        <w:t>, Oficina del Director General</w:t>
      </w:r>
      <w:r w:rsidR="00E869CD" w:rsidRPr="003A2471">
        <w:rPr>
          <w:rFonts w:ascii="Arial" w:hAnsi="Arial" w:cs="Arial"/>
          <w:sz w:val="22"/>
          <w:szCs w:val="22"/>
          <w:lang w:val="es-ES_tradnl"/>
        </w:rPr>
        <w:t>, Comunicaciones y Recursos Humanos, necesarios para desempeñar servicios esenciales que no pueden prestarse remotamente</w:t>
      </w:r>
      <w:r w:rsidR="00431F02" w:rsidRPr="003A2471">
        <w:rPr>
          <w:rFonts w:ascii="Arial" w:hAnsi="Arial" w:cs="Arial"/>
          <w:sz w:val="22"/>
          <w:szCs w:val="22"/>
          <w:lang w:val="es-ES_tradnl"/>
        </w:rPr>
        <w:t>.</w:t>
      </w:r>
    </w:p>
    <w:p w14:paraId="70FB7E3E" w14:textId="6F7D8489" w:rsidR="00431F02" w:rsidRPr="003A2471" w:rsidRDefault="00E869CD" w:rsidP="003A2471">
      <w:pPr>
        <w:pStyle w:val="Default"/>
        <w:numPr>
          <w:ilvl w:val="0"/>
          <w:numId w:val="7"/>
        </w:numPr>
        <w:spacing w:after="240"/>
        <w:ind w:left="0" w:firstLine="0"/>
        <w:rPr>
          <w:rFonts w:ascii="Arial" w:hAnsi="Arial" w:cs="Arial"/>
          <w:sz w:val="22"/>
          <w:szCs w:val="22"/>
          <w:lang w:val="es-ES_tradnl"/>
        </w:rPr>
      </w:pPr>
      <w:r w:rsidRPr="003A2471">
        <w:rPr>
          <w:rFonts w:ascii="Arial" w:hAnsi="Arial" w:cs="Arial"/>
          <w:sz w:val="22"/>
          <w:szCs w:val="22"/>
          <w:lang w:val="es-ES_tradnl"/>
        </w:rPr>
        <w:t xml:space="preserve">Durante la fase inicial de la crisis, </w:t>
      </w:r>
      <w:r w:rsidR="0040725B" w:rsidRPr="003A2471">
        <w:rPr>
          <w:rFonts w:ascii="Arial" w:hAnsi="Arial" w:cs="Arial"/>
          <w:sz w:val="22"/>
          <w:szCs w:val="22"/>
          <w:lang w:val="es-ES_tradnl"/>
        </w:rPr>
        <w:t xml:space="preserve">a los miembros del personal </w:t>
      </w:r>
      <w:r w:rsidRPr="003A2471">
        <w:rPr>
          <w:rFonts w:ascii="Arial" w:hAnsi="Arial" w:cs="Arial"/>
          <w:sz w:val="22"/>
          <w:szCs w:val="22"/>
          <w:lang w:val="es-ES_tradnl"/>
        </w:rPr>
        <w:t xml:space="preserve">se </w:t>
      </w:r>
      <w:r w:rsidR="0040725B" w:rsidRPr="003A2471">
        <w:rPr>
          <w:rFonts w:ascii="Arial" w:hAnsi="Arial" w:cs="Arial"/>
          <w:sz w:val="22"/>
          <w:szCs w:val="22"/>
          <w:lang w:val="es-ES_tradnl"/>
        </w:rPr>
        <w:t>les proporcionaron</w:t>
      </w:r>
      <w:r w:rsidRPr="003A2471">
        <w:rPr>
          <w:rFonts w:ascii="Arial" w:hAnsi="Arial" w:cs="Arial"/>
          <w:sz w:val="22"/>
          <w:szCs w:val="22"/>
          <w:lang w:val="es-ES_tradnl"/>
        </w:rPr>
        <w:t xml:space="preserve"> computadoras portátiles y otros equipos para que pudieran conectarse con los sistemas de la OMPI de forma segura desde una ubicación remota</w:t>
      </w:r>
      <w:r w:rsidR="00431F02" w:rsidRPr="003A2471">
        <w:rPr>
          <w:rFonts w:ascii="Arial" w:hAnsi="Arial" w:cs="Arial"/>
          <w:sz w:val="22"/>
          <w:szCs w:val="22"/>
          <w:lang w:val="es-ES_tradnl"/>
        </w:rPr>
        <w:t xml:space="preserve">. </w:t>
      </w:r>
      <w:r w:rsidRPr="003A2471">
        <w:rPr>
          <w:rFonts w:ascii="Arial" w:hAnsi="Arial" w:cs="Arial"/>
          <w:sz w:val="22"/>
          <w:szCs w:val="22"/>
          <w:lang w:val="es-ES_tradnl"/>
        </w:rPr>
        <w:t>Se emitieron certificados para permitir un movimiento limitado del personal, incluido el cruce de fronteras. Los servicios de la OMPI, incluidos los servicios de generación de ingresos y servicios de apoyo, se pusieron en funcionamiento en breve plazo hasta alcanzar rápidamente una capacidad casi óptima</w:t>
      </w:r>
      <w:r w:rsidR="00431F02" w:rsidRPr="003A2471">
        <w:rPr>
          <w:rFonts w:ascii="Arial" w:hAnsi="Arial" w:cs="Arial"/>
          <w:sz w:val="22"/>
          <w:szCs w:val="22"/>
          <w:lang w:val="es-ES_tradnl"/>
        </w:rPr>
        <w:t>.</w:t>
      </w:r>
    </w:p>
    <w:p w14:paraId="25071DE7" w14:textId="543DC033" w:rsidR="00431F02" w:rsidRPr="003A2471" w:rsidRDefault="00644A1B" w:rsidP="003A2471">
      <w:pPr>
        <w:pStyle w:val="Default"/>
        <w:numPr>
          <w:ilvl w:val="0"/>
          <w:numId w:val="7"/>
        </w:numPr>
        <w:spacing w:after="240"/>
        <w:ind w:left="0" w:firstLine="0"/>
        <w:rPr>
          <w:rFonts w:ascii="Arial" w:hAnsi="Arial" w:cs="Arial"/>
          <w:sz w:val="22"/>
          <w:szCs w:val="22"/>
          <w:lang w:val="es-ES_tradnl"/>
        </w:rPr>
      </w:pPr>
      <w:r w:rsidRPr="003A2471">
        <w:rPr>
          <w:rFonts w:ascii="Arial" w:hAnsi="Arial" w:cs="Arial"/>
          <w:sz w:val="22"/>
          <w:szCs w:val="22"/>
          <w:lang w:val="es-ES_tradnl"/>
        </w:rPr>
        <w:t>A los miembros del personal</w:t>
      </w:r>
      <w:r w:rsidR="00F349DA" w:rsidRPr="003A2471">
        <w:rPr>
          <w:rFonts w:ascii="Arial" w:hAnsi="Arial" w:cs="Arial"/>
          <w:sz w:val="22"/>
          <w:szCs w:val="22"/>
          <w:lang w:val="es-ES_tradnl"/>
        </w:rPr>
        <w:t xml:space="preserve"> se le</w:t>
      </w:r>
      <w:r w:rsidRPr="003A2471">
        <w:rPr>
          <w:rFonts w:ascii="Arial" w:hAnsi="Arial" w:cs="Arial"/>
          <w:sz w:val="22"/>
          <w:szCs w:val="22"/>
          <w:lang w:val="es-ES_tradnl"/>
        </w:rPr>
        <w:t>s</w:t>
      </w:r>
      <w:r w:rsidR="00F349DA" w:rsidRPr="003A2471">
        <w:rPr>
          <w:rFonts w:ascii="Arial" w:hAnsi="Arial" w:cs="Arial"/>
          <w:sz w:val="22"/>
          <w:szCs w:val="22"/>
          <w:lang w:val="es-ES_tradnl"/>
        </w:rPr>
        <w:t xml:space="preserve"> proporcion</w:t>
      </w:r>
      <w:r w:rsidR="00B20F55" w:rsidRPr="003A2471">
        <w:rPr>
          <w:rFonts w:ascii="Arial" w:hAnsi="Arial" w:cs="Arial"/>
          <w:sz w:val="22"/>
          <w:szCs w:val="22"/>
          <w:lang w:val="es-ES_tradnl"/>
        </w:rPr>
        <w:t>aron</w:t>
      </w:r>
      <w:r w:rsidR="00F349DA" w:rsidRPr="003A2471">
        <w:rPr>
          <w:rFonts w:ascii="Arial" w:hAnsi="Arial" w:cs="Arial"/>
          <w:sz w:val="22"/>
          <w:szCs w:val="22"/>
          <w:lang w:val="es-ES_tradnl"/>
        </w:rPr>
        <w:t xml:space="preserve"> diversos tipos de apoyo remot</w:t>
      </w:r>
      <w:r w:rsidRPr="003A2471">
        <w:rPr>
          <w:rFonts w:ascii="Arial" w:hAnsi="Arial" w:cs="Arial"/>
          <w:sz w:val="22"/>
          <w:szCs w:val="22"/>
          <w:lang w:val="es-ES_tradnl"/>
        </w:rPr>
        <w:t>o</w:t>
      </w:r>
      <w:r w:rsidR="00F349DA" w:rsidRPr="003A2471">
        <w:rPr>
          <w:rFonts w:ascii="Arial" w:hAnsi="Arial" w:cs="Arial"/>
          <w:sz w:val="22"/>
          <w:szCs w:val="22"/>
          <w:lang w:val="es-ES_tradnl"/>
        </w:rPr>
        <w:t xml:space="preserve">. La Unidad Médica efectuó un seguimiento </w:t>
      </w:r>
      <w:r w:rsidR="00B20F55" w:rsidRPr="003A2471">
        <w:rPr>
          <w:rFonts w:ascii="Arial" w:hAnsi="Arial" w:cs="Arial"/>
          <w:sz w:val="22"/>
          <w:szCs w:val="22"/>
          <w:lang w:val="es-ES_tradnl"/>
        </w:rPr>
        <w:t>en</w:t>
      </w:r>
      <w:r w:rsidR="00F349DA" w:rsidRPr="003A2471">
        <w:rPr>
          <w:rFonts w:ascii="Arial" w:hAnsi="Arial" w:cs="Arial"/>
          <w:sz w:val="22"/>
          <w:szCs w:val="22"/>
          <w:lang w:val="es-ES_tradnl"/>
        </w:rPr>
        <w:t xml:space="preserve"> cuestiones de salud en un momento en que los sistemas sanitarios locales </w:t>
      </w:r>
      <w:r w:rsidR="00145FB2" w:rsidRPr="003A2471">
        <w:rPr>
          <w:rFonts w:ascii="Arial" w:hAnsi="Arial" w:cs="Arial"/>
          <w:sz w:val="22"/>
          <w:szCs w:val="22"/>
          <w:lang w:val="es-ES_tradnl"/>
        </w:rPr>
        <w:t>tenían mucha presión</w:t>
      </w:r>
      <w:r w:rsidR="00F349DA" w:rsidRPr="003A2471">
        <w:rPr>
          <w:rFonts w:ascii="Arial" w:hAnsi="Arial" w:cs="Arial"/>
          <w:sz w:val="22"/>
          <w:szCs w:val="22"/>
          <w:lang w:val="es-ES_tradnl"/>
        </w:rPr>
        <w:t xml:space="preserve">. La OMPI puso a disposición servicios </w:t>
      </w:r>
      <w:r w:rsidR="00B20F55" w:rsidRPr="003A2471">
        <w:rPr>
          <w:rFonts w:ascii="Arial" w:hAnsi="Arial" w:cs="Arial"/>
          <w:sz w:val="22"/>
          <w:szCs w:val="22"/>
          <w:lang w:val="es-ES_tradnl"/>
        </w:rPr>
        <w:t>de salud</w:t>
      </w:r>
      <w:r w:rsidR="00F349DA" w:rsidRPr="003A2471">
        <w:rPr>
          <w:rFonts w:ascii="Arial" w:hAnsi="Arial" w:cs="Arial"/>
          <w:sz w:val="22"/>
          <w:szCs w:val="22"/>
          <w:lang w:val="es-ES_tradnl"/>
        </w:rPr>
        <w:t xml:space="preserve"> a distancia mediante su proveedor de seguro médico. La consejera del Personal facilitó servicios de apoyo psicosocial de manera personalizada y formación al personal en general, y, al mismo tiempo, siguieron funcionando sin interrupción los servicios de recursos humanos, entre ellos, los de contratación, nómina de</w:t>
      </w:r>
      <w:r w:rsidR="00B20F55" w:rsidRPr="003A2471">
        <w:rPr>
          <w:rFonts w:ascii="Arial" w:hAnsi="Arial" w:cs="Arial"/>
          <w:sz w:val="22"/>
          <w:szCs w:val="22"/>
          <w:lang w:val="es-ES_tradnl"/>
        </w:rPr>
        <w:t>l</w:t>
      </w:r>
      <w:r w:rsidR="00F349DA" w:rsidRPr="003A2471">
        <w:rPr>
          <w:rFonts w:ascii="Arial" w:hAnsi="Arial" w:cs="Arial"/>
          <w:sz w:val="22"/>
          <w:szCs w:val="22"/>
          <w:lang w:val="es-ES_tradnl"/>
        </w:rPr>
        <w:t xml:space="preserve"> personal, gestión de contratos, formación en línea y </w:t>
      </w:r>
      <w:r w:rsidR="008F4B54" w:rsidRPr="003A2471">
        <w:rPr>
          <w:rFonts w:ascii="Arial" w:hAnsi="Arial" w:cs="Arial"/>
          <w:sz w:val="22"/>
          <w:szCs w:val="22"/>
          <w:lang w:val="es-ES_tradnl"/>
        </w:rPr>
        <w:t>gestión del desempeño</w:t>
      </w:r>
      <w:r w:rsidR="00431F02" w:rsidRPr="003A2471">
        <w:rPr>
          <w:rFonts w:ascii="Arial" w:hAnsi="Arial" w:cs="Arial"/>
          <w:sz w:val="22"/>
          <w:szCs w:val="22"/>
          <w:lang w:val="es-ES_tradnl"/>
        </w:rPr>
        <w:t>.</w:t>
      </w:r>
    </w:p>
    <w:p w14:paraId="79EC085B" w14:textId="7293049C" w:rsidR="00431F02" w:rsidRPr="003A2471" w:rsidRDefault="00DF3BDB" w:rsidP="003A2471">
      <w:pPr>
        <w:pStyle w:val="Default"/>
        <w:numPr>
          <w:ilvl w:val="0"/>
          <w:numId w:val="7"/>
        </w:numPr>
        <w:spacing w:after="240"/>
        <w:ind w:left="0" w:firstLine="0"/>
        <w:rPr>
          <w:rFonts w:ascii="Arial" w:hAnsi="Arial" w:cs="Arial"/>
          <w:sz w:val="22"/>
          <w:szCs w:val="22"/>
          <w:lang w:val="es-ES_tradnl"/>
        </w:rPr>
      </w:pPr>
      <w:r w:rsidRPr="003A2471">
        <w:rPr>
          <w:rFonts w:ascii="Arial" w:hAnsi="Arial" w:cs="Arial"/>
          <w:sz w:val="22"/>
          <w:szCs w:val="22"/>
          <w:lang w:val="es-ES_tradnl"/>
        </w:rPr>
        <w:t xml:space="preserve">Mediante un </w:t>
      </w:r>
      <w:r w:rsidR="00145FB2" w:rsidRPr="003A2471">
        <w:rPr>
          <w:rFonts w:ascii="Arial" w:hAnsi="Arial" w:cs="Arial"/>
          <w:sz w:val="22"/>
          <w:szCs w:val="22"/>
          <w:lang w:val="es-ES_tradnl"/>
        </w:rPr>
        <w:t>e</w:t>
      </w:r>
      <w:r w:rsidRPr="003A2471">
        <w:rPr>
          <w:rFonts w:ascii="Arial" w:hAnsi="Arial" w:cs="Arial"/>
          <w:sz w:val="22"/>
          <w:szCs w:val="22"/>
          <w:lang w:val="es-ES_tradnl"/>
        </w:rPr>
        <w:t xml:space="preserve">quipo de </w:t>
      </w:r>
      <w:r w:rsidR="00145FB2" w:rsidRPr="003A2471">
        <w:rPr>
          <w:rFonts w:ascii="Arial" w:hAnsi="Arial" w:cs="Arial"/>
          <w:sz w:val="22"/>
          <w:szCs w:val="22"/>
          <w:lang w:val="es-ES_tradnl"/>
        </w:rPr>
        <w:t xml:space="preserve">comunicaciones </w:t>
      </w:r>
      <w:r w:rsidR="00644A1B" w:rsidRPr="003A2471">
        <w:rPr>
          <w:rFonts w:ascii="Arial" w:hAnsi="Arial" w:cs="Arial"/>
          <w:sz w:val="22"/>
          <w:szCs w:val="22"/>
          <w:lang w:val="es-ES_tradnl"/>
        </w:rPr>
        <w:t>en situaciones de</w:t>
      </w:r>
      <w:r w:rsidRPr="003A2471">
        <w:rPr>
          <w:rFonts w:ascii="Arial" w:hAnsi="Arial" w:cs="Arial"/>
          <w:sz w:val="22"/>
          <w:szCs w:val="22"/>
          <w:lang w:val="es-ES_tradnl"/>
        </w:rPr>
        <w:t xml:space="preserve"> </w:t>
      </w:r>
      <w:r w:rsidR="00145FB2" w:rsidRPr="003A2471">
        <w:rPr>
          <w:rFonts w:ascii="Arial" w:hAnsi="Arial" w:cs="Arial"/>
          <w:sz w:val="22"/>
          <w:szCs w:val="22"/>
          <w:lang w:val="es-ES_tradnl"/>
        </w:rPr>
        <w:t>c</w:t>
      </w:r>
      <w:r w:rsidRPr="003A2471">
        <w:rPr>
          <w:rFonts w:ascii="Arial" w:hAnsi="Arial" w:cs="Arial"/>
          <w:sz w:val="22"/>
          <w:szCs w:val="22"/>
          <w:lang w:val="es-ES_tradnl"/>
        </w:rPr>
        <w:t>risis multidisciplinar se garantizaron las comunicaciones regulares entre el director general y el personal de la OMPI</w:t>
      </w:r>
      <w:r w:rsidR="00431F02" w:rsidRPr="003A2471">
        <w:rPr>
          <w:rFonts w:ascii="Arial" w:hAnsi="Arial" w:cs="Arial"/>
          <w:sz w:val="22"/>
          <w:szCs w:val="22"/>
          <w:lang w:val="es-ES_tradnl"/>
        </w:rPr>
        <w:t>.</w:t>
      </w:r>
    </w:p>
    <w:p w14:paraId="5C9216B0" w14:textId="1C9EFA17" w:rsidR="00431F02" w:rsidRPr="003A2471" w:rsidRDefault="003A7A5B" w:rsidP="003A2471">
      <w:pPr>
        <w:pStyle w:val="Default"/>
        <w:numPr>
          <w:ilvl w:val="0"/>
          <w:numId w:val="7"/>
        </w:numPr>
        <w:spacing w:after="240"/>
        <w:ind w:left="0" w:firstLine="0"/>
        <w:rPr>
          <w:rFonts w:ascii="Arial" w:hAnsi="Arial" w:cs="Arial"/>
          <w:szCs w:val="22"/>
          <w:lang w:val="es-ES_tradnl"/>
        </w:rPr>
      </w:pPr>
      <w:r w:rsidRPr="003A2471">
        <w:rPr>
          <w:rFonts w:ascii="Arial" w:hAnsi="Arial" w:cs="Arial"/>
          <w:sz w:val="22"/>
          <w:szCs w:val="22"/>
          <w:lang w:val="es-ES_tradnl"/>
        </w:rPr>
        <w:t xml:space="preserve">Se aplicaron medidas </w:t>
      </w:r>
      <w:r w:rsidRPr="003A2471">
        <w:rPr>
          <w:rFonts w:ascii="Arial" w:hAnsi="Arial" w:cs="Arial"/>
          <w:i/>
          <w:sz w:val="22"/>
          <w:szCs w:val="22"/>
          <w:lang w:val="es-ES_tradnl"/>
        </w:rPr>
        <w:t>ad hoc</w:t>
      </w:r>
      <w:r w:rsidRPr="003A2471">
        <w:rPr>
          <w:rFonts w:ascii="Arial" w:hAnsi="Arial" w:cs="Arial"/>
          <w:sz w:val="22"/>
          <w:szCs w:val="22"/>
          <w:lang w:val="es-ES_tradnl"/>
        </w:rPr>
        <w:t xml:space="preserve"> y derogaciones</w:t>
      </w:r>
      <w:r w:rsidR="00644A1B" w:rsidRPr="003A2471">
        <w:rPr>
          <w:rFonts w:ascii="Arial" w:hAnsi="Arial" w:cs="Arial"/>
          <w:sz w:val="22"/>
          <w:szCs w:val="22"/>
          <w:lang w:val="es-ES_tradnl"/>
        </w:rPr>
        <w:t xml:space="preserve"> con carácter temporal</w:t>
      </w:r>
      <w:r w:rsidRPr="003A2471">
        <w:rPr>
          <w:rFonts w:ascii="Arial" w:hAnsi="Arial" w:cs="Arial"/>
          <w:sz w:val="22"/>
          <w:szCs w:val="22"/>
          <w:lang w:val="es-ES_tradnl"/>
        </w:rPr>
        <w:t xml:space="preserve"> con respecto a algunas políticas y procedimientos de RR.HH. para facilitar la gestión en situación de crisis y habida cuenta de las complejas condiciones externas. Dichas medidas y derogaciones afectaron a las licencias por enfermedad, viajes y gestión del tiempo, entre otras cuestiones</w:t>
      </w:r>
      <w:r w:rsidR="00431F02" w:rsidRPr="003A2471">
        <w:rPr>
          <w:rFonts w:ascii="Arial" w:hAnsi="Arial" w:cs="Arial"/>
          <w:sz w:val="22"/>
          <w:szCs w:val="22"/>
          <w:lang w:val="es-ES_tradnl"/>
        </w:rPr>
        <w:t>.</w:t>
      </w:r>
      <w:r w:rsidR="00431F02" w:rsidRPr="003A2471">
        <w:rPr>
          <w:rFonts w:ascii="Arial" w:hAnsi="Arial" w:cs="Arial"/>
          <w:szCs w:val="22"/>
          <w:lang w:val="es-ES_tradnl"/>
        </w:rPr>
        <w:t></w:t>
      </w:r>
    </w:p>
    <w:p w14:paraId="6B7D4BB5" w14:textId="4FEE379D" w:rsidR="00431F02" w:rsidRPr="003A2471" w:rsidRDefault="003A7A5B" w:rsidP="003A2471">
      <w:pPr>
        <w:pStyle w:val="Default"/>
        <w:numPr>
          <w:ilvl w:val="0"/>
          <w:numId w:val="7"/>
        </w:numPr>
        <w:spacing w:after="240"/>
        <w:ind w:left="0" w:firstLine="0"/>
        <w:rPr>
          <w:rFonts w:ascii="Arial" w:hAnsi="Arial" w:cs="Arial"/>
          <w:sz w:val="22"/>
          <w:szCs w:val="22"/>
          <w:lang w:val="es-ES_tradnl"/>
        </w:rPr>
      </w:pPr>
      <w:r w:rsidRPr="003A2471">
        <w:rPr>
          <w:rFonts w:ascii="Arial" w:hAnsi="Arial" w:cs="Arial"/>
          <w:sz w:val="22"/>
          <w:szCs w:val="22"/>
          <w:lang w:val="es-ES_tradnl"/>
        </w:rPr>
        <w:t xml:space="preserve">El </w:t>
      </w:r>
      <w:r w:rsidR="00B20F55" w:rsidRPr="003A2471">
        <w:rPr>
          <w:rFonts w:ascii="Arial" w:hAnsi="Arial" w:cs="Arial"/>
          <w:sz w:val="22"/>
          <w:szCs w:val="22"/>
          <w:lang w:val="es-ES_tradnl"/>
        </w:rPr>
        <w:t xml:space="preserve">número de casos confirmados </w:t>
      </w:r>
      <w:r w:rsidRPr="003A2471">
        <w:rPr>
          <w:rFonts w:ascii="Arial" w:hAnsi="Arial" w:cs="Arial"/>
          <w:sz w:val="22"/>
          <w:szCs w:val="22"/>
          <w:lang w:val="es-ES_tradnl"/>
        </w:rPr>
        <w:t xml:space="preserve">de infección </w:t>
      </w:r>
      <w:r w:rsidR="00B20F55" w:rsidRPr="003A2471">
        <w:rPr>
          <w:rFonts w:ascii="Arial" w:hAnsi="Arial" w:cs="Arial"/>
          <w:sz w:val="22"/>
          <w:szCs w:val="22"/>
          <w:lang w:val="es-ES_tradnl"/>
        </w:rPr>
        <w:t>por</w:t>
      </w:r>
      <w:r w:rsidRPr="003A2471">
        <w:rPr>
          <w:rFonts w:ascii="Arial" w:hAnsi="Arial" w:cs="Arial"/>
          <w:sz w:val="22"/>
          <w:szCs w:val="22"/>
          <w:lang w:val="es-ES_tradnl"/>
        </w:rPr>
        <w:t xml:space="preserve"> COVID-19 entre el personal de la OMPI </w:t>
      </w:r>
      <w:r w:rsidR="00B20F55" w:rsidRPr="003A2471">
        <w:rPr>
          <w:rFonts w:ascii="Arial" w:hAnsi="Arial" w:cs="Arial"/>
          <w:sz w:val="22"/>
          <w:szCs w:val="22"/>
          <w:lang w:val="es-ES_tradnl"/>
        </w:rPr>
        <w:t xml:space="preserve">sometido a pruebas por la Unidad Médica </w:t>
      </w:r>
      <w:r w:rsidRPr="003A2471">
        <w:rPr>
          <w:rFonts w:ascii="Arial" w:hAnsi="Arial" w:cs="Arial"/>
          <w:sz w:val="22"/>
          <w:szCs w:val="22"/>
          <w:lang w:val="es-ES_tradnl"/>
        </w:rPr>
        <w:t xml:space="preserve">fue </w:t>
      </w:r>
      <w:r w:rsidR="00B20F55" w:rsidRPr="003A2471">
        <w:rPr>
          <w:rFonts w:ascii="Arial" w:hAnsi="Arial" w:cs="Arial"/>
          <w:sz w:val="22"/>
          <w:szCs w:val="22"/>
          <w:lang w:val="es-ES_tradnl"/>
        </w:rPr>
        <w:t>de 18</w:t>
      </w:r>
      <w:r w:rsidR="00145FB2" w:rsidRPr="003A2471">
        <w:rPr>
          <w:rFonts w:ascii="Arial" w:hAnsi="Arial" w:cs="Arial"/>
          <w:sz w:val="22"/>
          <w:szCs w:val="22"/>
          <w:lang w:val="es-ES_tradnl"/>
        </w:rPr>
        <w:t xml:space="preserve"> personas</w:t>
      </w:r>
      <w:r w:rsidR="00B20F55" w:rsidRPr="003A2471">
        <w:rPr>
          <w:rFonts w:ascii="Arial" w:hAnsi="Arial" w:cs="Arial"/>
          <w:sz w:val="22"/>
          <w:szCs w:val="22"/>
          <w:lang w:val="es-ES_tradnl"/>
        </w:rPr>
        <w:t xml:space="preserve">. Además, </w:t>
      </w:r>
      <w:r w:rsidR="00D66B6A" w:rsidRPr="003A2471">
        <w:rPr>
          <w:rFonts w:ascii="Arial" w:hAnsi="Arial" w:cs="Arial"/>
          <w:sz w:val="22"/>
          <w:szCs w:val="22"/>
          <w:lang w:val="es-ES_tradnl"/>
        </w:rPr>
        <w:t xml:space="preserve">se determinó que aproximadamente </w:t>
      </w:r>
      <w:r w:rsidR="00B20F55" w:rsidRPr="003A2471">
        <w:rPr>
          <w:rFonts w:ascii="Arial" w:hAnsi="Arial" w:cs="Arial"/>
          <w:sz w:val="22"/>
          <w:szCs w:val="22"/>
          <w:lang w:val="es-ES_tradnl"/>
        </w:rPr>
        <w:t xml:space="preserve">70 </w:t>
      </w:r>
      <w:r w:rsidR="00D66B6A" w:rsidRPr="003A2471">
        <w:rPr>
          <w:rFonts w:ascii="Arial" w:hAnsi="Arial" w:cs="Arial"/>
          <w:sz w:val="22"/>
          <w:szCs w:val="22"/>
          <w:lang w:val="es-ES_tradnl"/>
        </w:rPr>
        <w:t>miembros del personal mostraba</w:t>
      </w:r>
      <w:r w:rsidR="00F35E25">
        <w:rPr>
          <w:rFonts w:ascii="Arial" w:hAnsi="Arial" w:cs="Arial"/>
          <w:sz w:val="22"/>
          <w:szCs w:val="22"/>
          <w:lang w:val="es-ES_tradnl"/>
        </w:rPr>
        <w:t>n</w:t>
      </w:r>
      <w:r w:rsidR="00D66B6A" w:rsidRPr="003A2471">
        <w:rPr>
          <w:rFonts w:ascii="Arial" w:hAnsi="Arial" w:cs="Arial"/>
          <w:sz w:val="22"/>
          <w:szCs w:val="22"/>
          <w:lang w:val="es-ES_tradnl"/>
        </w:rPr>
        <w:t xml:space="preserve"> </w:t>
      </w:r>
      <w:r w:rsidR="00B20F55" w:rsidRPr="003A2471">
        <w:rPr>
          <w:rFonts w:ascii="Arial" w:hAnsi="Arial" w:cs="Arial"/>
          <w:sz w:val="22"/>
          <w:szCs w:val="22"/>
          <w:lang w:val="es-ES_tradnl"/>
        </w:rPr>
        <w:t xml:space="preserve">síntomas </w:t>
      </w:r>
      <w:r w:rsidR="00D66B6A" w:rsidRPr="003A2471">
        <w:rPr>
          <w:rFonts w:ascii="Arial" w:hAnsi="Arial" w:cs="Arial"/>
          <w:sz w:val="22"/>
          <w:szCs w:val="22"/>
          <w:lang w:val="es-ES_tradnl"/>
        </w:rPr>
        <w:t xml:space="preserve">coherentes con la COVID-19 y algo menos de 300 tuvieron que autoconfinarse tras el seguimiento </w:t>
      </w:r>
      <w:r w:rsidR="00145FB2" w:rsidRPr="003A2471">
        <w:rPr>
          <w:rFonts w:ascii="Arial" w:hAnsi="Arial" w:cs="Arial"/>
          <w:sz w:val="22"/>
          <w:szCs w:val="22"/>
          <w:lang w:val="es-ES_tradnl"/>
        </w:rPr>
        <w:t>de sus contactos</w:t>
      </w:r>
      <w:r w:rsidR="00D66B6A" w:rsidRPr="003A2471">
        <w:rPr>
          <w:rFonts w:ascii="Arial" w:hAnsi="Arial" w:cs="Arial"/>
          <w:sz w:val="22"/>
          <w:szCs w:val="22"/>
          <w:lang w:val="es-ES_tradnl"/>
        </w:rPr>
        <w:t xml:space="preserve"> efectuado por la Unidad Médica</w:t>
      </w:r>
      <w:r w:rsidR="00FF42CC" w:rsidRPr="003A2471">
        <w:rPr>
          <w:rFonts w:ascii="Arial" w:hAnsi="Arial" w:cs="Arial"/>
          <w:sz w:val="22"/>
          <w:szCs w:val="22"/>
          <w:lang w:val="es-ES_tradnl"/>
        </w:rPr>
        <w:t xml:space="preserve">. </w:t>
      </w:r>
      <w:r w:rsidR="00644A1B" w:rsidRPr="003A2471">
        <w:rPr>
          <w:rFonts w:ascii="Arial" w:hAnsi="Arial" w:cs="Arial"/>
          <w:sz w:val="22"/>
          <w:szCs w:val="22"/>
          <w:lang w:val="es-ES_tradnl"/>
        </w:rPr>
        <w:t>Lamentablemente</w:t>
      </w:r>
      <w:r w:rsidR="00FF42CC" w:rsidRPr="003A2471">
        <w:rPr>
          <w:rFonts w:ascii="Arial" w:hAnsi="Arial" w:cs="Arial"/>
          <w:sz w:val="22"/>
          <w:szCs w:val="22"/>
          <w:lang w:val="es-ES_tradnl"/>
        </w:rPr>
        <w:t>, el 7 de abril de 2020, la OMPI perdió a uno de sus miembros de personal debido al coronavirus. Su familia recibió un amplio apoyo</w:t>
      </w:r>
      <w:r w:rsidR="00431F02" w:rsidRPr="003A2471">
        <w:rPr>
          <w:rFonts w:ascii="Arial" w:hAnsi="Arial" w:cs="Arial"/>
          <w:sz w:val="22"/>
          <w:szCs w:val="22"/>
          <w:lang w:val="es-ES_tradnl"/>
        </w:rPr>
        <w:t>.</w:t>
      </w:r>
    </w:p>
    <w:p w14:paraId="42F64A09" w14:textId="010B3298" w:rsidR="00431F02" w:rsidRPr="003A2471" w:rsidRDefault="00FF42CC" w:rsidP="003A2471">
      <w:pPr>
        <w:pStyle w:val="Default"/>
        <w:numPr>
          <w:ilvl w:val="0"/>
          <w:numId w:val="7"/>
        </w:numPr>
        <w:spacing w:after="240"/>
        <w:ind w:left="0" w:firstLine="0"/>
        <w:rPr>
          <w:rFonts w:ascii="Arial" w:hAnsi="Arial" w:cs="Arial"/>
          <w:sz w:val="22"/>
          <w:szCs w:val="22"/>
          <w:lang w:val="es-ES_tradnl"/>
        </w:rPr>
      </w:pPr>
      <w:r w:rsidRPr="003A2471">
        <w:rPr>
          <w:rFonts w:ascii="Arial" w:hAnsi="Arial" w:cs="Arial"/>
          <w:sz w:val="22"/>
          <w:szCs w:val="22"/>
          <w:lang w:val="es-ES_tradnl"/>
        </w:rPr>
        <w:t xml:space="preserve">Las organizaciones internacionales con sede en Ginebra aunaron fuerzas mediante la celebración de reuniones por Internet para coordinar las medidas de gestión de la crisis e intercambiar información y experiencias extraídas. Como consecuencia de dichas consultas </w:t>
      </w:r>
      <w:r w:rsidR="00B272BB" w:rsidRPr="003A2471">
        <w:rPr>
          <w:rFonts w:ascii="Arial" w:hAnsi="Arial" w:cs="Arial"/>
          <w:sz w:val="22"/>
          <w:szCs w:val="22"/>
          <w:lang w:val="es-ES_tradnl"/>
        </w:rPr>
        <w:t>regulares</w:t>
      </w:r>
      <w:r w:rsidRPr="003A2471">
        <w:rPr>
          <w:rFonts w:ascii="Arial" w:hAnsi="Arial" w:cs="Arial"/>
          <w:sz w:val="22"/>
          <w:szCs w:val="22"/>
          <w:lang w:val="es-ES_tradnl"/>
        </w:rPr>
        <w:t>, se logró un alto grado de coherencia en la aplicación de medidas para gest</w:t>
      </w:r>
      <w:r w:rsidR="00461A3B" w:rsidRPr="003A2471">
        <w:rPr>
          <w:rFonts w:ascii="Arial" w:hAnsi="Arial" w:cs="Arial"/>
          <w:sz w:val="22"/>
          <w:szCs w:val="22"/>
          <w:lang w:val="es-ES_tradnl"/>
        </w:rPr>
        <w:t>ionar la crisis de manera que no</w:t>
      </w:r>
      <w:r w:rsidRPr="003A2471">
        <w:rPr>
          <w:rFonts w:ascii="Arial" w:hAnsi="Arial" w:cs="Arial"/>
          <w:sz w:val="22"/>
          <w:szCs w:val="22"/>
          <w:lang w:val="es-ES_tradnl"/>
        </w:rPr>
        <w:t xml:space="preserve"> se dej</w:t>
      </w:r>
      <w:r w:rsidR="00461A3B" w:rsidRPr="003A2471">
        <w:rPr>
          <w:rFonts w:ascii="Arial" w:hAnsi="Arial" w:cs="Arial"/>
          <w:sz w:val="22"/>
          <w:szCs w:val="22"/>
          <w:lang w:val="es-ES_tradnl"/>
        </w:rPr>
        <w:t>ara</w:t>
      </w:r>
      <w:r w:rsidRPr="003A2471">
        <w:rPr>
          <w:rFonts w:ascii="Arial" w:hAnsi="Arial" w:cs="Arial"/>
          <w:sz w:val="22"/>
          <w:szCs w:val="22"/>
          <w:lang w:val="es-ES_tradnl"/>
        </w:rPr>
        <w:t xml:space="preserve"> a nadie atrás</w:t>
      </w:r>
      <w:r w:rsidR="00431F02" w:rsidRPr="003A2471">
        <w:rPr>
          <w:rFonts w:ascii="Arial" w:hAnsi="Arial" w:cs="Arial"/>
          <w:sz w:val="22"/>
          <w:szCs w:val="22"/>
          <w:lang w:val="es-ES_tradnl"/>
        </w:rPr>
        <w:t>.</w:t>
      </w:r>
    </w:p>
    <w:p w14:paraId="2A7FB151" w14:textId="0B33CAE5" w:rsidR="00431F02" w:rsidRPr="003A2471" w:rsidRDefault="00FF42CC" w:rsidP="003A2471">
      <w:pPr>
        <w:pStyle w:val="Default"/>
        <w:numPr>
          <w:ilvl w:val="0"/>
          <w:numId w:val="7"/>
        </w:numPr>
        <w:tabs>
          <w:tab w:val="left" w:pos="0"/>
        </w:tabs>
        <w:spacing w:after="240"/>
        <w:ind w:left="0" w:firstLine="0"/>
        <w:rPr>
          <w:rFonts w:ascii="Arial" w:hAnsi="Arial" w:cs="Arial"/>
          <w:sz w:val="22"/>
          <w:szCs w:val="22"/>
          <w:lang w:val="es-ES_tradnl"/>
        </w:rPr>
      </w:pPr>
      <w:r w:rsidRPr="003A2471">
        <w:rPr>
          <w:rFonts w:ascii="Arial" w:hAnsi="Arial" w:cs="Arial"/>
          <w:sz w:val="22"/>
          <w:szCs w:val="22"/>
          <w:lang w:val="es-ES_tradnl"/>
        </w:rPr>
        <w:t>A medida que los índices de infección fueron declinando gradu</w:t>
      </w:r>
      <w:r w:rsidR="00281CD8" w:rsidRPr="003A2471">
        <w:rPr>
          <w:rFonts w:ascii="Arial" w:hAnsi="Arial" w:cs="Arial"/>
          <w:sz w:val="22"/>
          <w:szCs w:val="22"/>
          <w:lang w:val="es-ES_tradnl"/>
        </w:rPr>
        <w:t>almente en la región de Ginebra</w:t>
      </w:r>
      <w:r w:rsidRPr="003A2471">
        <w:rPr>
          <w:rFonts w:ascii="Arial" w:hAnsi="Arial" w:cs="Arial"/>
          <w:sz w:val="22"/>
          <w:szCs w:val="22"/>
          <w:lang w:val="es-ES_tradnl"/>
        </w:rPr>
        <w:t xml:space="preserve"> y el Gobierno anfitrión puso en marcha las medidas de desconfinamiento gradual, en junio de 2020 la OMPI emprendió un programa de retorno a las oficinas por etapas y planificado</w:t>
      </w:r>
      <w:r w:rsidR="00281CD8" w:rsidRPr="003A2471">
        <w:rPr>
          <w:rFonts w:ascii="Arial" w:hAnsi="Arial" w:cs="Arial"/>
          <w:sz w:val="22"/>
          <w:szCs w:val="22"/>
          <w:lang w:val="es-ES_tradnl"/>
        </w:rPr>
        <w:t xml:space="preserve"> cuidadosamente</w:t>
      </w:r>
      <w:r w:rsidRPr="003A2471">
        <w:rPr>
          <w:rFonts w:ascii="Arial" w:hAnsi="Arial" w:cs="Arial"/>
          <w:sz w:val="22"/>
          <w:szCs w:val="22"/>
          <w:lang w:val="es-ES_tradnl"/>
        </w:rPr>
        <w:t xml:space="preserve">. Los locales se prepararon para garantizar el retorno seguro del personal mediante la aplicación </w:t>
      </w:r>
      <w:r w:rsidR="00D84B5C" w:rsidRPr="003A2471">
        <w:rPr>
          <w:rFonts w:ascii="Arial" w:hAnsi="Arial" w:cs="Arial"/>
          <w:sz w:val="22"/>
          <w:szCs w:val="22"/>
          <w:lang w:val="es-ES_tradnl"/>
        </w:rPr>
        <w:t xml:space="preserve">de </w:t>
      </w:r>
      <w:r w:rsidRPr="003A2471">
        <w:rPr>
          <w:rFonts w:ascii="Arial" w:hAnsi="Arial" w:cs="Arial"/>
          <w:sz w:val="22"/>
          <w:szCs w:val="22"/>
          <w:lang w:val="es-ES_tradnl"/>
        </w:rPr>
        <w:t>medidas de distancia física y de higiene, de comunicación y de formación. Durante la etapa de transición, que finalizar</w:t>
      </w:r>
      <w:r w:rsidR="007F36E0" w:rsidRPr="003A2471">
        <w:rPr>
          <w:rFonts w:ascii="Arial" w:hAnsi="Arial" w:cs="Arial"/>
          <w:sz w:val="22"/>
          <w:szCs w:val="22"/>
          <w:lang w:val="es-ES_tradnl"/>
        </w:rPr>
        <w:t>á el 30 de septiembre de </w:t>
      </w:r>
      <w:r w:rsidR="00FE4497" w:rsidRPr="003A2471">
        <w:rPr>
          <w:rFonts w:ascii="Arial" w:hAnsi="Arial" w:cs="Arial"/>
          <w:sz w:val="22"/>
          <w:szCs w:val="22"/>
          <w:lang w:val="es-ES_tradnl"/>
        </w:rPr>
        <w:t>2020</w:t>
      </w:r>
      <w:r w:rsidRPr="003A2471">
        <w:rPr>
          <w:rFonts w:ascii="Arial" w:hAnsi="Arial" w:cs="Arial"/>
          <w:sz w:val="22"/>
          <w:szCs w:val="22"/>
          <w:lang w:val="es-ES_tradnl"/>
        </w:rPr>
        <w:t xml:space="preserve"> </w:t>
      </w:r>
      <w:r w:rsidR="00FE4497" w:rsidRPr="003A2471">
        <w:rPr>
          <w:rFonts w:ascii="Arial" w:hAnsi="Arial" w:cs="Arial"/>
          <w:sz w:val="22"/>
          <w:szCs w:val="22"/>
          <w:lang w:val="es-ES_tradnl"/>
        </w:rPr>
        <w:noBreakHyphen/>
        <w:t>suponiendo que la situación epidemiológica se haya estabilizado</w:t>
      </w:r>
      <w:r w:rsidR="00FE4497" w:rsidRPr="003A2471">
        <w:rPr>
          <w:rFonts w:ascii="Arial" w:hAnsi="Arial" w:cs="Arial"/>
          <w:sz w:val="22"/>
          <w:szCs w:val="22"/>
          <w:lang w:val="es-ES_tradnl"/>
        </w:rPr>
        <w:noBreakHyphen/>
        <w:t>, se aumentará el número de miembros del personal en los locales de la Organización hasta alcanzar un porcentaje del 60% al 70% de la plena capacidad, y el resto de</w:t>
      </w:r>
      <w:r w:rsidR="00D84B5C" w:rsidRPr="003A2471">
        <w:rPr>
          <w:rFonts w:ascii="Arial" w:hAnsi="Arial" w:cs="Arial"/>
          <w:sz w:val="22"/>
          <w:szCs w:val="22"/>
          <w:lang w:val="es-ES_tradnl"/>
        </w:rPr>
        <w:t xml:space="preserve"> miembros del personal seguirán </w:t>
      </w:r>
      <w:r w:rsidR="00FE4497" w:rsidRPr="003A2471">
        <w:rPr>
          <w:rFonts w:ascii="Arial" w:hAnsi="Arial" w:cs="Arial"/>
          <w:sz w:val="22"/>
          <w:szCs w:val="22"/>
          <w:lang w:val="es-ES_tradnl"/>
        </w:rPr>
        <w:t xml:space="preserve">trabajando a domicilio, algunos </w:t>
      </w:r>
      <w:r w:rsidR="00D84B5C" w:rsidRPr="003A2471">
        <w:rPr>
          <w:rFonts w:ascii="Arial" w:hAnsi="Arial" w:cs="Arial"/>
          <w:sz w:val="22"/>
          <w:szCs w:val="22"/>
          <w:lang w:val="es-ES_tradnl"/>
        </w:rPr>
        <w:t>de manera</w:t>
      </w:r>
      <w:r w:rsidR="00FE4497" w:rsidRPr="003A2471">
        <w:rPr>
          <w:rFonts w:ascii="Arial" w:hAnsi="Arial" w:cs="Arial"/>
          <w:sz w:val="22"/>
          <w:szCs w:val="22"/>
          <w:lang w:val="es-ES_tradnl"/>
        </w:rPr>
        <w:t xml:space="preserve"> rotatori</w:t>
      </w:r>
      <w:r w:rsidR="00D84B5C" w:rsidRPr="003A2471">
        <w:rPr>
          <w:rFonts w:ascii="Arial" w:hAnsi="Arial" w:cs="Arial"/>
          <w:sz w:val="22"/>
          <w:szCs w:val="22"/>
          <w:lang w:val="es-ES_tradnl"/>
        </w:rPr>
        <w:t>a</w:t>
      </w:r>
      <w:r w:rsidR="00431F02" w:rsidRPr="003A2471">
        <w:rPr>
          <w:rFonts w:ascii="Arial" w:hAnsi="Arial" w:cs="Arial"/>
          <w:sz w:val="22"/>
          <w:szCs w:val="22"/>
          <w:lang w:val="es-ES_tradnl"/>
        </w:rPr>
        <w:t>.</w:t>
      </w:r>
    </w:p>
    <w:p w14:paraId="5A54B3A2" w14:textId="276C9CF0" w:rsidR="00431F02" w:rsidRPr="003A2471" w:rsidRDefault="00965101" w:rsidP="003A2471">
      <w:pPr>
        <w:pStyle w:val="Default"/>
        <w:numPr>
          <w:ilvl w:val="0"/>
          <w:numId w:val="7"/>
        </w:numPr>
        <w:tabs>
          <w:tab w:val="left" w:pos="0"/>
        </w:tabs>
        <w:spacing w:after="240"/>
        <w:ind w:left="0" w:firstLine="0"/>
        <w:rPr>
          <w:rFonts w:ascii="Arial" w:hAnsi="Arial" w:cs="Arial"/>
          <w:sz w:val="22"/>
          <w:szCs w:val="22"/>
          <w:lang w:val="es-ES_tradnl"/>
        </w:rPr>
      </w:pPr>
      <w:r w:rsidRPr="003A2471">
        <w:rPr>
          <w:rFonts w:ascii="Arial" w:hAnsi="Arial" w:cs="Arial"/>
          <w:sz w:val="22"/>
          <w:szCs w:val="22"/>
          <w:lang w:val="es-ES_tradnl"/>
        </w:rPr>
        <w:t xml:space="preserve">Durante el confinamiento, se extrajeron algunas enseñanzas importantes que servirán para fundamentar los planes </w:t>
      </w:r>
      <w:r w:rsidR="00E35451" w:rsidRPr="003A2471">
        <w:rPr>
          <w:rFonts w:ascii="Arial" w:hAnsi="Arial" w:cs="Arial"/>
          <w:sz w:val="22"/>
          <w:szCs w:val="22"/>
          <w:lang w:val="es-ES_tradnl"/>
        </w:rPr>
        <w:t>de</w:t>
      </w:r>
      <w:r w:rsidRPr="003A2471">
        <w:rPr>
          <w:rFonts w:ascii="Arial" w:hAnsi="Arial" w:cs="Arial"/>
          <w:sz w:val="22"/>
          <w:szCs w:val="22"/>
          <w:lang w:val="es-ES_tradnl"/>
        </w:rPr>
        <w:t xml:space="preserve"> continuidad de las operaciones y las políticas de gestión del tiempo. Mediante una encuesta del personal efectuada en junio se supo que una gran mayoría de miembros del personal ten</w:t>
      </w:r>
      <w:r w:rsidR="008C6E17" w:rsidRPr="003A2471">
        <w:rPr>
          <w:rFonts w:ascii="Arial" w:hAnsi="Arial" w:cs="Arial"/>
          <w:sz w:val="22"/>
          <w:szCs w:val="22"/>
          <w:lang w:val="es-ES_tradnl"/>
        </w:rPr>
        <w:t>ía</w:t>
      </w:r>
      <w:r w:rsidRPr="003A2471">
        <w:rPr>
          <w:rFonts w:ascii="Arial" w:hAnsi="Arial" w:cs="Arial"/>
          <w:sz w:val="22"/>
          <w:szCs w:val="22"/>
          <w:lang w:val="es-ES_tradnl"/>
        </w:rPr>
        <w:t xml:space="preserve"> una opinión positiva del trabajo remoto</w:t>
      </w:r>
      <w:r w:rsidR="008C6E17" w:rsidRPr="003A2471">
        <w:rPr>
          <w:rFonts w:ascii="Arial" w:hAnsi="Arial" w:cs="Arial"/>
          <w:sz w:val="22"/>
          <w:szCs w:val="22"/>
          <w:lang w:val="es-ES_tradnl"/>
        </w:rPr>
        <w:t xml:space="preserve">, </w:t>
      </w:r>
      <w:r w:rsidR="00644A1B" w:rsidRPr="003A2471">
        <w:rPr>
          <w:rFonts w:ascii="Arial" w:hAnsi="Arial" w:cs="Arial"/>
          <w:sz w:val="22"/>
          <w:szCs w:val="22"/>
          <w:lang w:val="es-ES_tradnl"/>
        </w:rPr>
        <w:t>mientras que</w:t>
      </w:r>
      <w:r w:rsidR="008C6E17" w:rsidRPr="003A2471">
        <w:rPr>
          <w:rFonts w:ascii="Arial" w:hAnsi="Arial" w:cs="Arial"/>
          <w:sz w:val="22"/>
          <w:szCs w:val="22"/>
          <w:lang w:val="es-ES_tradnl"/>
        </w:rPr>
        <w:t xml:space="preserve"> una minoría señaló </w:t>
      </w:r>
      <w:r w:rsidR="00E35451" w:rsidRPr="003A2471">
        <w:rPr>
          <w:rFonts w:ascii="Arial" w:hAnsi="Arial" w:cs="Arial"/>
          <w:sz w:val="22"/>
          <w:szCs w:val="22"/>
          <w:lang w:val="es-ES_tradnl"/>
        </w:rPr>
        <w:t xml:space="preserve">haber experimentado </w:t>
      </w:r>
      <w:r w:rsidR="008C6E17" w:rsidRPr="003A2471">
        <w:rPr>
          <w:rFonts w:ascii="Arial" w:hAnsi="Arial" w:cs="Arial"/>
          <w:sz w:val="22"/>
          <w:szCs w:val="22"/>
          <w:lang w:val="es-ES_tradnl"/>
        </w:rPr>
        <w:t xml:space="preserve">dificultades. Además, una gran mayoría de miembros del personal señaló su interés por que después de la crisis sanitaria se </w:t>
      </w:r>
      <w:r w:rsidR="00E35451" w:rsidRPr="003A2471">
        <w:rPr>
          <w:rFonts w:ascii="Arial" w:hAnsi="Arial" w:cs="Arial"/>
          <w:sz w:val="22"/>
          <w:szCs w:val="22"/>
          <w:lang w:val="es-ES_tradnl"/>
        </w:rPr>
        <w:t xml:space="preserve">siguiera ofreciendo la oportunidad de efectuar remotamente parte </w:t>
      </w:r>
      <w:r w:rsidR="008C6E17" w:rsidRPr="003A2471">
        <w:rPr>
          <w:rFonts w:ascii="Arial" w:hAnsi="Arial" w:cs="Arial"/>
          <w:sz w:val="22"/>
          <w:szCs w:val="22"/>
          <w:lang w:val="es-ES_tradnl"/>
        </w:rPr>
        <w:t>del trabajo</w:t>
      </w:r>
      <w:r w:rsidR="00E35451" w:rsidRPr="003A2471">
        <w:rPr>
          <w:rFonts w:ascii="Arial" w:hAnsi="Arial" w:cs="Arial"/>
          <w:sz w:val="22"/>
          <w:szCs w:val="22"/>
          <w:lang w:val="es-ES_tradnl"/>
        </w:rPr>
        <w:t>.</w:t>
      </w:r>
      <w:r w:rsidR="008C6E17" w:rsidRPr="003A2471">
        <w:rPr>
          <w:rFonts w:ascii="Arial" w:hAnsi="Arial" w:cs="Arial"/>
          <w:sz w:val="22"/>
          <w:szCs w:val="22"/>
          <w:lang w:val="es-ES_tradnl"/>
        </w:rPr>
        <w:t xml:space="preserve"> Actualmente se está examinando la forma de integrar el trabajo remoto en la política de la Organización sobre la gestión del tiempo y las modalidades de trabajo flexibles, que se aplicarán en un futuro al margen de la situación de crisis. En dicha política se tendrán en cuenta las necesidades operativas de la Organización y las preferencias y expectativas del personal</w:t>
      </w:r>
      <w:r w:rsidR="00431F02" w:rsidRPr="003A2471">
        <w:rPr>
          <w:rFonts w:ascii="Arial" w:hAnsi="Arial" w:cs="Arial"/>
          <w:sz w:val="22"/>
          <w:szCs w:val="22"/>
          <w:lang w:val="es-ES_tradnl"/>
        </w:rPr>
        <w:t>.</w:t>
      </w:r>
    </w:p>
    <w:p w14:paraId="7FDCD700" w14:textId="23830E7B" w:rsidR="00431F02" w:rsidRPr="003A2471" w:rsidRDefault="008C6E17" w:rsidP="003A2471">
      <w:pPr>
        <w:pStyle w:val="Default"/>
        <w:numPr>
          <w:ilvl w:val="0"/>
          <w:numId w:val="7"/>
        </w:numPr>
        <w:tabs>
          <w:tab w:val="left" w:pos="0"/>
        </w:tabs>
        <w:spacing w:after="360"/>
        <w:ind w:left="0" w:firstLine="0"/>
        <w:rPr>
          <w:rFonts w:ascii="Arial" w:hAnsi="Arial" w:cs="Arial"/>
          <w:sz w:val="22"/>
          <w:szCs w:val="22"/>
          <w:lang w:val="es-ES_tradnl"/>
        </w:rPr>
      </w:pPr>
      <w:r w:rsidRPr="003A2471">
        <w:rPr>
          <w:rFonts w:ascii="Arial" w:hAnsi="Arial" w:cs="Arial"/>
          <w:sz w:val="22"/>
          <w:szCs w:val="22"/>
          <w:lang w:val="es-ES_tradnl"/>
        </w:rPr>
        <w:t>La repercusión económica de la crisis mundial generada por la COVID-19 sigue siendo motivo de preocupación y es probable que afecte a la actividad mundial de la PI y la demanda de servicios de la OMPI, que son la principal fuente de ingresos de la Organización</w:t>
      </w:r>
      <w:r w:rsidR="003A2471" w:rsidRPr="003A2471">
        <w:rPr>
          <w:rFonts w:ascii="Arial" w:hAnsi="Arial" w:cs="Arial"/>
          <w:sz w:val="22"/>
          <w:szCs w:val="22"/>
          <w:lang w:val="es-ES_tradnl"/>
        </w:rPr>
        <w:t>.</w:t>
      </w:r>
    </w:p>
    <w:p w14:paraId="6876AA4F" w14:textId="7C9CB19C" w:rsidR="00431F02" w:rsidRPr="003A2471" w:rsidRDefault="00431F02" w:rsidP="003A2471">
      <w:pPr>
        <w:pStyle w:val="Heading1"/>
        <w:keepNext w:val="0"/>
        <w:numPr>
          <w:ilvl w:val="0"/>
          <w:numId w:val="14"/>
        </w:numPr>
        <w:spacing w:before="220" w:after="240"/>
        <w:ind w:left="562" w:hanging="562"/>
        <w:rPr>
          <w:lang w:val="es-ES_tradnl"/>
        </w:rPr>
      </w:pPr>
      <w:r w:rsidRPr="003A2471">
        <w:rPr>
          <w:lang w:val="es-ES_tradnl"/>
        </w:rPr>
        <w:t>Ot</w:t>
      </w:r>
      <w:r w:rsidR="008C6E17" w:rsidRPr="003A2471">
        <w:rPr>
          <w:lang w:val="es-ES_tradnl"/>
        </w:rPr>
        <w:t>RAS CUESTIONES DE PERSONAL</w:t>
      </w:r>
    </w:p>
    <w:p w14:paraId="2B70965B" w14:textId="538611E8" w:rsidR="00431F02" w:rsidRPr="003A2471" w:rsidRDefault="008C6E17" w:rsidP="003A2471">
      <w:pPr>
        <w:pStyle w:val="Heading2"/>
        <w:keepNext w:val="0"/>
        <w:spacing w:after="240"/>
        <w:rPr>
          <w:lang w:val="es-ES_tradnl"/>
        </w:rPr>
      </w:pPr>
      <w:r w:rsidRPr="003A2471">
        <w:rPr>
          <w:lang w:val="es-ES_tradnl"/>
        </w:rPr>
        <w:t>distribución geográfica</w:t>
      </w:r>
    </w:p>
    <w:p w14:paraId="041E14F7" w14:textId="289A5D69" w:rsidR="00431F02" w:rsidRPr="003A2471" w:rsidRDefault="00492DA4" w:rsidP="003A2471">
      <w:pPr>
        <w:pStyle w:val="ListParagraph"/>
        <w:numPr>
          <w:ilvl w:val="0"/>
          <w:numId w:val="7"/>
        </w:numPr>
        <w:spacing w:after="240"/>
        <w:ind w:left="0" w:firstLine="0"/>
        <w:contextualSpacing w:val="0"/>
        <w:rPr>
          <w:rFonts w:ascii="Arial" w:hAnsi="Arial" w:cs="Arial"/>
          <w:sz w:val="22"/>
          <w:szCs w:val="22"/>
          <w:lang w:val="es-ES_tradnl"/>
        </w:rPr>
      </w:pPr>
      <w:r w:rsidRPr="003A2471">
        <w:rPr>
          <w:rFonts w:ascii="Arial" w:hAnsi="Arial" w:cs="Arial"/>
          <w:sz w:val="22"/>
          <w:szCs w:val="22"/>
          <w:lang w:val="es-ES_tradnl"/>
        </w:rPr>
        <w:t>En lo que respecta a la representación geográfica</w:t>
      </w:r>
      <w:r w:rsidR="00644A1B" w:rsidRPr="003A2471">
        <w:rPr>
          <w:rFonts w:ascii="Arial" w:hAnsi="Arial" w:cs="Arial"/>
          <w:sz w:val="22"/>
          <w:szCs w:val="22"/>
          <w:lang w:val="es-ES_tradnl"/>
        </w:rPr>
        <w:t>,</w:t>
      </w:r>
      <w:r w:rsidRPr="003A2471">
        <w:rPr>
          <w:rFonts w:ascii="Arial" w:hAnsi="Arial" w:cs="Arial"/>
          <w:sz w:val="22"/>
          <w:szCs w:val="22"/>
          <w:lang w:val="es-ES_tradnl"/>
        </w:rPr>
        <w:t xml:space="preserve"> se ha seguido avanzando gracias a una serie de medidas de divulgación mediante las cuales </w:t>
      </w:r>
      <w:r w:rsidR="00644A1B" w:rsidRPr="003A2471">
        <w:rPr>
          <w:rFonts w:ascii="Arial" w:hAnsi="Arial" w:cs="Arial"/>
          <w:sz w:val="22"/>
          <w:szCs w:val="22"/>
          <w:lang w:val="es-ES_tradnl"/>
        </w:rPr>
        <w:t>algunos</w:t>
      </w:r>
      <w:r w:rsidR="00853FEF" w:rsidRPr="003A2471">
        <w:rPr>
          <w:rFonts w:ascii="Arial" w:hAnsi="Arial" w:cs="Arial"/>
          <w:sz w:val="22"/>
          <w:szCs w:val="22"/>
          <w:lang w:val="es-ES_tradnl"/>
        </w:rPr>
        <w:t xml:space="preserve"> </w:t>
      </w:r>
      <w:r w:rsidRPr="003A2471">
        <w:rPr>
          <w:rFonts w:ascii="Arial" w:hAnsi="Arial" w:cs="Arial"/>
          <w:sz w:val="22"/>
          <w:szCs w:val="22"/>
          <w:lang w:val="es-ES_tradnl"/>
        </w:rPr>
        <w:t xml:space="preserve">Estados miembros que antes no estaban representados entre los miembros del </w:t>
      </w:r>
      <w:r w:rsidR="009E7A72" w:rsidRPr="003A2471">
        <w:rPr>
          <w:rFonts w:ascii="Arial" w:hAnsi="Arial" w:cs="Arial"/>
          <w:sz w:val="22"/>
          <w:szCs w:val="22"/>
          <w:lang w:val="es-ES_tradnl"/>
        </w:rPr>
        <w:t>personal</w:t>
      </w:r>
      <w:r w:rsidRPr="003A2471">
        <w:rPr>
          <w:rFonts w:ascii="Arial" w:hAnsi="Arial" w:cs="Arial"/>
          <w:sz w:val="22"/>
          <w:szCs w:val="22"/>
          <w:lang w:val="es-ES_tradnl"/>
        </w:rPr>
        <w:t xml:space="preserve"> ahora sí lo están</w:t>
      </w:r>
      <w:r w:rsidR="00431F02" w:rsidRPr="003A2471">
        <w:rPr>
          <w:rFonts w:ascii="Arial" w:hAnsi="Arial" w:cs="Arial"/>
          <w:sz w:val="22"/>
          <w:szCs w:val="22"/>
          <w:lang w:val="es-ES_tradnl"/>
        </w:rPr>
        <w:t>.</w:t>
      </w:r>
    </w:p>
    <w:p w14:paraId="3B50440B" w14:textId="1811D6C3" w:rsidR="00431F02" w:rsidRPr="003A2471" w:rsidRDefault="00492DA4" w:rsidP="003A2471">
      <w:pPr>
        <w:pStyle w:val="ListParagraph"/>
        <w:numPr>
          <w:ilvl w:val="0"/>
          <w:numId w:val="7"/>
        </w:numPr>
        <w:spacing w:after="360"/>
        <w:ind w:left="0" w:firstLine="0"/>
        <w:contextualSpacing w:val="0"/>
        <w:rPr>
          <w:rFonts w:ascii="Arial" w:hAnsi="Arial" w:cs="Arial"/>
          <w:sz w:val="22"/>
          <w:szCs w:val="22"/>
          <w:lang w:val="es-ES_tradnl"/>
        </w:rPr>
      </w:pPr>
      <w:r w:rsidRPr="003A2471">
        <w:rPr>
          <w:rFonts w:ascii="Arial" w:hAnsi="Arial" w:cs="Arial"/>
          <w:sz w:val="22"/>
          <w:szCs w:val="22"/>
          <w:lang w:val="es-ES_tradnl"/>
        </w:rPr>
        <w:t xml:space="preserve">Al 30 de junio de 2020, 112 Estados </w:t>
      </w:r>
      <w:r w:rsidR="00BE05FE" w:rsidRPr="003A2471">
        <w:rPr>
          <w:rFonts w:ascii="Arial" w:hAnsi="Arial" w:cs="Arial"/>
          <w:sz w:val="22"/>
          <w:szCs w:val="22"/>
          <w:lang w:val="es-ES_tradnl"/>
        </w:rPr>
        <w:t>m</w:t>
      </w:r>
      <w:r w:rsidRPr="003A2471">
        <w:rPr>
          <w:rFonts w:ascii="Arial" w:hAnsi="Arial" w:cs="Arial"/>
          <w:sz w:val="22"/>
          <w:szCs w:val="22"/>
          <w:lang w:val="es-ES_tradnl"/>
        </w:rPr>
        <w:t>iembros tenían representación en puesto</w:t>
      </w:r>
      <w:r w:rsidR="009E7A72" w:rsidRPr="003A2471">
        <w:rPr>
          <w:rFonts w:ascii="Arial" w:hAnsi="Arial" w:cs="Arial"/>
          <w:sz w:val="22"/>
          <w:szCs w:val="22"/>
          <w:lang w:val="es-ES_tradnl"/>
        </w:rPr>
        <w:t>s</w:t>
      </w:r>
      <w:r w:rsidRPr="003A2471">
        <w:rPr>
          <w:rFonts w:ascii="Arial" w:hAnsi="Arial" w:cs="Arial"/>
          <w:sz w:val="22"/>
          <w:szCs w:val="22"/>
          <w:lang w:val="es-ES_tradnl"/>
        </w:rPr>
        <w:t xml:space="preserve"> sujetos a los principios de distribución geográfica</w:t>
      </w:r>
      <w:r w:rsidR="00431F02" w:rsidRPr="003A2471">
        <w:rPr>
          <w:rStyle w:val="FootnoteReference"/>
          <w:rFonts w:ascii="Arial" w:hAnsi="Arial" w:cs="Arial"/>
          <w:sz w:val="22"/>
          <w:szCs w:val="22"/>
          <w:lang w:val="es-ES_tradnl"/>
        </w:rPr>
        <w:footnoteReference w:id="12"/>
      </w:r>
      <w:r w:rsidR="00431F02" w:rsidRPr="003A2471">
        <w:rPr>
          <w:rFonts w:ascii="Arial" w:hAnsi="Arial" w:cs="Arial"/>
          <w:sz w:val="22"/>
          <w:szCs w:val="22"/>
          <w:lang w:val="es-ES_tradnl"/>
        </w:rPr>
        <w:t xml:space="preserve">, </w:t>
      </w:r>
      <w:r w:rsidRPr="003A2471">
        <w:rPr>
          <w:rFonts w:ascii="Arial" w:hAnsi="Arial" w:cs="Arial"/>
          <w:sz w:val="22"/>
          <w:szCs w:val="22"/>
          <w:lang w:val="es-ES_tradnl"/>
        </w:rPr>
        <w:t>frente a</w:t>
      </w:r>
      <w:r w:rsidR="009E7A72" w:rsidRPr="003A2471">
        <w:rPr>
          <w:rFonts w:ascii="Arial" w:hAnsi="Arial" w:cs="Arial"/>
          <w:sz w:val="22"/>
          <w:szCs w:val="22"/>
          <w:lang w:val="es-ES_tradnl"/>
        </w:rPr>
        <w:t xml:space="preserve"> los</w:t>
      </w:r>
      <w:r w:rsidRPr="003A2471">
        <w:rPr>
          <w:rFonts w:ascii="Arial" w:hAnsi="Arial" w:cs="Arial"/>
          <w:sz w:val="22"/>
          <w:szCs w:val="22"/>
          <w:lang w:val="es-ES_tradnl"/>
        </w:rPr>
        <w:t xml:space="preserve"> </w:t>
      </w:r>
      <w:r w:rsidR="00431F02" w:rsidRPr="003A2471">
        <w:rPr>
          <w:rFonts w:ascii="Arial" w:hAnsi="Arial" w:cs="Arial"/>
          <w:sz w:val="22"/>
          <w:szCs w:val="22"/>
          <w:lang w:val="es-ES_tradnl"/>
        </w:rPr>
        <w:t xml:space="preserve">108 </w:t>
      </w:r>
      <w:r w:rsidR="009E7A72" w:rsidRPr="003A2471">
        <w:rPr>
          <w:rFonts w:ascii="Arial" w:hAnsi="Arial" w:cs="Arial"/>
          <w:sz w:val="22"/>
          <w:szCs w:val="22"/>
          <w:lang w:val="es-ES_tradnl"/>
        </w:rPr>
        <w:t>de</w:t>
      </w:r>
      <w:r w:rsidR="00431F02" w:rsidRPr="003A2471">
        <w:rPr>
          <w:rFonts w:ascii="Arial" w:hAnsi="Arial" w:cs="Arial"/>
          <w:sz w:val="22"/>
          <w:szCs w:val="22"/>
          <w:lang w:val="es-ES_tradnl"/>
        </w:rPr>
        <w:t xml:space="preserve"> 2018.</w:t>
      </w:r>
      <w:r w:rsidRPr="003A2471">
        <w:rPr>
          <w:rFonts w:ascii="Arial" w:hAnsi="Arial" w:cs="Arial"/>
          <w:sz w:val="22"/>
          <w:szCs w:val="22"/>
          <w:lang w:val="es-ES_tradnl"/>
        </w:rPr>
        <w:t xml:space="preserve"> </w:t>
      </w:r>
      <w:r w:rsidR="00BE05FE" w:rsidRPr="003A2471">
        <w:rPr>
          <w:rFonts w:ascii="Arial" w:hAnsi="Arial" w:cs="Arial"/>
          <w:sz w:val="22"/>
          <w:szCs w:val="22"/>
          <w:lang w:val="es-ES_tradnl"/>
        </w:rPr>
        <w:t xml:space="preserve">Desde una perspectiva </w:t>
      </w:r>
      <w:r w:rsidR="009E7A72" w:rsidRPr="003A2471">
        <w:rPr>
          <w:rFonts w:ascii="Arial" w:hAnsi="Arial" w:cs="Arial"/>
          <w:sz w:val="22"/>
          <w:szCs w:val="22"/>
          <w:lang w:val="es-ES_tradnl"/>
        </w:rPr>
        <w:t xml:space="preserve">global de la </w:t>
      </w:r>
      <w:r w:rsidR="00BE05FE" w:rsidRPr="003A2471">
        <w:rPr>
          <w:rFonts w:ascii="Arial" w:hAnsi="Arial" w:cs="Arial"/>
          <w:sz w:val="22"/>
          <w:szCs w:val="22"/>
          <w:lang w:val="es-ES_tradnl"/>
        </w:rPr>
        <w:t>diversidad, actualmente 122 Estados miembros están representados en todos los niveles y categorías del personal</w:t>
      </w:r>
      <w:r w:rsidR="00431F02" w:rsidRPr="003A2471">
        <w:rPr>
          <w:rFonts w:ascii="Arial" w:hAnsi="Arial" w:cs="Arial"/>
          <w:sz w:val="22"/>
          <w:szCs w:val="22"/>
          <w:lang w:val="es-ES_tradnl"/>
        </w:rPr>
        <w:t>.</w:t>
      </w:r>
    </w:p>
    <w:p w14:paraId="114F218E" w14:textId="4EDE35B5" w:rsidR="00431F02" w:rsidRPr="003A2471" w:rsidRDefault="008C6E17" w:rsidP="003A2471">
      <w:pPr>
        <w:pStyle w:val="Heading2"/>
        <w:keepNext w:val="0"/>
        <w:spacing w:after="240"/>
        <w:rPr>
          <w:lang w:val="es-ES_tradnl"/>
        </w:rPr>
      </w:pPr>
      <w:r w:rsidRPr="003A2471">
        <w:rPr>
          <w:szCs w:val="22"/>
          <w:lang w:val="es-ES_tradnl"/>
        </w:rPr>
        <w:t xml:space="preserve">contratación y </w:t>
      </w:r>
      <w:r w:rsidR="00A07120" w:rsidRPr="003A2471">
        <w:rPr>
          <w:szCs w:val="22"/>
          <w:lang w:val="es-ES_tradnl"/>
        </w:rPr>
        <w:t>campañas</w:t>
      </w:r>
      <w:r w:rsidR="00A07120" w:rsidRPr="003A2471">
        <w:rPr>
          <w:lang w:val="es-ES_tradnl"/>
        </w:rPr>
        <w:t xml:space="preserve"> de divulgación</w:t>
      </w:r>
    </w:p>
    <w:p w14:paraId="25D65094" w14:textId="68AAFFA5" w:rsidR="00431F02" w:rsidRPr="003A2471" w:rsidRDefault="00A07120" w:rsidP="003A2471">
      <w:pPr>
        <w:pStyle w:val="ListParagraph"/>
        <w:numPr>
          <w:ilvl w:val="0"/>
          <w:numId w:val="7"/>
        </w:numPr>
        <w:spacing w:after="240"/>
        <w:ind w:left="0" w:firstLine="0"/>
        <w:contextualSpacing w:val="0"/>
        <w:rPr>
          <w:rFonts w:ascii="Arial" w:hAnsi="Arial" w:cs="Arial"/>
          <w:sz w:val="22"/>
          <w:szCs w:val="22"/>
          <w:lang w:val="es-ES_tradnl"/>
        </w:rPr>
      </w:pPr>
      <w:r w:rsidRPr="003A2471">
        <w:rPr>
          <w:rFonts w:ascii="Arial" w:hAnsi="Arial" w:cs="Arial"/>
          <w:sz w:val="22"/>
          <w:szCs w:val="22"/>
          <w:lang w:val="es-ES_tradnl"/>
        </w:rPr>
        <w:t xml:space="preserve">La OMPI sigue incorporando la diversidad </w:t>
      </w:r>
      <w:r w:rsidR="009E7A72" w:rsidRPr="003A2471">
        <w:rPr>
          <w:rFonts w:ascii="Arial" w:hAnsi="Arial" w:cs="Arial"/>
          <w:sz w:val="22"/>
          <w:szCs w:val="22"/>
          <w:lang w:val="es-ES_tradnl"/>
        </w:rPr>
        <w:t xml:space="preserve">en cuanto </w:t>
      </w:r>
      <w:r w:rsidRPr="003A2471">
        <w:rPr>
          <w:rFonts w:ascii="Arial" w:hAnsi="Arial" w:cs="Arial"/>
          <w:sz w:val="22"/>
          <w:szCs w:val="22"/>
          <w:lang w:val="es-ES_tradnl"/>
        </w:rPr>
        <w:t xml:space="preserve">componente fundamental de sus labores de contratación, reconociendo que la diversidad es un motor de la innovación. </w:t>
      </w:r>
      <w:r w:rsidR="009E7A72" w:rsidRPr="003A2471">
        <w:rPr>
          <w:rFonts w:ascii="Arial" w:hAnsi="Arial" w:cs="Arial"/>
          <w:sz w:val="22"/>
          <w:szCs w:val="22"/>
          <w:lang w:val="es-ES_tradnl"/>
        </w:rPr>
        <w:t>La atención que se presta a</w:t>
      </w:r>
      <w:r w:rsidRPr="003A2471">
        <w:rPr>
          <w:rFonts w:ascii="Arial" w:hAnsi="Arial" w:cs="Arial"/>
          <w:sz w:val="22"/>
          <w:szCs w:val="22"/>
          <w:lang w:val="es-ES_tradnl"/>
        </w:rPr>
        <w:t xml:space="preserve"> las actividades de divulgación</w:t>
      </w:r>
      <w:r w:rsidR="009E7A72" w:rsidRPr="003A2471">
        <w:rPr>
          <w:rFonts w:ascii="Arial" w:hAnsi="Arial" w:cs="Arial"/>
          <w:sz w:val="22"/>
          <w:szCs w:val="22"/>
          <w:lang w:val="es-ES_tradnl"/>
        </w:rPr>
        <w:t xml:space="preserve"> ha cobrado impulso</w:t>
      </w:r>
      <w:r w:rsidRPr="003A2471">
        <w:rPr>
          <w:rFonts w:ascii="Arial" w:hAnsi="Arial" w:cs="Arial"/>
          <w:sz w:val="22"/>
          <w:szCs w:val="22"/>
          <w:lang w:val="es-ES_tradnl"/>
        </w:rPr>
        <w:t xml:space="preserve"> gracias al efecto multiplicador de las redes sociales que se utilizan para emprender campañas específicas para cubrir </w:t>
      </w:r>
      <w:r w:rsidR="009E7A72" w:rsidRPr="003A2471">
        <w:rPr>
          <w:rFonts w:ascii="Arial" w:hAnsi="Arial" w:cs="Arial"/>
          <w:sz w:val="22"/>
          <w:szCs w:val="22"/>
          <w:lang w:val="es-ES_tradnl"/>
        </w:rPr>
        <w:t>puestos</w:t>
      </w:r>
      <w:r w:rsidRPr="003A2471">
        <w:rPr>
          <w:rFonts w:ascii="Arial" w:hAnsi="Arial" w:cs="Arial"/>
          <w:sz w:val="22"/>
          <w:szCs w:val="22"/>
          <w:lang w:val="es-ES_tradnl"/>
        </w:rPr>
        <w:t xml:space="preserve"> superiores y especializados, de manera que se asegur</w:t>
      </w:r>
      <w:r w:rsidR="009E7A72" w:rsidRPr="003A2471">
        <w:rPr>
          <w:rFonts w:ascii="Arial" w:hAnsi="Arial" w:cs="Arial"/>
          <w:sz w:val="22"/>
          <w:szCs w:val="22"/>
          <w:lang w:val="es-ES_tradnl"/>
        </w:rPr>
        <w:t>e</w:t>
      </w:r>
      <w:r w:rsidRPr="003A2471">
        <w:rPr>
          <w:rFonts w:ascii="Arial" w:hAnsi="Arial" w:cs="Arial"/>
          <w:sz w:val="22"/>
          <w:szCs w:val="22"/>
          <w:lang w:val="es-ES_tradnl"/>
        </w:rPr>
        <w:t xml:space="preserve"> una amplia divulgación de las oportunidades de empleo en la OMPI entre profesionales de todo el mundo. </w:t>
      </w:r>
      <w:r w:rsidR="00266D1F" w:rsidRPr="003A2471">
        <w:rPr>
          <w:rFonts w:ascii="Arial" w:hAnsi="Arial" w:cs="Arial"/>
          <w:sz w:val="22"/>
          <w:szCs w:val="22"/>
          <w:lang w:val="es-ES_tradnl"/>
        </w:rPr>
        <w:t>Gracias a ello, en 2019 las bolsas de solicitantes de empleo experimentaron un incremento del 26% de promedio por vacante con respecto al año anterior</w:t>
      </w:r>
      <w:r w:rsidR="00431F02" w:rsidRPr="003A2471">
        <w:rPr>
          <w:rFonts w:ascii="Arial" w:hAnsi="Arial" w:cs="Arial"/>
          <w:sz w:val="22"/>
          <w:szCs w:val="22"/>
          <w:lang w:val="es-ES_tradnl"/>
        </w:rPr>
        <w:t>.</w:t>
      </w:r>
    </w:p>
    <w:p w14:paraId="444B7460" w14:textId="409D6233" w:rsidR="00431F02" w:rsidRPr="003A2471" w:rsidRDefault="0093354C" w:rsidP="003A2471">
      <w:pPr>
        <w:pStyle w:val="ListParagraph"/>
        <w:numPr>
          <w:ilvl w:val="0"/>
          <w:numId w:val="7"/>
        </w:numPr>
        <w:spacing w:after="240"/>
        <w:ind w:left="0" w:firstLine="0"/>
        <w:contextualSpacing w:val="0"/>
        <w:rPr>
          <w:rFonts w:ascii="Arial" w:hAnsi="Arial" w:cs="Arial"/>
          <w:sz w:val="22"/>
          <w:szCs w:val="22"/>
          <w:lang w:val="es-ES_tradnl"/>
        </w:rPr>
      </w:pPr>
      <w:r w:rsidRPr="003A2471">
        <w:rPr>
          <w:rFonts w:ascii="Arial" w:hAnsi="Arial" w:cs="Arial"/>
          <w:sz w:val="22"/>
          <w:szCs w:val="22"/>
          <w:lang w:val="es-ES_tradnl"/>
        </w:rPr>
        <w:t xml:space="preserve">La determinación de una bolsa diversa de candidatos cualificados para todos los puestos, y en particular, para los que requieren unas competencias muy especializadas </w:t>
      </w:r>
      <w:r w:rsidR="00E12626" w:rsidRPr="003A2471">
        <w:rPr>
          <w:rFonts w:ascii="Arial" w:hAnsi="Arial" w:cs="Arial"/>
          <w:sz w:val="22"/>
          <w:szCs w:val="22"/>
          <w:lang w:val="es-ES_tradnl"/>
        </w:rPr>
        <w:t xml:space="preserve">y demandadas con un alto nivel de competencia, principalmente en el ámbito de la TI, plantea dificultades específicas, no solo para la OMPI. </w:t>
      </w:r>
      <w:r w:rsidR="007D012E" w:rsidRPr="003A2471">
        <w:rPr>
          <w:rFonts w:ascii="Arial" w:hAnsi="Arial" w:cs="Arial"/>
          <w:sz w:val="22"/>
          <w:szCs w:val="22"/>
          <w:lang w:val="es-ES_tradnl"/>
        </w:rPr>
        <w:t>Gracias</w:t>
      </w:r>
      <w:r w:rsidR="00C97078" w:rsidRPr="003A2471">
        <w:rPr>
          <w:rFonts w:ascii="Arial" w:hAnsi="Arial" w:cs="Arial"/>
          <w:sz w:val="22"/>
          <w:szCs w:val="22"/>
          <w:lang w:val="es-ES_tradnl"/>
        </w:rPr>
        <w:t xml:space="preserve"> a</w:t>
      </w:r>
      <w:r w:rsidR="00E12626" w:rsidRPr="003A2471">
        <w:rPr>
          <w:rFonts w:ascii="Arial" w:hAnsi="Arial" w:cs="Arial"/>
          <w:sz w:val="22"/>
          <w:szCs w:val="22"/>
          <w:lang w:val="es-ES_tradnl"/>
        </w:rPr>
        <w:t xml:space="preserve"> la introducción en 2019 de un programa de difusión sistemática de vacantes difíciles de cubrir, se convocaron 30 puestos en Linkedln y Facebook, además de recurrir a la localización directa para contactar a candidatos pasivos, </w:t>
      </w:r>
      <w:r w:rsidR="007D012E" w:rsidRPr="003A2471">
        <w:rPr>
          <w:rFonts w:ascii="Arial" w:hAnsi="Arial" w:cs="Arial"/>
          <w:sz w:val="22"/>
          <w:szCs w:val="22"/>
          <w:lang w:val="es-ES_tradnl"/>
        </w:rPr>
        <w:t>prestando</w:t>
      </w:r>
      <w:r w:rsidR="00E12626" w:rsidRPr="003A2471">
        <w:rPr>
          <w:rFonts w:ascii="Arial" w:hAnsi="Arial" w:cs="Arial"/>
          <w:sz w:val="22"/>
          <w:szCs w:val="22"/>
          <w:lang w:val="es-ES_tradnl"/>
        </w:rPr>
        <w:t xml:space="preserve"> especial atención </w:t>
      </w:r>
      <w:r w:rsidR="007D012E" w:rsidRPr="003A2471">
        <w:rPr>
          <w:rFonts w:ascii="Arial" w:hAnsi="Arial" w:cs="Arial"/>
          <w:sz w:val="22"/>
          <w:szCs w:val="22"/>
          <w:lang w:val="es-ES_tradnl"/>
        </w:rPr>
        <w:t xml:space="preserve">a </w:t>
      </w:r>
      <w:r w:rsidR="00E12626" w:rsidRPr="003A2471">
        <w:rPr>
          <w:rFonts w:ascii="Arial" w:hAnsi="Arial" w:cs="Arial"/>
          <w:sz w:val="22"/>
          <w:szCs w:val="22"/>
          <w:lang w:val="es-ES_tradnl"/>
        </w:rPr>
        <w:t>mujeres candidatas para puestos superiores</w:t>
      </w:r>
      <w:r w:rsidR="00431F02" w:rsidRPr="003A2471">
        <w:rPr>
          <w:rFonts w:ascii="Arial" w:hAnsi="Arial" w:cs="Arial"/>
          <w:sz w:val="22"/>
          <w:szCs w:val="22"/>
          <w:lang w:val="es-ES_tradnl"/>
        </w:rPr>
        <w:t>.</w:t>
      </w:r>
    </w:p>
    <w:p w14:paraId="5D13D274" w14:textId="767C9155" w:rsidR="003A2471" w:rsidRPr="003A2471" w:rsidRDefault="00D35948" w:rsidP="003A2471">
      <w:pPr>
        <w:pStyle w:val="ListParagraph"/>
        <w:numPr>
          <w:ilvl w:val="0"/>
          <w:numId w:val="7"/>
        </w:numPr>
        <w:spacing w:after="240"/>
        <w:ind w:left="0" w:firstLine="0"/>
        <w:contextualSpacing w:val="0"/>
        <w:rPr>
          <w:rFonts w:ascii="Arial" w:hAnsi="Arial" w:cs="Arial"/>
          <w:sz w:val="22"/>
          <w:szCs w:val="22"/>
          <w:lang w:val="es-ES_tradnl"/>
        </w:rPr>
      </w:pPr>
      <w:r w:rsidRPr="003A2471">
        <w:rPr>
          <w:rFonts w:ascii="Arial" w:hAnsi="Arial" w:cs="Arial"/>
          <w:sz w:val="22"/>
          <w:szCs w:val="22"/>
          <w:lang w:val="es-ES_tradnl"/>
        </w:rPr>
        <w:t xml:space="preserve">En lo que respecta a las selecciones, como se observa en el siguiente cuadro, en el bienio 2018-2019 se duplicó el número de mujeres seleccionadas a puestos de grado </w:t>
      </w:r>
      <w:r w:rsidR="00431F02" w:rsidRPr="003A2471">
        <w:rPr>
          <w:rFonts w:ascii="Arial" w:hAnsi="Arial" w:cs="Arial"/>
          <w:sz w:val="22"/>
          <w:szCs w:val="22"/>
          <w:lang w:val="es-ES_tradnl"/>
        </w:rPr>
        <w:t xml:space="preserve">P4 </w:t>
      </w:r>
      <w:r w:rsidRPr="003A2471">
        <w:rPr>
          <w:rFonts w:ascii="Arial" w:hAnsi="Arial" w:cs="Arial"/>
          <w:sz w:val="22"/>
          <w:szCs w:val="22"/>
          <w:lang w:val="es-ES_tradnl"/>
        </w:rPr>
        <w:t>a</w:t>
      </w:r>
      <w:r w:rsidR="00431F02" w:rsidRPr="003A2471">
        <w:rPr>
          <w:rFonts w:ascii="Arial" w:hAnsi="Arial" w:cs="Arial"/>
          <w:sz w:val="22"/>
          <w:szCs w:val="22"/>
          <w:lang w:val="es-ES_tradnl"/>
        </w:rPr>
        <w:t xml:space="preserve"> D2, </w:t>
      </w:r>
      <w:r w:rsidRPr="003A2471">
        <w:rPr>
          <w:rFonts w:ascii="Arial" w:hAnsi="Arial" w:cs="Arial"/>
          <w:sz w:val="22"/>
          <w:szCs w:val="22"/>
          <w:lang w:val="es-ES_tradnl"/>
        </w:rPr>
        <w:t>con</w:t>
      </w:r>
      <w:r w:rsidR="00431F02" w:rsidRPr="003A2471">
        <w:rPr>
          <w:rFonts w:ascii="Arial" w:hAnsi="Arial" w:cs="Arial"/>
          <w:sz w:val="22"/>
          <w:szCs w:val="22"/>
          <w:lang w:val="es-ES_tradnl"/>
        </w:rPr>
        <w:t xml:space="preserve"> 34 </w:t>
      </w:r>
      <w:r w:rsidRPr="003A2471">
        <w:rPr>
          <w:rFonts w:ascii="Arial" w:hAnsi="Arial" w:cs="Arial"/>
          <w:sz w:val="22"/>
          <w:szCs w:val="22"/>
          <w:lang w:val="es-ES_tradnl"/>
        </w:rPr>
        <w:t>mujeres nombradas a puestos</w:t>
      </w:r>
      <w:r w:rsidR="00F05487" w:rsidRPr="003A2471">
        <w:rPr>
          <w:rFonts w:ascii="Arial" w:hAnsi="Arial" w:cs="Arial"/>
          <w:sz w:val="22"/>
          <w:szCs w:val="22"/>
          <w:lang w:val="es-ES_tradnl"/>
        </w:rPr>
        <w:t xml:space="preserve"> (42,5%)</w:t>
      </w:r>
      <w:r w:rsidRPr="003A2471">
        <w:rPr>
          <w:rFonts w:ascii="Arial" w:hAnsi="Arial" w:cs="Arial"/>
          <w:sz w:val="22"/>
          <w:szCs w:val="22"/>
          <w:lang w:val="es-ES_tradnl"/>
        </w:rPr>
        <w:t xml:space="preserve">, frente a </w:t>
      </w:r>
      <w:r w:rsidR="00431F02" w:rsidRPr="003A2471">
        <w:rPr>
          <w:rFonts w:ascii="Arial" w:hAnsi="Arial" w:cs="Arial"/>
          <w:sz w:val="22"/>
          <w:szCs w:val="22"/>
          <w:lang w:val="es-ES_tradnl"/>
        </w:rPr>
        <w:t xml:space="preserve">17 </w:t>
      </w:r>
      <w:r w:rsidRPr="003A2471">
        <w:rPr>
          <w:rFonts w:ascii="Arial" w:hAnsi="Arial" w:cs="Arial"/>
          <w:sz w:val="22"/>
          <w:szCs w:val="22"/>
          <w:lang w:val="es-ES_tradnl"/>
        </w:rPr>
        <w:t>mujeres</w:t>
      </w:r>
      <w:r w:rsidR="00431F02" w:rsidRPr="003A2471">
        <w:rPr>
          <w:rFonts w:ascii="Arial" w:hAnsi="Arial" w:cs="Arial"/>
          <w:sz w:val="22"/>
          <w:szCs w:val="22"/>
          <w:lang w:val="es-ES_tradnl"/>
        </w:rPr>
        <w:t xml:space="preserve"> </w:t>
      </w:r>
      <w:r w:rsidRPr="003A2471">
        <w:rPr>
          <w:rFonts w:ascii="Arial" w:hAnsi="Arial" w:cs="Arial"/>
          <w:sz w:val="22"/>
          <w:szCs w:val="22"/>
          <w:lang w:val="es-ES_tradnl"/>
        </w:rPr>
        <w:t>nombradas a puestos</w:t>
      </w:r>
      <w:r w:rsidR="00F05487" w:rsidRPr="003A2471">
        <w:rPr>
          <w:rFonts w:ascii="Arial" w:hAnsi="Arial" w:cs="Arial"/>
          <w:sz w:val="22"/>
          <w:szCs w:val="22"/>
          <w:lang w:val="es-ES_tradnl"/>
        </w:rPr>
        <w:t xml:space="preserve"> </w:t>
      </w:r>
      <w:r w:rsidRPr="003A2471">
        <w:rPr>
          <w:rFonts w:ascii="Arial" w:hAnsi="Arial" w:cs="Arial"/>
          <w:sz w:val="22"/>
          <w:szCs w:val="22"/>
          <w:lang w:val="es-ES_tradnl"/>
        </w:rPr>
        <w:t>en</w:t>
      </w:r>
      <w:r w:rsidR="00C97078" w:rsidRPr="003A2471">
        <w:rPr>
          <w:rFonts w:ascii="Arial" w:hAnsi="Arial" w:cs="Arial"/>
          <w:sz w:val="22"/>
          <w:szCs w:val="22"/>
          <w:lang w:val="es-ES_tradnl"/>
        </w:rPr>
        <w:t> </w:t>
      </w:r>
      <w:r w:rsidR="003F5597" w:rsidRPr="003A2471">
        <w:rPr>
          <w:rFonts w:ascii="Arial" w:hAnsi="Arial" w:cs="Arial"/>
          <w:sz w:val="22"/>
          <w:szCs w:val="22"/>
          <w:lang w:val="es-ES_tradnl"/>
        </w:rPr>
        <w:t>2016-2017</w:t>
      </w:r>
      <w:r w:rsidR="00F05487" w:rsidRPr="003A2471">
        <w:rPr>
          <w:rFonts w:ascii="Arial" w:hAnsi="Arial" w:cs="Arial"/>
          <w:sz w:val="22"/>
          <w:szCs w:val="22"/>
          <w:lang w:val="es-ES_tradnl"/>
        </w:rPr>
        <w:t xml:space="preserve"> (34%)</w:t>
      </w:r>
      <w:r w:rsidR="003F5597" w:rsidRPr="003A2471">
        <w:rPr>
          <w:rFonts w:ascii="Arial" w:hAnsi="Arial" w:cs="Arial"/>
          <w:sz w:val="22"/>
          <w:szCs w:val="22"/>
          <w:lang w:val="es-ES_tradnl"/>
        </w:rPr>
        <w:t xml:space="preserve">. </w:t>
      </w:r>
      <w:r w:rsidRPr="003A2471">
        <w:rPr>
          <w:rFonts w:ascii="Arial" w:hAnsi="Arial" w:cs="Arial"/>
          <w:sz w:val="22"/>
          <w:szCs w:val="22"/>
          <w:lang w:val="es-ES_tradnl"/>
        </w:rPr>
        <w:t>Si bien en el plano individual sigue habiendo diferencias, las mejoras en los grados</w:t>
      </w:r>
      <w:r w:rsidR="00431F02" w:rsidRPr="003A2471">
        <w:rPr>
          <w:rFonts w:ascii="Arial" w:hAnsi="Arial" w:cs="Arial"/>
          <w:sz w:val="22"/>
          <w:szCs w:val="22"/>
          <w:lang w:val="es-ES_tradnl"/>
        </w:rPr>
        <w:t xml:space="preserve"> P4</w:t>
      </w:r>
      <w:r w:rsidRPr="003A2471">
        <w:rPr>
          <w:rFonts w:ascii="Arial" w:hAnsi="Arial" w:cs="Arial"/>
          <w:sz w:val="22"/>
          <w:szCs w:val="22"/>
          <w:lang w:val="es-ES_tradnl"/>
        </w:rPr>
        <w:t xml:space="preserve"> y </w:t>
      </w:r>
      <w:r w:rsidR="00431F02" w:rsidRPr="003A2471">
        <w:rPr>
          <w:rFonts w:ascii="Arial" w:hAnsi="Arial" w:cs="Arial"/>
          <w:sz w:val="22"/>
          <w:szCs w:val="22"/>
          <w:lang w:val="es-ES_tradnl"/>
        </w:rPr>
        <w:t>P5</w:t>
      </w:r>
      <w:r w:rsidRPr="003A2471">
        <w:rPr>
          <w:rFonts w:ascii="Arial" w:hAnsi="Arial" w:cs="Arial"/>
          <w:sz w:val="22"/>
          <w:szCs w:val="22"/>
          <w:lang w:val="es-ES_tradnl"/>
        </w:rPr>
        <w:t xml:space="preserve"> son alentadoras</w:t>
      </w:r>
      <w:r w:rsidR="00431F02" w:rsidRPr="003A2471">
        <w:rPr>
          <w:rFonts w:ascii="Arial" w:hAnsi="Arial" w:cs="Arial"/>
          <w:sz w:val="22"/>
          <w:szCs w:val="22"/>
          <w:lang w:val="es-ES_tradnl"/>
        </w:rPr>
        <w:t>.</w:t>
      </w:r>
    </w:p>
    <w:p w14:paraId="23E053FB" w14:textId="77777777" w:rsidR="003A2471" w:rsidRPr="003A2471" w:rsidRDefault="003A2471" w:rsidP="003A2471">
      <w:pPr>
        <w:rPr>
          <w:rFonts w:eastAsia="Times New Roman"/>
          <w:szCs w:val="22"/>
          <w:lang w:val="es-ES_tradnl" w:eastAsia="en-US"/>
        </w:rPr>
      </w:pPr>
      <w:r w:rsidRPr="003A2471">
        <w:rPr>
          <w:szCs w:val="22"/>
          <w:lang w:val="es-ES_tradnl"/>
        </w:rPr>
        <w:br w:type="page"/>
      </w:r>
    </w:p>
    <w:tbl>
      <w:tblPr>
        <w:tblStyle w:val="TableGrid"/>
        <w:tblW w:w="0" w:type="auto"/>
        <w:tblLook w:val="04A0" w:firstRow="1" w:lastRow="0" w:firstColumn="1" w:lastColumn="0" w:noHBand="0" w:noVBand="1"/>
        <w:tblCaption w:val="Cuadro"/>
        <w:tblDescription w:val="Este cuadro abarca las selecciones, el número de mujeres seleccionadas para puestos de las categorías P4 a D2 se duplicó en el bienio 2018-2019, con 34 mujeres (o el 42,5%) nombradas en comparación con 17 mujeres (o el 34,7%) nombradas en 2016-2017."/>
      </w:tblPr>
      <w:tblGrid>
        <w:gridCol w:w="1095"/>
        <w:gridCol w:w="1561"/>
        <w:gridCol w:w="1561"/>
        <w:gridCol w:w="1095"/>
        <w:gridCol w:w="1561"/>
        <w:gridCol w:w="1095"/>
        <w:gridCol w:w="1095"/>
      </w:tblGrid>
      <w:tr w:rsidR="00431F02" w:rsidRPr="003A2471" w14:paraId="392651DE" w14:textId="77777777" w:rsidTr="001A212F">
        <w:trPr>
          <w:trHeight w:val="256"/>
          <w:tblHeader/>
        </w:trPr>
        <w:tc>
          <w:tcPr>
            <w:tcW w:w="1095" w:type="dxa"/>
            <w:tcBorders>
              <w:top w:val="nil"/>
              <w:left w:val="nil"/>
              <w:bottom w:val="single" w:sz="4" w:space="0" w:color="auto"/>
            </w:tcBorders>
            <w:vAlign w:val="center"/>
          </w:tcPr>
          <w:p w14:paraId="5B71E757" w14:textId="77777777" w:rsidR="00431F02" w:rsidRPr="003A2471" w:rsidRDefault="00431F02" w:rsidP="003A2471">
            <w:pPr>
              <w:widowControl/>
              <w:spacing w:after="240"/>
              <w:jc w:val="center"/>
              <w:rPr>
                <w:lang w:val="es-ES_tradnl"/>
              </w:rPr>
            </w:pPr>
          </w:p>
        </w:tc>
        <w:tc>
          <w:tcPr>
            <w:tcW w:w="4217" w:type="dxa"/>
            <w:gridSpan w:val="3"/>
            <w:tcBorders>
              <w:bottom w:val="single" w:sz="4" w:space="0" w:color="auto"/>
            </w:tcBorders>
            <w:vAlign w:val="center"/>
          </w:tcPr>
          <w:p w14:paraId="3BC4D02B" w14:textId="0E6D6F96" w:rsidR="00431F02" w:rsidRPr="003A2471" w:rsidRDefault="00FF6DAF" w:rsidP="003A2471">
            <w:pPr>
              <w:widowControl/>
              <w:spacing w:after="240"/>
              <w:jc w:val="center"/>
              <w:rPr>
                <w:lang w:val="es-ES_tradnl"/>
              </w:rPr>
            </w:pPr>
            <w:r w:rsidRPr="003A2471">
              <w:rPr>
                <w:b/>
                <w:bCs/>
                <w:color w:val="000000"/>
                <w:sz w:val="20"/>
                <w:lang w:val="es-ES_tradnl"/>
              </w:rPr>
              <w:t>Nombramientos</w:t>
            </w:r>
            <w:r w:rsidR="00431F02" w:rsidRPr="003A2471">
              <w:rPr>
                <w:b/>
                <w:bCs/>
                <w:color w:val="000000"/>
                <w:sz w:val="20"/>
                <w:lang w:val="es-ES_tradnl"/>
              </w:rPr>
              <w:t xml:space="preserve"> 2018-2019</w:t>
            </w:r>
          </w:p>
        </w:tc>
        <w:tc>
          <w:tcPr>
            <w:tcW w:w="3751" w:type="dxa"/>
            <w:gridSpan w:val="3"/>
            <w:tcBorders>
              <w:bottom w:val="single" w:sz="4" w:space="0" w:color="auto"/>
            </w:tcBorders>
            <w:vAlign w:val="center"/>
          </w:tcPr>
          <w:p w14:paraId="0872DA1D" w14:textId="321D9C4C" w:rsidR="00431F02" w:rsidRPr="003A2471" w:rsidRDefault="00FF6DAF" w:rsidP="003A2471">
            <w:pPr>
              <w:widowControl/>
              <w:spacing w:after="240"/>
              <w:jc w:val="center"/>
              <w:rPr>
                <w:lang w:val="es-ES_tradnl"/>
              </w:rPr>
            </w:pPr>
            <w:r w:rsidRPr="003A2471">
              <w:rPr>
                <w:b/>
                <w:bCs/>
                <w:color w:val="000000"/>
                <w:sz w:val="20"/>
                <w:lang w:val="es-ES_tradnl"/>
              </w:rPr>
              <w:t>Nombramientos</w:t>
            </w:r>
            <w:r w:rsidR="00431F02" w:rsidRPr="003A2471">
              <w:rPr>
                <w:b/>
                <w:bCs/>
                <w:color w:val="000000"/>
                <w:sz w:val="20"/>
                <w:lang w:val="es-ES_tradnl"/>
              </w:rPr>
              <w:t xml:space="preserve"> 2016-2017</w:t>
            </w:r>
          </w:p>
        </w:tc>
      </w:tr>
      <w:tr w:rsidR="00FF6DAF" w:rsidRPr="003A2471" w14:paraId="479F2CBC" w14:textId="77777777" w:rsidTr="001A212F">
        <w:tc>
          <w:tcPr>
            <w:tcW w:w="1095" w:type="dxa"/>
            <w:tcBorders>
              <w:bottom w:val="single" w:sz="4" w:space="0" w:color="auto"/>
            </w:tcBorders>
            <w:shd w:val="clear" w:color="auto" w:fill="DDEBF7"/>
            <w:vAlign w:val="center"/>
          </w:tcPr>
          <w:p w14:paraId="0E1F887E" w14:textId="6BB9BE84" w:rsidR="00431F02" w:rsidRPr="003A2471" w:rsidRDefault="00FF6DAF" w:rsidP="003A2471">
            <w:pPr>
              <w:widowControl/>
              <w:spacing w:after="240"/>
              <w:jc w:val="center"/>
              <w:rPr>
                <w:lang w:val="es-ES_tradnl"/>
              </w:rPr>
            </w:pPr>
            <w:r w:rsidRPr="003A2471">
              <w:rPr>
                <w:b/>
                <w:bCs/>
                <w:color w:val="000000"/>
                <w:sz w:val="20"/>
                <w:lang w:val="es-ES_tradnl"/>
              </w:rPr>
              <w:t>Grado</w:t>
            </w:r>
          </w:p>
        </w:tc>
        <w:tc>
          <w:tcPr>
            <w:tcW w:w="1561" w:type="dxa"/>
            <w:tcBorders>
              <w:bottom w:val="single" w:sz="4" w:space="0" w:color="auto"/>
            </w:tcBorders>
            <w:shd w:val="clear" w:color="auto" w:fill="DDEBF7"/>
            <w:vAlign w:val="center"/>
          </w:tcPr>
          <w:p w14:paraId="6AC41141" w14:textId="23A68538" w:rsidR="00431F02" w:rsidRPr="003A2471" w:rsidRDefault="00FF6DAF" w:rsidP="003A2471">
            <w:pPr>
              <w:widowControl/>
              <w:spacing w:after="240"/>
              <w:jc w:val="center"/>
              <w:rPr>
                <w:lang w:val="es-ES_tradnl"/>
              </w:rPr>
            </w:pPr>
            <w:r w:rsidRPr="003A2471">
              <w:rPr>
                <w:b/>
                <w:bCs/>
                <w:color w:val="000000"/>
                <w:sz w:val="20"/>
                <w:lang w:val="es-ES_tradnl"/>
              </w:rPr>
              <w:t>Hombres</w:t>
            </w:r>
          </w:p>
        </w:tc>
        <w:tc>
          <w:tcPr>
            <w:tcW w:w="1561" w:type="dxa"/>
            <w:tcBorders>
              <w:bottom w:val="single" w:sz="4" w:space="0" w:color="auto"/>
            </w:tcBorders>
            <w:shd w:val="clear" w:color="auto" w:fill="DDEBF7"/>
            <w:vAlign w:val="center"/>
          </w:tcPr>
          <w:p w14:paraId="7ED6CF63" w14:textId="5D709EA8" w:rsidR="00431F02" w:rsidRPr="003A2471" w:rsidRDefault="00FF6DAF" w:rsidP="003A2471">
            <w:pPr>
              <w:widowControl/>
              <w:spacing w:after="240"/>
              <w:jc w:val="center"/>
              <w:rPr>
                <w:lang w:val="es-ES_tradnl"/>
              </w:rPr>
            </w:pPr>
            <w:r w:rsidRPr="003A2471">
              <w:rPr>
                <w:b/>
                <w:bCs/>
                <w:color w:val="000000"/>
                <w:sz w:val="20"/>
                <w:lang w:val="es-ES_tradnl"/>
              </w:rPr>
              <w:t>Mujeres</w:t>
            </w:r>
          </w:p>
        </w:tc>
        <w:tc>
          <w:tcPr>
            <w:tcW w:w="1095" w:type="dxa"/>
            <w:tcBorders>
              <w:bottom w:val="single" w:sz="4" w:space="0" w:color="auto"/>
            </w:tcBorders>
            <w:shd w:val="clear" w:color="auto" w:fill="DDEBF7"/>
            <w:vAlign w:val="center"/>
          </w:tcPr>
          <w:p w14:paraId="11DF14EF" w14:textId="7306040E" w:rsidR="00431F02" w:rsidRPr="003A2471" w:rsidRDefault="00431F02" w:rsidP="003A2471">
            <w:pPr>
              <w:widowControl/>
              <w:spacing w:after="240"/>
              <w:jc w:val="center"/>
              <w:rPr>
                <w:lang w:val="es-ES_tradnl"/>
              </w:rPr>
            </w:pPr>
            <w:r w:rsidRPr="003A2471">
              <w:rPr>
                <w:b/>
                <w:bCs/>
                <w:color w:val="000000"/>
                <w:sz w:val="20"/>
                <w:lang w:val="es-ES_tradnl"/>
              </w:rPr>
              <w:t xml:space="preserve">% </w:t>
            </w:r>
            <w:r w:rsidR="00FF6DAF" w:rsidRPr="003A2471">
              <w:rPr>
                <w:b/>
                <w:bCs/>
                <w:color w:val="000000"/>
                <w:sz w:val="20"/>
                <w:lang w:val="es-ES_tradnl"/>
              </w:rPr>
              <w:t>de mujeres</w:t>
            </w:r>
          </w:p>
        </w:tc>
        <w:tc>
          <w:tcPr>
            <w:tcW w:w="1561" w:type="dxa"/>
            <w:tcBorders>
              <w:bottom w:val="single" w:sz="4" w:space="0" w:color="auto"/>
            </w:tcBorders>
            <w:shd w:val="clear" w:color="auto" w:fill="DDEBF7"/>
            <w:vAlign w:val="center"/>
          </w:tcPr>
          <w:p w14:paraId="3632D3FD" w14:textId="44BD70F5" w:rsidR="00431F02" w:rsidRPr="003A2471" w:rsidRDefault="00FF6DAF" w:rsidP="003A2471">
            <w:pPr>
              <w:widowControl/>
              <w:spacing w:after="240"/>
              <w:jc w:val="center"/>
              <w:rPr>
                <w:lang w:val="es-ES_tradnl"/>
              </w:rPr>
            </w:pPr>
            <w:r w:rsidRPr="003A2471">
              <w:rPr>
                <w:b/>
                <w:bCs/>
                <w:color w:val="000000"/>
                <w:sz w:val="20"/>
                <w:lang w:val="es-ES_tradnl"/>
              </w:rPr>
              <w:t>Hombres</w:t>
            </w:r>
          </w:p>
        </w:tc>
        <w:tc>
          <w:tcPr>
            <w:tcW w:w="1095" w:type="dxa"/>
            <w:tcBorders>
              <w:bottom w:val="single" w:sz="4" w:space="0" w:color="auto"/>
            </w:tcBorders>
            <w:shd w:val="clear" w:color="auto" w:fill="DDEBF7"/>
            <w:vAlign w:val="center"/>
          </w:tcPr>
          <w:p w14:paraId="56FB6F78" w14:textId="506EABFE" w:rsidR="00431F02" w:rsidRPr="003A2471" w:rsidRDefault="00FF6DAF" w:rsidP="003A2471">
            <w:pPr>
              <w:widowControl/>
              <w:spacing w:after="240"/>
              <w:jc w:val="center"/>
              <w:rPr>
                <w:lang w:val="es-ES_tradnl"/>
              </w:rPr>
            </w:pPr>
            <w:r w:rsidRPr="003A2471">
              <w:rPr>
                <w:b/>
                <w:bCs/>
                <w:color w:val="000000"/>
                <w:sz w:val="20"/>
                <w:lang w:val="es-ES_tradnl"/>
              </w:rPr>
              <w:t>Mujeres</w:t>
            </w:r>
          </w:p>
        </w:tc>
        <w:tc>
          <w:tcPr>
            <w:tcW w:w="1095" w:type="dxa"/>
            <w:tcBorders>
              <w:bottom w:val="single" w:sz="4" w:space="0" w:color="auto"/>
            </w:tcBorders>
            <w:shd w:val="clear" w:color="auto" w:fill="DDEBF7"/>
            <w:vAlign w:val="center"/>
          </w:tcPr>
          <w:p w14:paraId="06F03147" w14:textId="4687043B" w:rsidR="00431F02" w:rsidRPr="003A2471" w:rsidRDefault="00431F02" w:rsidP="003A2471">
            <w:pPr>
              <w:widowControl/>
              <w:spacing w:after="240"/>
              <w:jc w:val="center"/>
              <w:rPr>
                <w:lang w:val="es-ES_tradnl"/>
              </w:rPr>
            </w:pPr>
            <w:r w:rsidRPr="003A2471">
              <w:rPr>
                <w:b/>
                <w:bCs/>
                <w:color w:val="000000"/>
                <w:sz w:val="20"/>
                <w:lang w:val="es-ES_tradnl"/>
              </w:rPr>
              <w:t xml:space="preserve">% </w:t>
            </w:r>
            <w:r w:rsidR="00FF6DAF" w:rsidRPr="003A2471">
              <w:rPr>
                <w:b/>
                <w:bCs/>
                <w:color w:val="000000"/>
                <w:sz w:val="20"/>
                <w:lang w:val="es-ES_tradnl"/>
              </w:rPr>
              <w:t>de mujeres</w:t>
            </w:r>
          </w:p>
        </w:tc>
      </w:tr>
      <w:tr w:rsidR="00431F02" w:rsidRPr="003A2471" w14:paraId="77B93AF8" w14:textId="77777777" w:rsidTr="001A212F">
        <w:trPr>
          <w:trHeight w:val="292"/>
        </w:trPr>
        <w:tc>
          <w:tcPr>
            <w:tcW w:w="1095" w:type="dxa"/>
            <w:tcBorders>
              <w:left w:val="dashSmallGap" w:sz="4" w:space="0" w:color="808080" w:themeColor="background1" w:themeShade="80"/>
              <w:bottom w:val="dashSmallGap" w:sz="4" w:space="0" w:color="808080" w:themeColor="background1" w:themeShade="80"/>
            </w:tcBorders>
            <w:vAlign w:val="center"/>
          </w:tcPr>
          <w:p w14:paraId="40840E20" w14:textId="77777777" w:rsidR="00431F02" w:rsidRPr="003A2471" w:rsidRDefault="00431F02" w:rsidP="003A2471">
            <w:pPr>
              <w:widowControl/>
              <w:spacing w:after="240"/>
              <w:jc w:val="center"/>
              <w:rPr>
                <w:lang w:val="es-ES_tradnl"/>
              </w:rPr>
            </w:pPr>
            <w:r w:rsidRPr="003A2471">
              <w:rPr>
                <w:color w:val="000000"/>
                <w:sz w:val="20"/>
                <w:lang w:val="es-ES_tradnl"/>
              </w:rPr>
              <w:t>P4</w:t>
            </w:r>
          </w:p>
        </w:tc>
        <w:tc>
          <w:tcPr>
            <w:tcW w:w="1561" w:type="dxa"/>
            <w:tcBorders>
              <w:bottom w:val="dashSmallGap" w:sz="4" w:space="0" w:color="808080" w:themeColor="background1" w:themeShade="80"/>
            </w:tcBorders>
            <w:vAlign w:val="center"/>
          </w:tcPr>
          <w:p w14:paraId="251EB5B2" w14:textId="77777777" w:rsidR="00431F02" w:rsidRPr="003A2471" w:rsidRDefault="00431F02" w:rsidP="003A2471">
            <w:pPr>
              <w:widowControl/>
              <w:spacing w:after="240"/>
              <w:jc w:val="center"/>
              <w:rPr>
                <w:lang w:val="es-ES_tradnl"/>
              </w:rPr>
            </w:pPr>
            <w:r w:rsidRPr="003A2471">
              <w:rPr>
                <w:color w:val="000000"/>
                <w:sz w:val="20"/>
                <w:lang w:val="es-ES_tradnl"/>
              </w:rPr>
              <w:t>21</w:t>
            </w:r>
          </w:p>
        </w:tc>
        <w:tc>
          <w:tcPr>
            <w:tcW w:w="1561" w:type="dxa"/>
            <w:tcBorders>
              <w:bottom w:val="dashSmallGap" w:sz="4" w:space="0" w:color="808080" w:themeColor="background1" w:themeShade="80"/>
            </w:tcBorders>
            <w:vAlign w:val="center"/>
          </w:tcPr>
          <w:p w14:paraId="262D3FDD" w14:textId="77777777" w:rsidR="00431F02" w:rsidRPr="003A2471" w:rsidRDefault="00431F02" w:rsidP="003A2471">
            <w:pPr>
              <w:widowControl/>
              <w:spacing w:after="240"/>
              <w:jc w:val="center"/>
              <w:rPr>
                <w:lang w:val="es-ES_tradnl"/>
              </w:rPr>
            </w:pPr>
            <w:r w:rsidRPr="003A2471">
              <w:rPr>
                <w:color w:val="000000"/>
                <w:sz w:val="20"/>
                <w:lang w:val="es-ES_tradnl"/>
              </w:rPr>
              <w:t>21</w:t>
            </w:r>
          </w:p>
        </w:tc>
        <w:tc>
          <w:tcPr>
            <w:tcW w:w="1095" w:type="dxa"/>
            <w:tcBorders>
              <w:bottom w:val="dashSmallGap" w:sz="4" w:space="0" w:color="808080" w:themeColor="background1" w:themeShade="80"/>
            </w:tcBorders>
            <w:vAlign w:val="center"/>
          </w:tcPr>
          <w:p w14:paraId="30F7BEBA" w14:textId="53882CB7" w:rsidR="00431F02" w:rsidRPr="003A2471" w:rsidRDefault="00431F02" w:rsidP="003A2471">
            <w:pPr>
              <w:widowControl/>
              <w:spacing w:after="240"/>
              <w:jc w:val="center"/>
              <w:rPr>
                <w:lang w:val="es-ES_tradnl"/>
              </w:rPr>
            </w:pPr>
            <w:r w:rsidRPr="003A2471">
              <w:rPr>
                <w:color w:val="000000"/>
                <w:sz w:val="20"/>
                <w:lang w:val="es-ES_tradnl"/>
              </w:rPr>
              <w:t>50</w:t>
            </w:r>
            <w:r w:rsidR="00FF6DAF" w:rsidRPr="003A2471">
              <w:rPr>
                <w:color w:val="000000"/>
                <w:sz w:val="20"/>
                <w:lang w:val="es-ES_tradnl"/>
              </w:rPr>
              <w:t>,</w:t>
            </w:r>
            <w:r w:rsidRPr="003A2471">
              <w:rPr>
                <w:color w:val="000000"/>
                <w:sz w:val="20"/>
                <w:lang w:val="es-ES_tradnl"/>
              </w:rPr>
              <w:t>0%</w:t>
            </w:r>
          </w:p>
        </w:tc>
        <w:tc>
          <w:tcPr>
            <w:tcW w:w="1561" w:type="dxa"/>
            <w:tcBorders>
              <w:bottom w:val="dashSmallGap" w:sz="4" w:space="0" w:color="808080" w:themeColor="background1" w:themeShade="80"/>
            </w:tcBorders>
            <w:vAlign w:val="center"/>
          </w:tcPr>
          <w:p w14:paraId="2B5CBD50" w14:textId="77777777" w:rsidR="00431F02" w:rsidRPr="003A2471" w:rsidRDefault="00431F02" w:rsidP="003A2471">
            <w:pPr>
              <w:widowControl/>
              <w:spacing w:after="240"/>
              <w:jc w:val="center"/>
              <w:rPr>
                <w:lang w:val="es-ES_tradnl"/>
              </w:rPr>
            </w:pPr>
            <w:r w:rsidRPr="003A2471">
              <w:rPr>
                <w:color w:val="000000"/>
                <w:sz w:val="20"/>
                <w:lang w:val="es-ES_tradnl"/>
              </w:rPr>
              <w:t>14</w:t>
            </w:r>
          </w:p>
        </w:tc>
        <w:tc>
          <w:tcPr>
            <w:tcW w:w="1095" w:type="dxa"/>
            <w:tcBorders>
              <w:bottom w:val="dashSmallGap" w:sz="4" w:space="0" w:color="808080" w:themeColor="background1" w:themeShade="80"/>
            </w:tcBorders>
            <w:vAlign w:val="center"/>
          </w:tcPr>
          <w:p w14:paraId="1FD77471" w14:textId="77777777" w:rsidR="00431F02" w:rsidRPr="003A2471" w:rsidRDefault="00431F02" w:rsidP="003A2471">
            <w:pPr>
              <w:widowControl/>
              <w:spacing w:after="240"/>
              <w:jc w:val="center"/>
              <w:rPr>
                <w:lang w:val="es-ES_tradnl"/>
              </w:rPr>
            </w:pPr>
            <w:r w:rsidRPr="003A2471">
              <w:rPr>
                <w:color w:val="000000"/>
                <w:sz w:val="20"/>
                <w:lang w:val="es-ES_tradnl"/>
              </w:rPr>
              <w:t>12</w:t>
            </w:r>
          </w:p>
        </w:tc>
        <w:tc>
          <w:tcPr>
            <w:tcW w:w="1095" w:type="dxa"/>
            <w:tcBorders>
              <w:bottom w:val="dashSmallGap" w:sz="4" w:space="0" w:color="808080" w:themeColor="background1" w:themeShade="80"/>
            </w:tcBorders>
            <w:vAlign w:val="center"/>
          </w:tcPr>
          <w:p w14:paraId="279AC661" w14:textId="14BF5B81" w:rsidR="00431F02" w:rsidRPr="003A2471" w:rsidRDefault="00431F02" w:rsidP="003A2471">
            <w:pPr>
              <w:widowControl/>
              <w:spacing w:after="240"/>
              <w:jc w:val="center"/>
              <w:rPr>
                <w:lang w:val="es-ES_tradnl"/>
              </w:rPr>
            </w:pPr>
            <w:r w:rsidRPr="003A2471">
              <w:rPr>
                <w:color w:val="000000"/>
                <w:sz w:val="20"/>
                <w:lang w:val="es-ES_tradnl"/>
              </w:rPr>
              <w:t>46</w:t>
            </w:r>
            <w:r w:rsidR="00FF6DAF" w:rsidRPr="003A2471">
              <w:rPr>
                <w:color w:val="000000"/>
                <w:sz w:val="20"/>
                <w:lang w:val="es-ES_tradnl"/>
              </w:rPr>
              <w:t>,</w:t>
            </w:r>
            <w:r w:rsidRPr="003A2471">
              <w:rPr>
                <w:color w:val="000000"/>
                <w:sz w:val="20"/>
                <w:lang w:val="es-ES_tradnl"/>
              </w:rPr>
              <w:t>2%</w:t>
            </w:r>
          </w:p>
        </w:tc>
      </w:tr>
      <w:tr w:rsidR="00431F02" w:rsidRPr="003A2471" w14:paraId="273D428A" w14:textId="77777777" w:rsidTr="001A212F">
        <w:trPr>
          <w:trHeight w:val="292"/>
        </w:trPr>
        <w:tc>
          <w:tcPr>
            <w:tcW w:w="1095" w:type="dxa"/>
            <w:tcBorders>
              <w:top w:val="dashSmallGap" w:sz="4" w:space="0" w:color="808080" w:themeColor="background1" w:themeShade="80"/>
              <w:left w:val="dashSmallGap" w:sz="4" w:space="0" w:color="808080" w:themeColor="background1" w:themeShade="80"/>
              <w:bottom w:val="dashSmallGap" w:sz="4" w:space="0" w:color="808080" w:themeColor="background1" w:themeShade="80"/>
            </w:tcBorders>
            <w:vAlign w:val="center"/>
          </w:tcPr>
          <w:p w14:paraId="18184417" w14:textId="77777777" w:rsidR="00431F02" w:rsidRPr="003A2471" w:rsidRDefault="00431F02" w:rsidP="003A2471">
            <w:pPr>
              <w:widowControl/>
              <w:spacing w:after="240"/>
              <w:jc w:val="center"/>
              <w:rPr>
                <w:lang w:val="es-ES_tradnl"/>
              </w:rPr>
            </w:pPr>
            <w:r w:rsidRPr="003A2471">
              <w:rPr>
                <w:color w:val="000000"/>
                <w:sz w:val="20"/>
                <w:lang w:val="es-ES_tradnl"/>
              </w:rPr>
              <w:t>P5</w:t>
            </w:r>
          </w:p>
        </w:tc>
        <w:tc>
          <w:tcPr>
            <w:tcW w:w="1561" w:type="dxa"/>
            <w:tcBorders>
              <w:top w:val="dashSmallGap" w:sz="4" w:space="0" w:color="808080" w:themeColor="background1" w:themeShade="80"/>
              <w:bottom w:val="dashSmallGap" w:sz="4" w:space="0" w:color="808080" w:themeColor="background1" w:themeShade="80"/>
            </w:tcBorders>
            <w:vAlign w:val="center"/>
          </w:tcPr>
          <w:p w14:paraId="75F8F3E7" w14:textId="77777777" w:rsidR="00431F02" w:rsidRPr="003A2471" w:rsidRDefault="00431F02" w:rsidP="003A2471">
            <w:pPr>
              <w:widowControl/>
              <w:spacing w:after="240"/>
              <w:jc w:val="center"/>
              <w:rPr>
                <w:lang w:val="es-ES_tradnl"/>
              </w:rPr>
            </w:pPr>
            <w:r w:rsidRPr="003A2471">
              <w:rPr>
                <w:color w:val="000000"/>
                <w:sz w:val="20"/>
                <w:lang w:val="es-ES_tradnl"/>
              </w:rPr>
              <w:t>6</w:t>
            </w:r>
          </w:p>
        </w:tc>
        <w:tc>
          <w:tcPr>
            <w:tcW w:w="1561" w:type="dxa"/>
            <w:tcBorders>
              <w:top w:val="dashSmallGap" w:sz="4" w:space="0" w:color="808080" w:themeColor="background1" w:themeShade="80"/>
              <w:bottom w:val="dashSmallGap" w:sz="4" w:space="0" w:color="808080" w:themeColor="background1" w:themeShade="80"/>
            </w:tcBorders>
            <w:vAlign w:val="center"/>
          </w:tcPr>
          <w:p w14:paraId="6AB1E50B" w14:textId="77777777" w:rsidR="00431F02" w:rsidRPr="003A2471" w:rsidRDefault="00431F02" w:rsidP="003A2471">
            <w:pPr>
              <w:widowControl/>
              <w:spacing w:after="240"/>
              <w:jc w:val="center"/>
              <w:rPr>
                <w:lang w:val="es-ES_tradnl"/>
              </w:rPr>
            </w:pPr>
            <w:r w:rsidRPr="003A2471">
              <w:rPr>
                <w:color w:val="000000"/>
                <w:sz w:val="20"/>
                <w:lang w:val="es-ES_tradnl"/>
              </w:rPr>
              <w:t>7</w:t>
            </w:r>
          </w:p>
        </w:tc>
        <w:tc>
          <w:tcPr>
            <w:tcW w:w="1095" w:type="dxa"/>
            <w:tcBorders>
              <w:top w:val="dashSmallGap" w:sz="4" w:space="0" w:color="808080" w:themeColor="background1" w:themeShade="80"/>
              <w:bottom w:val="dashSmallGap" w:sz="4" w:space="0" w:color="808080" w:themeColor="background1" w:themeShade="80"/>
            </w:tcBorders>
            <w:vAlign w:val="center"/>
          </w:tcPr>
          <w:p w14:paraId="45ACC836" w14:textId="057C4FFC" w:rsidR="00431F02" w:rsidRPr="003A2471" w:rsidRDefault="00431F02" w:rsidP="003A2471">
            <w:pPr>
              <w:widowControl/>
              <w:spacing w:after="240"/>
              <w:jc w:val="center"/>
              <w:rPr>
                <w:lang w:val="es-ES_tradnl"/>
              </w:rPr>
            </w:pPr>
            <w:r w:rsidRPr="003A2471">
              <w:rPr>
                <w:color w:val="000000"/>
                <w:sz w:val="20"/>
                <w:lang w:val="es-ES_tradnl"/>
              </w:rPr>
              <w:t>53</w:t>
            </w:r>
            <w:r w:rsidR="00FF6DAF" w:rsidRPr="003A2471">
              <w:rPr>
                <w:color w:val="000000"/>
                <w:sz w:val="20"/>
                <w:lang w:val="es-ES_tradnl"/>
              </w:rPr>
              <w:t>,</w:t>
            </w:r>
            <w:r w:rsidRPr="003A2471">
              <w:rPr>
                <w:color w:val="000000"/>
                <w:sz w:val="20"/>
                <w:lang w:val="es-ES_tradnl"/>
              </w:rPr>
              <w:t>8%</w:t>
            </w:r>
          </w:p>
        </w:tc>
        <w:tc>
          <w:tcPr>
            <w:tcW w:w="1561" w:type="dxa"/>
            <w:tcBorders>
              <w:top w:val="dashSmallGap" w:sz="4" w:space="0" w:color="808080" w:themeColor="background1" w:themeShade="80"/>
              <w:bottom w:val="dashSmallGap" w:sz="4" w:space="0" w:color="808080" w:themeColor="background1" w:themeShade="80"/>
            </w:tcBorders>
            <w:vAlign w:val="center"/>
          </w:tcPr>
          <w:p w14:paraId="1089AB11" w14:textId="77777777" w:rsidR="00431F02" w:rsidRPr="003A2471" w:rsidRDefault="00431F02" w:rsidP="003A2471">
            <w:pPr>
              <w:widowControl/>
              <w:spacing w:after="240"/>
              <w:jc w:val="center"/>
              <w:rPr>
                <w:lang w:val="es-ES_tradnl"/>
              </w:rPr>
            </w:pPr>
            <w:r w:rsidRPr="003A2471">
              <w:rPr>
                <w:color w:val="000000"/>
                <w:sz w:val="20"/>
                <w:lang w:val="es-ES_tradnl"/>
              </w:rPr>
              <w:t>10</w:t>
            </w:r>
          </w:p>
        </w:tc>
        <w:tc>
          <w:tcPr>
            <w:tcW w:w="1095" w:type="dxa"/>
            <w:tcBorders>
              <w:top w:val="dashSmallGap" w:sz="4" w:space="0" w:color="808080" w:themeColor="background1" w:themeShade="80"/>
              <w:bottom w:val="dashSmallGap" w:sz="4" w:space="0" w:color="808080" w:themeColor="background1" w:themeShade="80"/>
            </w:tcBorders>
            <w:vAlign w:val="center"/>
          </w:tcPr>
          <w:p w14:paraId="0C7470CA" w14:textId="77777777" w:rsidR="00431F02" w:rsidRPr="003A2471" w:rsidRDefault="00431F02" w:rsidP="003A2471">
            <w:pPr>
              <w:widowControl/>
              <w:spacing w:after="240"/>
              <w:jc w:val="center"/>
              <w:rPr>
                <w:lang w:val="es-ES_tradnl"/>
              </w:rPr>
            </w:pPr>
            <w:r w:rsidRPr="003A2471">
              <w:rPr>
                <w:color w:val="000000"/>
                <w:sz w:val="20"/>
                <w:lang w:val="es-ES_tradnl"/>
              </w:rPr>
              <w:t>2</w:t>
            </w:r>
          </w:p>
        </w:tc>
        <w:tc>
          <w:tcPr>
            <w:tcW w:w="1095" w:type="dxa"/>
            <w:tcBorders>
              <w:top w:val="dashSmallGap" w:sz="4" w:space="0" w:color="808080" w:themeColor="background1" w:themeShade="80"/>
              <w:bottom w:val="dashSmallGap" w:sz="4" w:space="0" w:color="808080" w:themeColor="background1" w:themeShade="80"/>
            </w:tcBorders>
            <w:vAlign w:val="center"/>
          </w:tcPr>
          <w:p w14:paraId="6A179F0A" w14:textId="48FCE10B" w:rsidR="00431F02" w:rsidRPr="003A2471" w:rsidRDefault="00431F02" w:rsidP="003A2471">
            <w:pPr>
              <w:widowControl/>
              <w:spacing w:after="240"/>
              <w:jc w:val="center"/>
              <w:rPr>
                <w:lang w:val="es-ES_tradnl"/>
              </w:rPr>
            </w:pPr>
            <w:r w:rsidRPr="003A2471">
              <w:rPr>
                <w:color w:val="000000"/>
                <w:sz w:val="20"/>
                <w:lang w:val="es-ES_tradnl"/>
              </w:rPr>
              <w:t>16</w:t>
            </w:r>
            <w:r w:rsidR="00FF6DAF" w:rsidRPr="003A2471">
              <w:rPr>
                <w:color w:val="000000"/>
                <w:sz w:val="20"/>
                <w:lang w:val="es-ES_tradnl"/>
              </w:rPr>
              <w:t>,</w:t>
            </w:r>
            <w:r w:rsidRPr="003A2471">
              <w:rPr>
                <w:color w:val="000000"/>
                <w:sz w:val="20"/>
                <w:lang w:val="es-ES_tradnl"/>
              </w:rPr>
              <w:t>7%</w:t>
            </w:r>
          </w:p>
        </w:tc>
      </w:tr>
      <w:tr w:rsidR="00431F02" w:rsidRPr="003A2471" w14:paraId="594F08B9" w14:textId="77777777" w:rsidTr="001A212F">
        <w:trPr>
          <w:trHeight w:val="292"/>
        </w:trPr>
        <w:tc>
          <w:tcPr>
            <w:tcW w:w="1095" w:type="dxa"/>
            <w:tcBorders>
              <w:top w:val="dashSmallGap" w:sz="4" w:space="0" w:color="808080" w:themeColor="background1" w:themeShade="80"/>
              <w:left w:val="dashSmallGap" w:sz="4" w:space="0" w:color="808080" w:themeColor="background1" w:themeShade="80"/>
              <w:bottom w:val="dashSmallGap" w:sz="4" w:space="0" w:color="808080" w:themeColor="background1" w:themeShade="80"/>
            </w:tcBorders>
            <w:vAlign w:val="center"/>
          </w:tcPr>
          <w:p w14:paraId="742E5DEE" w14:textId="77777777" w:rsidR="00431F02" w:rsidRPr="003A2471" w:rsidRDefault="00431F02" w:rsidP="003A2471">
            <w:pPr>
              <w:widowControl/>
              <w:spacing w:after="240"/>
              <w:jc w:val="center"/>
              <w:rPr>
                <w:lang w:val="es-ES_tradnl"/>
              </w:rPr>
            </w:pPr>
            <w:r w:rsidRPr="003A2471">
              <w:rPr>
                <w:color w:val="000000"/>
                <w:sz w:val="20"/>
                <w:lang w:val="es-ES_tradnl"/>
              </w:rPr>
              <w:t>D1</w:t>
            </w:r>
          </w:p>
        </w:tc>
        <w:tc>
          <w:tcPr>
            <w:tcW w:w="1561" w:type="dxa"/>
            <w:tcBorders>
              <w:top w:val="dashSmallGap" w:sz="4" w:space="0" w:color="808080" w:themeColor="background1" w:themeShade="80"/>
              <w:bottom w:val="dashSmallGap" w:sz="4" w:space="0" w:color="808080" w:themeColor="background1" w:themeShade="80"/>
            </w:tcBorders>
            <w:vAlign w:val="center"/>
          </w:tcPr>
          <w:p w14:paraId="31D65D56" w14:textId="77777777" w:rsidR="00431F02" w:rsidRPr="003A2471" w:rsidRDefault="00431F02" w:rsidP="003A2471">
            <w:pPr>
              <w:widowControl/>
              <w:spacing w:after="240"/>
              <w:jc w:val="center"/>
              <w:rPr>
                <w:lang w:val="es-ES_tradnl"/>
              </w:rPr>
            </w:pPr>
            <w:r w:rsidRPr="003A2471">
              <w:rPr>
                <w:color w:val="000000"/>
                <w:sz w:val="20"/>
                <w:lang w:val="es-ES_tradnl"/>
              </w:rPr>
              <w:t>17</w:t>
            </w:r>
          </w:p>
        </w:tc>
        <w:tc>
          <w:tcPr>
            <w:tcW w:w="1561" w:type="dxa"/>
            <w:tcBorders>
              <w:top w:val="dashSmallGap" w:sz="4" w:space="0" w:color="808080" w:themeColor="background1" w:themeShade="80"/>
              <w:bottom w:val="dashSmallGap" w:sz="4" w:space="0" w:color="808080" w:themeColor="background1" w:themeShade="80"/>
            </w:tcBorders>
            <w:vAlign w:val="center"/>
          </w:tcPr>
          <w:p w14:paraId="07C7790C" w14:textId="77777777" w:rsidR="00431F02" w:rsidRPr="003A2471" w:rsidRDefault="00431F02" w:rsidP="003A2471">
            <w:pPr>
              <w:widowControl/>
              <w:spacing w:after="240"/>
              <w:jc w:val="center"/>
              <w:rPr>
                <w:lang w:val="es-ES_tradnl"/>
              </w:rPr>
            </w:pPr>
            <w:r w:rsidRPr="003A2471">
              <w:rPr>
                <w:color w:val="000000"/>
                <w:sz w:val="20"/>
                <w:lang w:val="es-ES_tradnl"/>
              </w:rPr>
              <w:t>6</w:t>
            </w:r>
          </w:p>
        </w:tc>
        <w:tc>
          <w:tcPr>
            <w:tcW w:w="1095" w:type="dxa"/>
            <w:tcBorders>
              <w:top w:val="dashSmallGap" w:sz="4" w:space="0" w:color="808080" w:themeColor="background1" w:themeShade="80"/>
              <w:bottom w:val="dashSmallGap" w:sz="4" w:space="0" w:color="808080" w:themeColor="background1" w:themeShade="80"/>
            </w:tcBorders>
            <w:vAlign w:val="center"/>
          </w:tcPr>
          <w:p w14:paraId="0A7B7BCF" w14:textId="12D1EFCA" w:rsidR="00431F02" w:rsidRPr="003A2471" w:rsidRDefault="00431F02" w:rsidP="003A2471">
            <w:pPr>
              <w:widowControl/>
              <w:spacing w:after="240"/>
              <w:jc w:val="center"/>
              <w:rPr>
                <w:lang w:val="es-ES_tradnl"/>
              </w:rPr>
            </w:pPr>
            <w:r w:rsidRPr="003A2471">
              <w:rPr>
                <w:color w:val="000000"/>
                <w:sz w:val="20"/>
                <w:lang w:val="es-ES_tradnl"/>
              </w:rPr>
              <w:t>26</w:t>
            </w:r>
            <w:r w:rsidR="00FF6DAF" w:rsidRPr="003A2471">
              <w:rPr>
                <w:color w:val="000000"/>
                <w:sz w:val="20"/>
                <w:lang w:val="es-ES_tradnl"/>
              </w:rPr>
              <w:t>,</w:t>
            </w:r>
            <w:r w:rsidRPr="003A2471">
              <w:rPr>
                <w:color w:val="000000"/>
                <w:sz w:val="20"/>
                <w:lang w:val="es-ES_tradnl"/>
              </w:rPr>
              <w:t>1%</w:t>
            </w:r>
          </w:p>
        </w:tc>
        <w:tc>
          <w:tcPr>
            <w:tcW w:w="1561" w:type="dxa"/>
            <w:tcBorders>
              <w:top w:val="dashSmallGap" w:sz="4" w:space="0" w:color="808080" w:themeColor="background1" w:themeShade="80"/>
              <w:bottom w:val="dashSmallGap" w:sz="4" w:space="0" w:color="808080" w:themeColor="background1" w:themeShade="80"/>
            </w:tcBorders>
            <w:vAlign w:val="center"/>
          </w:tcPr>
          <w:p w14:paraId="3E495B63" w14:textId="77777777" w:rsidR="00431F02" w:rsidRPr="003A2471" w:rsidRDefault="00431F02" w:rsidP="003A2471">
            <w:pPr>
              <w:widowControl/>
              <w:spacing w:after="240"/>
              <w:jc w:val="center"/>
              <w:rPr>
                <w:lang w:val="es-ES_tradnl"/>
              </w:rPr>
            </w:pPr>
            <w:r w:rsidRPr="003A2471">
              <w:rPr>
                <w:color w:val="000000"/>
                <w:sz w:val="20"/>
                <w:lang w:val="es-ES_tradnl"/>
              </w:rPr>
              <w:t>8</w:t>
            </w:r>
          </w:p>
        </w:tc>
        <w:tc>
          <w:tcPr>
            <w:tcW w:w="1095" w:type="dxa"/>
            <w:tcBorders>
              <w:top w:val="dashSmallGap" w:sz="4" w:space="0" w:color="808080" w:themeColor="background1" w:themeShade="80"/>
              <w:bottom w:val="dashSmallGap" w:sz="4" w:space="0" w:color="808080" w:themeColor="background1" w:themeShade="80"/>
            </w:tcBorders>
            <w:vAlign w:val="center"/>
          </w:tcPr>
          <w:p w14:paraId="1F43BEBB" w14:textId="77777777" w:rsidR="00431F02" w:rsidRPr="003A2471" w:rsidRDefault="00431F02" w:rsidP="003A2471">
            <w:pPr>
              <w:widowControl/>
              <w:spacing w:after="240"/>
              <w:jc w:val="center"/>
              <w:rPr>
                <w:lang w:val="es-ES_tradnl"/>
              </w:rPr>
            </w:pPr>
            <w:r w:rsidRPr="003A2471">
              <w:rPr>
                <w:color w:val="000000"/>
                <w:sz w:val="20"/>
                <w:lang w:val="es-ES_tradnl"/>
              </w:rPr>
              <w:t>3</w:t>
            </w:r>
          </w:p>
        </w:tc>
        <w:tc>
          <w:tcPr>
            <w:tcW w:w="1095" w:type="dxa"/>
            <w:tcBorders>
              <w:top w:val="dashSmallGap" w:sz="4" w:space="0" w:color="808080" w:themeColor="background1" w:themeShade="80"/>
              <w:bottom w:val="dashSmallGap" w:sz="4" w:space="0" w:color="808080" w:themeColor="background1" w:themeShade="80"/>
            </w:tcBorders>
            <w:vAlign w:val="center"/>
          </w:tcPr>
          <w:p w14:paraId="04F8D6A4" w14:textId="2440B87C" w:rsidR="00431F02" w:rsidRPr="003A2471" w:rsidRDefault="00431F02" w:rsidP="003A2471">
            <w:pPr>
              <w:widowControl/>
              <w:spacing w:after="240"/>
              <w:jc w:val="center"/>
              <w:rPr>
                <w:lang w:val="es-ES_tradnl"/>
              </w:rPr>
            </w:pPr>
            <w:r w:rsidRPr="003A2471">
              <w:rPr>
                <w:color w:val="000000"/>
                <w:sz w:val="20"/>
                <w:lang w:val="es-ES_tradnl"/>
              </w:rPr>
              <w:t>27</w:t>
            </w:r>
            <w:r w:rsidR="00FF6DAF" w:rsidRPr="003A2471">
              <w:rPr>
                <w:color w:val="000000"/>
                <w:sz w:val="20"/>
                <w:lang w:val="es-ES_tradnl"/>
              </w:rPr>
              <w:t>,</w:t>
            </w:r>
            <w:r w:rsidRPr="003A2471">
              <w:rPr>
                <w:color w:val="000000"/>
                <w:sz w:val="20"/>
                <w:lang w:val="es-ES_tradnl"/>
              </w:rPr>
              <w:t>3%</w:t>
            </w:r>
          </w:p>
        </w:tc>
      </w:tr>
      <w:tr w:rsidR="00431F02" w:rsidRPr="003A2471" w14:paraId="694A758F" w14:textId="77777777" w:rsidTr="001A212F">
        <w:trPr>
          <w:trHeight w:val="292"/>
        </w:trPr>
        <w:tc>
          <w:tcPr>
            <w:tcW w:w="1095" w:type="dxa"/>
            <w:tcBorders>
              <w:top w:val="dashSmallGap" w:sz="4" w:space="0" w:color="808080" w:themeColor="background1" w:themeShade="80"/>
              <w:left w:val="dashSmallGap" w:sz="4" w:space="0" w:color="808080" w:themeColor="background1" w:themeShade="80"/>
              <w:bottom w:val="single" w:sz="4" w:space="0" w:color="auto"/>
            </w:tcBorders>
            <w:vAlign w:val="center"/>
          </w:tcPr>
          <w:p w14:paraId="480E956C" w14:textId="77777777" w:rsidR="00431F02" w:rsidRPr="003A2471" w:rsidRDefault="00431F02" w:rsidP="003A2471">
            <w:pPr>
              <w:widowControl/>
              <w:spacing w:after="240"/>
              <w:jc w:val="center"/>
              <w:rPr>
                <w:lang w:val="es-ES_tradnl"/>
              </w:rPr>
            </w:pPr>
            <w:r w:rsidRPr="003A2471">
              <w:rPr>
                <w:color w:val="000000"/>
                <w:sz w:val="20"/>
                <w:lang w:val="es-ES_tradnl"/>
              </w:rPr>
              <w:t>D2</w:t>
            </w:r>
          </w:p>
        </w:tc>
        <w:tc>
          <w:tcPr>
            <w:tcW w:w="1561" w:type="dxa"/>
            <w:tcBorders>
              <w:top w:val="dashSmallGap" w:sz="4" w:space="0" w:color="808080" w:themeColor="background1" w:themeShade="80"/>
              <w:bottom w:val="single" w:sz="4" w:space="0" w:color="auto"/>
            </w:tcBorders>
            <w:vAlign w:val="center"/>
          </w:tcPr>
          <w:p w14:paraId="72871F81" w14:textId="77777777" w:rsidR="00431F02" w:rsidRPr="003A2471" w:rsidRDefault="00431F02" w:rsidP="003A2471">
            <w:pPr>
              <w:widowControl/>
              <w:spacing w:after="240"/>
              <w:jc w:val="center"/>
              <w:rPr>
                <w:lang w:val="es-ES_tradnl"/>
              </w:rPr>
            </w:pPr>
            <w:r w:rsidRPr="003A2471">
              <w:rPr>
                <w:color w:val="000000"/>
                <w:sz w:val="20"/>
                <w:lang w:val="es-ES_tradnl"/>
              </w:rPr>
              <w:t>2</w:t>
            </w:r>
          </w:p>
        </w:tc>
        <w:tc>
          <w:tcPr>
            <w:tcW w:w="1561" w:type="dxa"/>
            <w:tcBorders>
              <w:top w:val="dashSmallGap" w:sz="4" w:space="0" w:color="808080" w:themeColor="background1" w:themeShade="80"/>
              <w:bottom w:val="single" w:sz="4" w:space="0" w:color="auto"/>
            </w:tcBorders>
            <w:vAlign w:val="center"/>
          </w:tcPr>
          <w:p w14:paraId="44D09ECF" w14:textId="77777777" w:rsidR="00431F02" w:rsidRPr="003A2471" w:rsidRDefault="00431F02" w:rsidP="003A2471">
            <w:pPr>
              <w:widowControl/>
              <w:spacing w:after="240"/>
              <w:jc w:val="center"/>
              <w:rPr>
                <w:lang w:val="es-ES_tradnl"/>
              </w:rPr>
            </w:pPr>
            <w:r w:rsidRPr="003A2471">
              <w:rPr>
                <w:color w:val="000000"/>
                <w:sz w:val="20"/>
                <w:lang w:val="es-ES_tradnl"/>
              </w:rPr>
              <w:t>0</w:t>
            </w:r>
          </w:p>
        </w:tc>
        <w:tc>
          <w:tcPr>
            <w:tcW w:w="1095" w:type="dxa"/>
            <w:tcBorders>
              <w:top w:val="dashSmallGap" w:sz="4" w:space="0" w:color="808080" w:themeColor="background1" w:themeShade="80"/>
              <w:bottom w:val="single" w:sz="4" w:space="0" w:color="auto"/>
            </w:tcBorders>
            <w:vAlign w:val="center"/>
          </w:tcPr>
          <w:p w14:paraId="12694A49" w14:textId="056BC5D2" w:rsidR="00431F02" w:rsidRPr="003A2471" w:rsidRDefault="00431F02" w:rsidP="003A2471">
            <w:pPr>
              <w:widowControl/>
              <w:spacing w:after="240"/>
              <w:jc w:val="center"/>
              <w:rPr>
                <w:lang w:val="es-ES_tradnl"/>
              </w:rPr>
            </w:pPr>
            <w:r w:rsidRPr="003A2471">
              <w:rPr>
                <w:color w:val="000000"/>
                <w:sz w:val="20"/>
                <w:lang w:val="es-ES_tradnl"/>
              </w:rPr>
              <w:t>0</w:t>
            </w:r>
            <w:r w:rsidR="00FF6DAF" w:rsidRPr="003A2471">
              <w:rPr>
                <w:color w:val="000000"/>
                <w:sz w:val="20"/>
                <w:lang w:val="es-ES_tradnl"/>
              </w:rPr>
              <w:t>,</w:t>
            </w:r>
            <w:r w:rsidRPr="003A2471">
              <w:rPr>
                <w:color w:val="000000"/>
                <w:sz w:val="20"/>
                <w:lang w:val="es-ES_tradnl"/>
              </w:rPr>
              <w:t>0%</w:t>
            </w:r>
          </w:p>
        </w:tc>
        <w:tc>
          <w:tcPr>
            <w:tcW w:w="1561" w:type="dxa"/>
            <w:tcBorders>
              <w:top w:val="dashSmallGap" w:sz="4" w:space="0" w:color="808080" w:themeColor="background1" w:themeShade="80"/>
              <w:bottom w:val="single" w:sz="4" w:space="0" w:color="auto"/>
            </w:tcBorders>
            <w:vAlign w:val="center"/>
          </w:tcPr>
          <w:p w14:paraId="6C539940" w14:textId="3EDE96EE" w:rsidR="00431F02" w:rsidRPr="003A2471" w:rsidRDefault="007D012E" w:rsidP="003A2471">
            <w:pPr>
              <w:widowControl/>
              <w:spacing w:after="240"/>
              <w:jc w:val="center"/>
              <w:rPr>
                <w:lang w:val="es-ES_tradnl"/>
              </w:rPr>
            </w:pPr>
            <w:r w:rsidRPr="003A2471">
              <w:rPr>
                <w:color w:val="000000"/>
                <w:sz w:val="20"/>
                <w:lang w:val="es-ES_tradnl"/>
              </w:rPr>
              <w:t>1</w:t>
            </w:r>
          </w:p>
        </w:tc>
        <w:tc>
          <w:tcPr>
            <w:tcW w:w="1095" w:type="dxa"/>
            <w:tcBorders>
              <w:top w:val="dashSmallGap" w:sz="4" w:space="0" w:color="808080" w:themeColor="background1" w:themeShade="80"/>
              <w:bottom w:val="single" w:sz="4" w:space="0" w:color="auto"/>
            </w:tcBorders>
            <w:vAlign w:val="center"/>
          </w:tcPr>
          <w:p w14:paraId="5E2B1812" w14:textId="77777777" w:rsidR="00431F02" w:rsidRPr="003A2471" w:rsidRDefault="00431F02" w:rsidP="003A2471">
            <w:pPr>
              <w:widowControl/>
              <w:spacing w:after="240"/>
              <w:jc w:val="center"/>
              <w:rPr>
                <w:lang w:val="es-ES_tradnl"/>
              </w:rPr>
            </w:pPr>
            <w:r w:rsidRPr="003A2471">
              <w:rPr>
                <w:color w:val="000000"/>
                <w:sz w:val="20"/>
                <w:lang w:val="es-ES_tradnl"/>
              </w:rPr>
              <w:t>0</w:t>
            </w:r>
          </w:p>
        </w:tc>
        <w:tc>
          <w:tcPr>
            <w:tcW w:w="1095" w:type="dxa"/>
            <w:tcBorders>
              <w:top w:val="dashSmallGap" w:sz="4" w:space="0" w:color="808080" w:themeColor="background1" w:themeShade="80"/>
              <w:bottom w:val="single" w:sz="4" w:space="0" w:color="auto"/>
            </w:tcBorders>
            <w:vAlign w:val="center"/>
          </w:tcPr>
          <w:p w14:paraId="36475311" w14:textId="09BA9B3E" w:rsidR="00431F02" w:rsidRPr="003A2471" w:rsidRDefault="00431F02" w:rsidP="003A2471">
            <w:pPr>
              <w:widowControl/>
              <w:spacing w:after="240"/>
              <w:jc w:val="center"/>
              <w:rPr>
                <w:lang w:val="es-ES_tradnl"/>
              </w:rPr>
            </w:pPr>
            <w:r w:rsidRPr="003A2471">
              <w:rPr>
                <w:color w:val="000000"/>
                <w:sz w:val="20"/>
                <w:lang w:val="es-ES_tradnl"/>
              </w:rPr>
              <w:t>0</w:t>
            </w:r>
            <w:r w:rsidR="00FF6DAF" w:rsidRPr="003A2471">
              <w:rPr>
                <w:color w:val="000000"/>
                <w:sz w:val="20"/>
                <w:lang w:val="es-ES_tradnl"/>
              </w:rPr>
              <w:t>,</w:t>
            </w:r>
            <w:r w:rsidRPr="003A2471">
              <w:rPr>
                <w:color w:val="000000"/>
                <w:sz w:val="20"/>
                <w:lang w:val="es-ES_tradnl"/>
              </w:rPr>
              <w:t>0%</w:t>
            </w:r>
          </w:p>
        </w:tc>
      </w:tr>
      <w:tr w:rsidR="00FF6DAF" w:rsidRPr="003A2471" w14:paraId="28847A43" w14:textId="77777777" w:rsidTr="001A212F">
        <w:trPr>
          <w:trHeight w:val="292"/>
        </w:trPr>
        <w:tc>
          <w:tcPr>
            <w:tcW w:w="1095" w:type="dxa"/>
            <w:shd w:val="clear" w:color="auto" w:fill="DDEBF7"/>
            <w:vAlign w:val="center"/>
          </w:tcPr>
          <w:p w14:paraId="688CEC9A" w14:textId="77777777" w:rsidR="00431F02" w:rsidRPr="003A2471" w:rsidRDefault="00431F02" w:rsidP="003A2471">
            <w:pPr>
              <w:widowControl/>
              <w:spacing w:after="240"/>
              <w:jc w:val="center"/>
              <w:rPr>
                <w:lang w:val="es-ES_tradnl"/>
              </w:rPr>
            </w:pPr>
            <w:r w:rsidRPr="003A2471">
              <w:rPr>
                <w:b/>
                <w:bCs/>
                <w:color w:val="000000"/>
                <w:sz w:val="20"/>
                <w:lang w:val="es-ES_tradnl"/>
              </w:rPr>
              <w:t>Total</w:t>
            </w:r>
          </w:p>
        </w:tc>
        <w:tc>
          <w:tcPr>
            <w:tcW w:w="1561" w:type="dxa"/>
            <w:shd w:val="clear" w:color="auto" w:fill="DDEBF7"/>
            <w:vAlign w:val="center"/>
          </w:tcPr>
          <w:p w14:paraId="015DC13E" w14:textId="77777777" w:rsidR="00431F02" w:rsidRPr="003A2471" w:rsidRDefault="00431F02" w:rsidP="003A2471">
            <w:pPr>
              <w:widowControl/>
              <w:spacing w:after="240"/>
              <w:jc w:val="center"/>
              <w:rPr>
                <w:lang w:val="es-ES_tradnl"/>
              </w:rPr>
            </w:pPr>
            <w:r w:rsidRPr="003A2471">
              <w:rPr>
                <w:b/>
                <w:bCs/>
                <w:color w:val="000000"/>
                <w:sz w:val="20"/>
                <w:lang w:val="es-ES_tradnl"/>
              </w:rPr>
              <w:t>46</w:t>
            </w:r>
          </w:p>
        </w:tc>
        <w:tc>
          <w:tcPr>
            <w:tcW w:w="1561" w:type="dxa"/>
            <w:shd w:val="clear" w:color="auto" w:fill="DDEBF7"/>
            <w:vAlign w:val="center"/>
          </w:tcPr>
          <w:p w14:paraId="04CB0D37" w14:textId="77777777" w:rsidR="00431F02" w:rsidRPr="003A2471" w:rsidRDefault="00431F02" w:rsidP="003A2471">
            <w:pPr>
              <w:widowControl/>
              <w:spacing w:after="240"/>
              <w:jc w:val="center"/>
              <w:rPr>
                <w:lang w:val="es-ES_tradnl"/>
              </w:rPr>
            </w:pPr>
            <w:r w:rsidRPr="003A2471">
              <w:rPr>
                <w:b/>
                <w:bCs/>
                <w:color w:val="000000"/>
                <w:sz w:val="20"/>
                <w:lang w:val="es-ES_tradnl"/>
              </w:rPr>
              <w:t>34</w:t>
            </w:r>
          </w:p>
        </w:tc>
        <w:tc>
          <w:tcPr>
            <w:tcW w:w="1095" w:type="dxa"/>
            <w:shd w:val="clear" w:color="auto" w:fill="DDEBF7"/>
            <w:vAlign w:val="center"/>
          </w:tcPr>
          <w:p w14:paraId="7CC6B877" w14:textId="48A76C76" w:rsidR="00431F02" w:rsidRPr="003A2471" w:rsidRDefault="00431F02" w:rsidP="003A2471">
            <w:pPr>
              <w:widowControl/>
              <w:spacing w:after="240"/>
              <w:jc w:val="center"/>
              <w:rPr>
                <w:lang w:val="es-ES_tradnl"/>
              </w:rPr>
            </w:pPr>
            <w:r w:rsidRPr="003A2471">
              <w:rPr>
                <w:b/>
                <w:bCs/>
                <w:color w:val="000000"/>
                <w:sz w:val="20"/>
                <w:lang w:val="es-ES_tradnl"/>
              </w:rPr>
              <w:t>42</w:t>
            </w:r>
            <w:r w:rsidR="00E12626" w:rsidRPr="003A2471">
              <w:rPr>
                <w:b/>
                <w:bCs/>
                <w:color w:val="000000"/>
                <w:sz w:val="20"/>
                <w:lang w:val="es-ES_tradnl"/>
              </w:rPr>
              <w:t>,</w:t>
            </w:r>
            <w:r w:rsidRPr="003A2471">
              <w:rPr>
                <w:b/>
                <w:bCs/>
                <w:color w:val="000000"/>
                <w:sz w:val="20"/>
                <w:lang w:val="es-ES_tradnl"/>
              </w:rPr>
              <w:t>5%</w:t>
            </w:r>
          </w:p>
        </w:tc>
        <w:tc>
          <w:tcPr>
            <w:tcW w:w="1561" w:type="dxa"/>
            <w:shd w:val="clear" w:color="auto" w:fill="DDEBF7"/>
            <w:vAlign w:val="center"/>
          </w:tcPr>
          <w:p w14:paraId="6E9FAF7C" w14:textId="213B28F4" w:rsidR="00431F02" w:rsidRPr="003A2471" w:rsidRDefault="00431F02" w:rsidP="003A2471">
            <w:pPr>
              <w:widowControl/>
              <w:spacing w:after="240"/>
              <w:jc w:val="center"/>
              <w:rPr>
                <w:lang w:val="es-ES_tradnl"/>
              </w:rPr>
            </w:pPr>
            <w:r w:rsidRPr="003A2471">
              <w:rPr>
                <w:b/>
                <w:bCs/>
                <w:color w:val="000000"/>
                <w:sz w:val="20"/>
                <w:lang w:val="es-ES_tradnl"/>
              </w:rPr>
              <w:t>3</w:t>
            </w:r>
            <w:r w:rsidR="007D012E" w:rsidRPr="003A2471">
              <w:rPr>
                <w:b/>
                <w:bCs/>
                <w:color w:val="000000"/>
                <w:sz w:val="20"/>
                <w:lang w:val="es-ES_tradnl"/>
              </w:rPr>
              <w:t>3</w:t>
            </w:r>
          </w:p>
        </w:tc>
        <w:tc>
          <w:tcPr>
            <w:tcW w:w="1095" w:type="dxa"/>
            <w:shd w:val="clear" w:color="auto" w:fill="DDEBF7"/>
            <w:vAlign w:val="center"/>
          </w:tcPr>
          <w:p w14:paraId="7F1C2B8B" w14:textId="77777777" w:rsidR="00431F02" w:rsidRPr="003A2471" w:rsidRDefault="00431F02" w:rsidP="003A2471">
            <w:pPr>
              <w:widowControl/>
              <w:spacing w:after="240"/>
              <w:jc w:val="center"/>
              <w:rPr>
                <w:lang w:val="es-ES_tradnl"/>
              </w:rPr>
            </w:pPr>
            <w:r w:rsidRPr="003A2471">
              <w:rPr>
                <w:b/>
                <w:bCs/>
                <w:color w:val="000000"/>
                <w:sz w:val="20"/>
                <w:lang w:val="es-ES_tradnl"/>
              </w:rPr>
              <w:t>17</w:t>
            </w:r>
          </w:p>
        </w:tc>
        <w:tc>
          <w:tcPr>
            <w:tcW w:w="1095" w:type="dxa"/>
            <w:shd w:val="clear" w:color="auto" w:fill="DDEBF7"/>
            <w:vAlign w:val="center"/>
          </w:tcPr>
          <w:p w14:paraId="76BF6B4E" w14:textId="3E98D4B5" w:rsidR="00431F02" w:rsidRPr="003A2471" w:rsidRDefault="00431F02" w:rsidP="003A2471">
            <w:pPr>
              <w:widowControl/>
              <w:spacing w:after="240"/>
              <w:jc w:val="center"/>
              <w:rPr>
                <w:lang w:val="es-ES_tradnl"/>
              </w:rPr>
            </w:pPr>
            <w:r w:rsidRPr="003A2471">
              <w:rPr>
                <w:b/>
                <w:bCs/>
                <w:color w:val="000000"/>
                <w:sz w:val="20"/>
                <w:lang w:val="es-ES_tradnl"/>
              </w:rPr>
              <w:t>34%</w:t>
            </w:r>
          </w:p>
        </w:tc>
      </w:tr>
    </w:tbl>
    <w:p w14:paraId="77BD8925" w14:textId="525DF1A8" w:rsidR="00431F02" w:rsidRPr="003A2471" w:rsidRDefault="000446BA" w:rsidP="003A2471">
      <w:pPr>
        <w:pStyle w:val="ListParagraph"/>
        <w:numPr>
          <w:ilvl w:val="0"/>
          <w:numId w:val="7"/>
        </w:numPr>
        <w:spacing w:before="240" w:after="240"/>
        <w:ind w:left="0" w:firstLine="0"/>
        <w:contextualSpacing w:val="0"/>
        <w:rPr>
          <w:rFonts w:ascii="Arial" w:hAnsi="Arial" w:cs="Arial"/>
          <w:sz w:val="22"/>
          <w:szCs w:val="22"/>
          <w:lang w:val="es-ES_tradnl"/>
        </w:rPr>
      </w:pPr>
      <w:r w:rsidRPr="003A2471">
        <w:rPr>
          <w:rFonts w:ascii="Arial" w:hAnsi="Arial" w:cs="Arial"/>
          <w:sz w:val="22"/>
          <w:szCs w:val="22"/>
          <w:lang w:val="es-ES_tradnl"/>
        </w:rPr>
        <w:t>Otro aspect</w:t>
      </w:r>
      <w:r w:rsidR="00814CF7" w:rsidRPr="003A2471">
        <w:rPr>
          <w:rFonts w:ascii="Arial" w:hAnsi="Arial" w:cs="Arial"/>
          <w:sz w:val="22"/>
          <w:szCs w:val="22"/>
          <w:lang w:val="es-ES_tradnl"/>
        </w:rPr>
        <w:t>o</w:t>
      </w:r>
      <w:r w:rsidRPr="003A2471">
        <w:rPr>
          <w:rFonts w:ascii="Arial" w:hAnsi="Arial" w:cs="Arial"/>
          <w:sz w:val="22"/>
          <w:szCs w:val="22"/>
          <w:lang w:val="es-ES_tradnl"/>
        </w:rPr>
        <w:t xml:space="preserve"> central en las labores de divulgación de la Secretaría es la iniciativa aprobada por el Comité de Coordinación de la OMPI</w:t>
      </w:r>
      <w:r w:rsidR="00431F02" w:rsidRPr="003A2471">
        <w:rPr>
          <w:rStyle w:val="FootnoteReference"/>
          <w:rFonts w:ascii="Arial" w:hAnsi="Arial" w:cs="Arial"/>
          <w:sz w:val="22"/>
          <w:szCs w:val="22"/>
          <w:lang w:val="es-ES_tradnl"/>
        </w:rPr>
        <w:footnoteReference w:id="13"/>
      </w:r>
      <w:r w:rsidRPr="003A2471">
        <w:rPr>
          <w:rFonts w:ascii="Arial" w:hAnsi="Arial" w:cs="Arial"/>
          <w:sz w:val="22"/>
          <w:szCs w:val="22"/>
          <w:lang w:val="es-ES_tradnl"/>
        </w:rPr>
        <w:t>, pensada específicamente para los Estados miembros no representados</w:t>
      </w:r>
      <w:r w:rsidR="00431F02" w:rsidRPr="003A2471">
        <w:rPr>
          <w:rFonts w:ascii="Arial" w:hAnsi="Arial" w:cs="Arial"/>
          <w:sz w:val="22"/>
          <w:szCs w:val="22"/>
          <w:lang w:val="es-ES_tradnl"/>
        </w:rPr>
        <w:t>.</w:t>
      </w:r>
      <w:r w:rsidRPr="003A2471">
        <w:rPr>
          <w:rFonts w:ascii="Arial" w:hAnsi="Arial" w:cs="Arial"/>
          <w:sz w:val="22"/>
          <w:szCs w:val="22"/>
          <w:lang w:val="es-ES_tradnl"/>
        </w:rPr>
        <w:t xml:space="preserve"> El número de Estados miembros no representados que han designado a un coordinador para asistir a la OMPI ha aumentado, y actualmente son 46 los coordinadores designados por Estados miembros, de los cuales algunos han pasado a tener representación. </w:t>
      </w:r>
      <w:r w:rsidR="00CF48AC" w:rsidRPr="003A2471">
        <w:rPr>
          <w:rFonts w:ascii="Arial" w:hAnsi="Arial" w:cs="Arial"/>
          <w:sz w:val="22"/>
          <w:szCs w:val="22"/>
          <w:lang w:val="es-ES_tradnl"/>
        </w:rPr>
        <w:t xml:space="preserve">Entre las actividades emprendidas para entrar en contacto con los coordinadores y suministrarles orientación se cuentan seminarios web introductorios, la facilitación de datos sobre candidaturas de nacionales, </w:t>
      </w:r>
      <w:r w:rsidR="007D012E" w:rsidRPr="003A2471">
        <w:rPr>
          <w:rFonts w:ascii="Arial" w:hAnsi="Arial" w:cs="Arial"/>
          <w:sz w:val="22"/>
          <w:szCs w:val="22"/>
          <w:lang w:val="es-ES_tradnl"/>
        </w:rPr>
        <w:t xml:space="preserve">la </w:t>
      </w:r>
      <w:r w:rsidR="00CF48AC" w:rsidRPr="003A2471">
        <w:rPr>
          <w:rFonts w:ascii="Arial" w:hAnsi="Arial" w:cs="Arial"/>
          <w:sz w:val="22"/>
          <w:szCs w:val="22"/>
          <w:lang w:val="es-ES_tradnl"/>
        </w:rPr>
        <w:t>difusi</w:t>
      </w:r>
      <w:r w:rsidR="008436AE" w:rsidRPr="003A2471">
        <w:rPr>
          <w:rFonts w:ascii="Arial" w:hAnsi="Arial" w:cs="Arial"/>
          <w:sz w:val="22"/>
          <w:szCs w:val="22"/>
          <w:lang w:val="es-ES_tradnl"/>
        </w:rPr>
        <w:t>ón automática de vacantes de la </w:t>
      </w:r>
      <w:r w:rsidR="00CF48AC" w:rsidRPr="003A2471">
        <w:rPr>
          <w:rFonts w:ascii="Arial" w:hAnsi="Arial" w:cs="Arial"/>
          <w:sz w:val="22"/>
          <w:szCs w:val="22"/>
          <w:lang w:val="es-ES_tradnl"/>
        </w:rPr>
        <w:t xml:space="preserve">OMPI en las categorías profesional y de dirección y actividades de colaboración para determinar </w:t>
      </w:r>
      <w:r w:rsidR="008436AE" w:rsidRPr="003A2471">
        <w:rPr>
          <w:rFonts w:ascii="Arial" w:hAnsi="Arial" w:cs="Arial"/>
          <w:sz w:val="22"/>
          <w:szCs w:val="22"/>
          <w:lang w:val="es-ES_tradnl"/>
        </w:rPr>
        <w:t>una red local,</w:t>
      </w:r>
      <w:r w:rsidR="007D012E" w:rsidRPr="003A2471">
        <w:rPr>
          <w:rFonts w:ascii="Arial" w:hAnsi="Arial" w:cs="Arial"/>
          <w:sz w:val="22"/>
          <w:szCs w:val="22"/>
          <w:lang w:val="es-ES_tradnl"/>
        </w:rPr>
        <w:t xml:space="preserve"> así como</w:t>
      </w:r>
      <w:r w:rsidR="00CF48AC" w:rsidRPr="003A2471">
        <w:rPr>
          <w:rFonts w:ascii="Arial" w:hAnsi="Arial" w:cs="Arial"/>
          <w:sz w:val="22"/>
          <w:szCs w:val="22"/>
          <w:lang w:val="es-ES_tradnl"/>
        </w:rPr>
        <w:t xml:space="preserve"> canales de apoyo a la iniciativa</w:t>
      </w:r>
      <w:r w:rsidR="00431F02" w:rsidRPr="003A2471">
        <w:rPr>
          <w:rFonts w:ascii="Arial" w:hAnsi="Arial" w:cs="Arial"/>
          <w:sz w:val="22"/>
          <w:szCs w:val="22"/>
          <w:lang w:val="es-ES_tradnl"/>
        </w:rPr>
        <w:t>.</w:t>
      </w:r>
    </w:p>
    <w:p w14:paraId="59712796" w14:textId="39F2B9D7" w:rsidR="00431F02" w:rsidRPr="003A2471" w:rsidRDefault="00CF48AC" w:rsidP="003A2471">
      <w:pPr>
        <w:pStyle w:val="ListParagraph"/>
        <w:numPr>
          <w:ilvl w:val="0"/>
          <w:numId w:val="7"/>
        </w:numPr>
        <w:spacing w:after="240"/>
        <w:ind w:left="0" w:firstLine="0"/>
        <w:contextualSpacing w:val="0"/>
        <w:rPr>
          <w:rFonts w:ascii="Arial" w:hAnsi="Arial" w:cs="Arial"/>
          <w:sz w:val="22"/>
          <w:szCs w:val="22"/>
          <w:lang w:val="es-ES_tradnl"/>
        </w:rPr>
      </w:pPr>
      <w:r w:rsidRPr="003A2471">
        <w:rPr>
          <w:rFonts w:ascii="Arial" w:hAnsi="Arial" w:cs="Arial"/>
          <w:sz w:val="22"/>
          <w:szCs w:val="22"/>
          <w:lang w:val="es-ES_tradnl"/>
        </w:rPr>
        <w:t xml:space="preserve">Por otra parte, el Departamento de Gestión de los Recursos Humanos (DGRH) está colaborando con otros sectores de la Organización para incorporar el componente de divulgación en varias misiones y eventos que tienen lugar en Estados miembros. En 2019, </w:t>
      </w:r>
      <w:r w:rsidR="000A755E" w:rsidRPr="003A2471">
        <w:rPr>
          <w:rFonts w:ascii="Arial" w:hAnsi="Arial" w:cs="Arial"/>
          <w:sz w:val="22"/>
          <w:szCs w:val="22"/>
          <w:lang w:val="es-ES_tradnl"/>
        </w:rPr>
        <w:t>asistieron a las ponencias de divulgación nacionales de 27 Estados miembros en eventos nacionales y regionales celebrados en cinco regiones</w:t>
      </w:r>
      <w:r w:rsidR="00431F02" w:rsidRPr="003A2471">
        <w:rPr>
          <w:rFonts w:ascii="Arial" w:hAnsi="Arial" w:cs="Arial"/>
          <w:sz w:val="22"/>
          <w:szCs w:val="22"/>
          <w:lang w:val="es-ES_tradnl"/>
        </w:rPr>
        <w:t xml:space="preserve">: </w:t>
      </w:r>
      <w:r w:rsidR="000A755E" w:rsidRPr="003A2471">
        <w:rPr>
          <w:rFonts w:ascii="Arial" w:hAnsi="Arial" w:cs="Arial"/>
          <w:sz w:val="22"/>
          <w:szCs w:val="22"/>
          <w:lang w:val="es-ES_tradnl"/>
        </w:rPr>
        <w:t>Á</w:t>
      </w:r>
      <w:r w:rsidR="00431F02" w:rsidRPr="003A2471">
        <w:rPr>
          <w:rFonts w:ascii="Arial" w:hAnsi="Arial" w:cs="Arial"/>
          <w:sz w:val="22"/>
          <w:szCs w:val="22"/>
          <w:lang w:val="es-ES_tradnl"/>
        </w:rPr>
        <w:t>frica, Asia</w:t>
      </w:r>
      <w:r w:rsidR="000A755E" w:rsidRPr="003A2471">
        <w:rPr>
          <w:rFonts w:ascii="Arial" w:hAnsi="Arial" w:cs="Arial"/>
          <w:sz w:val="22"/>
          <w:szCs w:val="22"/>
          <w:lang w:val="es-ES_tradnl"/>
        </w:rPr>
        <w:t xml:space="preserve"> y el Pacífico</w:t>
      </w:r>
      <w:r w:rsidR="00431F02" w:rsidRPr="003A2471">
        <w:rPr>
          <w:rFonts w:ascii="Arial" w:hAnsi="Arial" w:cs="Arial"/>
          <w:sz w:val="22"/>
          <w:szCs w:val="22"/>
          <w:lang w:val="es-ES_tradnl"/>
        </w:rPr>
        <w:t xml:space="preserve">, </w:t>
      </w:r>
      <w:r w:rsidR="000A755E" w:rsidRPr="003A2471">
        <w:rPr>
          <w:rFonts w:ascii="Arial" w:hAnsi="Arial" w:cs="Arial"/>
          <w:sz w:val="22"/>
          <w:szCs w:val="22"/>
          <w:lang w:val="es-ES_tradnl"/>
        </w:rPr>
        <w:t xml:space="preserve">Europa Central y Oriental y Asia </w:t>
      </w:r>
      <w:r w:rsidR="00431F02" w:rsidRPr="003A2471">
        <w:rPr>
          <w:rFonts w:ascii="Arial" w:hAnsi="Arial" w:cs="Arial"/>
          <w:sz w:val="22"/>
          <w:szCs w:val="22"/>
          <w:lang w:val="es-ES_tradnl"/>
        </w:rPr>
        <w:t xml:space="preserve">Central, </w:t>
      </w:r>
      <w:r w:rsidR="000A755E" w:rsidRPr="003A2471">
        <w:rPr>
          <w:rFonts w:ascii="Arial" w:hAnsi="Arial" w:cs="Arial"/>
          <w:sz w:val="22"/>
          <w:szCs w:val="22"/>
          <w:lang w:val="es-ES_tradnl"/>
        </w:rPr>
        <w:t>América Latina y el Caribe y Oriente Medio</w:t>
      </w:r>
      <w:r w:rsidR="00431F02" w:rsidRPr="003A2471">
        <w:rPr>
          <w:rFonts w:ascii="Arial" w:hAnsi="Arial" w:cs="Arial"/>
          <w:sz w:val="22"/>
          <w:szCs w:val="22"/>
          <w:lang w:val="es-ES_tradnl"/>
        </w:rPr>
        <w:t>.</w:t>
      </w:r>
    </w:p>
    <w:p w14:paraId="3A5A72A9" w14:textId="3FD9786C" w:rsidR="00431F02" w:rsidRPr="003A2471" w:rsidRDefault="009D256E" w:rsidP="003A2471">
      <w:pPr>
        <w:pStyle w:val="ListParagraph"/>
        <w:numPr>
          <w:ilvl w:val="0"/>
          <w:numId w:val="7"/>
        </w:numPr>
        <w:spacing w:after="240"/>
        <w:ind w:left="0" w:firstLine="0"/>
        <w:contextualSpacing w:val="0"/>
        <w:rPr>
          <w:rFonts w:ascii="Arial" w:hAnsi="Arial" w:cs="Arial"/>
          <w:sz w:val="22"/>
          <w:szCs w:val="22"/>
          <w:lang w:val="es-ES_tradnl"/>
        </w:rPr>
      </w:pPr>
      <w:r w:rsidRPr="003A2471">
        <w:rPr>
          <w:rFonts w:ascii="Arial" w:hAnsi="Arial" w:cs="Arial"/>
          <w:sz w:val="22"/>
          <w:szCs w:val="22"/>
          <w:lang w:val="es-ES_tradnl"/>
        </w:rPr>
        <w:t>Como resultado de este enfoque multidimensional, en el bienio 2018-2019 se registró un importante aumento del porcentaje de candidatos procedentes de Estados miembros no representados (13,8%) frente al bienio anterior (7,4%), y, en 2019, se nombró</w:t>
      </w:r>
      <w:r w:rsidR="00814CF7" w:rsidRPr="003A2471">
        <w:rPr>
          <w:rFonts w:ascii="Arial" w:hAnsi="Arial" w:cs="Arial"/>
          <w:sz w:val="22"/>
          <w:szCs w:val="22"/>
          <w:lang w:val="es-ES_tradnl"/>
        </w:rPr>
        <w:t xml:space="preserve"> a puestos</w:t>
      </w:r>
      <w:r w:rsidRPr="003A2471">
        <w:rPr>
          <w:rFonts w:ascii="Arial" w:hAnsi="Arial" w:cs="Arial"/>
          <w:sz w:val="22"/>
          <w:szCs w:val="22"/>
          <w:lang w:val="es-ES_tradnl"/>
        </w:rPr>
        <w:t xml:space="preserve"> a cinco candidatos de países que previamente no tenían representación</w:t>
      </w:r>
      <w:r w:rsidR="00431F02" w:rsidRPr="003A2471">
        <w:rPr>
          <w:rFonts w:ascii="Arial" w:hAnsi="Arial" w:cs="Arial"/>
          <w:sz w:val="22"/>
          <w:szCs w:val="22"/>
          <w:lang w:val="es-ES_tradnl"/>
        </w:rPr>
        <w:t>.</w:t>
      </w:r>
    </w:p>
    <w:p w14:paraId="47962D0E" w14:textId="470E9767" w:rsidR="00431F02" w:rsidRPr="003A2471" w:rsidRDefault="00726F56" w:rsidP="003A2471">
      <w:pPr>
        <w:pStyle w:val="ListParagraph"/>
        <w:numPr>
          <w:ilvl w:val="0"/>
          <w:numId w:val="7"/>
        </w:numPr>
        <w:spacing w:after="240"/>
        <w:ind w:left="0" w:firstLine="0"/>
        <w:contextualSpacing w:val="0"/>
        <w:rPr>
          <w:rFonts w:ascii="Arial" w:hAnsi="Arial" w:cs="Arial"/>
          <w:sz w:val="22"/>
          <w:szCs w:val="22"/>
          <w:lang w:val="es-ES_tradnl"/>
        </w:rPr>
      </w:pPr>
      <w:r w:rsidRPr="003A2471">
        <w:rPr>
          <w:rFonts w:ascii="Arial" w:hAnsi="Arial" w:cs="Arial"/>
          <w:sz w:val="22"/>
          <w:szCs w:val="22"/>
          <w:lang w:val="es-ES_tradnl"/>
        </w:rPr>
        <w:t xml:space="preserve">El Programa de Pasantías constituye una valiosa fuente de jóvenes talentos. Tras la mejora de las condiciones, el programa es ahora más accesible y en 2019 el número de nacionalidades </w:t>
      </w:r>
      <w:r w:rsidR="007D012E" w:rsidRPr="003A2471">
        <w:rPr>
          <w:rFonts w:ascii="Arial" w:hAnsi="Arial" w:cs="Arial"/>
          <w:sz w:val="22"/>
          <w:szCs w:val="22"/>
          <w:lang w:val="es-ES_tradnl"/>
        </w:rPr>
        <w:t>representadas por los pasantes aumentó</w:t>
      </w:r>
      <w:r w:rsidRPr="003A2471">
        <w:rPr>
          <w:rFonts w:ascii="Arial" w:hAnsi="Arial" w:cs="Arial"/>
          <w:sz w:val="22"/>
          <w:szCs w:val="22"/>
          <w:lang w:val="es-ES_tradnl"/>
        </w:rPr>
        <w:t xml:space="preserve"> un 25%, con 25 nacionalidades representadas </w:t>
      </w:r>
      <w:r w:rsidR="007D012E" w:rsidRPr="003A2471">
        <w:rPr>
          <w:rFonts w:ascii="Arial" w:hAnsi="Arial" w:cs="Arial"/>
          <w:sz w:val="22"/>
          <w:szCs w:val="22"/>
          <w:lang w:val="es-ES_tradnl"/>
        </w:rPr>
        <w:t>frente</w:t>
      </w:r>
      <w:r w:rsidRPr="003A2471">
        <w:rPr>
          <w:rFonts w:ascii="Arial" w:hAnsi="Arial" w:cs="Arial"/>
          <w:sz w:val="22"/>
          <w:szCs w:val="22"/>
          <w:lang w:val="es-ES_tradnl"/>
        </w:rPr>
        <w:t xml:space="preserve"> a las 20 nacionalidades representadas en 2018. La OMPI puede presumir de un índice de satisfacción del 100% con respecto a los pasantes </w:t>
      </w:r>
      <w:r w:rsidR="007D012E" w:rsidRPr="003A2471">
        <w:rPr>
          <w:rFonts w:ascii="Arial" w:hAnsi="Arial" w:cs="Arial"/>
          <w:sz w:val="22"/>
          <w:szCs w:val="22"/>
          <w:lang w:val="es-ES_tradnl"/>
        </w:rPr>
        <w:t>encuestados</w:t>
      </w:r>
      <w:r w:rsidRPr="003A2471">
        <w:rPr>
          <w:rFonts w:ascii="Arial" w:hAnsi="Arial" w:cs="Arial"/>
          <w:sz w:val="22"/>
          <w:szCs w:val="22"/>
          <w:lang w:val="es-ES_tradnl"/>
        </w:rPr>
        <w:t xml:space="preserve"> que recomendarían a la OMPI como un empleador de su elección, con un 96% de pasantes que señala que la pasantía mejoró su situación de cara a futuras oportunidades de empleo. Hay otro indicador, reflejado en los resultados de una encuesta efectuada mediante la iniciativa </w:t>
      </w:r>
      <w:r w:rsidRPr="003A2471">
        <w:rPr>
          <w:rFonts w:ascii="Arial" w:hAnsi="Arial" w:cs="Arial"/>
          <w:i/>
          <w:sz w:val="22"/>
          <w:szCs w:val="22"/>
          <w:lang w:val="es-ES_tradnl"/>
        </w:rPr>
        <w:t>Fair Internship Initiative</w:t>
      </w:r>
      <w:r w:rsidR="00B53214" w:rsidRPr="003A2471">
        <w:rPr>
          <w:rFonts w:ascii="Arial" w:hAnsi="Arial" w:cs="Arial"/>
          <w:i/>
          <w:sz w:val="22"/>
          <w:szCs w:val="22"/>
          <w:lang w:val="es-ES_tradnl"/>
        </w:rPr>
        <w:t>,</w:t>
      </w:r>
      <w:r w:rsidRPr="003A2471">
        <w:rPr>
          <w:rFonts w:ascii="Arial" w:hAnsi="Arial" w:cs="Arial"/>
          <w:sz w:val="22"/>
          <w:szCs w:val="22"/>
          <w:lang w:val="es-ES_tradnl"/>
        </w:rPr>
        <w:t xml:space="preserve"> emprendida en 2019, en que el Programa de Pasantías de la OMPI fue calificado </w:t>
      </w:r>
      <w:r w:rsidR="00B53214" w:rsidRPr="003A2471">
        <w:rPr>
          <w:rFonts w:ascii="Arial" w:hAnsi="Arial" w:cs="Arial"/>
          <w:sz w:val="22"/>
          <w:szCs w:val="22"/>
          <w:lang w:val="es-ES_tradnl"/>
        </w:rPr>
        <w:t>como uno de</w:t>
      </w:r>
      <w:r w:rsidRPr="003A2471">
        <w:rPr>
          <w:rFonts w:ascii="Arial" w:hAnsi="Arial" w:cs="Arial"/>
          <w:sz w:val="22"/>
          <w:szCs w:val="22"/>
          <w:lang w:val="es-ES_tradnl"/>
        </w:rPr>
        <w:t xml:space="preserve"> los mejores </w:t>
      </w:r>
      <w:r w:rsidR="00B53214" w:rsidRPr="003A2471">
        <w:rPr>
          <w:rFonts w:ascii="Arial" w:hAnsi="Arial" w:cs="Arial"/>
          <w:sz w:val="22"/>
          <w:szCs w:val="22"/>
          <w:lang w:val="es-ES_tradnl"/>
        </w:rPr>
        <w:t>en el contexto de</w:t>
      </w:r>
      <w:r w:rsidRPr="003A2471">
        <w:rPr>
          <w:rFonts w:ascii="Arial" w:hAnsi="Arial" w:cs="Arial"/>
          <w:sz w:val="22"/>
          <w:szCs w:val="22"/>
          <w:lang w:val="es-ES_tradnl"/>
        </w:rPr>
        <w:t xml:space="preserve"> las organizaciones internacionales</w:t>
      </w:r>
      <w:r w:rsidR="00431F02" w:rsidRPr="003A2471">
        <w:rPr>
          <w:rFonts w:ascii="Arial" w:hAnsi="Arial" w:cs="Arial"/>
          <w:sz w:val="22"/>
          <w:szCs w:val="22"/>
          <w:lang w:val="es-ES_tradnl"/>
        </w:rPr>
        <w:t xml:space="preserve">. </w:t>
      </w:r>
    </w:p>
    <w:p w14:paraId="4F75CBB7" w14:textId="5003E813" w:rsidR="00431F02" w:rsidRPr="003A2471" w:rsidRDefault="006A3AFD" w:rsidP="003A2471">
      <w:pPr>
        <w:pStyle w:val="ListParagraph"/>
        <w:numPr>
          <w:ilvl w:val="0"/>
          <w:numId w:val="7"/>
        </w:numPr>
        <w:spacing w:after="240"/>
        <w:ind w:left="0" w:firstLine="0"/>
        <w:contextualSpacing w:val="0"/>
        <w:rPr>
          <w:rFonts w:ascii="Arial" w:hAnsi="Arial" w:cs="Arial"/>
          <w:sz w:val="22"/>
          <w:szCs w:val="22"/>
          <w:lang w:val="es-ES_tradnl"/>
        </w:rPr>
      </w:pPr>
      <w:r w:rsidRPr="003A2471">
        <w:rPr>
          <w:rFonts w:ascii="Arial" w:hAnsi="Arial" w:cs="Arial"/>
          <w:sz w:val="22"/>
          <w:szCs w:val="22"/>
          <w:lang w:val="es-ES_tradnl"/>
        </w:rPr>
        <w:t xml:space="preserve">Los programas de becas de estudios y de pasantías se han convertido en la vía para atraer y mantener en la Organización a jóvenes talentos diversos. En un período de 7 años, entre abril de 2013 y abril de 2020, se nombró a 53 antiguos becarios y pasantes de 26 nacionalidades diferentes para cubrir puestos temporales (60%), o puestos de plazo fijo (40%). Cerca de dos tercios (62%) de los pasantes y becarios que se mantuvieron eran mujeres, y la </w:t>
      </w:r>
      <w:r w:rsidR="00FB1301" w:rsidRPr="003A2471">
        <w:rPr>
          <w:rFonts w:ascii="Arial" w:hAnsi="Arial" w:cs="Arial"/>
          <w:sz w:val="22"/>
          <w:szCs w:val="22"/>
          <w:lang w:val="es-ES_tradnl"/>
        </w:rPr>
        <w:t xml:space="preserve">media de </w:t>
      </w:r>
      <w:r w:rsidRPr="003A2471">
        <w:rPr>
          <w:rFonts w:ascii="Arial" w:hAnsi="Arial" w:cs="Arial"/>
          <w:sz w:val="22"/>
          <w:szCs w:val="22"/>
          <w:lang w:val="es-ES_tradnl"/>
        </w:rPr>
        <w:t xml:space="preserve">edad era de 33 años, lo que constituye un índice de </w:t>
      </w:r>
      <w:r w:rsidR="00FB1301" w:rsidRPr="003A2471">
        <w:rPr>
          <w:rFonts w:ascii="Arial" w:hAnsi="Arial" w:cs="Arial"/>
          <w:sz w:val="22"/>
          <w:szCs w:val="22"/>
          <w:lang w:val="es-ES_tradnl"/>
        </w:rPr>
        <w:t>mantenimiento de personal de un </w:t>
      </w:r>
      <w:r w:rsidRPr="003A2471">
        <w:rPr>
          <w:rFonts w:ascii="Arial" w:hAnsi="Arial" w:cs="Arial"/>
          <w:sz w:val="22"/>
          <w:szCs w:val="22"/>
          <w:lang w:val="es-ES_tradnl"/>
        </w:rPr>
        <w:t>10% del número total de becarios y pasantes que pasaron por la OMPI durante ese período. En los gráficos que figuran a continuación se ofrece información más detallada</w:t>
      </w:r>
      <w:r w:rsidR="00431F02" w:rsidRPr="003A2471">
        <w:rPr>
          <w:rFonts w:ascii="Arial" w:hAnsi="Arial" w:cs="Arial"/>
          <w:sz w:val="22"/>
          <w:szCs w:val="22"/>
          <w:lang w:val="es-ES_tradnl"/>
        </w:rPr>
        <w:t>.</w:t>
      </w:r>
    </w:p>
    <w:p w14:paraId="4C8DCC73" w14:textId="75D95508" w:rsidR="00786EB0" w:rsidRDefault="00554175" w:rsidP="003A2471">
      <w:pPr>
        <w:pStyle w:val="Heading2"/>
        <w:keepNext w:val="0"/>
        <w:spacing w:before="360" w:after="240"/>
        <w:rPr>
          <w:lang w:val="es-ES_tradnl"/>
        </w:rPr>
      </w:pPr>
      <w:r w:rsidRPr="00554175">
        <w:rPr>
          <w:noProof/>
          <w:lang w:val="en-US" w:eastAsia="en-US"/>
        </w:rPr>
        <w:drawing>
          <wp:inline distT="0" distB="0" distL="0" distR="0" wp14:anchorId="7FC3AF09" wp14:editId="76C6B189">
            <wp:extent cx="5940425" cy="1828351"/>
            <wp:effectExtent l="0" t="0" r="3175" b="635"/>
            <wp:docPr id="11" name="Picture 11" descr="Nombramiento de pasantes/becarios por grado.&#10;Nombramiento de pasantes/bacarios por sector" title="Gráfi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940425" cy="1828351"/>
                    </a:xfrm>
                    <a:prstGeom prst="rect">
                      <a:avLst/>
                    </a:prstGeom>
                    <a:noFill/>
                    <a:ln>
                      <a:noFill/>
                    </a:ln>
                  </pic:spPr>
                </pic:pic>
              </a:graphicData>
            </a:graphic>
          </wp:inline>
        </w:drawing>
      </w:r>
    </w:p>
    <w:p w14:paraId="423860FC" w14:textId="3AA0F96E" w:rsidR="00431F02" w:rsidRPr="003A2471" w:rsidRDefault="00431F02" w:rsidP="003A2471">
      <w:pPr>
        <w:pStyle w:val="Heading2"/>
        <w:keepNext w:val="0"/>
        <w:spacing w:before="360" w:after="240"/>
        <w:rPr>
          <w:lang w:val="es-ES_tradnl"/>
        </w:rPr>
      </w:pPr>
      <w:r w:rsidRPr="003A2471">
        <w:rPr>
          <w:lang w:val="es-ES_tradnl"/>
        </w:rPr>
        <w:t>Acces</w:t>
      </w:r>
      <w:r w:rsidR="006A3AFD" w:rsidRPr="003A2471">
        <w:rPr>
          <w:lang w:val="es-ES_tradnl"/>
        </w:rPr>
        <w:t>o al talento</w:t>
      </w:r>
      <w:r w:rsidRPr="003A2471">
        <w:rPr>
          <w:lang w:val="es-ES_tradnl"/>
        </w:rPr>
        <w:t xml:space="preserve"> </w:t>
      </w:r>
    </w:p>
    <w:p w14:paraId="3B830110" w14:textId="61782FB9" w:rsidR="00431F02" w:rsidRPr="003A2471" w:rsidRDefault="00783F1C" w:rsidP="003A2471">
      <w:pPr>
        <w:pStyle w:val="ListParagraph"/>
        <w:numPr>
          <w:ilvl w:val="0"/>
          <w:numId w:val="7"/>
        </w:numPr>
        <w:spacing w:after="240"/>
        <w:ind w:left="0" w:firstLine="0"/>
        <w:contextualSpacing w:val="0"/>
        <w:rPr>
          <w:rFonts w:ascii="Arial" w:hAnsi="Arial" w:cs="Arial"/>
          <w:sz w:val="22"/>
          <w:szCs w:val="22"/>
          <w:lang w:val="es-ES_tradnl"/>
        </w:rPr>
      </w:pPr>
      <w:r w:rsidRPr="003A2471">
        <w:rPr>
          <w:rFonts w:ascii="Arial" w:hAnsi="Arial" w:cs="Arial"/>
          <w:sz w:val="22"/>
          <w:szCs w:val="22"/>
          <w:lang w:val="es-ES_tradnl"/>
        </w:rPr>
        <w:t xml:space="preserve">La OMPI está adoptando gradualmente un enfoque más ágil a fin de aprovechar el talento interno y utilizar otras soluciones flexibles de recursos humanos con mayor eficiencia y control. A ese respecto, está en marcha un proyecto piloto para aumentar la movilidad interna, de manera que </w:t>
      </w:r>
      <w:r w:rsidR="00E36C34" w:rsidRPr="003A2471">
        <w:rPr>
          <w:rFonts w:ascii="Arial" w:hAnsi="Arial" w:cs="Arial"/>
          <w:sz w:val="22"/>
          <w:szCs w:val="22"/>
          <w:lang w:val="es-ES_tradnl"/>
        </w:rPr>
        <w:t>los miembros d</w:t>
      </w:r>
      <w:r w:rsidRPr="003A2471">
        <w:rPr>
          <w:rFonts w:ascii="Arial" w:hAnsi="Arial" w:cs="Arial"/>
          <w:sz w:val="22"/>
          <w:szCs w:val="22"/>
          <w:lang w:val="es-ES_tradnl"/>
        </w:rPr>
        <w:t xml:space="preserve">el personal con </w:t>
      </w:r>
      <w:r w:rsidR="00381DC2" w:rsidRPr="003A2471">
        <w:rPr>
          <w:rFonts w:ascii="Arial" w:hAnsi="Arial" w:cs="Arial"/>
          <w:sz w:val="22"/>
          <w:szCs w:val="22"/>
          <w:lang w:val="es-ES_tradnl"/>
        </w:rPr>
        <w:t>nombramientos de plazo fijo, continuo y permanente pueda</w:t>
      </w:r>
      <w:r w:rsidR="00FB6C2F" w:rsidRPr="003A2471">
        <w:rPr>
          <w:rFonts w:ascii="Arial" w:hAnsi="Arial" w:cs="Arial"/>
          <w:sz w:val="22"/>
          <w:szCs w:val="22"/>
          <w:lang w:val="es-ES_tradnl"/>
        </w:rPr>
        <w:t>n</w:t>
      </w:r>
      <w:r w:rsidR="00381DC2" w:rsidRPr="003A2471">
        <w:rPr>
          <w:rFonts w:ascii="Arial" w:hAnsi="Arial" w:cs="Arial"/>
          <w:sz w:val="22"/>
          <w:szCs w:val="22"/>
          <w:lang w:val="es-ES_tradnl"/>
        </w:rPr>
        <w:t xml:space="preserve"> desempeñar asignaciones temporales, </w:t>
      </w:r>
      <w:r w:rsidR="005A3088" w:rsidRPr="003A2471">
        <w:rPr>
          <w:rFonts w:ascii="Arial" w:hAnsi="Arial" w:cs="Arial"/>
          <w:sz w:val="22"/>
          <w:szCs w:val="22"/>
          <w:lang w:val="es-ES_tradnl"/>
        </w:rPr>
        <w:t>en</w:t>
      </w:r>
      <w:r w:rsidR="00381DC2" w:rsidRPr="003A2471">
        <w:rPr>
          <w:rFonts w:ascii="Arial" w:hAnsi="Arial" w:cs="Arial"/>
          <w:sz w:val="22"/>
          <w:szCs w:val="22"/>
          <w:lang w:val="es-ES_tradnl"/>
        </w:rPr>
        <w:t xml:space="preserve"> determinadas condiciones, manteniendo sus condiciones y prerrogativas contractuales. Dichas asignaciones temporales ofrecen al personal la oportunidad de ampliar su experiencia y adquirir competencias en otros sectores de la Organización</w:t>
      </w:r>
      <w:r w:rsidR="00431F02" w:rsidRPr="003A2471">
        <w:rPr>
          <w:rFonts w:ascii="Arial" w:hAnsi="Arial" w:cs="Arial"/>
          <w:sz w:val="22"/>
          <w:szCs w:val="22"/>
          <w:lang w:val="es-ES_tradnl"/>
        </w:rPr>
        <w:t>.</w:t>
      </w:r>
    </w:p>
    <w:p w14:paraId="02BFA9AA" w14:textId="471217F9" w:rsidR="00431F02" w:rsidRPr="003A2471" w:rsidRDefault="00D92F32" w:rsidP="003A2471">
      <w:pPr>
        <w:pStyle w:val="ListParagraph"/>
        <w:numPr>
          <w:ilvl w:val="0"/>
          <w:numId w:val="7"/>
        </w:numPr>
        <w:spacing w:after="360"/>
        <w:ind w:left="0" w:firstLine="0"/>
        <w:contextualSpacing w:val="0"/>
        <w:rPr>
          <w:rFonts w:ascii="Arial" w:hAnsi="Arial" w:cs="Arial"/>
          <w:sz w:val="22"/>
          <w:szCs w:val="22"/>
          <w:lang w:val="es-ES_tradnl"/>
        </w:rPr>
      </w:pPr>
      <w:r w:rsidRPr="003A2471">
        <w:rPr>
          <w:rFonts w:ascii="Arial" w:hAnsi="Arial" w:cs="Arial"/>
          <w:sz w:val="22"/>
          <w:szCs w:val="22"/>
          <w:lang w:val="es-ES_tradnl"/>
        </w:rPr>
        <w:t xml:space="preserve">Para mejorar la capacidad de la Secretaría </w:t>
      </w:r>
      <w:r w:rsidR="00F33919" w:rsidRPr="003A2471">
        <w:rPr>
          <w:rFonts w:ascii="Arial" w:hAnsi="Arial" w:cs="Arial"/>
          <w:sz w:val="22"/>
          <w:szCs w:val="22"/>
          <w:lang w:val="es-ES_tradnl"/>
        </w:rPr>
        <w:t xml:space="preserve">en la estimación precisa de las futuras necesidades, también se está </w:t>
      </w:r>
      <w:r w:rsidR="00E16C51" w:rsidRPr="003A2471">
        <w:rPr>
          <w:rFonts w:ascii="Arial" w:hAnsi="Arial" w:cs="Arial"/>
          <w:sz w:val="22"/>
          <w:szCs w:val="22"/>
          <w:lang w:val="es-ES_tradnl"/>
        </w:rPr>
        <w:t>poniendo</w:t>
      </w:r>
      <w:r w:rsidR="00F33919" w:rsidRPr="003A2471">
        <w:rPr>
          <w:rFonts w:ascii="Arial" w:hAnsi="Arial" w:cs="Arial"/>
          <w:sz w:val="22"/>
          <w:szCs w:val="22"/>
          <w:lang w:val="es-ES_tradnl"/>
        </w:rPr>
        <w:t xml:space="preserve"> atención </w:t>
      </w:r>
      <w:r w:rsidR="00E16C51" w:rsidRPr="003A2471">
        <w:rPr>
          <w:rFonts w:ascii="Arial" w:hAnsi="Arial" w:cs="Arial"/>
          <w:sz w:val="22"/>
          <w:szCs w:val="22"/>
          <w:lang w:val="es-ES_tradnl"/>
        </w:rPr>
        <w:t>en</w:t>
      </w:r>
      <w:r w:rsidR="00F33919" w:rsidRPr="003A2471">
        <w:rPr>
          <w:rFonts w:ascii="Arial" w:hAnsi="Arial" w:cs="Arial"/>
          <w:sz w:val="22"/>
          <w:szCs w:val="22"/>
          <w:lang w:val="es-ES_tradnl"/>
        </w:rPr>
        <w:t xml:space="preserve"> mejorar los datos de inteligencia institucional para poder efectuar un análisis de deficiencias m</w:t>
      </w:r>
      <w:r w:rsidR="005A3088" w:rsidRPr="003A2471">
        <w:rPr>
          <w:rFonts w:ascii="Arial" w:hAnsi="Arial" w:cs="Arial"/>
          <w:sz w:val="22"/>
          <w:szCs w:val="22"/>
          <w:lang w:val="es-ES_tradnl"/>
        </w:rPr>
        <w:t>ás rigu</w:t>
      </w:r>
      <w:r w:rsidR="00F33919" w:rsidRPr="003A2471">
        <w:rPr>
          <w:rFonts w:ascii="Arial" w:hAnsi="Arial" w:cs="Arial"/>
          <w:sz w:val="22"/>
          <w:szCs w:val="22"/>
          <w:lang w:val="es-ES_tradnl"/>
        </w:rPr>
        <w:t>roso que sirva de base en los procesos de planificación estratégica. Además, se siguen estudiando las ventajas de utilizar la inteligencia artificial para agilizar los procesos de contratación</w:t>
      </w:r>
      <w:r w:rsidR="00E16C51" w:rsidRPr="003A2471">
        <w:rPr>
          <w:rFonts w:ascii="Arial" w:hAnsi="Arial" w:cs="Arial"/>
          <w:sz w:val="22"/>
          <w:szCs w:val="22"/>
          <w:lang w:val="es-ES_tradnl"/>
        </w:rPr>
        <w:t xml:space="preserve"> sin dejar de prestar</w:t>
      </w:r>
      <w:r w:rsidR="00F33919" w:rsidRPr="003A2471">
        <w:rPr>
          <w:rFonts w:ascii="Arial" w:hAnsi="Arial" w:cs="Arial"/>
          <w:sz w:val="22"/>
          <w:szCs w:val="22"/>
          <w:lang w:val="es-ES_tradnl"/>
        </w:rPr>
        <w:t xml:space="preserve"> especial atención a los riesgos que entraña la utilización de esta tecnología. Tras contrastar </w:t>
      </w:r>
      <w:r w:rsidR="00011F04" w:rsidRPr="003A2471">
        <w:rPr>
          <w:rFonts w:ascii="Arial" w:hAnsi="Arial" w:cs="Arial"/>
          <w:sz w:val="22"/>
          <w:szCs w:val="22"/>
          <w:lang w:val="es-ES_tradnl"/>
        </w:rPr>
        <w:t>un programa de</w:t>
      </w:r>
      <w:r w:rsidR="00F33919" w:rsidRPr="003A2471">
        <w:rPr>
          <w:rFonts w:ascii="Arial" w:hAnsi="Arial" w:cs="Arial"/>
          <w:sz w:val="22"/>
          <w:szCs w:val="22"/>
          <w:lang w:val="es-ES_tradnl"/>
        </w:rPr>
        <w:t xml:space="preserve"> IA en la selección de currículums</w:t>
      </w:r>
      <w:r w:rsidR="00011F04" w:rsidRPr="003A2471">
        <w:rPr>
          <w:rFonts w:ascii="Arial" w:hAnsi="Arial" w:cs="Arial"/>
          <w:sz w:val="22"/>
          <w:szCs w:val="22"/>
          <w:lang w:val="es-ES_tradnl"/>
        </w:rPr>
        <w:t>, actualmente se está experimentando esa tecnología en la selección de candidaturas a pasantías y se están obteniendo resultados prometedores. Existe la posibilidad de ampliar estas ventajas a otros ámbitos de la contratación</w:t>
      </w:r>
      <w:r w:rsidR="00431F02" w:rsidRPr="003A2471">
        <w:rPr>
          <w:rFonts w:ascii="Arial" w:hAnsi="Arial" w:cs="Arial"/>
          <w:sz w:val="22"/>
          <w:szCs w:val="22"/>
          <w:lang w:val="es-ES_tradnl"/>
        </w:rPr>
        <w:t>.</w:t>
      </w:r>
    </w:p>
    <w:p w14:paraId="6108634C" w14:textId="47EC8AB1" w:rsidR="00431F02" w:rsidRPr="003A2471" w:rsidRDefault="00381DC2" w:rsidP="003A2471">
      <w:pPr>
        <w:pStyle w:val="Heading2"/>
        <w:keepNext w:val="0"/>
        <w:spacing w:after="240"/>
        <w:rPr>
          <w:b/>
          <w:lang w:val="es-ES_tradnl"/>
        </w:rPr>
      </w:pPr>
      <w:r w:rsidRPr="003A2471">
        <w:rPr>
          <w:lang w:val="es-ES_tradnl"/>
        </w:rPr>
        <w:t>perfeccionamiento y formación del personal</w:t>
      </w:r>
    </w:p>
    <w:p w14:paraId="4DF99FA8" w14:textId="142F7940" w:rsidR="00431F02" w:rsidRPr="003A2471" w:rsidRDefault="009D2C30" w:rsidP="003A2471">
      <w:pPr>
        <w:pStyle w:val="Default"/>
        <w:numPr>
          <w:ilvl w:val="0"/>
          <w:numId w:val="7"/>
        </w:numPr>
        <w:spacing w:after="240"/>
        <w:ind w:left="0" w:firstLine="0"/>
        <w:rPr>
          <w:rFonts w:ascii="Arial" w:hAnsi="Arial" w:cs="Arial"/>
          <w:sz w:val="22"/>
          <w:szCs w:val="22"/>
          <w:lang w:val="es-ES_tradnl"/>
        </w:rPr>
      </w:pPr>
      <w:r w:rsidRPr="003A2471">
        <w:rPr>
          <w:rFonts w:ascii="Arial" w:hAnsi="Arial" w:cs="Arial"/>
          <w:sz w:val="22"/>
          <w:szCs w:val="22"/>
          <w:lang w:val="es-ES_tradnl"/>
        </w:rPr>
        <w:t xml:space="preserve">El </w:t>
      </w:r>
      <w:r w:rsidR="00E16C51" w:rsidRPr="003A2471">
        <w:rPr>
          <w:rFonts w:ascii="Arial" w:hAnsi="Arial" w:cs="Arial"/>
          <w:sz w:val="22"/>
          <w:szCs w:val="22"/>
          <w:lang w:val="es-ES_tradnl"/>
        </w:rPr>
        <w:t>Sistema de Gestión de la Enseñanza</w:t>
      </w:r>
      <w:r w:rsidRPr="003A2471">
        <w:rPr>
          <w:rFonts w:ascii="Arial" w:hAnsi="Arial" w:cs="Arial"/>
          <w:sz w:val="22"/>
          <w:szCs w:val="22"/>
          <w:lang w:val="es-ES_tradnl"/>
        </w:rPr>
        <w:t xml:space="preserve"> </w:t>
      </w:r>
      <w:r w:rsidR="00E16C51" w:rsidRPr="003A2471">
        <w:rPr>
          <w:rFonts w:ascii="Arial" w:hAnsi="Arial" w:cs="Arial"/>
          <w:sz w:val="22"/>
          <w:szCs w:val="22"/>
          <w:lang w:val="es-ES_tradnl"/>
        </w:rPr>
        <w:t xml:space="preserve">Institucional </w:t>
      </w:r>
      <w:r w:rsidRPr="003A2471">
        <w:rPr>
          <w:rFonts w:ascii="Arial" w:hAnsi="Arial" w:cs="Arial"/>
          <w:sz w:val="22"/>
          <w:szCs w:val="22"/>
          <w:lang w:val="es-ES_tradnl"/>
        </w:rPr>
        <w:t>ha sido establecido como la plataforma de aprendizaje preferida por el personal y los directivos de la OMPI, incluidos las Oficinas en el exterior. Mediante dicho sistema, la Organización ha podido analizar nuevos métodos de distribución digital en el marco de la formación,</w:t>
      </w:r>
      <w:r w:rsidR="0081633A" w:rsidRPr="003A2471">
        <w:rPr>
          <w:rFonts w:ascii="Arial" w:hAnsi="Arial" w:cs="Arial"/>
          <w:sz w:val="22"/>
          <w:szCs w:val="22"/>
          <w:lang w:val="es-ES_tradnl"/>
        </w:rPr>
        <w:t xml:space="preserve"> como puedan ser los cursos y ví</w:t>
      </w:r>
      <w:r w:rsidRPr="003A2471">
        <w:rPr>
          <w:rFonts w:ascii="Arial" w:hAnsi="Arial" w:cs="Arial"/>
          <w:sz w:val="22"/>
          <w:szCs w:val="22"/>
          <w:lang w:val="es-ES_tradnl"/>
        </w:rPr>
        <w:t>deos en línea, de suerte que el número de usuarios de la formación se ha prácticamente duplicado, pasando de</w:t>
      </w:r>
      <w:r w:rsidR="00431F02" w:rsidRPr="003A2471">
        <w:rPr>
          <w:rFonts w:ascii="Arial" w:hAnsi="Arial" w:cs="Arial"/>
          <w:sz w:val="22"/>
          <w:szCs w:val="22"/>
          <w:lang w:val="es-ES_tradnl"/>
        </w:rPr>
        <w:t xml:space="preserve"> 6</w:t>
      </w:r>
      <w:r w:rsidRPr="003A2471">
        <w:rPr>
          <w:rFonts w:ascii="Arial" w:hAnsi="Arial" w:cs="Arial"/>
          <w:sz w:val="22"/>
          <w:szCs w:val="22"/>
          <w:lang w:val="es-ES_tradnl"/>
        </w:rPr>
        <w:t>.</w:t>
      </w:r>
      <w:r w:rsidR="00431F02" w:rsidRPr="003A2471">
        <w:rPr>
          <w:rFonts w:ascii="Arial" w:hAnsi="Arial" w:cs="Arial"/>
          <w:sz w:val="22"/>
          <w:szCs w:val="22"/>
          <w:lang w:val="es-ES_tradnl"/>
        </w:rPr>
        <w:t xml:space="preserve">266 </w:t>
      </w:r>
      <w:r w:rsidRPr="003A2471">
        <w:rPr>
          <w:rFonts w:ascii="Arial" w:hAnsi="Arial" w:cs="Arial"/>
          <w:sz w:val="22"/>
          <w:szCs w:val="22"/>
          <w:lang w:val="es-ES_tradnl"/>
        </w:rPr>
        <w:t>a</w:t>
      </w:r>
      <w:r w:rsidR="00431F02" w:rsidRPr="003A2471">
        <w:rPr>
          <w:rFonts w:ascii="Arial" w:hAnsi="Arial" w:cs="Arial"/>
          <w:sz w:val="22"/>
          <w:szCs w:val="22"/>
          <w:lang w:val="es-ES_tradnl"/>
        </w:rPr>
        <w:t xml:space="preserve"> 12</w:t>
      </w:r>
      <w:r w:rsidRPr="003A2471">
        <w:rPr>
          <w:rFonts w:ascii="Arial" w:hAnsi="Arial" w:cs="Arial"/>
          <w:sz w:val="22"/>
          <w:szCs w:val="22"/>
          <w:lang w:val="es-ES_tradnl"/>
        </w:rPr>
        <w:t>.</w:t>
      </w:r>
      <w:r w:rsidR="00431F02" w:rsidRPr="003A2471">
        <w:rPr>
          <w:rFonts w:ascii="Arial" w:hAnsi="Arial" w:cs="Arial"/>
          <w:sz w:val="22"/>
          <w:szCs w:val="22"/>
          <w:lang w:val="es-ES_tradnl"/>
        </w:rPr>
        <w:t>385.</w:t>
      </w:r>
    </w:p>
    <w:p w14:paraId="44E3B7E9" w14:textId="1C52C203" w:rsidR="00431F02" w:rsidRPr="003A2471" w:rsidRDefault="003C1560" w:rsidP="003A2471">
      <w:pPr>
        <w:pStyle w:val="Default"/>
        <w:numPr>
          <w:ilvl w:val="0"/>
          <w:numId w:val="7"/>
        </w:numPr>
        <w:spacing w:after="240"/>
        <w:ind w:left="0" w:firstLine="0"/>
        <w:rPr>
          <w:rFonts w:ascii="Arial" w:hAnsi="Arial" w:cs="Arial"/>
          <w:sz w:val="22"/>
          <w:szCs w:val="22"/>
          <w:lang w:val="es-ES_tradnl"/>
        </w:rPr>
      </w:pPr>
      <w:r w:rsidRPr="003A2471">
        <w:rPr>
          <w:rFonts w:ascii="Arial" w:hAnsi="Arial" w:cs="Arial"/>
          <w:sz w:val="22"/>
          <w:szCs w:val="22"/>
          <w:lang w:val="es-ES_tradnl"/>
        </w:rPr>
        <w:t xml:space="preserve">El considerable aumento en los días de formación (de 5.435 a 6.757) se debe principalmente a la oferta de formación en línea en que el alumno sigue su propio ritmo y formación presencial en un entorno de trabajo respetuoso y armonioso. Análogamente, el curso </w:t>
      </w:r>
      <w:r w:rsidR="0081633A" w:rsidRPr="003A2471">
        <w:rPr>
          <w:rFonts w:ascii="Arial" w:hAnsi="Arial" w:cs="Arial"/>
          <w:sz w:val="22"/>
          <w:szCs w:val="22"/>
          <w:lang w:val="es-ES_tradnl"/>
        </w:rPr>
        <w:t xml:space="preserve">obligatorio </w:t>
      </w:r>
      <w:r w:rsidRPr="003A2471">
        <w:rPr>
          <w:rFonts w:ascii="Arial" w:hAnsi="Arial" w:cs="Arial"/>
          <w:sz w:val="22"/>
          <w:szCs w:val="22"/>
          <w:lang w:val="es-ES_tradnl"/>
        </w:rPr>
        <w:t>de formación en seguridad BSAFE, junto con nuevas sesiones introductorias de plena consciencia</w:t>
      </w:r>
      <w:r w:rsidR="0081633A" w:rsidRPr="003A2471">
        <w:rPr>
          <w:rFonts w:ascii="Arial" w:hAnsi="Arial" w:cs="Arial"/>
          <w:sz w:val="22"/>
          <w:szCs w:val="22"/>
          <w:lang w:val="es-ES_tradnl"/>
        </w:rPr>
        <w:t>,</w:t>
      </w:r>
      <w:r w:rsidRPr="003A2471">
        <w:rPr>
          <w:rFonts w:ascii="Arial" w:hAnsi="Arial" w:cs="Arial"/>
          <w:sz w:val="22"/>
          <w:szCs w:val="22"/>
          <w:lang w:val="es-ES_tradnl"/>
        </w:rPr>
        <w:t xml:space="preserve"> han aumentado considerablemente las actividades de formación en la categoría de “</w:t>
      </w:r>
      <w:r w:rsidR="0081633A" w:rsidRPr="003A2471">
        <w:rPr>
          <w:rFonts w:ascii="Arial" w:hAnsi="Arial" w:cs="Arial"/>
          <w:sz w:val="22"/>
          <w:szCs w:val="22"/>
          <w:lang w:val="es-ES_tradnl"/>
        </w:rPr>
        <w:t>S</w:t>
      </w:r>
      <w:r w:rsidRPr="003A2471">
        <w:rPr>
          <w:rFonts w:ascii="Arial" w:hAnsi="Arial" w:cs="Arial"/>
          <w:sz w:val="22"/>
          <w:szCs w:val="22"/>
          <w:lang w:val="es-ES_tradnl"/>
        </w:rPr>
        <w:t xml:space="preserve">alud, </w:t>
      </w:r>
      <w:r w:rsidR="0081633A" w:rsidRPr="003A2471">
        <w:rPr>
          <w:rFonts w:ascii="Arial" w:hAnsi="Arial" w:cs="Arial"/>
          <w:sz w:val="22"/>
          <w:szCs w:val="22"/>
          <w:lang w:val="es-ES_tradnl"/>
        </w:rPr>
        <w:t>Seguridad y V</w:t>
      </w:r>
      <w:r w:rsidRPr="003A2471">
        <w:rPr>
          <w:rFonts w:ascii="Arial" w:hAnsi="Arial" w:cs="Arial"/>
          <w:sz w:val="22"/>
          <w:szCs w:val="22"/>
          <w:lang w:val="es-ES_tradnl"/>
        </w:rPr>
        <w:t xml:space="preserve">igilancia”. También se </w:t>
      </w:r>
      <w:r w:rsidR="0081633A" w:rsidRPr="003A2471">
        <w:rPr>
          <w:rFonts w:ascii="Arial" w:hAnsi="Arial" w:cs="Arial"/>
          <w:sz w:val="22"/>
          <w:szCs w:val="22"/>
          <w:lang w:val="es-ES_tradnl"/>
        </w:rPr>
        <w:t xml:space="preserve">ha registrado un aumento en la </w:t>
      </w:r>
      <w:r w:rsidRPr="003A2471">
        <w:rPr>
          <w:rFonts w:ascii="Arial" w:hAnsi="Arial" w:cs="Arial"/>
          <w:sz w:val="22"/>
          <w:szCs w:val="22"/>
          <w:lang w:val="es-ES_tradnl"/>
        </w:rPr>
        <w:t xml:space="preserve">categoría de </w:t>
      </w:r>
      <w:r w:rsidR="0081633A" w:rsidRPr="003A2471">
        <w:rPr>
          <w:rFonts w:ascii="Arial" w:hAnsi="Arial" w:cs="Arial"/>
          <w:sz w:val="22"/>
          <w:szCs w:val="22"/>
          <w:lang w:val="es-ES_tradnl"/>
        </w:rPr>
        <w:t>“Propiedad I</w:t>
      </w:r>
      <w:r w:rsidRPr="003A2471">
        <w:rPr>
          <w:rFonts w:ascii="Arial" w:hAnsi="Arial" w:cs="Arial"/>
          <w:sz w:val="22"/>
          <w:szCs w:val="22"/>
          <w:lang w:val="es-ES_tradnl"/>
        </w:rPr>
        <w:t xml:space="preserve">ntelectual” como consecuencia de una mayor participación en los cursos de la Academia de la OMPI. </w:t>
      </w:r>
      <w:r w:rsidR="00B04E05" w:rsidRPr="003A2471">
        <w:rPr>
          <w:rFonts w:ascii="Arial" w:hAnsi="Arial" w:cs="Arial"/>
          <w:sz w:val="22"/>
          <w:szCs w:val="22"/>
          <w:lang w:val="es-ES_tradnl"/>
        </w:rPr>
        <w:t>El tema “la PI y las cadenas de bloques” atrajo asimismo a muchos participantes en una conferencia que se organizó en la OMPI a ese respecto. Por último, se impartió formación a un gran número de miembros del personal sobre la utilización de la aplicación de viajes y reuniones, y se emprendió un nuevo curso obligatorio en línea sobre prevención del fraude</w:t>
      </w:r>
      <w:r w:rsidR="00431F02" w:rsidRPr="003A2471">
        <w:rPr>
          <w:rFonts w:ascii="Arial" w:hAnsi="Arial" w:cs="Arial"/>
          <w:sz w:val="22"/>
          <w:szCs w:val="22"/>
          <w:lang w:val="es-ES_tradnl"/>
        </w:rPr>
        <w:t>.</w:t>
      </w:r>
    </w:p>
    <w:p w14:paraId="52267652" w14:textId="492ADB73" w:rsidR="00431F02" w:rsidRPr="003A2471" w:rsidRDefault="00491166" w:rsidP="003A2471">
      <w:pPr>
        <w:pStyle w:val="Default"/>
        <w:numPr>
          <w:ilvl w:val="0"/>
          <w:numId w:val="7"/>
        </w:numPr>
        <w:spacing w:after="240"/>
        <w:ind w:left="0" w:firstLine="0"/>
        <w:rPr>
          <w:rFonts w:ascii="Arial" w:hAnsi="Arial" w:cs="Arial"/>
          <w:sz w:val="22"/>
          <w:szCs w:val="22"/>
          <w:lang w:val="es-ES_tradnl"/>
        </w:rPr>
      </w:pPr>
      <w:r w:rsidRPr="003A2471">
        <w:rPr>
          <w:rFonts w:ascii="Arial" w:hAnsi="Arial" w:cs="Arial"/>
          <w:sz w:val="22"/>
          <w:szCs w:val="22"/>
          <w:lang w:val="es-ES_tradnl"/>
        </w:rPr>
        <w:t xml:space="preserve">A los miembros del personal que representan frecuentemente a la OMPI ante los medios de comunicación se les ofreció por primera vez formación estratégica en ese ámbito. El objeto de ese tipo de formación era mejorar las entrevistas de prensa, aprender a gestionar las noticias negativas, </w:t>
      </w:r>
      <w:r w:rsidR="003143DA" w:rsidRPr="003A2471">
        <w:rPr>
          <w:rFonts w:ascii="Arial" w:hAnsi="Arial" w:cs="Arial"/>
          <w:sz w:val="22"/>
          <w:szCs w:val="22"/>
          <w:lang w:val="es-ES_tradnl"/>
        </w:rPr>
        <w:t>poner en aplicación medidas de control de daños y sacar provecho de las oportunidades de interés periodístico</w:t>
      </w:r>
      <w:r w:rsidR="00431F02" w:rsidRPr="003A2471">
        <w:rPr>
          <w:rFonts w:ascii="Arial" w:hAnsi="Arial" w:cs="Arial"/>
          <w:sz w:val="22"/>
          <w:szCs w:val="22"/>
          <w:lang w:val="es-ES_tradnl"/>
        </w:rPr>
        <w:t>.</w:t>
      </w:r>
      <w:r w:rsidR="00431F02" w:rsidRPr="003A2471" w:rsidDel="00B951D9">
        <w:rPr>
          <w:rFonts w:ascii="Arial" w:hAnsi="Arial" w:cs="Arial"/>
          <w:sz w:val="22"/>
          <w:szCs w:val="22"/>
          <w:lang w:val="es-ES_tradnl"/>
        </w:rPr>
        <w:t xml:space="preserve"> </w:t>
      </w:r>
    </w:p>
    <w:p w14:paraId="1D115770" w14:textId="70ABF753" w:rsidR="00431F02" w:rsidRPr="003A2471" w:rsidRDefault="003143DA" w:rsidP="003A2471">
      <w:pPr>
        <w:pStyle w:val="Default"/>
        <w:numPr>
          <w:ilvl w:val="0"/>
          <w:numId w:val="7"/>
        </w:numPr>
        <w:spacing w:after="240"/>
        <w:ind w:left="0" w:firstLine="0"/>
        <w:rPr>
          <w:rFonts w:ascii="Arial" w:hAnsi="Arial" w:cs="Arial"/>
          <w:sz w:val="22"/>
          <w:szCs w:val="22"/>
          <w:lang w:val="es-ES_tradnl"/>
        </w:rPr>
      </w:pPr>
      <w:r w:rsidRPr="003A2471">
        <w:rPr>
          <w:rFonts w:ascii="Arial" w:hAnsi="Arial" w:cs="Arial"/>
          <w:sz w:val="22"/>
          <w:szCs w:val="22"/>
          <w:lang w:val="es-ES_tradnl"/>
        </w:rPr>
        <w:t xml:space="preserve">Como consecuencia del confinamiento, desde marzo se </w:t>
      </w:r>
      <w:r w:rsidR="0081633A" w:rsidRPr="003A2471">
        <w:rPr>
          <w:rFonts w:ascii="Arial" w:hAnsi="Arial" w:cs="Arial"/>
          <w:sz w:val="22"/>
          <w:szCs w:val="22"/>
          <w:lang w:val="es-ES_tradnl"/>
        </w:rPr>
        <w:t>han cancelado</w:t>
      </w:r>
      <w:r w:rsidRPr="003A2471">
        <w:rPr>
          <w:rFonts w:ascii="Arial" w:hAnsi="Arial" w:cs="Arial"/>
          <w:sz w:val="22"/>
          <w:szCs w:val="22"/>
          <w:lang w:val="es-ES_tradnl"/>
        </w:rPr>
        <w:t xml:space="preserve"> todas las actividades de formación presencial, lo cual aceleró la expansión de nuestra oferta de cursos en Internet</w:t>
      </w:r>
      <w:r w:rsidR="00431F02" w:rsidRPr="003A2471">
        <w:rPr>
          <w:rFonts w:ascii="Arial" w:hAnsi="Arial" w:cs="Arial"/>
          <w:sz w:val="22"/>
          <w:szCs w:val="22"/>
          <w:lang w:val="es-ES_tradnl"/>
        </w:rPr>
        <w:t>:</w:t>
      </w:r>
    </w:p>
    <w:p w14:paraId="3D543848" w14:textId="2BB20A75" w:rsidR="00431F02" w:rsidRPr="003A2471" w:rsidRDefault="00AF5620" w:rsidP="003A2471">
      <w:pPr>
        <w:pStyle w:val="ListParagraph"/>
        <w:numPr>
          <w:ilvl w:val="1"/>
          <w:numId w:val="10"/>
        </w:numPr>
        <w:spacing w:after="120"/>
        <w:ind w:left="539" w:firstLine="0"/>
        <w:contextualSpacing w:val="0"/>
        <w:rPr>
          <w:rFonts w:ascii="Arial" w:hAnsi="Arial" w:cs="Arial"/>
          <w:sz w:val="22"/>
          <w:szCs w:val="22"/>
          <w:lang w:val="es-ES_tradnl"/>
        </w:rPr>
      </w:pPr>
      <w:r w:rsidRPr="003A2471">
        <w:rPr>
          <w:rFonts w:ascii="Arial" w:hAnsi="Arial" w:cs="Arial"/>
          <w:sz w:val="22"/>
          <w:szCs w:val="22"/>
          <w:lang w:val="es-ES_tradnl"/>
        </w:rPr>
        <w:t xml:space="preserve">En la medida en que los seminarios web han adquirido una creciente importancia, el tradicional curso de formación en técnicas de presentación se adaptó a ese respecto, de manera que los ponentes aprendan a adaptar sus presentaciones y se familiaricen con el contexto virtual. </w:t>
      </w:r>
      <w:r w:rsidR="00BB48B9" w:rsidRPr="003A2471">
        <w:rPr>
          <w:rFonts w:ascii="Arial" w:hAnsi="Arial" w:cs="Arial"/>
          <w:sz w:val="22"/>
          <w:szCs w:val="22"/>
          <w:lang w:val="es-ES_tradnl"/>
        </w:rPr>
        <w:t>También se adaptaron algunos cursos de formación de TI en aplicaciones MS y en cursos relacionados con el desarrollo profesional</w:t>
      </w:r>
      <w:r w:rsidR="00431F02" w:rsidRPr="003A2471">
        <w:rPr>
          <w:rFonts w:ascii="Arial" w:hAnsi="Arial" w:cs="Arial"/>
          <w:sz w:val="22"/>
          <w:szCs w:val="22"/>
          <w:lang w:val="es-ES_tradnl"/>
        </w:rPr>
        <w:t xml:space="preserve">. </w:t>
      </w:r>
    </w:p>
    <w:p w14:paraId="11DD9287" w14:textId="4B34740D" w:rsidR="00431F02" w:rsidRPr="003A2471" w:rsidRDefault="00FE1EAD" w:rsidP="003A2471">
      <w:pPr>
        <w:pStyle w:val="ListParagraph"/>
        <w:numPr>
          <w:ilvl w:val="1"/>
          <w:numId w:val="10"/>
        </w:numPr>
        <w:spacing w:after="120"/>
        <w:ind w:left="539" w:firstLine="0"/>
        <w:contextualSpacing w:val="0"/>
        <w:rPr>
          <w:rFonts w:ascii="Arial" w:hAnsi="Arial" w:cs="Arial"/>
          <w:sz w:val="22"/>
          <w:szCs w:val="22"/>
          <w:lang w:val="es-ES_tradnl"/>
        </w:rPr>
      </w:pPr>
      <w:r w:rsidRPr="003A2471">
        <w:rPr>
          <w:rFonts w:ascii="Arial" w:hAnsi="Arial" w:cs="Arial"/>
          <w:sz w:val="22"/>
          <w:szCs w:val="22"/>
          <w:lang w:val="es-ES_tradnl"/>
        </w:rPr>
        <w:t>El foment</w:t>
      </w:r>
      <w:r w:rsidR="00B272BB" w:rsidRPr="003A2471">
        <w:rPr>
          <w:rFonts w:ascii="Arial" w:hAnsi="Arial" w:cs="Arial"/>
          <w:sz w:val="22"/>
          <w:szCs w:val="22"/>
          <w:lang w:val="es-ES_tradnl"/>
        </w:rPr>
        <w:t>o</w:t>
      </w:r>
      <w:r w:rsidRPr="003A2471">
        <w:rPr>
          <w:rFonts w:ascii="Arial" w:hAnsi="Arial" w:cs="Arial"/>
          <w:sz w:val="22"/>
          <w:szCs w:val="22"/>
          <w:lang w:val="es-ES_tradnl"/>
        </w:rPr>
        <w:t xml:space="preserve"> de licencias de la plataforma de aprendizaje en línea “</w:t>
      </w:r>
      <w:r w:rsidR="00431F02" w:rsidRPr="003A2471">
        <w:rPr>
          <w:rFonts w:ascii="Arial" w:hAnsi="Arial" w:cs="Arial"/>
          <w:sz w:val="22"/>
          <w:szCs w:val="22"/>
          <w:lang w:val="es-ES_tradnl"/>
        </w:rPr>
        <w:t>LinkedIn Learning”</w:t>
      </w:r>
      <w:r w:rsidRPr="003A2471">
        <w:rPr>
          <w:rFonts w:ascii="Arial" w:hAnsi="Arial" w:cs="Arial"/>
          <w:sz w:val="22"/>
          <w:szCs w:val="22"/>
          <w:lang w:val="es-ES_tradnl"/>
        </w:rPr>
        <w:t xml:space="preserve"> ha elevado el número de usuarios que utilizan </w:t>
      </w:r>
      <w:r w:rsidR="00294290" w:rsidRPr="003A2471">
        <w:rPr>
          <w:rFonts w:ascii="Arial" w:hAnsi="Arial" w:cs="Arial"/>
          <w:sz w:val="22"/>
          <w:szCs w:val="22"/>
          <w:lang w:val="es-ES_tradnl"/>
        </w:rPr>
        <w:t>la plataforma a unos 250. Los ví</w:t>
      </w:r>
      <w:r w:rsidRPr="003A2471">
        <w:rPr>
          <w:rFonts w:ascii="Arial" w:hAnsi="Arial" w:cs="Arial"/>
          <w:sz w:val="22"/>
          <w:szCs w:val="22"/>
          <w:lang w:val="es-ES_tradnl"/>
        </w:rPr>
        <w:t>deos</w:t>
      </w:r>
      <w:r w:rsidR="00294290" w:rsidRPr="003A2471">
        <w:rPr>
          <w:rFonts w:ascii="Arial" w:hAnsi="Arial" w:cs="Arial"/>
          <w:sz w:val="22"/>
          <w:szCs w:val="22"/>
          <w:lang w:val="es-ES_tradnl"/>
        </w:rPr>
        <w:t>, que tratan</w:t>
      </w:r>
      <w:r w:rsidRPr="003A2471">
        <w:rPr>
          <w:rFonts w:ascii="Arial" w:hAnsi="Arial" w:cs="Arial"/>
          <w:sz w:val="22"/>
          <w:szCs w:val="22"/>
          <w:lang w:val="es-ES_tradnl"/>
        </w:rPr>
        <w:t xml:space="preserve"> diversos temas</w:t>
      </w:r>
      <w:r w:rsidR="00294290" w:rsidRPr="003A2471">
        <w:rPr>
          <w:rFonts w:ascii="Arial" w:hAnsi="Arial" w:cs="Arial"/>
          <w:sz w:val="22"/>
          <w:szCs w:val="22"/>
          <w:lang w:val="es-ES_tradnl"/>
        </w:rPr>
        <w:t>,</w:t>
      </w:r>
      <w:r w:rsidRPr="003A2471">
        <w:rPr>
          <w:rFonts w:ascii="Arial" w:hAnsi="Arial" w:cs="Arial"/>
          <w:sz w:val="22"/>
          <w:szCs w:val="22"/>
          <w:lang w:val="es-ES_tradnl"/>
        </w:rPr>
        <w:t xml:space="preserve"> tuvieron una muy buena acogida entre los miembros del personal participantes, especialmente los relacionados con el trabajo remoto</w:t>
      </w:r>
      <w:r w:rsidR="00431F02" w:rsidRPr="003A2471">
        <w:rPr>
          <w:rFonts w:ascii="Arial" w:hAnsi="Arial" w:cs="Arial"/>
          <w:sz w:val="22"/>
          <w:szCs w:val="22"/>
          <w:lang w:val="es-ES_tradnl"/>
        </w:rPr>
        <w:t>.</w:t>
      </w:r>
    </w:p>
    <w:p w14:paraId="6340F715" w14:textId="4DAE2487" w:rsidR="00431F02" w:rsidRPr="003A2471" w:rsidRDefault="00860A41" w:rsidP="003A2471">
      <w:pPr>
        <w:pStyle w:val="ListParagraph"/>
        <w:numPr>
          <w:ilvl w:val="1"/>
          <w:numId w:val="10"/>
        </w:numPr>
        <w:spacing w:after="120"/>
        <w:ind w:left="539" w:firstLine="0"/>
        <w:contextualSpacing w:val="0"/>
        <w:rPr>
          <w:rFonts w:ascii="Arial" w:hAnsi="Arial" w:cs="Arial"/>
          <w:sz w:val="22"/>
          <w:szCs w:val="22"/>
          <w:lang w:val="es-ES_tradnl"/>
        </w:rPr>
      </w:pPr>
      <w:r w:rsidRPr="003A2471">
        <w:rPr>
          <w:rFonts w:ascii="Arial" w:hAnsi="Arial" w:cs="Arial"/>
          <w:sz w:val="22"/>
          <w:szCs w:val="22"/>
          <w:lang w:val="es-ES_tradnl"/>
        </w:rPr>
        <w:t>Los juegos formativos, que abarcaron diversos temas, como la negociación y resolución de conflictos, servicios al consumidor y gestión del tiempo/productividad personal</w:t>
      </w:r>
      <w:r w:rsidR="001637DC" w:rsidRPr="003A2471">
        <w:rPr>
          <w:rFonts w:ascii="Arial" w:hAnsi="Arial" w:cs="Arial"/>
          <w:sz w:val="22"/>
          <w:szCs w:val="22"/>
          <w:lang w:val="es-ES_tradnl"/>
        </w:rPr>
        <w:t xml:space="preserve">, así como el curso intensivo de trabajo remoto, </w:t>
      </w:r>
      <w:r w:rsidR="00060821" w:rsidRPr="003A2471">
        <w:rPr>
          <w:rFonts w:ascii="Arial" w:hAnsi="Arial" w:cs="Arial"/>
          <w:sz w:val="22"/>
          <w:szCs w:val="22"/>
          <w:lang w:val="es-ES_tradnl"/>
        </w:rPr>
        <w:t>que es</w:t>
      </w:r>
      <w:r w:rsidR="001637DC" w:rsidRPr="003A2471">
        <w:rPr>
          <w:rFonts w:ascii="Arial" w:hAnsi="Arial" w:cs="Arial"/>
          <w:sz w:val="22"/>
          <w:szCs w:val="22"/>
          <w:lang w:val="es-ES_tradnl"/>
        </w:rPr>
        <w:t xml:space="preserve"> un programa de aprendizaje digital sobre </w:t>
      </w:r>
      <w:r w:rsidR="00060821" w:rsidRPr="003A2471">
        <w:rPr>
          <w:rFonts w:ascii="Arial" w:hAnsi="Arial" w:cs="Arial"/>
          <w:sz w:val="22"/>
          <w:szCs w:val="22"/>
          <w:lang w:val="es-ES_tradnl"/>
        </w:rPr>
        <w:t>cuestiones que</w:t>
      </w:r>
      <w:r w:rsidR="001637DC" w:rsidRPr="003A2471">
        <w:rPr>
          <w:rFonts w:ascii="Arial" w:hAnsi="Arial" w:cs="Arial"/>
          <w:sz w:val="22"/>
          <w:szCs w:val="22"/>
          <w:lang w:val="es-ES_tradnl"/>
        </w:rPr>
        <w:t xml:space="preserve"> </w:t>
      </w:r>
      <w:r w:rsidR="00060821" w:rsidRPr="003A2471">
        <w:rPr>
          <w:rFonts w:ascii="Arial" w:hAnsi="Arial" w:cs="Arial"/>
          <w:sz w:val="22"/>
          <w:szCs w:val="22"/>
          <w:lang w:val="es-ES_tradnl"/>
        </w:rPr>
        <w:t>tienen</w:t>
      </w:r>
      <w:r w:rsidR="001637DC" w:rsidRPr="003A2471">
        <w:rPr>
          <w:rFonts w:ascii="Arial" w:hAnsi="Arial" w:cs="Arial"/>
          <w:sz w:val="22"/>
          <w:szCs w:val="22"/>
          <w:lang w:val="es-ES_tradnl"/>
        </w:rPr>
        <w:t xml:space="preserve"> por objeto ayudar al personal y directivos de la OMPI a adaptarse a la nueva realidad del trabajo remoto: herramientas</w:t>
      </w:r>
      <w:r w:rsidR="00431F02" w:rsidRPr="003A2471">
        <w:rPr>
          <w:rFonts w:ascii="Arial" w:hAnsi="Arial" w:cs="Arial"/>
          <w:sz w:val="22"/>
          <w:szCs w:val="22"/>
          <w:lang w:val="es-ES_tradnl"/>
        </w:rPr>
        <w:t xml:space="preserve"> +</w:t>
      </w:r>
      <w:r w:rsidR="001637DC" w:rsidRPr="003A2471">
        <w:rPr>
          <w:rFonts w:ascii="Arial" w:hAnsi="Arial" w:cs="Arial"/>
          <w:sz w:val="22"/>
          <w:szCs w:val="22"/>
          <w:lang w:val="es-ES_tradnl"/>
        </w:rPr>
        <w:t xml:space="preserve"> reglas</w:t>
      </w:r>
      <w:r w:rsidR="002E64EB" w:rsidRPr="003A2471">
        <w:rPr>
          <w:rFonts w:ascii="Arial" w:hAnsi="Arial" w:cs="Arial"/>
          <w:sz w:val="22"/>
          <w:szCs w:val="22"/>
          <w:lang w:val="es-ES_tradnl"/>
        </w:rPr>
        <w:t>;</w:t>
      </w:r>
      <w:r w:rsidR="00431F02" w:rsidRPr="003A2471">
        <w:rPr>
          <w:rFonts w:ascii="Arial" w:hAnsi="Arial" w:cs="Arial"/>
          <w:sz w:val="22"/>
          <w:szCs w:val="22"/>
          <w:lang w:val="es-ES_tradnl"/>
        </w:rPr>
        <w:t xml:space="preserve"> </w:t>
      </w:r>
      <w:r w:rsidR="001637DC" w:rsidRPr="003A2471">
        <w:rPr>
          <w:rFonts w:ascii="Arial" w:hAnsi="Arial" w:cs="Arial"/>
          <w:sz w:val="22"/>
          <w:szCs w:val="22"/>
          <w:lang w:val="es-ES_tradnl"/>
        </w:rPr>
        <w:t>espacio</w:t>
      </w:r>
      <w:r w:rsidR="00431F02" w:rsidRPr="003A2471">
        <w:rPr>
          <w:rFonts w:ascii="Arial" w:hAnsi="Arial" w:cs="Arial"/>
          <w:sz w:val="22"/>
          <w:szCs w:val="22"/>
          <w:lang w:val="es-ES_tradnl"/>
        </w:rPr>
        <w:t xml:space="preserve"> + r</w:t>
      </w:r>
      <w:r w:rsidR="001637DC" w:rsidRPr="003A2471">
        <w:rPr>
          <w:rFonts w:ascii="Arial" w:hAnsi="Arial" w:cs="Arial"/>
          <w:sz w:val="22"/>
          <w:szCs w:val="22"/>
          <w:lang w:val="es-ES_tradnl"/>
        </w:rPr>
        <w:t>utina</w:t>
      </w:r>
      <w:r w:rsidR="002E64EB" w:rsidRPr="003A2471">
        <w:rPr>
          <w:rFonts w:ascii="Arial" w:hAnsi="Arial" w:cs="Arial"/>
          <w:sz w:val="22"/>
          <w:szCs w:val="22"/>
          <w:lang w:val="es-ES_tradnl"/>
        </w:rPr>
        <w:t>;</w:t>
      </w:r>
      <w:r w:rsidR="001637DC" w:rsidRPr="003A2471">
        <w:rPr>
          <w:rFonts w:ascii="Arial" w:hAnsi="Arial" w:cs="Arial"/>
          <w:sz w:val="22"/>
          <w:szCs w:val="22"/>
          <w:lang w:val="es-ES_tradnl"/>
        </w:rPr>
        <w:t xml:space="preserve"> confianza</w:t>
      </w:r>
      <w:r w:rsidR="00431F02" w:rsidRPr="003A2471">
        <w:rPr>
          <w:rFonts w:ascii="Arial" w:hAnsi="Arial" w:cs="Arial"/>
          <w:sz w:val="22"/>
          <w:szCs w:val="22"/>
          <w:lang w:val="es-ES_tradnl"/>
        </w:rPr>
        <w:t xml:space="preserve"> + rela</w:t>
      </w:r>
      <w:r w:rsidR="001637DC" w:rsidRPr="003A2471">
        <w:rPr>
          <w:rFonts w:ascii="Arial" w:hAnsi="Arial" w:cs="Arial"/>
          <w:sz w:val="22"/>
          <w:szCs w:val="22"/>
          <w:lang w:val="es-ES_tradnl"/>
        </w:rPr>
        <w:t xml:space="preserve">ciones e incertidumbre </w:t>
      </w:r>
      <w:r w:rsidR="00431F02" w:rsidRPr="003A2471">
        <w:rPr>
          <w:rFonts w:ascii="Arial" w:hAnsi="Arial" w:cs="Arial"/>
          <w:sz w:val="22"/>
          <w:szCs w:val="22"/>
          <w:lang w:val="es-ES_tradnl"/>
        </w:rPr>
        <w:t>+ resilienc</w:t>
      </w:r>
      <w:r w:rsidR="001637DC" w:rsidRPr="003A2471">
        <w:rPr>
          <w:rFonts w:ascii="Arial" w:hAnsi="Arial" w:cs="Arial"/>
          <w:sz w:val="22"/>
          <w:szCs w:val="22"/>
          <w:lang w:val="es-ES_tradnl"/>
        </w:rPr>
        <w:t>ia</w:t>
      </w:r>
      <w:r w:rsidR="00431F02" w:rsidRPr="003A2471">
        <w:rPr>
          <w:rFonts w:ascii="Arial" w:hAnsi="Arial" w:cs="Arial"/>
          <w:sz w:val="22"/>
          <w:szCs w:val="22"/>
          <w:lang w:val="es-ES_tradnl"/>
        </w:rPr>
        <w:t>.</w:t>
      </w:r>
    </w:p>
    <w:p w14:paraId="7E840F7C" w14:textId="73E68D5F" w:rsidR="00431F02" w:rsidRPr="003A2471" w:rsidRDefault="005A1ECC" w:rsidP="003A2471">
      <w:pPr>
        <w:pStyle w:val="ListParagraph"/>
        <w:numPr>
          <w:ilvl w:val="1"/>
          <w:numId w:val="10"/>
        </w:numPr>
        <w:spacing w:after="240"/>
        <w:ind w:left="540" w:firstLine="7"/>
        <w:contextualSpacing w:val="0"/>
        <w:rPr>
          <w:rFonts w:ascii="Arial" w:hAnsi="Arial" w:cs="Arial"/>
          <w:sz w:val="22"/>
          <w:szCs w:val="22"/>
          <w:lang w:val="es-ES_tradnl"/>
        </w:rPr>
      </w:pPr>
      <w:r w:rsidRPr="003A2471">
        <w:rPr>
          <w:rFonts w:ascii="Arial" w:hAnsi="Arial" w:cs="Arial"/>
          <w:sz w:val="22"/>
          <w:szCs w:val="22"/>
          <w:lang w:val="es-ES_tradnl"/>
        </w:rPr>
        <w:t>Durante el confinamiento, los cursos de idiomas se impartieron remotamente mediante formación en aula virtual</w:t>
      </w:r>
      <w:r w:rsidR="00431F02" w:rsidRPr="003A2471">
        <w:rPr>
          <w:rFonts w:ascii="Arial" w:hAnsi="Arial" w:cs="Arial"/>
          <w:sz w:val="22"/>
          <w:szCs w:val="22"/>
          <w:lang w:val="es-ES_tradnl"/>
        </w:rPr>
        <w:t>.</w:t>
      </w:r>
    </w:p>
    <w:p w14:paraId="2AC3D8C2" w14:textId="70CD33B0" w:rsidR="00431F02" w:rsidRPr="003A2471" w:rsidRDefault="00BC561A" w:rsidP="003A2471">
      <w:pPr>
        <w:pStyle w:val="ListParagraph"/>
        <w:numPr>
          <w:ilvl w:val="0"/>
          <w:numId w:val="7"/>
        </w:numPr>
        <w:spacing w:after="240"/>
        <w:ind w:left="0" w:firstLine="0"/>
        <w:contextualSpacing w:val="0"/>
        <w:rPr>
          <w:rFonts w:ascii="Arial" w:hAnsi="Arial" w:cs="Arial"/>
          <w:sz w:val="22"/>
          <w:szCs w:val="22"/>
          <w:lang w:val="es-ES_tradnl"/>
        </w:rPr>
      </w:pPr>
      <w:r w:rsidRPr="003A2471">
        <w:rPr>
          <w:rFonts w:ascii="Arial" w:hAnsi="Arial" w:cs="Arial"/>
          <w:sz w:val="22"/>
          <w:szCs w:val="22"/>
          <w:lang w:val="es-ES_tradnl"/>
        </w:rPr>
        <w:t xml:space="preserve">A principios de 2020, se creó una red de orientadores internos en las organizaciones internacionales, incluida la OMPI, cuyo objeto era intercambiar mejores prácticas, elaborar un marco común e impartir orientación de carácter interno entre las organizaciones participantes. Los seis miembros del equipo de orientación interna de la OMPI ofrecieron también sus servicios a las personas que necesitaban orientación o únicamente alguien con quien hablar durante el confinamiento. Durante el período objeto de informe, se suministró orientación a 22 miembros del personal por un total de </w:t>
      </w:r>
      <w:r w:rsidR="00431F02" w:rsidRPr="003A2471">
        <w:rPr>
          <w:rFonts w:ascii="Arial" w:hAnsi="Arial" w:cs="Arial"/>
          <w:sz w:val="22"/>
          <w:szCs w:val="22"/>
          <w:lang w:val="es-ES_tradnl"/>
        </w:rPr>
        <w:t>73</w:t>
      </w:r>
      <w:r w:rsidRPr="003A2471">
        <w:rPr>
          <w:rFonts w:ascii="Arial" w:hAnsi="Arial" w:cs="Arial"/>
          <w:sz w:val="22"/>
          <w:szCs w:val="22"/>
          <w:lang w:val="es-ES_tradnl"/>
        </w:rPr>
        <w:t>,</w:t>
      </w:r>
      <w:r w:rsidR="00431F02" w:rsidRPr="003A2471">
        <w:rPr>
          <w:rFonts w:ascii="Arial" w:hAnsi="Arial" w:cs="Arial"/>
          <w:sz w:val="22"/>
          <w:szCs w:val="22"/>
          <w:lang w:val="es-ES_tradnl"/>
        </w:rPr>
        <w:t>5 ho</w:t>
      </w:r>
      <w:r w:rsidRPr="003A2471">
        <w:rPr>
          <w:rFonts w:ascii="Arial" w:hAnsi="Arial" w:cs="Arial"/>
          <w:sz w:val="22"/>
          <w:szCs w:val="22"/>
          <w:lang w:val="es-ES_tradnl"/>
        </w:rPr>
        <w:t>ras</w:t>
      </w:r>
      <w:r w:rsidR="00431F02" w:rsidRPr="003A2471">
        <w:rPr>
          <w:rFonts w:ascii="Arial" w:hAnsi="Arial" w:cs="Arial"/>
          <w:sz w:val="22"/>
          <w:szCs w:val="22"/>
          <w:lang w:val="es-ES_tradnl"/>
        </w:rPr>
        <w:t xml:space="preserve">. </w:t>
      </w:r>
    </w:p>
    <w:p w14:paraId="02620294" w14:textId="2B68B8CE" w:rsidR="00431F02" w:rsidRPr="003A2471" w:rsidRDefault="00BC561A" w:rsidP="003A2471">
      <w:pPr>
        <w:pStyle w:val="ListParagraph"/>
        <w:numPr>
          <w:ilvl w:val="0"/>
          <w:numId w:val="7"/>
        </w:numPr>
        <w:spacing w:after="240"/>
        <w:ind w:left="0" w:firstLine="0"/>
        <w:contextualSpacing w:val="0"/>
        <w:rPr>
          <w:rFonts w:ascii="Arial" w:hAnsi="Arial" w:cs="Arial"/>
          <w:sz w:val="22"/>
          <w:szCs w:val="22"/>
          <w:lang w:val="es-ES_tradnl"/>
        </w:rPr>
      </w:pPr>
      <w:r w:rsidRPr="003A2471">
        <w:rPr>
          <w:rFonts w:ascii="Arial" w:hAnsi="Arial" w:cs="Arial"/>
          <w:sz w:val="22"/>
          <w:szCs w:val="22"/>
          <w:lang w:val="es-ES_tradnl"/>
        </w:rPr>
        <w:t>La segunda edición del programa piloto de tutoría de la OMPI, que comprend</w:t>
      </w:r>
      <w:r w:rsidR="00C87C9E" w:rsidRPr="003A2471">
        <w:rPr>
          <w:rFonts w:ascii="Arial" w:hAnsi="Arial" w:cs="Arial"/>
          <w:sz w:val="22"/>
          <w:szCs w:val="22"/>
          <w:lang w:val="es-ES_tradnl"/>
        </w:rPr>
        <w:t>ía</w:t>
      </w:r>
      <w:r w:rsidRPr="003A2471">
        <w:rPr>
          <w:rFonts w:ascii="Arial" w:hAnsi="Arial" w:cs="Arial"/>
          <w:sz w:val="22"/>
          <w:szCs w:val="22"/>
          <w:lang w:val="es-ES_tradnl"/>
        </w:rPr>
        <w:t xml:space="preserve"> 21 tándems tutor-alumno</w:t>
      </w:r>
      <w:r w:rsidR="00C87C9E" w:rsidRPr="003A2471">
        <w:rPr>
          <w:rFonts w:ascii="Arial" w:hAnsi="Arial" w:cs="Arial"/>
          <w:sz w:val="22"/>
          <w:szCs w:val="22"/>
          <w:lang w:val="es-ES_tradnl"/>
        </w:rPr>
        <w:t>, concluyó con éxito al final de 2019. Entre las recomendaciones formuladas tras su aplicación cabe señalar la duración flexible del programa, la selección de los tutores por parte de los alumnos, capacitación en tutoría y directrices tanto para los tutores como para los alumnos, así como el examen de las herramientas adecuadas para la elaboración de una “red de tutores” (MentorNet), mediante la cual los posibles alumnos pueden consultar los perfiles de los tutores disponibles</w:t>
      </w:r>
      <w:r w:rsidR="00431F02" w:rsidRPr="003A2471">
        <w:rPr>
          <w:rFonts w:ascii="Arial" w:hAnsi="Arial" w:cs="Arial"/>
          <w:sz w:val="22"/>
          <w:szCs w:val="22"/>
          <w:lang w:val="es-ES_tradnl"/>
        </w:rPr>
        <w:t>.</w:t>
      </w:r>
    </w:p>
    <w:p w14:paraId="5D72C13D" w14:textId="3315155A" w:rsidR="00431F02" w:rsidRPr="003A2471" w:rsidRDefault="006F43F6" w:rsidP="003A2471">
      <w:pPr>
        <w:pStyle w:val="ListParagraph"/>
        <w:numPr>
          <w:ilvl w:val="0"/>
          <w:numId w:val="7"/>
        </w:numPr>
        <w:spacing w:after="360"/>
        <w:ind w:left="0" w:firstLine="0"/>
        <w:contextualSpacing w:val="0"/>
        <w:rPr>
          <w:rFonts w:ascii="Arial" w:hAnsi="Arial" w:cs="Arial"/>
          <w:sz w:val="22"/>
          <w:szCs w:val="22"/>
          <w:lang w:val="es-ES_tradnl"/>
        </w:rPr>
      </w:pPr>
      <w:r w:rsidRPr="003A2471">
        <w:rPr>
          <w:rFonts w:ascii="Arial" w:hAnsi="Arial" w:cs="Arial"/>
          <w:sz w:val="22"/>
          <w:szCs w:val="22"/>
          <w:lang w:val="es-ES_tradnl"/>
        </w:rPr>
        <w:t>La OMPI participó en un examen de la Dependencia Común de Inspección (DCI)</w:t>
      </w:r>
      <w:r w:rsidR="00902CCB" w:rsidRPr="003A2471">
        <w:rPr>
          <w:rFonts w:ascii="Arial" w:hAnsi="Arial" w:cs="Arial"/>
          <w:sz w:val="22"/>
          <w:szCs w:val="22"/>
          <w:lang w:val="es-ES_tradnl"/>
        </w:rPr>
        <w:t>,</w:t>
      </w:r>
      <w:r w:rsidRPr="003A2471">
        <w:rPr>
          <w:rFonts w:ascii="Arial" w:hAnsi="Arial" w:cs="Arial"/>
          <w:sz w:val="22"/>
          <w:szCs w:val="22"/>
          <w:lang w:val="es-ES_tradnl"/>
        </w:rPr>
        <w:t xml:space="preserve"> a escala de todo el sistema de las Naciones Unidas</w:t>
      </w:r>
      <w:r w:rsidR="00902CCB" w:rsidRPr="003A2471">
        <w:rPr>
          <w:rFonts w:ascii="Arial" w:hAnsi="Arial" w:cs="Arial"/>
          <w:sz w:val="22"/>
          <w:szCs w:val="22"/>
          <w:lang w:val="es-ES_tradnl"/>
        </w:rPr>
        <w:t>,</w:t>
      </w:r>
      <w:r w:rsidRPr="003A2471">
        <w:rPr>
          <w:rFonts w:ascii="Arial" w:hAnsi="Arial" w:cs="Arial"/>
          <w:sz w:val="22"/>
          <w:szCs w:val="22"/>
          <w:lang w:val="es-ES_tradnl"/>
        </w:rPr>
        <w:t xml:space="preserve"> de las políticas, programas y plataformas de apoyo al aprendizaje </w:t>
      </w:r>
      <w:r w:rsidR="00902CCB" w:rsidRPr="003A2471">
        <w:rPr>
          <w:rFonts w:ascii="Arial" w:hAnsi="Arial" w:cs="Arial"/>
          <w:sz w:val="22"/>
          <w:szCs w:val="22"/>
          <w:lang w:val="es-ES_tradnl"/>
        </w:rPr>
        <w:t>en aras de la</w:t>
      </w:r>
      <w:r w:rsidRPr="003A2471">
        <w:rPr>
          <w:rFonts w:ascii="Arial" w:hAnsi="Arial" w:cs="Arial"/>
          <w:sz w:val="22"/>
          <w:szCs w:val="22"/>
          <w:lang w:val="es-ES_tradnl"/>
        </w:rPr>
        <w:t xml:space="preserve"> coherencia, </w:t>
      </w:r>
      <w:r w:rsidR="00294290" w:rsidRPr="003A2471">
        <w:rPr>
          <w:rFonts w:ascii="Arial" w:hAnsi="Arial" w:cs="Arial"/>
          <w:sz w:val="22"/>
          <w:szCs w:val="22"/>
          <w:lang w:val="es-ES_tradnl"/>
        </w:rPr>
        <w:t xml:space="preserve">la </w:t>
      </w:r>
      <w:r w:rsidRPr="003A2471">
        <w:rPr>
          <w:rFonts w:ascii="Arial" w:hAnsi="Arial" w:cs="Arial"/>
          <w:sz w:val="22"/>
          <w:szCs w:val="22"/>
          <w:lang w:val="es-ES_tradnl"/>
        </w:rPr>
        <w:t xml:space="preserve">coordinación y </w:t>
      </w:r>
      <w:r w:rsidR="00294290" w:rsidRPr="003A2471">
        <w:rPr>
          <w:rFonts w:ascii="Arial" w:hAnsi="Arial" w:cs="Arial"/>
          <w:sz w:val="22"/>
          <w:szCs w:val="22"/>
          <w:lang w:val="es-ES_tradnl"/>
        </w:rPr>
        <w:t xml:space="preserve">la </w:t>
      </w:r>
      <w:r w:rsidRPr="003A2471">
        <w:rPr>
          <w:rFonts w:ascii="Arial" w:hAnsi="Arial" w:cs="Arial"/>
          <w:sz w:val="22"/>
          <w:szCs w:val="22"/>
          <w:lang w:val="es-ES_tradnl"/>
        </w:rPr>
        <w:t>convergencia</w:t>
      </w:r>
      <w:r w:rsidR="00902CCB" w:rsidRPr="003A2471">
        <w:rPr>
          <w:rFonts w:ascii="Arial" w:hAnsi="Arial" w:cs="Arial"/>
          <w:sz w:val="22"/>
          <w:szCs w:val="22"/>
          <w:lang w:val="es-ES_tradnl"/>
        </w:rPr>
        <w:t>. El proyecto de informe y las recomendaciones se centraron en la importancia estratégica del aprendizaje en todas las organizaciones del</w:t>
      </w:r>
      <w:r w:rsidR="00BB45B0" w:rsidRPr="003A2471">
        <w:rPr>
          <w:rFonts w:ascii="Arial" w:hAnsi="Arial" w:cs="Arial"/>
          <w:sz w:val="22"/>
          <w:szCs w:val="22"/>
          <w:lang w:val="es-ES_tradnl"/>
        </w:rPr>
        <w:t xml:space="preserve"> sistema de las Naciones Unidas, proponiéndose </w:t>
      </w:r>
      <w:r w:rsidR="00902CCB" w:rsidRPr="003A2471">
        <w:rPr>
          <w:rFonts w:ascii="Arial" w:hAnsi="Arial" w:cs="Arial"/>
          <w:sz w:val="22"/>
          <w:szCs w:val="22"/>
          <w:lang w:val="es-ES_tradnl"/>
        </w:rPr>
        <w:t xml:space="preserve">medidas específicas, como evaluar la incidencia de los programas de aprendizaje, revisar el Marco de Aprendizaje de la Organización y elevar la condición del actual Foro de Gestores del </w:t>
      </w:r>
      <w:r w:rsidR="00B272BB" w:rsidRPr="003A2471">
        <w:rPr>
          <w:rFonts w:ascii="Arial" w:hAnsi="Arial" w:cs="Arial"/>
          <w:sz w:val="22"/>
          <w:szCs w:val="22"/>
          <w:lang w:val="es-ES_tradnl"/>
        </w:rPr>
        <w:t>Aprendizaje</w:t>
      </w:r>
      <w:r w:rsidR="00902CCB" w:rsidRPr="003A2471">
        <w:rPr>
          <w:rFonts w:ascii="Arial" w:hAnsi="Arial" w:cs="Arial"/>
          <w:sz w:val="22"/>
          <w:szCs w:val="22"/>
          <w:lang w:val="es-ES_tradnl"/>
        </w:rPr>
        <w:t xml:space="preserve"> a una red de la Junta de los Jefes Ejecutivos</w:t>
      </w:r>
      <w:r w:rsidR="00431F02" w:rsidRPr="003A2471">
        <w:rPr>
          <w:rFonts w:ascii="Arial" w:hAnsi="Arial" w:cs="Arial"/>
          <w:sz w:val="22"/>
          <w:szCs w:val="22"/>
          <w:lang w:val="es-ES_tradnl"/>
        </w:rPr>
        <w:t>.</w:t>
      </w:r>
    </w:p>
    <w:p w14:paraId="4E25EFB5" w14:textId="4E31C378" w:rsidR="00431F02" w:rsidRPr="003A2471" w:rsidRDefault="00E150C4" w:rsidP="003A2471">
      <w:pPr>
        <w:pStyle w:val="Heading2"/>
        <w:keepNext w:val="0"/>
        <w:spacing w:after="240"/>
        <w:rPr>
          <w:lang w:val="es-ES_tradnl"/>
        </w:rPr>
      </w:pPr>
      <w:r w:rsidRPr="003A2471">
        <w:rPr>
          <w:lang w:val="es-ES_tradnl"/>
        </w:rPr>
        <w:t>prestación de servicios al personal</w:t>
      </w:r>
    </w:p>
    <w:p w14:paraId="18E891B7" w14:textId="54BBA2BE" w:rsidR="00431F02" w:rsidRPr="003A2471" w:rsidRDefault="00CF7828" w:rsidP="003A2471">
      <w:pPr>
        <w:pStyle w:val="ListParagraph"/>
        <w:numPr>
          <w:ilvl w:val="0"/>
          <w:numId w:val="7"/>
        </w:numPr>
        <w:spacing w:after="240"/>
        <w:ind w:left="0" w:firstLine="0"/>
        <w:contextualSpacing w:val="0"/>
        <w:rPr>
          <w:rFonts w:ascii="Arial" w:hAnsi="Arial" w:cs="Arial"/>
          <w:sz w:val="22"/>
          <w:szCs w:val="22"/>
          <w:lang w:val="es-ES_tradnl"/>
        </w:rPr>
      </w:pPr>
      <w:r w:rsidRPr="003A2471">
        <w:rPr>
          <w:rFonts w:ascii="Arial" w:hAnsi="Arial" w:cs="Arial"/>
          <w:sz w:val="22"/>
          <w:szCs w:val="22"/>
          <w:lang w:val="es-ES_tradnl"/>
        </w:rPr>
        <w:t xml:space="preserve">Como parte de la labor efectuada a escala de toda la organización </w:t>
      </w:r>
      <w:r w:rsidR="00E95106" w:rsidRPr="003A2471">
        <w:rPr>
          <w:rFonts w:ascii="Arial" w:hAnsi="Arial" w:cs="Arial"/>
          <w:sz w:val="22"/>
          <w:szCs w:val="22"/>
          <w:lang w:val="es-ES_tradnl"/>
        </w:rPr>
        <w:t>para</w:t>
      </w:r>
      <w:r w:rsidRPr="003A2471">
        <w:rPr>
          <w:rFonts w:ascii="Arial" w:hAnsi="Arial" w:cs="Arial"/>
          <w:sz w:val="22"/>
          <w:szCs w:val="22"/>
          <w:lang w:val="es-ES_tradnl"/>
        </w:rPr>
        <w:t xml:space="preserve"> limitar los ficheros en papel y de acceder</w:t>
      </w:r>
      <w:r w:rsidR="00BB45B0" w:rsidRPr="003A2471">
        <w:rPr>
          <w:rFonts w:ascii="Arial" w:hAnsi="Arial" w:cs="Arial"/>
          <w:sz w:val="22"/>
          <w:szCs w:val="22"/>
          <w:lang w:val="es-ES_tradnl"/>
        </w:rPr>
        <w:t xml:space="preserve"> a</w:t>
      </w:r>
      <w:r w:rsidRPr="003A2471">
        <w:rPr>
          <w:rFonts w:ascii="Arial" w:hAnsi="Arial" w:cs="Arial"/>
          <w:sz w:val="22"/>
          <w:szCs w:val="22"/>
          <w:lang w:val="es-ES_tradnl"/>
        </w:rPr>
        <w:t xml:space="preserve"> la información necesaria para efectuar el cometido del DGRH </w:t>
      </w:r>
      <w:r w:rsidR="00BB45B0" w:rsidRPr="003A2471">
        <w:rPr>
          <w:rFonts w:ascii="Arial" w:hAnsi="Arial" w:cs="Arial"/>
          <w:sz w:val="22"/>
          <w:szCs w:val="22"/>
          <w:lang w:val="es-ES_tradnl"/>
        </w:rPr>
        <w:t xml:space="preserve">y compartirla </w:t>
      </w:r>
      <w:r w:rsidRPr="003A2471">
        <w:rPr>
          <w:rFonts w:ascii="Arial" w:hAnsi="Arial" w:cs="Arial"/>
          <w:sz w:val="22"/>
          <w:szCs w:val="22"/>
          <w:lang w:val="es-ES_tradnl"/>
        </w:rPr>
        <w:t>eficazmente, en 2019 se implantó una plataforma de gestión de contenidos institucionales, la plataforma KIC. Dicha plataforma suministra al DGRH flujos de trabajo en formato electrónico para acelerar y hacer un seguimiento de los procesos junto con herramientas para proteger y preservar los activos de información de la OMPI</w:t>
      </w:r>
      <w:r w:rsidR="00F77FF0" w:rsidRPr="003A2471">
        <w:rPr>
          <w:rFonts w:ascii="Arial" w:hAnsi="Arial" w:cs="Arial"/>
          <w:sz w:val="22"/>
          <w:szCs w:val="22"/>
          <w:lang w:val="es-ES_tradnl"/>
        </w:rPr>
        <w:t xml:space="preserve">. La introducción de un sistema de presentación electrónica en los procesos del DGRH constituye un paso importante que permite disponer de un único depósito digital de documentos y expedientes del empleado en lugar de los actuales archivos en papel. Otras ventajas y capacidades </w:t>
      </w:r>
      <w:r w:rsidR="00E95106" w:rsidRPr="003A2471">
        <w:rPr>
          <w:rFonts w:ascii="Arial" w:hAnsi="Arial" w:cs="Arial"/>
          <w:sz w:val="22"/>
          <w:szCs w:val="22"/>
          <w:lang w:val="es-ES_tradnl"/>
        </w:rPr>
        <w:t xml:space="preserve">del sistema </w:t>
      </w:r>
      <w:r w:rsidR="00F77FF0" w:rsidRPr="003A2471">
        <w:rPr>
          <w:rFonts w:ascii="Arial" w:hAnsi="Arial" w:cs="Arial"/>
          <w:sz w:val="22"/>
          <w:szCs w:val="22"/>
          <w:lang w:val="es-ES_tradnl"/>
        </w:rPr>
        <w:t>consisten en una poten</w:t>
      </w:r>
      <w:r w:rsidR="00E95106" w:rsidRPr="003A2471">
        <w:rPr>
          <w:rFonts w:ascii="Arial" w:hAnsi="Arial" w:cs="Arial"/>
          <w:sz w:val="22"/>
          <w:szCs w:val="22"/>
          <w:lang w:val="es-ES_tradnl"/>
        </w:rPr>
        <w:t xml:space="preserve">te herramienta de búsqueda y </w:t>
      </w:r>
      <w:r w:rsidR="00F77FF0" w:rsidRPr="003A2471">
        <w:rPr>
          <w:rFonts w:ascii="Arial" w:hAnsi="Arial" w:cs="Arial"/>
          <w:sz w:val="22"/>
          <w:szCs w:val="22"/>
          <w:lang w:val="es-ES_tradnl"/>
        </w:rPr>
        <w:t xml:space="preserve">versionado automático de documentos, </w:t>
      </w:r>
      <w:r w:rsidR="00E95106" w:rsidRPr="003A2471">
        <w:rPr>
          <w:rFonts w:ascii="Arial" w:hAnsi="Arial" w:cs="Arial"/>
          <w:sz w:val="22"/>
          <w:szCs w:val="22"/>
          <w:lang w:val="es-ES_tradnl"/>
        </w:rPr>
        <w:t>una</w:t>
      </w:r>
      <w:r w:rsidR="00F77FF0" w:rsidRPr="003A2471">
        <w:rPr>
          <w:rFonts w:ascii="Arial" w:hAnsi="Arial" w:cs="Arial"/>
          <w:sz w:val="22"/>
          <w:szCs w:val="22"/>
          <w:lang w:val="es-ES_tradnl"/>
        </w:rPr>
        <w:t xml:space="preserve"> gestión segura y flexi</w:t>
      </w:r>
      <w:r w:rsidR="00E95106" w:rsidRPr="003A2471">
        <w:rPr>
          <w:rFonts w:ascii="Arial" w:hAnsi="Arial" w:cs="Arial"/>
          <w:sz w:val="22"/>
          <w:szCs w:val="22"/>
          <w:lang w:val="es-ES_tradnl"/>
        </w:rPr>
        <w:t>ble</w:t>
      </w:r>
      <w:r w:rsidR="00F77FF0" w:rsidRPr="003A2471">
        <w:rPr>
          <w:rFonts w:ascii="Arial" w:hAnsi="Arial" w:cs="Arial"/>
          <w:sz w:val="22"/>
          <w:szCs w:val="22"/>
          <w:lang w:val="es-ES_tradnl"/>
        </w:rPr>
        <w:t xml:space="preserve"> del acceso a los documentos, un depósito seguro conforme a las normas vigentes y los requisitos de disponibilidad del servicio para sistemas </w:t>
      </w:r>
      <w:r w:rsidR="00810792" w:rsidRPr="003A2471">
        <w:rPr>
          <w:rFonts w:ascii="Arial" w:hAnsi="Arial" w:cs="Arial"/>
          <w:sz w:val="22"/>
          <w:szCs w:val="22"/>
          <w:lang w:val="es-ES_tradnl"/>
        </w:rPr>
        <w:t>informáticos</w:t>
      </w:r>
      <w:r w:rsidR="00E95106" w:rsidRPr="003A2471">
        <w:rPr>
          <w:rFonts w:ascii="Arial" w:hAnsi="Arial" w:cs="Arial"/>
          <w:sz w:val="22"/>
          <w:szCs w:val="22"/>
          <w:lang w:val="es-ES_tradnl"/>
        </w:rPr>
        <w:t xml:space="preserve"> básicos</w:t>
      </w:r>
      <w:r w:rsidR="00810792" w:rsidRPr="003A2471">
        <w:rPr>
          <w:rFonts w:ascii="Arial" w:hAnsi="Arial" w:cs="Arial"/>
          <w:sz w:val="22"/>
          <w:szCs w:val="22"/>
          <w:lang w:val="es-ES_tradnl"/>
        </w:rPr>
        <w:t xml:space="preserve"> de gestión, así como la capacidad de escanear directamente documentos en la propia herramienta</w:t>
      </w:r>
      <w:r w:rsidR="00431F02" w:rsidRPr="003A2471">
        <w:rPr>
          <w:rFonts w:ascii="Arial" w:hAnsi="Arial" w:cs="Arial"/>
          <w:sz w:val="22"/>
          <w:szCs w:val="22"/>
          <w:lang w:val="es-ES_tradnl"/>
        </w:rPr>
        <w:t>.</w:t>
      </w:r>
    </w:p>
    <w:p w14:paraId="627231B8" w14:textId="106E1A75" w:rsidR="00431F02" w:rsidRPr="003A2471" w:rsidRDefault="00B811A7" w:rsidP="003A2471">
      <w:pPr>
        <w:pStyle w:val="null"/>
        <w:numPr>
          <w:ilvl w:val="0"/>
          <w:numId w:val="7"/>
        </w:numPr>
        <w:tabs>
          <w:tab w:val="left" w:pos="90"/>
        </w:tabs>
        <w:spacing w:after="240"/>
        <w:ind w:left="0" w:firstLine="0"/>
        <w:rPr>
          <w:rFonts w:ascii="Arial" w:hAnsi="Arial" w:cs="Arial"/>
          <w:sz w:val="22"/>
          <w:szCs w:val="22"/>
          <w:lang w:val="es-ES_tradnl"/>
        </w:rPr>
      </w:pPr>
      <w:r w:rsidRPr="003A2471">
        <w:rPr>
          <w:rStyle w:val="null1"/>
          <w:rFonts w:ascii="Arial" w:hAnsi="Arial" w:cs="Arial"/>
          <w:sz w:val="22"/>
          <w:szCs w:val="22"/>
          <w:lang w:val="es-ES_tradnl"/>
        </w:rPr>
        <w:t xml:space="preserve">La nueva función de PRI/AIMS para la gestión de las horas extraordinarias, puesta en marcha en 2019, pasó a estar en pleno funcionamiento en la segunda mitad del año. En consecuencia, </w:t>
      </w:r>
      <w:r w:rsidR="00A6003B" w:rsidRPr="003A2471">
        <w:rPr>
          <w:rStyle w:val="null1"/>
          <w:rFonts w:ascii="Arial" w:hAnsi="Arial" w:cs="Arial"/>
          <w:sz w:val="22"/>
          <w:szCs w:val="22"/>
          <w:lang w:val="es-ES_tradnl"/>
        </w:rPr>
        <w:t xml:space="preserve">actualmente </w:t>
      </w:r>
      <w:r w:rsidRPr="003A2471">
        <w:rPr>
          <w:rStyle w:val="null1"/>
          <w:rFonts w:ascii="Arial" w:hAnsi="Arial" w:cs="Arial"/>
          <w:sz w:val="22"/>
          <w:szCs w:val="22"/>
          <w:lang w:val="es-ES_tradnl"/>
        </w:rPr>
        <w:t>todas las peticiones, autorizaciones, validaciones y pagos relativos a las horas extra</w:t>
      </w:r>
      <w:r w:rsidR="00A6003B" w:rsidRPr="003A2471">
        <w:rPr>
          <w:rStyle w:val="null1"/>
          <w:rFonts w:ascii="Arial" w:hAnsi="Arial" w:cs="Arial"/>
          <w:sz w:val="22"/>
          <w:szCs w:val="22"/>
          <w:lang w:val="es-ES_tradnl"/>
        </w:rPr>
        <w:t>ordinaria</w:t>
      </w:r>
      <w:r w:rsidRPr="003A2471">
        <w:rPr>
          <w:rStyle w:val="null1"/>
          <w:rFonts w:ascii="Arial" w:hAnsi="Arial" w:cs="Arial"/>
          <w:sz w:val="22"/>
          <w:szCs w:val="22"/>
          <w:lang w:val="es-ES_tradnl"/>
        </w:rPr>
        <w:t>s se tramitan enteramente en formato electrónico.</w:t>
      </w:r>
    </w:p>
    <w:p w14:paraId="7D67AD19" w14:textId="7481BDBB" w:rsidR="00431F02" w:rsidRPr="003A2471" w:rsidRDefault="00467E45" w:rsidP="003A2471">
      <w:pPr>
        <w:pStyle w:val="ListParagraph"/>
        <w:numPr>
          <w:ilvl w:val="0"/>
          <w:numId w:val="7"/>
        </w:numPr>
        <w:spacing w:after="360"/>
        <w:ind w:left="0" w:firstLine="0"/>
        <w:contextualSpacing w:val="0"/>
        <w:rPr>
          <w:rFonts w:ascii="Arial" w:hAnsi="Arial" w:cs="Arial"/>
          <w:sz w:val="22"/>
          <w:szCs w:val="22"/>
          <w:lang w:val="es-ES_tradnl"/>
        </w:rPr>
      </w:pPr>
      <w:r w:rsidRPr="003A2471">
        <w:rPr>
          <w:rStyle w:val="null1"/>
          <w:rFonts w:ascii="Arial" w:hAnsi="Arial" w:cs="Arial"/>
          <w:sz w:val="22"/>
          <w:szCs w:val="22"/>
          <w:lang w:val="es-ES_tradnl"/>
        </w:rPr>
        <w:t xml:space="preserve">En junio de 2020 concluyó el proceso de licitación y de selección de un proveedor de seguros </w:t>
      </w:r>
      <w:r w:rsidR="00A6003B" w:rsidRPr="003A2471">
        <w:rPr>
          <w:rStyle w:val="null1"/>
          <w:rFonts w:ascii="Arial" w:hAnsi="Arial" w:cs="Arial"/>
          <w:sz w:val="22"/>
          <w:szCs w:val="22"/>
          <w:lang w:val="es-ES_tradnl"/>
        </w:rPr>
        <w:t xml:space="preserve">iniciado en septiembre 2020 </w:t>
      </w:r>
      <w:r w:rsidR="001C3EF0" w:rsidRPr="003A2471">
        <w:rPr>
          <w:rStyle w:val="null1"/>
          <w:rFonts w:ascii="Arial" w:hAnsi="Arial" w:cs="Arial"/>
          <w:sz w:val="22"/>
          <w:szCs w:val="22"/>
          <w:lang w:val="es-ES_tradnl"/>
        </w:rPr>
        <w:t>relativo al</w:t>
      </w:r>
      <w:r w:rsidRPr="003A2471">
        <w:rPr>
          <w:rStyle w:val="null1"/>
          <w:rFonts w:ascii="Arial" w:hAnsi="Arial" w:cs="Arial"/>
          <w:sz w:val="22"/>
          <w:szCs w:val="22"/>
          <w:lang w:val="es-ES_tradnl"/>
        </w:rPr>
        <w:t xml:space="preserve"> seguro médico colectivo y de accidentes</w:t>
      </w:r>
      <w:r w:rsidR="00A6003B" w:rsidRPr="003A2471">
        <w:rPr>
          <w:rStyle w:val="null1"/>
          <w:rFonts w:ascii="Arial" w:hAnsi="Arial" w:cs="Arial"/>
          <w:sz w:val="22"/>
          <w:szCs w:val="22"/>
          <w:lang w:val="es-ES_tradnl"/>
        </w:rPr>
        <w:t>,</w:t>
      </w:r>
      <w:r w:rsidRPr="003A2471">
        <w:rPr>
          <w:rStyle w:val="null1"/>
          <w:rFonts w:ascii="Arial" w:hAnsi="Arial" w:cs="Arial"/>
          <w:sz w:val="22"/>
          <w:szCs w:val="22"/>
          <w:lang w:val="es-ES_tradnl"/>
        </w:rPr>
        <w:t xml:space="preserve"> tras efectuar un proceso de selección en dos etapas, la etapa técnica y la financiera. </w:t>
      </w:r>
      <w:r w:rsidR="001C3EF0" w:rsidRPr="003A2471">
        <w:rPr>
          <w:rStyle w:val="null1"/>
          <w:rFonts w:ascii="Arial" w:hAnsi="Arial" w:cs="Arial"/>
          <w:sz w:val="22"/>
          <w:szCs w:val="22"/>
          <w:lang w:val="es-ES_tradnl"/>
        </w:rPr>
        <w:t xml:space="preserve">Tras dicho proceso, </w:t>
      </w:r>
      <w:r w:rsidR="00DA60BD" w:rsidRPr="003A2471">
        <w:rPr>
          <w:rStyle w:val="null1"/>
          <w:rFonts w:ascii="Arial" w:hAnsi="Arial" w:cs="Arial"/>
          <w:sz w:val="22"/>
          <w:szCs w:val="22"/>
          <w:lang w:val="es-ES_tradnl"/>
        </w:rPr>
        <w:t xml:space="preserve">se confirmó </w:t>
      </w:r>
      <w:r w:rsidR="001C3EF0" w:rsidRPr="003A2471">
        <w:rPr>
          <w:rStyle w:val="null1"/>
          <w:rFonts w:ascii="Arial" w:hAnsi="Arial" w:cs="Arial"/>
          <w:sz w:val="22"/>
          <w:szCs w:val="22"/>
          <w:lang w:val="es-ES_tradnl"/>
        </w:rPr>
        <w:t>al mismo proveedor</w:t>
      </w:r>
      <w:r w:rsidRPr="003A2471">
        <w:rPr>
          <w:rStyle w:val="null1"/>
          <w:rFonts w:ascii="Arial" w:hAnsi="Arial" w:cs="Arial"/>
          <w:sz w:val="22"/>
          <w:szCs w:val="22"/>
          <w:lang w:val="es-ES_tradnl"/>
        </w:rPr>
        <w:t xml:space="preserve"> para ambos seguros. La prima </w:t>
      </w:r>
      <w:r w:rsidR="001C3EF0" w:rsidRPr="003A2471">
        <w:rPr>
          <w:rStyle w:val="null1"/>
          <w:rFonts w:ascii="Arial" w:hAnsi="Arial" w:cs="Arial"/>
          <w:sz w:val="22"/>
          <w:szCs w:val="22"/>
          <w:lang w:val="es-ES_tradnl"/>
        </w:rPr>
        <w:t xml:space="preserve">del seguro médico </w:t>
      </w:r>
      <w:r w:rsidRPr="003A2471">
        <w:rPr>
          <w:rStyle w:val="null1"/>
          <w:rFonts w:ascii="Arial" w:hAnsi="Arial" w:cs="Arial"/>
          <w:sz w:val="22"/>
          <w:szCs w:val="22"/>
          <w:lang w:val="es-ES_tradnl"/>
        </w:rPr>
        <w:t xml:space="preserve">aumentará ligeramente en aproximadamente un 3,5%, y algo más, en un 7%, </w:t>
      </w:r>
      <w:r w:rsidR="001C3EF0" w:rsidRPr="003A2471">
        <w:rPr>
          <w:rStyle w:val="null1"/>
          <w:rFonts w:ascii="Arial" w:hAnsi="Arial" w:cs="Arial"/>
          <w:sz w:val="22"/>
          <w:szCs w:val="22"/>
          <w:lang w:val="es-ES_tradnl"/>
        </w:rPr>
        <w:t>en el caso del</w:t>
      </w:r>
      <w:r w:rsidRPr="003A2471">
        <w:rPr>
          <w:rStyle w:val="null1"/>
          <w:rFonts w:ascii="Arial" w:hAnsi="Arial" w:cs="Arial"/>
          <w:sz w:val="22"/>
          <w:szCs w:val="22"/>
          <w:lang w:val="es-ES_tradnl"/>
        </w:rPr>
        <w:t xml:space="preserve"> seguro de accidente profesional. Seguirá en curso la negociación de las condiciones de contratos específicos hasta su aplicación el 1 de enero de 2021</w:t>
      </w:r>
      <w:r w:rsidR="00431F02" w:rsidRPr="003A2471">
        <w:rPr>
          <w:rStyle w:val="null1"/>
          <w:rFonts w:ascii="Arial" w:hAnsi="Arial" w:cs="Arial"/>
          <w:sz w:val="22"/>
          <w:szCs w:val="22"/>
          <w:lang w:val="es-ES_tradnl"/>
        </w:rPr>
        <w:t>.</w:t>
      </w:r>
    </w:p>
    <w:p w14:paraId="00C0D908" w14:textId="23A0824F" w:rsidR="00431F02" w:rsidRPr="003A2471" w:rsidRDefault="00CF7828" w:rsidP="003A2471">
      <w:pPr>
        <w:pStyle w:val="Heading2"/>
        <w:keepNext w:val="0"/>
        <w:spacing w:after="240"/>
        <w:rPr>
          <w:i/>
          <w:lang w:val="es-ES_tradnl"/>
        </w:rPr>
      </w:pPr>
      <w:r w:rsidRPr="003A2471">
        <w:rPr>
          <w:lang w:val="es-ES_tradnl"/>
        </w:rPr>
        <w:t>fortalecimiento de la capacidad con miras al futuro</w:t>
      </w:r>
    </w:p>
    <w:p w14:paraId="5E0B0EDA" w14:textId="552E4EE4" w:rsidR="00431F02" w:rsidRPr="003A2471" w:rsidRDefault="00467E45" w:rsidP="003A2471">
      <w:pPr>
        <w:pStyle w:val="Default"/>
        <w:numPr>
          <w:ilvl w:val="0"/>
          <w:numId w:val="7"/>
        </w:numPr>
        <w:spacing w:after="240"/>
        <w:ind w:left="0" w:firstLine="0"/>
        <w:rPr>
          <w:rFonts w:ascii="Arial" w:hAnsi="Arial" w:cs="Arial"/>
          <w:sz w:val="22"/>
          <w:szCs w:val="22"/>
          <w:lang w:val="es-ES_tradnl"/>
        </w:rPr>
      </w:pPr>
      <w:r w:rsidRPr="003A2471">
        <w:rPr>
          <w:rFonts w:ascii="Arial" w:hAnsi="Arial" w:cs="Arial"/>
          <w:sz w:val="22"/>
          <w:szCs w:val="22"/>
          <w:lang w:val="es-ES_tradnl"/>
        </w:rPr>
        <w:t xml:space="preserve">La OMPI ha creado un grupo de discusión intersectorial sobre el futuro del trabajo y la previsión de las consecuencias de la transformación digital en la OMPI. </w:t>
      </w:r>
      <w:r w:rsidR="00226A8C" w:rsidRPr="003A2471">
        <w:rPr>
          <w:rFonts w:ascii="Arial" w:hAnsi="Arial" w:cs="Arial"/>
          <w:sz w:val="22"/>
          <w:szCs w:val="22"/>
          <w:lang w:val="es-ES_tradnl"/>
        </w:rPr>
        <w:t xml:space="preserve">A partir de las reflexiones y discusiones mantenidas a lo largo de 2019 han podido </w:t>
      </w:r>
      <w:r w:rsidR="005D4BC4" w:rsidRPr="003A2471">
        <w:rPr>
          <w:rFonts w:ascii="Arial" w:hAnsi="Arial" w:cs="Arial"/>
          <w:sz w:val="22"/>
          <w:szCs w:val="22"/>
          <w:lang w:val="es-ES_tradnl"/>
        </w:rPr>
        <w:t>extraerse</w:t>
      </w:r>
      <w:r w:rsidR="00226A8C" w:rsidRPr="003A2471">
        <w:rPr>
          <w:rFonts w:ascii="Arial" w:hAnsi="Arial" w:cs="Arial"/>
          <w:sz w:val="22"/>
          <w:szCs w:val="22"/>
          <w:lang w:val="es-ES_tradnl"/>
        </w:rPr>
        <w:t xml:space="preserve"> los siguientes temas generales</w:t>
      </w:r>
      <w:r w:rsidR="00431F02" w:rsidRPr="003A2471">
        <w:rPr>
          <w:rFonts w:ascii="Arial" w:hAnsi="Arial" w:cs="Arial"/>
          <w:sz w:val="22"/>
          <w:szCs w:val="22"/>
          <w:lang w:val="es-ES_tradnl"/>
        </w:rPr>
        <w:t>:</w:t>
      </w:r>
    </w:p>
    <w:p w14:paraId="2EF60BEE" w14:textId="005FBD69" w:rsidR="00431F02" w:rsidRPr="003A2471" w:rsidRDefault="00226A8C" w:rsidP="003A2471">
      <w:pPr>
        <w:pStyle w:val="ListParagraph"/>
        <w:numPr>
          <w:ilvl w:val="0"/>
          <w:numId w:val="13"/>
        </w:numPr>
        <w:spacing w:after="120"/>
        <w:ind w:left="896" w:hanging="357"/>
        <w:contextualSpacing w:val="0"/>
        <w:rPr>
          <w:rFonts w:ascii="Arial" w:hAnsi="Arial" w:cs="Arial"/>
          <w:sz w:val="22"/>
          <w:szCs w:val="22"/>
          <w:lang w:val="es-ES_tradnl"/>
        </w:rPr>
      </w:pPr>
      <w:r w:rsidRPr="003A2471">
        <w:rPr>
          <w:rFonts w:ascii="Arial" w:hAnsi="Arial" w:cs="Arial"/>
          <w:sz w:val="22"/>
          <w:szCs w:val="22"/>
          <w:lang w:val="es-ES_tradnl"/>
        </w:rPr>
        <w:t>Cultivar una mentalidad digital</w:t>
      </w:r>
    </w:p>
    <w:p w14:paraId="30346E9F" w14:textId="3D3308D4" w:rsidR="00431F02" w:rsidRPr="003A2471" w:rsidRDefault="00F83633" w:rsidP="003A2471">
      <w:pPr>
        <w:pStyle w:val="ListParagraph"/>
        <w:numPr>
          <w:ilvl w:val="0"/>
          <w:numId w:val="13"/>
        </w:numPr>
        <w:spacing w:after="120"/>
        <w:ind w:left="896" w:hanging="357"/>
        <w:contextualSpacing w:val="0"/>
        <w:rPr>
          <w:rFonts w:ascii="Arial" w:hAnsi="Arial" w:cs="Arial"/>
          <w:sz w:val="22"/>
          <w:szCs w:val="22"/>
          <w:lang w:val="es-ES_tradnl"/>
        </w:rPr>
      </w:pPr>
      <w:r w:rsidRPr="003A2471">
        <w:rPr>
          <w:rFonts w:ascii="Arial" w:hAnsi="Arial" w:cs="Arial"/>
          <w:sz w:val="22"/>
          <w:szCs w:val="22"/>
          <w:lang w:val="es-ES_tradnl"/>
        </w:rPr>
        <w:t>Fomentar una manera de trabajar centrada en el ser humano</w:t>
      </w:r>
      <w:r w:rsidR="00431F02" w:rsidRPr="003A2471">
        <w:rPr>
          <w:rFonts w:ascii="Arial" w:hAnsi="Arial" w:cs="Arial"/>
          <w:sz w:val="22"/>
          <w:szCs w:val="22"/>
          <w:lang w:val="es-ES_tradnl"/>
        </w:rPr>
        <w:t xml:space="preserve"> </w:t>
      </w:r>
    </w:p>
    <w:p w14:paraId="66849656" w14:textId="6AD28249" w:rsidR="00431F02" w:rsidRPr="003A2471" w:rsidRDefault="00F83633" w:rsidP="003A2471">
      <w:pPr>
        <w:pStyle w:val="ListParagraph"/>
        <w:numPr>
          <w:ilvl w:val="0"/>
          <w:numId w:val="13"/>
        </w:numPr>
        <w:spacing w:after="120"/>
        <w:ind w:left="896" w:hanging="357"/>
        <w:contextualSpacing w:val="0"/>
        <w:rPr>
          <w:rFonts w:ascii="Arial" w:hAnsi="Arial" w:cs="Arial"/>
          <w:sz w:val="22"/>
          <w:szCs w:val="22"/>
          <w:lang w:val="es-ES_tradnl"/>
        </w:rPr>
      </w:pPr>
      <w:r w:rsidRPr="003A2471">
        <w:rPr>
          <w:rFonts w:ascii="Arial" w:hAnsi="Arial" w:cs="Arial"/>
          <w:sz w:val="22"/>
          <w:szCs w:val="22"/>
          <w:lang w:val="es-ES_tradnl"/>
        </w:rPr>
        <w:t>Fomentar en los empleados la agilidad y la creatividad</w:t>
      </w:r>
      <w:r w:rsidR="00431F02" w:rsidRPr="003A2471">
        <w:rPr>
          <w:rFonts w:ascii="Arial" w:hAnsi="Arial" w:cs="Arial"/>
          <w:sz w:val="22"/>
          <w:szCs w:val="22"/>
          <w:lang w:val="es-ES_tradnl"/>
        </w:rPr>
        <w:t xml:space="preserve"> </w:t>
      </w:r>
    </w:p>
    <w:p w14:paraId="07885383" w14:textId="740B3701" w:rsidR="00431F02" w:rsidRPr="003A2471" w:rsidRDefault="00F83633" w:rsidP="003A2471">
      <w:pPr>
        <w:pStyle w:val="ListParagraph"/>
        <w:numPr>
          <w:ilvl w:val="0"/>
          <w:numId w:val="13"/>
        </w:numPr>
        <w:spacing w:after="240"/>
        <w:ind w:left="896" w:hanging="357"/>
        <w:contextualSpacing w:val="0"/>
        <w:rPr>
          <w:rFonts w:ascii="Arial" w:hAnsi="Arial" w:cs="Arial"/>
          <w:sz w:val="22"/>
          <w:szCs w:val="22"/>
          <w:lang w:val="es-ES_tradnl"/>
        </w:rPr>
      </w:pPr>
      <w:r w:rsidRPr="003A2471">
        <w:rPr>
          <w:rFonts w:ascii="Arial" w:hAnsi="Arial" w:cs="Arial"/>
          <w:sz w:val="22"/>
          <w:szCs w:val="22"/>
          <w:lang w:val="es-ES_tradnl"/>
        </w:rPr>
        <w:t>Sacar provecho de las competencias y potenciar la formación de líderes</w:t>
      </w:r>
    </w:p>
    <w:p w14:paraId="3EBF49B8" w14:textId="3F6AAA17" w:rsidR="00431F02" w:rsidRPr="003A2471" w:rsidRDefault="00F83633" w:rsidP="003A2471">
      <w:pPr>
        <w:spacing w:after="240"/>
        <w:rPr>
          <w:szCs w:val="22"/>
          <w:lang w:val="es-ES_tradnl"/>
        </w:rPr>
      </w:pPr>
      <w:r w:rsidRPr="003A2471">
        <w:rPr>
          <w:szCs w:val="22"/>
          <w:lang w:val="es-ES_tradnl"/>
        </w:rPr>
        <w:t xml:space="preserve">Se trata de un programa transformador que se examinará con </w:t>
      </w:r>
      <w:r w:rsidR="00C26DCE" w:rsidRPr="003A2471">
        <w:rPr>
          <w:szCs w:val="22"/>
          <w:lang w:val="es-ES_tradnl"/>
        </w:rPr>
        <w:t>el personal directivo superior</w:t>
      </w:r>
      <w:r w:rsidRPr="003A2471">
        <w:rPr>
          <w:szCs w:val="22"/>
          <w:lang w:val="es-ES_tradnl"/>
        </w:rPr>
        <w:t xml:space="preserve"> y se coordinará cuidadosamente con todos los sectores interesados</w:t>
      </w:r>
      <w:r w:rsidR="00431F02" w:rsidRPr="003A2471">
        <w:rPr>
          <w:szCs w:val="22"/>
          <w:lang w:val="es-ES_tradnl"/>
        </w:rPr>
        <w:t>.</w:t>
      </w:r>
    </w:p>
    <w:p w14:paraId="6C444022" w14:textId="534E05BA" w:rsidR="00431F02" w:rsidRPr="003A2471" w:rsidRDefault="00F83633" w:rsidP="003A2471">
      <w:pPr>
        <w:pStyle w:val="Default"/>
        <w:numPr>
          <w:ilvl w:val="0"/>
          <w:numId w:val="7"/>
        </w:numPr>
        <w:spacing w:after="240"/>
        <w:ind w:left="0" w:firstLine="0"/>
        <w:rPr>
          <w:rFonts w:ascii="Arial" w:hAnsi="Arial" w:cs="Arial"/>
          <w:sz w:val="22"/>
          <w:szCs w:val="22"/>
          <w:lang w:val="es-ES_tradnl"/>
        </w:rPr>
      </w:pPr>
      <w:r w:rsidRPr="003A2471">
        <w:rPr>
          <w:rFonts w:ascii="Arial" w:hAnsi="Arial" w:cs="Arial"/>
          <w:sz w:val="22"/>
          <w:szCs w:val="22"/>
          <w:lang w:val="es-ES_tradnl"/>
        </w:rPr>
        <w:t xml:space="preserve">No cabe duda de que la constante aceleración de los cambios tecnológicos </w:t>
      </w:r>
      <w:r w:rsidR="00C26DCE" w:rsidRPr="003A2471">
        <w:rPr>
          <w:rFonts w:ascii="Arial" w:hAnsi="Arial" w:cs="Arial"/>
          <w:sz w:val="22"/>
          <w:szCs w:val="22"/>
          <w:lang w:val="es-ES_tradnl"/>
        </w:rPr>
        <w:t>hace necesario</w:t>
      </w:r>
      <w:r w:rsidRPr="003A2471">
        <w:rPr>
          <w:rFonts w:ascii="Arial" w:hAnsi="Arial" w:cs="Arial"/>
          <w:sz w:val="22"/>
          <w:szCs w:val="22"/>
          <w:lang w:val="es-ES_tradnl"/>
        </w:rPr>
        <w:t xml:space="preserve"> </w:t>
      </w:r>
      <w:r w:rsidR="006E48B6" w:rsidRPr="003A2471">
        <w:rPr>
          <w:rFonts w:ascii="Arial" w:hAnsi="Arial" w:cs="Arial"/>
          <w:sz w:val="22"/>
          <w:szCs w:val="22"/>
          <w:lang w:val="es-ES_tradnl"/>
        </w:rPr>
        <w:t xml:space="preserve">que </w:t>
      </w:r>
      <w:r w:rsidR="00C26DCE" w:rsidRPr="003A2471">
        <w:rPr>
          <w:rFonts w:ascii="Arial" w:hAnsi="Arial" w:cs="Arial"/>
          <w:sz w:val="22"/>
          <w:szCs w:val="22"/>
          <w:lang w:val="es-ES_tradnl"/>
        </w:rPr>
        <w:t>el personal de la OMPI adquiera</w:t>
      </w:r>
      <w:r w:rsidR="006E48B6" w:rsidRPr="003A2471">
        <w:rPr>
          <w:rFonts w:ascii="Arial" w:hAnsi="Arial" w:cs="Arial"/>
          <w:sz w:val="22"/>
          <w:szCs w:val="22"/>
          <w:lang w:val="es-ES_tradnl"/>
        </w:rPr>
        <w:t xml:space="preserve"> nuevos conocimientos y competencias. La necesidad de potenciar una cultura de agilidad y </w:t>
      </w:r>
      <w:r w:rsidR="00C26DCE" w:rsidRPr="003A2471">
        <w:rPr>
          <w:rFonts w:ascii="Arial" w:hAnsi="Arial" w:cs="Arial"/>
          <w:sz w:val="22"/>
          <w:szCs w:val="22"/>
          <w:lang w:val="es-ES_tradnl"/>
        </w:rPr>
        <w:t xml:space="preserve">de </w:t>
      </w:r>
      <w:r w:rsidR="006E48B6" w:rsidRPr="003A2471">
        <w:rPr>
          <w:rFonts w:ascii="Arial" w:hAnsi="Arial" w:cs="Arial"/>
          <w:sz w:val="22"/>
          <w:szCs w:val="22"/>
          <w:lang w:val="es-ES_tradnl"/>
        </w:rPr>
        <w:t xml:space="preserve">aprendizaje durante toda la vida se está abordando mediante una oferta de </w:t>
      </w:r>
      <w:r w:rsidR="005D4BC4" w:rsidRPr="003A2471">
        <w:rPr>
          <w:rFonts w:ascii="Arial" w:hAnsi="Arial" w:cs="Arial"/>
          <w:sz w:val="22"/>
          <w:szCs w:val="22"/>
          <w:lang w:val="es-ES_tradnl"/>
        </w:rPr>
        <w:t xml:space="preserve">diversas </w:t>
      </w:r>
      <w:r w:rsidR="006E48B6" w:rsidRPr="003A2471">
        <w:rPr>
          <w:rFonts w:ascii="Arial" w:hAnsi="Arial" w:cs="Arial"/>
          <w:sz w:val="22"/>
          <w:szCs w:val="22"/>
          <w:lang w:val="es-ES_tradnl"/>
        </w:rPr>
        <w:t xml:space="preserve">opciones de aprendizaje y varias modalidades, tanto para el personal como para los directivos de la OMPI. El cambio al trabajo remoto en el caso de la mayor parte del personal de la OMPI debido al confinamiento como consecuencia de la COVID-19 permitirá a la OMPI aprovechar las ventajas </w:t>
      </w:r>
      <w:r w:rsidR="00C26DCE" w:rsidRPr="003A2471">
        <w:rPr>
          <w:rFonts w:ascii="Arial" w:hAnsi="Arial" w:cs="Arial"/>
          <w:sz w:val="22"/>
          <w:szCs w:val="22"/>
          <w:lang w:val="es-ES_tradnl"/>
        </w:rPr>
        <w:t>que aportan</w:t>
      </w:r>
      <w:r w:rsidR="006E48B6" w:rsidRPr="003A2471">
        <w:rPr>
          <w:rFonts w:ascii="Arial" w:hAnsi="Arial" w:cs="Arial"/>
          <w:sz w:val="22"/>
          <w:szCs w:val="22"/>
          <w:lang w:val="es-ES_tradnl"/>
        </w:rPr>
        <w:t xml:space="preserve"> las modalidades de traba</w:t>
      </w:r>
      <w:r w:rsidR="00C26DCE" w:rsidRPr="003A2471">
        <w:rPr>
          <w:rFonts w:ascii="Arial" w:hAnsi="Arial" w:cs="Arial"/>
          <w:sz w:val="22"/>
          <w:szCs w:val="22"/>
          <w:lang w:val="es-ES_tradnl"/>
        </w:rPr>
        <w:t xml:space="preserve">jo flexibles y, en particular, </w:t>
      </w:r>
      <w:r w:rsidR="006E48B6" w:rsidRPr="003A2471">
        <w:rPr>
          <w:rFonts w:ascii="Arial" w:hAnsi="Arial" w:cs="Arial"/>
          <w:sz w:val="22"/>
          <w:szCs w:val="22"/>
          <w:lang w:val="es-ES_tradnl"/>
        </w:rPr>
        <w:t>el teletrabajo. En combinación con una atractiva oferta de aprendizaje y opci</w:t>
      </w:r>
      <w:r w:rsidR="00C26DCE" w:rsidRPr="003A2471">
        <w:rPr>
          <w:rFonts w:ascii="Arial" w:hAnsi="Arial" w:cs="Arial"/>
          <w:sz w:val="22"/>
          <w:szCs w:val="22"/>
          <w:lang w:val="es-ES_tradnl"/>
        </w:rPr>
        <w:t>ones de perfeccionamiento, dicho</w:t>
      </w:r>
      <w:r w:rsidR="006E48B6" w:rsidRPr="003A2471">
        <w:rPr>
          <w:rFonts w:ascii="Arial" w:hAnsi="Arial" w:cs="Arial"/>
          <w:sz w:val="22"/>
          <w:szCs w:val="22"/>
          <w:lang w:val="es-ES_tradnl"/>
        </w:rPr>
        <w:t xml:space="preserve"> </w:t>
      </w:r>
      <w:r w:rsidR="00C26DCE" w:rsidRPr="003A2471">
        <w:rPr>
          <w:rFonts w:ascii="Arial" w:hAnsi="Arial" w:cs="Arial"/>
          <w:sz w:val="22"/>
          <w:szCs w:val="22"/>
          <w:lang w:val="es-ES_tradnl"/>
        </w:rPr>
        <w:t>contexto</w:t>
      </w:r>
      <w:r w:rsidR="006E48B6" w:rsidRPr="003A2471">
        <w:rPr>
          <w:rFonts w:ascii="Arial" w:hAnsi="Arial" w:cs="Arial"/>
          <w:sz w:val="22"/>
          <w:szCs w:val="22"/>
          <w:lang w:val="es-ES_tradnl"/>
        </w:rPr>
        <w:t xml:space="preserve"> situará a la OMPI entre los empleadores preferidos</w:t>
      </w:r>
      <w:r w:rsidR="00431F02" w:rsidRPr="003A2471">
        <w:rPr>
          <w:rFonts w:ascii="Arial" w:hAnsi="Arial" w:cs="Arial"/>
          <w:sz w:val="22"/>
          <w:szCs w:val="22"/>
          <w:lang w:val="es-ES_tradnl"/>
        </w:rPr>
        <w:t>.</w:t>
      </w:r>
    </w:p>
    <w:p w14:paraId="42778FA6" w14:textId="7BC3AFE9" w:rsidR="00431F02" w:rsidRPr="003A2471" w:rsidRDefault="006650D5" w:rsidP="003A2471">
      <w:pPr>
        <w:pStyle w:val="Default"/>
        <w:numPr>
          <w:ilvl w:val="0"/>
          <w:numId w:val="7"/>
        </w:numPr>
        <w:spacing w:after="240"/>
        <w:ind w:left="0" w:firstLine="0"/>
        <w:rPr>
          <w:rFonts w:ascii="Arial" w:hAnsi="Arial" w:cs="Arial"/>
          <w:sz w:val="22"/>
          <w:szCs w:val="22"/>
          <w:lang w:val="es-ES_tradnl"/>
        </w:rPr>
      </w:pPr>
      <w:r w:rsidRPr="003A2471">
        <w:rPr>
          <w:rFonts w:ascii="Arial" w:hAnsi="Arial" w:cs="Arial"/>
          <w:sz w:val="22"/>
          <w:szCs w:val="22"/>
          <w:lang w:val="es-ES_tradnl"/>
        </w:rPr>
        <w:t>Habida cuenta de los avances en la tecnología de nube, la OMPI ha puesto en marcha un proyecto de transformación de nube. La transición hacia la nube afecta a diversos sectores y p</w:t>
      </w:r>
      <w:r w:rsidR="003B1456" w:rsidRPr="003A2471">
        <w:rPr>
          <w:rFonts w:ascii="Arial" w:hAnsi="Arial" w:cs="Arial"/>
          <w:sz w:val="22"/>
          <w:szCs w:val="22"/>
          <w:lang w:val="es-ES_tradnl"/>
        </w:rPr>
        <w:t>ara llevarla a cabo es necesaria</w:t>
      </w:r>
      <w:r w:rsidRPr="003A2471">
        <w:rPr>
          <w:rFonts w:ascii="Arial" w:hAnsi="Arial" w:cs="Arial"/>
          <w:sz w:val="22"/>
          <w:szCs w:val="22"/>
          <w:lang w:val="es-ES_tradnl"/>
        </w:rPr>
        <w:t xml:space="preserve"> una estrecha cooperación entre dichos sectores y el DGRH basada en un enfoque ágil que permita el continuo intercambio de opiniones y la ejecución de ajustes con rapidez. Se ha emprendido un análisis preliminar exhaustivo de deficiencias en relación con la incidencia en las funciones y el personal. Se está examinando la posible elaboración de un marco </w:t>
      </w:r>
      <w:r w:rsidR="002378CB" w:rsidRPr="003A2471">
        <w:rPr>
          <w:rFonts w:ascii="Arial" w:hAnsi="Arial" w:cs="Arial"/>
          <w:sz w:val="22"/>
          <w:szCs w:val="22"/>
          <w:lang w:val="es-ES_tradnl"/>
        </w:rPr>
        <w:t xml:space="preserve">global </w:t>
      </w:r>
      <w:r w:rsidRPr="003A2471">
        <w:rPr>
          <w:rFonts w:ascii="Arial" w:hAnsi="Arial" w:cs="Arial"/>
          <w:sz w:val="22"/>
          <w:szCs w:val="22"/>
          <w:lang w:val="es-ES_tradnl"/>
        </w:rPr>
        <w:t>de la OMPI de gestión de talentos</w:t>
      </w:r>
      <w:r w:rsidR="002378CB" w:rsidRPr="003A2471">
        <w:rPr>
          <w:rFonts w:ascii="Arial" w:hAnsi="Arial" w:cs="Arial"/>
          <w:sz w:val="22"/>
          <w:szCs w:val="22"/>
          <w:lang w:val="es-ES_tradnl"/>
        </w:rPr>
        <w:t xml:space="preserve"> en el que se establecer</w:t>
      </w:r>
      <w:r w:rsidR="008B5C0B" w:rsidRPr="003A2471">
        <w:rPr>
          <w:rFonts w:ascii="Arial" w:hAnsi="Arial" w:cs="Arial"/>
          <w:sz w:val="22"/>
          <w:szCs w:val="22"/>
          <w:lang w:val="es-ES_tradnl"/>
        </w:rPr>
        <w:t>á</w:t>
      </w:r>
      <w:r w:rsidR="002378CB" w:rsidRPr="003A2471">
        <w:rPr>
          <w:rFonts w:ascii="Arial" w:hAnsi="Arial" w:cs="Arial"/>
          <w:sz w:val="22"/>
          <w:szCs w:val="22"/>
          <w:lang w:val="es-ES_tradnl"/>
        </w:rPr>
        <w:t xml:space="preserve"> un enfoque de las descripciones de puestos más versátil y centrado en las competencias. Se ha </w:t>
      </w:r>
      <w:r w:rsidR="001C486F" w:rsidRPr="003A2471">
        <w:rPr>
          <w:rFonts w:ascii="Arial" w:hAnsi="Arial" w:cs="Arial"/>
          <w:sz w:val="22"/>
          <w:szCs w:val="22"/>
          <w:lang w:val="es-ES_tradnl"/>
        </w:rPr>
        <w:t>diseñado</w:t>
      </w:r>
      <w:r w:rsidR="002378CB" w:rsidRPr="003A2471">
        <w:rPr>
          <w:rFonts w:ascii="Arial" w:hAnsi="Arial" w:cs="Arial"/>
          <w:sz w:val="22"/>
          <w:szCs w:val="22"/>
          <w:lang w:val="es-ES_tradnl"/>
        </w:rPr>
        <w:t xml:space="preserve"> un marco de formación </w:t>
      </w:r>
      <w:r w:rsidR="001C486F" w:rsidRPr="003A2471">
        <w:rPr>
          <w:rFonts w:ascii="Arial" w:hAnsi="Arial" w:cs="Arial"/>
          <w:sz w:val="22"/>
          <w:szCs w:val="22"/>
          <w:lang w:val="es-ES_tradnl"/>
        </w:rPr>
        <w:t>y de evaluación basado en el marco general establecido por el PMSDS</w:t>
      </w:r>
      <w:r w:rsidR="003B1456" w:rsidRPr="003A2471">
        <w:rPr>
          <w:rFonts w:ascii="Arial" w:hAnsi="Arial" w:cs="Arial"/>
          <w:sz w:val="22"/>
          <w:szCs w:val="22"/>
          <w:lang w:val="es-ES_tradnl"/>
        </w:rPr>
        <w:t>.</w:t>
      </w:r>
    </w:p>
    <w:p w14:paraId="382B46B9" w14:textId="30BFED37" w:rsidR="00431F02" w:rsidRPr="003A2471" w:rsidRDefault="001C486F" w:rsidP="003A2471">
      <w:pPr>
        <w:pStyle w:val="ListParagraph"/>
        <w:numPr>
          <w:ilvl w:val="0"/>
          <w:numId w:val="7"/>
        </w:numPr>
        <w:spacing w:after="360"/>
        <w:ind w:left="0" w:firstLine="0"/>
        <w:contextualSpacing w:val="0"/>
        <w:rPr>
          <w:rFonts w:ascii="Arial" w:hAnsi="Arial" w:cs="Arial"/>
          <w:sz w:val="22"/>
          <w:szCs w:val="22"/>
          <w:lang w:val="es-ES_tradnl"/>
        </w:rPr>
      </w:pPr>
      <w:r w:rsidRPr="003A2471">
        <w:rPr>
          <w:rFonts w:ascii="Arial" w:hAnsi="Arial" w:cs="Arial"/>
          <w:sz w:val="22"/>
          <w:szCs w:val="22"/>
          <w:lang w:val="es-ES_tradnl"/>
        </w:rPr>
        <w:t xml:space="preserve">Con el levantamiento gradual de las restricciones de los viajes internacionales en Ginebra, algunos miembros del personal y becarios </w:t>
      </w:r>
      <w:r w:rsidR="00774A76" w:rsidRPr="003A2471">
        <w:rPr>
          <w:rFonts w:ascii="Arial" w:hAnsi="Arial" w:cs="Arial"/>
          <w:sz w:val="22"/>
          <w:szCs w:val="22"/>
          <w:lang w:val="es-ES_tradnl"/>
        </w:rPr>
        <w:t>nuevos se incorporarán a</w:t>
      </w:r>
      <w:r w:rsidRPr="003A2471">
        <w:rPr>
          <w:rFonts w:ascii="Arial" w:hAnsi="Arial" w:cs="Arial"/>
          <w:sz w:val="22"/>
          <w:szCs w:val="22"/>
          <w:lang w:val="es-ES_tradnl"/>
        </w:rPr>
        <w:t xml:space="preserve"> la OMPI </w:t>
      </w:r>
      <w:r w:rsidR="00774A76" w:rsidRPr="003A2471">
        <w:rPr>
          <w:rFonts w:ascii="Arial" w:hAnsi="Arial" w:cs="Arial"/>
          <w:sz w:val="22"/>
          <w:szCs w:val="22"/>
          <w:lang w:val="es-ES_tradnl"/>
        </w:rPr>
        <w:t>a partir de</w:t>
      </w:r>
      <w:r w:rsidRPr="003A2471">
        <w:rPr>
          <w:rFonts w:ascii="Arial" w:hAnsi="Arial" w:cs="Arial"/>
          <w:sz w:val="22"/>
          <w:szCs w:val="22"/>
          <w:lang w:val="es-ES_tradnl"/>
        </w:rPr>
        <w:t xml:space="preserve"> julio, y el DGRH </w:t>
      </w:r>
      <w:r w:rsidR="00774A76" w:rsidRPr="003A2471">
        <w:rPr>
          <w:rFonts w:ascii="Arial" w:hAnsi="Arial" w:cs="Arial"/>
          <w:sz w:val="22"/>
          <w:szCs w:val="22"/>
          <w:lang w:val="es-ES_tradnl"/>
        </w:rPr>
        <w:t>ha preparado</w:t>
      </w:r>
      <w:r w:rsidRPr="003A2471">
        <w:rPr>
          <w:rFonts w:ascii="Arial" w:hAnsi="Arial" w:cs="Arial"/>
          <w:sz w:val="22"/>
          <w:szCs w:val="22"/>
          <w:lang w:val="es-ES_tradnl"/>
        </w:rPr>
        <w:t xml:space="preserve"> </w:t>
      </w:r>
      <w:r w:rsidR="00774A76" w:rsidRPr="003A2471">
        <w:rPr>
          <w:rFonts w:ascii="Arial" w:hAnsi="Arial" w:cs="Arial"/>
          <w:sz w:val="22"/>
          <w:szCs w:val="22"/>
          <w:lang w:val="es-ES_tradnl"/>
        </w:rPr>
        <w:t xml:space="preserve">para ellos </w:t>
      </w:r>
      <w:r w:rsidRPr="003A2471">
        <w:rPr>
          <w:rFonts w:ascii="Arial" w:hAnsi="Arial" w:cs="Arial"/>
          <w:sz w:val="22"/>
          <w:szCs w:val="22"/>
          <w:lang w:val="es-ES_tradnl"/>
        </w:rPr>
        <w:t xml:space="preserve">un programa </w:t>
      </w:r>
      <w:r w:rsidR="002A53F6" w:rsidRPr="003A2471">
        <w:rPr>
          <w:rFonts w:ascii="Arial" w:hAnsi="Arial" w:cs="Arial"/>
          <w:sz w:val="22"/>
          <w:szCs w:val="22"/>
          <w:lang w:val="es-ES_tradnl"/>
        </w:rPr>
        <w:t>de iniciación revisado y digitalizado. También están en curso los preparativos para la incorporación del personal directivo superior en el segundo semestre de 2020</w:t>
      </w:r>
      <w:r w:rsidR="003A2471" w:rsidRPr="003A2471">
        <w:rPr>
          <w:rFonts w:ascii="Arial" w:hAnsi="Arial" w:cs="Arial"/>
          <w:sz w:val="22"/>
          <w:szCs w:val="22"/>
          <w:lang w:val="es-ES_tradnl"/>
        </w:rPr>
        <w:t>.</w:t>
      </w:r>
    </w:p>
    <w:p w14:paraId="4676AD53" w14:textId="0F90FE81" w:rsidR="00431F02" w:rsidRPr="003A2471" w:rsidRDefault="00C803E3" w:rsidP="003A2471">
      <w:pPr>
        <w:pStyle w:val="Heading2"/>
        <w:keepNext w:val="0"/>
        <w:spacing w:after="240"/>
        <w:rPr>
          <w:lang w:val="es-ES_tradnl"/>
        </w:rPr>
      </w:pPr>
      <w:r w:rsidRPr="003A2471">
        <w:rPr>
          <w:lang w:val="es-ES_tradnl"/>
        </w:rPr>
        <w:t>PARTICIPACIÓN DEL PERSONAL</w:t>
      </w:r>
    </w:p>
    <w:p w14:paraId="35D4D654" w14:textId="11912F5D" w:rsidR="00431F02" w:rsidRPr="003A2471" w:rsidRDefault="002A53F6" w:rsidP="003A2471">
      <w:pPr>
        <w:pStyle w:val="ListParagraph"/>
        <w:numPr>
          <w:ilvl w:val="0"/>
          <w:numId w:val="7"/>
        </w:numPr>
        <w:spacing w:after="240"/>
        <w:ind w:left="0" w:firstLine="0"/>
        <w:contextualSpacing w:val="0"/>
        <w:rPr>
          <w:rFonts w:ascii="Arial" w:eastAsia="SimSun" w:hAnsi="Arial" w:cs="Arial"/>
          <w:bCs/>
          <w:sz w:val="22"/>
          <w:szCs w:val="22"/>
          <w:lang w:val="es-ES_tradnl"/>
        </w:rPr>
      </w:pPr>
      <w:r w:rsidRPr="003A2471">
        <w:rPr>
          <w:rFonts w:ascii="Arial" w:eastAsia="SimSun" w:hAnsi="Arial" w:cs="Arial"/>
          <w:bCs/>
          <w:sz w:val="22"/>
          <w:szCs w:val="22"/>
          <w:lang w:val="es-ES_tradnl"/>
        </w:rPr>
        <w:t xml:space="preserve">Durante el período objeto de informe se llevaron a cabo algunas encuestas al personal, entre otros asuntos, sobre salud y bienestar y gestión del tiempo y modalidades de trabajo flexibles, además de la </w:t>
      </w:r>
      <w:r w:rsidR="00C803E3" w:rsidRPr="003A2471">
        <w:rPr>
          <w:rFonts w:ascii="Arial" w:eastAsia="SimSun" w:hAnsi="Arial" w:cs="Arial"/>
          <w:bCs/>
          <w:sz w:val="22"/>
          <w:szCs w:val="22"/>
          <w:lang w:val="es-ES_tradnl"/>
        </w:rPr>
        <w:t>encuesta mundial del personal sobre el conjunto integral de la remuneración efectuada por la CAPI</w:t>
      </w:r>
      <w:r w:rsidR="003B1456" w:rsidRPr="003A2471">
        <w:rPr>
          <w:rFonts w:ascii="Arial" w:hAnsi="Arial" w:cs="Arial"/>
          <w:sz w:val="22"/>
          <w:szCs w:val="22"/>
          <w:lang w:val="es-ES_tradnl"/>
        </w:rPr>
        <w:t>.</w:t>
      </w:r>
    </w:p>
    <w:p w14:paraId="49827132" w14:textId="752FB9D9" w:rsidR="00431F02" w:rsidRPr="003A2471" w:rsidRDefault="00C803E3" w:rsidP="003A2471">
      <w:pPr>
        <w:pStyle w:val="ListParagraph"/>
        <w:numPr>
          <w:ilvl w:val="0"/>
          <w:numId w:val="7"/>
        </w:numPr>
        <w:spacing w:after="360"/>
        <w:ind w:left="0" w:firstLine="0"/>
        <w:contextualSpacing w:val="0"/>
        <w:rPr>
          <w:rFonts w:ascii="Arial" w:eastAsia="SimSun" w:hAnsi="Arial" w:cs="Arial"/>
          <w:bCs/>
          <w:sz w:val="22"/>
          <w:szCs w:val="22"/>
          <w:lang w:val="es-ES_tradnl"/>
        </w:rPr>
      </w:pPr>
      <w:r w:rsidRPr="003A2471">
        <w:rPr>
          <w:rFonts w:ascii="Arial" w:eastAsia="SimSun" w:hAnsi="Arial" w:cs="Arial"/>
          <w:bCs/>
          <w:sz w:val="22"/>
          <w:szCs w:val="22"/>
          <w:lang w:val="es-ES_tradnl"/>
        </w:rPr>
        <w:t xml:space="preserve">Además, se efectuará una nueva encuesta sobre el respeto y la armonía en el trabajo. La ejecución de una encuesta </w:t>
      </w:r>
      <w:r w:rsidR="002642EB" w:rsidRPr="003A2471">
        <w:rPr>
          <w:rFonts w:ascii="Arial" w:eastAsia="SimSun" w:hAnsi="Arial" w:cs="Arial"/>
          <w:bCs/>
          <w:sz w:val="22"/>
          <w:szCs w:val="22"/>
          <w:lang w:val="es-ES_tradnl"/>
        </w:rPr>
        <w:t>exhaustiva</w:t>
      </w:r>
      <w:r w:rsidRPr="003A2471">
        <w:rPr>
          <w:rFonts w:ascii="Arial" w:eastAsia="SimSun" w:hAnsi="Arial" w:cs="Arial"/>
          <w:bCs/>
          <w:sz w:val="22"/>
          <w:szCs w:val="22"/>
          <w:lang w:val="es-ES_tradnl"/>
        </w:rPr>
        <w:t xml:space="preserve"> </w:t>
      </w:r>
      <w:r w:rsidR="002642EB" w:rsidRPr="003A2471">
        <w:rPr>
          <w:rFonts w:ascii="Arial" w:eastAsia="SimSun" w:hAnsi="Arial" w:cs="Arial"/>
          <w:bCs/>
          <w:sz w:val="22"/>
          <w:szCs w:val="22"/>
          <w:lang w:val="es-ES_tradnl"/>
        </w:rPr>
        <w:t>sobre la participación activa del</w:t>
      </w:r>
      <w:r w:rsidRPr="003A2471">
        <w:rPr>
          <w:rFonts w:ascii="Arial" w:eastAsia="SimSun" w:hAnsi="Arial" w:cs="Arial"/>
          <w:bCs/>
          <w:sz w:val="22"/>
          <w:szCs w:val="22"/>
          <w:lang w:val="es-ES_tradnl"/>
        </w:rPr>
        <w:t xml:space="preserve"> personal</w:t>
      </w:r>
      <w:r w:rsidR="002642EB" w:rsidRPr="003A2471">
        <w:rPr>
          <w:rFonts w:ascii="Arial" w:eastAsia="SimSun" w:hAnsi="Arial" w:cs="Arial"/>
          <w:bCs/>
          <w:sz w:val="22"/>
          <w:szCs w:val="22"/>
          <w:lang w:val="es-ES_tradnl"/>
        </w:rPr>
        <w:t xml:space="preserve"> a este respecto</w:t>
      </w:r>
      <w:r w:rsidRPr="003A2471">
        <w:rPr>
          <w:rFonts w:ascii="Arial" w:eastAsia="SimSun" w:hAnsi="Arial" w:cs="Arial"/>
          <w:bCs/>
          <w:sz w:val="22"/>
          <w:szCs w:val="22"/>
          <w:lang w:val="es-ES_tradnl"/>
        </w:rPr>
        <w:t xml:space="preserve">, prevista a finales de 2020 o principios de 2021, servirá para evaluar la percepción de </w:t>
      </w:r>
      <w:r w:rsidR="002642EB" w:rsidRPr="003A2471">
        <w:rPr>
          <w:rFonts w:ascii="Arial" w:eastAsia="SimSun" w:hAnsi="Arial" w:cs="Arial"/>
          <w:bCs/>
          <w:sz w:val="22"/>
          <w:szCs w:val="22"/>
          <w:lang w:val="es-ES_tradnl"/>
        </w:rPr>
        <w:t>la cultura</w:t>
      </w:r>
      <w:r w:rsidRPr="003A2471">
        <w:rPr>
          <w:rFonts w:ascii="Arial" w:eastAsia="SimSun" w:hAnsi="Arial" w:cs="Arial"/>
          <w:bCs/>
          <w:sz w:val="22"/>
          <w:szCs w:val="22"/>
          <w:lang w:val="es-ES_tradnl"/>
        </w:rPr>
        <w:t xml:space="preserve"> de la OMPI</w:t>
      </w:r>
      <w:r w:rsidR="002642EB" w:rsidRPr="003A2471">
        <w:rPr>
          <w:rFonts w:ascii="Arial" w:eastAsia="SimSun" w:hAnsi="Arial" w:cs="Arial"/>
          <w:bCs/>
          <w:sz w:val="22"/>
          <w:szCs w:val="22"/>
          <w:lang w:val="es-ES_tradnl"/>
        </w:rPr>
        <w:t xml:space="preserve"> entre el personal</w:t>
      </w:r>
      <w:r w:rsidRPr="003A2471">
        <w:rPr>
          <w:rFonts w:ascii="Arial" w:eastAsia="SimSun" w:hAnsi="Arial" w:cs="Arial"/>
          <w:bCs/>
          <w:sz w:val="22"/>
          <w:szCs w:val="22"/>
          <w:lang w:val="es-ES_tradnl"/>
        </w:rPr>
        <w:t xml:space="preserve"> y crear una base para medir la incidencia de las iniciativas de gestión del talento</w:t>
      </w:r>
      <w:r w:rsidR="003A2471" w:rsidRPr="003A2471">
        <w:rPr>
          <w:rFonts w:ascii="Arial" w:hAnsi="Arial" w:cs="Arial"/>
          <w:sz w:val="22"/>
          <w:szCs w:val="22"/>
          <w:lang w:val="es-ES_tradnl"/>
        </w:rPr>
        <w:t>.</w:t>
      </w:r>
    </w:p>
    <w:p w14:paraId="08F5B38B" w14:textId="496F3146" w:rsidR="00431F02" w:rsidRPr="003A2471" w:rsidRDefault="00902CCB" w:rsidP="003A2471">
      <w:pPr>
        <w:pStyle w:val="Heading2"/>
        <w:keepNext w:val="0"/>
        <w:spacing w:after="240"/>
        <w:rPr>
          <w:lang w:val="es-ES_tradnl"/>
        </w:rPr>
      </w:pPr>
      <w:r w:rsidRPr="003A2471">
        <w:rPr>
          <w:lang w:val="es-ES_tradnl"/>
        </w:rPr>
        <w:t>APOYO MÉDICO</w:t>
      </w:r>
      <w:r w:rsidR="00431F02" w:rsidRPr="003A2471">
        <w:rPr>
          <w:lang w:val="es-ES_tradnl"/>
        </w:rPr>
        <w:t>/</w:t>
      </w:r>
      <w:r w:rsidRPr="003A2471">
        <w:rPr>
          <w:lang w:val="es-ES_tradnl"/>
        </w:rPr>
        <w:t>SERVICIOS DE SALUD</w:t>
      </w:r>
    </w:p>
    <w:p w14:paraId="6E51F768" w14:textId="447E94A3" w:rsidR="00431F02" w:rsidRPr="003A2471" w:rsidRDefault="00367049" w:rsidP="003A2471">
      <w:pPr>
        <w:pStyle w:val="ListParagraph"/>
        <w:numPr>
          <w:ilvl w:val="0"/>
          <w:numId w:val="7"/>
        </w:numPr>
        <w:spacing w:after="240"/>
        <w:ind w:left="0" w:firstLine="0"/>
        <w:contextualSpacing w:val="0"/>
        <w:rPr>
          <w:rFonts w:ascii="Arial" w:hAnsi="Arial" w:cs="Arial"/>
          <w:sz w:val="22"/>
          <w:szCs w:val="22"/>
          <w:lang w:val="es-ES_tradnl"/>
        </w:rPr>
      </w:pPr>
      <w:r w:rsidRPr="003A2471">
        <w:rPr>
          <w:rFonts w:ascii="Arial" w:hAnsi="Arial" w:cs="Arial"/>
          <w:sz w:val="22"/>
          <w:szCs w:val="22"/>
          <w:lang w:val="es-ES_tradnl"/>
        </w:rPr>
        <w:t xml:space="preserve">La asesora médica principal presta servicios y asesoramiento a la Administración de la OMPI en cuestiones de salud ocupacional y en materia de aptitud médica del personal. </w:t>
      </w:r>
      <w:r w:rsidR="00AD5375" w:rsidRPr="003A2471">
        <w:rPr>
          <w:rFonts w:ascii="Arial" w:hAnsi="Arial" w:cs="Arial"/>
          <w:sz w:val="22"/>
          <w:szCs w:val="22"/>
          <w:lang w:val="es-ES_tradnl"/>
        </w:rPr>
        <w:t>Como consecuencia de la</w:t>
      </w:r>
      <w:r w:rsidRPr="003A2471">
        <w:rPr>
          <w:rFonts w:ascii="Arial" w:hAnsi="Arial" w:cs="Arial"/>
          <w:sz w:val="22"/>
          <w:szCs w:val="22"/>
          <w:lang w:val="es-ES_tradnl"/>
        </w:rPr>
        <w:t xml:space="preserve"> pandemia de COVID-19</w:t>
      </w:r>
      <w:r w:rsidR="002642EB" w:rsidRPr="003A2471">
        <w:rPr>
          <w:rFonts w:ascii="Arial" w:hAnsi="Arial" w:cs="Arial"/>
          <w:sz w:val="22"/>
          <w:szCs w:val="22"/>
          <w:lang w:val="es-ES_tradnl"/>
        </w:rPr>
        <w:t>,</w:t>
      </w:r>
      <w:r w:rsidRPr="003A2471">
        <w:rPr>
          <w:rFonts w:ascii="Arial" w:hAnsi="Arial" w:cs="Arial"/>
          <w:sz w:val="22"/>
          <w:szCs w:val="22"/>
          <w:lang w:val="es-ES_tradnl"/>
        </w:rPr>
        <w:t xml:space="preserve"> </w:t>
      </w:r>
      <w:r w:rsidR="00AD5375" w:rsidRPr="003A2471">
        <w:rPr>
          <w:rFonts w:ascii="Arial" w:hAnsi="Arial" w:cs="Arial"/>
          <w:sz w:val="22"/>
          <w:szCs w:val="22"/>
          <w:lang w:val="es-ES_tradnl"/>
        </w:rPr>
        <w:t>aumentó considerablemente el volumen de trabajo de la Unidad Médica. A fin de satisfacer las necesidades de la Organización</w:t>
      </w:r>
      <w:r w:rsidR="002642EB" w:rsidRPr="003A2471">
        <w:rPr>
          <w:rFonts w:ascii="Arial" w:hAnsi="Arial" w:cs="Arial"/>
          <w:sz w:val="22"/>
          <w:szCs w:val="22"/>
          <w:lang w:val="es-ES_tradnl"/>
        </w:rPr>
        <w:t>,</w:t>
      </w:r>
      <w:r w:rsidR="00AD5375" w:rsidRPr="003A2471">
        <w:rPr>
          <w:rFonts w:ascii="Arial" w:hAnsi="Arial" w:cs="Arial"/>
          <w:sz w:val="22"/>
          <w:szCs w:val="22"/>
          <w:lang w:val="es-ES_tradnl"/>
        </w:rPr>
        <w:t xml:space="preserve"> fue necesario incrementar la capacidad de la Unidad Médica, para poder garantizar un seguimiento adecuado de los casos</w:t>
      </w:r>
      <w:r w:rsidR="002642EB" w:rsidRPr="003A2471">
        <w:rPr>
          <w:rFonts w:ascii="Arial" w:hAnsi="Arial" w:cs="Arial"/>
          <w:sz w:val="22"/>
          <w:szCs w:val="22"/>
          <w:lang w:val="es-ES_tradnl"/>
        </w:rPr>
        <w:t xml:space="preserve"> y</w:t>
      </w:r>
      <w:r w:rsidR="00AD5375" w:rsidRPr="003A2471">
        <w:rPr>
          <w:rFonts w:ascii="Arial" w:hAnsi="Arial" w:cs="Arial"/>
          <w:sz w:val="22"/>
          <w:szCs w:val="22"/>
          <w:lang w:val="es-ES_tradnl"/>
        </w:rPr>
        <w:t xml:space="preserve"> </w:t>
      </w:r>
      <w:r w:rsidR="002642EB" w:rsidRPr="003A2471">
        <w:rPr>
          <w:rFonts w:ascii="Arial" w:hAnsi="Arial" w:cs="Arial"/>
          <w:sz w:val="22"/>
          <w:szCs w:val="22"/>
          <w:lang w:val="es-ES_tradnl"/>
        </w:rPr>
        <w:t xml:space="preserve">de </w:t>
      </w:r>
      <w:r w:rsidR="00AD5375" w:rsidRPr="003A2471">
        <w:rPr>
          <w:rFonts w:ascii="Arial" w:hAnsi="Arial" w:cs="Arial"/>
          <w:sz w:val="22"/>
          <w:szCs w:val="22"/>
          <w:lang w:val="es-ES_tradnl"/>
        </w:rPr>
        <w:t>sus contactos y todas las cuestiones conexas. Durante el período de la pandemia, se unieron al equipo una enfermera de salud ocupacional adicional y un médico ocupacional, ambos bajo la supervisión de la asesora médica principal</w:t>
      </w:r>
      <w:r w:rsidR="00431F02" w:rsidRPr="003A2471">
        <w:rPr>
          <w:rFonts w:ascii="Arial" w:hAnsi="Arial" w:cs="Arial"/>
          <w:color w:val="000000"/>
          <w:sz w:val="22"/>
          <w:szCs w:val="22"/>
          <w:lang w:val="es-ES_tradnl"/>
        </w:rPr>
        <w:t>.</w:t>
      </w:r>
    </w:p>
    <w:p w14:paraId="1C51D1EA" w14:textId="47BAE283" w:rsidR="00431F02" w:rsidRPr="003A2471" w:rsidRDefault="00AD5375" w:rsidP="003A2471">
      <w:pPr>
        <w:pStyle w:val="ListParagraph"/>
        <w:numPr>
          <w:ilvl w:val="0"/>
          <w:numId w:val="7"/>
        </w:numPr>
        <w:spacing w:after="360"/>
        <w:ind w:left="0" w:firstLine="0"/>
        <w:contextualSpacing w:val="0"/>
        <w:rPr>
          <w:rFonts w:ascii="Arial" w:eastAsia="SimSun" w:hAnsi="Arial" w:cs="Arial"/>
          <w:bCs/>
          <w:sz w:val="22"/>
          <w:szCs w:val="22"/>
          <w:lang w:val="es-ES_tradnl"/>
        </w:rPr>
      </w:pPr>
      <w:r w:rsidRPr="003A2471">
        <w:rPr>
          <w:rFonts w:ascii="Arial" w:eastAsia="SimSun" w:hAnsi="Arial" w:cs="Arial"/>
          <w:bCs/>
          <w:sz w:val="22"/>
          <w:szCs w:val="22"/>
          <w:lang w:val="es-ES_tradnl"/>
        </w:rPr>
        <w:t>La asesora médica principal ha participado en diversos comités internos de la OMPI y grupos interinstitucionales de las Naciones Unidas, además de los que ya existían antes de la pandemia, como la Junta de Aplicación de la Estrategia de Salud Mental</w:t>
      </w:r>
      <w:r w:rsidR="002642EB" w:rsidRPr="003A2471">
        <w:rPr>
          <w:rFonts w:ascii="Arial" w:eastAsia="SimSun" w:hAnsi="Arial" w:cs="Arial"/>
          <w:bCs/>
          <w:sz w:val="22"/>
          <w:szCs w:val="22"/>
          <w:lang w:val="es-ES_tradnl"/>
        </w:rPr>
        <w:t>,</w:t>
      </w:r>
      <w:r w:rsidRPr="003A2471">
        <w:rPr>
          <w:rFonts w:ascii="Arial" w:eastAsia="SimSun" w:hAnsi="Arial" w:cs="Arial"/>
          <w:bCs/>
          <w:sz w:val="22"/>
          <w:szCs w:val="22"/>
          <w:lang w:val="es-ES_tradnl"/>
        </w:rPr>
        <w:t xml:space="preserve"> y en comités </w:t>
      </w:r>
      <w:r w:rsidR="002642EB" w:rsidRPr="003A2471">
        <w:rPr>
          <w:rFonts w:ascii="Arial" w:eastAsia="SimSun" w:hAnsi="Arial" w:cs="Arial"/>
          <w:bCs/>
          <w:sz w:val="22"/>
          <w:szCs w:val="22"/>
          <w:lang w:val="es-ES_tradnl"/>
        </w:rPr>
        <w:t>de</w:t>
      </w:r>
      <w:r w:rsidRPr="003A2471">
        <w:rPr>
          <w:rFonts w:ascii="Arial" w:eastAsia="SimSun" w:hAnsi="Arial" w:cs="Arial"/>
          <w:bCs/>
          <w:sz w:val="22"/>
          <w:szCs w:val="22"/>
          <w:lang w:val="es-ES_tradnl"/>
        </w:rPr>
        <w:t xml:space="preserve"> políticas y estrategias sobre la gestión de la crisis provocada por la COVID-19</w:t>
      </w:r>
      <w:r w:rsidR="00946952" w:rsidRPr="003A2471">
        <w:rPr>
          <w:rFonts w:ascii="Arial" w:eastAsia="SimSun" w:hAnsi="Arial" w:cs="Arial"/>
          <w:bCs/>
          <w:sz w:val="22"/>
          <w:szCs w:val="22"/>
          <w:lang w:val="es-ES_tradnl"/>
        </w:rPr>
        <w:t>. Estos últimos eran comités internos</w:t>
      </w:r>
      <w:r w:rsidR="006A1F3C" w:rsidRPr="003A2471">
        <w:rPr>
          <w:rFonts w:ascii="Arial" w:eastAsia="SimSun" w:hAnsi="Arial" w:cs="Arial"/>
          <w:bCs/>
          <w:sz w:val="22"/>
          <w:szCs w:val="22"/>
          <w:lang w:val="es-ES_tradnl"/>
        </w:rPr>
        <w:t>,</w:t>
      </w:r>
      <w:r w:rsidR="00946952" w:rsidRPr="003A2471">
        <w:rPr>
          <w:rFonts w:ascii="Arial" w:eastAsia="SimSun" w:hAnsi="Arial" w:cs="Arial"/>
          <w:bCs/>
          <w:sz w:val="22"/>
          <w:szCs w:val="22"/>
          <w:lang w:val="es-ES_tradnl"/>
        </w:rPr>
        <w:t xml:space="preserve"> como el </w:t>
      </w:r>
      <w:r w:rsidR="003E3A74" w:rsidRPr="003A2471">
        <w:rPr>
          <w:rFonts w:ascii="Arial" w:eastAsia="SimSun" w:hAnsi="Arial" w:cs="Arial"/>
          <w:bCs/>
          <w:sz w:val="22"/>
          <w:szCs w:val="22"/>
          <w:lang w:val="es-ES_tradnl"/>
        </w:rPr>
        <w:t>g</w:t>
      </w:r>
      <w:r w:rsidR="00C22806" w:rsidRPr="003A2471">
        <w:rPr>
          <w:rFonts w:ascii="Arial" w:eastAsia="SimSun" w:hAnsi="Arial" w:cs="Arial"/>
          <w:bCs/>
          <w:sz w:val="22"/>
          <w:szCs w:val="22"/>
          <w:lang w:val="es-ES_tradnl"/>
        </w:rPr>
        <w:t>rupo</w:t>
      </w:r>
      <w:r w:rsidR="00946952" w:rsidRPr="003A2471">
        <w:rPr>
          <w:rFonts w:ascii="Arial" w:eastAsia="SimSun" w:hAnsi="Arial" w:cs="Arial"/>
          <w:bCs/>
          <w:sz w:val="22"/>
          <w:szCs w:val="22"/>
          <w:lang w:val="es-ES_tradnl"/>
        </w:rPr>
        <w:t xml:space="preserve"> de </w:t>
      </w:r>
      <w:r w:rsidR="003E3A74" w:rsidRPr="003A2471">
        <w:rPr>
          <w:rFonts w:ascii="Arial" w:eastAsia="SimSun" w:hAnsi="Arial" w:cs="Arial"/>
          <w:bCs/>
          <w:sz w:val="22"/>
          <w:szCs w:val="22"/>
          <w:lang w:val="es-ES_tradnl"/>
        </w:rPr>
        <w:t>o</w:t>
      </w:r>
      <w:r w:rsidR="00C22806" w:rsidRPr="003A2471">
        <w:rPr>
          <w:rFonts w:ascii="Arial" w:eastAsia="SimSun" w:hAnsi="Arial" w:cs="Arial"/>
          <w:bCs/>
          <w:sz w:val="22"/>
          <w:szCs w:val="22"/>
          <w:lang w:val="es-ES_tradnl"/>
        </w:rPr>
        <w:t>p</w:t>
      </w:r>
      <w:r w:rsidR="00946952" w:rsidRPr="003A2471">
        <w:rPr>
          <w:rFonts w:ascii="Arial" w:eastAsia="SimSun" w:hAnsi="Arial" w:cs="Arial"/>
          <w:bCs/>
          <w:sz w:val="22"/>
          <w:szCs w:val="22"/>
          <w:lang w:val="es-ES_tradnl"/>
        </w:rPr>
        <w:t xml:space="preserve">eraciones </w:t>
      </w:r>
      <w:r w:rsidR="00C22806" w:rsidRPr="003A2471">
        <w:rPr>
          <w:rFonts w:ascii="Arial" w:eastAsia="SimSun" w:hAnsi="Arial" w:cs="Arial"/>
          <w:bCs/>
          <w:sz w:val="22"/>
          <w:szCs w:val="22"/>
          <w:lang w:val="es-ES_tradnl"/>
        </w:rPr>
        <w:t xml:space="preserve">en </w:t>
      </w:r>
      <w:r w:rsidR="003E3A74" w:rsidRPr="003A2471">
        <w:rPr>
          <w:rFonts w:ascii="Arial" w:eastAsia="SimSun" w:hAnsi="Arial" w:cs="Arial"/>
          <w:bCs/>
          <w:sz w:val="22"/>
          <w:szCs w:val="22"/>
          <w:lang w:val="es-ES_tradnl"/>
        </w:rPr>
        <w:t>s</w:t>
      </w:r>
      <w:r w:rsidR="00C22806" w:rsidRPr="003A2471">
        <w:rPr>
          <w:rFonts w:ascii="Arial" w:eastAsia="SimSun" w:hAnsi="Arial" w:cs="Arial"/>
          <w:bCs/>
          <w:sz w:val="22"/>
          <w:szCs w:val="22"/>
          <w:lang w:val="es-ES_tradnl"/>
        </w:rPr>
        <w:t>ituaciones de</w:t>
      </w:r>
      <w:r w:rsidR="00946952" w:rsidRPr="003A2471">
        <w:rPr>
          <w:rFonts w:ascii="Arial" w:eastAsia="SimSun" w:hAnsi="Arial" w:cs="Arial"/>
          <w:bCs/>
          <w:sz w:val="22"/>
          <w:szCs w:val="22"/>
          <w:lang w:val="es-ES_tradnl"/>
        </w:rPr>
        <w:t xml:space="preserve"> </w:t>
      </w:r>
      <w:r w:rsidR="003E3A74" w:rsidRPr="003A2471">
        <w:rPr>
          <w:rFonts w:ascii="Arial" w:eastAsia="SimSun" w:hAnsi="Arial" w:cs="Arial"/>
          <w:bCs/>
          <w:sz w:val="22"/>
          <w:szCs w:val="22"/>
          <w:lang w:val="es-ES_tradnl"/>
        </w:rPr>
        <w:t>c</w:t>
      </w:r>
      <w:r w:rsidR="00946952" w:rsidRPr="003A2471">
        <w:rPr>
          <w:rFonts w:ascii="Arial" w:eastAsia="SimSun" w:hAnsi="Arial" w:cs="Arial"/>
          <w:bCs/>
          <w:sz w:val="22"/>
          <w:szCs w:val="22"/>
          <w:lang w:val="es-ES_tradnl"/>
        </w:rPr>
        <w:t xml:space="preserve">risis, el </w:t>
      </w:r>
      <w:r w:rsidR="003E3A74" w:rsidRPr="003A2471">
        <w:rPr>
          <w:rFonts w:ascii="Arial" w:eastAsia="SimSun" w:hAnsi="Arial" w:cs="Arial"/>
          <w:bCs/>
          <w:sz w:val="22"/>
          <w:szCs w:val="22"/>
          <w:lang w:val="es-ES_tradnl"/>
        </w:rPr>
        <w:t>e</w:t>
      </w:r>
      <w:r w:rsidR="00C22806" w:rsidRPr="003A2471">
        <w:rPr>
          <w:rFonts w:ascii="Arial" w:eastAsia="SimSun" w:hAnsi="Arial" w:cs="Arial"/>
          <w:bCs/>
          <w:sz w:val="22"/>
          <w:szCs w:val="22"/>
          <w:lang w:val="es-ES_tradnl"/>
        </w:rPr>
        <w:t xml:space="preserve">quipo de </w:t>
      </w:r>
      <w:r w:rsidR="003E3A74" w:rsidRPr="003A2471">
        <w:rPr>
          <w:rFonts w:ascii="Arial" w:eastAsia="SimSun" w:hAnsi="Arial" w:cs="Arial"/>
          <w:bCs/>
          <w:sz w:val="22"/>
          <w:szCs w:val="22"/>
          <w:lang w:val="es-ES_tradnl"/>
        </w:rPr>
        <w:t>c</w:t>
      </w:r>
      <w:r w:rsidR="00946952" w:rsidRPr="003A2471">
        <w:rPr>
          <w:rFonts w:ascii="Arial" w:eastAsia="SimSun" w:hAnsi="Arial" w:cs="Arial"/>
          <w:bCs/>
          <w:sz w:val="22"/>
          <w:szCs w:val="22"/>
          <w:lang w:val="es-ES_tradnl"/>
        </w:rPr>
        <w:t xml:space="preserve">omunicación en </w:t>
      </w:r>
      <w:r w:rsidR="003E3A74" w:rsidRPr="003A2471">
        <w:rPr>
          <w:rFonts w:ascii="Arial" w:eastAsia="SimSun" w:hAnsi="Arial" w:cs="Arial"/>
          <w:bCs/>
          <w:sz w:val="22"/>
          <w:szCs w:val="22"/>
          <w:lang w:val="es-ES_tradnl"/>
        </w:rPr>
        <w:t>s</w:t>
      </w:r>
      <w:r w:rsidR="00C22806" w:rsidRPr="003A2471">
        <w:rPr>
          <w:rFonts w:ascii="Arial" w:eastAsia="SimSun" w:hAnsi="Arial" w:cs="Arial"/>
          <w:bCs/>
          <w:sz w:val="22"/>
          <w:szCs w:val="22"/>
          <w:lang w:val="es-ES_tradnl"/>
        </w:rPr>
        <w:t>i</w:t>
      </w:r>
      <w:r w:rsidR="002642EB" w:rsidRPr="003A2471">
        <w:rPr>
          <w:rFonts w:ascii="Arial" w:eastAsia="SimSun" w:hAnsi="Arial" w:cs="Arial"/>
          <w:bCs/>
          <w:sz w:val="22"/>
          <w:szCs w:val="22"/>
          <w:lang w:val="es-ES_tradnl"/>
        </w:rPr>
        <w:t>tuaci</w:t>
      </w:r>
      <w:r w:rsidR="00C22806" w:rsidRPr="003A2471">
        <w:rPr>
          <w:rFonts w:ascii="Arial" w:eastAsia="SimSun" w:hAnsi="Arial" w:cs="Arial"/>
          <w:bCs/>
          <w:sz w:val="22"/>
          <w:szCs w:val="22"/>
          <w:lang w:val="es-ES_tradnl"/>
        </w:rPr>
        <w:t xml:space="preserve">ones de </w:t>
      </w:r>
      <w:r w:rsidR="003E3A74" w:rsidRPr="003A2471">
        <w:rPr>
          <w:rFonts w:ascii="Arial" w:eastAsia="SimSun" w:hAnsi="Arial" w:cs="Arial"/>
          <w:bCs/>
          <w:sz w:val="22"/>
          <w:szCs w:val="22"/>
          <w:lang w:val="es-ES_tradnl"/>
        </w:rPr>
        <w:t>c</w:t>
      </w:r>
      <w:r w:rsidR="00946952" w:rsidRPr="003A2471">
        <w:rPr>
          <w:rFonts w:ascii="Arial" w:eastAsia="SimSun" w:hAnsi="Arial" w:cs="Arial"/>
          <w:bCs/>
          <w:sz w:val="22"/>
          <w:szCs w:val="22"/>
          <w:lang w:val="es-ES_tradnl"/>
        </w:rPr>
        <w:t xml:space="preserve">risis y el </w:t>
      </w:r>
      <w:r w:rsidR="003E3A74" w:rsidRPr="003A2471">
        <w:rPr>
          <w:rFonts w:ascii="Arial" w:eastAsia="SimSun" w:hAnsi="Arial" w:cs="Arial"/>
          <w:bCs/>
          <w:sz w:val="22"/>
          <w:szCs w:val="22"/>
          <w:lang w:val="es-ES_tradnl"/>
        </w:rPr>
        <w:t>e</w:t>
      </w:r>
      <w:r w:rsidR="00946952" w:rsidRPr="003A2471">
        <w:rPr>
          <w:rFonts w:ascii="Arial" w:eastAsia="SimSun" w:hAnsi="Arial" w:cs="Arial"/>
          <w:bCs/>
          <w:sz w:val="22"/>
          <w:szCs w:val="22"/>
          <w:lang w:val="es-ES_tradnl"/>
        </w:rPr>
        <w:t xml:space="preserve">quipo de </w:t>
      </w:r>
      <w:r w:rsidR="003E3A74" w:rsidRPr="003A2471">
        <w:rPr>
          <w:rFonts w:ascii="Arial" w:eastAsia="SimSun" w:hAnsi="Arial" w:cs="Arial"/>
          <w:bCs/>
          <w:sz w:val="22"/>
          <w:szCs w:val="22"/>
          <w:lang w:val="es-ES_tradnl"/>
        </w:rPr>
        <w:t>g</w:t>
      </w:r>
      <w:r w:rsidR="00946952" w:rsidRPr="003A2471">
        <w:rPr>
          <w:rFonts w:ascii="Arial" w:eastAsia="SimSun" w:hAnsi="Arial" w:cs="Arial"/>
          <w:bCs/>
          <w:sz w:val="22"/>
          <w:szCs w:val="22"/>
          <w:lang w:val="es-ES_tradnl"/>
        </w:rPr>
        <w:t xml:space="preserve">estión de </w:t>
      </w:r>
      <w:r w:rsidR="003E3A74" w:rsidRPr="003A2471">
        <w:rPr>
          <w:rFonts w:ascii="Arial" w:eastAsia="SimSun" w:hAnsi="Arial" w:cs="Arial"/>
          <w:bCs/>
          <w:sz w:val="22"/>
          <w:szCs w:val="22"/>
          <w:lang w:val="es-ES_tradnl"/>
        </w:rPr>
        <w:t>c</w:t>
      </w:r>
      <w:r w:rsidR="00946952" w:rsidRPr="003A2471">
        <w:rPr>
          <w:rFonts w:ascii="Arial" w:eastAsia="SimSun" w:hAnsi="Arial" w:cs="Arial"/>
          <w:bCs/>
          <w:sz w:val="22"/>
          <w:szCs w:val="22"/>
          <w:lang w:val="es-ES_tradnl"/>
        </w:rPr>
        <w:t xml:space="preserve">risis, </w:t>
      </w:r>
      <w:r w:rsidR="00C22806" w:rsidRPr="003A2471">
        <w:rPr>
          <w:rFonts w:ascii="Arial" w:eastAsia="SimSun" w:hAnsi="Arial" w:cs="Arial"/>
          <w:bCs/>
          <w:sz w:val="22"/>
          <w:szCs w:val="22"/>
          <w:lang w:val="es-ES_tradnl"/>
        </w:rPr>
        <w:t>además de</w:t>
      </w:r>
      <w:r w:rsidR="00946952" w:rsidRPr="003A2471">
        <w:rPr>
          <w:rFonts w:ascii="Arial" w:eastAsia="SimSun" w:hAnsi="Arial" w:cs="Arial"/>
          <w:bCs/>
          <w:sz w:val="22"/>
          <w:szCs w:val="22"/>
          <w:lang w:val="es-ES_tradnl"/>
        </w:rPr>
        <w:t xml:space="preserve"> comités interinstitucionales como los directores del Servicio Médico de las Naciones Unidas, el Equipo Directivo Superior de Ginebra</w:t>
      </w:r>
      <w:r w:rsidR="005C3E97" w:rsidRPr="003A2471">
        <w:rPr>
          <w:rFonts w:ascii="Arial" w:eastAsia="SimSun" w:hAnsi="Arial" w:cs="Arial"/>
          <w:bCs/>
          <w:sz w:val="22"/>
          <w:szCs w:val="22"/>
          <w:lang w:val="es-ES_tradnl"/>
        </w:rPr>
        <w:t xml:space="preserve"> y la red de RR.HH</w:t>
      </w:r>
      <w:r w:rsidR="003A2471" w:rsidRPr="003A2471">
        <w:rPr>
          <w:rFonts w:ascii="Arial" w:hAnsi="Arial" w:cs="Arial"/>
          <w:color w:val="000000"/>
          <w:sz w:val="22"/>
          <w:szCs w:val="22"/>
          <w:lang w:val="es-ES_tradnl"/>
        </w:rPr>
        <w:t>.</w:t>
      </w:r>
    </w:p>
    <w:p w14:paraId="298B20A3" w14:textId="0F94AA72" w:rsidR="00431F02" w:rsidRPr="003A2471" w:rsidRDefault="00902CCB" w:rsidP="003A2471">
      <w:pPr>
        <w:pStyle w:val="Heading2"/>
        <w:keepNext w:val="0"/>
        <w:spacing w:after="240"/>
        <w:rPr>
          <w:lang w:val="es-ES_tradnl"/>
        </w:rPr>
      </w:pPr>
      <w:r w:rsidRPr="003A2471">
        <w:rPr>
          <w:lang w:val="es-ES_tradnl"/>
        </w:rPr>
        <w:t>BIENESTAR DEL PERSONAL</w:t>
      </w:r>
    </w:p>
    <w:p w14:paraId="3273531E" w14:textId="3B0FC9D1" w:rsidR="00431F02" w:rsidRPr="003A2471" w:rsidRDefault="005C3E97" w:rsidP="003A2471">
      <w:pPr>
        <w:pStyle w:val="ListParagraph"/>
        <w:numPr>
          <w:ilvl w:val="0"/>
          <w:numId w:val="7"/>
        </w:numPr>
        <w:spacing w:after="240"/>
        <w:ind w:left="0" w:firstLine="0"/>
        <w:contextualSpacing w:val="0"/>
        <w:rPr>
          <w:rFonts w:ascii="Arial" w:hAnsi="Arial" w:cs="Arial"/>
          <w:sz w:val="22"/>
          <w:szCs w:val="22"/>
          <w:lang w:val="es-ES_tradnl"/>
        </w:rPr>
      </w:pPr>
      <w:r w:rsidRPr="003A2471">
        <w:rPr>
          <w:rFonts w:ascii="Arial" w:hAnsi="Arial" w:cs="Arial"/>
          <w:sz w:val="22"/>
          <w:szCs w:val="22"/>
          <w:lang w:val="es-ES_tradnl"/>
        </w:rPr>
        <w:t xml:space="preserve">El apoyo psicosocial sigue siendo </w:t>
      </w:r>
      <w:r w:rsidR="008B5C0B" w:rsidRPr="003A2471">
        <w:rPr>
          <w:rFonts w:ascii="Arial" w:hAnsi="Arial" w:cs="Arial"/>
          <w:sz w:val="22"/>
          <w:szCs w:val="22"/>
          <w:lang w:val="es-ES_tradnl"/>
        </w:rPr>
        <w:t>un importante ámbito entre los</w:t>
      </w:r>
      <w:r w:rsidRPr="003A2471">
        <w:rPr>
          <w:rFonts w:ascii="Arial" w:hAnsi="Arial" w:cs="Arial"/>
          <w:sz w:val="22"/>
          <w:szCs w:val="22"/>
          <w:lang w:val="es-ES_tradnl"/>
        </w:rPr>
        <w:t xml:space="preserve"> servicios que se prestan al personal de la OMPI. El enfoque integrado de apoyo al bienestar y a la salud mental del personal se aplica al servicio del personal. En estrecha colaboración con otros servicios internos de la OMPI, se adoptó un enfoque multidisciplinar para fomentar la salud mental y el bien</w:t>
      </w:r>
      <w:r w:rsidR="008B5C0B" w:rsidRPr="003A2471">
        <w:rPr>
          <w:rFonts w:ascii="Arial" w:hAnsi="Arial" w:cs="Arial"/>
          <w:sz w:val="22"/>
          <w:szCs w:val="22"/>
          <w:lang w:val="es-ES_tradnl"/>
        </w:rPr>
        <w:t>estar del personal y contribuir así</w:t>
      </w:r>
      <w:r w:rsidRPr="003A2471">
        <w:rPr>
          <w:rFonts w:ascii="Arial" w:hAnsi="Arial" w:cs="Arial"/>
          <w:sz w:val="22"/>
          <w:szCs w:val="22"/>
          <w:lang w:val="es-ES_tradnl"/>
        </w:rPr>
        <w:t xml:space="preserve"> a reforzar un entorno armonioso en la OMPI. Del mismo modo, </w:t>
      </w:r>
      <w:r w:rsidR="00EE0D49" w:rsidRPr="003A2471">
        <w:rPr>
          <w:rFonts w:ascii="Arial" w:hAnsi="Arial" w:cs="Arial"/>
          <w:sz w:val="22"/>
          <w:szCs w:val="22"/>
          <w:lang w:val="es-ES_tradnl"/>
        </w:rPr>
        <w:t>se suministró asistencia psicosocial al personal y a sus familiares en apoyo de la igualdad de género y las consideraciones de diversidad en la OMPI</w:t>
      </w:r>
      <w:r w:rsidR="00431F02" w:rsidRPr="003A2471">
        <w:rPr>
          <w:rFonts w:ascii="Arial" w:hAnsi="Arial" w:cs="Arial"/>
          <w:sz w:val="22"/>
          <w:szCs w:val="22"/>
          <w:lang w:val="es-ES_tradnl"/>
        </w:rPr>
        <w:t>.</w:t>
      </w:r>
    </w:p>
    <w:p w14:paraId="2DBE90D9" w14:textId="576D2E0C" w:rsidR="00431F02" w:rsidRPr="003A2471" w:rsidRDefault="003255E2" w:rsidP="003A2471">
      <w:pPr>
        <w:pStyle w:val="ListParagraph"/>
        <w:numPr>
          <w:ilvl w:val="0"/>
          <w:numId w:val="7"/>
        </w:numPr>
        <w:spacing w:after="240"/>
        <w:ind w:left="0" w:firstLine="0"/>
        <w:contextualSpacing w:val="0"/>
        <w:rPr>
          <w:rFonts w:ascii="Arial" w:hAnsi="Arial" w:cs="Arial"/>
          <w:sz w:val="22"/>
          <w:szCs w:val="22"/>
          <w:lang w:val="es-ES_tradnl"/>
        </w:rPr>
      </w:pPr>
      <w:r w:rsidRPr="003A2471">
        <w:rPr>
          <w:rFonts w:ascii="Arial" w:hAnsi="Arial" w:cs="Arial"/>
          <w:sz w:val="22"/>
          <w:szCs w:val="22"/>
          <w:lang w:val="es-ES_tradnl"/>
        </w:rPr>
        <w:t xml:space="preserve">Se invirtió un considerable esfuerzo en suministrar apoyo al personal de la OMPI durante el proceso de </w:t>
      </w:r>
      <w:r w:rsidR="003C4686" w:rsidRPr="003A2471">
        <w:rPr>
          <w:rFonts w:ascii="Arial" w:hAnsi="Arial" w:cs="Arial"/>
          <w:sz w:val="22"/>
          <w:szCs w:val="22"/>
          <w:lang w:val="es-ES_tradnl"/>
        </w:rPr>
        <w:t>re</w:t>
      </w:r>
      <w:r w:rsidRPr="003A2471">
        <w:rPr>
          <w:rFonts w:ascii="Arial" w:hAnsi="Arial" w:cs="Arial"/>
          <w:sz w:val="22"/>
          <w:szCs w:val="22"/>
          <w:lang w:val="es-ES_tradnl"/>
        </w:rPr>
        <w:t>incorporación mediante la facilitación de información y asistencia en los aspectos prácticos relacionados con el traslado a un nuevo lugar de destino. Para ello, se llevaron a cabo actividades de divulgación, se elaboró una página de intranet específica, se hicieron ponencias en seminarios para los recién llegados, se celebraron reuniones individuales</w:t>
      </w:r>
      <w:r w:rsidR="00F34700" w:rsidRPr="003A2471">
        <w:rPr>
          <w:rFonts w:ascii="Arial" w:hAnsi="Arial" w:cs="Arial"/>
          <w:sz w:val="22"/>
          <w:szCs w:val="22"/>
          <w:lang w:val="es-ES_tradnl"/>
        </w:rPr>
        <w:t xml:space="preserve"> y se fomentó la coordinación con los coordinadores internos</w:t>
      </w:r>
      <w:r w:rsidR="006D1FED" w:rsidRPr="003A2471">
        <w:rPr>
          <w:rFonts w:ascii="Arial" w:hAnsi="Arial" w:cs="Arial"/>
          <w:sz w:val="22"/>
          <w:szCs w:val="22"/>
          <w:lang w:val="es-ES_tradnl"/>
        </w:rPr>
        <w:t>, entre otras iniciativas. Por otra parte, se prestó apoyo al personal que no es de plantilla en el cumplimiento de sus obligaciones fiscales y de seguro social.</w:t>
      </w:r>
    </w:p>
    <w:p w14:paraId="3E79D134" w14:textId="29B1CAAF" w:rsidR="00431F02" w:rsidRPr="003A2471" w:rsidRDefault="00213451" w:rsidP="003A2471">
      <w:pPr>
        <w:pStyle w:val="ListParagraph"/>
        <w:numPr>
          <w:ilvl w:val="0"/>
          <w:numId w:val="7"/>
        </w:numPr>
        <w:spacing w:after="240"/>
        <w:ind w:left="0" w:firstLine="0"/>
        <w:contextualSpacing w:val="0"/>
        <w:rPr>
          <w:rFonts w:ascii="Arial" w:hAnsi="Arial" w:cs="Arial"/>
          <w:sz w:val="22"/>
          <w:szCs w:val="22"/>
          <w:lang w:val="es-ES_tradnl"/>
        </w:rPr>
      </w:pPr>
      <w:r w:rsidRPr="003A2471">
        <w:rPr>
          <w:rFonts w:ascii="Arial" w:hAnsi="Arial" w:cs="Arial"/>
          <w:sz w:val="22"/>
          <w:szCs w:val="22"/>
          <w:lang w:val="es-ES_tradnl"/>
        </w:rPr>
        <w:t xml:space="preserve">En 2019-2020, se siguió contribuyendo en actividades interinstitucionales en el ámbito del apoyo psicosocial y </w:t>
      </w:r>
      <w:r w:rsidR="007B4AC7" w:rsidRPr="003A2471">
        <w:rPr>
          <w:rFonts w:ascii="Arial" w:hAnsi="Arial" w:cs="Arial"/>
          <w:sz w:val="22"/>
          <w:szCs w:val="22"/>
          <w:lang w:val="es-ES_tradnl"/>
        </w:rPr>
        <w:t>la</w:t>
      </w:r>
      <w:r w:rsidRPr="003A2471">
        <w:rPr>
          <w:rFonts w:ascii="Arial" w:hAnsi="Arial" w:cs="Arial"/>
          <w:sz w:val="22"/>
          <w:szCs w:val="22"/>
          <w:lang w:val="es-ES_tradnl"/>
        </w:rPr>
        <w:t xml:space="preserve"> salud mental, </w:t>
      </w:r>
      <w:r w:rsidR="007B4AC7" w:rsidRPr="003A2471">
        <w:rPr>
          <w:rFonts w:ascii="Arial" w:hAnsi="Arial" w:cs="Arial"/>
          <w:sz w:val="22"/>
          <w:szCs w:val="22"/>
          <w:lang w:val="es-ES_tradnl"/>
        </w:rPr>
        <w:t>participando en el Grupo</w:t>
      </w:r>
      <w:r w:rsidR="00F76D02" w:rsidRPr="003A2471">
        <w:rPr>
          <w:rFonts w:ascii="Arial" w:hAnsi="Arial" w:cs="Arial"/>
          <w:sz w:val="22"/>
          <w:szCs w:val="22"/>
          <w:lang w:val="es-ES_tradnl"/>
        </w:rPr>
        <w:t xml:space="preserve"> de las Naciones Unidas</w:t>
      </w:r>
      <w:r w:rsidR="007B4AC7" w:rsidRPr="003A2471">
        <w:rPr>
          <w:rFonts w:ascii="Arial" w:hAnsi="Arial" w:cs="Arial"/>
          <w:sz w:val="22"/>
          <w:szCs w:val="22"/>
          <w:lang w:val="es-ES_tradnl"/>
        </w:rPr>
        <w:t xml:space="preserve"> del Consejero/a del Personal-Asesor/a sobre Estrés; </w:t>
      </w:r>
      <w:r w:rsidR="00F76D02" w:rsidRPr="003A2471">
        <w:rPr>
          <w:rFonts w:ascii="Arial" w:hAnsi="Arial" w:cs="Arial"/>
          <w:sz w:val="22"/>
          <w:szCs w:val="22"/>
          <w:lang w:val="es-ES_tradnl"/>
        </w:rPr>
        <w:t xml:space="preserve">la Junta de las Naciones Unidas encargada de supervisar la Estrategia de Salud Mental; el Grupo de Trabajo sobre el Deber de Cuidado, y el grupo de las Naciones Unidas encargado de la Inteligencia de la Salud. La consejera del Personal de la OMPI respaldó la aplicación de la Estrategia de Salud Mental de la OMPI y las directrices sobre la reincorporación al trabajo </w:t>
      </w:r>
      <w:r w:rsidR="003C4686" w:rsidRPr="003A2471">
        <w:rPr>
          <w:rFonts w:ascii="Arial" w:hAnsi="Arial" w:cs="Arial"/>
          <w:sz w:val="22"/>
          <w:szCs w:val="22"/>
          <w:lang w:val="es-ES_tradnl"/>
        </w:rPr>
        <w:t>tras la licencia de enfermedad de larga duración, bajo la dirección de la asesora médica de la OMPI</w:t>
      </w:r>
      <w:r w:rsidR="00431F02" w:rsidRPr="003A2471">
        <w:rPr>
          <w:rFonts w:ascii="Arial" w:hAnsi="Arial" w:cs="Arial"/>
          <w:sz w:val="22"/>
          <w:szCs w:val="22"/>
          <w:lang w:val="es-ES_tradnl"/>
        </w:rPr>
        <w:t>.</w:t>
      </w:r>
    </w:p>
    <w:p w14:paraId="6E853503" w14:textId="7A0C06CA" w:rsidR="00431F02" w:rsidRPr="003A2471" w:rsidRDefault="008B5C0B" w:rsidP="003A2471">
      <w:pPr>
        <w:pStyle w:val="ListParagraph"/>
        <w:numPr>
          <w:ilvl w:val="0"/>
          <w:numId w:val="7"/>
        </w:numPr>
        <w:spacing w:after="240"/>
        <w:ind w:left="0" w:firstLine="0"/>
        <w:contextualSpacing w:val="0"/>
        <w:rPr>
          <w:rFonts w:ascii="Arial" w:hAnsi="Arial" w:cs="Arial"/>
          <w:sz w:val="22"/>
          <w:szCs w:val="22"/>
          <w:lang w:val="es-ES_tradnl"/>
        </w:rPr>
      </w:pPr>
      <w:r w:rsidRPr="003A2471">
        <w:rPr>
          <w:rFonts w:ascii="Arial" w:hAnsi="Arial" w:cs="Arial"/>
          <w:sz w:val="22"/>
          <w:szCs w:val="22"/>
          <w:lang w:val="es-ES_tradnl"/>
        </w:rPr>
        <w:t xml:space="preserve">Desde </w:t>
      </w:r>
      <w:r w:rsidR="0025349F" w:rsidRPr="003A2471">
        <w:rPr>
          <w:rFonts w:ascii="Arial" w:hAnsi="Arial" w:cs="Arial"/>
          <w:sz w:val="22"/>
          <w:szCs w:val="22"/>
          <w:lang w:val="es-ES_tradnl"/>
        </w:rPr>
        <w:t xml:space="preserve">febrero de 2020, las actividades en este ámbito se </w:t>
      </w:r>
      <w:r w:rsidR="006A1F3C" w:rsidRPr="003A2471">
        <w:rPr>
          <w:rFonts w:ascii="Arial" w:hAnsi="Arial" w:cs="Arial"/>
          <w:sz w:val="22"/>
          <w:szCs w:val="22"/>
          <w:lang w:val="es-ES_tradnl"/>
        </w:rPr>
        <w:t>dedicaron</w:t>
      </w:r>
      <w:r w:rsidR="0025349F" w:rsidRPr="003A2471">
        <w:rPr>
          <w:rFonts w:ascii="Arial" w:hAnsi="Arial" w:cs="Arial"/>
          <w:sz w:val="22"/>
          <w:szCs w:val="22"/>
          <w:lang w:val="es-ES_tradnl"/>
        </w:rPr>
        <w:t xml:space="preserve"> principalmente a prestar apoyo psicosocial al personal de la OMPI y a los funcionarios jubilados en respuesta a las consecuencias de la pandemia de COVID-19. Se </w:t>
      </w:r>
      <w:r w:rsidR="006A1F3C" w:rsidRPr="003A2471">
        <w:rPr>
          <w:rFonts w:ascii="Arial" w:hAnsi="Arial" w:cs="Arial"/>
          <w:sz w:val="22"/>
          <w:szCs w:val="22"/>
          <w:lang w:val="es-ES_tradnl"/>
        </w:rPr>
        <w:t>creó</w:t>
      </w:r>
      <w:r w:rsidR="0025349F" w:rsidRPr="003A2471">
        <w:rPr>
          <w:rFonts w:ascii="Arial" w:hAnsi="Arial" w:cs="Arial"/>
          <w:sz w:val="22"/>
          <w:szCs w:val="22"/>
          <w:lang w:val="es-ES_tradnl"/>
        </w:rPr>
        <w:t xml:space="preserve"> una página de intranet </w:t>
      </w:r>
      <w:r w:rsidR="001E41D1" w:rsidRPr="003A2471">
        <w:rPr>
          <w:rFonts w:ascii="Arial" w:hAnsi="Arial" w:cs="Arial"/>
          <w:sz w:val="22"/>
          <w:szCs w:val="22"/>
          <w:lang w:val="es-ES_tradnl"/>
        </w:rPr>
        <w:t>sobre bienesta</w:t>
      </w:r>
      <w:r w:rsidR="006A1F3C" w:rsidRPr="003A2471">
        <w:rPr>
          <w:rFonts w:ascii="Arial" w:hAnsi="Arial" w:cs="Arial"/>
          <w:sz w:val="22"/>
          <w:szCs w:val="22"/>
          <w:lang w:val="es-ES_tradnl"/>
        </w:rPr>
        <w:t>r en el contexto de la COVID-19</w:t>
      </w:r>
      <w:r w:rsidR="001E41D1" w:rsidRPr="003A2471">
        <w:rPr>
          <w:rFonts w:ascii="Arial" w:hAnsi="Arial" w:cs="Arial"/>
          <w:sz w:val="22"/>
          <w:szCs w:val="22"/>
          <w:lang w:val="es-ES_tradnl"/>
        </w:rPr>
        <w:t xml:space="preserve"> en que se ofrece información y recursos prácticos. </w:t>
      </w:r>
      <w:r w:rsidR="006A1F3C" w:rsidRPr="003A2471">
        <w:rPr>
          <w:rFonts w:ascii="Arial" w:hAnsi="Arial" w:cs="Arial"/>
          <w:sz w:val="22"/>
          <w:szCs w:val="22"/>
          <w:lang w:val="es-ES_tradnl"/>
        </w:rPr>
        <w:t>Durante la pandemia</w:t>
      </w:r>
      <w:r w:rsidR="006061B2" w:rsidRPr="003A2471">
        <w:rPr>
          <w:rFonts w:ascii="Arial" w:hAnsi="Arial" w:cs="Arial"/>
          <w:sz w:val="22"/>
          <w:szCs w:val="22"/>
          <w:lang w:val="es-ES_tradnl"/>
        </w:rPr>
        <w:t>,</w:t>
      </w:r>
      <w:r w:rsidR="006A1F3C" w:rsidRPr="003A2471">
        <w:rPr>
          <w:rFonts w:ascii="Arial" w:hAnsi="Arial" w:cs="Arial"/>
          <w:sz w:val="22"/>
          <w:szCs w:val="22"/>
          <w:lang w:val="es-ES_tradnl"/>
        </w:rPr>
        <w:t xml:space="preserve"> </w:t>
      </w:r>
      <w:r w:rsidR="001E41D1" w:rsidRPr="003A2471">
        <w:rPr>
          <w:rFonts w:ascii="Arial" w:hAnsi="Arial" w:cs="Arial"/>
          <w:sz w:val="22"/>
          <w:szCs w:val="22"/>
          <w:lang w:val="es-ES_tradnl"/>
        </w:rPr>
        <w:t xml:space="preserve">se </w:t>
      </w:r>
      <w:r w:rsidR="006A1F3C" w:rsidRPr="003A2471">
        <w:rPr>
          <w:rFonts w:ascii="Arial" w:hAnsi="Arial" w:cs="Arial"/>
          <w:sz w:val="22"/>
          <w:szCs w:val="22"/>
          <w:lang w:val="es-ES_tradnl"/>
        </w:rPr>
        <w:t>suministró asimismo</w:t>
      </w:r>
      <w:r w:rsidR="001E41D1" w:rsidRPr="003A2471">
        <w:rPr>
          <w:rFonts w:ascii="Arial" w:hAnsi="Arial" w:cs="Arial"/>
          <w:sz w:val="22"/>
          <w:szCs w:val="22"/>
          <w:lang w:val="es-ES_tradnl"/>
        </w:rPr>
        <w:t xml:space="preserve"> información sobre aspectos del trabajo remoto relacionados con el bienestar </w:t>
      </w:r>
      <w:r w:rsidR="006A1F3C" w:rsidRPr="003A2471">
        <w:rPr>
          <w:rFonts w:ascii="Arial" w:hAnsi="Arial" w:cs="Arial"/>
          <w:sz w:val="22"/>
          <w:szCs w:val="22"/>
          <w:lang w:val="es-ES_tradnl"/>
        </w:rPr>
        <w:t>en</w:t>
      </w:r>
      <w:r w:rsidR="001E41D1" w:rsidRPr="003A2471">
        <w:rPr>
          <w:rFonts w:ascii="Arial" w:hAnsi="Arial" w:cs="Arial"/>
          <w:sz w:val="22"/>
          <w:szCs w:val="22"/>
          <w:lang w:val="es-ES_tradnl"/>
        </w:rPr>
        <w:t xml:space="preserve"> una página de intranet específica. Se </w:t>
      </w:r>
      <w:r w:rsidR="006A1F3C" w:rsidRPr="003A2471">
        <w:rPr>
          <w:rFonts w:ascii="Arial" w:hAnsi="Arial" w:cs="Arial"/>
          <w:sz w:val="22"/>
          <w:szCs w:val="22"/>
          <w:lang w:val="es-ES_tradnl"/>
        </w:rPr>
        <w:t>dio</w:t>
      </w:r>
      <w:r w:rsidR="001E41D1" w:rsidRPr="003A2471">
        <w:rPr>
          <w:rFonts w:ascii="Arial" w:hAnsi="Arial" w:cs="Arial"/>
          <w:sz w:val="22"/>
          <w:szCs w:val="22"/>
          <w:lang w:val="es-ES_tradnl"/>
        </w:rPr>
        <w:t xml:space="preserve"> apoyo individual al personal y a sus familiares, </w:t>
      </w:r>
      <w:r w:rsidR="006061B2" w:rsidRPr="003A2471">
        <w:rPr>
          <w:rFonts w:ascii="Arial" w:hAnsi="Arial" w:cs="Arial"/>
          <w:sz w:val="22"/>
          <w:szCs w:val="22"/>
          <w:lang w:val="es-ES_tradnl"/>
        </w:rPr>
        <w:t>poniendo</w:t>
      </w:r>
      <w:r w:rsidR="006A1F3C" w:rsidRPr="003A2471">
        <w:rPr>
          <w:rFonts w:ascii="Arial" w:hAnsi="Arial" w:cs="Arial"/>
          <w:sz w:val="22"/>
          <w:szCs w:val="22"/>
          <w:lang w:val="es-ES_tradnl"/>
        </w:rPr>
        <w:t xml:space="preserve"> especial atención</w:t>
      </w:r>
      <w:r w:rsidR="001E41D1" w:rsidRPr="003A2471">
        <w:rPr>
          <w:rFonts w:ascii="Arial" w:hAnsi="Arial" w:cs="Arial"/>
          <w:sz w:val="22"/>
          <w:szCs w:val="22"/>
          <w:lang w:val="es-ES_tradnl"/>
        </w:rPr>
        <w:t xml:space="preserve"> en </w:t>
      </w:r>
      <w:r w:rsidR="006A1F3C" w:rsidRPr="003A2471">
        <w:rPr>
          <w:rFonts w:ascii="Arial" w:hAnsi="Arial" w:cs="Arial"/>
          <w:sz w:val="22"/>
          <w:szCs w:val="22"/>
          <w:lang w:val="es-ES_tradnl"/>
        </w:rPr>
        <w:t>el personal al que</w:t>
      </w:r>
      <w:r w:rsidR="001E41D1" w:rsidRPr="003A2471">
        <w:rPr>
          <w:rFonts w:ascii="Arial" w:hAnsi="Arial" w:cs="Arial"/>
          <w:sz w:val="22"/>
          <w:szCs w:val="22"/>
          <w:lang w:val="es-ES_tradnl"/>
        </w:rPr>
        <w:t xml:space="preserve"> la situación pudiera afectar </w:t>
      </w:r>
      <w:r w:rsidR="003B1456" w:rsidRPr="003A2471">
        <w:rPr>
          <w:rFonts w:ascii="Arial" w:hAnsi="Arial" w:cs="Arial"/>
          <w:sz w:val="22"/>
          <w:szCs w:val="22"/>
          <w:lang w:val="es-ES_tradnl"/>
        </w:rPr>
        <w:t>en modo sumo</w:t>
      </w:r>
      <w:r w:rsidR="001E41D1" w:rsidRPr="003A2471">
        <w:rPr>
          <w:rFonts w:ascii="Arial" w:hAnsi="Arial" w:cs="Arial"/>
          <w:sz w:val="22"/>
          <w:szCs w:val="22"/>
          <w:lang w:val="es-ES_tradnl"/>
        </w:rPr>
        <w:t xml:space="preserve">. </w:t>
      </w:r>
      <w:r w:rsidR="006A1F3C" w:rsidRPr="003A2471">
        <w:rPr>
          <w:rFonts w:ascii="Arial" w:hAnsi="Arial" w:cs="Arial"/>
          <w:sz w:val="22"/>
          <w:szCs w:val="22"/>
          <w:lang w:val="es-ES_tradnl"/>
        </w:rPr>
        <w:t>Además, durante la pandemia</w:t>
      </w:r>
      <w:r w:rsidR="007A60B7" w:rsidRPr="003A2471">
        <w:rPr>
          <w:rFonts w:ascii="Arial" w:hAnsi="Arial" w:cs="Arial"/>
          <w:sz w:val="22"/>
          <w:szCs w:val="22"/>
          <w:lang w:val="es-ES_tradnl"/>
        </w:rPr>
        <w:t xml:space="preserve"> se </w:t>
      </w:r>
      <w:r w:rsidR="006A1F3C" w:rsidRPr="003A2471">
        <w:rPr>
          <w:rFonts w:ascii="Arial" w:hAnsi="Arial" w:cs="Arial"/>
          <w:sz w:val="22"/>
          <w:szCs w:val="22"/>
          <w:lang w:val="es-ES_tradnl"/>
        </w:rPr>
        <w:t>prestó</w:t>
      </w:r>
      <w:r w:rsidR="007A60B7" w:rsidRPr="003A2471">
        <w:rPr>
          <w:rFonts w:ascii="Arial" w:hAnsi="Arial" w:cs="Arial"/>
          <w:sz w:val="22"/>
          <w:szCs w:val="22"/>
          <w:lang w:val="es-ES_tradnl"/>
        </w:rPr>
        <w:t xml:space="preserve"> apoyo al personal directivo en cuestiones relacionadas con los aspectos psicosociales de la dirección de equipos</w:t>
      </w:r>
      <w:r w:rsidR="00431F02" w:rsidRPr="003A2471">
        <w:rPr>
          <w:rFonts w:ascii="Arial" w:hAnsi="Arial" w:cs="Arial"/>
          <w:sz w:val="22"/>
          <w:szCs w:val="22"/>
          <w:lang w:val="es-ES_tradnl"/>
        </w:rPr>
        <w:t>.</w:t>
      </w:r>
    </w:p>
    <w:p w14:paraId="1397231B" w14:textId="231BEBA9" w:rsidR="00431F02" w:rsidRPr="003A2471" w:rsidRDefault="003F7821" w:rsidP="003A2471">
      <w:pPr>
        <w:pStyle w:val="ListParagraph"/>
        <w:numPr>
          <w:ilvl w:val="0"/>
          <w:numId w:val="7"/>
        </w:numPr>
        <w:spacing w:after="240"/>
        <w:ind w:left="0" w:firstLine="0"/>
        <w:contextualSpacing w:val="0"/>
        <w:rPr>
          <w:rFonts w:ascii="Arial" w:hAnsi="Arial" w:cs="Arial"/>
          <w:sz w:val="22"/>
          <w:szCs w:val="22"/>
          <w:lang w:val="es-ES_tradnl"/>
        </w:rPr>
      </w:pPr>
      <w:r w:rsidRPr="003A2471">
        <w:rPr>
          <w:rFonts w:ascii="Arial" w:hAnsi="Arial" w:cs="Arial"/>
          <w:sz w:val="22"/>
          <w:szCs w:val="22"/>
          <w:lang w:val="es-ES_tradnl"/>
        </w:rPr>
        <w:t xml:space="preserve">El </w:t>
      </w:r>
      <w:r w:rsidR="007A60B7" w:rsidRPr="003A2471">
        <w:rPr>
          <w:rFonts w:ascii="Arial" w:hAnsi="Arial" w:cs="Arial"/>
          <w:sz w:val="22"/>
          <w:szCs w:val="22"/>
          <w:lang w:val="es-ES_tradnl"/>
        </w:rPr>
        <w:t xml:space="preserve">personal y sus familiares recibieron apoyo durante los períodos </w:t>
      </w:r>
      <w:r w:rsidRPr="003A2471">
        <w:rPr>
          <w:rFonts w:ascii="Arial" w:hAnsi="Arial" w:cs="Arial"/>
          <w:sz w:val="22"/>
          <w:szCs w:val="22"/>
          <w:lang w:val="es-ES_tradnl"/>
        </w:rPr>
        <w:t>previos y posteriores a la jubilación</w:t>
      </w:r>
      <w:r w:rsidR="007A60B7" w:rsidRPr="003A2471">
        <w:rPr>
          <w:rFonts w:ascii="Arial" w:hAnsi="Arial" w:cs="Arial"/>
          <w:sz w:val="22"/>
          <w:szCs w:val="22"/>
          <w:lang w:val="es-ES_tradnl"/>
        </w:rPr>
        <w:t xml:space="preserve"> mediante </w:t>
      </w:r>
      <w:r w:rsidRPr="003A2471">
        <w:rPr>
          <w:rFonts w:ascii="Arial" w:hAnsi="Arial" w:cs="Arial"/>
          <w:sz w:val="22"/>
          <w:szCs w:val="22"/>
          <w:lang w:val="es-ES_tradnl"/>
        </w:rPr>
        <w:t>un seminario previo a la jubilación</w:t>
      </w:r>
      <w:r w:rsidR="007A60B7" w:rsidRPr="003A2471">
        <w:rPr>
          <w:rFonts w:ascii="Arial" w:hAnsi="Arial" w:cs="Arial"/>
          <w:sz w:val="22"/>
          <w:szCs w:val="22"/>
          <w:lang w:val="es-ES_tradnl"/>
        </w:rPr>
        <w:t xml:space="preserve"> organizado por la OIT y</w:t>
      </w:r>
      <w:r w:rsidR="00EB244F" w:rsidRPr="003A2471">
        <w:rPr>
          <w:rFonts w:ascii="Arial" w:hAnsi="Arial" w:cs="Arial"/>
          <w:sz w:val="22"/>
          <w:szCs w:val="22"/>
          <w:lang w:val="es-ES_tradnl"/>
        </w:rPr>
        <w:t xml:space="preserve"> mediante</w:t>
      </w:r>
      <w:r w:rsidR="007A60B7" w:rsidRPr="003A2471">
        <w:rPr>
          <w:rFonts w:ascii="Arial" w:hAnsi="Arial" w:cs="Arial"/>
          <w:sz w:val="22"/>
          <w:szCs w:val="22"/>
          <w:lang w:val="es-ES_tradnl"/>
        </w:rPr>
        <w:t xml:space="preserve"> </w:t>
      </w:r>
      <w:r w:rsidR="00AA3611" w:rsidRPr="003A2471">
        <w:rPr>
          <w:rFonts w:ascii="Arial" w:hAnsi="Arial" w:cs="Arial"/>
          <w:sz w:val="22"/>
          <w:szCs w:val="22"/>
          <w:lang w:val="es-ES_tradnl"/>
        </w:rPr>
        <w:t>consultas específicas. Los funcionarios de la OMPI jubilados y sus familiares siguieron acogiéndose al apoyo prestado en coordinación con los servicios internos, el proveedor de seguro médico y las autoridades locales</w:t>
      </w:r>
      <w:r w:rsidR="00431F02" w:rsidRPr="003A2471">
        <w:rPr>
          <w:rFonts w:ascii="Arial" w:hAnsi="Arial" w:cs="Arial"/>
          <w:sz w:val="22"/>
          <w:szCs w:val="22"/>
          <w:lang w:val="es-ES_tradnl"/>
        </w:rPr>
        <w:t>.</w:t>
      </w:r>
    </w:p>
    <w:p w14:paraId="00C93788" w14:textId="012C6B58" w:rsidR="00431F02" w:rsidRPr="003A2471" w:rsidRDefault="00AA3611" w:rsidP="003A2471">
      <w:pPr>
        <w:pStyle w:val="ListParagraph"/>
        <w:numPr>
          <w:ilvl w:val="0"/>
          <w:numId w:val="7"/>
        </w:numPr>
        <w:spacing w:after="240"/>
        <w:ind w:left="0" w:firstLine="0"/>
        <w:contextualSpacing w:val="0"/>
        <w:rPr>
          <w:rFonts w:ascii="Arial" w:hAnsi="Arial" w:cs="Arial"/>
          <w:sz w:val="22"/>
          <w:szCs w:val="22"/>
          <w:lang w:val="es-ES_tradnl"/>
        </w:rPr>
      </w:pPr>
      <w:r w:rsidRPr="003A2471">
        <w:rPr>
          <w:rFonts w:ascii="Arial" w:hAnsi="Arial" w:cs="Arial"/>
          <w:sz w:val="22"/>
          <w:szCs w:val="22"/>
          <w:lang w:val="es-ES_tradnl"/>
        </w:rPr>
        <w:t xml:space="preserve">La OMPI sigue participando en el club </w:t>
      </w:r>
      <w:r w:rsidR="003F7821" w:rsidRPr="003A2471">
        <w:rPr>
          <w:rFonts w:ascii="Arial" w:hAnsi="Arial" w:cs="Arial"/>
          <w:sz w:val="22"/>
          <w:szCs w:val="22"/>
          <w:lang w:val="es-ES_tradnl"/>
        </w:rPr>
        <w:t>infantil</w:t>
      </w:r>
      <w:r w:rsidRPr="003A2471">
        <w:rPr>
          <w:rFonts w:ascii="Arial" w:hAnsi="Arial" w:cs="Arial"/>
          <w:sz w:val="22"/>
          <w:szCs w:val="22"/>
          <w:lang w:val="es-ES_tradnl"/>
        </w:rPr>
        <w:t xml:space="preserve"> creado entre la UIT, la OMPI y la OMC</w:t>
      </w:r>
      <w:r w:rsidR="00EB244F" w:rsidRPr="003A2471">
        <w:rPr>
          <w:rFonts w:ascii="Arial" w:hAnsi="Arial" w:cs="Arial"/>
          <w:sz w:val="22"/>
          <w:szCs w:val="22"/>
          <w:lang w:val="es-ES_tradnl"/>
        </w:rPr>
        <w:t>,</w:t>
      </w:r>
      <w:r w:rsidRPr="003A2471">
        <w:rPr>
          <w:rFonts w:ascii="Arial" w:hAnsi="Arial" w:cs="Arial"/>
          <w:sz w:val="22"/>
          <w:szCs w:val="22"/>
          <w:lang w:val="es-ES_tradnl"/>
        </w:rPr>
        <w:t xml:space="preserve"> que ofrece actividades </w:t>
      </w:r>
      <w:r w:rsidR="003F7821" w:rsidRPr="003A2471">
        <w:rPr>
          <w:rFonts w:ascii="Arial" w:hAnsi="Arial" w:cs="Arial"/>
          <w:sz w:val="22"/>
          <w:szCs w:val="22"/>
          <w:lang w:val="es-ES_tradnl"/>
        </w:rPr>
        <w:t>para</w:t>
      </w:r>
      <w:r w:rsidRPr="003A2471">
        <w:rPr>
          <w:rFonts w:ascii="Arial" w:hAnsi="Arial" w:cs="Arial"/>
          <w:sz w:val="22"/>
          <w:szCs w:val="22"/>
          <w:lang w:val="es-ES_tradnl"/>
        </w:rPr>
        <w:t xml:space="preserve"> niños durante las vacaciones de verano. En las actividades del club organizadas en 2019 participaron 50 niños, hijos de </w:t>
      </w:r>
      <w:r w:rsidR="003F7821" w:rsidRPr="003A2471">
        <w:rPr>
          <w:rFonts w:ascii="Arial" w:hAnsi="Arial" w:cs="Arial"/>
          <w:sz w:val="22"/>
          <w:szCs w:val="22"/>
          <w:lang w:val="es-ES_tradnl"/>
        </w:rPr>
        <w:t>empleados</w:t>
      </w:r>
      <w:r w:rsidRPr="003A2471">
        <w:rPr>
          <w:rFonts w:ascii="Arial" w:hAnsi="Arial" w:cs="Arial"/>
          <w:sz w:val="22"/>
          <w:szCs w:val="22"/>
          <w:lang w:val="es-ES_tradnl"/>
        </w:rPr>
        <w:t xml:space="preserve"> de la OMPI</w:t>
      </w:r>
      <w:r w:rsidR="00431F02" w:rsidRPr="003A2471">
        <w:rPr>
          <w:rFonts w:ascii="Arial" w:hAnsi="Arial" w:cs="Arial"/>
          <w:sz w:val="22"/>
          <w:szCs w:val="22"/>
          <w:lang w:val="es-ES_tradnl"/>
        </w:rPr>
        <w:t>.</w:t>
      </w:r>
    </w:p>
    <w:p w14:paraId="128E909E" w14:textId="0E7214A6" w:rsidR="00431F02" w:rsidRPr="003A2471" w:rsidRDefault="001027D7" w:rsidP="003A2471">
      <w:pPr>
        <w:pStyle w:val="ListParagraph"/>
        <w:numPr>
          <w:ilvl w:val="0"/>
          <w:numId w:val="7"/>
        </w:numPr>
        <w:spacing w:after="360"/>
        <w:ind w:left="0" w:firstLine="0"/>
        <w:contextualSpacing w:val="0"/>
        <w:rPr>
          <w:rFonts w:ascii="Arial" w:eastAsia="SimSun" w:hAnsi="Arial" w:cs="Arial"/>
          <w:bCs/>
          <w:sz w:val="22"/>
          <w:szCs w:val="22"/>
          <w:lang w:val="es-ES_tradnl"/>
        </w:rPr>
      </w:pPr>
      <w:r w:rsidRPr="003A2471">
        <w:rPr>
          <w:rFonts w:ascii="Arial" w:eastAsia="SimSun" w:hAnsi="Arial" w:cs="Arial"/>
          <w:bCs/>
          <w:sz w:val="22"/>
          <w:szCs w:val="22"/>
          <w:lang w:val="es-ES_tradnl"/>
        </w:rPr>
        <w:t xml:space="preserve">Como se señala en el informe anual de recursos humanos de 2019, en septiembre de ese año se emprendió un programa piloto de dos años para la prestación de servicios de guardería </w:t>
      </w:r>
      <w:r w:rsidR="003F7821" w:rsidRPr="003A2471">
        <w:rPr>
          <w:rFonts w:ascii="Arial" w:eastAsia="SimSun" w:hAnsi="Arial" w:cs="Arial"/>
          <w:bCs/>
          <w:sz w:val="22"/>
          <w:szCs w:val="22"/>
          <w:lang w:val="es-ES_tradnl"/>
        </w:rPr>
        <w:t xml:space="preserve">cerca del recinto de la OMPI, en Ginebra, </w:t>
      </w:r>
      <w:r w:rsidRPr="003A2471">
        <w:rPr>
          <w:rFonts w:ascii="Arial" w:eastAsia="SimSun" w:hAnsi="Arial" w:cs="Arial"/>
          <w:bCs/>
          <w:sz w:val="22"/>
          <w:szCs w:val="22"/>
          <w:lang w:val="es-ES_tradnl"/>
        </w:rPr>
        <w:t xml:space="preserve">a los hijos </w:t>
      </w:r>
      <w:r w:rsidR="003F7821" w:rsidRPr="003A2471">
        <w:rPr>
          <w:rFonts w:ascii="Arial" w:eastAsia="SimSun" w:hAnsi="Arial" w:cs="Arial"/>
          <w:bCs/>
          <w:sz w:val="22"/>
          <w:szCs w:val="22"/>
          <w:lang w:val="es-ES_tradnl"/>
        </w:rPr>
        <w:t>de empleados</w:t>
      </w:r>
      <w:r w:rsidRPr="003A2471">
        <w:rPr>
          <w:rFonts w:ascii="Arial" w:eastAsia="SimSun" w:hAnsi="Arial" w:cs="Arial"/>
          <w:bCs/>
          <w:sz w:val="22"/>
          <w:szCs w:val="22"/>
          <w:lang w:val="es-ES_tradnl"/>
        </w:rPr>
        <w:t xml:space="preserve"> de la OMPI en </w:t>
      </w:r>
      <w:r w:rsidR="003F7821" w:rsidRPr="003A2471">
        <w:rPr>
          <w:rFonts w:ascii="Arial" w:eastAsia="SimSun" w:hAnsi="Arial" w:cs="Arial"/>
          <w:bCs/>
          <w:sz w:val="22"/>
          <w:szCs w:val="22"/>
          <w:lang w:val="es-ES_tradnl"/>
        </w:rPr>
        <w:t>edad preescolar</w:t>
      </w:r>
      <w:r w:rsidRPr="003A2471">
        <w:rPr>
          <w:rFonts w:ascii="Arial" w:eastAsia="SimSun" w:hAnsi="Arial" w:cs="Arial"/>
          <w:bCs/>
          <w:sz w:val="22"/>
          <w:szCs w:val="22"/>
          <w:lang w:val="es-ES_tradnl"/>
        </w:rPr>
        <w:t>. Durante el año escolar 2019-2020</w:t>
      </w:r>
      <w:r w:rsidR="003F7821" w:rsidRPr="003A2471">
        <w:rPr>
          <w:rFonts w:ascii="Arial" w:eastAsia="SimSun" w:hAnsi="Arial" w:cs="Arial"/>
          <w:bCs/>
          <w:sz w:val="22"/>
          <w:szCs w:val="22"/>
          <w:lang w:val="es-ES_tradnl"/>
        </w:rPr>
        <w:t xml:space="preserve"> fueron inscritos en la guardería</w:t>
      </w:r>
      <w:r w:rsidRPr="003A2471">
        <w:rPr>
          <w:rFonts w:ascii="Arial" w:eastAsia="SimSun" w:hAnsi="Arial" w:cs="Arial"/>
          <w:bCs/>
          <w:sz w:val="22"/>
          <w:szCs w:val="22"/>
          <w:lang w:val="es-ES_tradnl"/>
        </w:rPr>
        <w:t xml:space="preserve"> 10 </w:t>
      </w:r>
      <w:r w:rsidR="003F7821" w:rsidRPr="003A2471">
        <w:rPr>
          <w:rFonts w:ascii="Arial" w:eastAsia="SimSun" w:hAnsi="Arial" w:cs="Arial"/>
          <w:bCs/>
          <w:sz w:val="22"/>
          <w:szCs w:val="22"/>
          <w:lang w:val="es-ES_tradnl"/>
        </w:rPr>
        <w:t xml:space="preserve">niños, </w:t>
      </w:r>
      <w:r w:rsidRPr="003A2471">
        <w:rPr>
          <w:rFonts w:ascii="Arial" w:eastAsia="SimSun" w:hAnsi="Arial" w:cs="Arial"/>
          <w:bCs/>
          <w:sz w:val="22"/>
          <w:szCs w:val="22"/>
          <w:lang w:val="es-ES_tradnl"/>
        </w:rPr>
        <w:t xml:space="preserve">hijos </w:t>
      </w:r>
      <w:r w:rsidR="003F7821" w:rsidRPr="003A2471">
        <w:rPr>
          <w:rFonts w:ascii="Arial" w:eastAsia="SimSun" w:hAnsi="Arial" w:cs="Arial"/>
          <w:bCs/>
          <w:sz w:val="22"/>
          <w:szCs w:val="22"/>
          <w:lang w:val="es-ES_tradnl"/>
        </w:rPr>
        <w:t>de empleados de la OMPI</w:t>
      </w:r>
      <w:r w:rsidRPr="003A2471">
        <w:rPr>
          <w:rFonts w:ascii="Arial" w:eastAsia="SimSun" w:hAnsi="Arial" w:cs="Arial"/>
          <w:bCs/>
          <w:sz w:val="22"/>
          <w:szCs w:val="22"/>
          <w:lang w:val="es-ES_tradnl"/>
        </w:rPr>
        <w:t>.</w:t>
      </w:r>
    </w:p>
    <w:p w14:paraId="1EA26189" w14:textId="41FF25F4" w:rsidR="00431F02" w:rsidRPr="003A2471" w:rsidRDefault="007A60B7" w:rsidP="003A2471">
      <w:pPr>
        <w:pStyle w:val="Heading2"/>
        <w:keepNext w:val="0"/>
        <w:spacing w:after="240"/>
        <w:rPr>
          <w:lang w:val="es-ES_tradnl"/>
        </w:rPr>
      </w:pPr>
      <w:r w:rsidRPr="003A2471">
        <w:rPr>
          <w:lang w:val="es-ES_tradnl"/>
        </w:rPr>
        <w:t>FOMENTAR EL RESPETO Y LA ARMONÍA EN EL LUGAR DE TRABAJO, SIN ACOSO</w:t>
      </w:r>
    </w:p>
    <w:p w14:paraId="3322B045" w14:textId="01832EF9" w:rsidR="00431F02" w:rsidRPr="003A2471" w:rsidRDefault="004B4E16" w:rsidP="003A2471">
      <w:pPr>
        <w:pStyle w:val="ListParagraph"/>
        <w:numPr>
          <w:ilvl w:val="0"/>
          <w:numId w:val="7"/>
        </w:numPr>
        <w:spacing w:after="240"/>
        <w:ind w:left="0" w:firstLine="0"/>
        <w:contextualSpacing w:val="0"/>
        <w:rPr>
          <w:rFonts w:ascii="Arial" w:hAnsi="Arial" w:cs="Arial"/>
          <w:sz w:val="22"/>
          <w:szCs w:val="22"/>
          <w:lang w:val="es-ES_tradnl"/>
        </w:rPr>
      </w:pPr>
      <w:r w:rsidRPr="003A2471">
        <w:rPr>
          <w:rFonts w:ascii="Arial" w:hAnsi="Arial" w:cs="Arial"/>
          <w:sz w:val="22"/>
          <w:szCs w:val="22"/>
          <w:lang w:val="es-ES_tradnl"/>
        </w:rPr>
        <w:t xml:space="preserve">A raíz del resultado de la encuesta sobre acoso sexual </w:t>
      </w:r>
      <w:r w:rsidR="009C050A" w:rsidRPr="003A2471">
        <w:rPr>
          <w:rFonts w:ascii="Arial" w:hAnsi="Arial" w:cs="Arial"/>
          <w:sz w:val="22"/>
          <w:szCs w:val="22"/>
          <w:lang w:val="es-ES_tradnl"/>
        </w:rPr>
        <w:t>“Espacio Seguro”, llevada a cabo</w:t>
      </w:r>
      <w:r w:rsidRPr="003A2471">
        <w:rPr>
          <w:rFonts w:ascii="Arial" w:hAnsi="Arial" w:cs="Arial"/>
          <w:sz w:val="22"/>
          <w:szCs w:val="22"/>
          <w:lang w:val="es-ES_tradnl"/>
        </w:rPr>
        <w:t xml:space="preserve"> en enero de 2019 en todo el Sistema de las Naciones Unidas, la OMPI emprendió una serie de iniciativas, a escala de toda la organización, para fomentar un lugar de trabajo respetuoso y armonioso, aumentar la concienciación acerca de qué es una conducta apropiada y qué no, y asegurar que los miembros del personal pueda</w:t>
      </w:r>
      <w:r w:rsidR="009C050A" w:rsidRPr="003A2471">
        <w:rPr>
          <w:rFonts w:ascii="Arial" w:hAnsi="Arial" w:cs="Arial"/>
          <w:sz w:val="22"/>
          <w:szCs w:val="22"/>
          <w:lang w:val="es-ES_tradnl"/>
        </w:rPr>
        <w:t>n</w:t>
      </w:r>
      <w:r w:rsidRPr="003A2471">
        <w:rPr>
          <w:rFonts w:ascii="Arial" w:hAnsi="Arial" w:cs="Arial"/>
          <w:sz w:val="22"/>
          <w:szCs w:val="22"/>
          <w:lang w:val="es-ES_tradnl"/>
        </w:rPr>
        <w:t xml:space="preserve"> encontrar fácilmente información sobre qué hacer cuando se plantea un problema. Dichas iniciativas se desplegaron en gran medida durante el período objeto de informe</w:t>
      </w:r>
      <w:r w:rsidR="00431F02" w:rsidRPr="003A2471">
        <w:rPr>
          <w:rFonts w:ascii="Arial" w:hAnsi="Arial" w:cs="Arial"/>
          <w:sz w:val="22"/>
          <w:szCs w:val="22"/>
          <w:lang w:val="es-ES_tradnl"/>
        </w:rPr>
        <w:t>.</w:t>
      </w:r>
    </w:p>
    <w:p w14:paraId="740DEB4A" w14:textId="274FF99F" w:rsidR="00431F02" w:rsidRPr="003A2471" w:rsidRDefault="002812EF" w:rsidP="003A2471">
      <w:pPr>
        <w:pStyle w:val="ListParagraph"/>
        <w:numPr>
          <w:ilvl w:val="0"/>
          <w:numId w:val="7"/>
        </w:numPr>
        <w:spacing w:after="240"/>
        <w:ind w:left="0" w:firstLine="0"/>
        <w:contextualSpacing w:val="0"/>
        <w:rPr>
          <w:rFonts w:ascii="Arial" w:hAnsi="Arial" w:cs="Arial"/>
          <w:sz w:val="22"/>
          <w:szCs w:val="22"/>
          <w:lang w:val="es-ES_tradnl"/>
        </w:rPr>
      </w:pPr>
      <w:r w:rsidRPr="003A2471">
        <w:rPr>
          <w:rFonts w:ascii="Arial" w:hAnsi="Arial" w:cs="Arial"/>
          <w:sz w:val="22"/>
          <w:szCs w:val="22"/>
          <w:lang w:val="es-ES_tradnl"/>
        </w:rPr>
        <w:t>El curso obligatorio de formación en línea “Trabajar juntos de forma armoniosa”</w:t>
      </w:r>
      <w:r w:rsidR="004C5995" w:rsidRPr="003A2471">
        <w:rPr>
          <w:rFonts w:ascii="Arial" w:hAnsi="Arial" w:cs="Arial"/>
          <w:sz w:val="22"/>
          <w:szCs w:val="22"/>
          <w:lang w:val="es-ES_tradnl"/>
        </w:rPr>
        <w:t>, iniciado en mayo de 2019, se complementó mediante el curso presencial sobre el respeto</w:t>
      </w:r>
      <w:r w:rsidR="007F13BB" w:rsidRPr="003A2471">
        <w:rPr>
          <w:rFonts w:ascii="Arial" w:hAnsi="Arial" w:cs="Arial"/>
          <w:sz w:val="22"/>
          <w:szCs w:val="22"/>
          <w:lang w:val="es-ES_tradnl"/>
        </w:rPr>
        <w:t>,</w:t>
      </w:r>
      <w:r w:rsidR="004C5995" w:rsidRPr="003A2471">
        <w:rPr>
          <w:rFonts w:ascii="Arial" w:hAnsi="Arial" w:cs="Arial"/>
          <w:sz w:val="22"/>
          <w:szCs w:val="22"/>
          <w:lang w:val="es-ES_tradnl"/>
        </w:rPr>
        <w:t xml:space="preserve"> en los talleres </w:t>
      </w:r>
      <w:r w:rsidR="00DA1007" w:rsidRPr="003A2471">
        <w:rPr>
          <w:rFonts w:ascii="Arial" w:hAnsi="Arial" w:cs="Arial"/>
          <w:sz w:val="22"/>
          <w:szCs w:val="22"/>
          <w:lang w:val="es-ES_tradnl"/>
        </w:rPr>
        <w:t>que se celebran en el</w:t>
      </w:r>
      <w:r w:rsidR="004C5995" w:rsidRPr="003A2471">
        <w:rPr>
          <w:rFonts w:ascii="Arial" w:hAnsi="Arial" w:cs="Arial"/>
          <w:sz w:val="22"/>
          <w:szCs w:val="22"/>
          <w:lang w:val="es-ES_tradnl"/>
        </w:rPr>
        <w:t xml:space="preserve"> lugar de trabajo, </w:t>
      </w:r>
      <w:r w:rsidR="00DA1007" w:rsidRPr="003A2471">
        <w:rPr>
          <w:rFonts w:ascii="Arial" w:hAnsi="Arial" w:cs="Arial"/>
          <w:sz w:val="22"/>
          <w:szCs w:val="22"/>
          <w:lang w:val="es-ES_tradnl"/>
        </w:rPr>
        <w:t>iniciado</w:t>
      </w:r>
      <w:r w:rsidR="004C5995" w:rsidRPr="003A2471">
        <w:rPr>
          <w:rFonts w:ascii="Arial" w:hAnsi="Arial" w:cs="Arial"/>
          <w:sz w:val="22"/>
          <w:szCs w:val="22"/>
          <w:lang w:val="es-ES_tradnl"/>
        </w:rPr>
        <w:t xml:space="preserve"> en octubre de 2019. Los talleres fueron diseñados específicamente para el personal directivo. En junio de 2020, más de 1.300 miembros del personal habían seguido el curso en línea y aproximadamente 1.000 habían participado en el taller</w:t>
      </w:r>
      <w:r w:rsidR="00431F02" w:rsidRPr="003A2471">
        <w:rPr>
          <w:rFonts w:ascii="Arial" w:hAnsi="Arial" w:cs="Arial"/>
          <w:sz w:val="22"/>
          <w:szCs w:val="22"/>
          <w:lang w:val="es-ES_tradnl"/>
        </w:rPr>
        <w:t>.</w:t>
      </w:r>
    </w:p>
    <w:p w14:paraId="3F006EAD" w14:textId="7553CDF0" w:rsidR="00431F02" w:rsidRPr="003A2471" w:rsidRDefault="003848E1" w:rsidP="003A2471">
      <w:pPr>
        <w:pStyle w:val="ListParagraph"/>
        <w:numPr>
          <w:ilvl w:val="0"/>
          <w:numId w:val="7"/>
        </w:numPr>
        <w:spacing w:after="240"/>
        <w:ind w:left="0" w:firstLine="0"/>
        <w:contextualSpacing w:val="0"/>
        <w:rPr>
          <w:rFonts w:ascii="Arial" w:hAnsi="Arial" w:cs="Arial"/>
          <w:sz w:val="22"/>
          <w:szCs w:val="22"/>
          <w:lang w:val="es-ES_tradnl"/>
        </w:rPr>
      </w:pPr>
      <w:r w:rsidRPr="003A2471">
        <w:rPr>
          <w:rFonts w:ascii="Arial" w:hAnsi="Arial" w:cs="Arial"/>
          <w:sz w:val="22"/>
          <w:szCs w:val="22"/>
          <w:lang w:val="es-ES_tradnl"/>
        </w:rPr>
        <w:t xml:space="preserve">La política sobre conflictos y reclamaciones relacionados con el entorno laboral fue modificada en agosto de 2019, principalmente para que no solo los miembros del personal en plantilla, sino también los que no lo son (es decir, becarios, pasantes, contratistas individuales y trabajadores contratados por agencia) puedan presentar demandas formales por acoso contra miembros del personal de la OMPI. Para completar dicha modificación, el mandato de la Oficina de Mediación se amplió de manera similar </w:t>
      </w:r>
      <w:r w:rsidR="009C050A" w:rsidRPr="003A2471">
        <w:rPr>
          <w:rFonts w:ascii="Arial" w:hAnsi="Arial" w:cs="Arial"/>
          <w:sz w:val="22"/>
          <w:szCs w:val="22"/>
          <w:lang w:val="es-ES_tradnl"/>
        </w:rPr>
        <w:t>para que el</w:t>
      </w:r>
      <w:r w:rsidRPr="003A2471">
        <w:rPr>
          <w:rFonts w:ascii="Arial" w:hAnsi="Arial" w:cs="Arial"/>
          <w:sz w:val="22"/>
          <w:szCs w:val="22"/>
          <w:lang w:val="es-ES_tradnl"/>
        </w:rPr>
        <w:t xml:space="preserve"> personal que no está en plantilla </w:t>
      </w:r>
      <w:r w:rsidR="009C050A" w:rsidRPr="003A2471">
        <w:rPr>
          <w:rFonts w:ascii="Arial" w:hAnsi="Arial" w:cs="Arial"/>
          <w:sz w:val="22"/>
          <w:szCs w:val="22"/>
          <w:lang w:val="es-ES_tradnl"/>
        </w:rPr>
        <w:t>tenga acceso a</w:t>
      </w:r>
      <w:r w:rsidRPr="003A2471">
        <w:rPr>
          <w:rFonts w:ascii="Arial" w:hAnsi="Arial" w:cs="Arial"/>
          <w:sz w:val="22"/>
          <w:szCs w:val="22"/>
          <w:lang w:val="es-ES_tradnl"/>
        </w:rPr>
        <w:t xml:space="preserve"> los servicios de dicha Oficina</w:t>
      </w:r>
      <w:r w:rsidR="00431F02" w:rsidRPr="003A2471">
        <w:rPr>
          <w:rFonts w:ascii="Arial" w:hAnsi="Arial" w:cs="Arial"/>
          <w:sz w:val="22"/>
          <w:szCs w:val="22"/>
          <w:lang w:val="es-ES_tradnl"/>
        </w:rPr>
        <w:t>.</w:t>
      </w:r>
    </w:p>
    <w:p w14:paraId="12E8AC3A" w14:textId="7901BDB2" w:rsidR="00431F02" w:rsidRPr="003A2471" w:rsidRDefault="003848E1" w:rsidP="003A2471">
      <w:pPr>
        <w:pStyle w:val="ListParagraph"/>
        <w:numPr>
          <w:ilvl w:val="0"/>
          <w:numId w:val="7"/>
        </w:numPr>
        <w:spacing w:after="240"/>
        <w:ind w:left="0" w:firstLine="0"/>
        <w:contextualSpacing w:val="0"/>
        <w:rPr>
          <w:rFonts w:ascii="Arial" w:hAnsi="Arial" w:cs="Arial"/>
          <w:sz w:val="22"/>
          <w:szCs w:val="22"/>
          <w:lang w:val="es-ES_tradnl"/>
        </w:rPr>
      </w:pPr>
      <w:r w:rsidRPr="003A2471">
        <w:rPr>
          <w:rFonts w:ascii="Arial" w:hAnsi="Arial" w:cs="Arial"/>
          <w:sz w:val="22"/>
          <w:szCs w:val="22"/>
          <w:lang w:val="es-ES_tradnl"/>
        </w:rPr>
        <w:t>En ese mismo orden de cosas, se revisó sustancialmente la guía sobre el respeto y la armonía en el lugar de trabajo</w:t>
      </w:r>
      <w:r w:rsidR="00B47A16" w:rsidRPr="003A2471">
        <w:rPr>
          <w:rFonts w:ascii="Arial" w:hAnsi="Arial" w:cs="Arial"/>
          <w:sz w:val="22"/>
          <w:szCs w:val="22"/>
          <w:lang w:val="es-ES_tradnl"/>
        </w:rPr>
        <w:t xml:space="preserve"> y se reelaboró para proporcionar orientación a todos los miembros del personal a fin de reforzar el principio de que todas las personas tienen derecho a trabajar en un entorno de trabajo seguro y respetuoso. La guía revisada, que fue presentada en noviembre de 2019 en sintonía con el modelo de Política sobre acoso sexual del sistema de las Naciones Unidas, incluye una nueva guía sobre los procesos formales e informales disponibles y</w:t>
      </w:r>
      <w:r w:rsidR="00EB1777" w:rsidRPr="003A2471">
        <w:rPr>
          <w:rFonts w:ascii="Arial" w:hAnsi="Arial" w:cs="Arial"/>
          <w:sz w:val="22"/>
          <w:szCs w:val="22"/>
          <w:lang w:val="es-ES_tradnl"/>
        </w:rPr>
        <w:t xml:space="preserve"> sobre</w:t>
      </w:r>
      <w:r w:rsidR="00B47A16" w:rsidRPr="003A2471">
        <w:rPr>
          <w:rFonts w:ascii="Arial" w:hAnsi="Arial" w:cs="Arial"/>
          <w:sz w:val="22"/>
          <w:szCs w:val="22"/>
          <w:lang w:val="es-ES_tradnl"/>
        </w:rPr>
        <w:t xml:space="preserve"> oportunidades de formación en relación con el acoso sexual y una sección ampliada sobre los lugares en que se puede obtener asesoramiento y asistencia</w:t>
      </w:r>
      <w:r w:rsidR="00431F02" w:rsidRPr="003A2471">
        <w:rPr>
          <w:rFonts w:ascii="Arial" w:hAnsi="Arial" w:cs="Arial"/>
          <w:sz w:val="22"/>
          <w:szCs w:val="22"/>
          <w:lang w:val="es-ES_tradnl"/>
        </w:rPr>
        <w:t>.</w:t>
      </w:r>
    </w:p>
    <w:p w14:paraId="13250421" w14:textId="4E2D0E35" w:rsidR="00431F02" w:rsidRPr="003A2471" w:rsidRDefault="006E15E5" w:rsidP="003A2471">
      <w:pPr>
        <w:pStyle w:val="ListParagraph"/>
        <w:numPr>
          <w:ilvl w:val="0"/>
          <w:numId w:val="7"/>
        </w:numPr>
        <w:spacing w:after="360"/>
        <w:ind w:left="0" w:firstLine="0"/>
        <w:contextualSpacing w:val="0"/>
        <w:rPr>
          <w:rFonts w:ascii="Arial" w:hAnsi="Arial" w:cs="Arial"/>
          <w:sz w:val="22"/>
          <w:szCs w:val="22"/>
          <w:lang w:val="es-ES_tradnl"/>
        </w:rPr>
      </w:pPr>
      <w:r w:rsidRPr="003A2471">
        <w:rPr>
          <w:rFonts w:ascii="Arial" w:hAnsi="Arial" w:cs="Arial"/>
          <w:sz w:val="22"/>
          <w:szCs w:val="22"/>
          <w:lang w:val="es-ES_tradnl"/>
        </w:rPr>
        <w:t xml:space="preserve">Por </w:t>
      </w:r>
      <w:r w:rsidR="00A7302C" w:rsidRPr="003A2471">
        <w:rPr>
          <w:rFonts w:ascii="Arial" w:hAnsi="Arial" w:cs="Arial"/>
          <w:sz w:val="22"/>
          <w:szCs w:val="22"/>
          <w:lang w:val="es-ES_tradnl"/>
        </w:rPr>
        <w:t>último, mediante una nueva política sobre cómo prevenir y tratar los casos de explotación y abuso sexual</w:t>
      </w:r>
      <w:r w:rsidR="00A169A6" w:rsidRPr="003A2471">
        <w:rPr>
          <w:rFonts w:ascii="Arial" w:hAnsi="Arial" w:cs="Arial"/>
          <w:sz w:val="22"/>
          <w:szCs w:val="22"/>
          <w:lang w:val="es-ES_tradnl"/>
        </w:rPr>
        <w:t>,</w:t>
      </w:r>
      <w:r w:rsidR="00A7302C" w:rsidRPr="003A2471">
        <w:rPr>
          <w:rFonts w:ascii="Arial" w:hAnsi="Arial" w:cs="Arial"/>
          <w:sz w:val="22"/>
          <w:szCs w:val="22"/>
          <w:lang w:val="es-ES_tradnl"/>
        </w:rPr>
        <w:t xml:space="preserve"> se pone de manifiesto el compromiso de la OMPI con esta importante cuestión y se suministra a todos los miembros del personal normas claras que deben cumplir</w:t>
      </w:r>
      <w:r w:rsidR="00431F02" w:rsidRPr="003A2471">
        <w:rPr>
          <w:rFonts w:ascii="Arial" w:hAnsi="Arial" w:cs="Arial"/>
          <w:sz w:val="22"/>
          <w:szCs w:val="22"/>
          <w:lang w:val="es-ES_tradnl"/>
        </w:rPr>
        <w:t>.</w:t>
      </w:r>
    </w:p>
    <w:p w14:paraId="67127284" w14:textId="0B9A4225" w:rsidR="00431F02" w:rsidRPr="003A2471" w:rsidRDefault="003848E1" w:rsidP="003A2471">
      <w:pPr>
        <w:pStyle w:val="Heading2"/>
        <w:keepLines/>
        <w:spacing w:after="360"/>
        <w:rPr>
          <w:lang w:val="es-ES_tradnl"/>
        </w:rPr>
      </w:pPr>
      <w:r w:rsidRPr="003A2471">
        <w:rPr>
          <w:lang w:val="es-ES_tradnl"/>
        </w:rPr>
        <w:t>justicia interna</w:t>
      </w:r>
      <w:r w:rsidR="00431F02" w:rsidRPr="003A2471">
        <w:rPr>
          <w:lang w:val="es-ES_tradnl"/>
        </w:rPr>
        <w:t xml:space="preserve"> – </w:t>
      </w:r>
      <w:r w:rsidR="00824FC5" w:rsidRPr="003A2471">
        <w:rPr>
          <w:lang w:val="es-ES_tradnl"/>
        </w:rPr>
        <w:t>solución formal de conflictos y cuestiones disciplinarias</w:t>
      </w:r>
    </w:p>
    <w:p w14:paraId="6A099FF7" w14:textId="7DAAA8D8" w:rsidR="00431F02" w:rsidRPr="003A2471" w:rsidRDefault="00913486" w:rsidP="003A2471">
      <w:pPr>
        <w:pStyle w:val="ListParagraph"/>
        <w:numPr>
          <w:ilvl w:val="0"/>
          <w:numId w:val="7"/>
        </w:numPr>
        <w:autoSpaceDE w:val="0"/>
        <w:autoSpaceDN w:val="0"/>
        <w:adjustRightInd w:val="0"/>
        <w:spacing w:after="240"/>
        <w:ind w:left="0" w:firstLine="0"/>
        <w:contextualSpacing w:val="0"/>
        <w:rPr>
          <w:rFonts w:ascii="Arial" w:eastAsiaTheme="minorHAnsi" w:hAnsi="Arial" w:cs="Arial"/>
          <w:color w:val="000000"/>
          <w:sz w:val="22"/>
          <w:szCs w:val="22"/>
          <w:lang w:val="es-ES_tradnl"/>
        </w:rPr>
      </w:pPr>
      <w:r w:rsidRPr="003A2471">
        <w:rPr>
          <w:rFonts w:ascii="Arial" w:eastAsiaTheme="minorHAnsi" w:hAnsi="Arial" w:cs="Arial"/>
          <w:color w:val="000000"/>
          <w:sz w:val="22"/>
          <w:szCs w:val="22"/>
          <w:lang w:val="es-ES_tradnl"/>
        </w:rPr>
        <w:t>En los cuadros 25 y 26 del folleto de recursos humanos figura el número de demandas presentadas por miembros del personal mediante el sistema de justicia interna entre el 1 de julio de 2019 y el 20 de</w:t>
      </w:r>
      <w:r w:rsidR="00136F82" w:rsidRPr="003A2471">
        <w:rPr>
          <w:rFonts w:ascii="Arial" w:eastAsiaTheme="minorHAnsi" w:hAnsi="Arial" w:cs="Arial"/>
          <w:color w:val="000000"/>
          <w:sz w:val="22"/>
          <w:szCs w:val="22"/>
          <w:lang w:val="es-ES_tradnl"/>
        </w:rPr>
        <w:t xml:space="preserve"> junio de 2020 y el objeto de las misma</w:t>
      </w:r>
      <w:r w:rsidRPr="003A2471">
        <w:rPr>
          <w:rFonts w:ascii="Arial" w:eastAsiaTheme="minorHAnsi" w:hAnsi="Arial" w:cs="Arial"/>
          <w:color w:val="000000"/>
          <w:sz w:val="22"/>
          <w:szCs w:val="22"/>
          <w:lang w:val="es-ES_tradnl"/>
        </w:rPr>
        <w:t>s</w:t>
      </w:r>
      <w:r w:rsidR="00431F02" w:rsidRPr="003A2471">
        <w:rPr>
          <w:rFonts w:ascii="Arial" w:eastAsiaTheme="minorHAnsi" w:hAnsi="Arial" w:cs="Arial"/>
          <w:color w:val="000000"/>
          <w:sz w:val="22"/>
          <w:szCs w:val="22"/>
          <w:lang w:val="es-ES_tradnl"/>
        </w:rPr>
        <w:t>.</w:t>
      </w:r>
    </w:p>
    <w:p w14:paraId="6209FB2C" w14:textId="63D5B14E" w:rsidR="00431F02" w:rsidRPr="003A2471" w:rsidRDefault="007C4945" w:rsidP="003A2471">
      <w:pPr>
        <w:pStyle w:val="ListParagraph"/>
        <w:numPr>
          <w:ilvl w:val="0"/>
          <w:numId w:val="7"/>
        </w:numPr>
        <w:autoSpaceDE w:val="0"/>
        <w:autoSpaceDN w:val="0"/>
        <w:adjustRightInd w:val="0"/>
        <w:spacing w:after="360"/>
        <w:ind w:left="0" w:firstLine="0"/>
        <w:contextualSpacing w:val="0"/>
        <w:rPr>
          <w:rFonts w:ascii="Arial" w:eastAsiaTheme="minorHAnsi" w:hAnsi="Arial" w:cs="Arial"/>
          <w:color w:val="000000"/>
          <w:sz w:val="22"/>
          <w:szCs w:val="22"/>
          <w:lang w:val="es-ES_tradnl"/>
        </w:rPr>
      </w:pPr>
      <w:r w:rsidRPr="003A2471">
        <w:rPr>
          <w:rFonts w:ascii="Arial" w:eastAsiaTheme="minorHAnsi" w:hAnsi="Arial" w:cs="Arial"/>
          <w:color w:val="000000"/>
          <w:sz w:val="22"/>
          <w:szCs w:val="22"/>
          <w:lang w:val="es-ES_tradnl"/>
        </w:rPr>
        <w:t>Durante el período objeto de informe, la Administración inició procedimientos disciplinarios contra cuatro miembros del personal (esto es, el mismo número con respecto al período anterior) y concluyó procedimientos disciplinarios contra cinco miembros del personal</w:t>
      </w:r>
      <w:r w:rsidR="00431F02" w:rsidRPr="003A2471">
        <w:rPr>
          <w:rFonts w:ascii="Arial" w:eastAsiaTheme="minorHAnsi" w:hAnsi="Arial" w:cs="Arial"/>
          <w:color w:val="000000"/>
          <w:sz w:val="22"/>
          <w:szCs w:val="22"/>
          <w:lang w:val="es-ES_tradnl"/>
        </w:rPr>
        <w:t>.</w:t>
      </w:r>
      <w:r w:rsidR="00431F02" w:rsidRPr="003A2471">
        <w:rPr>
          <w:rFonts w:ascii="Arial" w:eastAsiaTheme="minorHAnsi" w:hAnsi="Arial" w:cs="Arial"/>
          <w:sz w:val="22"/>
          <w:szCs w:val="22"/>
          <w:vertAlign w:val="superscript"/>
          <w:lang w:val="es-ES_tradnl"/>
        </w:rPr>
        <w:footnoteReference w:id="14"/>
      </w:r>
      <w:r w:rsidR="00431F02" w:rsidRPr="003A2471">
        <w:rPr>
          <w:rFonts w:ascii="Arial" w:eastAsiaTheme="minorHAnsi" w:hAnsi="Arial" w:cs="Arial"/>
          <w:color w:val="000000"/>
          <w:sz w:val="22"/>
          <w:szCs w:val="22"/>
          <w:lang w:val="es-ES_tradnl"/>
        </w:rPr>
        <w:t xml:space="preserve"> </w:t>
      </w:r>
      <w:r w:rsidRPr="003A2471">
        <w:rPr>
          <w:rFonts w:ascii="Arial" w:eastAsiaTheme="minorHAnsi" w:hAnsi="Arial" w:cs="Arial"/>
          <w:color w:val="000000"/>
          <w:sz w:val="22"/>
          <w:szCs w:val="22"/>
          <w:lang w:val="es-ES_tradnl"/>
        </w:rPr>
        <w:t>Se impusieron las siguientes medidas disciplinarias a cuatro miembros del personal: relegación a un escalón de sueldo más bajo en la misma categoría en un caso; descenso de categoría durante dos años en otro caso, y destitución en los dos últimos casos. En otro caso</w:t>
      </w:r>
      <w:r w:rsidR="005531DF" w:rsidRPr="003A2471">
        <w:rPr>
          <w:rFonts w:ascii="Arial" w:eastAsiaTheme="minorHAnsi" w:hAnsi="Arial" w:cs="Arial"/>
          <w:color w:val="000000"/>
          <w:sz w:val="22"/>
          <w:szCs w:val="22"/>
          <w:lang w:val="es-ES_tradnl"/>
        </w:rPr>
        <w:t xml:space="preserve"> más</w:t>
      </w:r>
      <w:r w:rsidRPr="003A2471">
        <w:rPr>
          <w:rFonts w:ascii="Arial" w:eastAsiaTheme="minorHAnsi" w:hAnsi="Arial" w:cs="Arial"/>
          <w:color w:val="000000"/>
          <w:sz w:val="22"/>
          <w:szCs w:val="22"/>
          <w:lang w:val="es-ES_tradnl"/>
        </w:rPr>
        <w:t>, se concluyeron los procedimientos disciplinarios sin imposición de medidas disciplinarias</w:t>
      </w:r>
      <w:r w:rsidR="00431F02" w:rsidRPr="003A2471">
        <w:rPr>
          <w:rFonts w:ascii="Arial" w:eastAsiaTheme="minorHAnsi" w:hAnsi="Arial" w:cs="Arial"/>
          <w:color w:val="000000"/>
          <w:sz w:val="22"/>
          <w:szCs w:val="22"/>
          <w:lang w:val="es-ES_tradnl"/>
        </w:rPr>
        <w:t>.</w:t>
      </w:r>
    </w:p>
    <w:p w14:paraId="73AB735A" w14:textId="12217768" w:rsidR="00431F02" w:rsidRPr="003A2471" w:rsidRDefault="00C173E7" w:rsidP="003A2471">
      <w:pPr>
        <w:pStyle w:val="Heading2"/>
        <w:keepNext w:val="0"/>
        <w:spacing w:after="240"/>
        <w:rPr>
          <w:lang w:val="es-ES_tradnl"/>
        </w:rPr>
      </w:pPr>
      <w:r w:rsidRPr="003A2471">
        <w:rPr>
          <w:lang w:val="es-ES_tradnl"/>
        </w:rPr>
        <w:t>costos de los procedimientos de justicia interna</w:t>
      </w:r>
    </w:p>
    <w:p w14:paraId="144D6538" w14:textId="7FB51E18" w:rsidR="00431F02" w:rsidRPr="003A2471" w:rsidRDefault="00F942F5" w:rsidP="003A2471">
      <w:pPr>
        <w:pStyle w:val="ListParagraph"/>
        <w:numPr>
          <w:ilvl w:val="0"/>
          <w:numId w:val="7"/>
        </w:numPr>
        <w:autoSpaceDE w:val="0"/>
        <w:autoSpaceDN w:val="0"/>
        <w:adjustRightInd w:val="0"/>
        <w:spacing w:after="240"/>
        <w:ind w:left="0" w:firstLine="0"/>
        <w:contextualSpacing w:val="0"/>
        <w:rPr>
          <w:rFonts w:ascii="Arial" w:hAnsi="Arial" w:cs="Arial"/>
          <w:color w:val="000000"/>
          <w:sz w:val="22"/>
          <w:szCs w:val="22"/>
          <w:lang w:val="es-ES_tradnl"/>
        </w:rPr>
      </w:pPr>
      <w:r w:rsidRPr="003A2471">
        <w:rPr>
          <w:rFonts w:ascii="Arial" w:hAnsi="Arial" w:cs="Arial"/>
          <w:color w:val="000000"/>
          <w:sz w:val="22"/>
          <w:szCs w:val="22"/>
          <w:lang w:val="es-ES_tradnl"/>
        </w:rPr>
        <w:t xml:space="preserve">Los costos de los fallos emitidos por el Tribunal Administrativo de la Organización Internacional del Trabajo (TAOIT) en relación con demandas presentadas contra la OMPI durante el período examinado ascendieron aproximadamente a </w:t>
      </w:r>
      <w:r w:rsidR="00431F02" w:rsidRPr="003A2471">
        <w:rPr>
          <w:rFonts w:ascii="Arial" w:hAnsi="Arial" w:cs="Arial"/>
          <w:color w:val="000000"/>
          <w:sz w:val="22"/>
          <w:szCs w:val="22"/>
          <w:lang w:val="es-ES_tradnl"/>
        </w:rPr>
        <w:t>69</w:t>
      </w:r>
      <w:r w:rsidRPr="003A2471">
        <w:rPr>
          <w:rFonts w:ascii="Arial" w:hAnsi="Arial" w:cs="Arial"/>
          <w:color w:val="000000"/>
          <w:sz w:val="22"/>
          <w:szCs w:val="22"/>
          <w:lang w:val="es-ES_tradnl"/>
        </w:rPr>
        <w:t>.</w:t>
      </w:r>
      <w:r w:rsidR="00431F02" w:rsidRPr="003A2471">
        <w:rPr>
          <w:rFonts w:ascii="Arial" w:hAnsi="Arial" w:cs="Arial"/>
          <w:color w:val="000000"/>
          <w:sz w:val="22"/>
          <w:szCs w:val="22"/>
          <w:lang w:val="es-ES_tradnl"/>
        </w:rPr>
        <w:t xml:space="preserve">669 </w:t>
      </w:r>
      <w:r w:rsidRPr="003A2471">
        <w:rPr>
          <w:rFonts w:ascii="Arial" w:hAnsi="Arial" w:cs="Arial"/>
          <w:color w:val="000000"/>
          <w:sz w:val="22"/>
          <w:szCs w:val="22"/>
          <w:lang w:val="es-ES_tradnl"/>
        </w:rPr>
        <w:t>francos suizos</w:t>
      </w:r>
      <w:r w:rsidR="00431F02" w:rsidRPr="003A2471">
        <w:rPr>
          <w:rFonts w:ascii="Arial" w:hAnsi="Arial" w:cs="Arial"/>
          <w:color w:val="000000"/>
          <w:sz w:val="22"/>
          <w:szCs w:val="22"/>
          <w:lang w:val="es-ES_tradnl"/>
        </w:rPr>
        <w:t>.</w:t>
      </w:r>
      <w:r w:rsidR="00431F02" w:rsidRPr="003A2471">
        <w:rPr>
          <w:rFonts w:ascii="Arial" w:hAnsi="Arial" w:cs="Arial"/>
          <w:sz w:val="22"/>
          <w:szCs w:val="22"/>
          <w:vertAlign w:val="superscript"/>
          <w:lang w:val="es-ES_tradnl"/>
        </w:rPr>
        <w:footnoteReference w:id="15"/>
      </w:r>
      <w:r w:rsidR="00431F02" w:rsidRPr="003A2471">
        <w:rPr>
          <w:rFonts w:ascii="Arial" w:hAnsi="Arial" w:cs="Arial"/>
          <w:color w:val="000000"/>
          <w:sz w:val="22"/>
          <w:szCs w:val="22"/>
          <w:lang w:val="es-ES_tradnl"/>
        </w:rPr>
        <w:t xml:space="preserve"> </w:t>
      </w:r>
      <w:r w:rsidRPr="003A2471">
        <w:rPr>
          <w:rFonts w:ascii="Arial" w:hAnsi="Arial" w:cs="Arial"/>
          <w:color w:val="000000"/>
          <w:sz w:val="22"/>
          <w:szCs w:val="22"/>
          <w:lang w:val="es-ES_tradnl"/>
        </w:rPr>
        <w:t>En lo que respecta a las apelaciones presentadas ante la Junta de Apelación de la OMPI</w:t>
      </w:r>
      <w:r w:rsidR="00431F02" w:rsidRPr="003A2471">
        <w:rPr>
          <w:rFonts w:ascii="Arial" w:hAnsi="Arial" w:cs="Arial"/>
          <w:color w:val="000000"/>
          <w:sz w:val="22"/>
          <w:szCs w:val="22"/>
          <w:lang w:val="es-ES_tradnl"/>
        </w:rPr>
        <w:t xml:space="preserve">, </w:t>
      </w:r>
      <w:r w:rsidRPr="003A2471">
        <w:rPr>
          <w:rFonts w:ascii="Arial" w:hAnsi="Arial" w:cs="Arial"/>
          <w:color w:val="000000"/>
          <w:sz w:val="22"/>
          <w:szCs w:val="22"/>
          <w:lang w:val="es-ES_tradnl"/>
        </w:rPr>
        <w:t>el director general decidió asignar un total de 4.</w:t>
      </w:r>
      <w:r w:rsidR="00431F02" w:rsidRPr="003A2471">
        <w:rPr>
          <w:rFonts w:ascii="Arial" w:hAnsi="Arial" w:cs="Arial"/>
          <w:color w:val="000000"/>
          <w:sz w:val="22"/>
          <w:szCs w:val="22"/>
          <w:lang w:val="es-ES_tradnl"/>
        </w:rPr>
        <w:t>400</w:t>
      </w:r>
      <w:r w:rsidRPr="003A2471">
        <w:rPr>
          <w:rFonts w:ascii="Arial" w:hAnsi="Arial" w:cs="Arial"/>
          <w:color w:val="000000"/>
          <w:sz w:val="22"/>
          <w:szCs w:val="22"/>
          <w:lang w:val="es-ES_tradnl"/>
        </w:rPr>
        <w:t xml:space="preserve"> francos suizos en cuatro casos, como compensación por los retrasos de la presentación de las conclusiones de la Junta</w:t>
      </w:r>
      <w:r w:rsidR="00431F02" w:rsidRPr="003A2471">
        <w:rPr>
          <w:rFonts w:ascii="Arial" w:hAnsi="Arial" w:cs="Arial"/>
          <w:color w:val="000000"/>
          <w:sz w:val="22"/>
          <w:szCs w:val="22"/>
          <w:lang w:val="es-ES_tradnl"/>
        </w:rPr>
        <w:t>.</w:t>
      </w:r>
    </w:p>
    <w:p w14:paraId="6E8429C1" w14:textId="3B805C81" w:rsidR="0061138D" w:rsidRPr="003A2471" w:rsidRDefault="00F942F5" w:rsidP="003A2471">
      <w:pPr>
        <w:pStyle w:val="ListParagraph"/>
        <w:numPr>
          <w:ilvl w:val="0"/>
          <w:numId w:val="7"/>
        </w:numPr>
        <w:autoSpaceDE w:val="0"/>
        <w:autoSpaceDN w:val="0"/>
        <w:adjustRightInd w:val="0"/>
        <w:spacing w:after="360"/>
        <w:ind w:left="0" w:firstLine="0"/>
        <w:contextualSpacing w:val="0"/>
        <w:rPr>
          <w:rFonts w:ascii="Arial" w:hAnsi="Arial" w:cs="Arial"/>
          <w:color w:val="000000"/>
          <w:sz w:val="22"/>
          <w:szCs w:val="22"/>
          <w:lang w:val="es-ES_tradnl"/>
        </w:rPr>
      </w:pPr>
      <w:r w:rsidRPr="003A2471">
        <w:rPr>
          <w:rFonts w:ascii="Arial" w:hAnsi="Arial" w:cs="Arial"/>
          <w:color w:val="000000"/>
          <w:sz w:val="22"/>
          <w:szCs w:val="22"/>
          <w:lang w:val="es-ES_tradnl"/>
        </w:rPr>
        <w:t xml:space="preserve">El </w:t>
      </w:r>
      <w:r w:rsidR="00A2727F" w:rsidRPr="003A2471">
        <w:rPr>
          <w:rFonts w:ascii="Arial" w:hAnsi="Arial" w:cs="Arial"/>
          <w:color w:val="000000"/>
          <w:sz w:val="22"/>
          <w:szCs w:val="22"/>
          <w:lang w:val="es-ES_tradnl"/>
        </w:rPr>
        <w:t xml:space="preserve">total de los costos administrativos fijos correspondientes a los casos examinados por el Tribunal Administrativo de la OIT y la Junta de Apelación durante el período objeto de informe ascendió aproximadamente a </w:t>
      </w:r>
      <w:r w:rsidR="00431F02" w:rsidRPr="003A2471">
        <w:rPr>
          <w:rFonts w:ascii="Arial" w:hAnsi="Arial" w:cs="Arial"/>
          <w:color w:val="000000"/>
          <w:sz w:val="22"/>
          <w:szCs w:val="22"/>
          <w:lang w:val="es-ES_tradnl"/>
        </w:rPr>
        <w:t>316</w:t>
      </w:r>
      <w:r w:rsidR="00A2727F" w:rsidRPr="003A2471">
        <w:rPr>
          <w:rFonts w:ascii="Arial" w:hAnsi="Arial" w:cs="Arial"/>
          <w:color w:val="000000"/>
          <w:sz w:val="22"/>
          <w:szCs w:val="22"/>
          <w:lang w:val="es-ES_tradnl"/>
        </w:rPr>
        <w:t>.</w:t>
      </w:r>
      <w:r w:rsidR="00431F02" w:rsidRPr="003A2471">
        <w:rPr>
          <w:rFonts w:ascii="Arial" w:hAnsi="Arial" w:cs="Arial"/>
          <w:color w:val="000000"/>
          <w:sz w:val="22"/>
          <w:szCs w:val="22"/>
          <w:lang w:val="es-ES_tradnl"/>
        </w:rPr>
        <w:t xml:space="preserve">872 </w:t>
      </w:r>
      <w:r w:rsidR="00A2727F" w:rsidRPr="003A2471">
        <w:rPr>
          <w:rFonts w:ascii="Arial" w:hAnsi="Arial" w:cs="Arial"/>
          <w:color w:val="000000"/>
          <w:sz w:val="22"/>
          <w:szCs w:val="22"/>
          <w:lang w:val="es-ES_tradnl"/>
        </w:rPr>
        <w:t xml:space="preserve">francos suizos, desglosados en </w:t>
      </w:r>
      <w:r w:rsidR="00431F02" w:rsidRPr="003A2471">
        <w:rPr>
          <w:rFonts w:ascii="Arial" w:hAnsi="Arial" w:cs="Arial"/>
          <w:color w:val="000000"/>
          <w:sz w:val="22"/>
          <w:szCs w:val="22"/>
          <w:lang w:val="es-ES_tradnl"/>
        </w:rPr>
        <w:t>240</w:t>
      </w:r>
      <w:r w:rsidR="00A2727F" w:rsidRPr="003A2471">
        <w:rPr>
          <w:rFonts w:ascii="Arial" w:hAnsi="Arial" w:cs="Arial"/>
          <w:color w:val="000000"/>
          <w:sz w:val="22"/>
          <w:szCs w:val="22"/>
          <w:lang w:val="es-ES_tradnl"/>
        </w:rPr>
        <w:t>.</w:t>
      </w:r>
      <w:r w:rsidR="00431F02" w:rsidRPr="003A2471">
        <w:rPr>
          <w:rFonts w:ascii="Arial" w:hAnsi="Arial" w:cs="Arial"/>
          <w:color w:val="000000"/>
          <w:sz w:val="22"/>
          <w:szCs w:val="22"/>
          <w:lang w:val="es-ES_tradnl"/>
        </w:rPr>
        <w:t xml:space="preserve">972 </w:t>
      </w:r>
      <w:r w:rsidR="00A2727F" w:rsidRPr="003A2471">
        <w:rPr>
          <w:rFonts w:ascii="Arial" w:hAnsi="Arial" w:cs="Arial"/>
          <w:color w:val="000000"/>
          <w:sz w:val="22"/>
          <w:szCs w:val="22"/>
          <w:lang w:val="es-ES_tradnl"/>
        </w:rPr>
        <w:t>francos suizos correspondientes al Tribunal Administrativo de la OIT y</w:t>
      </w:r>
      <w:r w:rsidR="00431F02" w:rsidRPr="003A2471">
        <w:rPr>
          <w:rFonts w:ascii="Arial" w:hAnsi="Arial" w:cs="Arial"/>
          <w:color w:val="000000"/>
          <w:sz w:val="22"/>
          <w:szCs w:val="22"/>
          <w:lang w:val="es-ES_tradnl"/>
        </w:rPr>
        <w:t xml:space="preserve"> 75</w:t>
      </w:r>
      <w:r w:rsidR="00A2727F" w:rsidRPr="003A2471">
        <w:rPr>
          <w:rFonts w:ascii="Arial" w:hAnsi="Arial" w:cs="Arial"/>
          <w:color w:val="000000"/>
          <w:sz w:val="22"/>
          <w:szCs w:val="22"/>
          <w:lang w:val="es-ES_tradnl"/>
        </w:rPr>
        <w:t>.</w:t>
      </w:r>
      <w:r w:rsidR="00431F02" w:rsidRPr="003A2471">
        <w:rPr>
          <w:rFonts w:ascii="Arial" w:hAnsi="Arial" w:cs="Arial"/>
          <w:color w:val="000000"/>
          <w:sz w:val="22"/>
          <w:szCs w:val="22"/>
          <w:lang w:val="es-ES_tradnl"/>
        </w:rPr>
        <w:t xml:space="preserve">900 </w:t>
      </w:r>
      <w:r w:rsidR="00A2727F" w:rsidRPr="003A2471">
        <w:rPr>
          <w:rFonts w:ascii="Arial" w:hAnsi="Arial" w:cs="Arial"/>
          <w:color w:val="000000"/>
          <w:sz w:val="22"/>
          <w:szCs w:val="22"/>
          <w:lang w:val="es-ES_tradnl"/>
        </w:rPr>
        <w:t xml:space="preserve">francos suizos correspondientes a la Junta de Apelación </w:t>
      </w:r>
      <w:r w:rsidR="00431F02" w:rsidRPr="003A2471">
        <w:rPr>
          <w:rFonts w:ascii="Arial" w:hAnsi="Arial" w:cs="Arial"/>
          <w:color w:val="000000"/>
          <w:sz w:val="22"/>
          <w:szCs w:val="22"/>
          <w:lang w:val="es-ES_tradnl"/>
        </w:rPr>
        <w:t>(</w:t>
      </w:r>
      <w:r w:rsidR="00A2727F" w:rsidRPr="003A2471">
        <w:rPr>
          <w:rFonts w:ascii="Arial" w:hAnsi="Arial" w:cs="Arial"/>
          <w:color w:val="000000"/>
          <w:sz w:val="22"/>
          <w:szCs w:val="22"/>
          <w:lang w:val="es-ES_tradnl"/>
        </w:rPr>
        <w:t>sin contar el costo correspondiente al funcionario P3 que ejerce la función de Secretario de la Junta de Apelación</w:t>
      </w:r>
      <w:r w:rsidR="00431F02" w:rsidRPr="003A2471">
        <w:rPr>
          <w:rFonts w:ascii="Arial" w:hAnsi="Arial" w:cs="Arial"/>
          <w:color w:val="000000"/>
          <w:sz w:val="22"/>
          <w:szCs w:val="22"/>
          <w:lang w:val="es-ES_tradnl"/>
        </w:rPr>
        <w:t>).</w:t>
      </w:r>
      <w:r w:rsidR="00A2727F" w:rsidRPr="003A2471">
        <w:rPr>
          <w:rFonts w:ascii="Arial" w:hAnsi="Arial" w:cs="Arial"/>
          <w:color w:val="000000"/>
          <w:sz w:val="22"/>
          <w:szCs w:val="22"/>
          <w:lang w:val="es-ES_tradnl"/>
        </w:rPr>
        <w:t xml:space="preserve"> Dichos costos</w:t>
      </w:r>
      <w:r w:rsidR="00AB4218" w:rsidRPr="003A2471">
        <w:rPr>
          <w:rFonts w:ascii="Arial" w:hAnsi="Arial" w:cs="Arial"/>
          <w:color w:val="000000"/>
          <w:sz w:val="22"/>
          <w:szCs w:val="22"/>
          <w:lang w:val="es-ES_tradnl"/>
        </w:rPr>
        <w:t xml:space="preserve"> suponen un costo fijo medio de </w:t>
      </w:r>
      <w:r w:rsidR="00A2727F" w:rsidRPr="003A2471">
        <w:rPr>
          <w:rFonts w:ascii="Arial" w:hAnsi="Arial" w:cs="Arial"/>
          <w:color w:val="000000"/>
          <w:sz w:val="22"/>
          <w:szCs w:val="22"/>
          <w:lang w:val="es-ES_tradnl"/>
        </w:rPr>
        <w:t>18.</w:t>
      </w:r>
      <w:r w:rsidR="00431F02" w:rsidRPr="003A2471">
        <w:rPr>
          <w:rFonts w:ascii="Arial" w:hAnsi="Arial" w:cs="Arial"/>
          <w:color w:val="000000"/>
          <w:sz w:val="22"/>
          <w:szCs w:val="22"/>
          <w:lang w:val="es-ES_tradnl"/>
        </w:rPr>
        <w:t>387</w:t>
      </w:r>
      <w:r w:rsidR="00A2727F" w:rsidRPr="003A2471">
        <w:rPr>
          <w:rFonts w:ascii="Arial" w:hAnsi="Arial" w:cs="Arial"/>
          <w:color w:val="000000"/>
          <w:sz w:val="22"/>
          <w:szCs w:val="22"/>
          <w:lang w:val="es-ES_tradnl"/>
        </w:rPr>
        <w:t xml:space="preserve"> francos suizos por sentencia pronunciada por el Trib</w:t>
      </w:r>
      <w:r w:rsidR="00AB4218" w:rsidRPr="003A2471">
        <w:rPr>
          <w:rFonts w:ascii="Arial" w:hAnsi="Arial" w:cs="Arial"/>
          <w:color w:val="000000"/>
          <w:sz w:val="22"/>
          <w:szCs w:val="22"/>
          <w:lang w:val="es-ES_tradnl"/>
        </w:rPr>
        <w:t>unal Administrativo de la OIT y </w:t>
      </w:r>
      <w:r w:rsidR="00A2727F" w:rsidRPr="003A2471">
        <w:rPr>
          <w:rFonts w:ascii="Arial" w:hAnsi="Arial" w:cs="Arial"/>
          <w:color w:val="000000"/>
          <w:sz w:val="22"/>
          <w:szCs w:val="22"/>
          <w:lang w:val="es-ES_tradnl"/>
        </w:rPr>
        <w:t>9.</w:t>
      </w:r>
      <w:r w:rsidR="00431F02" w:rsidRPr="003A2471">
        <w:rPr>
          <w:rFonts w:ascii="Arial" w:hAnsi="Arial" w:cs="Arial"/>
          <w:color w:val="000000"/>
          <w:sz w:val="22"/>
          <w:szCs w:val="22"/>
          <w:lang w:val="es-ES_tradnl"/>
        </w:rPr>
        <w:t xml:space="preserve">487 </w:t>
      </w:r>
      <w:r w:rsidR="00A2727F" w:rsidRPr="003A2471">
        <w:rPr>
          <w:rFonts w:ascii="Arial" w:hAnsi="Arial" w:cs="Arial"/>
          <w:color w:val="000000"/>
          <w:sz w:val="22"/>
          <w:szCs w:val="22"/>
          <w:lang w:val="es-ES_tradnl"/>
        </w:rPr>
        <w:t>francos suizos por conclusión emitida por la Junta de Apelación</w:t>
      </w:r>
      <w:r w:rsidR="00431F02" w:rsidRPr="003A2471">
        <w:rPr>
          <w:rFonts w:ascii="Arial" w:hAnsi="Arial" w:cs="Arial"/>
          <w:color w:val="000000"/>
          <w:sz w:val="22"/>
          <w:szCs w:val="22"/>
          <w:lang w:val="es-ES_tradnl"/>
        </w:rPr>
        <w:t>.</w:t>
      </w:r>
      <w:r w:rsidR="00431F02" w:rsidRPr="003A2471">
        <w:rPr>
          <w:rFonts w:ascii="Arial" w:hAnsi="Arial" w:cs="Arial"/>
          <w:sz w:val="22"/>
          <w:szCs w:val="22"/>
          <w:vertAlign w:val="superscript"/>
          <w:lang w:val="es-ES_tradnl"/>
        </w:rPr>
        <w:footnoteReference w:id="16"/>
      </w:r>
    </w:p>
    <w:p w14:paraId="529281BA" w14:textId="1CF27498" w:rsidR="00431F02" w:rsidRPr="003A2471" w:rsidRDefault="00C34483" w:rsidP="003A2471">
      <w:pPr>
        <w:pStyle w:val="Heading2"/>
        <w:keepNext w:val="0"/>
        <w:spacing w:after="240"/>
        <w:rPr>
          <w:lang w:val="es-ES_tradnl"/>
        </w:rPr>
      </w:pPr>
      <w:r w:rsidRPr="003A2471">
        <w:rPr>
          <w:lang w:val="es-ES_tradnl"/>
        </w:rPr>
        <w:t>modificación</w:t>
      </w:r>
      <w:r w:rsidR="007C4945" w:rsidRPr="003A2471">
        <w:rPr>
          <w:lang w:val="es-ES_tradnl"/>
        </w:rPr>
        <w:t xml:space="preserve"> de las políticas</w:t>
      </w:r>
    </w:p>
    <w:p w14:paraId="45901E8D" w14:textId="136A6D94" w:rsidR="00431F02" w:rsidRPr="003A2471" w:rsidRDefault="00C34483" w:rsidP="003A2471">
      <w:pPr>
        <w:pStyle w:val="ListParagraph"/>
        <w:numPr>
          <w:ilvl w:val="0"/>
          <w:numId w:val="7"/>
        </w:numPr>
        <w:autoSpaceDE w:val="0"/>
        <w:autoSpaceDN w:val="0"/>
        <w:adjustRightInd w:val="0"/>
        <w:spacing w:after="240"/>
        <w:ind w:left="0" w:firstLine="0"/>
        <w:contextualSpacing w:val="0"/>
        <w:rPr>
          <w:rFonts w:ascii="Arial" w:hAnsi="Arial" w:cs="Arial"/>
          <w:color w:val="000000"/>
          <w:sz w:val="22"/>
          <w:szCs w:val="22"/>
          <w:lang w:val="es-ES_tradnl"/>
        </w:rPr>
      </w:pPr>
      <w:r w:rsidRPr="003A2471">
        <w:rPr>
          <w:rFonts w:ascii="Arial" w:hAnsi="Arial" w:cs="Arial"/>
          <w:color w:val="000000"/>
          <w:sz w:val="22"/>
          <w:szCs w:val="22"/>
          <w:lang w:val="es-ES_tradnl"/>
        </w:rPr>
        <w:t>En su sesión anual, celebrada en octubre de 2019, el Comité de Coordinación de la OMPI aprobó las enmiendas al Estatuto del Personal y se le informó de las enmiendas al Reglamento del Personal, que entraron en vigor el 1 de enero de</w:t>
      </w:r>
      <w:r w:rsidR="002738CB" w:rsidRPr="003A2471">
        <w:rPr>
          <w:rFonts w:ascii="Arial" w:hAnsi="Arial" w:cs="Arial"/>
          <w:color w:val="000000"/>
          <w:sz w:val="22"/>
          <w:szCs w:val="22"/>
          <w:lang w:val="es-ES_tradnl"/>
        </w:rPr>
        <w:t xml:space="preserve"> 2020</w:t>
      </w:r>
      <w:r w:rsidR="00431F02" w:rsidRPr="003A2471">
        <w:rPr>
          <w:rFonts w:ascii="Arial" w:hAnsi="Arial" w:cs="Arial"/>
          <w:color w:val="000000"/>
          <w:sz w:val="22"/>
          <w:szCs w:val="22"/>
          <w:lang w:val="es-ES_tradnl"/>
        </w:rPr>
        <w:t>.</w:t>
      </w:r>
      <w:r w:rsidR="00431F02" w:rsidRPr="003A2471">
        <w:rPr>
          <w:rFonts w:ascii="Arial" w:hAnsi="Arial" w:cs="Arial"/>
          <w:sz w:val="22"/>
          <w:szCs w:val="22"/>
          <w:vertAlign w:val="superscript"/>
          <w:lang w:val="es-ES_tradnl"/>
        </w:rPr>
        <w:footnoteReference w:id="17"/>
      </w:r>
    </w:p>
    <w:p w14:paraId="6A35DA9E" w14:textId="203E4B2A" w:rsidR="00431F02" w:rsidRPr="003A2471" w:rsidRDefault="00C34483" w:rsidP="003A2471">
      <w:pPr>
        <w:pStyle w:val="ListParagraph"/>
        <w:numPr>
          <w:ilvl w:val="0"/>
          <w:numId w:val="7"/>
        </w:numPr>
        <w:autoSpaceDE w:val="0"/>
        <w:autoSpaceDN w:val="0"/>
        <w:adjustRightInd w:val="0"/>
        <w:spacing w:after="240"/>
        <w:ind w:left="0" w:firstLine="0"/>
        <w:contextualSpacing w:val="0"/>
        <w:rPr>
          <w:rFonts w:ascii="Arial" w:hAnsi="Arial" w:cs="Arial"/>
          <w:color w:val="000000"/>
          <w:sz w:val="22"/>
          <w:szCs w:val="22"/>
          <w:lang w:val="es-ES_tradnl"/>
        </w:rPr>
      </w:pPr>
      <w:r w:rsidRPr="003A2471">
        <w:rPr>
          <w:rFonts w:ascii="Arial" w:hAnsi="Arial" w:cs="Arial"/>
          <w:color w:val="000000"/>
          <w:sz w:val="22"/>
          <w:szCs w:val="22"/>
          <w:lang w:val="es-ES_tradnl"/>
        </w:rPr>
        <w:t>Como parte de las continuas mejoras en el marco de política de RR.HH., durante el período objeto de informe se publicaron unas 20 órdenes de servicio nuevas o revisadas junto con las comunicaciones generales, en su caso, para asegurar que los miembros del personal entendieran las modificaciones introducidas</w:t>
      </w:r>
      <w:r w:rsidR="00AB4218" w:rsidRPr="003A2471">
        <w:rPr>
          <w:rFonts w:ascii="Arial" w:hAnsi="Arial" w:cs="Arial"/>
          <w:color w:val="000000"/>
          <w:sz w:val="22"/>
          <w:szCs w:val="22"/>
          <w:lang w:val="es-ES_tradnl"/>
        </w:rPr>
        <w:t>.</w:t>
      </w:r>
    </w:p>
    <w:p w14:paraId="3284C978" w14:textId="2570C140" w:rsidR="00431F02" w:rsidRPr="003A2471" w:rsidRDefault="00DA60BD" w:rsidP="003A2471">
      <w:pPr>
        <w:pStyle w:val="ListParagraph"/>
        <w:numPr>
          <w:ilvl w:val="0"/>
          <w:numId w:val="7"/>
        </w:numPr>
        <w:spacing w:after="240"/>
        <w:ind w:left="0" w:firstLine="0"/>
        <w:contextualSpacing w:val="0"/>
        <w:rPr>
          <w:rFonts w:ascii="Arial" w:hAnsi="Arial" w:cs="Arial"/>
          <w:sz w:val="22"/>
          <w:szCs w:val="22"/>
          <w:lang w:val="es-ES_tradnl"/>
        </w:rPr>
      </w:pPr>
      <w:r w:rsidRPr="003A2471">
        <w:rPr>
          <w:rFonts w:ascii="Arial" w:hAnsi="Arial" w:cs="Arial"/>
          <w:sz w:val="22"/>
          <w:szCs w:val="22"/>
          <w:lang w:val="es-ES_tradnl"/>
        </w:rPr>
        <w:t>Concretamente, a fin de animar a los candidatos de diferentes países a que presenten su candidatura en el programa de pasantías, el Programa de Pasantías de la OMPI se modificó, en particular, para prever el pago de gastos de viaje a los nacionales de países en desarrollo, países menos adelantados y países con economías en transición</w:t>
      </w:r>
      <w:r w:rsidR="00431F02" w:rsidRPr="003A2471">
        <w:rPr>
          <w:rFonts w:ascii="Arial" w:hAnsi="Arial" w:cs="Arial"/>
          <w:sz w:val="22"/>
          <w:szCs w:val="22"/>
          <w:lang w:val="es-ES_tradnl"/>
        </w:rPr>
        <w:t>.</w:t>
      </w:r>
    </w:p>
    <w:p w14:paraId="2E68561B" w14:textId="3F8F0750" w:rsidR="00431F02" w:rsidRPr="003A2471" w:rsidRDefault="00B272BB" w:rsidP="003A2471">
      <w:pPr>
        <w:pStyle w:val="ListParagraph"/>
        <w:numPr>
          <w:ilvl w:val="0"/>
          <w:numId w:val="7"/>
        </w:numPr>
        <w:spacing w:after="240"/>
        <w:ind w:left="0" w:firstLine="0"/>
        <w:contextualSpacing w:val="0"/>
        <w:rPr>
          <w:rFonts w:ascii="Arial" w:hAnsi="Arial" w:cs="Arial"/>
          <w:sz w:val="22"/>
          <w:szCs w:val="22"/>
          <w:lang w:val="es-ES_tradnl"/>
        </w:rPr>
      </w:pPr>
      <w:r w:rsidRPr="003A2471">
        <w:rPr>
          <w:rFonts w:ascii="Arial" w:hAnsi="Arial" w:cs="Arial"/>
          <w:sz w:val="22"/>
          <w:szCs w:val="22"/>
          <w:lang w:val="es-ES_tradnl"/>
        </w:rPr>
        <w:t xml:space="preserve">Para impulsar la movilidad interna y el perfeccionamiento </w:t>
      </w:r>
      <w:r w:rsidR="00277198" w:rsidRPr="003A2471">
        <w:rPr>
          <w:rFonts w:ascii="Arial" w:hAnsi="Arial" w:cs="Arial"/>
          <w:sz w:val="22"/>
          <w:szCs w:val="22"/>
          <w:lang w:val="es-ES_tradnl"/>
        </w:rPr>
        <w:t>profesional</w:t>
      </w:r>
      <w:r w:rsidRPr="003A2471">
        <w:rPr>
          <w:rFonts w:ascii="Arial" w:hAnsi="Arial" w:cs="Arial"/>
          <w:sz w:val="22"/>
          <w:szCs w:val="22"/>
          <w:lang w:val="es-ES_tradnl"/>
        </w:rPr>
        <w:t xml:space="preserve">, en febrero de 2020 se puso en </w:t>
      </w:r>
      <w:r w:rsidR="00277198" w:rsidRPr="003A2471">
        <w:rPr>
          <w:rFonts w:ascii="Arial" w:hAnsi="Arial" w:cs="Arial"/>
          <w:sz w:val="22"/>
          <w:szCs w:val="22"/>
          <w:lang w:val="es-ES_tradnl"/>
        </w:rPr>
        <w:t xml:space="preserve">práctica una política con carácter experimental sobre asignaciones temporales </w:t>
      </w:r>
      <w:r w:rsidR="00397266" w:rsidRPr="003A2471">
        <w:rPr>
          <w:rFonts w:ascii="Arial" w:hAnsi="Arial" w:cs="Arial"/>
          <w:sz w:val="22"/>
          <w:szCs w:val="22"/>
          <w:lang w:val="es-ES_tradnl"/>
        </w:rPr>
        <w:t>con respecto a funcionarios con nombramientos de plazo fijo, continuo y permanente</w:t>
      </w:r>
      <w:r w:rsidR="00280B24" w:rsidRPr="003A2471">
        <w:rPr>
          <w:rFonts w:ascii="Arial" w:hAnsi="Arial" w:cs="Arial"/>
          <w:sz w:val="22"/>
          <w:szCs w:val="22"/>
          <w:lang w:val="es-ES_tradnl"/>
        </w:rPr>
        <w:t xml:space="preserve"> (“personal fijo”)</w:t>
      </w:r>
      <w:r w:rsidR="00277198" w:rsidRPr="003A2471">
        <w:rPr>
          <w:rFonts w:ascii="Arial" w:hAnsi="Arial" w:cs="Arial"/>
          <w:sz w:val="22"/>
          <w:szCs w:val="22"/>
          <w:lang w:val="es-ES_tradnl"/>
        </w:rPr>
        <w:t xml:space="preserve">. El proyecto experimental, elaborado a partir de </w:t>
      </w:r>
      <w:r w:rsidR="00280B24" w:rsidRPr="003A2471">
        <w:rPr>
          <w:rFonts w:ascii="Arial" w:hAnsi="Arial" w:cs="Arial"/>
          <w:sz w:val="22"/>
          <w:szCs w:val="22"/>
          <w:lang w:val="es-ES_tradnl"/>
        </w:rPr>
        <w:t xml:space="preserve">las </w:t>
      </w:r>
      <w:r w:rsidR="00277198" w:rsidRPr="003A2471">
        <w:rPr>
          <w:rFonts w:ascii="Arial" w:hAnsi="Arial" w:cs="Arial"/>
          <w:sz w:val="22"/>
          <w:szCs w:val="22"/>
          <w:lang w:val="es-ES_tradnl"/>
        </w:rPr>
        <w:t xml:space="preserve">consultas </w:t>
      </w:r>
      <w:r w:rsidR="00280B24" w:rsidRPr="003A2471">
        <w:rPr>
          <w:rFonts w:ascii="Arial" w:hAnsi="Arial" w:cs="Arial"/>
          <w:sz w:val="22"/>
          <w:szCs w:val="22"/>
          <w:lang w:val="es-ES_tradnl"/>
        </w:rPr>
        <w:t xml:space="preserve">mantenidas </w:t>
      </w:r>
      <w:r w:rsidR="00277198" w:rsidRPr="003A2471">
        <w:rPr>
          <w:rFonts w:ascii="Arial" w:hAnsi="Arial" w:cs="Arial"/>
          <w:sz w:val="22"/>
          <w:szCs w:val="22"/>
          <w:lang w:val="es-ES_tradnl"/>
        </w:rPr>
        <w:t>con el grupo de discusión intersectorial sobre el futuro del trabajo, permite que el personal fijo que cumpl</w:t>
      </w:r>
      <w:r w:rsidR="002F3D22" w:rsidRPr="003A2471">
        <w:rPr>
          <w:rFonts w:ascii="Arial" w:hAnsi="Arial" w:cs="Arial"/>
          <w:sz w:val="22"/>
          <w:szCs w:val="22"/>
          <w:lang w:val="es-ES_tradnl"/>
        </w:rPr>
        <w:t>a</w:t>
      </w:r>
      <w:r w:rsidR="00277198" w:rsidRPr="003A2471">
        <w:rPr>
          <w:rFonts w:ascii="Arial" w:hAnsi="Arial" w:cs="Arial"/>
          <w:sz w:val="22"/>
          <w:szCs w:val="22"/>
          <w:lang w:val="es-ES_tradnl"/>
        </w:rPr>
        <w:t xml:space="preserve"> los criterios necesarios sea asignado temporalmente a determinados puestos temporales y </w:t>
      </w:r>
      <w:r w:rsidR="002F3D22" w:rsidRPr="003A2471">
        <w:rPr>
          <w:rFonts w:ascii="Arial" w:hAnsi="Arial" w:cs="Arial"/>
          <w:sz w:val="22"/>
          <w:szCs w:val="22"/>
          <w:lang w:val="es-ES_tradnl"/>
        </w:rPr>
        <w:t>de plazo fijo</w:t>
      </w:r>
      <w:r w:rsidR="00277198" w:rsidRPr="003A2471">
        <w:rPr>
          <w:rFonts w:ascii="Arial" w:hAnsi="Arial" w:cs="Arial"/>
          <w:sz w:val="22"/>
          <w:szCs w:val="22"/>
          <w:lang w:val="es-ES_tradnl"/>
        </w:rPr>
        <w:t xml:space="preserve">, manteniendo su condición contractual y beneficios y prestaciones conexos, así como el derecho a volver a ocupar el puesto de </w:t>
      </w:r>
      <w:r w:rsidR="00280B24" w:rsidRPr="003A2471">
        <w:rPr>
          <w:rFonts w:ascii="Arial" w:hAnsi="Arial" w:cs="Arial"/>
          <w:sz w:val="22"/>
          <w:szCs w:val="22"/>
          <w:lang w:val="es-ES_tradnl"/>
        </w:rPr>
        <w:t>plazo fijo</w:t>
      </w:r>
      <w:r w:rsidR="00277198" w:rsidRPr="003A2471">
        <w:rPr>
          <w:rFonts w:ascii="Arial" w:hAnsi="Arial" w:cs="Arial"/>
          <w:sz w:val="22"/>
          <w:szCs w:val="22"/>
          <w:lang w:val="es-ES_tradnl"/>
        </w:rPr>
        <w:t xml:space="preserve"> que ocupaban antes de la asignación temporal</w:t>
      </w:r>
      <w:r w:rsidR="00431F02" w:rsidRPr="003A2471">
        <w:rPr>
          <w:rFonts w:ascii="Arial" w:hAnsi="Arial" w:cs="Arial"/>
          <w:sz w:val="22"/>
          <w:szCs w:val="22"/>
          <w:lang w:val="es-ES_tradnl"/>
        </w:rPr>
        <w:t>.</w:t>
      </w:r>
    </w:p>
    <w:p w14:paraId="1365AC58" w14:textId="7B1E9A6C" w:rsidR="00431F02" w:rsidRPr="003A2471" w:rsidRDefault="006B4F8D" w:rsidP="003A2471">
      <w:pPr>
        <w:pStyle w:val="ListParagraph"/>
        <w:numPr>
          <w:ilvl w:val="0"/>
          <w:numId w:val="7"/>
        </w:numPr>
        <w:spacing w:after="240"/>
        <w:ind w:left="0" w:firstLine="0"/>
        <w:contextualSpacing w:val="0"/>
        <w:rPr>
          <w:rFonts w:ascii="Arial" w:eastAsiaTheme="minorHAnsi" w:hAnsi="Arial" w:cs="Arial"/>
          <w:sz w:val="22"/>
          <w:szCs w:val="22"/>
          <w:lang w:val="es-ES_tradnl"/>
        </w:rPr>
      </w:pPr>
      <w:r w:rsidRPr="003A2471">
        <w:rPr>
          <w:rFonts w:ascii="Arial" w:eastAsiaTheme="minorHAnsi" w:hAnsi="Arial" w:cs="Arial"/>
          <w:sz w:val="22"/>
          <w:szCs w:val="22"/>
          <w:lang w:val="es-ES_tradnl"/>
        </w:rPr>
        <w:t xml:space="preserve">Por otra parte, para simplificar los procesos administrativos vinculados con </w:t>
      </w:r>
      <w:r w:rsidR="00683DBC" w:rsidRPr="003A2471">
        <w:rPr>
          <w:rFonts w:ascii="Arial" w:eastAsiaTheme="minorHAnsi" w:hAnsi="Arial" w:cs="Arial"/>
          <w:sz w:val="22"/>
          <w:szCs w:val="22"/>
          <w:lang w:val="es-ES_tradnl"/>
        </w:rPr>
        <w:t>envíos y mudanzas de enseres domésticos y efectos personales, desde agosto de 2019 se ofrece una suma fija a los miembros del personal contratados internacionalmente para que puedan organizar su reinstalación</w:t>
      </w:r>
      <w:r w:rsidR="00280B24" w:rsidRPr="003A2471">
        <w:rPr>
          <w:rFonts w:ascii="Arial" w:eastAsiaTheme="minorHAnsi" w:hAnsi="Arial" w:cs="Arial"/>
          <w:sz w:val="22"/>
          <w:szCs w:val="22"/>
          <w:lang w:val="es-ES_tradnl"/>
        </w:rPr>
        <w:t>,</w:t>
      </w:r>
      <w:r w:rsidR="00683DBC" w:rsidRPr="003A2471">
        <w:rPr>
          <w:rFonts w:ascii="Arial" w:eastAsiaTheme="minorHAnsi" w:hAnsi="Arial" w:cs="Arial"/>
          <w:sz w:val="22"/>
          <w:szCs w:val="22"/>
          <w:lang w:val="es-ES_tradnl"/>
        </w:rPr>
        <w:t xml:space="preserve"> hac</w:t>
      </w:r>
      <w:r w:rsidR="00280B24" w:rsidRPr="003A2471">
        <w:rPr>
          <w:rFonts w:ascii="Arial" w:eastAsiaTheme="minorHAnsi" w:hAnsi="Arial" w:cs="Arial"/>
          <w:sz w:val="22"/>
          <w:szCs w:val="22"/>
          <w:lang w:val="es-ES_tradnl"/>
        </w:rPr>
        <w:t>ia</w:t>
      </w:r>
      <w:r w:rsidR="00683DBC" w:rsidRPr="003A2471">
        <w:rPr>
          <w:rFonts w:ascii="Arial" w:eastAsiaTheme="minorHAnsi" w:hAnsi="Arial" w:cs="Arial"/>
          <w:sz w:val="22"/>
          <w:szCs w:val="22"/>
          <w:lang w:val="es-ES_tradnl"/>
        </w:rPr>
        <w:t xml:space="preserve"> y desde el lugar de destino</w:t>
      </w:r>
      <w:r w:rsidR="00280B24" w:rsidRPr="003A2471">
        <w:rPr>
          <w:rFonts w:ascii="Arial" w:eastAsiaTheme="minorHAnsi" w:hAnsi="Arial" w:cs="Arial"/>
          <w:sz w:val="22"/>
          <w:szCs w:val="22"/>
          <w:lang w:val="es-ES_tradnl"/>
        </w:rPr>
        <w:t>,</w:t>
      </w:r>
      <w:r w:rsidR="00683DBC" w:rsidRPr="003A2471">
        <w:rPr>
          <w:rFonts w:ascii="Arial" w:eastAsiaTheme="minorHAnsi" w:hAnsi="Arial" w:cs="Arial"/>
          <w:sz w:val="22"/>
          <w:szCs w:val="22"/>
          <w:lang w:val="es-ES_tradnl"/>
        </w:rPr>
        <w:t xml:space="preserve"> de la forma que consideren más apropiada. El personal fijo podrá</w:t>
      </w:r>
      <w:r w:rsidR="006A6F71" w:rsidRPr="003A2471">
        <w:rPr>
          <w:rFonts w:ascii="Arial" w:eastAsiaTheme="minorHAnsi" w:hAnsi="Arial" w:cs="Arial"/>
          <w:sz w:val="22"/>
          <w:szCs w:val="22"/>
          <w:lang w:val="es-ES_tradnl"/>
        </w:rPr>
        <w:t xml:space="preserve"> optar por</w:t>
      </w:r>
      <w:r w:rsidR="00683DBC" w:rsidRPr="003A2471">
        <w:rPr>
          <w:rFonts w:ascii="Arial" w:eastAsiaTheme="minorHAnsi" w:hAnsi="Arial" w:cs="Arial"/>
          <w:sz w:val="22"/>
          <w:szCs w:val="22"/>
          <w:lang w:val="es-ES_tradnl"/>
        </w:rPr>
        <w:t xml:space="preserve"> la suma fija correspondiente </w:t>
      </w:r>
      <w:r w:rsidR="006A6F71" w:rsidRPr="003A2471">
        <w:rPr>
          <w:rFonts w:ascii="Arial" w:eastAsiaTheme="minorHAnsi" w:hAnsi="Arial" w:cs="Arial"/>
          <w:sz w:val="22"/>
          <w:szCs w:val="22"/>
          <w:lang w:val="es-ES_tradnl"/>
        </w:rPr>
        <w:t xml:space="preserve">como alternativa a la </w:t>
      </w:r>
      <w:r w:rsidR="00280B24" w:rsidRPr="003A2471">
        <w:rPr>
          <w:rFonts w:ascii="Arial" w:eastAsiaTheme="minorHAnsi" w:hAnsi="Arial" w:cs="Arial"/>
          <w:sz w:val="22"/>
          <w:szCs w:val="22"/>
          <w:lang w:val="es-ES_tradnl"/>
        </w:rPr>
        <w:t>reinstalación</w:t>
      </w:r>
      <w:r w:rsidR="006A6F71" w:rsidRPr="003A2471">
        <w:rPr>
          <w:rFonts w:ascii="Arial" w:eastAsiaTheme="minorHAnsi" w:hAnsi="Arial" w:cs="Arial"/>
          <w:sz w:val="22"/>
          <w:szCs w:val="22"/>
          <w:lang w:val="es-ES_tradnl"/>
        </w:rPr>
        <w:t xml:space="preserve"> con asistencia de la Organización, mientras que en el caso de los funcionarios con nombramiento temporal, la suma fija sustitu</w:t>
      </w:r>
      <w:r w:rsidR="002F3D22" w:rsidRPr="003A2471">
        <w:rPr>
          <w:rFonts w:ascii="Arial" w:eastAsiaTheme="minorHAnsi" w:hAnsi="Arial" w:cs="Arial"/>
          <w:sz w:val="22"/>
          <w:szCs w:val="22"/>
          <w:lang w:val="es-ES_tradnl"/>
        </w:rPr>
        <w:t>irá</w:t>
      </w:r>
      <w:r w:rsidR="006A6F71" w:rsidRPr="003A2471">
        <w:rPr>
          <w:rFonts w:ascii="Arial" w:eastAsiaTheme="minorHAnsi" w:hAnsi="Arial" w:cs="Arial"/>
          <w:sz w:val="22"/>
          <w:szCs w:val="22"/>
          <w:lang w:val="es-ES_tradnl"/>
        </w:rPr>
        <w:t xml:space="preserve"> enteramente a la </w:t>
      </w:r>
      <w:r w:rsidR="00280B24" w:rsidRPr="003A2471">
        <w:rPr>
          <w:rFonts w:ascii="Arial" w:eastAsiaTheme="minorHAnsi" w:hAnsi="Arial" w:cs="Arial"/>
          <w:sz w:val="22"/>
          <w:szCs w:val="22"/>
          <w:lang w:val="es-ES_tradnl"/>
        </w:rPr>
        <w:t>reinstalación</w:t>
      </w:r>
      <w:r w:rsidR="006A6F71" w:rsidRPr="003A2471">
        <w:rPr>
          <w:rFonts w:ascii="Arial" w:eastAsiaTheme="minorHAnsi" w:hAnsi="Arial" w:cs="Arial"/>
          <w:sz w:val="22"/>
          <w:szCs w:val="22"/>
          <w:lang w:val="es-ES_tradnl"/>
        </w:rPr>
        <w:t xml:space="preserve"> con asistencia de la Organización</w:t>
      </w:r>
      <w:r w:rsidR="00431F02" w:rsidRPr="003A2471">
        <w:rPr>
          <w:rFonts w:ascii="Arial" w:eastAsiaTheme="minorHAnsi" w:hAnsi="Arial" w:cs="Arial"/>
          <w:sz w:val="22"/>
          <w:szCs w:val="22"/>
          <w:lang w:val="es-ES_tradnl"/>
        </w:rPr>
        <w:t>.</w:t>
      </w:r>
    </w:p>
    <w:p w14:paraId="68C57891" w14:textId="7CC91134" w:rsidR="00431F02" w:rsidRPr="003A2471" w:rsidRDefault="001350C8" w:rsidP="003A2471">
      <w:pPr>
        <w:pStyle w:val="ListParagraph"/>
        <w:numPr>
          <w:ilvl w:val="0"/>
          <w:numId w:val="7"/>
        </w:numPr>
        <w:spacing w:after="360"/>
        <w:ind w:left="0" w:firstLine="0"/>
        <w:contextualSpacing w:val="0"/>
        <w:rPr>
          <w:rFonts w:ascii="Arial" w:hAnsi="Arial" w:cs="Arial"/>
          <w:sz w:val="22"/>
          <w:szCs w:val="22"/>
          <w:lang w:val="es-ES_tradnl"/>
        </w:rPr>
      </w:pPr>
      <w:r w:rsidRPr="003A2471">
        <w:rPr>
          <w:rFonts w:ascii="Arial" w:hAnsi="Arial" w:cs="Arial"/>
          <w:sz w:val="22"/>
          <w:szCs w:val="22"/>
          <w:lang w:val="es-ES_tradnl"/>
        </w:rPr>
        <w:t>El Manual de RR.HH.</w:t>
      </w:r>
      <w:r w:rsidR="002F3D22" w:rsidRPr="003A2471">
        <w:rPr>
          <w:rFonts w:ascii="Arial" w:hAnsi="Arial" w:cs="Arial"/>
          <w:sz w:val="22"/>
          <w:szCs w:val="22"/>
          <w:lang w:val="es-ES_tradnl"/>
        </w:rPr>
        <w:t>,</w:t>
      </w:r>
      <w:r w:rsidRPr="003A2471">
        <w:rPr>
          <w:rFonts w:ascii="Arial" w:hAnsi="Arial" w:cs="Arial"/>
          <w:sz w:val="22"/>
          <w:szCs w:val="22"/>
          <w:lang w:val="es-ES_tradnl"/>
        </w:rPr>
        <w:t xml:space="preserve"> </w:t>
      </w:r>
      <w:r w:rsidR="002F3D22" w:rsidRPr="003A2471">
        <w:rPr>
          <w:rFonts w:ascii="Arial" w:hAnsi="Arial" w:cs="Arial"/>
          <w:sz w:val="22"/>
          <w:szCs w:val="22"/>
          <w:lang w:val="es-ES_tradnl"/>
        </w:rPr>
        <w:t xml:space="preserve">de formato </w:t>
      </w:r>
      <w:r w:rsidRPr="003A2471">
        <w:rPr>
          <w:rFonts w:ascii="Arial" w:hAnsi="Arial" w:cs="Arial"/>
          <w:sz w:val="22"/>
          <w:szCs w:val="22"/>
          <w:lang w:val="es-ES_tradnl"/>
        </w:rPr>
        <w:t>electrónico</w:t>
      </w:r>
      <w:r w:rsidR="002F3D22" w:rsidRPr="003A2471">
        <w:rPr>
          <w:rFonts w:ascii="Arial" w:hAnsi="Arial" w:cs="Arial"/>
          <w:sz w:val="22"/>
          <w:szCs w:val="22"/>
          <w:lang w:val="es-ES_tradnl"/>
        </w:rPr>
        <w:t>,</w:t>
      </w:r>
      <w:r w:rsidRPr="003A2471">
        <w:rPr>
          <w:rFonts w:ascii="Arial" w:hAnsi="Arial" w:cs="Arial"/>
          <w:sz w:val="22"/>
          <w:szCs w:val="22"/>
          <w:lang w:val="es-ES_tradnl"/>
        </w:rPr>
        <w:t xml:space="preserve"> se actualiza con regularidad para proporcionar a los miembros del personal una visión completa de todas las políticas de RR.HH. de la </w:t>
      </w:r>
      <w:r w:rsidR="002D38B2" w:rsidRPr="003A2471">
        <w:rPr>
          <w:rFonts w:ascii="Arial" w:hAnsi="Arial" w:cs="Arial"/>
          <w:sz w:val="22"/>
          <w:szCs w:val="22"/>
          <w:lang w:val="es-ES_tradnl"/>
        </w:rPr>
        <w:t>OMPI,</w:t>
      </w:r>
      <w:r w:rsidRPr="003A2471">
        <w:rPr>
          <w:rFonts w:ascii="Arial" w:hAnsi="Arial" w:cs="Arial"/>
          <w:sz w:val="22"/>
          <w:szCs w:val="22"/>
          <w:lang w:val="es-ES_tradnl"/>
        </w:rPr>
        <w:t xml:space="preserve"> así como enlaces a las disposiciones administrativas conexas</w:t>
      </w:r>
      <w:r w:rsidR="00431F02" w:rsidRPr="003A2471">
        <w:rPr>
          <w:rFonts w:ascii="Arial" w:hAnsi="Arial" w:cs="Arial"/>
          <w:sz w:val="22"/>
          <w:szCs w:val="22"/>
          <w:lang w:val="es-ES_tradnl"/>
        </w:rPr>
        <w:t>.</w:t>
      </w:r>
    </w:p>
    <w:p w14:paraId="3328121E" w14:textId="11DFBF6A" w:rsidR="00431F02" w:rsidRPr="003A2471" w:rsidRDefault="00F942F5" w:rsidP="003A2471">
      <w:pPr>
        <w:pStyle w:val="Heading1"/>
        <w:keepNext w:val="0"/>
        <w:numPr>
          <w:ilvl w:val="0"/>
          <w:numId w:val="14"/>
        </w:numPr>
        <w:spacing w:before="220" w:after="240"/>
        <w:ind w:left="562" w:hanging="562"/>
        <w:rPr>
          <w:lang w:val="es-ES_tradnl"/>
        </w:rPr>
      </w:pPr>
      <w:r w:rsidRPr="003A2471">
        <w:rPr>
          <w:lang w:val="es-ES_tradnl"/>
        </w:rPr>
        <w:t>PERSPECTIVA PARA</w:t>
      </w:r>
      <w:r w:rsidR="00431F02" w:rsidRPr="003A2471">
        <w:rPr>
          <w:lang w:val="es-ES_tradnl"/>
        </w:rPr>
        <w:t xml:space="preserve"> 2020 – 2021</w:t>
      </w:r>
    </w:p>
    <w:p w14:paraId="30C7C406" w14:textId="391756CB" w:rsidR="00431F02" w:rsidRPr="003A2471" w:rsidRDefault="005621A3" w:rsidP="003A2471">
      <w:pPr>
        <w:pStyle w:val="ListParagraph"/>
        <w:numPr>
          <w:ilvl w:val="0"/>
          <w:numId w:val="7"/>
        </w:numPr>
        <w:spacing w:after="240"/>
        <w:ind w:left="0" w:firstLine="0"/>
        <w:contextualSpacing w:val="0"/>
        <w:rPr>
          <w:rFonts w:ascii="Arial" w:hAnsi="Arial" w:cs="Arial"/>
          <w:sz w:val="22"/>
          <w:szCs w:val="22"/>
          <w:lang w:val="es-ES_tradnl"/>
        </w:rPr>
      </w:pPr>
      <w:r w:rsidRPr="003A2471">
        <w:rPr>
          <w:rFonts w:ascii="Arial" w:hAnsi="Arial" w:cs="Arial"/>
          <w:sz w:val="22"/>
          <w:szCs w:val="22"/>
          <w:lang w:val="es-ES_tradnl"/>
        </w:rPr>
        <w:t>Para el</w:t>
      </w:r>
      <w:r w:rsidR="001350C8" w:rsidRPr="003A2471">
        <w:rPr>
          <w:rFonts w:ascii="Arial" w:hAnsi="Arial" w:cs="Arial"/>
          <w:sz w:val="22"/>
          <w:szCs w:val="22"/>
          <w:lang w:val="es-ES_tradnl"/>
        </w:rPr>
        <w:t xml:space="preserve"> próximo período objeto de informe </w:t>
      </w:r>
      <w:r w:rsidRPr="003A2471">
        <w:rPr>
          <w:rFonts w:ascii="Arial" w:hAnsi="Arial" w:cs="Arial"/>
          <w:sz w:val="22"/>
          <w:szCs w:val="22"/>
          <w:lang w:val="es-ES_tradnl"/>
        </w:rPr>
        <w:t>se plantean</w:t>
      </w:r>
      <w:r w:rsidR="001350C8" w:rsidRPr="003A2471">
        <w:rPr>
          <w:rFonts w:ascii="Arial" w:hAnsi="Arial" w:cs="Arial"/>
          <w:sz w:val="22"/>
          <w:szCs w:val="22"/>
          <w:lang w:val="es-ES_tradnl"/>
        </w:rPr>
        <w:t xml:space="preserve"> nuevas oportunidades y retos</w:t>
      </w:r>
      <w:r w:rsidR="00431F02" w:rsidRPr="003A2471">
        <w:rPr>
          <w:rFonts w:ascii="Arial" w:hAnsi="Arial" w:cs="Arial"/>
          <w:sz w:val="22"/>
          <w:szCs w:val="22"/>
          <w:lang w:val="es-ES_tradnl"/>
        </w:rPr>
        <w:t>.</w:t>
      </w:r>
    </w:p>
    <w:p w14:paraId="7C75885E" w14:textId="19473750" w:rsidR="00431F02" w:rsidRPr="003A2471" w:rsidRDefault="00A267FE" w:rsidP="003A2471">
      <w:pPr>
        <w:pStyle w:val="ListParagraph"/>
        <w:numPr>
          <w:ilvl w:val="0"/>
          <w:numId w:val="7"/>
        </w:numPr>
        <w:spacing w:after="240"/>
        <w:ind w:left="0" w:firstLine="0"/>
        <w:contextualSpacing w:val="0"/>
        <w:rPr>
          <w:rFonts w:ascii="Arial" w:hAnsi="Arial" w:cs="Arial"/>
          <w:sz w:val="22"/>
          <w:szCs w:val="22"/>
          <w:lang w:val="es-ES_tradnl"/>
        </w:rPr>
      </w:pPr>
      <w:r w:rsidRPr="003A2471">
        <w:rPr>
          <w:rFonts w:ascii="Arial" w:hAnsi="Arial" w:cs="Arial"/>
          <w:sz w:val="22"/>
          <w:szCs w:val="22"/>
          <w:lang w:val="es-ES_tradnl"/>
        </w:rPr>
        <w:t>En el marco de la transición hacia un nuevo equipo directivo, será necesario elaborar una nueva estrategia de recursos humanos que guarde conformidad con la dirección programática que tome la Organización en los próximos años</w:t>
      </w:r>
      <w:r w:rsidR="00431F02" w:rsidRPr="003A2471">
        <w:rPr>
          <w:rFonts w:ascii="Arial" w:hAnsi="Arial" w:cs="Arial"/>
          <w:sz w:val="22"/>
          <w:szCs w:val="22"/>
          <w:lang w:val="es-ES_tradnl"/>
        </w:rPr>
        <w:t xml:space="preserve">. </w:t>
      </w:r>
    </w:p>
    <w:p w14:paraId="6D022A2B" w14:textId="5A777F72" w:rsidR="00431F02" w:rsidRPr="003A2471" w:rsidRDefault="00BF020B" w:rsidP="003A2471">
      <w:pPr>
        <w:pStyle w:val="ListParagraph"/>
        <w:numPr>
          <w:ilvl w:val="0"/>
          <w:numId w:val="7"/>
        </w:numPr>
        <w:spacing w:after="240"/>
        <w:ind w:left="0" w:firstLine="0"/>
        <w:contextualSpacing w:val="0"/>
        <w:rPr>
          <w:rFonts w:ascii="Arial" w:hAnsi="Arial" w:cs="Arial"/>
          <w:sz w:val="22"/>
          <w:szCs w:val="22"/>
          <w:lang w:val="es-ES_tradnl"/>
        </w:rPr>
      </w:pPr>
      <w:r w:rsidRPr="003A2471">
        <w:rPr>
          <w:rFonts w:ascii="Arial" w:hAnsi="Arial" w:cs="Arial"/>
          <w:sz w:val="22"/>
          <w:szCs w:val="22"/>
          <w:lang w:val="es-ES_tradnl"/>
        </w:rPr>
        <w:t xml:space="preserve">La evolución de la pandemia de COVID-19 exigirá el mantenimiento de una estrecha y continua vigilancia y capacidad de respuesta para poder asegurar, por una parte, que el personal de la OMPI disponga de un entorno de trabajo seguro, y, por otra, el buen funcionamiento de los servicios de PI que se prestan a los clientes </w:t>
      </w:r>
      <w:r w:rsidR="001E2C80" w:rsidRPr="003A2471">
        <w:rPr>
          <w:rFonts w:ascii="Arial" w:hAnsi="Arial" w:cs="Arial"/>
          <w:sz w:val="22"/>
          <w:szCs w:val="22"/>
          <w:lang w:val="es-ES_tradnl"/>
        </w:rPr>
        <w:t>y sectores</w:t>
      </w:r>
      <w:r w:rsidRPr="003A2471">
        <w:rPr>
          <w:rFonts w:ascii="Arial" w:hAnsi="Arial" w:cs="Arial"/>
          <w:sz w:val="22"/>
          <w:szCs w:val="22"/>
          <w:lang w:val="es-ES_tradnl"/>
        </w:rPr>
        <w:t xml:space="preserve"> interesados </w:t>
      </w:r>
      <w:r w:rsidR="001E2C80" w:rsidRPr="003A2471">
        <w:rPr>
          <w:rFonts w:ascii="Arial" w:hAnsi="Arial" w:cs="Arial"/>
          <w:sz w:val="22"/>
          <w:szCs w:val="22"/>
          <w:lang w:val="es-ES_tradnl"/>
        </w:rPr>
        <w:t>en todo el mundo</w:t>
      </w:r>
      <w:r w:rsidRPr="003A2471">
        <w:rPr>
          <w:rFonts w:ascii="Arial" w:hAnsi="Arial" w:cs="Arial"/>
          <w:sz w:val="22"/>
          <w:szCs w:val="22"/>
          <w:lang w:val="es-ES_tradnl"/>
        </w:rPr>
        <w:t xml:space="preserve">. También será necesario mostrar vigilancia y capacidad de respuesta </w:t>
      </w:r>
      <w:r w:rsidR="009D609F" w:rsidRPr="003A2471">
        <w:rPr>
          <w:rFonts w:ascii="Arial" w:hAnsi="Arial" w:cs="Arial"/>
          <w:sz w:val="22"/>
          <w:szCs w:val="22"/>
          <w:lang w:val="es-ES_tradnl"/>
        </w:rPr>
        <w:t>en lo que respecta a la evolución económica mundial y a la forma en que ésta incide en los ingresos y costos de la OMPI</w:t>
      </w:r>
      <w:r w:rsidR="00431F02" w:rsidRPr="003A2471">
        <w:rPr>
          <w:rFonts w:ascii="Arial" w:hAnsi="Arial" w:cs="Arial"/>
          <w:sz w:val="22"/>
          <w:szCs w:val="22"/>
          <w:lang w:val="es-ES_tradnl"/>
        </w:rPr>
        <w:t>.</w:t>
      </w:r>
    </w:p>
    <w:p w14:paraId="5536CB55" w14:textId="1F7C9413" w:rsidR="00431F02" w:rsidRPr="003A2471" w:rsidRDefault="009D609F" w:rsidP="003A2471">
      <w:pPr>
        <w:pStyle w:val="ListParagraph"/>
        <w:numPr>
          <w:ilvl w:val="0"/>
          <w:numId w:val="7"/>
        </w:numPr>
        <w:spacing w:after="240"/>
        <w:ind w:left="0" w:firstLine="0"/>
        <w:contextualSpacing w:val="0"/>
        <w:rPr>
          <w:rFonts w:ascii="Arial" w:hAnsi="Arial" w:cs="Arial"/>
          <w:sz w:val="22"/>
          <w:szCs w:val="22"/>
          <w:lang w:val="es-ES_tradnl"/>
        </w:rPr>
      </w:pPr>
      <w:r w:rsidRPr="003A2471">
        <w:rPr>
          <w:rFonts w:ascii="Arial" w:hAnsi="Arial" w:cs="Arial"/>
          <w:sz w:val="22"/>
          <w:szCs w:val="22"/>
          <w:lang w:val="es-ES_tradnl"/>
        </w:rPr>
        <w:t>En el grupo de discusión intersectorial sobre el futuro del trabajo ya se han previsto algunos de los cambios que afectarán a la manera en que se prestan los servicios. No obstante, la pandemia sanitaria mundial podría acelerar algunos de esos cambios, y la OMPI tendrá que dar una respuesta adecuada a los mismos</w:t>
      </w:r>
      <w:r w:rsidR="00431F02" w:rsidRPr="003A2471">
        <w:rPr>
          <w:rFonts w:ascii="Arial" w:hAnsi="Arial" w:cs="Arial"/>
          <w:sz w:val="22"/>
          <w:szCs w:val="22"/>
          <w:lang w:val="es-ES_tradnl"/>
        </w:rPr>
        <w:t>.</w:t>
      </w:r>
    </w:p>
    <w:p w14:paraId="2C604866" w14:textId="3CE9A5FC" w:rsidR="00431F02" w:rsidRPr="003A2471" w:rsidRDefault="009A7D59" w:rsidP="003A2471">
      <w:pPr>
        <w:pStyle w:val="ListParagraph"/>
        <w:numPr>
          <w:ilvl w:val="0"/>
          <w:numId w:val="7"/>
        </w:numPr>
        <w:spacing w:after="600"/>
        <w:ind w:left="0" w:firstLine="0"/>
        <w:contextualSpacing w:val="0"/>
        <w:rPr>
          <w:rFonts w:ascii="Arial" w:hAnsi="Arial" w:cs="Arial"/>
          <w:sz w:val="22"/>
          <w:szCs w:val="22"/>
          <w:lang w:val="es-ES_tradnl"/>
        </w:rPr>
      </w:pPr>
      <w:r w:rsidRPr="003A2471">
        <w:rPr>
          <w:rFonts w:ascii="Arial" w:hAnsi="Arial" w:cs="Arial"/>
          <w:sz w:val="22"/>
          <w:szCs w:val="22"/>
          <w:lang w:val="es-ES_tradnl"/>
        </w:rPr>
        <w:t xml:space="preserve">Está en curso la transición a los sistemas de TI basados en la nube. En los próximos años, la transición al sistema de nube se centrará en las tareas administrativas y </w:t>
      </w:r>
      <w:r w:rsidR="002B4B76" w:rsidRPr="003A2471">
        <w:rPr>
          <w:rFonts w:ascii="Arial" w:hAnsi="Arial" w:cs="Arial"/>
          <w:sz w:val="22"/>
          <w:szCs w:val="22"/>
          <w:lang w:val="es-ES_tradnl"/>
        </w:rPr>
        <w:t>servicios conexos, incluida la gestión de los recursos humanos</w:t>
      </w:r>
      <w:r w:rsidR="00431F02" w:rsidRPr="003A2471">
        <w:rPr>
          <w:rFonts w:ascii="Arial" w:hAnsi="Arial" w:cs="Arial"/>
          <w:sz w:val="22"/>
          <w:szCs w:val="22"/>
          <w:lang w:val="es-ES_tradnl"/>
        </w:rPr>
        <w:t>.</w:t>
      </w:r>
    </w:p>
    <w:p w14:paraId="3A44490B" w14:textId="111B1FCF" w:rsidR="00431F02" w:rsidRPr="003A2471" w:rsidRDefault="00431F02" w:rsidP="003A2471">
      <w:pPr>
        <w:pStyle w:val="ListParagraph"/>
        <w:spacing w:after="240"/>
        <w:ind w:left="5530"/>
        <w:contextualSpacing w:val="0"/>
        <w:rPr>
          <w:rFonts w:ascii="Arial" w:hAnsi="Arial" w:cs="Arial"/>
          <w:lang w:val="es-ES_tradnl"/>
        </w:rPr>
      </w:pPr>
      <w:r w:rsidRPr="003A2471">
        <w:rPr>
          <w:rFonts w:ascii="Arial" w:hAnsi="Arial" w:cs="Arial"/>
          <w:sz w:val="22"/>
          <w:szCs w:val="22"/>
          <w:lang w:val="es-ES_tradnl"/>
        </w:rPr>
        <w:t>[Fin del documento]</w:t>
      </w:r>
    </w:p>
    <w:sectPr w:rsidR="00431F02" w:rsidRPr="003A2471" w:rsidSect="00431F02">
      <w:headerReference w:type="default" r:id="rId11"/>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45A6AD" w14:textId="77777777" w:rsidR="00C3145A" w:rsidRDefault="00C3145A">
      <w:r>
        <w:separator/>
      </w:r>
    </w:p>
  </w:endnote>
  <w:endnote w:type="continuationSeparator" w:id="0">
    <w:p w14:paraId="1E65BB0B" w14:textId="77777777" w:rsidR="00C3145A" w:rsidRPr="009D30E6" w:rsidRDefault="00C3145A" w:rsidP="007E663E">
      <w:pPr>
        <w:rPr>
          <w:sz w:val="17"/>
          <w:szCs w:val="17"/>
        </w:rPr>
      </w:pPr>
      <w:r w:rsidRPr="009D30E6">
        <w:rPr>
          <w:sz w:val="17"/>
          <w:szCs w:val="17"/>
        </w:rPr>
        <w:separator/>
      </w:r>
    </w:p>
    <w:p w14:paraId="3FC55BA7" w14:textId="77777777" w:rsidR="00C3145A" w:rsidRPr="007E663E" w:rsidRDefault="00C3145A" w:rsidP="007E663E">
      <w:pPr>
        <w:spacing w:after="60"/>
        <w:rPr>
          <w:sz w:val="17"/>
          <w:szCs w:val="17"/>
        </w:rPr>
      </w:pPr>
      <w:r>
        <w:rPr>
          <w:sz w:val="17"/>
        </w:rPr>
        <w:t>[Continuación de la nota de la página anterior]</w:t>
      </w:r>
    </w:p>
  </w:endnote>
  <w:endnote w:type="continuationNotice" w:id="1">
    <w:p w14:paraId="43ECACE3" w14:textId="77777777" w:rsidR="00C3145A" w:rsidRPr="007E663E" w:rsidRDefault="00C3145A"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781AB1" w14:textId="77777777" w:rsidR="00C3145A" w:rsidRDefault="00C3145A">
      <w:r>
        <w:separator/>
      </w:r>
    </w:p>
  </w:footnote>
  <w:footnote w:type="continuationSeparator" w:id="0">
    <w:p w14:paraId="1FB6AE77" w14:textId="77777777" w:rsidR="00C3145A" w:rsidRPr="009D30E6" w:rsidRDefault="00C3145A" w:rsidP="007E663E">
      <w:pPr>
        <w:rPr>
          <w:sz w:val="17"/>
          <w:szCs w:val="17"/>
        </w:rPr>
      </w:pPr>
      <w:r w:rsidRPr="009D30E6">
        <w:rPr>
          <w:sz w:val="17"/>
          <w:szCs w:val="17"/>
        </w:rPr>
        <w:separator/>
      </w:r>
    </w:p>
    <w:p w14:paraId="3E4FBB7C" w14:textId="77777777" w:rsidR="00C3145A" w:rsidRPr="007E663E" w:rsidRDefault="00C3145A" w:rsidP="007E663E">
      <w:pPr>
        <w:spacing w:after="60"/>
        <w:rPr>
          <w:sz w:val="17"/>
          <w:szCs w:val="17"/>
        </w:rPr>
      </w:pPr>
      <w:r>
        <w:rPr>
          <w:sz w:val="17"/>
        </w:rPr>
        <w:t>[Continuación de la nota de la página anterior]</w:t>
      </w:r>
    </w:p>
  </w:footnote>
  <w:footnote w:type="continuationNotice" w:id="1">
    <w:p w14:paraId="6E7420B0" w14:textId="77777777" w:rsidR="00C3145A" w:rsidRPr="007E663E" w:rsidRDefault="00C3145A" w:rsidP="007E663E">
      <w:pPr>
        <w:spacing w:before="60"/>
        <w:jc w:val="right"/>
        <w:rPr>
          <w:sz w:val="17"/>
          <w:szCs w:val="17"/>
        </w:rPr>
      </w:pPr>
      <w:r w:rsidRPr="007E663E">
        <w:rPr>
          <w:sz w:val="17"/>
          <w:szCs w:val="17"/>
        </w:rPr>
        <w:t>[Sigue la nota en la página siguiente]</w:t>
      </w:r>
    </w:p>
  </w:footnote>
  <w:footnote w:id="2">
    <w:p w14:paraId="2C01FE34" w14:textId="577AFA67" w:rsidR="00B20F55" w:rsidRPr="00152053" w:rsidRDefault="00B20F55" w:rsidP="00431F02">
      <w:pPr>
        <w:pStyle w:val="FootnoteText"/>
        <w:rPr>
          <w:sz w:val="16"/>
          <w:szCs w:val="16"/>
          <w:lang w:val="es-ES_tradnl"/>
        </w:rPr>
      </w:pPr>
      <w:r w:rsidRPr="00821A30">
        <w:rPr>
          <w:rStyle w:val="FootnoteReference"/>
          <w:sz w:val="16"/>
          <w:szCs w:val="16"/>
        </w:rPr>
        <w:footnoteRef/>
      </w:r>
      <w:r w:rsidRPr="00474D5C">
        <w:rPr>
          <w:sz w:val="16"/>
          <w:szCs w:val="16"/>
        </w:rPr>
        <w:t xml:space="preserve"> </w:t>
      </w:r>
      <w:r w:rsidRPr="00474D5C">
        <w:rPr>
          <w:sz w:val="16"/>
          <w:szCs w:val="16"/>
        </w:rPr>
        <w:tab/>
      </w:r>
      <w:r w:rsidRPr="00152053">
        <w:rPr>
          <w:sz w:val="16"/>
          <w:szCs w:val="16"/>
          <w:lang w:val="es-ES_tradnl"/>
        </w:rPr>
        <w:t xml:space="preserve">Véase el documento </w:t>
      </w:r>
      <w:hyperlink r:id="rId1" w:history="1">
        <w:r w:rsidRPr="00152053">
          <w:rPr>
            <w:rStyle w:val="Hyperlink"/>
            <w:sz w:val="16"/>
            <w:szCs w:val="16"/>
            <w:lang w:val="es-ES_tradnl"/>
          </w:rPr>
          <w:t>WO/CC/74/5</w:t>
        </w:r>
      </w:hyperlink>
      <w:r w:rsidRPr="00152053">
        <w:rPr>
          <w:sz w:val="16"/>
          <w:szCs w:val="16"/>
          <w:lang w:val="es-ES_tradnl"/>
        </w:rPr>
        <w:t>.</w:t>
      </w:r>
    </w:p>
  </w:footnote>
  <w:footnote w:id="3">
    <w:p w14:paraId="6381D17A" w14:textId="6F0C7968" w:rsidR="00B20F55" w:rsidRPr="00152053" w:rsidRDefault="00B20F55" w:rsidP="00431F02">
      <w:pPr>
        <w:pStyle w:val="FootnoteText"/>
        <w:rPr>
          <w:szCs w:val="18"/>
          <w:lang w:val="es-ES_tradnl"/>
        </w:rPr>
      </w:pPr>
      <w:r w:rsidRPr="00152053">
        <w:rPr>
          <w:rStyle w:val="FootnoteReference"/>
          <w:sz w:val="16"/>
          <w:szCs w:val="16"/>
          <w:lang w:val="es-ES_tradnl"/>
        </w:rPr>
        <w:footnoteRef/>
      </w:r>
      <w:r w:rsidRPr="00152053">
        <w:rPr>
          <w:sz w:val="16"/>
          <w:szCs w:val="16"/>
          <w:lang w:val="es-ES_tradnl"/>
        </w:rPr>
        <w:t xml:space="preserve"> </w:t>
      </w:r>
      <w:r w:rsidRPr="00152053">
        <w:rPr>
          <w:sz w:val="16"/>
          <w:szCs w:val="16"/>
          <w:lang w:val="es-ES_tradnl"/>
        </w:rPr>
        <w:tab/>
        <w:t xml:space="preserve">El folleto de RR.HH. puede consultarse </w:t>
      </w:r>
      <w:hyperlink r:id="rId2" w:history="1">
        <w:r w:rsidRPr="00152053">
          <w:rPr>
            <w:rStyle w:val="Hyperlink"/>
            <w:sz w:val="16"/>
            <w:szCs w:val="16"/>
            <w:lang w:val="es-ES_tradnl"/>
          </w:rPr>
          <w:t>aquí</w:t>
        </w:r>
      </w:hyperlink>
      <w:bookmarkStart w:id="4" w:name="_GoBack"/>
      <w:bookmarkEnd w:id="4"/>
      <w:r w:rsidRPr="00152053">
        <w:rPr>
          <w:sz w:val="16"/>
          <w:szCs w:val="16"/>
          <w:lang w:val="es-ES_tradnl"/>
        </w:rPr>
        <w:t>.</w:t>
      </w:r>
    </w:p>
  </w:footnote>
  <w:footnote w:id="4">
    <w:p w14:paraId="064E2531" w14:textId="2D6F52B1" w:rsidR="00B20F55" w:rsidRPr="00152053" w:rsidRDefault="00B20F55" w:rsidP="008C5EC6">
      <w:pPr>
        <w:pStyle w:val="FootnoteText"/>
        <w:rPr>
          <w:sz w:val="16"/>
          <w:szCs w:val="16"/>
          <w:lang w:val="es-ES_tradnl"/>
        </w:rPr>
      </w:pPr>
      <w:r w:rsidRPr="00152053">
        <w:rPr>
          <w:rStyle w:val="FootnoteReference"/>
          <w:sz w:val="16"/>
          <w:szCs w:val="16"/>
          <w:lang w:val="es-ES_tradnl"/>
        </w:rPr>
        <w:footnoteRef/>
      </w:r>
      <w:r w:rsidRPr="00152053">
        <w:rPr>
          <w:sz w:val="16"/>
          <w:szCs w:val="16"/>
          <w:lang w:val="es-ES_tradnl"/>
        </w:rPr>
        <w:t xml:space="preserve"> </w:t>
      </w:r>
      <w:r w:rsidRPr="00152053">
        <w:rPr>
          <w:sz w:val="16"/>
          <w:szCs w:val="16"/>
          <w:lang w:val="es-ES_tradnl"/>
        </w:rPr>
        <w:tab/>
        <w:t>En el último período objeto de informe, el número total de empleados era de 1.558 y la proporción entre el componente central de empleados y el flexible era de 70/30.</w:t>
      </w:r>
    </w:p>
  </w:footnote>
  <w:footnote w:id="5">
    <w:p w14:paraId="7EF5838B" w14:textId="3EBEC028" w:rsidR="00B20F55" w:rsidRPr="00152053" w:rsidRDefault="00B20F55" w:rsidP="00431F02">
      <w:pPr>
        <w:pStyle w:val="FootnoteText"/>
        <w:rPr>
          <w:lang w:val="es-ES_tradnl"/>
        </w:rPr>
      </w:pPr>
      <w:r w:rsidRPr="00152053">
        <w:rPr>
          <w:rStyle w:val="FootnoteReference"/>
          <w:sz w:val="16"/>
          <w:szCs w:val="16"/>
          <w:lang w:val="es-ES_tradnl"/>
        </w:rPr>
        <w:footnoteRef/>
      </w:r>
      <w:r w:rsidRPr="00152053">
        <w:rPr>
          <w:sz w:val="16"/>
          <w:szCs w:val="16"/>
          <w:lang w:val="es-ES_tradnl"/>
        </w:rPr>
        <w:t xml:space="preserve"> </w:t>
      </w:r>
      <w:r w:rsidRPr="00152053">
        <w:rPr>
          <w:sz w:val="16"/>
          <w:szCs w:val="16"/>
          <w:lang w:val="es-ES_tradnl"/>
        </w:rPr>
        <w:tab/>
        <w:t xml:space="preserve">Los tableros de control de la gestión de la crisis pueden consultarse </w:t>
      </w:r>
      <w:hyperlink r:id="rId3" w:history="1">
        <w:r w:rsidRPr="00152053">
          <w:rPr>
            <w:rStyle w:val="Hyperlink"/>
            <w:sz w:val="16"/>
            <w:szCs w:val="16"/>
            <w:lang w:val="es-ES_tradnl"/>
          </w:rPr>
          <w:t>aquí</w:t>
        </w:r>
      </w:hyperlink>
      <w:r w:rsidRPr="00152053">
        <w:rPr>
          <w:sz w:val="16"/>
          <w:szCs w:val="16"/>
          <w:lang w:val="es-ES_tradnl"/>
        </w:rPr>
        <w:t>.</w:t>
      </w:r>
    </w:p>
  </w:footnote>
  <w:footnote w:id="6">
    <w:p w14:paraId="2BC454EC" w14:textId="1A36662D" w:rsidR="00B20F55" w:rsidRPr="00152053" w:rsidRDefault="00B20F55" w:rsidP="00431F02">
      <w:pPr>
        <w:pStyle w:val="FootnoteText"/>
        <w:rPr>
          <w:sz w:val="16"/>
          <w:szCs w:val="16"/>
          <w:lang w:val="es-ES_tradnl"/>
        </w:rPr>
      </w:pPr>
      <w:r w:rsidRPr="00152053">
        <w:rPr>
          <w:rStyle w:val="FootnoteReference"/>
          <w:lang w:val="es-ES_tradnl"/>
        </w:rPr>
        <w:footnoteRef/>
      </w:r>
      <w:r w:rsidRPr="00152053">
        <w:rPr>
          <w:lang w:val="es-ES_tradnl"/>
        </w:rPr>
        <w:t xml:space="preserve"> </w:t>
      </w:r>
      <w:r w:rsidRPr="00152053">
        <w:rPr>
          <w:lang w:val="es-ES_tradnl"/>
        </w:rPr>
        <w:tab/>
      </w:r>
      <w:r w:rsidRPr="00152053">
        <w:rPr>
          <w:sz w:val="16"/>
          <w:szCs w:val="16"/>
          <w:lang w:val="es-ES_tradnl"/>
        </w:rPr>
        <w:t>El plan de acción ONU-SWAP pone en práctica la Política para todo el sistema de las Naciones Unidas sobre la Igualdad de Género y el Empoderamiento de las Mujeres, adoptada en 2006 por la JJE.</w:t>
      </w:r>
    </w:p>
  </w:footnote>
  <w:footnote w:id="7">
    <w:p w14:paraId="25FAAB17" w14:textId="3FF3EB49" w:rsidR="00B20F55" w:rsidRPr="00152053" w:rsidRDefault="00B20F55" w:rsidP="00431F02">
      <w:pPr>
        <w:pStyle w:val="FootnoteText"/>
        <w:rPr>
          <w:sz w:val="16"/>
          <w:szCs w:val="16"/>
          <w:lang w:val="es-ES_tradnl"/>
        </w:rPr>
      </w:pPr>
      <w:r w:rsidRPr="00152053">
        <w:rPr>
          <w:rStyle w:val="FootnoteReference"/>
          <w:sz w:val="16"/>
          <w:szCs w:val="16"/>
          <w:lang w:val="es-ES_tradnl"/>
        </w:rPr>
        <w:footnoteRef/>
      </w:r>
      <w:r w:rsidRPr="00152053">
        <w:rPr>
          <w:sz w:val="16"/>
          <w:szCs w:val="16"/>
          <w:lang w:val="es-ES_tradnl"/>
        </w:rPr>
        <w:t xml:space="preserve"> </w:t>
      </w:r>
      <w:r w:rsidRPr="00152053">
        <w:rPr>
          <w:sz w:val="16"/>
          <w:szCs w:val="16"/>
          <w:lang w:val="es-ES_tradnl"/>
        </w:rPr>
        <w:tab/>
        <w:t>En 2019, la OMPI:</w:t>
      </w:r>
    </w:p>
    <w:p w14:paraId="1C826487" w14:textId="04E0DA9A" w:rsidR="00B20F55" w:rsidRPr="00152053" w:rsidRDefault="00B20F55" w:rsidP="00431F02">
      <w:pPr>
        <w:pStyle w:val="FootnoteText"/>
        <w:numPr>
          <w:ilvl w:val="0"/>
          <w:numId w:val="8"/>
        </w:numPr>
        <w:ind w:left="900"/>
        <w:rPr>
          <w:sz w:val="16"/>
          <w:szCs w:val="16"/>
          <w:lang w:val="es-ES_tradnl"/>
        </w:rPr>
      </w:pPr>
      <w:r w:rsidRPr="00152053">
        <w:rPr>
          <w:sz w:val="16"/>
          <w:szCs w:val="16"/>
          <w:lang w:val="es-ES_tradnl"/>
        </w:rPr>
        <w:t>Excede los requisitos de Evaluación</w:t>
      </w:r>
      <w:r>
        <w:rPr>
          <w:sz w:val="16"/>
          <w:szCs w:val="16"/>
          <w:lang w:val="es-ES_tradnl"/>
        </w:rPr>
        <w:t xml:space="preserve"> </w:t>
      </w:r>
      <w:r w:rsidRPr="00152053">
        <w:rPr>
          <w:sz w:val="16"/>
          <w:szCs w:val="16"/>
          <w:lang w:val="es-ES_tradnl"/>
        </w:rPr>
        <w:t>(PI4) y Auditoría</w:t>
      </w:r>
      <w:r>
        <w:rPr>
          <w:sz w:val="16"/>
          <w:szCs w:val="16"/>
          <w:lang w:val="es-ES_tradnl"/>
        </w:rPr>
        <w:t xml:space="preserve"> </w:t>
      </w:r>
      <w:r w:rsidR="00C54F42">
        <w:rPr>
          <w:sz w:val="16"/>
          <w:szCs w:val="16"/>
          <w:lang w:val="es-ES_tradnl"/>
        </w:rPr>
        <w:t>(PI5);</w:t>
      </w:r>
    </w:p>
    <w:p w14:paraId="51575A58" w14:textId="3DCAEFEA" w:rsidR="00B20F55" w:rsidRPr="00152053" w:rsidRDefault="00B20F55" w:rsidP="00431F02">
      <w:pPr>
        <w:pStyle w:val="FootnoteText"/>
        <w:numPr>
          <w:ilvl w:val="0"/>
          <w:numId w:val="8"/>
        </w:numPr>
        <w:ind w:left="900"/>
        <w:rPr>
          <w:sz w:val="16"/>
          <w:szCs w:val="16"/>
          <w:lang w:val="es-ES_tradnl"/>
        </w:rPr>
      </w:pPr>
      <w:r w:rsidRPr="00152053">
        <w:rPr>
          <w:sz w:val="16"/>
          <w:szCs w:val="16"/>
          <w:lang w:val="es-ES_tradnl"/>
        </w:rPr>
        <w:t>Cumple los requisitos de Políticas</w:t>
      </w:r>
      <w:r>
        <w:rPr>
          <w:sz w:val="16"/>
          <w:szCs w:val="16"/>
          <w:lang w:val="es-ES_tradnl"/>
        </w:rPr>
        <w:t xml:space="preserve"> </w:t>
      </w:r>
      <w:r w:rsidRPr="00152053">
        <w:rPr>
          <w:sz w:val="16"/>
          <w:szCs w:val="16"/>
          <w:lang w:val="es-ES_tradnl"/>
        </w:rPr>
        <w:t>(PI6), Liderazgo</w:t>
      </w:r>
      <w:r>
        <w:rPr>
          <w:sz w:val="16"/>
          <w:szCs w:val="16"/>
          <w:lang w:val="es-ES_tradnl"/>
        </w:rPr>
        <w:t xml:space="preserve"> </w:t>
      </w:r>
      <w:r w:rsidRPr="00152053">
        <w:rPr>
          <w:sz w:val="16"/>
          <w:szCs w:val="16"/>
          <w:lang w:val="es-ES_tradnl"/>
        </w:rPr>
        <w:t>(PI7), Gestión del desempeño con perspectiva de género</w:t>
      </w:r>
      <w:r>
        <w:rPr>
          <w:sz w:val="16"/>
          <w:szCs w:val="16"/>
          <w:lang w:val="es-ES_tradnl"/>
        </w:rPr>
        <w:t xml:space="preserve"> </w:t>
      </w:r>
      <w:r w:rsidRPr="00152053">
        <w:rPr>
          <w:sz w:val="16"/>
          <w:szCs w:val="16"/>
          <w:lang w:val="es-ES_tradnl"/>
        </w:rPr>
        <w:t>(PI8)</w:t>
      </w:r>
      <w:r>
        <w:rPr>
          <w:sz w:val="16"/>
          <w:szCs w:val="16"/>
          <w:lang w:val="es-ES_tradnl"/>
        </w:rPr>
        <w:t>, Arquitectura de género (PI11) y</w:t>
      </w:r>
      <w:r w:rsidRPr="00152053">
        <w:rPr>
          <w:sz w:val="16"/>
          <w:szCs w:val="16"/>
          <w:lang w:val="es-ES_tradnl"/>
        </w:rPr>
        <w:t xml:space="preserve"> Cultura organizativa</w:t>
      </w:r>
      <w:r>
        <w:rPr>
          <w:sz w:val="16"/>
          <w:szCs w:val="16"/>
          <w:lang w:val="es-ES_tradnl"/>
        </w:rPr>
        <w:t xml:space="preserve"> </w:t>
      </w:r>
      <w:r w:rsidRPr="00152053">
        <w:rPr>
          <w:sz w:val="16"/>
          <w:szCs w:val="16"/>
          <w:lang w:val="es-ES_tradnl"/>
        </w:rPr>
        <w:t>(PI13);</w:t>
      </w:r>
    </w:p>
    <w:p w14:paraId="1F31D0DD" w14:textId="143DBE8E" w:rsidR="00B20F55" w:rsidRPr="00152053" w:rsidRDefault="00B20F55" w:rsidP="00431F02">
      <w:pPr>
        <w:pStyle w:val="FootnoteText"/>
        <w:numPr>
          <w:ilvl w:val="0"/>
          <w:numId w:val="8"/>
        </w:numPr>
        <w:ind w:left="900"/>
        <w:rPr>
          <w:sz w:val="16"/>
          <w:szCs w:val="16"/>
          <w:lang w:val="es-ES_tradnl"/>
        </w:rPr>
      </w:pPr>
      <w:r w:rsidRPr="00152053">
        <w:rPr>
          <w:sz w:val="16"/>
          <w:szCs w:val="16"/>
          <w:lang w:val="es-ES_tradnl"/>
        </w:rPr>
        <w:t>Se aproxima a los requisitos de seguimiento de los recursos financieros</w:t>
      </w:r>
      <w:r>
        <w:rPr>
          <w:sz w:val="16"/>
          <w:szCs w:val="16"/>
          <w:lang w:val="es-ES_tradnl"/>
        </w:rPr>
        <w:t xml:space="preserve"> </w:t>
      </w:r>
      <w:r w:rsidRPr="00152053">
        <w:rPr>
          <w:sz w:val="16"/>
          <w:szCs w:val="16"/>
          <w:lang w:val="es-ES_tradnl"/>
        </w:rPr>
        <w:t>(PI9), Igualdad de representación de la mujer</w:t>
      </w:r>
      <w:r>
        <w:rPr>
          <w:sz w:val="16"/>
          <w:szCs w:val="16"/>
          <w:lang w:val="es-ES_tradnl"/>
        </w:rPr>
        <w:t xml:space="preserve"> </w:t>
      </w:r>
      <w:r w:rsidRPr="00152053">
        <w:rPr>
          <w:sz w:val="16"/>
          <w:szCs w:val="16"/>
          <w:lang w:val="es-ES_tradnl"/>
        </w:rPr>
        <w:t>(PI12), Evaluación de las capacidades</w:t>
      </w:r>
      <w:r>
        <w:rPr>
          <w:sz w:val="16"/>
          <w:szCs w:val="16"/>
          <w:lang w:val="es-ES_tradnl"/>
        </w:rPr>
        <w:t xml:space="preserve"> </w:t>
      </w:r>
      <w:r w:rsidRPr="00152053">
        <w:rPr>
          <w:sz w:val="16"/>
          <w:szCs w:val="16"/>
          <w:lang w:val="es-ES_tradnl"/>
        </w:rPr>
        <w:t>(PI14), (PI15) Fomento de las capa</w:t>
      </w:r>
      <w:r w:rsidR="00E700FD">
        <w:rPr>
          <w:sz w:val="16"/>
          <w:szCs w:val="16"/>
          <w:lang w:val="es-ES_tradnl"/>
        </w:rPr>
        <w:t>cidades (PI16) Conocimientos y c</w:t>
      </w:r>
      <w:r w:rsidRPr="00152053">
        <w:rPr>
          <w:sz w:val="16"/>
          <w:szCs w:val="16"/>
          <w:lang w:val="es-ES_tradnl"/>
        </w:rPr>
        <w:t>omunicación, y Coherencia</w:t>
      </w:r>
      <w:r>
        <w:rPr>
          <w:sz w:val="16"/>
          <w:szCs w:val="16"/>
          <w:lang w:val="es-ES_tradnl"/>
        </w:rPr>
        <w:t xml:space="preserve"> </w:t>
      </w:r>
      <w:r w:rsidR="00C54F42">
        <w:rPr>
          <w:sz w:val="16"/>
          <w:szCs w:val="16"/>
          <w:lang w:val="es-ES_tradnl"/>
        </w:rPr>
        <w:t>(PI17);</w:t>
      </w:r>
    </w:p>
    <w:p w14:paraId="414410AE" w14:textId="2048F71D" w:rsidR="00B20F55" w:rsidRPr="00152053" w:rsidRDefault="00B20F55" w:rsidP="00460714">
      <w:pPr>
        <w:pStyle w:val="FootnoteText"/>
        <w:numPr>
          <w:ilvl w:val="0"/>
          <w:numId w:val="8"/>
        </w:numPr>
        <w:ind w:left="900"/>
        <w:rPr>
          <w:rFonts w:asciiTheme="minorHAnsi" w:hAnsiTheme="minorHAnsi" w:cstheme="minorHAnsi"/>
          <w:sz w:val="20"/>
          <w:lang w:val="es-ES_tradnl"/>
        </w:rPr>
      </w:pPr>
      <w:r w:rsidRPr="00152053">
        <w:rPr>
          <w:sz w:val="16"/>
          <w:szCs w:val="16"/>
          <w:lang w:val="es-ES_tradnl"/>
        </w:rPr>
        <w:t>Incumple los requisitos de Planificación estratégica de los resultados de los ODS relacionados con el género</w:t>
      </w:r>
      <w:r>
        <w:rPr>
          <w:sz w:val="16"/>
          <w:szCs w:val="16"/>
          <w:lang w:val="es-ES_tradnl"/>
        </w:rPr>
        <w:t xml:space="preserve"> </w:t>
      </w:r>
      <w:r w:rsidRPr="00152053">
        <w:rPr>
          <w:sz w:val="16"/>
          <w:szCs w:val="16"/>
          <w:lang w:val="es-ES_tradnl"/>
        </w:rPr>
        <w:t>(PI1), Presentación de informes sobre los resultados de los ODS relacionados con el género</w:t>
      </w:r>
      <w:r>
        <w:rPr>
          <w:sz w:val="16"/>
          <w:szCs w:val="16"/>
          <w:lang w:val="es-ES_tradnl"/>
        </w:rPr>
        <w:t xml:space="preserve"> </w:t>
      </w:r>
      <w:r w:rsidRPr="00152053">
        <w:rPr>
          <w:sz w:val="16"/>
          <w:szCs w:val="16"/>
          <w:lang w:val="es-ES_tradnl"/>
        </w:rPr>
        <w:t>(PI2) y Asignación de recursos financieros</w:t>
      </w:r>
      <w:r>
        <w:rPr>
          <w:sz w:val="16"/>
          <w:szCs w:val="16"/>
          <w:lang w:val="es-ES_tradnl"/>
        </w:rPr>
        <w:t xml:space="preserve"> </w:t>
      </w:r>
      <w:r w:rsidRPr="00152053">
        <w:rPr>
          <w:sz w:val="16"/>
          <w:szCs w:val="16"/>
          <w:lang w:val="es-ES_tradnl"/>
        </w:rPr>
        <w:t xml:space="preserve">(PI10). No es aplicable el requisito </w:t>
      </w:r>
      <w:r>
        <w:rPr>
          <w:sz w:val="16"/>
          <w:szCs w:val="16"/>
          <w:lang w:val="es-ES_tradnl"/>
        </w:rPr>
        <w:t xml:space="preserve">de </w:t>
      </w:r>
      <w:r w:rsidRPr="00152053">
        <w:rPr>
          <w:sz w:val="16"/>
          <w:szCs w:val="16"/>
          <w:lang w:val="es-ES_tradnl"/>
        </w:rPr>
        <w:t>Resultados programáticos de los ODS relacionados con el género</w:t>
      </w:r>
      <w:r>
        <w:rPr>
          <w:sz w:val="16"/>
          <w:szCs w:val="16"/>
          <w:lang w:val="es-ES_tradnl"/>
        </w:rPr>
        <w:t xml:space="preserve"> </w:t>
      </w:r>
      <w:r w:rsidRPr="00152053">
        <w:rPr>
          <w:sz w:val="16"/>
          <w:szCs w:val="16"/>
          <w:lang w:val="es-ES_tradnl"/>
        </w:rPr>
        <w:t>(PI 3).</w:t>
      </w:r>
    </w:p>
  </w:footnote>
  <w:footnote w:id="8">
    <w:p w14:paraId="6B40A79E" w14:textId="71B3B911" w:rsidR="00B20F55" w:rsidRPr="00152053" w:rsidRDefault="00B20F55" w:rsidP="00431F02">
      <w:pPr>
        <w:pStyle w:val="FootnoteText"/>
        <w:jc w:val="both"/>
        <w:rPr>
          <w:sz w:val="16"/>
          <w:szCs w:val="16"/>
          <w:lang w:val="es-ES_tradnl"/>
        </w:rPr>
      </w:pPr>
      <w:r w:rsidRPr="00152053">
        <w:rPr>
          <w:rStyle w:val="FootnoteReference"/>
          <w:sz w:val="16"/>
          <w:szCs w:val="16"/>
          <w:lang w:val="es-ES_tradnl"/>
        </w:rPr>
        <w:footnoteRef/>
      </w:r>
      <w:r w:rsidRPr="00152053">
        <w:rPr>
          <w:sz w:val="16"/>
          <w:szCs w:val="16"/>
          <w:lang w:val="es-ES_tradnl"/>
        </w:rPr>
        <w:t xml:space="preserve"> </w:t>
      </w:r>
      <w:r w:rsidRPr="00152053">
        <w:rPr>
          <w:sz w:val="16"/>
          <w:szCs w:val="16"/>
          <w:lang w:val="es-ES_tradnl"/>
        </w:rPr>
        <w:tab/>
        <w:t>Personal con contratos de plazo fijo, permanente</w:t>
      </w:r>
      <w:r>
        <w:rPr>
          <w:sz w:val="16"/>
          <w:szCs w:val="16"/>
          <w:lang w:val="es-ES_tradnl"/>
        </w:rPr>
        <w:t>s</w:t>
      </w:r>
      <w:r w:rsidRPr="00152053">
        <w:rPr>
          <w:sz w:val="16"/>
          <w:szCs w:val="16"/>
          <w:lang w:val="es-ES_tradnl"/>
        </w:rPr>
        <w:t xml:space="preserve"> y con nombramiento continuo, en función de la categoría de cada puesto y con cargo al presupuesto ordinario.</w:t>
      </w:r>
    </w:p>
  </w:footnote>
  <w:footnote w:id="9">
    <w:p w14:paraId="2A6B5262" w14:textId="18EC8EF2" w:rsidR="00B20F55" w:rsidRPr="00152053" w:rsidRDefault="00B20F55" w:rsidP="00431F02">
      <w:pPr>
        <w:pStyle w:val="FootnoteText"/>
        <w:rPr>
          <w:sz w:val="16"/>
          <w:szCs w:val="16"/>
          <w:lang w:val="es-ES_tradnl"/>
        </w:rPr>
      </w:pPr>
      <w:r w:rsidRPr="00152053">
        <w:rPr>
          <w:rStyle w:val="FootnoteReference"/>
          <w:sz w:val="16"/>
          <w:szCs w:val="16"/>
          <w:lang w:val="es-ES_tradnl"/>
        </w:rPr>
        <w:footnoteRef/>
      </w:r>
      <w:r w:rsidRPr="00152053">
        <w:rPr>
          <w:sz w:val="16"/>
          <w:szCs w:val="16"/>
          <w:lang w:val="es-ES_tradnl"/>
        </w:rPr>
        <w:t xml:space="preserve"> </w:t>
      </w:r>
      <w:r w:rsidRPr="00152053">
        <w:rPr>
          <w:sz w:val="16"/>
          <w:szCs w:val="16"/>
          <w:lang w:val="es-ES_tradnl"/>
        </w:rPr>
        <w:tab/>
        <w:t xml:space="preserve">Véase el documento </w:t>
      </w:r>
      <w:hyperlink r:id="rId4" w:history="1">
        <w:r w:rsidRPr="00152053">
          <w:rPr>
            <w:rStyle w:val="Hyperlink"/>
            <w:sz w:val="16"/>
            <w:szCs w:val="16"/>
            <w:lang w:val="es-ES_tradnl"/>
          </w:rPr>
          <w:t>A/74/30</w:t>
        </w:r>
      </w:hyperlink>
      <w:r w:rsidR="001C2382">
        <w:rPr>
          <w:sz w:val="16"/>
          <w:szCs w:val="16"/>
          <w:lang w:val="es-ES_tradnl"/>
        </w:rPr>
        <w:t>.</w:t>
      </w:r>
    </w:p>
  </w:footnote>
  <w:footnote w:id="10">
    <w:p w14:paraId="72444859" w14:textId="32F0E18F" w:rsidR="00B20F55" w:rsidRPr="00152053" w:rsidRDefault="00B20F55" w:rsidP="00431F02">
      <w:pPr>
        <w:pStyle w:val="FootnoteText"/>
        <w:rPr>
          <w:sz w:val="16"/>
          <w:szCs w:val="16"/>
          <w:lang w:val="es-ES_tradnl"/>
        </w:rPr>
      </w:pPr>
      <w:r w:rsidRPr="00152053">
        <w:rPr>
          <w:rStyle w:val="FootnoteReference"/>
          <w:sz w:val="16"/>
          <w:szCs w:val="16"/>
          <w:lang w:val="es-ES_tradnl"/>
        </w:rPr>
        <w:footnoteRef/>
      </w:r>
      <w:r w:rsidRPr="00152053">
        <w:rPr>
          <w:sz w:val="16"/>
          <w:szCs w:val="16"/>
          <w:lang w:val="es-ES_tradnl"/>
        </w:rPr>
        <w:t xml:space="preserve"> </w:t>
      </w:r>
      <w:r w:rsidRPr="00152053">
        <w:rPr>
          <w:sz w:val="16"/>
          <w:szCs w:val="16"/>
          <w:lang w:val="es-ES_tradnl"/>
        </w:rPr>
        <w:tab/>
        <w:t xml:space="preserve">Véase el documento </w:t>
      </w:r>
      <w:hyperlink r:id="rId5" w:history="1">
        <w:r w:rsidRPr="00152053">
          <w:rPr>
            <w:rStyle w:val="Hyperlink"/>
            <w:sz w:val="16"/>
            <w:szCs w:val="16"/>
            <w:lang w:val="es-ES_tradnl"/>
          </w:rPr>
          <w:t>A/74/331</w:t>
        </w:r>
      </w:hyperlink>
      <w:r w:rsidRPr="00152053">
        <w:rPr>
          <w:sz w:val="16"/>
          <w:szCs w:val="16"/>
          <w:lang w:val="es-ES_tradnl"/>
        </w:rPr>
        <w:t>.</w:t>
      </w:r>
    </w:p>
  </w:footnote>
  <w:footnote w:id="11">
    <w:p w14:paraId="40987ADD" w14:textId="4CAA6C6F" w:rsidR="00B20F55" w:rsidRPr="00152053" w:rsidRDefault="00B20F55" w:rsidP="00431F02">
      <w:pPr>
        <w:pStyle w:val="FootnoteText"/>
        <w:rPr>
          <w:sz w:val="16"/>
          <w:szCs w:val="16"/>
          <w:lang w:val="es-ES_tradnl"/>
        </w:rPr>
      </w:pPr>
      <w:r w:rsidRPr="00152053">
        <w:rPr>
          <w:rStyle w:val="FootnoteReference"/>
          <w:sz w:val="16"/>
          <w:szCs w:val="16"/>
          <w:lang w:val="es-ES_tradnl"/>
        </w:rPr>
        <w:footnoteRef/>
      </w:r>
      <w:r w:rsidRPr="00152053">
        <w:rPr>
          <w:sz w:val="16"/>
          <w:szCs w:val="16"/>
          <w:lang w:val="es-ES_tradnl"/>
        </w:rPr>
        <w:t xml:space="preserve"> </w:t>
      </w:r>
      <w:r w:rsidRPr="00152053">
        <w:rPr>
          <w:sz w:val="16"/>
          <w:szCs w:val="16"/>
          <w:lang w:val="es-ES_tradnl"/>
        </w:rPr>
        <w:tab/>
        <w:t xml:space="preserve">Véase el documento </w:t>
      </w:r>
      <w:hyperlink r:id="rId6" w:history="1">
        <w:r w:rsidRPr="00152053">
          <w:rPr>
            <w:rStyle w:val="Hyperlink"/>
            <w:sz w:val="16"/>
            <w:szCs w:val="16"/>
            <w:lang w:val="es-ES_tradnl"/>
          </w:rPr>
          <w:t>WO/CC/75/3</w:t>
        </w:r>
      </w:hyperlink>
      <w:r w:rsidRPr="00152053">
        <w:rPr>
          <w:rStyle w:val="Hyperlink"/>
          <w:sz w:val="16"/>
          <w:szCs w:val="16"/>
          <w:lang w:val="es-ES_tradnl"/>
        </w:rPr>
        <w:t>.</w:t>
      </w:r>
    </w:p>
  </w:footnote>
  <w:footnote w:id="12">
    <w:p w14:paraId="34AE45EE" w14:textId="0D0B129B" w:rsidR="00B20F55" w:rsidRPr="00152053" w:rsidRDefault="00B20F55" w:rsidP="00431F02">
      <w:pPr>
        <w:autoSpaceDE w:val="0"/>
        <w:autoSpaceDN w:val="0"/>
        <w:adjustRightInd w:val="0"/>
        <w:rPr>
          <w:sz w:val="16"/>
          <w:szCs w:val="16"/>
          <w:lang w:val="es-ES_tradnl"/>
        </w:rPr>
      </w:pPr>
      <w:r w:rsidRPr="00152053">
        <w:rPr>
          <w:rStyle w:val="FootnoteReference"/>
          <w:sz w:val="16"/>
          <w:szCs w:val="16"/>
          <w:lang w:val="es-ES_tradnl"/>
        </w:rPr>
        <w:footnoteRef/>
      </w:r>
      <w:r w:rsidRPr="00152053">
        <w:rPr>
          <w:sz w:val="16"/>
          <w:szCs w:val="16"/>
          <w:lang w:val="es-ES_tradnl"/>
        </w:rPr>
        <w:t xml:space="preserve"> </w:t>
      </w:r>
      <w:r w:rsidRPr="00152053">
        <w:rPr>
          <w:sz w:val="16"/>
          <w:szCs w:val="16"/>
          <w:lang w:val="es-ES_tradnl"/>
        </w:rPr>
        <w:tab/>
      </w:r>
      <w:r w:rsidRPr="00152053">
        <w:rPr>
          <w:iCs/>
          <w:sz w:val="16"/>
          <w:szCs w:val="16"/>
          <w:lang w:val="es-ES_tradnl"/>
        </w:rPr>
        <w:t xml:space="preserve">Los puestos sujetos a los principios de distribución geográfica son puestos </w:t>
      </w:r>
      <w:r>
        <w:rPr>
          <w:iCs/>
          <w:sz w:val="16"/>
          <w:szCs w:val="16"/>
          <w:lang w:val="es-ES_tradnl"/>
        </w:rPr>
        <w:t xml:space="preserve">del </w:t>
      </w:r>
      <w:r w:rsidRPr="00152053">
        <w:rPr>
          <w:iCs/>
          <w:sz w:val="16"/>
          <w:szCs w:val="16"/>
          <w:lang w:val="es-ES_tradnl"/>
        </w:rPr>
        <w:t>personal en las categorías profesional y superiores, financiados con cargo al presupuesto ordinario, con excepción de los cargos de idiomas y el puesto de director general.</w:t>
      </w:r>
    </w:p>
  </w:footnote>
  <w:footnote w:id="13">
    <w:p w14:paraId="1CBD868B" w14:textId="1AB4A6F8" w:rsidR="00B20F55" w:rsidRPr="00152053" w:rsidRDefault="00B20F55" w:rsidP="00431F02">
      <w:pPr>
        <w:pStyle w:val="FootnoteText"/>
        <w:rPr>
          <w:sz w:val="16"/>
          <w:szCs w:val="16"/>
          <w:lang w:val="es-ES_tradnl"/>
        </w:rPr>
      </w:pPr>
      <w:r w:rsidRPr="00152053">
        <w:rPr>
          <w:rStyle w:val="FootnoteReference"/>
          <w:sz w:val="16"/>
          <w:szCs w:val="16"/>
          <w:lang w:val="es-ES_tradnl"/>
        </w:rPr>
        <w:footnoteRef/>
      </w:r>
      <w:r w:rsidRPr="00152053">
        <w:rPr>
          <w:sz w:val="16"/>
          <w:szCs w:val="16"/>
          <w:lang w:val="es-ES_tradnl"/>
        </w:rPr>
        <w:t xml:space="preserve"> </w:t>
      </w:r>
      <w:r w:rsidRPr="00152053">
        <w:rPr>
          <w:sz w:val="16"/>
          <w:szCs w:val="16"/>
          <w:lang w:val="es-ES_tradnl"/>
        </w:rPr>
        <w:tab/>
        <w:t xml:space="preserve">Véase el documento </w:t>
      </w:r>
      <w:hyperlink r:id="rId7" w:history="1">
        <w:r w:rsidRPr="00152053">
          <w:rPr>
            <w:rStyle w:val="Hyperlink"/>
            <w:sz w:val="16"/>
            <w:szCs w:val="16"/>
            <w:lang w:val="es-ES_tradnl"/>
          </w:rPr>
          <w:t>WO/CC/73/5</w:t>
        </w:r>
      </w:hyperlink>
    </w:p>
  </w:footnote>
  <w:footnote w:id="14">
    <w:p w14:paraId="2DDF3620" w14:textId="619E672F" w:rsidR="00B20F55" w:rsidRPr="00152053" w:rsidRDefault="00B20F55" w:rsidP="00431F02">
      <w:pPr>
        <w:pStyle w:val="FootnoteText"/>
        <w:rPr>
          <w:sz w:val="16"/>
          <w:szCs w:val="16"/>
          <w:lang w:val="es-ES_tradnl"/>
        </w:rPr>
      </w:pPr>
      <w:r w:rsidRPr="00152053">
        <w:rPr>
          <w:rStyle w:val="FootnoteReference"/>
          <w:sz w:val="16"/>
          <w:szCs w:val="16"/>
          <w:lang w:val="es-ES_tradnl"/>
        </w:rPr>
        <w:footnoteRef/>
      </w:r>
      <w:r w:rsidRPr="00152053">
        <w:rPr>
          <w:sz w:val="16"/>
          <w:szCs w:val="16"/>
          <w:lang w:val="es-ES_tradnl"/>
        </w:rPr>
        <w:t xml:space="preserve"> </w:t>
      </w:r>
      <w:r w:rsidRPr="00152053">
        <w:rPr>
          <w:sz w:val="16"/>
          <w:szCs w:val="16"/>
          <w:lang w:val="es-ES_tradnl"/>
        </w:rPr>
        <w:tab/>
        <w:t>Los procedimientos disciplinarios concluidos durante el período objeto de informe comprenden los procedimientos emprendidos contra cuatro miembros del personal durante el mismo período, así como los iniciados durante el anterior período objeto de informe contra un miembro del personal.</w:t>
      </w:r>
    </w:p>
  </w:footnote>
  <w:footnote w:id="15">
    <w:p w14:paraId="672C22DE" w14:textId="222DBB17" w:rsidR="00B20F55" w:rsidRPr="00152053" w:rsidRDefault="00B20F55" w:rsidP="00431F02">
      <w:pPr>
        <w:pStyle w:val="FootnoteText"/>
        <w:tabs>
          <w:tab w:val="left" w:pos="540"/>
        </w:tabs>
        <w:rPr>
          <w:sz w:val="16"/>
          <w:szCs w:val="16"/>
          <w:lang w:val="es-ES_tradnl"/>
        </w:rPr>
      </w:pPr>
      <w:r w:rsidRPr="00152053">
        <w:rPr>
          <w:rStyle w:val="FootnoteReference"/>
          <w:sz w:val="16"/>
          <w:szCs w:val="16"/>
          <w:lang w:val="es-ES_tradnl"/>
        </w:rPr>
        <w:footnoteRef/>
      </w:r>
      <w:r w:rsidRPr="00152053">
        <w:rPr>
          <w:sz w:val="16"/>
          <w:szCs w:val="16"/>
          <w:lang w:val="es-ES_tradnl"/>
        </w:rPr>
        <w:t xml:space="preserve"> </w:t>
      </w:r>
      <w:r w:rsidRPr="00152053">
        <w:rPr>
          <w:sz w:val="16"/>
          <w:szCs w:val="16"/>
          <w:lang w:val="es-ES_tradnl"/>
        </w:rPr>
        <w:tab/>
        <w:t xml:space="preserve">No se cuenta aquí el pago retroactivo de los salarios que la OMPI debía efectuar tras el dictamen de la sentencia Nº 4138 del TAOIT. En dicha sentencia, dictada en julio de 2019 con respecto a las 253 reclamaciones presentadas por el personal que desempeña sus funciones en Ginebra en las categorías profesional y superiores contra la reducción del multiplicador de ajuste por destino, el TAOIT ordenó el pago de la diferencia entre la remuneración que se había pagado a los demandantes desde marzo </w:t>
      </w:r>
      <w:r w:rsidR="00AB4218">
        <w:rPr>
          <w:sz w:val="16"/>
          <w:szCs w:val="16"/>
          <w:lang w:val="es-ES_tradnl"/>
        </w:rPr>
        <w:t>de </w:t>
      </w:r>
      <w:r w:rsidRPr="00152053">
        <w:rPr>
          <w:sz w:val="16"/>
          <w:szCs w:val="16"/>
          <w:lang w:val="es-ES_tradnl"/>
        </w:rPr>
        <w:t xml:space="preserve">2018 y la remuneración que se les habría pagado durante el mismo período, pero, debido a la aplicación de las decisiones de la CAPI, con un interés el 5% por año </w:t>
      </w:r>
      <w:r w:rsidRPr="002738CB">
        <w:rPr>
          <w:sz w:val="16"/>
          <w:szCs w:val="16"/>
          <w:lang w:val="es-ES_tradnl"/>
        </w:rPr>
        <w:t>desde las fechas de vencimiento hasta</w:t>
      </w:r>
      <w:r w:rsidRPr="00152053">
        <w:rPr>
          <w:sz w:val="16"/>
          <w:szCs w:val="16"/>
          <w:lang w:val="es-ES_tradnl"/>
        </w:rPr>
        <w:t xml:space="preserve"> la fecha del pago final.</w:t>
      </w:r>
    </w:p>
  </w:footnote>
  <w:footnote w:id="16">
    <w:p w14:paraId="23429629" w14:textId="70D76BC4" w:rsidR="00B20F55" w:rsidRPr="00152053" w:rsidRDefault="00B20F55" w:rsidP="00431F02">
      <w:pPr>
        <w:pStyle w:val="FootnoteText"/>
        <w:tabs>
          <w:tab w:val="left" w:pos="540"/>
        </w:tabs>
        <w:rPr>
          <w:sz w:val="16"/>
          <w:szCs w:val="16"/>
          <w:lang w:val="es-ES_tradnl"/>
        </w:rPr>
      </w:pPr>
      <w:r w:rsidRPr="00152053">
        <w:rPr>
          <w:rStyle w:val="FootnoteReference"/>
          <w:sz w:val="16"/>
          <w:szCs w:val="16"/>
          <w:lang w:val="es-ES_tradnl"/>
        </w:rPr>
        <w:footnoteRef/>
      </w:r>
      <w:r w:rsidRPr="00152053">
        <w:rPr>
          <w:sz w:val="16"/>
          <w:szCs w:val="16"/>
          <w:lang w:val="es-ES_tradnl"/>
        </w:rPr>
        <w:t xml:space="preserve"> </w:t>
      </w:r>
      <w:r w:rsidRPr="00152053">
        <w:rPr>
          <w:sz w:val="16"/>
          <w:szCs w:val="16"/>
          <w:lang w:val="es-ES_tradnl"/>
        </w:rPr>
        <w:tab/>
        <w:t>Los costos fijos correspondientes a los casos examinados por la Junta de Apelación de la OMPI comprenden: las tasas pagaderas al presidente y al presidente adjunto de la Junta;</w:t>
      </w:r>
      <w:r w:rsidR="002738CB">
        <w:rPr>
          <w:sz w:val="16"/>
          <w:szCs w:val="16"/>
          <w:lang w:val="es-ES_tradnl"/>
        </w:rPr>
        <w:t xml:space="preserve"> los </w:t>
      </w:r>
      <w:r w:rsidRPr="00152053">
        <w:rPr>
          <w:sz w:val="16"/>
          <w:szCs w:val="16"/>
          <w:lang w:val="es-ES_tradnl"/>
        </w:rPr>
        <w:t>gastos de viaje del presidente adjunto</w:t>
      </w:r>
      <w:r w:rsidR="002738CB">
        <w:rPr>
          <w:sz w:val="16"/>
          <w:szCs w:val="16"/>
          <w:lang w:val="es-ES_tradnl"/>
        </w:rPr>
        <w:t>,</w:t>
      </w:r>
      <w:r w:rsidRPr="00152053">
        <w:rPr>
          <w:sz w:val="16"/>
          <w:szCs w:val="16"/>
          <w:lang w:val="es-ES_tradnl"/>
        </w:rPr>
        <w:t xml:space="preserve"> y el costo de los servicios de un trabajador de agencia contratado para brindar apoyo administrativo a la Junta de Apelación.</w:t>
      </w:r>
    </w:p>
  </w:footnote>
  <w:footnote w:id="17">
    <w:p w14:paraId="4C8771DE" w14:textId="0729E56D" w:rsidR="00B20F55" w:rsidRPr="00152053" w:rsidRDefault="00B20F55" w:rsidP="00431F02">
      <w:pPr>
        <w:pStyle w:val="FootnoteText"/>
        <w:tabs>
          <w:tab w:val="left" w:pos="540"/>
        </w:tabs>
        <w:ind w:right="-467"/>
        <w:rPr>
          <w:sz w:val="16"/>
          <w:szCs w:val="16"/>
          <w:lang w:val="es-ES_tradnl"/>
        </w:rPr>
      </w:pPr>
      <w:r w:rsidRPr="00152053">
        <w:rPr>
          <w:rStyle w:val="FootnoteReference"/>
          <w:sz w:val="16"/>
          <w:szCs w:val="16"/>
          <w:lang w:val="es-ES_tradnl"/>
        </w:rPr>
        <w:footnoteRef/>
      </w:r>
      <w:r w:rsidRPr="00152053">
        <w:rPr>
          <w:sz w:val="16"/>
          <w:szCs w:val="16"/>
          <w:lang w:val="es-ES_tradnl"/>
        </w:rPr>
        <w:t xml:space="preserve"> </w:t>
      </w:r>
      <w:r w:rsidRPr="00152053">
        <w:rPr>
          <w:sz w:val="16"/>
          <w:szCs w:val="16"/>
          <w:lang w:val="es-ES_tradnl"/>
        </w:rPr>
        <w:tab/>
        <w:t xml:space="preserve">Véanse los documentos WO/CC/76/1 y WO/CC/76/4 </w:t>
      </w:r>
      <w:r w:rsidR="00AB4218">
        <w:rPr>
          <w:sz w:val="16"/>
          <w:szCs w:val="16"/>
          <w:lang w:val="es-ES_tradnl"/>
        </w:rPr>
        <w:t>correspondientes a</w:t>
      </w:r>
      <w:r w:rsidRPr="00152053">
        <w:rPr>
          <w:sz w:val="16"/>
          <w:szCs w:val="16"/>
          <w:lang w:val="es-ES_tradnl"/>
        </w:rPr>
        <w:t xml:space="preserve"> la </w:t>
      </w:r>
      <w:hyperlink r:id="rId8" w:history="1">
        <w:r w:rsidRPr="00152053">
          <w:rPr>
            <w:rStyle w:val="Hyperlink"/>
            <w:sz w:val="16"/>
            <w:szCs w:val="16"/>
            <w:lang w:val="es-ES_tradnl"/>
          </w:rPr>
          <w:t>Septuagésima sexta sesión (50.º Ordinaria) del Comité de Coordinación de la OMPI</w:t>
        </w:r>
      </w:hyperlink>
      <w:r w:rsidRPr="00152053">
        <w:rPr>
          <w:sz w:val="16"/>
          <w:szCs w:val="16"/>
          <w:lang w:val="es-ES_tradn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82327C" w14:textId="22A6D713" w:rsidR="00B20F55" w:rsidRDefault="00B20F55" w:rsidP="00477D6B">
    <w:pPr>
      <w:jc w:val="right"/>
    </w:pPr>
    <w:bookmarkStart w:id="5" w:name="Code2"/>
    <w:r>
      <w:t>WO/CC/78/INF/1</w:t>
    </w:r>
    <w:r w:rsidR="007409DC">
      <w:t xml:space="preserve"> Rev.</w:t>
    </w:r>
  </w:p>
  <w:bookmarkEnd w:id="5"/>
  <w:p w14:paraId="13D7AC5F" w14:textId="34774EA3" w:rsidR="00B20F55" w:rsidRDefault="00B20F55" w:rsidP="00477D6B">
    <w:pPr>
      <w:jc w:val="right"/>
    </w:pPr>
    <w:r>
      <w:t xml:space="preserve">página </w:t>
    </w:r>
    <w:r>
      <w:fldChar w:fldCharType="begin"/>
    </w:r>
    <w:r>
      <w:instrText xml:space="preserve"> PAGE  \* MERGEFORMAT </w:instrText>
    </w:r>
    <w:r>
      <w:fldChar w:fldCharType="separate"/>
    </w:r>
    <w:r w:rsidR="00D07B73">
      <w:rPr>
        <w:noProof/>
      </w:rPr>
      <w:t>2</w:t>
    </w:r>
    <w:r>
      <w:fldChar w:fldCharType="end"/>
    </w:r>
  </w:p>
  <w:p w14:paraId="53FC6C96" w14:textId="77777777" w:rsidR="00B20F55" w:rsidRDefault="00B20F55" w:rsidP="00477D6B">
    <w:pPr>
      <w:jc w:val="right"/>
    </w:pPr>
  </w:p>
  <w:p w14:paraId="15DE998D" w14:textId="77777777" w:rsidR="00B20F55" w:rsidRDefault="00B20F55"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8DCC6DE4"/>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7E43334"/>
    <w:multiLevelType w:val="hybridMultilevel"/>
    <w:tmpl w:val="05249234"/>
    <w:lvl w:ilvl="0" w:tplc="2E76AEF8">
      <w:numFmt w:val="bullet"/>
      <w:lvlText w:val="-"/>
      <w:lvlJc w:val="left"/>
      <w:pPr>
        <w:ind w:left="720" w:hanging="360"/>
      </w:pPr>
      <w:rPr>
        <w:rFonts w:ascii="Arial" w:eastAsia="Times New Roman"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321B79F8"/>
    <w:multiLevelType w:val="hybridMultilevel"/>
    <w:tmpl w:val="4CB2D7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B782483"/>
    <w:multiLevelType w:val="hybridMultilevel"/>
    <w:tmpl w:val="C6A67976"/>
    <w:lvl w:ilvl="0" w:tplc="3042C074">
      <w:start w:val="1"/>
      <w:numFmt w:val="decimal"/>
      <w:lvlText w:val="%1."/>
      <w:lvlJc w:val="left"/>
      <w:pPr>
        <w:ind w:left="360" w:hanging="360"/>
      </w:pPr>
      <w:rPr>
        <w:rFonts w:ascii="Arial" w:hAnsi="Arial" w:cs="Arial" w:hint="default"/>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C1360CE"/>
    <w:multiLevelType w:val="hybridMultilevel"/>
    <w:tmpl w:val="37006DB8"/>
    <w:lvl w:ilvl="0" w:tplc="B6DA4AF8">
      <w:numFmt w:val="bullet"/>
      <w:lvlText w:val="-"/>
      <w:lvlJc w:val="left"/>
      <w:pPr>
        <w:ind w:left="1287" w:hanging="360"/>
      </w:pPr>
      <w:rPr>
        <w:rFonts w:ascii="Arial" w:eastAsia="Times New Roman" w:hAnsi="Arial" w:cs="Arial" w:hint="default"/>
      </w:rPr>
    </w:lvl>
    <w:lvl w:ilvl="1" w:tplc="04090003">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8" w15:restartNumberingAfterBreak="0">
    <w:nsid w:val="401F39A3"/>
    <w:multiLevelType w:val="hybridMultilevel"/>
    <w:tmpl w:val="AA24D4E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0E83EA8"/>
    <w:multiLevelType w:val="hybridMultilevel"/>
    <w:tmpl w:val="5ADE5018"/>
    <w:lvl w:ilvl="0" w:tplc="0409000F">
      <w:start w:val="46"/>
      <w:numFmt w:val="decimal"/>
      <w:lvlText w:val="%1."/>
      <w:lvlJc w:val="left"/>
      <w:pPr>
        <w:ind w:left="2160" w:hanging="360"/>
      </w:pPr>
      <w:rPr>
        <w:rFonts w:hint="default"/>
      </w:rPr>
    </w:lvl>
    <w:lvl w:ilvl="1" w:tplc="0C0A0017">
      <w:start w:val="1"/>
      <w:numFmt w:val="lowerLetter"/>
      <w:lvlText w:val="%2)"/>
      <w:lvlJc w:val="left"/>
      <w:pPr>
        <w:ind w:left="2880" w:hanging="360"/>
      </w:pPr>
      <w:rPr>
        <w:lang w:val="es-ES"/>
      </w:r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61E7196C"/>
    <w:multiLevelType w:val="hybridMultilevel"/>
    <w:tmpl w:val="EE5E37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E0D043F"/>
    <w:multiLevelType w:val="hybridMultilevel"/>
    <w:tmpl w:val="F56A9A46"/>
    <w:lvl w:ilvl="0" w:tplc="617C369A">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0"/>
  </w:num>
  <w:num w:numId="3">
    <w:abstractNumId w:val="0"/>
  </w:num>
  <w:num w:numId="4">
    <w:abstractNumId w:val="11"/>
  </w:num>
  <w:num w:numId="5">
    <w:abstractNumId w:val="1"/>
  </w:num>
  <w:num w:numId="6">
    <w:abstractNumId w:val="4"/>
  </w:num>
  <w:num w:numId="7">
    <w:abstractNumId w:val="6"/>
  </w:num>
  <w:num w:numId="8">
    <w:abstractNumId w:val="3"/>
  </w:num>
  <w:num w:numId="9">
    <w:abstractNumId w:val="7"/>
  </w:num>
  <w:num w:numId="10">
    <w:abstractNumId w:val="9"/>
  </w:num>
  <w:num w:numId="11">
    <w:abstractNumId w:val="12"/>
  </w:num>
  <w:num w:numId="12">
    <w:abstractNumId w:val="5"/>
  </w:num>
  <w:num w:numId="13">
    <w:abstractNumId w:val="8"/>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6"/>
  <w:activeWritingStyle w:appName="MSWord" w:lang="es-ES" w:vendorID="64" w:dllVersion="131078" w:nlCheck="1" w:checkStyle="0"/>
  <w:activeWritingStyle w:appName="MSWord" w:lang="en-US" w:vendorID="64" w:dllVersion="131078" w:nlCheck="1" w:checkStyle="1"/>
  <w:activeWritingStyle w:appName="MSWord" w:lang="en-GB" w:vendorID="64" w:dllVersion="131078" w:nlCheck="1" w:checkStyle="1"/>
  <w:activeWritingStyle w:appName="MSWord" w:lang="fr-FR" w:vendorID="64" w:dllVersion="131078" w:nlCheck="1" w:checkStyle="1"/>
  <w:activeWritingStyle w:appName="MSWord" w:lang="es-ES_tradnl" w:vendorID="64" w:dllVersion="131078" w:nlCheck="1" w:checkStyle="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1843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1F02"/>
    <w:rsid w:val="0000659B"/>
    <w:rsid w:val="00010686"/>
    <w:rsid w:val="00011F04"/>
    <w:rsid w:val="00011FBF"/>
    <w:rsid w:val="000179B8"/>
    <w:rsid w:val="00025991"/>
    <w:rsid w:val="0003735A"/>
    <w:rsid w:val="000446BA"/>
    <w:rsid w:val="00052915"/>
    <w:rsid w:val="0005629B"/>
    <w:rsid w:val="00060821"/>
    <w:rsid w:val="0006100A"/>
    <w:rsid w:val="000758DA"/>
    <w:rsid w:val="00077EB1"/>
    <w:rsid w:val="00085BA3"/>
    <w:rsid w:val="00097F1F"/>
    <w:rsid w:val="000A755E"/>
    <w:rsid w:val="000C093F"/>
    <w:rsid w:val="000C2032"/>
    <w:rsid w:val="000E16BE"/>
    <w:rsid w:val="000E3BB3"/>
    <w:rsid w:val="000F5E56"/>
    <w:rsid w:val="001027D7"/>
    <w:rsid w:val="001350C8"/>
    <w:rsid w:val="001362EE"/>
    <w:rsid w:val="00136F82"/>
    <w:rsid w:val="00145FB2"/>
    <w:rsid w:val="00147549"/>
    <w:rsid w:val="001479F9"/>
    <w:rsid w:val="00152053"/>
    <w:rsid w:val="00152CEA"/>
    <w:rsid w:val="00154957"/>
    <w:rsid w:val="0016164D"/>
    <w:rsid w:val="001637DC"/>
    <w:rsid w:val="001832A6"/>
    <w:rsid w:val="00192931"/>
    <w:rsid w:val="00193C59"/>
    <w:rsid w:val="001A212F"/>
    <w:rsid w:val="001A7800"/>
    <w:rsid w:val="001C2382"/>
    <w:rsid w:val="001C3EF0"/>
    <w:rsid w:val="001C486F"/>
    <w:rsid w:val="001D4A43"/>
    <w:rsid w:val="001E1326"/>
    <w:rsid w:val="001E2C80"/>
    <w:rsid w:val="001E41D1"/>
    <w:rsid w:val="00200111"/>
    <w:rsid w:val="0020088C"/>
    <w:rsid w:val="00213451"/>
    <w:rsid w:val="00215350"/>
    <w:rsid w:val="00217910"/>
    <w:rsid w:val="00224283"/>
    <w:rsid w:val="00226A8C"/>
    <w:rsid w:val="002378CB"/>
    <w:rsid w:val="00241DF0"/>
    <w:rsid w:val="00247B77"/>
    <w:rsid w:val="0025349F"/>
    <w:rsid w:val="0025386A"/>
    <w:rsid w:val="00256929"/>
    <w:rsid w:val="002634C4"/>
    <w:rsid w:val="002642EB"/>
    <w:rsid w:val="002656B2"/>
    <w:rsid w:val="00266D1F"/>
    <w:rsid w:val="00266E02"/>
    <w:rsid w:val="002738CB"/>
    <w:rsid w:val="00277198"/>
    <w:rsid w:val="00280B24"/>
    <w:rsid w:val="002812EF"/>
    <w:rsid w:val="00281CD8"/>
    <w:rsid w:val="0028582B"/>
    <w:rsid w:val="00293753"/>
    <w:rsid w:val="00294290"/>
    <w:rsid w:val="002A53F6"/>
    <w:rsid w:val="002B4B76"/>
    <w:rsid w:val="002C2E2F"/>
    <w:rsid w:val="002D2D41"/>
    <w:rsid w:val="002D38B2"/>
    <w:rsid w:val="002D619D"/>
    <w:rsid w:val="002D700F"/>
    <w:rsid w:val="002E0E16"/>
    <w:rsid w:val="002E0F47"/>
    <w:rsid w:val="002E64EB"/>
    <w:rsid w:val="002F3D22"/>
    <w:rsid w:val="002F4E68"/>
    <w:rsid w:val="0030355D"/>
    <w:rsid w:val="00305C54"/>
    <w:rsid w:val="00310826"/>
    <w:rsid w:val="003143DA"/>
    <w:rsid w:val="00315456"/>
    <w:rsid w:val="003249BC"/>
    <w:rsid w:val="003255E2"/>
    <w:rsid w:val="0032621E"/>
    <w:rsid w:val="0032783F"/>
    <w:rsid w:val="00354647"/>
    <w:rsid w:val="00367049"/>
    <w:rsid w:val="00377273"/>
    <w:rsid w:val="00381DC2"/>
    <w:rsid w:val="003845C1"/>
    <w:rsid w:val="003848E1"/>
    <w:rsid w:val="00387287"/>
    <w:rsid w:val="003966FF"/>
    <w:rsid w:val="00397266"/>
    <w:rsid w:val="003A2471"/>
    <w:rsid w:val="003A7A5B"/>
    <w:rsid w:val="003B1456"/>
    <w:rsid w:val="003C1560"/>
    <w:rsid w:val="003C4686"/>
    <w:rsid w:val="003E3A74"/>
    <w:rsid w:val="003E48F1"/>
    <w:rsid w:val="003F214B"/>
    <w:rsid w:val="003F347A"/>
    <w:rsid w:val="003F5597"/>
    <w:rsid w:val="003F7821"/>
    <w:rsid w:val="00406833"/>
    <w:rsid w:val="0040725B"/>
    <w:rsid w:val="00420A82"/>
    <w:rsid w:val="00423E3E"/>
    <w:rsid w:val="00427AF4"/>
    <w:rsid w:val="00431F02"/>
    <w:rsid w:val="0045231F"/>
    <w:rsid w:val="00460714"/>
    <w:rsid w:val="00461A3B"/>
    <w:rsid w:val="00463C2F"/>
    <w:rsid w:val="0046421C"/>
    <w:rsid w:val="004647DA"/>
    <w:rsid w:val="0046793F"/>
    <w:rsid w:val="00467E45"/>
    <w:rsid w:val="00472A6E"/>
    <w:rsid w:val="00473E3C"/>
    <w:rsid w:val="00474D5C"/>
    <w:rsid w:val="00477808"/>
    <w:rsid w:val="00477D6B"/>
    <w:rsid w:val="00484ACF"/>
    <w:rsid w:val="00485D7C"/>
    <w:rsid w:val="00491166"/>
    <w:rsid w:val="00492DA4"/>
    <w:rsid w:val="004946F4"/>
    <w:rsid w:val="004A6C37"/>
    <w:rsid w:val="004B2B50"/>
    <w:rsid w:val="004B4E16"/>
    <w:rsid w:val="004C2FAC"/>
    <w:rsid w:val="004C31B8"/>
    <w:rsid w:val="004C5995"/>
    <w:rsid w:val="004E297D"/>
    <w:rsid w:val="004E7363"/>
    <w:rsid w:val="00506AF2"/>
    <w:rsid w:val="005146E5"/>
    <w:rsid w:val="005149BF"/>
    <w:rsid w:val="00524E45"/>
    <w:rsid w:val="00531B02"/>
    <w:rsid w:val="005332F0"/>
    <w:rsid w:val="00544395"/>
    <w:rsid w:val="0055013B"/>
    <w:rsid w:val="00551503"/>
    <w:rsid w:val="00551F6F"/>
    <w:rsid w:val="005531DF"/>
    <w:rsid w:val="00554175"/>
    <w:rsid w:val="005621A3"/>
    <w:rsid w:val="00571B99"/>
    <w:rsid w:val="005A1ECC"/>
    <w:rsid w:val="005A3088"/>
    <w:rsid w:val="005A3227"/>
    <w:rsid w:val="005A6626"/>
    <w:rsid w:val="005A7F02"/>
    <w:rsid w:val="005A7F09"/>
    <w:rsid w:val="005B5769"/>
    <w:rsid w:val="005C3E97"/>
    <w:rsid w:val="005C67C0"/>
    <w:rsid w:val="005D45FD"/>
    <w:rsid w:val="005D4BC4"/>
    <w:rsid w:val="005E251A"/>
    <w:rsid w:val="005E4EB7"/>
    <w:rsid w:val="005F12AC"/>
    <w:rsid w:val="005F14F4"/>
    <w:rsid w:val="00605827"/>
    <w:rsid w:val="006061B2"/>
    <w:rsid w:val="0061138D"/>
    <w:rsid w:val="00616B94"/>
    <w:rsid w:val="00621BDB"/>
    <w:rsid w:val="00644A1B"/>
    <w:rsid w:val="00656529"/>
    <w:rsid w:val="006650D5"/>
    <w:rsid w:val="00665ABC"/>
    <w:rsid w:val="00674CA2"/>
    <w:rsid w:val="00675021"/>
    <w:rsid w:val="00683DBC"/>
    <w:rsid w:val="006848CD"/>
    <w:rsid w:val="006A06C6"/>
    <w:rsid w:val="006A1C06"/>
    <w:rsid w:val="006A1F3C"/>
    <w:rsid w:val="006A3AFD"/>
    <w:rsid w:val="006A6F71"/>
    <w:rsid w:val="006B4F8D"/>
    <w:rsid w:val="006B5EFB"/>
    <w:rsid w:val="006C5316"/>
    <w:rsid w:val="006D1FED"/>
    <w:rsid w:val="006E15E5"/>
    <w:rsid w:val="006E48B6"/>
    <w:rsid w:val="006F43F6"/>
    <w:rsid w:val="006F4CE5"/>
    <w:rsid w:val="0070598A"/>
    <w:rsid w:val="007224C8"/>
    <w:rsid w:val="00725DDF"/>
    <w:rsid w:val="00726F56"/>
    <w:rsid w:val="00731738"/>
    <w:rsid w:val="007409DC"/>
    <w:rsid w:val="007716C2"/>
    <w:rsid w:val="00774A76"/>
    <w:rsid w:val="00783F1C"/>
    <w:rsid w:val="00786EB0"/>
    <w:rsid w:val="00794BE2"/>
    <w:rsid w:val="007962D1"/>
    <w:rsid w:val="00797441"/>
    <w:rsid w:val="007A5581"/>
    <w:rsid w:val="007A60B7"/>
    <w:rsid w:val="007B4AC7"/>
    <w:rsid w:val="007B64C6"/>
    <w:rsid w:val="007B67B3"/>
    <w:rsid w:val="007B71FE"/>
    <w:rsid w:val="007C0E8B"/>
    <w:rsid w:val="007C1B2B"/>
    <w:rsid w:val="007C4945"/>
    <w:rsid w:val="007D012E"/>
    <w:rsid w:val="007D781E"/>
    <w:rsid w:val="007E663E"/>
    <w:rsid w:val="007E66EB"/>
    <w:rsid w:val="007F13BB"/>
    <w:rsid w:val="007F36E0"/>
    <w:rsid w:val="007F6EB5"/>
    <w:rsid w:val="00810792"/>
    <w:rsid w:val="00814CF7"/>
    <w:rsid w:val="00815082"/>
    <w:rsid w:val="0081633A"/>
    <w:rsid w:val="00824FC5"/>
    <w:rsid w:val="008333AF"/>
    <w:rsid w:val="008436AE"/>
    <w:rsid w:val="00853FEF"/>
    <w:rsid w:val="00854175"/>
    <w:rsid w:val="00854E94"/>
    <w:rsid w:val="00860A41"/>
    <w:rsid w:val="00875C70"/>
    <w:rsid w:val="0088395E"/>
    <w:rsid w:val="008B2CC1"/>
    <w:rsid w:val="008B5C0B"/>
    <w:rsid w:val="008B6EDD"/>
    <w:rsid w:val="008C5EC6"/>
    <w:rsid w:val="008C67D5"/>
    <w:rsid w:val="008C6E17"/>
    <w:rsid w:val="008E3015"/>
    <w:rsid w:val="008E6BD6"/>
    <w:rsid w:val="008F4B54"/>
    <w:rsid w:val="00902CCB"/>
    <w:rsid w:val="00904C29"/>
    <w:rsid w:val="0090731E"/>
    <w:rsid w:val="00911244"/>
    <w:rsid w:val="00913486"/>
    <w:rsid w:val="0093354C"/>
    <w:rsid w:val="009360D0"/>
    <w:rsid w:val="00940733"/>
    <w:rsid w:val="00946952"/>
    <w:rsid w:val="0096340A"/>
    <w:rsid w:val="00963B2A"/>
    <w:rsid w:val="00965101"/>
    <w:rsid w:val="00966A22"/>
    <w:rsid w:val="00972F03"/>
    <w:rsid w:val="0097616D"/>
    <w:rsid w:val="0098367F"/>
    <w:rsid w:val="009839C0"/>
    <w:rsid w:val="00983FC6"/>
    <w:rsid w:val="00990ACC"/>
    <w:rsid w:val="009A0C8B"/>
    <w:rsid w:val="009A1266"/>
    <w:rsid w:val="009A20CD"/>
    <w:rsid w:val="009A7D59"/>
    <w:rsid w:val="009B6241"/>
    <w:rsid w:val="009C050A"/>
    <w:rsid w:val="009C7315"/>
    <w:rsid w:val="009D256E"/>
    <w:rsid w:val="009D2C30"/>
    <w:rsid w:val="009D609F"/>
    <w:rsid w:val="009E30DD"/>
    <w:rsid w:val="009E6E76"/>
    <w:rsid w:val="009E7A72"/>
    <w:rsid w:val="009F5626"/>
    <w:rsid w:val="00A07120"/>
    <w:rsid w:val="00A169A6"/>
    <w:rsid w:val="00A16FC0"/>
    <w:rsid w:val="00A241DE"/>
    <w:rsid w:val="00A267FE"/>
    <w:rsid w:val="00A2727F"/>
    <w:rsid w:val="00A32C9E"/>
    <w:rsid w:val="00A46B09"/>
    <w:rsid w:val="00A5216F"/>
    <w:rsid w:val="00A6003B"/>
    <w:rsid w:val="00A7302C"/>
    <w:rsid w:val="00AA1BAB"/>
    <w:rsid w:val="00AA3611"/>
    <w:rsid w:val="00AB4218"/>
    <w:rsid w:val="00AB613D"/>
    <w:rsid w:val="00AD2FC9"/>
    <w:rsid w:val="00AD5375"/>
    <w:rsid w:val="00AE176C"/>
    <w:rsid w:val="00AE23D9"/>
    <w:rsid w:val="00AE7F20"/>
    <w:rsid w:val="00AF3DB7"/>
    <w:rsid w:val="00AF5620"/>
    <w:rsid w:val="00AF61F5"/>
    <w:rsid w:val="00B04E05"/>
    <w:rsid w:val="00B20F55"/>
    <w:rsid w:val="00B272BB"/>
    <w:rsid w:val="00B27F72"/>
    <w:rsid w:val="00B344F6"/>
    <w:rsid w:val="00B357C4"/>
    <w:rsid w:val="00B43D50"/>
    <w:rsid w:val="00B47A16"/>
    <w:rsid w:val="00B47A37"/>
    <w:rsid w:val="00B53214"/>
    <w:rsid w:val="00B534D5"/>
    <w:rsid w:val="00B65A0A"/>
    <w:rsid w:val="00B67CDC"/>
    <w:rsid w:val="00B67EE2"/>
    <w:rsid w:val="00B72D36"/>
    <w:rsid w:val="00B811A7"/>
    <w:rsid w:val="00B823B3"/>
    <w:rsid w:val="00BA539C"/>
    <w:rsid w:val="00BA71E9"/>
    <w:rsid w:val="00BB09D2"/>
    <w:rsid w:val="00BB45B0"/>
    <w:rsid w:val="00BB48B9"/>
    <w:rsid w:val="00BC4164"/>
    <w:rsid w:val="00BC561A"/>
    <w:rsid w:val="00BC7FC0"/>
    <w:rsid w:val="00BD1004"/>
    <w:rsid w:val="00BD2DCC"/>
    <w:rsid w:val="00BD7A10"/>
    <w:rsid w:val="00BE05FE"/>
    <w:rsid w:val="00BE4DC4"/>
    <w:rsid w:val="00BF020B"/>
    <w:rsid w:val="00BF05E5"/>
    <w:rsid w:val="00C173E7"/>
    <w:rsid w:val="00C20E39"/>
    <w:rsid w:val="00C22806"/>
    <w:rsid w:val="00C26DCE"/>
    <w:rsid w:val="00C3145A"/>
    <w:rsid w:val="00C33AD6"/>
    <w:rsid w:val="00C3405A"/>
    <w:rsid w:val="00C34483"/>
    <w:rsid w:val="00C3493D"/>
    <w:rsid w:val="00C4420C"/>
    <w:rsid w:val="00C54F42"/>
    <w:rsid w:val="00C803E3"/>
    <w:rsid w:val="00C8132A"/>
    <w:rsid w:val="00C866D2"/>
    <w:rsid w:val="00C87C9E"/>
    <w:rsid w:val="00C90559"/>
    <w:rsid w:val="00C97078"/>
    <w:rsid w:val="00CA0500"/>
    <w:rsid w:val="00CA2251"/>
    <w:rsid w:val="00CB2F51"/>
    <w:rsid w:val="00CD09FC"/>
    <w:rsid w:val="00CF48AC"/>
    <w:rsid w:val="00CF5427"/>
    <w:rsid w:val="00CF7828"/>
    <w:rsid w:val="00D07B73"/>
    <w:rsid w:val="00D117F8"/>
    <w:rsid w:val="00D14A55"/>
    <w:rsid w:val="00D16AC1"/>
    <w:rsid w:val="00D20695"/>
    <w:rsid w:val="00D35948"/>
    <w:rsid w:val="00D53CFE"/>
    <w:rsid w:val="00D56C7C"/>
    <w:rsid w:val="00D66B6A"/>
    <w:rsid w:val="00D712D8"/>
    <w:rsid w:val="00D71B4D"/>
    <w:rsid w:val="00D822CE"/>
    <w:rsid w:val="00D84B5C"/>
    <w:rsid w:val="00D90289"/>
    <w:rsid w:val="00D92F32"/>
    <w:rsid w:val="00D93D55"/>
    <w:rsid w:val="00D94F24"/>
    <w:rsid w:val="00DA1007"/>
    <w:rsid w:val="00DA60BD"/>
    <w:rsid w:val="00DA7FDB"/>
    <w:rsid w:val="00DC1A59"/>
    <w:rsid w:val="00DC4C60"/>
    <w:rsid w:val="00DD6CF4"/>
    <w:rsid w:val="00DF3BDB"/>
    <w:rsid w:val="00DF4114"/>
    <w:rsid w:val="00E0079A"/>
    <w:rsid w:val="00E0338B"/>
    <w:rsid w:val="00E047AE"/>
    <w:rsid w:val="00E12626"/>
    <w:rsid w:val="00E150C4"/>
    <w:rsid w:val="00E16C51"/>
    <w:rsid w:val="00E35451"/>
    <w:rsid w:val="00E35784"/>
    <w:rsid w:val="00E36C34"/>
    <w:rsid w:val="00E444DA"/>
    <w:rsid w:val="00E45C84"/>
    <w:rsid w:val="00E504E5"/>
    <w:rsid w:val="00E518ED"/>
    <w:rsid w:val="00E700FD"/>
    <w:rsid w:val="00E869CD"/>
    <w:rsid w:val="00E95106"/>
    <w:rsid w:val="00EB1777"/>
    <w:rsid w:val="00EB244F"/>
    <w:rsid w:val="00EB7A3E"/>
    <w:rsid w:val="00EC1AA7"/>
    <w:rsid w:val="00EC401A"/>
    <w:rsid w:val="00EE0D49"/>
    <w:rsid w:val="00EF530A"/>
    <w:rsid w:val="00EF6622"/>
    <w:rsid w:val="00EF78A9"/>
    <w:rsid w:val="00F05487"/>
    <w:rsid w:val="00F33919"/>
    <w:rsid w:val="00F34700"/>
    <w:rsid w:val="00F349DA"/>
    <w:rsid w:val="00F35E25"/>
    <w:rsid w:val="00F441D8"/>
    <w:rsid w:val="00F500EF"/>
    <w:rsid w:val="00F55408"/>
    <w:rsid w:val="00F66152"/>
    <w:rsid w:val="00F76D02"/>
    <w:rsid w:val="00F776CF"/>
    <w:rsid w:val="00F77FF0"/>
    <w:rsid w:val="00F80845"/>
    <w:rsid w:val="00F83633"/>
    <w:rsid w:val="00F84474"/>
    <w:rsid w:val="00F942F5"/>
    <w:rsid w:val="00F948F9"/>
    <w:rsid w:val="00F97D24"/>
    <w:rsid w:val="00FA0F0D"/>
    <w:rsid w:val="00FB1301"/>
    <w:rsid w:val="00FB50A2"/>
    <w:rsid w:val="00FB543C"/>
    <w:rsid w:val="00FB6C2F"/>
    <w:rsid w:val="00FC6290"/>
    <w:rsid w:val="00FD59D1"/>
    <w:rsid w:val="00FE1EAD"/>
    <w:rsid w:val="00FE4497"/>
    <w:rsid w:val="00FE7116"/>
    <w:rsid w:val="00FE7615"/>
    <w:rsid w:val="00FF42CC"/>
    <w:rsid w:val="00FF61EA"/>
    <w:rsid w:val="00FF6234"/>
    <w:rsid w:val="00FF6DAF"/>
    <w:rsid w:val="00FF6F97"/>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6BCAB595"/>
  <w15:docId w15:val="{7EA28D89-EAD1-4084-B470-CC2FC9F2A6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link w:val="CommentTextChar"/>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link w:val="FootnoteTextChar"/>
    <w:uiPriority w:val="99"/>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paragraph" w:styleId="ListParagraph">
    <w:name w:val="List Paragraph"/>
    <w:basedOn w:val="Normal"/>
    <w:uiPriority w:val="34"/>
    <w:qFormat/>
    <w:rsid w:val="00431F02"/>
    <w:pPr>
      <w:ind w:left="720"/>
      <w:contextualSpacing/>
    </w:pPr>
    <w:rPr>
      <w:rFonts w:ascii="Times New Roman" w:eastAsia="Times New Roman" w:hAnsi="Times New Roman" w:cs="Times New Roman"/>
      <w:sz w:val="24"/>
      <w:szCs w:val="24"/>
      <w:lang w:val="en-US" w:eastAsia="en-US"/>
    </w:rPr>
  </w:style>
  <w:style w:type="character" w:styleId="CommentReference">
    <w:name w:val="annotation reference"/>
    <w:basedOn w:val="DefaultParagraphFont"/>
    <w:rsid w:val="00431F02"/>
    <w:rPr>
      <w:sz w:val="18"/>
      <w:szCs w:val="18"/>
    </w:rPr>
  </w:style>
  <w:style w:type="character" w:customStyle="1" w:styleId="CommentTextChar">
    <w:name w:val="Comment Text Char"/>
    <w:basedOn w:val="DefaultParagraphFont"/>
    <w:link w:val="CommentText"/>
    <w:semiHidden/>
    <w:rsid w:val="00431F02"/>
    <w:rPr>
      <w:rFonts w:ascii="Arial" w:eastAsia="SimSun" w:hAnsi="Arial" w:cs="Arial"/>
      <w:sz w:val="18"/>
      <w:lang w:val="es-ES" w:eastAsia="zh-CN"/>
    </w:rPr>
  </w:style>
  <w:style w:type="paragraph" w:customStyle="1" w:styleId="Default">
    <w:name w:val="Default"/>
    <w:rsid w:val="00431F02"/>
    <w:pPr>
      <w:autoSpaceDE w:val="0"/>
      <w:autoSpaceDN w:val="0"/>
      <w:adjustRightInd w:val="0"/>
    </w:pPr>
    <w:rPr>
      <w:rFonts w:ascii="Symbol" w:hAnsi="Symbol" w:cs="Symbol"/>
      <w:color w:val="000000"/>
      <w:sz w:val="24"/>
      <w:szCs w:val="24"/>
      <w:lang w:val="en-US" w:eastAsia="en-US"/>
    </w:rPr>
  </w:style>
  <w:style w:type="table" w:styleId="TableGrid">
    <w:name w:val="Table Grid"/>
    <w:basedOn w:val="TableNormal"/>
    <w:uiPriority w:val="59"/>
    <w:rsid w:val="00431F02"/>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431F02"/>
    <w:rPr>
      <w:color w:val="0000FF" w:themeColor="hyperlink"/>
      <w:u w:val="single"/>
    </w:rPr>
  </w:style>
  <w:style w:type="character" w:customStyle="1" w:styleId="FootnoteTextChar">
    <w:name w:val="Footnote Text Char"/>
    <w:basedOn w:val="DefaultParagraphFont"/>
    <w:link w:val="FootnoteText"/>
    <w:uiPriority w:val="99"/>
    <w:semiHidden/>
    <w:rsid w:val="00431F02"/>
    <w:rPr>
      <w:rFonts w:ascii="Arial" w:eastAsia="SimSun" w:hAnsi="Arial" w:cs="Arial"/>
      <w:sz w:val="18"/>
      <w:lang w:val="es-ES" w:eastAsia="zh-CN"/>
    </w:rPr>
  </w:style>
  <w:style w:type="character" w:styleId="FootnoteReference">
    <w:name w:val="footnote reference"/>
    <w:basedOn w:val="DefaultParagraphFont"/>
    <w:uiPriority w:val="99"/>
    <w:unhideWhenUsed/>
    <w:rsid w:val="00431F02"/>
    <w:rPr>
      <w:vertAlign w:val="superscript"/>
    </w:rPr>
  </w:style>
  <w:style w:type="paragraph" w:customStyle="1" w:styleId="null">
    <w:name w:val="null"/>
    <w:basedOn w:val="Normal"/>
    <w:rsid w:val="00431F02"/>
    <w:rPr>
      <w:rFonts w:ascii="Times New Roman" w:eastAsiaTheme="minorEastAsia" w:hAnsi="Times New Roman" w:cs="Times New Roman"/>
      <w:sz w:val="24"/>
      <w:szCs w:val="24"/>
      <w:lang w:val="en-US" w:eastAsia="ja-JP"/>
    </w:rPr>
  </w:style>
  <w:style w:type="character" w:customStyle="1" w:styleId="null1">
    <w:name w:val="null1"/>
    <w:basedOn w:val="DefaultParagraphFont"/>
    <w:rsid w:val="00431F02"/>
  </w:style>
  <w:style w:type="paragraph" w:styleId="BalloonText">
    <w:name w:val="Balloon Text"/>
    <w:basedOn w:val="Normal"/>
    <w:link w:val="BalloonTextChar"/>
    <w:semiHidden/>
    <w:unhideWhenUsed/>
    <w:rsid w:val="00431F02"/>
    <w:rPr>
      <w:rFonts w:ascii="Segoe UI" w:hAnsi="Segoe UI" w:cs="Segoe UI"/>
      <w:sz w:val="18"/>
      <w:szCs w:val="18"/>
    </w:rPr>
  </w:style>
  <w:style w:type="character" w:customStyle="1" w:styleId="BalloonTextChar">
    <w:name w:val="Balloon Text Char"/>
    <w:basedOn w:val="DefaultParagraphFont"/>
    <w:link w:val="BalloonText"/>
    <w:semiHidden/>
    <w:rsid w:val="00431F02"/>
    <w:rPr>
      <w:rFonts w:ascii="Segoe UI" w:eastAsia="SimSun" w:hAnsi="Segoe UI" w:cs="Segoe UI"/>
      <w:sz w:val="18"/>
      <w:szCs w:val="18"/>
      <w:lang w:val="es-ES" w:eastAsia="zh-CN"/>
    </w:rPr>
  </w:style>
  <w:style w:type="character" w:styleId="FollowedHyperlink">
    <w:name w:val="FollowedHyperlink"/>
    <w:basedOn w:val="DefaultParagraphFont"/>
    <w:semiHidden/>
    <w:unhideWhenUsed/>
    <w:rsid w:val="00474D5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s>
</file>

<file path=word/_rels/footnotes.xml.rels><?xml version="1.0" encoding="UTF-8" standalone="yes"?>
<Relationships xmlns="http://schemas.openxmlformats.org/package/2006/relationships"><Relationship Id="rId8" Type="http://schemas.openxmlformats.org/officeDocument/2006/relationships/hyperlink" Target="https://www.wipo.int/meetings/es/details.jsp?meeting_id=52256" TargetMode="External"/><Relationship Id="rId3" Type="http://schemas.openxmlformats.org/officeDocument/2006/relationships/hyperlink" Target="https://www.wipo.int/export/sites/www/covid-19/en/dashboard/crisis_mgt_dashboard.pdf" TargetMode="External"/><Relationship Id="rId7" Type="http://schemas.openxmlformats.org/officeDocument/2006/relationships/hyperlink" Target="https://www.wipo.int/edocs/mdocs/govbody/es/wo_cc_73/wo_cc_73_5.pdf" TargetMode="External"/><Relationship Id="rId2" Type="http://schemas.openxmlformats.org/officeDocument/2006/relationships/hyperlink" Target="https://www.wipo.int/publications/es/details.jsp?id=4516" TargetMode="External"/><Relationship Id="rId1" Type="http://schemas.openxmlformats.org/officeDocument/2006/relationships/hyperlink" Target="https://www.wipo.int/edocs/mdocs/govbody/es/wo_cc_74/wo_cc_74_5.pdf" TargetMode="External"/><Relationship Id="rId6" Type="http://schemas.openxmlformats.org/officeDocument/2006/relationships/hyperlink" Target="https://www.wipo.int/edocs/mdocs/govbody/es/wo_cc_75/wo_cc_75_3.pdf" TargetMode="External"/><Relationship Id="rId5" Type="http://schemas.openxmlformats.org/officeDocument/2006/relationships/hyperlink" Target="https://undocs.org/es/A/74/331" TargetMode="External"/><Relationship Id="rId4" Type="http://schemas.openxmlformats.org/officeDocument/2006/relationships/hyperlink" Target="https://undocs.org/es/A/74/3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06C2C1-4D1A-4953-9AEF-BA67C11B71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19</Pages>
  <Words>8990</Words>
  <Characters>47207</Characters>
  <Application>Microsoft Office Word</Application>
  <DocSecurity>0</DocSecurity>
  <Lines>797</Lines>
  <Paragraphs>238</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WO/CC/78/</vt:lpstr>
      <vt:lpstr>WO/CC/78/</vt:lpstr>
    </vt:vector>
  </TitlesOfParts>
  <Company>WIPO</Company>
  <LinksUpToDate>false</LinksUpToDate>
  <CharactersWithSpaces>55983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WO/CC/78/</dc:title>
  <dc:creator>DIAZ DE ATAURI MATAMALA Inés</dc:creator>
  <cp:keywords>PUBLIC</cp:keywords>
  <cp:lastModifiedBy>HARTOP Tatiana</cp:lastModifiedBy>
  <cp:revision>12</cp:revision>
  <cp:lastPrinted>2020-08-03T05:25:00Z</cp:lastPrinted>
  <dcterms:created xsi:type="dcterms:W3CDTF">2020-08-04T15:40:00Z</dcterms:created>
  <dcterms:modified xsi:type="dcterms:W3CDTF">2020-09-04T14:17:00Z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27f4ed21-4333-46ee-ba4d-a2b8332310c7</vt:lpwstr>
  </property>
  <property fmtid="{D5CDD505-2E9C-101B-9397-08002B2CF9AE}" pid="3" name="Classification">
    <vt:lpwstr>Public</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