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635F9" w:rsidTr="0088395E">
        <w:tc>
          <w:tcPr>
            <w:tcW w:w="4513" w:type="dxa"/>
            <w:tcBorders>
              <w:bottom w:val="single" w:sz="4" w:space="0" w:color="auto"/>
            </w:tcBorders>
            <w:tcMar>
              <w:bottom w:w="170" w:type="dxa"/>
            </w:tcMar>
          </w:tcPr>
          <w:p w:rsidR="00E504E5" w:rsidRPr="006635F9" w:rsidRDefault="00E504E5" w:rsidP="00AB613D"/>
        </w:tc>
        <w:tc>
          <w:tcPr>
            <w:tcW w:w="4337" w:type="dxa"/>
            <w:tcBorders>
              <w:bottom w:val="single" w:sz="4" w:space="0" w:color="auto"/>
            </w:tcBorders>
            <w:tcMar>
              <w:left w:w="0" w:type="dxa"/>
              <w:right w:w="0" w:type="dxa"/>
            </w:tcMar>
          </w:tcPr>
          <w:p w:rsidR="00E504E5" w:rsidRPr="006635F9" w:rsidRDefault="006F6545" w:rsidP="00AB613D">
            <w:r w:rsidRPr="006635F9">
              <w:rPr>
                <w:noProof/>
                <w:lang w:val="en-US" w:eastAsia="en-US"/>
              </w:rPr>
              <w:drawing>
                <wp:inline distT="0" distB="0" distL="0" distR="0" wp14:anchorId="54DC253B" wp14:editId="1C8D1B9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635F9" w:rsidRDefault="00E504E5" w:rsidP="00AB613D">
            <w:pPr>
              <w:jc w:val="right"/>
            </w:pPr>
            <w:r w:rsidRPr="006635F9">
              <w:rPr>
                <w:b/>
                <w:sz w:val="40"/>
                <w:szCs w:val="40"/>
              </w:rPr>
              <w:t>S</w:t>
            </w:r>
          </w:p>
        </w:tc>
      </w:tr>
      <w:tr w:rsidR="008B2CC1" w:rsidRPr="006635F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635F9" w:rsidRDefault="006F6545" w:rsidP="00AB613D">
            <w:pPr>
              <w:jc w:val="right"/>
              <w:rPr>
                <w:rFonts w:ascii="Arial Black" w:hAnsi="Arial Black"/>
                <w:caps/>
                <w:sz w:val="15"/>
              </w:rPr>
            </w:pPr>
            <w:r w:rsidRPr="006635F9">
              <w:rPr>
                <w:rFonts w:ascii="Arial Black" w:hAnsi="Arial Black"/>
                <w:caps/>
                <w:sz w:val="15"/>
              </w:rPr>
              <w:t>stl</w:t>
            </w:r>
            <w:r w:rsidR="008D4D00" w:rsidRPr="006635F9">
              <w:rPr>
                <w:rFonts w:ascii="Arial Black" w:hAnsi="Arial Black"/>
                <w:caps/>
                <w:sz w:val="15"/>
              </w:rPr>
              <w:t>T</w:t>
            </w:r>
            <w:r w:rsidRPr="006635F9">
              <w:rPr>
                <w:rFonts w:ascii="Arial Black" w:hAnsi="Arial Black"/>
                <w:caps/>
                <w:sz w:val="15"/>
              </w:rPr>
              <w:t>/a/8</w:t>
            </w:r>
            <w:bookmarkStart w:id="0" w:name="Code"/>
            <w:bookmarkEnd w:id="0"/>
            <w:r w:rsidR="00B47239" w:rsidRPr="006635F9">
              <w:rPr>
                <w:rFonts w:ascii="Arial Black" w:hAnsi="Arial Black"/>
                <w:caps/>
                <w:sz w:val="15"/>
              </w:rPr>
              <w:t>/1</w:t>
            </w:r>
          </w:p>
        </w:tc>
      </w:tr>
      <w:tr w:rsidR="008B2CC1" w:rsidRPr="006635F9" w:rsidTr="00AB613D">
        <w:trPr>
          <w:trHeight w:hRule="exact" w:val="170"/>
        </w:trPr>
        <w:tc>
          <w:tcPr>
            <w:tcW w:w="9356" w:type="dxa"/>
            <w:gridSpan w:val="3"/>
            <w:noWrap/>
            <w:tcMar>
              <w:left w:w="0" w:type="dxa"/>
              <w:right w:w="0" w:type="dxa"/>
            </w:tcMar>
            <w:vAlign w:val="bottom"/>
          </w:tcPr>
          <w:p w:rsidR="008B2CC1" w:rsidRPr="006635F9" w:rsidRDefault="008B2CC1" w:rsidP="00AB613D">
            <w:pPr>
              <w:jc w:val="right"/>
              <w:rPr>
                <w:rFonts w:ascii="Arial Black" w:hAnsi="Arial Black"/>
                <w:caps/>
                <w:sz w:val="15"/>
              </w:rPr>
            </w:pPr>
            <w:r w:rsidRPr="006635F9">
              <w:rPr>
                <w:rFonts w:ascii="Arial Black" w:hAnsi="Arial Black"/>
                <w:caps/>
                <w:sz w:val="15"/>
              </w:rPr>
              <w:t>ORIGINAL:</w:t>
            </w:r>
            <w:r w:rsidR="00F84474" w:rsidRPr="006635F9">
              <w:rPr>
                <w:rFonts w:ascii="Arial Black" w:hAnsi="Arial Black"/>
                <w:caps/>
                <w:sz w:val="15"/>
              </w:rPr>
              <w:t xml:space="preserve"> </w:t>
            </w:r>
            <w:r w:rsidRPr="006635F9">
              <w:rPr>
                <w:rFonts w:ascii="Arial Black" w:hAnsi="Arial Black"/>
                <w:caps/>
                <w:sz w:val="15"/>
              </w:rPr>
              <w:t xml:space="preserve"> </w:t>
            </w:r>
            <w:bookmarkStart w:id="1" w:name="Original"/>
            <w:bookmarkEnd w:id="1"/>
            <w:r w:rsidR="00B47239" w:rsidRPr="006635F9">
              <w:rPr>
                <w:rFonts w:ascii="Arial Black" w:hAnsi="Arial Black"/>
                <w:caps/>
                <w:sz w:val="15"/>
              </w:rPr>
              <w:t>INGLÉS</w:t>
            </w:r>
          </w:p>
        </w:tc>
      </w:tr>
      <w:tr w:rsidR="008B2CC1" w:rsidRPr="006635F9" w:rsidTr="00AB613D">
        <w:trPr>
          <w:trHeight w:hRule="exact" w:val="198"/>
        </w:trPr>
        <w:tc>
          <w:tcPr>
            <w:tcW w:w="9356" w:type="dxa"/>
            <w:gridSpan w:val="3"/>
            <w:tcMar>
              <w:left w:w="0" w:type="dxa"/>
              <w:right w:w="0" w:type="dxa"/>
            </w:tcMar>
            <w:vAlign w:val="bottom"/>
          </w:tcPr>
          <w:p w:rsidR="008B2CC1" w:rsidRPr="006635F9" w:rsidRDefault="00675021" w:rsidP="00AB613D">
            <w:pPr>
              <w:jc w:val="right"/>
              <w:rPr>
                <w:rFonts w:ascii="Arial Black" w:hAnsi="Arial Black"/>
                <w:caps/>
                <w:sz w:val="15"/>
              </w:rPr>
            </w:pPr>
            <w:r w:rsidRPr="006635F9">
              <w:rPr>
                <w:rFonts w:ascii="Arial Black" w:hAnsi="Arial Black"/>
                <w:caps/>
                <w:sz w:val="15"/>
              </w:rPr>
              <w:t>fecha</w:t>
            </w:r>
            <w:r w:rsidR="008B2CC1" w:rsidRPr="006635F9">
              <w:rPr>
                <w:rFonts w:ascii="Arial Black" w:hAnsi="Arial Black"/>
                <w:caps/>
                <w:sz w:val="15"/>
              </w:rPr>
              <w:t>:</w:t>
            </w:r>
            <w:r w:rsidR="00F84474" w:rsidRPr="006635F9">
              <w:rPr>
                <w:rFonts w:ascii="Arial Black" w:hAnsi="Arial Black"/>
                <w:caps/>
                <w:sz w:val="15"/>
              </w:rPr>
              <w:t xml:space="preserve"> </w:t>
            </w:r>
            <w:r w:rsidR="008B2CC1" w:rsidRPr="006635F9">
              <w:rPr>
                <w:rFonts w:ascii="Arial Black" w:hAnsi="Arial Black"/>
                <w:caps/>
                <w:sz w:val="15"/>
              </w:rPr>
              <w:t xml:space="preserve"> </w:t>
            </w:r>
            <w:bookmarkStart w:id="2" w:name="Date"/>
            <w:bookmarkEnd w:id="2"/>
            <w:r w:rsidR="00B47239" w:rsidRPr="006635F9">
              <w:rPr>
                <w:rFonts w:ascii="Arial Black" w:hAnsi="Arial Black"/>
                <w:caps/>
                <w:sz w:val="15"/>
              </w:rPr>
              <w:t>4 DE AGOSTO DE 2015</w:t>
            </w:r>
          </w:p>
        </w:tc>
      </w:tr>
    </w:tbl>
    <w:p w:rsidR="008B2CC1" w:rsidRPr="006635F9" w:rsidRDefault="008B2CC1" w:rsidP="008B2CC1"/>
    <w:p w:rsidR="008B2CC1" w:rsidRPr="006635F9" w:rsidRDefault="008B2CC1" w:rsidP="008B2CC1"/>
    <w:p w:rsidR="008B2CC1" w:rsidRPr="006635F9" w:rsidRDefault="008B2CC1" w:rsidP="008B2CC1"/>
    <w:p w:rsidR="008B2CC1" w:rsidRPr="006635F9" w:rsidRDefault="008B2CC1" w:rsidP="008B2CC1"/>
    <w:p w:rsidR="008B2CC1" w:rsidRPr="006635F9" w:rsidRDefault="008B2CC1" w:rsidP="008B2CC1"/>
    <w:p w:rsidR="006F6545" w:rsidRPr="006635F9" w:rsidRDefault="006F6545" w:rsidP="006F6545">
      <w:pPr>
        <w:rPr>
          <w:b/>
          <w:sz w:val="28"/>
          <w:szCs w:val="28"/>
        </w:rPr>
      </w:pPr>
      <w:r w:rsidRPr="006635F9">
        <w:rPr>
          <w:b/>
          <w:sz w:val="28"/>
          <w:szCs w:val="28"/>
        </w:rPr>
        <w:t xml:space="preserve">Tratado de Singapur sobre el Derecho de Marcas (STLT) </w:t>
      </w:r>
    </w:p>
    <w:p w:rsidR="003845C1" w:rsidRPr="006635F9" w:rsidRDefault="003845C1" w:rsidP="003845C1"/>
    <w:p w:rsidR="006F6545" w:rsidRPr="006635F9" w:rsidRDefault="006F6545" w:rsidP="003845C1"/>
    <w:p w:rsidR="006F6545" w:rsidRPr="006635F9" w:rsidRDefault="006F6545" w:rsidP="006F6545">
      <w:pPr>
        <w:rPr>
          <w:b/>
          <w:sz w:val="28"/>
          <w:szCs w:val="28"/>
        </w:rPr>
      </w:pPr>
      <w:r w:rsidRPr="006635F9">
        <w:rPr>
          <w:b/>
          <w:sz w:val="28"/>
          <w:szCs w:val="28"/>
        </w:rPr>
        <w:t>Asamblea</w:t>
      </w:r>
    </w:p>
    <w:p w:rsidR="006F6545" w:rsidRPr="006635F9" w:rsidRDefault="006F6545" w:rsidP="003845C1"/>
    <w:p w:rsidR="003845C1" w:rsidRPr="006635F9" w:rsidRDefault="003845C1" w:rsidP="003845C1"/>
    <w:p w:rsidR="006F6545" w:rsidRPr="006635F9" w:rsidRDefault="006F6545" w:rsidP="006F6545">
      <w:pPr>
        <w:rPr>
          <w:b/>
          <w:sz w:val="24"/>
          <w:szCs w:val="24"/>
        </w:rPr>
      </w:pPr>
      <w:r w:rsidRPr="006635F9">
        <w:rPr>
          <w:b/>
          <w:sz w:val="24"/>
          <w:szCs w:val="24"/>
        </w:rPr>
        <w:t>Octavo período de sesiones (4</w:t>
      </w:r>
      <w:r w:rsidRPr="006635F9">
        <w:rPr>
          <w:b/>
          <w:sz w:val="24"/>
          <w:szCs w:val="24"/>
          <w:vertAlign w:val="superscript"/>
        </w:rPr>
        <w:t>°</w:t>
      </w:r>
      <w:r w:rsidRPr="006635F9">
        <w:rPr>
          <w:b/>
          <w:sz w:val="24"/>
          <w:szCs w:val="24"/>
        </w:rPr>
        <w:t xml:space="preserve"> ordinario)</w:t>
      </w:r>
    </w:p>
    <w:p w:rsidR="006F6545" w:rsidRPr="006635F9" w:rsidRDefault="006F6545" w:rsidP="006F6545">
      <w:pPr>
        <w:rPr>
          <w:b/>
          <w:sz w:val="24"/>
          <w:szCs w:val="24"/>
        </w:rPr>
      </w:pPr>
      <w:r w:rsidRPr="006635F9">
        <w:rPr>
          <w:b/>
          <w:sz w:val="24"/>
          <w:szCs w:val="24"/>
        </w:rPr>
        <w:t>Ginebra, 5 a 14 de octubre de 2015</w:t>
      </w:r>
    </w:p>
    <w:p w:rsidR="008B2CC1" w:rsidRPr="006635F9" w:rsidRDefault="008B2CC1" w:rsidP="008B2CC1"/>
    <w:p w:rsidR="008B2CC1" w:rsidRPr="006635F9" w:rsidRDefault="008B2CC1" w:rsidP="008B2CC1"/>
    <w:p w:rsidR="008B2CC1" w:rsidRPr="006635F9" w:rsidRDefault="008B2CC1" w:rsidP="008B2CC1"/>
    <w:p w:rsidR="00D65A43" w:rsidRPr="006635F9" w:rsidRDefault="00D65A43" w:rsidP="00D65A43">
      <w:pPr>
        <w:rPr>
          <w:caps/>
          <w:sz w:val="24"/>
        </w:rPr>
      </w:pPr>
      <w:bookmarkStart w:id="3" w:name="TitleOfDoc"/>
      <w:bookmarkEnd w:id="3"/>
      <w:r w:rsidRPr="006635F9">
        <w:rPr>
          <w:sz w:val="24"/>
        </w:rPr>
        <w:t xml:space="preserve">ASISTENCIA PARA LA APLICACIÓN DEL TRATADO DE SINGAPUR SOBRE EL DERECHO DE MARCAS </w:t>
      </w:r>
      <w:r w:rsidRPr="006635F9">
        <w:rPr>
          <w:caps/>
          <w:sz w:val="24"/>
        </w:rPr>
        <w:t>(STLT)</w:t>
      </w:r>
    </w:p>
    <w:p w:rsidR="00D65A43" w:rsidRPr="006635F9" w:rsidRDefault="00D65A43" w:rsidP="00D65A43">
      <w:pPr>
        <w:rPr>
          <w:caps/>
          <w:sz w:val="24"/>
        </w:rPr>
      </w:pPr>
    </w:p>
    <w:p w:rsidR="00D65A43" w:rsidRPr="006635F9" w:rsidRDefault="00D65A43" w:rsidP="00D65A43"/>
    <w:p w:rsidR="00D65A43" w:rsidRPr="006635F9" w:rsidRDefault="00D65A43" w:rsidP="00D65A43">
      <w:pPr>
        <w:rPr>
          <w:i/>
        </w:rPr>
      </w:pPr>
      <w:r w:rsidRPr="006635F9">
        <w:rPr>
          <w:i/>
        </w:rPr>
        <w:t>Documento preparado por la Oficina Internacional</w:t>
      </w:r>
    </w:p>
    <w:p w:rsidR="00D65A43" w:rsidRPr="006635F9" w:rsidRDefault="00D65A43" w:rsidP="00D65A43"/>
    <w:p w:rsidR="00D65A43" w:rsidRPr="006635F9" w:rsidRDefault="00D65A43" w:rsidP="00D65A43"/>
    <w:p w:rsidR="00D65A43" w:rsidRPr="006635F9" w:rsidRDefault="00D65A43" w:rsidP="00D65A43"/>
    <w:p w:rsidR="008A2314" w:rsidRDefault="00D65A43" w:rsidP="008A2314">
      <w:pPr>
        <w:pStyle w:val="Heading1"/>
        <w:ind w:left="567" w:hanging="567"/>
        <w:rPr>
          <w:caps w:val="0"/>
        </w:rPr>
      </w:pPr>
      <w:r w:rsidRPr="006635F9">
        <w:rPr>
          <w:caps w:val="0"/>
        </w:rPr>
        <w:t>INTRODUCCIÓN</w:t>
      </w:r>
    </w:p>
    <w:p w:rsidR="008A2314" w:rsidRPr="00DC4DF5" w:rsidRDefault="008A2314" w:rsidP="00DC4DF5"/>
    <w:p w:rsidR="00D65A43" w:rsidRPr="006635F9" w:rsidRDefault="00D65A43" w:rsidP="00D65A43">
      <w:pPr>
        <w:pStyle w:val="ONUMFS"/>
      </w:pPr>
      <w:r w:rsidRPr="006635F9">
        <w:t>En su Resolución suplementaria al Tratado de Singapur sobre el Derecho de Marcas (en lo sucesivo, “el Tratado de Singapur”), la Conferencia Diplomática para la Adopción de un Tratado revisado sobre el Derecho de Marcas, celebrada en Singapur en marzo de 2006, solicitó a la Asamblea del Tratado de Singapur que supervisara y evaluara, en cada período ordinario de sesiones, la marcha de la asistencia relacionada con la labor de aplicación y con los beneficios resultantes de la misma (párrafo 8 de la Resolución suplementaria al Tratado de Singapur, adoptada por la Conferencia Diplomática para la Adopción de un Tratado revisado sobre el Derecho de Marcas, Singapur</w:t>
      </w:r>
      <w:r w:rsidR="005C24D6" w:rsidRPr="006635F9">
        <w:t>,</w:t>
      </w:r>
      <w:r w:rsidRPr="006635F9">
        <w:t xml:space="preserve"> 13 a 27 de marzo de 2006).</w:t>
      </w:r>
    </w:p>
    <w:p w:rsidR="00D65A43" w:rsidRPr="006635F9" w:rsidRDefault="00D65A43" w:rsidP="00D65A43">
      <w:pPr>
        <w:pStyle w:val="ONUMFS"/>
      </w:pPr>
      <w:r w:rsidRPr="006635F9">
        <w:t>En su primer período ordinario de sesiones, celebrado en Ginebra del 22 de septiembre al 1 de octubre de 2009, la Asamblea del Tratado de Singapur acordó que la</w:t>
      </w:r>
      <w:r w:rsidR="00B45941">
        <w:t>s</w:t>
      </w:r>
      <w:r w:rsidRPr="006635F9">
        <w:t xml:space="preserve"> Partes Contratantes comunicarían a la Oficina Internacional cualquier información sobre actividades de asistencia técnica relacionadas con la aplicación del Tratado de Singapur y que la Oficina Internacional recopilaría la información recibida y la presentaría, junto con toda la información pertinente de sus propias actividades de asistencia técnica, en el siguiente período ordinario de sesiones de la Asamblea del Tratado de Singapur (</w:t>
      </w:r>
      <w:r w:rsidR="005C24D6" w:rsidRPr="006635F9">
        <w:t xml:space="preserve">párrafo 4 del </w:t>
      </w:r>
      <w:r w:rsidRPr="006635F9">
        <w:t xml:space="preserve">documento STLT/A/1/2, y </w:t>
      </w:r>
      <w:r w:rsidR="005C24D6" w:rsidRPr="006635F9">
        <w:t xml:space="preserve">párrafo 10 del </w:t>
      </w:r>
      <w:r w:rsidRPr="006635F9">
        <w:t>documento STLT/A/1/4).</w:t>
      </w:r>
    </w:p>
    <w:p w:rsidR="00CA3EA8" w:rsidRPr="006635F9" w:rsidRDefault="005C24D6" w:rsidP="00DC4DF5">
      <w:pPr>
        <w:pStyle w:val="ONUMFS"/>
      </w:pPr>
      <w:r w:rsidRPr="006635F9">
        <w:lastRenderedPageBreak/>
        <w:t>Por consiguiente</w:t>
      </w:r>
      <w:r w:rsidR="00D65A43" w:rsidRPr="006635F9">
        <w:t xml:space="preserve">, </w:t>
      </w:r>
      <w:r w:rsidR="000F3CC6" w:rsidRPr="006635F9">
        <w:t xml:space="preserve">la Oficina Internacional somete a examen de la Asamblea del Tratado de Singapur, en cada período ordinario de sesiones, un informe acerca de la asistencia prestada a los fines de la aplicación del Tratado.  </w:t>
      </w:r>
      <w:r w:rsidRPr="006635F9">
        <w:t xml:space="preserve">El </w:t>
      </w:r>
      <w:r w:rsidR="000F3CC6" w:rsidRPr="006635F9">
        <w:t xml:space="preserve">presente documento </w:t>
      </w:r>
      <w:r w:rsidRPr="006635F9">
        <w:t>constituye una reseña</w:t>
      </w:r>
      <w:r w:rsidR="000F3CC6" w:rsidRPr="006635F9">
        <w:t xml:space="preserve"> del período comprendido entre julio de 2013 y mayo de 2015.</w:t>
      </w:r>
      <w:r w:rsidR="00D65A43" w:rsidRPr="006635F9">
        <w:t xml:space="preserve">  La información se presenta en dos amplias categorías</w:t>
      </w:r>
      <w:r w:rsidR="000F3CC6" w:rsidRPr="006635F9">
        <w:t xml:space="preserve"> de actividades</w:t>
      </w:r>
      <w:r w:rsidR="00D65A43" w:rsidRPr="006635F9">
        <w:t>, a saber, asistencia en el establecimiento del marco jurídico para la aplicación del Tratado</w:t>
      </w:r>
      <w:r w:rsidRPr="006635F9">
        <w:t>,</w:t>
      </w:r>
      <w:r w:rsidR="00D65A43" w:rsidRPr="006635F9">
        <w:t xml:space="preserve"> y actividades de información, educación, sensibilización y asistencia en la revisión de </w:t>
      </w:r>
      <w:r w:rsidRPr="006635F9">
        <w:t xml:space="preserve">prácticas y </w:t>
      </w:r>
      <w:r w:rsidR="00D65A43" w:rsidRPr="006635F9">
        <w:t>procedimientos administrativ</w:t>
      </w:r>
      <w:r w:rsidRPr="006635F9">
        <w:t>o</w:t>
      </w:r>
      <w:r w:rsidR="00D65A43" w:rsidRPr="006635F9">
        <w:t>s</w:t>
      </w:r>
      <w:r w:rsidRPr="006635F9">
        <w:t>.</w:t>
      </w:r>
      <w:r w:rsidR="00CA3EA8">
        <w:br/>
      </w:r>
    </w:p>
    <w:p w:rsidR="00D65A43" w:rsidRDefault="00D65A43" w:rsidP="00D65A43">
      <w:pPr>
        <w:pStyle w:val="Heading1"/>
        <w:ind w:left="567" w:hanging="567"/>
        <w:rPr>
          <w:caps w:val="0"/>
        </w:rPr>
      </w:pPr>
      <w:r w:rsidRPr="006635F9">
        <w:rPr>
          <w:caps w:val="0"/>
        </w:rPr>
        <w:t>II.</w:t>
      </w:r>
      <w:r w:rsidRPr="006635F9">
        <w:rPr>
          <w:b w:val="0"/>
          <w:caps w:val="0"/>
        </w:rPr>
        <w:tab/>
      </w:r>
      <w:r w:rsidRPr="006635F9">
        <w:rPr>
          <w:caps w:val="0"/>
        </w:rPr>
        <w:t>ASISTENCIA EN EL ESTABLECIMIENTO DEL MARCO JURÍDICO PARA LA APLICACIÓN DEL TRATADO</w:t>
      </w:r>
    </w:p>
    <w:p w:rsidR="008A2314" w:rsidRPr="00DC4DF5" w:rsidRDefault="008A2314" w:rsidP="00DC4DF5"/>
    <w:p w:rsidR="00D65A43" w:rsidRPr="006635F9" w:rsidRDefault="00D65A43" w:rsidP="00D65A43">
      <w:pPr>
        <w:pStyle w:val="ONUMFS"/>
      </w:pPr>
      <w:r w:rsidRPr="006635F9">
        <w:t xml:space="preserve">Las actividades se presentan siguiendo el orden alfabético del nombre en </w:t>
      </w:r>
      <w:r w:rsidR="00762602" w:rsidRPr="006635F9">
        <w:t>español</w:t>
      </w:r>
      <w:r w:rsidRPr="006635F9">
        <w:t xml:space="preserve"> del Estado receptor.  </w:t>
      </w:r>
      <w:r w:rsidR="008157C8" w:rsidRPr="006635F9">
        <w:t xml:space="preserve">Las actividades relativas a grupos de Estados se presentan después siguiendo el orden alfabético del nombre en </w:t>
      </w:r>
      <w:r w:rsidR="00762602" w:rsidRPr="006635F9">
        <w:t xml:space="preserve">español </w:t>
      </w:r>
      <w:r w:rsidR="008157C8" w:rsidRPr="006635F9">
        <w:t xml:space="preserve">de la correspondiente organización </w:t>
      </w:r>
      <w:r w:rsidR="008A2314" w:rsidRPr="006635F9">
        <w:t xml:space="preserve">internacional </w:t>
      </w:r>
      <w:r w:rsidR="008157C8" w:rsidRPr="006635F9">
        <w:t xml:space="preserve">intergubernamental.  </w:t>
      </w:r>
      <w:r w:rsidRPr="006635F9">
        <w:t>Todos los Estados</w:t>
      </w:r>
      <w:r w:rsidR="008157C8" w:rsidRPr="006635F9">
        <w:t xml:space="preserve"> y grupos de Estados</w:t>
      </w:r>
      <w:r w:rsidRPr="006635F9">
        <w:t xml:space="preserve"> que lo solicitaron recibieron asesoramiento y comentarios</w:t>
      </w:r>
      <w:r w:rsidR="008157C8" w:rsidRPr="006635F9">
        <w:t xml:space="preserve"> de índole jurídica</w:t>
      </w:r>
      <w:r w:rsidRPr="006635F9">
        <w:t xml:space="preserve">, </w:t>
      </w:r>
      <w:r w:rsidR="008157C8" w:rsidRPr="006635F9">
        <w:t>hubieran o no iniciado las gestiones para adherirse o</w:t>
      </w:r>
      <w:r w:rsidRPr="006635F9">
        <w:t xml:space="preserve"> ratifica</w:t>
      </w:r>
      <w:r w:rsidR="008157C8" w:rsidRPr="006635F9">
        <w:t xml:space="preserve">r </w:t>
      </w:r>
      <w:r w:rsidRPr="006635F9">
        <w:t>el Tr</w:t>
      </w:r>
      <w:r w:rsidR="008157C8" w:rsidRPr="006635F9">
        <w:t xml:space="preserve">atado de Singapur.  </w:t>
      </w:r>
      <w:r w:rsidR="005C24D6" w:rsidRPr="006635F9">
        <w:t>El asesoramiento brindado fue, en general, de</w:t>
      </w:r>
      <w:r w:rsidRPr="006635F9">
        <w:t xml:space="preserve"> naturaleza muy variada, </w:t>
      </w:r>
      <w:r w:rsidR="007A3BED" w:rsidRPr="006635F9">
        <w:t>y abarcó</w:t>
      </w:r>
      <w:r w:rsidRPr="006635F9">
        <w:t xml:space="preserve"> todos los aspectos del Derecho de marcas y la aplicación del Tratado de Singapur:</w:t>
      </w:r>
    </w:p>
    <w:p w:rsidR="00D65A43" w:rsidRPr="006635F9" w:rsidRDefault="00D65A43" w:rsidP="00D65A43">
      <w:pPr>
        <w:pStyle w:val="ONUMFS"/>
        <w:numPr>
          <w:ilvl w:val="0"/>
          <w:numId w:val="7"/>
        </w:numPr>
        <w:ind w:left="1134" w:hanging="567"/>
      </w:pPr>
      <w:r w:rsidRPr="006635F9">
        <w:t>Ba</w:t>
      </w:r>
      <w:r w:rsidR="006C75BD" w:rsidRPr="006635F9">
        <w:t>ngladesh</w:t>
      </w:r>
      <w:r w:rsidRPr="006635F9">
        <w:t xml:space="preserve">:  </w:t>
      </w:r>
      <w:r w:rsidR="006C75BD" w:rsidRPr="006635F9">
        <w:t>Comentarios sobre la Ley de Marcas de 2009, suministrados el 16 de julio de</w:t>
      </w:r>
      <w:r w:rsidRPr="006635F9">
        <w:t xml:space="preserve"> 201</w:t>
      </w:r>
      <w:r w:rsidR="006C75BD" w:rsidRPr="006635F9">
        <w:t>3</w:t>
      </w:r>
      <w:r w:rsidRPr="006635F9">
        <w:t>;</w:t>
      </w:r>
    </w:p>
    <w:p w:rsidR="00D65A43" w:rsidRPr="006635F9" w:rsidRDefault="00D65A43" w:rsidP="00D65A43">
      <w:pPr>
        <w:pStyle w:val="ONUMFS"/>
        <w:numPr>
          <w:ilvl w:val="0"/>
          <w:numId w:val="7"/>
        </w:numPr>
        <w:ind w:left="1134" w:hanging="567"/>
      </w:pPr>
      <w:r w:rsidRPr="006635F9">
        <w:t>B</w:t>
      </w:r>
      <w:r w:rsidR="006C75BD" w:rsidRPr="006635F9">
        <w:t>hután</w:t>
      </w:r>
      <w:r w:rsidRPr="006635F9">
        <w:t>:  Comentarios sobre</w:t>
      </w:r>
      <w:r w:rsidR="006C75BD" w:rsidRPr="006635F9">
        <w:t xml:space="preserve"> el proyecto de Ley de Propiedad Industrial, suministrados el 27 de septiembre de 2013, y comentarios complementarios suministrados el 26 de septiembre de 2014</w:t>
      </w:r>
      <w:r w:rsidRPr="006635F9">
        <w:t>;</w:t>
      </w:r>
    </w:p>
    <w:p w:rsidR="00D65A43" w:rsidRPr="006635F9" w:rsidRDefault="00D65A43" w:rsidP="00D65A43">
      <w:pPr>
        <w:pStyle w:val="ONUMFS"/>
        <w:numPr>
          <w:ilvl w:val="0"/>
          <w:numId w:val="7"/>
        </w:numPr>
        <w:ind w:left="1134" w:hanging="567"/>
      </w:pPr>
      <w:r w:rsidRPr="006635F9">
        <w:t xml:space="preserve">Camboya:  Comentarios sobre </w:t>
      </w:r>
      <w:r w:rsidR="006C75BD" w:rsidRPr="006635F9">
        <w:t>un proyecto de Declaración Ministerial sobre las Marcas de Certificación, suministrados el 22 de octubre de 2014, y asesoramiento acerca de los motivos de denegación contemplados en la Ley de Marcas, Nombres Comerciales y Competencia Desleal, prestado el 20 de marzo de 2015</w:t>
      </w:r>
      <w:r w:rsidRPr="006635F9">
        <w:t>;</w:t>
      </w:r>
    </w:p>
    <w:p w:rsidR="00D65A43" w:rsidRPr="006635F9" w:rsidRDefault="006C75BD" w:rsidP="00D65A43">
      <w:pPr>
        <w:pStyle w:val="ONUMFS"/>
        <w:numPr>
          <w:ilvl w:val="0"/>
          <w:numId w:val="7"/>
        </w:numPr>
        <w:ind w:left="1134" w:hanging="567"/>
      </w:pPr>
      <w:r w:rsidRPr="006635F9">
        <w:t>China</w:t>
      </w:r>
      <w:r w:rsidR="00D65A43" w:rsidRPr="006635F9">
        <w:t xml:space="preserve">:  Comentarios sobre la </w:t>
      </w:r>
      <w:r w:rsidRPr="006635F9">
        <w:t>compatibilidad de la Ley de Marcas de China y su Reglamento de aplicación con el Tratado de Singapur, suministrados el 19 de agosto de 2014</w:t>
      </w:r>
      <w:r w:rsidR="002D3D44" w:rsidRPr="006635F9">
        <w:t>;</w:t>
      </w:r>
    </w:p>
    <w:p w:rsidR="00762602" w:rsidRPr="006635F9" w:rsidRDefault="00762602" w:rsidP="00762602">
      <w:pPr>
        <w:pStyle w:val="ONUMFS"/>
        <w:numPr>
          <w:ilvl w:val="0"/>
          <w:numId w:val="7"/>
        </w:numPr>
        <w:ind w:left="1134" w:hanging="567"/>
      </w:pPr>
      <w:r w:rsidRPr="006635F9">
        <w:t>Ecuador:  Comentarios sobre la nueva legislación de marcas propuesta, suministrados el 4 de marzo de 2015;</w:t>
      </w:r>
    </w:p>
    <w:p w:rsidR="00762602" w:rsidRPr="006635F9" w:rsidRDefault="00762602" w:rsidP="00762602">
      <w:pPr>
        <w:pStyle w:val="ONUMFS"/>
        <w:numPr>
          <w:ilvl w:val="0"/>
          <w:numId w:val="7"/>
        </w:numPr>
        <w:ind w:left="1134" w:hanging="567"/>
      </w:pPr>
      <w:r w:rsidRPr="006635F9">
        <w:t xml:space="preserve">India:  Comentarios sobre </w:t>
      </w:r>
      <w:r w:rsidR="007A3BED" w:rsidRPr="006635F9">
        <w:t>la p</w:t>
      </w:r>
      <w:r w:rsidRPr="006635F9">
        <w:t xml:space="preserve">olítica nacional en materia de </w:t>
      </w:r>
      <w:r w:rsidR="007A3BED" w:rsidRPr="006635F9">
        <w:t>derechos de p</w:t>
      </w:r>
      <w:r w:rsidRPr="006635F9">
        <w:t xml:space="preserve">ropiedad </w:t>
      </w:r>
      <w:r w:rsidR="007A3BED" w:rsidRPr="006635F9">
        <w:t>i</w:t>
      </w:r>
      <w:r w:rsidRPr="006635F9">
        <w:t>ntelectual, suministrados el 29 de enero de 2015;</w:t>
      </w:r>
    </w:p>
    <w:p w:rsidR="00D65A43" w:rsidRPr="006635F9" w:rsidRDefault="002D3D44" w:rsidP="00D65A43">
      <w:pPr>
        <w:pStyle w:val="ONUMFS"/>
        <w:numPr>
          <w:ilvl w:val="0"/>
          <w:numId w:val="7"/>
        </w:numPr>
        <w:ind w:left="1134" w:hanging="567"/>
      </w:pPr>
      <w:r w:rsidRPr="006635F9">
        <w:t>Islas Cook</w:t>
      </w:r>
      <w:r w:rsidR="00D65A43" w:rsidRPr="006635F9">
        <w:t xml:space="preserve">:  </w:t>
      </w:r>
      <w:r w:rsidRPr="006635F9">
        <w:t>Co</w:t>
      </w:r>
      <w:r w:rsidR="007A3BED" w:rsidRPr="006635F9">
        <w:t>mentarios sobre el proyecto de e</w:t>
      </w:r>
      <w:r w:rsidRPr="006635F9">
        <w:t xml:space="preserve">strategia </w:t>
      </w:r>
      <w:r w:rsidR="007A3BED" w:rsidRPr="006635F9">
        <w:t>n</w:t>
      </w:r>
      <w:r w:rsidRPr="006635F9">
        <w:t xml:space="preserve">acional de </w:t>
      </w:r>
      <w:r w:rsidR="007A3BED" w:rsidRPr="006635F9">
        <w:t>p</w:t>
      </w:r>
      <w:r w:rsidRPr="006635F9">
        <w:t xml:space="preserve">ropiedad </w:t>
      </w:r>
      <w:r w:rsidR="007A3BED" w:rsidRPr="006635F9">
        <w:t>i</w:t>
      </w:r>
      <w:r w:rsidRPr="006635F9">
        <w:t>ntelectual 2015-2020, suministrados el 21 de enero de 2015</w:t>
      </w:r>
      <w:r w:rsidR="00D65A43" w:rsidRPr="006635F9">
        <w:t>;</w:t>
      </w:r>
    </w:p>
    <w:p w:rsidR="00762602" w:rsidRPr="006635F9" w:rsidRDefault="00762602" w:rsidP="00D65A43">
      <w:pPr>
        <w:pStyle w:val="ONUMFS"/>
        <w:numPr>
          <w:ilvl w:val="0"/>
          <w:numId w:val="7"/>
        </w:numPr>
        <w:ind w:left="1134" w:hanging="567"/>
      </w:pPr>
      <w:r w:rsidRPr="006635F9">
        <w:t xml:space="preserve">Islas Salomón:  Comentarios sobre el proyecto de </w:t>
      </w:r>
      <w:r w:rsidR="007A3BED" w:rsidRPr="006635F9">
        <w:t>e</w:t>
      </w:r>
      <w:r w:rsidRPr="006635F9">
        <w:t>strategia de P.I., suministrados el 17 de junio de 2014;</w:t>
      </w:r>
    </w:p>
    <w:p w:rsidR="00D65A43" w:rsidRPr="006635F9" w:rsidRDefault="00D65A43" w:rsidP="00D65A43">
      <w:pPr>
        <w:pStyle w:val="ONUMFS"/>
        <w:numPr>
          <w:ilvl w:val="0"/>
          <w:numId w:val="7"/>
        </w:numPr>
        <w:ind w:left="1134" w:hanging="567"/>
      </w:pPr>
      <w:r w:rsidRPr="006635F9">
        <w:t>Ma</w:t>
      </w:r>
      <w:r w:rsidR="000C4E33" w:rsidRPr="006635F9">
        <w:t>dagascar</w:t>
      </w:r>
      <w:r w:rsidRPr="006635F9">
        <w:t xml:space="preserve">:  </w:t>
      </w:r>
      <w:r w:rsidR="000C4E33" w:rsidRPr="006635F9">
        <w:t>Come</w:t>
      </w:r>
      <w:r w:rsidR="00D55D97" w:rsidRPr="006635F9">
        <w:t>n</w:t>
      </w:r>
      <w:r w:rsidR="000C4E33" w:rsidRPr="006635F9">
        <w:t>tar</w:t>
      </w:r>
      <w:r w:rsidR="00D55D97" w:rsidRPr="006635F9">
        <w:t>i</w:t>
      </w:r>
      <w:r w:rsidR="007A3BED" w:rsidRPr="006635F9">
        <w:t>os sobre el proyecto de p</w:t>
      </w:r>
      <w:r w:rsidR="000C4E33" w:rsidRPr="006635F9">
        <w:t xml:space="preserve">olítica y </w:t>
      </w:r>
      <w:r w:rsidR="007A3BED" w:rsidRPr="006635F9">
        <w:t>e</w:t>
      </w:r>
      <w:r w:rsidR="000C4E33" w:rsidRPr="006635F9">
        <w:t xml:space="preserve">strategia </w:t>
      </w:r>
      <w:r w:rsidR="007A3BED" w:rsidRPr="006635F9">
        <w:t>n</w:t>
      </w:r>
      <w:r w:rsidR="000C4E33" w:rsidRPr="006635F9">
        <w:t xml:space="preserve">acionales en materia de </w:t>
      </w:r>
      <w:r w:rsidR="007A3BED" w:rsidRPr="006635F9">
        <w:t>i</w:t>
      </w:r>
      <w:r w:rsidR="00D55D97" w:rsidRPr="006635F9">
        <w:t>nnovación y P.I., suministrados el 13 de agosto de 2014</w:t>
      </w:r>
      <w:r w:rsidRPr="006635F9">
        <w:t>;</w:t>
      </w:r>
    </w:p>
    <w:p w:rsidR="00D65A43" w:rsidRPr="006635F9" w:rsidRDefault="00D65A43" w:rsidP="00D65A43">
      <w:pPr>
        <w:pStyle w:val="ONUMFS"/>
        <w:numPr>
          <w:ilvl w:val="0"/>
          <w:numId w:val="7"/>
        </w:numPr>
        <w:ind w:left="1134" w:hanging="567"/>
      </w:pPr>
      <w:r w:rsidRPr="006635F9">
        <w:t>M</w:t>
      </w:r>
      <w:r w:rsidR="00D55D97" w:rsidRPr="006635F9">
        <w:t>auricio</w:t>
      </w:r>
      <w:r w:rsidRPr="006635F9">
        <w:t xml:space="preserve">:  </w:t>
      </w:r>
      <w:r w:rsidR="00D55D97" w:rsidRPr="006635F9">
        <w:t>Comentarios sobre el proyecto de Ley de Propiedad Industrial, suministrados el 5 de diciembre de 2014</w:t>
      </w:r>
      <w:r w:rsidRPr="006635F9">
        <w:t>;</w:t>
      </w:r>
    </w:p>
    <w:p w:rsidR="00D55D97" w:rsidRPr="006635F9" w:rsidRDefault="00D55D97" w:rsidP="00D65A43">
      <w:pPr>
        <w:pStyle w:val="ONUMFS"/>
        <w:numPr>
          <w:ilvl w:val="0"/>
          <w:numId w:val="7"/>
        </w:numPr>
        <w:ind w:left="1134" w:hanging="567"/>
      </w:pPr>
      <w:r w:rsidRPr="006635F9">
        <w:t>Myanmar</w:t>
      </w:r>
      <w:r w:rsidR="00D65A43" w:rsidRPr="006635F9">
        <w:t>:  Comentarios sobre el proyecto de Ley de</w:t>
      </w:r>
      <w:r w:rsidRPr="006635F9">
        <w:t xml:space="preserve"> Marcas, suministrados el 21 de octubre de 2014</w:t>
      </w:r>
      <w:r w:rsidR="00D65A43" w:rsidRPr="006635F9">
        <w:t>;</w:t>
      </w:r>
    </w:p>
    <w:p w:rsidR="00D65A43" w:rsidRPr="006635F9" w:rsidRDefault="00D65A43" w:rsidP="00D65A43">
      <w:pPr>
        <w:pStyle w:val="ONUMFS"/>
        <w:numPr>
          <w:ilvl w:val="0"/>
          <w:numId w:val="7"/>
        </w:numPr>
        <w:ind w:left="1134" w:hanging="567"/>
      </w:pPr>
      <w:r w:rsidRPr="006635F9">
        <w:lastRenderedPageBreak/>
        <w:t>Panamá:  Comentarios sobre</w:t>
      </w:r>
      <w:r w:rsidR="00D55D97" w:rsidRPr="006635F9">
        <w:t xml:space="preserve"> la aplicación a nivel nacional del artículo 9 del Tratado sobre el Derecho de Marcas y el Tratado de Singapur, suministrados el 3 de marzo de 2015;</w:t>
      </w:r>
    </w:p>
    <w:p w:rsidR="00762602" w:rsidRPr="006635F9" w:rsidRDefault="00762602" w:rsidP="00762602">
      <w:pPr>
        <w:pStyle w:val="ONUMFS"/>
        <w:numPr>
          <w:ilvl w:val="0"/>
          <w:numId w:val="7"/>
        </w:numPr>
        <w:ind w:left="1134" w:hanging="567"/>
      </w:pPr>
      <w:r w:rsidRPr="006635F9">
        <w:t>República Dominicana:  Comentarios sobre el proyecto de Reglamento de Aplicación de la Ley sobre Propiedad Industrial, suministrados el 7 de octubre de 2013;</w:t>
      </w:r>
    </w:p>
    <w:p w:rsidR="00D65A43" w:rsidRPr="006635F9" w:rsidRDefault="00D65A43" w:rsidP="00D65A43">
      <w:pPr>
        <w:pStyle w:val="ONUMFS"/>
        <w:numPr>
          <w:ilvl w:val="0"/>
          <w:numId w:val="7"/>
        </w:numPr>
        <w:ind w:left="1134" w:hanging="567"/>
      </w:pPr>
      <w:r w:rsidRPr="006635F9">
        <w:t>S</w:t>
      </w:r>
      <w:r w:rsidR="00D55D97" w:rsidRPr="006635F9">
        <w:t>eychelles</w:t>
      </w:r>
      <w:r w:rsidRPr="006635F9">
        <w:t>:  Comentarios sobre</w:t>
      </w:r>
      <w:r w:rsidR="00D55D97" w:rsidRPr="006635F9">
        <w:t xml:space="preserve"> el proyecto de Ley de Propiedad Industrial, suministrados el 13 de marzo de 2014</w:t>
      </w:r>
      <w:r w:rsidRPr="006635F9">
        <w:t>.</w:t>
      </w:r>
    </w:p>
    <w:p w:rsidR="00762602" w:rsidRPr="006635F9" w:rsidRDefault="00762602" w:rsidP="00D65A43">
      <w:pPr>
        <w:pStyle w:val="ONUMFS"/>
        <w:numPr>
          <w:ilvl w:val="0"/>
          <w:numId w:val="7"/>
        </w:numPr>
        <w:ind w:left="1134" w:hanging="567"/>
      </w:pPr>
      <w:r w:rsidRPr="006635F9">
        <w:t>Vanuatu:  Comentarios sobre el proyecto</w:t>
      </w:r>
      <w:r w:rsidR="007A3BED" w:rsidRPr="006635F9">
        <w:t xml:space="preserve"> de e</w:t>
      </w:r>
      <w:r w:rsidRPr="006635F9">
        <w:t xml:space="preserve">strategia </w:t>
      </w:r>
      <w:r w:rsidR="007A3BED" w:rsidRPr="006635F9">
        <w:t>n</w:t>
      </w:r>
      <w:r w:rsidRPr="006635F9">
        <w:t xml:space="preserve">acional de </w:t>
      </w:r>
      <w:r w:rsidR="007A3BED" w:rsidRPr="006635F9">
        <w:t>p</w:t>
      </w:r>
      <w:r w:rsidRPr="006635F9">
        <w:t xml:space="preserve">ropiedad </w:t>
      </w:r>
      <w:r w:rsidR="007A3BED" w:rsidRPr="006635F9">
        <w:t>i</w:t>
      </w:r>
      <w:r w:rsidRPr="006635F9">
        <w:t>ntelectual 2014-2016, suministrados el 30 de julio de 2013;</w:t>
      </w:r>
    </w:p>
    <w:p w:rsidR="00762602" w:rsidRPr="006635F9" w:rsidRDefault="00762602" w:rsidP="00D65A43">
      <w:pPr>
        <w:pStyle w:val="ONUMFS"/>
        <w:numPr>
          <w:ilvl w:val="0"/>
          <w:numId w:val="7"/>
        </w:numPr>
        <w:ind w:left="1134" w:hanging="567"/>
      </w:pPr>
      <w:r w:rsidRPr="006635F9">
        <w:t>Zanzíbar</w:t>
      </w:r>
      <w:r w:rsidR="00CE45CF" w:rsidRPr="006635F9">
        <w:t xml:space="preserve"> (República Unida de Tanzanía)</w:t>
      </w:r>
      <w:r w:rsidRPr="006635F9">
        <w:t>:  Comentarios sobre el proyecto de Reglamento de la Ley de Propiedad  Industrial, suministrados el 17 de junio de 2014, y comentarios adicionales sobre el proyecto revisado de Reglamento de la Ley de Propiedad Industrial, suministrados el 9 de octubre de 2014;</w:t>
      </w:r>
    </w:p>
    <w:p w:rsidR="00CA3EA8" w:rsidRPr="006635F9" w:rsidRDefault="00762602" w:rsidP="00DC4DF5">
      <w:pPr>
        <w:pStyle w:val="ONUMFS"/>
        <w:numPr>
          <w:ilvl w:val="0"/>
          <w:numId w:val="7"/>
        </w:numPr>
        <w:ind w:left="1134" w:hanging="567"/>
      </w:pPr>
      <w:r w:rsidRPr="006635F9">
        <w:t>ASEAN</w:t>
      </w:r>
      <w:proofErr w:type="gramStart"/>
      <w:r w:rsidRPr="006635F9">
        <w:t>:  Comentarios</w:t>
      </w:r>
      <w:proofErr w:type="gramEnd"/>
      <w:r w:rsidRPr="006635F9">
        <w:t xml:space="preserve"> sobre el plan de acción </w:t>
      </w:r>
      <w:r w:rsidR="00093B00" w:rsidRPr="006635F9">
        <w:t>sobre los derechos de P.I. 2016</w:t>
      </w:r>
      <w:r w:rsidR="00093B00" w:rsidRPr="006635F9">
        <w:noBreakHyphen/>
      </w:r>
      <w:r w:rsidRPr="006635F9">
        <w:t>2025, suministrados el 5 de marzo de 2015.</w:t>
      </w:r>
      <w:r w:rsidR="00CA3EA8">
        <w:br/>
      </w:r>
    </w:p>
    <w:p w:rsidR="00D65A43" w:rsidRDefault="00D65A43" w:rsidP="00D65A43">
      <w:pPr>
        <w:pStyle w:val="Heading1"/>
        <w:ind w:left="550" w:hanging="550"/>
        <w:rPr>
          <w:caps w:val="0"/>
        </w:rPr>
      </w:pPr>
      <w:r w:rsidRPr="006635F9">
        <w:t>III.</w:t>
      </w:r>
      <w:r w:rsidRPr="006635F9">
        <w:tab/>
      </w:r>
      <w:r w:rsidRPr="006635F9">
        <w:rPr>
          <w:caps w:val="0"/>
        </w:rPr>
        <w:t xml:space="preserve">ACTIVIDADES DE INFORMACIÓN, EDUCACIÓN, SENSIBILIZACIÓN Y ASISTENCIA EN LA REVISIÓN DE </w:t>
      </w:r>
      <w:r w:rsidR="006D5091" w:rsidRPr="006635F9">
        <w:rPr>
          <w:caps w:val="0"/>
        </w:rPr>
        <w:t xml:space="preserve">PRÁCTICAS Y </w:t>
      </w:r>
      <w:r w:rsidRPr="006635F9">
        <w:rPr>
          <w:caps w:val="0"/>
        </w:rPr>
        <w:t>PROCEDIMIENTOS ADMINISTRATIV</w:t>
      </w:r>
      <w:r w:rsidR="006D5091" w:rsidRPr="006635F9">
        <w:rPr>
          <w:caps w:val="0"/>
        </w:rPr>
        <w:t>O</w:t>
      </w:r>
      <w:r w:rsidRPr="006635F9">
        <w:rPr>
          <w:caps w:val="0"/>
        </w:rPr>
        <w:t>S</w:t>
      </w:r>
    </w:p>
    <w:p w:rsidR="008A2314" w:rsidRPr="00DC4DF5" w:rsidRDefault="008A2314" w:rsidP="00DC4DF5"/>
    <w:p w:rsidR="00D65A43" w:rsidRPr="006635F9" w:rsidRDefault="00D65A43" w:rsidP="00D65A43">
      <w:pPr>
        <w:pStyle w:val="ONUMFS"/>
      </w:pPr>
      <w:r w:rsidRPr="006635F9">
        <w:t xml:space="preserve">La información relativa a este punto comprende también actividades </w:t>
      </w:r>
      <w:r w:rsidR="006D5091" w:rsidRPr="006635F9">
        <w:t>que se han llevado a cabo</w:t>
      </w:r>
      <w:r w:rsidRPr="006635F9">
        <w:t xml:space="preserve"> en relación con el Tratado sobre el Derecho de Marcas (TLT), el instrumento internacional que </w:t>
      </w:r>
      <w:r w:rsidR="00065654" w:rsidRPr="006635F9">
        <w:t xml:space="preserve">quedó revisado por </w:t>
      </w:r>
      <w:r w:rsidRPr="006635F9">
        <w:t>el Tratado de Singapur y que contiene</w:t>
      </w:r>
      <w:r w:rsidR="00065654" w:rsidRPr="006635F9">
        <w:t>, por consiguiente,</w:t>
      </w:r>
      <w:r w:rsidRPr="006635F9">
        <w:t xml:space="preserve"> todas las disposiciones sustantivas de este último.  La información se presenta por orden cronológico, de acuerdo con la fecha de la actividad.</w:t>
      </w:r>
    </w:p>
    <w:p w:rsidR="009E74D2" w:rsidRPr="006635F9" w:rsidRDefault="009E74D2" w:rsidP="009E74D2">
      <w:pPr>
        <w:pStyle w:val="ONUMFS"/>
        <w:numPr>
          <w:ilvl w:val="0"/>
          <w:numId w:val="0"/>
        </w:numPr>
        <w:rPr>
          <w:u w:val="single"/>
        </w:rPr>
      </w:pPr>
      <w:r w:rsidRPr="006635F9">
        <w:rPr>
          <w:u w:val="single"/>
        </w:rPr>
        <w:t>Misiones de asesoramiento</w:t>
      </w:r>
    </w:p>
    <w:p w:rsidR="00D65A43" w:rsidRPr="006635F9" w:rsidRDefault="009E74D2" w:rsidP="00D65A43">
      <w:pPr>
        <w:pStyle w:val="ONUMFS"/>
        <w:numPr>
          <w:ilvl w:val="0"/>
          <w:numId w:val="7"/>
        </w:numPr>
        <w:ind w:left="1134" w:hanging="567"/>
      </w:pPr>
      <w:r w:rsidRPr="006635F9">
        <w:t xml:space="preserve">El  19 de noviembre de 2013, un funcionario de la OMPI llevó a cabo una misión de asesoramiento legislativo en Nay Pyi Taw (Myanmar) </w:t>
      </w:r>
      <w:r w:rsidR="005724C2" w:rsidRPr="006635F9">
        <w:t>y</w:t>
      </w:r>
      <w:r w:rsidRPr="006635F9">
        <w:t xml:space="preserve"> prest</w:t>
      </w:r>
      <w:r w:rsidR="005724C2" w:rsidRPr="006635F9">
        <w:t>ó</w:t>
      </w:r>
      <w:r w:rsidRPr="006635F9">
        <w:t xml:space="preserve"> asistencia a los encargados de la redacción de leyes a nivel nacional en relación con una serie de cuestiones pendiente</w:t>
      </w:r>
      <w:r w:rsidR="00CE45CF" w:rsidRPr="006635F9">
        <w:t>s</w:t>
      </w:r>
      <w:r w:rsidRPr="006635F9">
        <w:t xml:space="preserve"> relativas al proyecto de Ley de Marcas de Myanmar</w:t>
      </w:r>
      <w:r w:rsidR="00D65A43" w:rsidRPr="006635F9">
        <w:t>.</w:t>
      </w:r>
    </w:p>
    <w:p w:rsidR="00D65A43" w:rsidRPr="006635F9" w:rsidRDefault="009E74D2" w:rsidP="00D65A43">
      <w:pPr>
        <w:pStyle w:val="ONUMFS"/>
        <w:numPr>
          <w:ilvl w:val="0"/>
          <w:numId w:val="7"/>
        </w:numPr>
        <w:ind w:left="1134" w:hanging="567"/>
      </w:pPr>
      <w:r w:rsidRPr="006635F9">
        <w:t>Los días 9 y 10 de junio de 2014, un funcionario de la OMPI llevó a cabo una misión de asesoramiento legislativo en Port Louis (Mauricio), para prestar asistencia a los funcionarios del Ministerio de Relaciones Exteriores, Integración Regional y Comercio Internacional, y de la Oficina del Fiscal General, en la preparación de un proyecto de Ley de Propiedad Industrial de Mauricio</w:t>
      </w:r>
      <w:r w:rsidR="00D65A43" w:rsidRPr="006635F9">
        <w:t>.</w:t>
      </w:r>
    </w:p>
    <w:p w:rsidR="00D65A43" w:rsidRPr="006635F9" w:rsidRDefault="00A84F32" w:rsidP="00D65A43">
      <w:pPr>
        <w:pStyle w:val="ONUMFS"/>
        <w:numPr>
          <w:ilvl w:val="0"/>
          <w:numId w:val="7"/>
        </w:numPr>
        <w:ind w:left="1134" w:hanging="567"/>
      </w:pPr>
      <w:r w:rsidRPr="006635F9">
        <w:t xml:space="preserve">Los días 22 y 23 de enero de 2015, un funcionario </w:t>
      </w:r>
      <w:r w:rsidR="00CE45CF" w:rsidRPr="006635F9">
        <w:t>de la OMPI participó en una consulta pública nacional en Thimphu (Bhután), acerca del proyecto de Ley de Propiedad Industrial.  En la consulta participaron funcionarios gubernamentales de varios ministerios encargados de cuestiones de propiedad intelectual y otras partes interesadas.</w:t>
      </w:r>
    </w:p>
    <w:p w:rsidR="00CE45CF" w:rsidRPr="006635F9" w:rsidRDefault="00CE45CF" w:rsidP="00093B00">
      <w:pPr>
        <w:pStyle w:val="ONUMFS"/>
        <w:numPr>
          <w:ilvl w:val="0"/>
          <w:numId w:val="0"/>
        </w:numPr>
      </w:pPr>
      <w:r w:rsidRPr="006635F9">
        <w:rPr>
          <w:u w:val="single"/>
        </w:rPr>
        <w:t>Seminarios y talleres</w:t>
      </w:r>
    </w:p>
    <w:p w:rsidR="00CE45CF" w:rsidRPr="006635F9" w:rsidRDefault="00CE45CF" w:rsidP="00093B00">
      <w:pPr>
        <w:pStyle w:val="ONUMFS"/>
        <w:numPr>
          <w:ilvl w:val="0"/>
          <w:numId w:val="7"/>
        </w:numPr>
        <w:ind w:left="1134" w:hanging="567"/>
      </w:pPr>
      <w:r w:rsidRPr="006635F9">
        <w:t xml:space="preserve">Del 28 al 30 de abril de 2014 tuvo lugar en Manila (Filipinas), un seminario sobre marcas no tradicionales.  </w:t>
      </w:r>
      <w:r w:rsidR="005724C2" w:rsidRPr="006635F9">
        <w:t>El seminario</w:t>
      </w:r>
      <w:r w:rsidRPr="006635F9">
        <w:t xml:space="preserve"> fue organizad</w:t>
      </w:r>
      <w:r w:rsidR="005724C2" w:rsidRPr="006635F9">
        <w:t>o</w:t>
      </w:r>
      <w:r w:rsidRPr="006635F9">
        <w:t xml:space="preserve"> por la OMPI y la Oficina de Propiedad Intelectual de Filipinas</w:t>
      </w:r>
      <w:r w:rsidR="00DA0DB9">
        <w:t xml:space="preserve"> (IPOPHL)</w:t>
      </w:r>
      <w:r w:rsidRPr="006635F9">
        <w:t xml:space="preserve">, </w:t>
      </w:r>
      <w:r w:rsidR="005724C2" w:rsidRPr="006635F9">
        <w:t>y en él participaron</w:t>
      </w:r>
      <w:r w:rsidRPr="006635F9">
        <w:t xml:space="preserve"> examinadores y abogados de marcas.</w:t>
      </w:r>
    </w:p>
    <w:p w:rsidR="00CE45CF" w:rsidRPr="006635F9" w:rsidRDefault="00CE45CF" w:rsidP="00093B00">
      <w:pPr>
        <w:pStyle w:val="ONUMFS"/>
        <w:numPr>
          <w:ilvl w:val="0"/>
          <w:numId w:val="7"/>
        </w:numPr>
        <w:ind w:left="1134" w:hanging="567"/>
      </w:pPr>
      <w:r w:rsidRPr="006635F9">
        <w:lastRenderedPageBreak/>
        <w:t>Los días 22 y 23 de julio de 2014 tuvo lugar en Yaundé (Camerún) un seminario regional en torno al tema “Diálogo político sobre la actualidad internacional relativa al Derecho y la práctica en el ámbito de las marcas”</w:t>
      </w:r>
      <w:r w:rsidR="00D72E76" w:rsidRPr="006635F9">
        <w:t>.   En el seminario, organizado por la OMPI y la Organización Africana de la Propiedad Intelectual (OAPI), participaron funcionarios del sector de marcas de Benin</w:t>
      </w:r>
      <w:r w:rsidR="005724C2" w:rsidRPr="006635F9">
        <w:t>,</w:t>
      </w:r>
      <w:r w:rsidR="00D72E76" w:rsidRPr="006635F9">
        <w:t xml:space="preserve"> Burkina Faso, Camerún, Côte d’Ivoire, Guinea Ecuatorial, Gabón, Guinea, Guinea Bissau, Malí, Mauritania, Níger, República Centroafricana, República de Congo y Togo.  Asistieron también al evento juristas locales y representantes de un grupo de pequeñas y medianas empresas (pymes) del Camerún.</w:t>
      </w:r>
    </w:p>
    <w:p w:rsidR="00B251A8" w:rsidRPr="006635F9" w:rsidRDefault="00B251A8" w:rsidP="00093B00">
      <w:pPr>
        <w:pStyle w:val="ONUMFS"/>
        <w:numPr>
          <w:ilvl w:val="0"/>
          <w:numId w:val="7"/>
        </w:numPr>
        <w:ind w:left="1134" w:hanging="567"/>
      </w:pPr>
      <w:r w:rsidRPr="006635F9">
        <w:t xml:space="preserve">Los días 9 y 10 de abril de 2015 tuvo lugar en Bakú (Azerbaiyán), un seminario regional </w:t>
      </w:r>
      <w:r w:rsidR="008A2314">
        <w:t>de sensibilización</w:t>
      </w:r>
      <w:r w:rsidRPr="006635F9">
        <w:t xml:space="preserve"> sobre la protección de las marcas no tradicionales.  La actividad fue organizada por la OMPI y </w:t>
      </w:r>
      <w:r w:rsidR="005724C2" w:rsidRPr="006635F9">
        <w:t xml:space="preserve">la </w:t>
      </w:r>
      <w:r w:rsidRPr="006635F9">
        <w:t>Comisión Estatal de Normalización, Metrología y Patentes de la República de Azerbaiyán, y en ella participaron delegaciones de Georgia, Kazajstán y Turquía, concretamente, funcionarios gubernamentales encargados de cuestiones de propiedad intelectual, juristas y representantes de instituciones académicas a nivel nacional.</w:t>
      </w:r>
    </w:p>
    <w:p w:rsidR="00D72E76" w:rsidRPr="006635F9" w:rsidRDefault="00D72E76" w:rsidP="00CE45CF">
      <w:pPr>
        <w:pStyle w:val="ONUMFS"/>
        <w:numPr>
          <w:ilvl w:val="0"/>
          <w:numId w:val="0"/>
        </w:numPr>
        <w:rPr>
          <w:u w:val="single"/>
        </w:rPr>
      </w:pPr>
      <w:r w:rsidRPr="006635F9">
        <w:rPr>
          <w:u w:val="single"/>
        </w:rPr>
        <w:t>Visitas de estudio</w:t>
      </w:r>
    </w:p>
    <w:p w:rsidR="00D72E76" w:rsidRPr="006635F9" w:rsidRDefault="00D72E76" w:rsidP="00093B00">
      <w:pPr>
        <w:pStyle w:val="ONUMFS"/>
        <w:numPr>
          <w:ilvl w:val="0"/>
          <w:numId w:val="7"/>
        </w:numPr>
        <w:ind w:left="1134" w:hanging="567"/>
      </w:pPr>
      <w:r w:rsidRPr="006635F9">
        <w:t xml:space="preserve">El 16 de julio de 2013, la Oficina Internacional de la OMPI </w:t>
      </w:r>
      <w:r w:rsidR="008A2314">
        <w:t>recibió</w:t>
      </w:r>
      <w:r w:rsidR="008A2314" w:rsidRPr="006635F9">
        <w:t xml:space="preserve"> </w:t>
      </w:r>
      <w:r w:rsidRPr="006635F9">
        <w:t xml:space="preserve">la visita de cuatro funcionarios gubernamentales encargados de cuestiones de </w:t>
      </w:r>
      <w:r w:rsidR="0035092C" w:rsidRPr="006635F9">
        <w:t xml:space="preserve">P.I. </w:t>
      </w:r>
      <w:r w:rsidRPr="006635F9">
        <w:t>de Bangladesh para debatir asuntos de interés relativos al Derecho y la práctica en el ámbito de las marcas.</w:t>
      </w:r>
    </w:p>
    <w:p w:rsidR="00D72E76" w:rsidRPr="006635F9" w:rsidRDefault="00D72E76" w:rsidP="00093B00">
      <w:pPr>
        <w:pStyle w:val="ONUMFS"/>
        <w:numPr>
          <w:ilvl w:val="0"/>
          <w:numId w:val="7"/>
        </w:numPr>
        <w:ind w:left="1134" w:hanging="567"/>
      </w:pPr>
      <w:r w:rsidRPr="006635F9">
        <w:t>Del 19 al 21 de mayo de 2014, l</w:t>
      </w:r>
      <w:r w:rsidR="00B251A8" w:rsidRPr="006635F9">
        <w:t>a</w:t>
      </w:r>
      <w:r w:rsidRPr="006635F9">
        <w:t xml:space="preserve"> </w:t>
      </w:r>
      <w:r w:rsidR="00B251A8" w:rsidRPr="006635F9">
        <w:t>Oficina</w:t>
      </w:r>
      <w:r w:rsidRPr="006635F9">
        <w:t xml:space="preserve"> Internacional de la OMPI recibió la visita de tres funcionarios gubernamentales de la República Popular Democrática</w:t>
      </w:r>
      <w:r w:rsidR="00B251A8" w:rsidRPr="006635F9">
        <w:t xml:space="preserve"> de Corea encargados de cuestiones de P.I., con los que debatió asuntos relativos al Tratado de Singapur.</w:t>
      </w:r>
    </w:p>
    <w:p w:rsidR="00B251A8" w:rsidRPr="006635F9" w:rsidRDefault="00B251A8" w:rsidP="00093B00">
      <w:pPr>
        <w:pStyle w:val="ONUMFS"/>
        <w:numPr>
          <w:ilvl w:val="0"/>
          <w:numId w:val="7"/>
        </w:numPr>
        <w:ind w:left="1134" w:hanging="567"/>
      </w:pPr>
      <w:r w:rsidRPr="006635F9">
        <w:t xml:space="preserve">El 8 de julio de 2014, la Oficina Internacional de la OMPI recibió </w:t>
      </w:r>
      <w:r w:rsidR="008A2314">
        <w:t>una</w:t>
      </w:r>
      <w:r w:rsidR="008A2314" w:rsidRPr="006635F9">
        <w:t xml:space="preserve"> </w:t>
      </w:r>
      <w:r w:rsidRPr="006635F9">
        <w:t xml:space="preserve">visita de </w:t>
      </w:r>
      <w:r w:rsidR="008A2314">
        <w:t xml:space="preserve">estudio de </w:t>
      </w:r>
      <w:r w:rsidRPr="006635F9">
        <w:t>dos miembros del Tribunal Registral Administrativo de Costa Rica, con los que conversó sobre cuestiones relativas al Derecho y la práctica en el ámbito de las marcas, entre otras, el Tratado sobre el Derecho de Marcas y el Tratado de Singapur.</w:t>
      </w:r>
    </w:p>
    <w:p w:rsidR="00445D93" w:rsidRPr="006635F9" w:rsidRDefault="00445D93" w:rsidP="00093B00">
      <w:pPr>
        <w:pStyle w:val="ONUMFS"/>
        <w:numPr>
          <w:ilvl w:val="0"/>
          <w:numId w:val="7"/>
        </w:numPr>
        <w:ind w:left="1134" w:hanging="567"/>
      </w:pPr>
      <w:r w:rsidRPr="006635F9">
        <w:t xml:space="preserve">Los días 27 y 28 de abril de 2015, la Oficina Internacional de la OMPI </w:t>
      </w:r>
      <w:r w:rsidR="008A2314">
        <w:t>recibió</w:t>
      </w:r>
      <w:r w:rsidR="008A2314" w:rsidRPr="006635F9">
        <w:t xml:space="preserve"> </w:t>
      </w:r>
      <w:r w:rsidRPr="006635F9">
        <w:t>una visita de estudio de dos funcionarios del Departamento de Registro Internacional de Marcas de Tayikistán, con los que examinó una serie de asuntos relativos a la aplicación nacional del Tratado de Singapur.</w:t>
      </w:r>
    </w:p>
    <w:p w:rsidR="00445D93" w:rsidRPr="006635F9" w:rsidRDefault="00445D93" w:rsidP="00CE45CF">
      <w:pPr>
        <w:pStyle w:val="ONUMFS"/>
        <w:numPr>
          <w:ilvl w:val="0"/>
          <w:numId w:val="0"/>
        </w:numPr>
      </w:pPr>
      <w:r w:rsidRPr="006635F9">
        <w:rPr>
          <w:u w:val="single"/>
        </w:rPr>
        <w:t>Otras actividades</w:t>
      </w:r>
    </w:p>
    <w:p w:rsidR="00CA3EA8" w:rsidRDefault="00445D93" w:rsidP="00093B00">
      <w:pPr>
        <w:pStyle w:val="ONUMFS"/>
        <w:numPr>
          <w:ilvl w:val="0"/>
          <w:numId w:val="7"/>
        </w:numPr>
        <w:ind w:left="1134" w:hanging="567"/>
        <w:rPr>
          <w:i/>
        </w:rPr>
      </w:pPr>
      <w:r w:rsidRPr="006635F9">
        <w:t>Entre el 26 de enero y el 18 de mayo de 2015 se publicó, en los seis idiomas de trabajo de la OMPI, un folleto de informac</w:t>
      </w:r>
      <w:r w:rsidR="00B66DD9" w:rsidRPr="006635F9">
        <w:t>ión</w:t>
      </w:r>
      <w:r w:rsidR="00DF4FA9" w:rsidRPr="006635F9">
        <w:t xml:space="preserve"> titulado </w:t>
      </w:r>
      <w:r w:rsidR="00DF4FA9" w:rsidRPr="006635F9">
        <w:rPr>
          <w:i/>
        </w:rPr>
        <w:t xml:space="preserve">El Tratado </w:t>
      </w:r>
      <w:r w:rsidR="00A80299" w:rsidRPr="006635F9">
        <w:rPr>
          <w:i/>
        </w:rPr>
        <w:t>de Singapur sobre el Derecho de Marcas</w:t>
      </w:r>
      <w:proofErr w:type="gramStart"/>
      <w:r w:rsidR="00A80299" w:rsidRPr="006635F9">
        <w:rPr>
          <w:i/>
        </w:rPr>
        <w:t>:  Preguntas</w:t>
      </w:r>
      <w:proofErr w:type="gramEnd"/>
      <w:r w:rsidR="00A80299" w:rsidRPr="006635F9">
        <w:rPr>
          <w:i/>
        </w:rPr>
        <w:t xml:space="preserve"> y respuestas.</w:t>
      </w:r>
    </w:p>
    <w:p w:rsidR="00CA3EA8" w:rsidRDefault="00CA3EA8">
      <w:pPr>
        <w:rPr>
          <w:i/>
        </w:rPr>
      </w:pPr>
      <w:r>
        <w:rPr>
          <w:i/>
        </w:rPr>
        <w:br w:type="page"/>
      </w:r>
    </w:p>
    <w:p w:rsidR="00D65A43" w:rsidRPr="006635F9" w:rsidRDefault="00D65A43" w:rsidP="00D65A43">
      <w:pPr>
        <w:pStyle w:val="ONUMFS"/>
      </w:pPr>
      <w:r w:rsidRPr="006635F9">
        <w:lastRenderedPageBreak/>
        <w:t xml:space="preserve">El Anexo del presente documento contiene una lista de las Partes Contratantes </w:t>
      </w:r>
      <w:r w:rsidR="00A80299" w:rsidRPr="006635F9">
        <w:t>d</w:t>
      </w:r>
      <w:r w:rsidRPr="006635F9">
        <w:t xml:space="preserve">el Tratado de Singapur al </w:t>
      </w:r>
      <w:r w:rsidR="00A80299" w:rsidRPr="006635F9">
        <w:t xml:space="preserve">15 de abril </w:t>
      </w:r>
      <w:r w:rsidRPr="006635F9">
        <w:t>de 201</w:t>
      </w:r>
      <w:r w:rsidR="00A80299" w:rsidRPr="006635F9">
        <w:t>5</w:t>
      </w:r>
      <w:r w:rsidRPr="006635F9">
        <w:t>.</w:t>
      </w:r>
    </w:p>
    <w:p w:rsidR="00D65A43" w:rsidRPr="006635F9" w:rsidRDefault="00D65A43" w:rsidP="00AB4695">
      <w:pPr>
        <w:pStyle w:val="ONUMFS"/>
        <w:tabs>
          <w:tab w:val="left" w:pos="6096"/>
        </w:tabs>
        <w:spacing w:after="0"/>
        <w:ind w:left="5533"/>
        <w:rPr>
          <w:i/>
          <w:szCs w:val="22"/>
        </w:rPr>
      </w:pPr>
      <w:r w:rsidRPr="006635F9">
        <w:rPr>
          <w:i/>
          <w:szCs w:val="22"/>
        </w:rPr>
        <w:t>Se invita a la Asamblea a tomar nota del contenido del presente documento</w:t>
      </w:r>
      <w:r w:rsidR="00A80299" w:rsidRPr="006635F9">
        <w:rPr>
          <w:i/>
          <w:szCs w:val="22"/>
        </w:rPr>
        <w:t>, “Asistencia para la aplicación del Tratado de Singapur sobre el Derecho de Marcas” (documento STLT/A/8/1).</w:t>
      </w:r>
    </w:p>
    <w:p w:rsidR="00D65A43" w:rsidRPr="00AB4695" w:rsidRDefault="00D65A43" w:rsidP="00AB4695">
      <w:pPr>
        <w:pStyle w:val="DecisionInvitingPara"/>
        <w:tabs>
          <w:tab w:val="left" w:pos="5954"/>
          <w:tab w:val="right" w:pos="9072"/>
        </w:tabs>
        <w:spacing w:after="0" w:line="240" w:lineRule="auto"/>
        <w:ind w:left="5529" w:firstLine="5"/>
        <w:rPr>
          <w:i w:val="0"/>
          <w:sz w:val="22"/>
          <w:szCs w:val="22"/>
          <w:lang w:val="es-ES"/>
        </w:rPr>
      </w:pPr>
    </w:p>
    <w:p w:rsidR="00D65A43" w:rsidRDefault="00D65A43" w:rsidP="00AB4695">
      <w:pPr>
        <w:pStyle w:val="DecisionInvitingPara"/>
        <w:tabs>
          <w:tab w:val="left" w:pos="5954"/>
          <w:tab w:val="right" w:pos="9072"/>
        </w:tabs>
        <w:spacing w:after="0" w:line="240" w:lineRule="auto"/>
        <w:ind w:left="5529" w:firstLine="5"/>
        <w:rPr>
          <w:i w:val="0"/>
          <w:sz w:val="22"/>
          <w:szCs w:val="22"/>
          <w:lang w:val="es-ES"/>
        </w:rPr>
      </w:pPr>
    </w:p>
    <w:p w:rsidR="00AB4695" w:rsidRPr="00AB4695" w:rsidRDefault="00AB4695" w:rsidP="00AB4695">
      <w:pPr>
        <w:pStyle w:val="DecisionInvitingPara"/>
        <w:tabs>
          <w:tab w:val="left" w:pos="5954"/>
          <w:tab w:val="right" w:pos="9072"/>
        </w:tabs>
        <w:spacing w:after="0" w:line="240" w:lineRule="auto"/>
        <w:ind w:left="5529" w:firstLine="5"/>
        <w:rPr>
          <w:i w:val="0"/>
          <w:sz w:val="22"/>
          <w:szCs w:val="22"/>
          <w:lang w:val="es-ES"/>
        </w:rPr>
      </w:pPr>
      <w:bookmarkStart w:id="4" w:name="_GoBack"/>
      <w:bookmarkEnd w:id="4"/>
    </w:p>
    <w:p w:rsidR="00D65A43" w:rsidRPr="006635F9" w:rsidRDefault="00D65A43" w:rsidP="00093B00">
      <w:pPr>
        <w:pStyle w:val="Endofdocument-Annex"/>
        <w:rPr>
          <w:lang w:val="es-ES"/>
        </w:rPr>
      </w:pPr>
      <w:r w:rsidRPr="006635F9">
        <w:rPr>
          <w:lang w:val="es-ES"/>
        </w:rPr>
        <w:t>[Sigue el Anexo]</w:t>
      </w:r>
    </w:p>
    <w:p w:rsidR="00D65A43" w:rsidRPr="006635F9" w:rsidRDefault="00D65A43" w:rsidP="00D65A43"/>
    <w:p w:rsidR="00D65A43" w:rsidRPr="006635F9" w:rsidRDefault="00D65A43" w:rsidP="00D65A43">
      <w:pPr>
        <w:sectPr w:rsidR="00D65A43" w:rsidRPr="006635F9" w:rsidSect="00093B00">
          <w:headerReference w:type="default" r:id="rId9"/>
          <w:endnotePr>
            <w:numFmt w:val="decimal"/>
          </w:endnotePr>
          <w:pgSz w:w="11907" w:h="16840" w:code="9"/>
          <w:pgMar w:top="567" w:right="1134" w:bottom="1418" w:left="1418" w:header="510" w:footer="1021" w:gutter="0"/>
          <w:cols w:space="720"/>
          <w:titlePg/>
          <w:docGrid w:linePitch="299"/>
        </w:sectPr>
      </w:pPr>
    </w:p>
    <w:p w:rsidR="00D65A43" w:rsidRPr="006635F9" w:rsidRDefault="00D65A43" w:rsidP="00D65A43">
      <w:pPr>
        <w:autoSpaceDE w:val="0"/>
        <w:autoSpaceDN w:val="0"/>
        <w:adjustRightInd w:val="0"/>
        <w:jc w:val="center"/>
        <w:rPr>
          <w:szCs w:val="24"/>
        </w:rPr>
      </w:pPr>
      <w:r w:rsidRPr="006635F9">
        <w:rPr>
          <w:bCs/>
          <w:szCs w:val="24"/>
        </w:rPr>
        <w:lastRenderedPageBreak/>
        <w:t>Tratado de Singapur sobre el Derecho de Marcas</w:t>
      </w:r>
    </w:p>
    <w:p w:rsidR="00D65A43" w:rsidRPr="006635F9" w:rsidRDefault="00D65A43" w:rsidP="00D65A43">
      <w:pPr>
        <w:autoSpaceDE w:val="0"/>
        <w:autoSpaceDN w:val="0"/>
        <w:adjustRightInd w:val="0"/>
        <w:jc w:val="center"/>
        <w:rPr>
          <w:szCs w:val="24"/>
        </w:rPr>
      </w:pPr>
      <w:r w:rsidRPr="006635F9">
        <w:rPr>
          <w:szCs w:val="24"/>
        </w:rPr>
        <w:t>(Singapur</w:t>
      </w:r>
      <w:r w:rsidR="00A80299" w:rsidRPr="006635F9">
        <w:rPr>
          <w:szCs w:val="24"/>
        </w:rPr>
        <w:t>,</w:t>
      </w:r>
      <w:r w:rsidRPr="006635F9">
        <w:rPr>
          <w:szCs w:val="24"/>
        </w:rPr>
        <w:t xml:space="preserve"> 2006)</w:t>
      </w:r>
    </w:p>
    <w:p w:rsidR="00D65A43" w:rsidRPr="006635F9" w:rsidRDefault="00D65A43" w:rsidP="00D65A43">
      <w:pPr>
        <w:autoSpaceDE w:val="0"/>
        <w:autoSpaceDN w:val="0"/>
        <w:adjustRightInd w:val="0"/>
        <w:jc w:val="center"/>
        <w:rPr>
          <w:szCs w:val="24"/>
        </w:rPr>
      </w:pPr>
      <w:r w:rsidRPr="006635F9">
        <w:rPr>
          <w:bCs/>
          <w:szCs w:val="24"/>
        </w:rPr>
        <w:t xml:space="preserve">Situación al </w:t>
      </w:r>
      <w:r w:rsidR="00A80299" w:rsidRPr="006635F9">
        <w:rPr>
          <w:bCs/>
          <w:szCs w:val="24"/>
        </w:rPr>
        <w:t xml:space="preserve">15 </w:t>
      </w:r>
      <w:r w:rsidRPr="006635F9">
        <w:rPr>
          <w:bCs/>
          <w:szCs w:val="24"/>
        </w:rPr>
        <w:t xml:space="preserve">de </w:t>
      </w:r>
      <w:r w:rsidR="00A80299" w:rsidRPr="006635F9">
        <w:rPr>
          <w:bCs/>
          <w:szCs w:val="24"/>
        </w:rPr>
        <w:t>abril de 2015</w:t>
      </w:r>
    </w:p>
    <w:p w:rsidR="00D65A43" w:rsidRPr="006635F9" w:rsidRDefault="00D65A43" w:rsidP="00D65A43">
      <w:pPr>
        <w:autoSpaceDE w:val="0"/>
        <w:autoSpaceDN w:val="0"/>
        <w:adjustRightInd w:val="0"/>
        <w:jc w:val="center"/>
        <w:rPr>
          <w:sz w:val="16"/>
          <w:szCs w:val="16"/>
        </w:rPr>
      </w:pPr>
    </w:p>
    <w:tbl>
      <w:tblPr>
        <w:tblW w:w="0" w:type="auto"/>
        <w:tblLayout w:type="fixed"/>
        <w:tblLook w:val="01E0" w:firstRow="1" w:lastRow="1" w:firstColumn="1" w:lastColumn="1" w:noHBand="0" w:noVBand="0"/>
      </w:tblPr>
      <w:tblGrid>
        <w:gridCol w:w="3085"/>
        <w:gridCol w:w="4536"/>
      </w:tblGrid>
      <w:tr w:rsidR="00D65A43" w:rsidRPr="006635F9" w:rsidTr="00093B00">
        <w:tc>
          <w:tcPr>
            <w:tcW w:w="3085" w:type="dxa"/>
          </w:tcPr>
          <w:p w:rsidR="00D65A43" w:rsidRPr="006635F9" w:rsidRDefault="00D65A43" w:rsidP="00093B00">
            <w:pPr>
              <w:pBdr>
                <w:top w:val="single" w:sz="4" w:space="1" w:color="auto"/>
                <w:bottom w:val="single" w:sz="4" w:space="1" w:color="auto"/>
              </w:pBdr>
              <w:tabs>
                <w:tab w:val="left" w:leader="dot" w:pos="2665"/>
              </w:tabs>
              <w:autoSpaceDE w:val="0"/>
              <w:autoSpaceDN w:val="0"/>
              <w:adjustRightInd w:val="0"/>
              <w:ind w:right="229"/>
              <w:rPr>
                <w:sz w:val="16"/>
                <w:szCs w:val="16"/>
              </w:rPr>
            </w:pPr>
          </w:p>
          <w:p w:rsidR="00D65A43" w:rsidRPr="006635F9" w:rsidRDefault="00D65A43" w:rsidP="00093B00">
            <w:pPr>
              <w:pBdr>
                <w:top w:val="single" w:sz="4" w:space="1" w:color="auto"/>
                <w:bottom w:val="single" w:sz="4" w:space="1" w:color="auto"/>
              </w:pBdr>
              <w:tabs>
                <w:tab w:val="left" w:pos="2410"/>
              </w:tabs>
              <w:autoSpaceDE w:val="0"/>
              <w:autoSpaceDN w:val="0"/>
              <w:adjustRightInd w:val="0"/>
              <w:ind w:right="229"/>
              <w:rPr>
                <w:sz w:val="16"/>
                <w:szCs w:val="16"/>
              </w:rPr>
            </w:pPr>
            <w:r w:rsidRPr="006635F9">
              <w:rPr>
                <w:sz w:val="18"/>
                <w:szCs w:val="18"/>
              </w:rPr>
              <w:t>Estado</w:t>
            </w:r>
            <w:r w:rsidR="008B28A9" w:rsidRPr="006635F9">
              <w:rPr>
                <w:sz w:val="18"/>
                <w:szCs w:val="18"/>
              </w:rPr>
              <w:t>/</w:t>
            </w:r>
            <w:r w:rsidR="00093B00" w:rsidRPr="006635F9">
              <w:rPr>
                <w:sz w:val="18"/>
                <w:szCs w:val="18"/>
              </w:rPr>
              <w:t>OII</w:t>
            </w:r>
          </w:p>
          <w:p w:rsidR="00093B00" w:rsidRPr="006635F9" w:rsidRDefault="00093B00" w:rsidP="00093B00">
            <w:pPr>
              <w:pBdr>
                <w:top w:val="single" w:sz="4" w:space="1" w:color="auto"/>
                <w:bottom w:val="single" w:sz="4" w:space="1" w:color="auto"/>
              </w:pBdr>
              <w:tabs>
                <w:tab w:val="left" w:pos="2410"/>
              </w:tabs>
              <w:autoSpaceDE w:val="0"/>
              <w:autoSpaceDN w:val="0"/>
              <w:adjustRightInd w:val="0"/>
              <w:ind w:right="229"/>
              <w:rPr>
                <w:sz w:val="18"/>
                <w:szCs w:val="18"/>
              </w:rPr>
            </w:pPr>
          </w:p>
        </w:tc>
        <w:tc>
          <w:tcPr>
            <w:tcW w:w="4536" w:type="dxa"/>
            <w:tcBorders>
              <w:bottom w:val="single" w:sz="4" w:space="0" w:color="auto"/>
            </w:tcBorders>
          </w:tcPr>
          <w:p w:rsidR="00D65A43" w:rsidRPr="006635F9" w:rsidRDefault="00D65A43" w:rsidP="005A1BFF">
            <w:pPr>
              <w:pBdr>
                <w:top w:val="single" w:sz="4" w:space="1" w:color="auto"/>
              </w:pBdr>
              <w:autoSpaceDE w:val="0"/>
              <w:autoSpaceDN w:val="0"/>
              <w:adjustRightInd w:val="0"/>
              <w:rPr>
                <w:sz w:val="16"/>
                <w:szCs w:val="16"/>
              </w:rPr>
            </w:pPr>
          </w:p>
          <w:p w:rsidR="00D65A43" w:rsidRPr="006635F9" w:rsidRDefault="00D65A43" w:rsidP="0035092C">
            <w:pPr>
              <w:autoSpaceDE w:val="0"/>
              <w:autoSpaceDN w:val="0"/>
              <w:adjustRightInd w:val="0"/>
              <w:rPr>
                <w:sz w:val="18"/>
                <w:szCs w:val="18"/>
              </w:rPr>
            </w:pPr>
            <w:r w:rsidRPr="006635F9">
              <w:rPr>
                <w:sz w:val="18"/>
                <w:szCs w:val="18"/>
              </w:rPr>
              <w:t>Fecha en la que el Estado</w:t>
            </w:r>
            <w:r w:rsidR="008B28A9" w:rsidRPr="006635F9">
              <w:rPr>
                <w:sz w:val="18"/>
                <w:szCs w:val="18"/>
              </w:rPr>
              <w:t>/la</w:t>
            </w:r>
            <w:r w:rsidR="0035092C" w:rsidRPr="006635F9">
              <w:rPr>
                <w:sz w:val="18"/>
                <w:szCs w:val="18"/>
              </w:rPr>
              <w:t xml:space="preserve"> </w:t>
            </w:r>
            <w:r w:rsidR="008B28A9" w:rsidRPr="006635F9">
              <w:rPr>
                <w:sz w:val="18"/>
                <w:szCs w:val="18"/>
              </w:rPr>
              <w:t>OII</w:t>
            </w:r>
            <w:r w:rsidRPr="006635F9">
              <w:rPr>
                <w:sz w:val="18"/>
                <w:szCs w:val="18"/>
              </w:rPr>
              <w:t xml:space="preserve"> </w:t>
            </w:r>
            <w:r w:rsidR="0035092C" w:rsidRPr="006635F9">
              <w:rPr>
                <w:sz w:val="18"/>
                <w:szCs w:val="18"/>
              </w:rPr>
              <w:t>pasó a ser</w:t>
            </w:r>
            <w:r w:rsidRPr="006635F9">
              <w:rPr>
                <w:sz w:val="18"/>
                <w:szCs w:val="18"/>
              </w:rPr>
              <w:t xml:space="preserve"> </w:t>
            </w:r>
            <w:r w:rsidR="0035092C" w:rsidRPr="006635F9">
              <w:rPr>
                <w:sz w:val="18"/>
                <w:szCs w:val="18"/>
              </w:rPr>
              <w:t>P</w:t>
            </w:r>
            <w:r w:rsidRPr="006635F9">
              <w:rPr>
                <w:sz w:val="18"/>
                <w:szCs w:val="18"/>
              </w:rPr>
              <w:t xml:space="preserve">arte </w:t>
            </w:r>
            <w:r w:rsidR="0035092C" w:rsidRPr="006635F9">
              <w:rPr>
                <w:sz w:val="18"/>
                <w:szCs w:val="18"/>
              </w:rPr>
              <w:t>Contratante d</w:t>
            </w:r>
            <w:r w:rsidRPr="006635F9">
              <w:rPr>
                <w:sz w:val="18"/>
                <w:szCs w:val="18"/>
              </w:rPr>
              <w:t xml:space="preserve">el Tratado </w:t>
            </w:r>
          </w:p>
        </w:tc>
      </w:tr>
      <w:tr w:rsidR="00E02273" w:rsidRPr="006635F9" w:rsidTr="00093B00">
        <w:tc>
          <w:tcPr>
            <w:tcW w:w="3085" w:type="dxa"/>
          </w:tcPr>
          <w:p w:rsidR="00093B00" w:rsidRPr="006635F9" w:rsidRDefault="00093B00" w:rsidP="00093B00">
            <w:pPr>
              <w:tabs>
                <w:tab w:val="left" w:leader="dot" w:pos="2665"/>
              </w:tabs>
              <w:autoSpaceDE w:val="0"/>
              <w:autoSpaceDN w:val="0"/>
              <w:adjustRightInd w:val="0"/>
              <w:ind w:right="229"/>
              <w:rPr>
                <w:sz w:val="16"/>
                <w:szCs w:val="16"/>
              </w:rPr>
            </w:pPr>
          </w:p>
          <w:p w:rsidR="00E02273" w:rsidRPr="006635F9" w:rsidRDefault="006635F9" w:rsidP="00093B00">
            <w:pPr>
              <w:tabs>
                <w:tab w:val="left" w:leader="dot" w:pos="2665"/>
              </w:tabs>
              <w:autoSpaceDE w:val="0"/>
              <w:autoSpaceDN w:val="0"/>
              <w:adjustRightInd w:val="0"/>
              <w:ind w:right="229"/>
              <w:rPr>
                <w:sz w:val="18"/>
                <w:szCs w:val="18"/>
              </w:rPr>
            </w:pPr>
            <w:r w:rsidRPr="006635F9">
              <w:rPr>
                <w:sz w:val="18"/>
                <w:szCs w:val="18"/>
              </w:rPr>
              <w:t>Alemania</w:t>
            </w:r>
            <w:r w:rsidR="00093B00" w:rsidRPr="006635F9">
              <w:rPr>
                <w:sz w:val="18"/>
                <w:szCs w:val="18"/>
              </w:rPr>
              <w:t>…………………………</w:t>
            </w:r>
            <w:r w:rsidRPr="006635F9">
              <w:rPr>
                <w:sz w:val="18"/>
                <w:szCs w:val="18"/>
              </w:rPr>
              <w:t>.</w:t>
            </w:r>
          </w:p>
        </w:tc>
        <w:tc>
          <w:tcPr>
            <w:tcW w:w="4536" w:type="dxa"/>
            <w:tcBorders>
              <w:top w:val="single" w:sz="4" w:space="0" w:color="auto"/>
            </w:tcBorders>
          </w:tcPr>
          <w:p w:rsidR="00093B00" w:rsidRPr="006635F9" w:rsidRDefault="00093B00" w:rsidP="00E02273">
            <w:pPr>
              <w:autoSpaceDE w:val="0"/>
              <w:autoSpaceDN w:val="0"/>
              <w:adjustRightInd w:val="0"/>
              <w:rPr>
                <w:sz w:val="16"/>
                <w:szCs w:val="16"/>
              </w:rPr>
            </w:pPr>
          </w:p>
          <w:p w:rsidR="00E02273" w:rsidRPr="006635F9" w:rsidRDefault="00E02273" w:rsidP="00E02273">
            <w:pPr>
              <w:autoSpaceDE w:val="0"/>
              <w:autoSpaceDN w:val="0"/>
              <w:adjustRightInd w:val="0"/>
              <w:rPr>
                <w:sz w:val="18"/>
                <w:szCs w:val="18"/>
              </w:rPr>
            </w:pPr>
            <w:r w:rsidRPr="006635F9">
              <w:rPr>
                <w:sz w:val="18"/>
                <w:szCs w:val="18"/>
              </w:rPr>
              <w:t>20 de septiembre de 2013</w:t>
            </w:r>
          </w:p>
        </w:tc>
      </w:tr>
      <w:tr w:rsidR="00D65A43" w:rsidRPr="006635F9" w:rsidTr="00E02273">
        <w:tc>
          <w:tcPr>
            <w:tcW w:w="3085" w:type="dxa"/>
          </w:tcPr>
          <w:p w:rsidR="00C5360E" w:rsidRPr="006635F9" w:rsidRDefault="00C5360E" w:rsidP="00E02273">
            <w:pPr>
              <w:tabs>
                <w:tab w:val="left" w:leader="dot" w:pos="2665"/>
              </w:tabs>
              <w:autoSpaceDE w:val="0"/>
              <w:autoSpaceDN w:val="0"/>
              <w:adjustRightInd w:val="0"/>
              <w:ind w:right="229"/>
              <w:rPr>
                <w:sz w:val="18"/>
                <w:szCs w:val="18"/>
              </w:rPr>
            </w:pPr>
            <w:r w:rsidRPr="006635F9">
              <w:rPr>
                <w:sz w:val="18"/>
                <w:szCs w:val="18"/>
              </w:rPr>
              <w:t>Armenia</w:t>
            </w:r>
            <w:r w:rsidR="00093B00" w:rsidRPr="006635F9">
              <w:rPr>
                <w:sz w:val="18"/>
                <w:szCs w:val="18"/>
              </w:rPr>
              <w:t>………………………</w:t>
            </w:r>
            <w:r w:rsidR="006635F9" w:rsidRPr="006635F9">
              <w:rPr>
                <w:sz w:val="18"/>
                <w:szCs w:val="18"/>
              </w:rPr>
              <w:t>…...</w:t>
            </w:r>
          </w:p>
        </w:tc>
        <w:tc>
          <w:tcPr>
            <w:tcW w:w="4536" w:type="dxa"/>
          </w:tcPr>
          <w:p w:rsidR="00D65A43" w:rsidRPr="006635F9" w:rsidRDefault="00C5360E" w:rsidP="00E02273">
            <w:pPr>
              <w:autoSpaceDE w:val="0"/>
              <w:autoSpaceDN w:val="0"/>
              <w:adjustRightInd w:val="0"/>
              <w:rPr>
                <w:sz w:val="18"/>
                <w:szCs w:val="18"/>
              </w:rPr>
            </w:pPr>
            <w:r w:rsidRPr="006635F9">
              <w:rPr>
                <w:sz w:val="18"/>
                <w:szCs w:val="18"/>
              </w:rPr>
              <w:t>17 de septiembre de 2013</w:t>
            </w:r>
          </w:p>
        </w:tc>
      </w:tr>
      <w:tr w:rsidR="00C5360E" w:rsidRPr="006635F9" w:rsidTr="00E02273">
        <w:tc>
          <w:tcPr>
            <w:tcW w:w="3085" w:type="dxa"/>
          </w:tcPr>
          <w:p w:rsidR="00C5360E" w:rsidRPr="006635F9" w:rsidRDefault="00C5360E" w:rsidP="00E02273">
            <w:pPr>
              <w:tabs>
                <w:tab w:val="left" w:leader="dot" w:pos="2665"/>
              </w:tabs>
              <w:autoSpaceDE w:val="0"/>
              <w:autoSpaceDN w:val="0"/>
              <w:adjustRightInd w:val="0"/>
              <w:ind w:right="229"/>
              <w:rPr>
                <w:sz w:val="18"/>
                <w:szCs w:val="18"/>
              </w:rPr>
            </w:pPr>
            <w:r w:rsidRPr="006635F9">
              <w:rPr>
                <w:sz w:val="18"/>
                <w:szCs w:val="18"/>
              </w:rPr>
              <w:t>Australia</w:t>
            </w:r>
            <w:r w:rsidR="00E02273" w:rsidRPr="006635F9">
              <w:rPr>
                <w:sz w:val="18"/>
                <w:szCs w:val="18"/>
              </w:rPr>
              <w:t>………………………….</w:t>
            </w:r>
            <w:r w:rsidR="006635F9" w:rsidRPr="006635F9">
              <w:rPr>
                <w:sz w:val="18"/>
                <w:szCs w:val="18"/>
              </w:rPr>
              <w:t>.</w:t>
            </w:r>
          </w:p>
        </w:tc>
        <w:tc>
          <w:tcPr>
            <w:tcW w:w="4536" w:type="dxa"/>
          </w:tcPr>
          <w:p w:rsidR="00C5360E" w:rsidRPr="006635F9" w:rsidRDefault="00C5360E" w:rsidP="005A1BFF">
            <w:pPr>
              <w:autoSpaceDE w:val="0"/>
              <w:autoSpaceDN w:val="0"/>
              <w:adjustRightInd w:val="0"/>
              <w:rPr>
                <w:sz w:val="18"/>
                <w:szCs w:val="18"/>
              </w:rPr>
            </w:pPr>
            <w:r w:rsidRPr="006635F9">
              <w:rPr>
                <w:sz w:val="18"/>
                <w:szCs w:val="18"/>
              </w:rPr>
              <w:t>16 de marzo de 2009</w:t>
            </w:r>
          </w:p>
        </w:tc>
      </w:tr>
      <w:tr w:rsidR="00C5360E" w:rsidRPr="006635F9" w:rsidTr="00E02273">
        <w:tc>
          <w:tcPr>
            <w:tcW w:w="3085" w:type="dxa"/>
          </w:tcPr>
          <w:p w:rsidR="00C5360E" w:rsidRPr="006635F9" w:rsidRDefault="00C5360E" w:rsidP="005A1BFF">
            <w:pPr>
              <w:tabs>
                <w:tab w:val="left" w:leader="dot" w:pos="2665"/>
              </w:tabs>
              <w:autoSpaceDE w:val="0"/>
              <w:autoSpaceDN w:val="0"/>
              <w:adjustRightInd w:val="0"/>
              <w:ind w:right="229"/>
              <w:rPr>
                <w:sz w:val="18"/>
                <w:szCs w:val="18"/>
              </w:rPr>
            </w:pPr>
            <w:r w:rsidRPr="006635F9">
              <w:rPr>
                <w:sz w:val="18"/>
                <w:szCs w:val="18"/>
              </w:rPr>
              <w:t>Belarús</w:t>
            </w:r>
            <w:r w:rsidR="00093B00" w:rsidRPr="006635F9">
              <w:rPr>
                <w:sz w:val="18"/>
                <w:szCs w:val="18"/>
              </w:rPr>
              <w:t>………………………</w:t>
            </w:r>
            <w:r w:rsidR="006635F9" w:rsidRPr="006635F9">
              <w:rPr>
                <w:sz w:val="18"/>
                <w:szCs w:val="18"/>
              </w:rPr>
              <w:t>……</w:t>
            </w:r>
          </w:p>
        </w:tc>
        <w:tc>
          <w:tcPr>
            <w:tcW w:w="4536" w:type="dxa"/>
          </w:tcPr>
          <w:p w:rsidR="00C5360E" w:rsidRPr="006635F9" w:rsidRDefault="00E02273" w:rsidP="005A1BFF">
            <w:pPr>
              <w:autoSpaceDE w:val="0"/>
              <w:autoSpaceDN w:val="0"/>
              <w:adjustRightInd w:val="0"/>
              <w:rPr>
                <w:sz w:val="18"/>
                <w:szCs w:val="18"/>
              </w:rPr>
            </w:pPr>
            <w:r w:rsidRPr="006635F9">
              <w:rPr>
                <w:sz w:val="18"/>
                <w:szCs w:val="18"/>
              </w:rPr>
              <w:t>13 de mayo de 2014</w:t>
            </w:r>
          </w:p>
        </w:tc>
      </w:tr>
      <w:tr w:rsidR="00E02273" w:rsidRPr="006635F9" w:rsidTr="00E02273">
        <w:tc>
          <w:tcPr>
            <w:tcW w:w="3085" w:type="dxa"/>
          </w:tcPr>
          <w:p w:rsidR="00E02273" w:rsidRPr="006635F9" w:rsidRDefault="00E02273" w:rsidP="005A1BFF">
            <w:pPr>
              <w:tabs>
                <w:tab w:val="left" w:leader="dot" w:pos="2665"/>
              </w:tabs>
              <w:autoSpaceDE w:val="0"/>
              <w:autoSpaceDN w:val="0"/>
              <w:adjustRightInd w:val="0"/>
              <w:ind w:right="229"/>
              <w:rPr>
                <w:sz w:val="18"/>
                <w:szCs w:val="18"/>
              </w:rPr>
            </w:pPr>
            <w:r w:rsidRPr="006635F9">
              <w:rPr>
                <w:sz w:val="18"/>
                <w:szCs w:val="18"/>
              </w:rPr>
              <w:t>Bélgica</w:t>
            </w:r>
            <w:r w:rsidR="00093B00" w:rsidRPr="006635F9">
              <w:rPr>
                <w:sz w:val="18"/>
                <w:szCs w:val="18"/>
              </w:rPr>
              <w:t>………………………</w:t>
            </w:r>
            <w:r w:rsidR="006635F9" w:rsidRPr="006635F9">
              <w:rPr>
                <w:sz w:val="18"/>
                <w:szCs w:val="18"/>
              </w:rPr>
              <w:t>…….</w:t>
            </w:r>
          </w:p>
        </w:tc>
        <w:tc>
          <w:tcPr>
            <w:tcW w:w="4536" w:type="dxa"/>
          </w:tcPr>
          <w:p w:rsidR="00E02273" w:rsidRPr="006635F9" w:rsidRDefault="00E02273" w:rsidP="005A1BFF">
            <w:pPr>
              <w:autoSpaceDE w:val="0"/>
              <w:autoSpaceDN w:val="0"/>
              <w:adjustRightInd w:val="0"/>
              <w:rPr>
                <w:sz w:val="18"/>
                <w:szCs w:val="18"/>
              </w:rPr>
            </w:pPr>
            <w:r w:rsidRPr="006635F9">
              <w:rPr>
                <w:sz w:val="18"/>
                <w:szCs w:val="18"/>
              </w:rPr>
              <w:t>8 de enero de 2014</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Benín</w:t>
            </w:r>
            <w:r w:rsidR="00093B00" w:rsidRPr="006635F9">
              <w:rPr>
                <w:sz w:val="18"/>
                <w:szCs w:val="18"/>
              </w:rPr>
              <w:t>………………………</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Todavía no ha entrado en vigor</w:t>
            </w:r>
            <w:r w:rsidRPr="006635F9">
              <w:rPr>
                <w:sz w:val="18"/>
                <w:szCs w:val="18"/>
                <w:vertAlign w:val="superscript"/>
              </w:rPr>
              <w:t>3</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rPr>
                <w:sz w:val="18"/>
                <w:szCs w:val="18"/>
              </w:rPr>
            </w:pPr>
            <w:r w:rsidRPr="006635F9">
              <w:rPr>
                <w:sz w:val="18"/>
                <w:szCs w:val="18"/>
              </w:rPr>
              <w:t>Bulgaria</w:t>
            </w:r>
            <w:r w:rsidRPr="006635F9">
              <w:rPr>
                <w:rStyle w:val="FootnoteReference"/>
                <w:sz w:val="18"/>
                <w:szCs w:val="18"/>
              </w:rPr>
              <w:footnoteReference w:id="2"/>
            </w:r>
            <w:r w:rsidR="00093B00" w:rsidRPr="006635F9">
              <w:rPr>
                <w:sz w:val="18"/>
                <w:szCs w:val="18"/>
              </w:rPr>
              <w:t>………………………</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Croacia</w:t>
            </w:r>
            <w:r w:rsidR="00093B00" w:rsidRPr="006635F9">
              <w:rPr>
                <w:sz w:val="18"/>
                <w:szCs w:val="18"/>
              </w:rPr>
              <w:t>………………………</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13 de abril de 2011</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Dinamarca</w:t>
            </w:r>
            <w:r w:rsidRPr="006635F9">
              <w:rPr>
                <w:rStyle w:val="FootnoteReference"/>
                <w:sz w:val="18"/>
                <w:szCs w:val="18"/>
              </w:rPr>
              <w:footnoteReference w:id="3"/>
            </w:r>
            <w:r w:rsidR="00093B00"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Eslovaquia</w:t>
            </w:r>
            <w:r w:rsidR="00093B00" w:rsidRPr="006635F9">
              <w:rPr>
                <w:sz w:val="18"/>
                <w:szCs w:val="18"/>
              </w:rPr>
              <w:t>……………………….</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mayo de 2010</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España</w:t>
            </w:r>
            <w:r w:rsidRPr="006635F9">
              <w:rPr>
                <w:sz w:val="18"/>
                <w:szCs w:val="18"/>
                <w:vertAlign w:val="superscript"/>
              </w:rPr>
              <w:t>1</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18 de mayo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Estados Unidos de América</w:t>
            </w:r>
            <w:r w:rsidR="00055933">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Estonia</w:t>
            </w:r>
            <w:r w:rsidR="006635F9" w:rsidRPr="006635F9">
              <w:rPr>
                <w:sz w:val="18"/>
                <w:szCs w:val="18"/>
              </w:rPr>
              <w:t>………………………</w:t>
            </w:r>
            <w:r w:rsid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14 de agosto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ex República Yugoslava de Macedonia</w:t>
            </w:r>
            <w:r w:rsidR="006635F9" w:rsidRPr="006635F9">
              <w:rPr>
                <w:sz w:val="18"/>
                <w:szCs w:val="18"/>
              </w:rPr>
              <w:t>……………………….</w:t>
            </w:r>
          </w:p>
        </w:tc>
        <w:tc>
          <w:tcPr>
            <w:tcW w:w="4536" w:type="dxa"/>
          </w:tcPr>
          <w:p w:rsidR="008A2314" w:rsidRDefault="008A2314" w:rsidP="005A1BFF">
            <w:pPr>
              <w:autoSpaceDE w:val="0"/>
              <w:autoSpaceDN w:val="0"/>
              <w:adjustRightInd w:val="0"/>
              <w:rPr>
                <w:sz w:val="18"/>
                <w:szCs w:val="18"/>
              </w:rPr>
            </w:pPr>
          </w:p>
          <w:p w:rsidR="008A2314" w:rsidRPr="006635F9" w:rsidRDefault="008A2314" w:rsidP="005A1BFF">
            <w:pPr>
              <w:autoSpaceDE w:val="0"/>
              <w:autoSpaceDN w:val="0"/>
              <w:adjustRightInd w:val="0"/>
              <w:rPr>
                <w:sz w:val="18"/>
                <w:szCs w:val="18"/>
              </w:rPr>
            </w:pPr>
            <w:r w:rsidRPr="006635F9">
              <w:rPr>
                <w:sz w:val="18"/>
                <w:szCs w:val="18"/>
              </w:rPr>
              <w:t>6 de octubre de 2010</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Federación de Rusia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18 de diciembre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Francia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28 de noviembre de 2009</w:t>
            </w:r>
          </w:p>
        </w:tc>
      </w:tr>
      <w:tr w:rsidR="00E02273" w:rsidRPr="006635F9" w:rsidTr="00E02273">
        <w:tc>
          <w:tcPr>
            <w:tcW w:w="3085" w:type="dxa"/>
          </w:tcPr>
          <w:p w:rsidR="00E02273" w:rsidRPr="006635F9" w:rsidRDefault="00E02273" w:rsidP="005A1BFF">
            <w:pPr>
              <w:tabs>
                <w:tab w:val="left" w:leader="dot" w:pos="2665"/>
              </w:tabs>
              <w:autoSpaceDE w:val="0"/>
              <w:autoSpaceDN w:val="0"/>
              <w:adjustRightInd w:val="0"/>
              <w:ind w:right="229"/>
              <w:rPr>
                <w:sz w:val="18"/>
                <w:szCs w:val="18"/>
              </w:rPr>
            </w:pPr>
            <w:r w:rsidRPr="006635F9">
              <w:rPr>
                <w:sz w:val="18"/>
                <w:szCs w:val="18"/>
              </w:rPr>
              <w:t>Iraq</w:t>
            </w:r>
            <w:r w:rsidR="006635F9" w:rsidRPr="006635F9">
              <w:rPr>
                <w:sz w:val="18"/>
                <w:szCs w:val="18"/>
              </w:rPr>
              <w:t>………………………………...</w:t>
            </w:r>
          </w:p>
        </w:tc>
        <w:tc>
          <w:tcPr>
            <w:tcW w:w="4536" w:type="dxa"/>
          </w:tcPr>
          <w:p w:rsidR="00E02273" w:rsidRPr="006635F9" w:rsidRDefault="00E02273" w:rsidP="005A1BFF">
            <w:pPr>
              <w:autoSpaceDE w:val="0"/>
              <w:autoSpaceDN w:val="0"/>
              <w:adjustRightInd w:val="0"/>
              <w:rPr>
                <w:sz w:val="18"/>
                <w:szCs w:val="18"/>
              </w:rPr>
            </w:pPr>
            <w:r w:rsidRPr="006635F9">
              <w:rPr>
                <w:sz w:val="18"/>
                <w:szCs w:val="18"/>
              </w:rPr>
              <w:t>29 de noviembre de 2014</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Islandia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14 de diciembre de 2012</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Italia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21 de septiembre de 2010</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Kazajstán</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5 de septiembre de 2012</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Kirguistán</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Letonia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Liechtenstein</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3 de marzo de 2010</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Lituania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14 de agosto de 2013</w:t>
            </w:r>
          </w:p>
        </w:tc>
      </w:tr>
      <w:tr w:rsidR="00E02273" w:rsidRPr="006635F9" w:rsidTr="00E02273">
        <w:tc>
          <w:tcPr>
            <w:tcW w:w="3085" w:type="dxa"/>
          </w:tcPr>
          <w:p w:rsidR="00E02273" w:rsidRPr="006635F9" w:rsidRDefault="00E02273" w:rsidP="005A1BFF">
            <w:pPr>
              <w:tabs>
                <w:tab w:val="left" w:leader="dot" w:pos="2665"/>
              </w:tabs>
              <w:autoSpaceDE w:val="0"/>
              <w:autoSpaceDN w:val="0"/>
              <w:adjustRightInd w:val="0"/>
              <w:ind w:right="229"/>
              <w:rPr>
                <w:sz w:val="18"/>
                <w:szCs w:val="18"/>
              </w:rPr>
            </w:pPr>
            <w:r w:rsidRPr="006635F9">
              <w:rPr>
                <w:sz w:val="18"/>
                <w:szCs w:val="18"/>
              </w:rPr>
              <w:t>Luxemburgo</w:t>
            </w:r>
            <w:r w:rsidR="006635F9" w:rsidRPr="006635F9">
              <w:rPr>
                <w:sz w:val="18"/>
                <w:szCs w:val="18"/>
              </w:rPr>
              <w:t>………………………</w:t>
            </w:r>
          </w:p>
        </w:tc>
        <w:tc>
          <w:tcPr>
            <w:tcW w:w="4536" w:type="dxa"/>
          </w:tcPr>
          <w:p w:rsidR="00E02273" w:rsidRPr="006635F9" w:rsidRDefault="00E02273" w:rsidP="005A1BFF">
            <w:pPr>
              <w:autoSpaceDE w:val="0"/>
              <w:autoSpaceDN w:val="0"/>
              <w:adjustRightInd w:val="0"/>
              <w:rPr>
                <w:sz w:val="18"/>
                <w:szCs w:val="18"/>
              </w:rPr>
            </w:pPr>
            <w:r w:rsidRPr="006635F9">
              <w:rPr>
                <w:sz w:val="18"/>
                <w:szCs w:val="18"/>
              </w:rPr>
              <w:t>8 de enero de 2014</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Malí</w:t>
            </w:r>
            <w:r w:rsidR="006635F9" w:rsidRPr="006635F9">
              <w:rPr>
                <w:sz w:val="18"/>
                <w:szCs w:val="18"/>
              </w:rPr>
              <w:t>………………………</w:t>
            </w:r>
            <w:r w:rsid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Todavía no ha entrado en vigor</w:t>
            </w:r>
            <w:r w:rsidRPr="006635F9">
              <w:rPr>
                <w:rStyle w:val="FootnoteReference"/>
                <w:sz w:val="18"/>
                <w:szCs w:val="18"/>
              </w:rPr>
              <w:footnoteReference w:id="4"/>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Mongolia</w:t>
            </w:r>
            <w:r w:rsidR="006635F9" w:rsidRPr="006635F9">
              <w:rPr>
                <w:sz w:val="18"/>
                <w:szCs w:val="18"/>
              </w:rPr>
              <w:t>………………………</w:t>
            </w:r>
            <w:r w:rsid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3 de marzo de 2011</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Nueva Zelandia</w:t>
            </w:r>
            <w:r w:rsidRPr="006635F9">
              <w:rPr>
                <w:rStyle w:val="FootnoteReference"/>
                <w:sz w:val="18"/>
                <w:szCs w:val="18"/>
              </w:rPr>
              <w:footnoteReference w:id="5"/>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10 de diciembre de 2012</w:t>
            </w:r>
          </w:p>
        </w:tc>
      </w:tr>
      <w:tr w:rsidR="00E02273" w:rsidRPr="006635F9" w:rsidTr="00E02273">
        <w:tc>
          <w:tcPr>
            <w:tcW w:w="3085" w:type="dxa"/>
          </w:tcPr>
          <w:p w:rsidR="00E02273" w:rsidRPr="006635F9" w:rsidRDefault="00E02273" w:rsidP="005A1BFF">
            <w:pPr>
              <w:tabs>
                <w:tab w:val="left" w:leader="dot" w:pos="2665"/>
              </w:tabs>
              <w:autoSpaceDE w:val="0"/>
              <w:autoSpaceDN w:val="0"/>
              <w:adjustRightInd w:val="0"/>
              <w:ind w:right="229"/>
              <w:rPr>
                <w:sz w:val="18"/>
                <w:szCs w:val="18"/>
              </w:rPr>
            </w:pPr>
            <w:r w:rsidRPr="006635F9">
              <w:rPr>
                <w:sz w:val="18"/>
                <w:szCs w:val="18"/>
              </w:rPr>
              <w:t>Organización de Propiedad Intelectual del Benelux</w:t>
            </w:r>
            <w:r w:rsidR="006635F9" w:rsidRPr="006635F9">
              <w:rPr>
                <w:sz w:val="18"/>
                <w:szCs w:val="18"/>
              </w:rPr>
              <w:t>…………..</w:t>
            </w:r>
          </w:p>
        </w:tc>
        <w:tc>
          <w:tcPr>
            <w:tcW w:w="4536" w:type="dxa"/>
          </w:tcPr>
          <w:p w:rsidR="008A2314" w:rsidRDefault="008A2314" w:rsidP="005A1BFF">
            <w:pPr>
              <w:autoSpaceDE w:val="0"/>
              <w:autoSpaceDN w:val="0"/>
              <w:adjustRightInd w:val="0"/>
              <w:rPr>
                <w:sz w:val="18"/>
                <w:szCs w:val="18"/>
              </w:rPr>
            </w:pPr>
          </w:p>
          <w:p w:rsidR="008A2314" w:rsidRPr="006635F9" w:rsidRDefault="008A2314" w:rsidP="005A1BFF">
            <w:pPr>
              <w:autoSpaceDE w:val="0"/>
              <w:autoSpaceDN w:val="0"/>
              <w:adjustRightInd w:val="0"/>
              <w:rPr>
                <w:sz w:val="18"/>
                <w:szCs w:val="18"/>
              </w:rPr>
            </w:pPr>
            <w:r w:rsidRPr="006635F9">
              <w:rPr>
                <w:sz w:val="18"/>
                <w:szCs w:val="18"/>
              </w:rPr>
              <w:t>8 de enero de 2014</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Países Bajos</w:t>
            </w:r>
            <w:r w:rsidRPr="006635F9">
              <w:rPr>
                <w:rStyle w:val="FootnoteReference"/>
                <w:sz w:val="18"/>
                <w:szCs w:val="18"/>
              </w:rPr>
              <w:footnoteReference w:id="6"/>
            </w:r>
            <w:r w:rsidR="006635F9" w:rsidRPr="006635F9">
              <w:rPr>
                <w:sz w:val="18"/>
                <w:szCs w:val="18"/>
              </w:rPr>
              <w:t>…………………….</w:t>
            </w:r>
          </w:p>
        </w:tc>
        <w:tc>
          <w:tcPr>
            <w:tcW w:w="4536" w:type="dxa"/>
          </w:tcPr>
          <w:p w:rsidR="00D65A43" w:rsidRPr="006635F9" w:rsidRDefault="00E02273" w:rsidP="00E02273">
            <w:pPr>
              <w:autoSpaceDE w:val="0"/>
              <w:autoSpaceDN w:val="0"/>
              <w:adjustRightInd w:val="0"/>
              <w:rPr>
                <w:sz w:val="18"/>
                <w:szCs w:val="18"/>
              </w:rPr>
            </w:pPr>
            <w:r w:rsidRPr="006635F9">
              <w:rPr>
                <w:sz w:val="18"/>
                <w:szCs w:val="18"/>
              </w:rPr>
              <w:t>8 de enero de 2014</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Polonia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2 de julio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República de Moldova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Reino Unido</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21 de junio de 2012</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Rumania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Serbia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19 de noviembre de 2010</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Singapur</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Suecia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diciembre de 2011</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Suiza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16 de marzo de 2009</w:t>
            </w:r>
          </w:p>
        </w:tc>
      </w:tr>
      <w:tr w:rsidR="00E02273" w:rsidRPr="006635F9" w:rsidTr="00E02273">
        <w:tc>
          <w:tcPr>
            <w:tcW w:w="3085" w:type="dxa"/>
          </w:tcPr>
          <w:p w:rsidR="00E02273" w:rsidRPr="006635F9" w:rsidRDefault="00E02273" w:rsidP="005A1BFF">
            <w:pPr>
              <w:tabs>
                <w:tab w:val="left" w:leader="dot" w:pos="2665"/>
              </w:tabs>
              <w:autoSpaceDE w:val="0"/>
              <w:autoSpaceDN w:val="0"/>
              <w:adjustRightInd w:val="0"/>
              <w:ind w:right="229"/>
              <w:rPr>
                <w:sz w:val="18"/>
                <w:szCs w:val="18"/>
              </w:rPr>
            </w:pPr>
            <w:r w:rsidRPr="006635F9">
              <w:rPr>
                <w:sz w:val="18"/>
                <w:szCs w:val="18"/>
              </w:rPr>
              <w:t>Tayikistán</w:t>
            </w:r>
            <w:r w:rsidR="006635F9" w:rsidRPr="006635F9">
              <w:rPr>
                <w:sz w:val="18"/>
                <w:szCs w:val="18"/>
              </w:rPr>
              <w:t>…………………………</w:t>
            </w:r>
          </w:p>
        </w:tc>
        <w:tc>
          <w:tcPr>
            <w:tcW w:w="4536" w:type="dxa"/>
          </w:tcPr>
          <w:p w:rsidR="00E02273" w:rsidRPr="006635F9" w:rsidRDefault="00E02273" w:rsidP="005A1BFF">
            <w:pPr>
              <w:autoSpaceDE w:val="0"/>
              <w:autoSpaceDN w:val="0"/>
              <w:adjustRightInd w:val="0"/>
              <w:rPr>
                <w:sz w:val="18"/>
                <w:szCs w:val="18"/>
              </w:rPr>
            </w:pPr>
            <w:r w:rsidRPr="006635F9">
              <w:rPr>
                <w:sz w:val="18"/>
                <w:szCs w:val="18"/>
              </w:rPr>
              <w:t>26 de diciembre de 2014</w:t>
            </w:r>
          </w:p>
        </w:tc>
      </w:tr>
      <w:tr w:rsidR="00D65A43" w:rsidRPr="006635F9" w:rsidTr="00E02273">
        <w:tc>
          <w:tcPr>
            <w:tcW w:w="3085" w:type="dxa"/>
          </w:tcPr>
          <w:p w:rsidR="00D65A43" w:rsidRPr="006635F9" w:rsidRDefault="00D65A43" w:rsidP="005A1BFF">
            <w:pPr>
              <w:tabs>
                <w:tab w:val="left" w:leader="dot" w:pos="2665"/>
              </w:tabs>
              <w:autoSpaceDE w:val="0"/>
              <w:autoSpaceDN w:val="0"/>
              <w:adjustRightInd w:val="0"/>
              <w:ind w:right="229"/>
              <w:rPr>
                <w:sz w:val="18"/>
                <w:szCs w:val="18"/>
              </w:rPr>
            </w:pPr>
            <w:r w:rsidRPr="006635F9">
              <w:rPr>
                <w:sz w:val="18"/>
                <w:szCs w:val="18"/>
              </w:rPr>
              <w:t>Ucrania</w:t>
            </w:r>
            <w:r w:rsidR="006635F9" w:rsidRPr="006635F9">
              <w:rPr>
                <w:sz w:val="18"/>
                <w:szCs w:val="18"/>
              </w:rPr>
              <w:t>……………………………</w:t>
            </w:r>
          </w:p>
        </w:tc>
        <w:tc>
          <w:tcPr>
            <w:tcW w:w="4536" w:type="dxa"/>
          </w:tcPr>
          <w:p w:rsidR="00D65A43" w:rsidRPr="006635F9" w:rsidRDefault="00D65A43" w:rsidP="005A1BFF">
            <w:pPr>
              <w:autoSpaceDE w:val="0"/>
              <w:autoSpaceDN w:val="0"/>
              <w:adjustRightInd w:val="0"/>
              <w:rPr>
                <w:sz w:val="18"/>
                <w:szCs w:val="18"/>
              </w:rPr>
            </w:pPr>
            <w:r w:rsidRPr="006635F9">
              <w:rPr>
                <w:sz w:val="18"/>
                <w:szCs w:val="18"/>
              </w:rPr>
              <w:t>24 de mayo de 2010</w:t>
            </w:r>
          </w:p>
        </w:tc>
      </w:tr>
    </w:tbl>
    <w:p w:rsidR="00D65A43" w:rsidRPr="006635F9" w:rsidRDefault="00D65A43" w:rsidP="00D65A43">
      <w:pPr>
        <w:autoSpaceDE w:val="0"/>
        <w:autoSpaceDN w:val="0"/>
        <w:adjustRightInd w:val="0"/>
        <w:rPr>
          <w:sz w:val="18"/>
          <w:szCs w:val="18"/>
        </w:rPr>
      </w:pPr>
    </w:p>
    <w:p w:rsidR="00D65A43" w:rsidRPr="006635F9" w:rsidRDefault="00D65A43" w:rsidP="00D65A43">
      <w:pPr>
        <w:autoSpaceDE w:val="0"/>
        <w:autoSpaceDN w:val="0"/>
        <w:adjustRightInd w:val="0"/>
        <w:rPr>
          <w:sz w:val="18"/>
          <w:szCs w:val="18"/>
        </w:rPr>
      </w:pPr>
      <w:r w:rsidRPr="006635F9">
        <w:rPr>
          <w:sz w:val="18"/>
          <w:szCs w:val="18"/>
        </w:rPr>
        <w:t xml:space="preserve">(Total:  </w:t>
      </w:r>
      <w:r w:rsidR="002A73D1">
        <w:rPr>
          <w:sz w:val="18"/>
          <w:szCs w:val="18"/>
        </w:rPr>
        <w:t>38</w:t>
      </w:r>
      <w:r w:rsidRPr="006635F9">
        <w:rPr>
          <w:sz w:val="18"/>
          <w:szCs w:val="18"/>
        </w:rPr>
        <w:t>)</w:t>
      </w:r>
    </w:p>
    <w:p w:rsidR="00D65A43" w:rsidRPr="006635F9" w:rsidRDefault="00D65A43" w:rsidP="00D65A43">
      <w:pPr>
        <w:autoSpaceDE w:val="0"/>
        <w:autoSpaceDN w:val="0"/>
        <w:adjustRightInd w:val="0"/>
        <w:rPr>
          <w:sz w:val="18"/>
          <w:szCs w:val="18"/>
        </w:rPr>
      </w:pPr>
    </w:p>
    <w:p w:rsidR="006635F9" w:rsidRPr="006635F9" w:rsidRDefault="006635F9" w:rsidP="00D65A43">
      <w:pPr>
        <w:autoSpaceDE w:val="0"/>
        <w:autoSpaceDN w:val="0"/>
        <w:adjustRightInd w:val="0"/>
        <w:rPr>
          <w:sz w:val="18"/>
          <w:szCs w:val="18"/>
        </w:rPr>
      </w:pPr>
    </w:p>
    <w:p w:rsidR="00152CEA" w:rsidRPr="006635F9" w:rsidRDefault="00D65A43" w:rsidP="006635F9">
      <w:pPr>
        <w:pStyle w:val="DecisionInvitingPara"/>
        <w:tabs>
          <w:tab w:val="left" w:pos="5954"/>
          <w:tab w:val="right" w:pos="9072"/>
        </w:tabs>
        <w:spacing w:after="0" w:line="240" w:lineRule="auto"/>
        <w:ind w:left="5529" w:firstLine="5"/>
        <w:rPr>
          <w:lang w:val="es-ES"/>
        </w:rPr>
      </w:pPr>
      <w:r w:rsidRPr="006635F9">
        <w:rPr>
          <w:i w:val="0"/>
          <w:sz w:val="22"/>
          <w:szCs w:val="22"/>
          <w:lang w:val="es-ES"/>
        </w:rPr>
        <w:t>[Fin del Anexo y del documento]</w:t>
      </w:r>
      <w:bookmarkStart w:id="5" w:name="Prepared"/>
      <w:bookmarkEnd w:id="5"/>
    </w:p>
    <w:sectPr w:rsidR="00152CEA" w:rsidRPr="006635F9" w:rsidSect="00345F67">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F67" w:rsidRDefault="00345F67">
      <w:r>
        <w:separator/>
      </w:r>
    </w:p>
  </w:endnote>
  <w:endnote w:type="continuationSeparator" w:id="0">
    <w:p w:rsidR="00345F67" w:rsidRPr="009D30E6" w:rsidRDefault="00345F67" w:rsidP="007E663E">
      <w:pPr>
        <w:rPr>
          <w:sz w:val="17"/>
          <w:szCs w:val="17"/>
        </w:rPr>
      </w:pPr>
      <w:r w:rsidRPr="009D30E6">
        <w:rPr>
          <w:sz w:val="17"/>
          <w:szCs w:val="17"/>
        </w:rPr>
        <w:separator/>
      </w:r>
    </w:p>
    <w:p w:rsidR="00345F67" w:rsidRPr="007E663E" w:rsidRDefault="00345F67" w:rsidP="007E663E">
      <w:pPr>
        <w:spacing w:after="60"/>
        <w:rPr>
          <w:sz w:val="17"/>
          <w:szCs w:val="17"/>
        </w:rPr>
      </w:pPr>
      <w:r>
        <w:rPr>
          <w:sz w:val="17"/>
        </w:rPr>
        <w:t>[Continuación de la nota de la página anterior]</w:t>
      </w:r>
    </w:p>
  </w:endnote>
  <w:endnote w:type="continuationNotice" w:id="1">
    <w:p w:rsidR="00345F67" w:rsidRPr="007E663E" w:rsidRDefault="00345F6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F67" w:rsidRDefault="00345F67">
      <w:r>
        <w:separator/>
      </w:r>
    </w:p>
  </w:footnote>
  <w:footnote w:type="continuationSeparator" w:id="0">
    <w:p w:rsidR="00345F67" w:rsidRPr="009D30E6" w:rsidRDefault="00345F67" w:rsidP="007E663E">
      <w:pPr>
        <w:rPr>
          <w:sz w:val="17"/>
          <w:szCs w:val="17"/>
        </w:rPr>
      </w:pPr>
      <w:r w:rsidRPr="009D30E6">
        <w:rPr>
          <w:sz w:val="17"/>
          <w:szCs w:val="17"/>
        </w:rPr>
        <w:separator/>
      </w:r>
    </w:p>
    <w:p w:rsidR="00345F67" w:rsidRPr="007E663E" w:rsidRDefault="00345F67" w:rsidP="007E663E">
      <w:pPr>
        <w:spacing w:after="60"/>
        <w:rPr>
          <w:sz w:val="17"/>
          <w:szCs w:val="17"/>
        </w:rPr>
      </w:pPr>
      <w:r>
        <w:rPr>
          <w:sz w:val="17"/>
        </w:rPr>
        <w:t>[Continuación de la nota de la página anterior]</w:t>
      </w:r>
    </w:p>
  </w:footnote>
  <w:footnote w:type="continuationNotice" w:id="1">
    <w:p w:rsidR="00345F67" w:rsidRPr="007E663E" w:rsidRDefault="00345F67" w:rsidP="007E663E">
      <w:pPr>
        <w:spacing w:before="60"/>
        <w:jc w:val="right"/>
        <w:rPr>
          <w:sz w:val="17"/>
          <w:szCs w:val="17"/>
        </w:rPr>
      </w:pPr>
      <w:r w:rsidRPr="007E663E">
        <w:rPr>
          <w:sz w:val="17"/>
          <w:szCs w:val="17"/>
        </w:rPr>
        <w:t>[Sigue la nota en la página siguiente]</w:t>
      </w:r>
    </w:p>
  </w:footnote>
  <w:footnote w:id="2">
    <w:p w:rsidR="00D65A43" w:rsidRDefault="00D65A43" w:rsidP="00D65A43">
      <w:pPr>
        <w:pStyle w:val="FootnoteText"/>
      </w:pPr>
      <w:r>
        <w:rPr>
          <w:rStyle w:val="FootnoteReference"/>
        </w:rPr>
        <w:footnoteRef/>
      </w:r>
      <w:r>
        <w:rPr>
          <w:lang w:val="es-ES_tradnl"/>
        </w:rPr>
        <w:tab/>
      </w:r>
      <w:r w:rsidRPr="00803C5A">
        <w:rPr>
          <w:lang w:val="es-ES_tradnl"/>
        </w:rPr>
        <w:t>Con la declaración prevista en el Artículo 29</w:t>
      </w:r>
      <w:r w:rsidR="009908DF">
        <w:rPr>
          <w:lang w:val="es-ES_tradnl"/>
        </w:rPr>
        <w:t>.</w:t>
      </w:r>
      <w:r w:rsidRPr="00803C5A">
        <w:rPr>
          <w:lang w:val="es-ES_tradnl"/>
        </w:rPr>
        <w:t>4).</w:t>
      </w:r>
    </w:p>
  </w:footnote>
  <w:footnote w:id="3">
    <w:p w:rsidR="00D65A43" w:rsidRDefault="00D65A43" w:rsidP="00D65A43">
      <w:pPr>
        <w:pStyle w:val="FootnoteText"/>
      </w:pPr>
      <w:r w:rsidRPr="00803C5A">
        <w:rPr>
          <w:rStyle w:val="FootnoteReference"/>
        </w:rPr>
        <w:footnoteRef/>
      </w:r>
      <w:r w:rsidRPr="00803C5A">
        <w:rPr>
          <w:lang w:val="es-ES_tradnl"/>
        </w:rPr>
        <w:tab/>
        <w:t>No es aplicable a las Islas Feroe ni a Groenlandia.</w:t>
      </w:r>
    </w:p>
  </w:footnote>
  <w:footnote w:id="4">
    <w:p w:rsidR="00D65A43" w:rsidRDefault="00D65A43" w:rsidP="00D65A43">
      <w:pPr>
        <w:pStyle w:val="FootnoteText"/>
        <w:ind w:left="567" w:hanging="567"/>
      </w:pPr>
      <w:r w:rsidRPr="00803C5A">
        <w:rPr>
          <w:rStyle w:val="FootnoteReference"/>
        </w:rPr>
        <w:footnoteRef/>
      </w:r>
      <w:r w:rsidRPr="00803C5A">
        <w:rPr>
          <w:lang w:val="es-ES_tradnl"/>
        </w:rPr>
        <w:tab/>
        <w:t>Este Estado quedará obligado por el Tratado tres meses después de depositar el instrumento de adhesión de la Organización Africana de la Propiedad Intelectual (OAPI).</w:t>
      </w:r>
    </w:p>
  </w:footnote>
  <w:footnote w:id="5">
    <w:p w:rsidR="00D65A43" w:rsidRDefault="00D65A43" w:rsidP="00D65A43">
      <w:pPr>
        <w:pStyle w:val="FootnoteText"/>
        <w:ind w:left="567" w:hanging="567"/>
      </w:pPr>
      <w:r w:rsidRPr="00803C5A">
        <w:rPr>
          <w:rStyle w:val="FootnoteReference"/>
        </w:rPr>
        <w:footnoteRef/>
      </w:r>
      <w:r w:rsidRPr="00803C5A">
        <w:rPr>
          <w:lang w:val="es-ES_tradnl"/>
        </w:rPr>
        <w:tab/>
      </w:r>
      <w:r w:rsidR="009908DF" w:rsidRPr="00803C5A">
        <w:rPr>
          <w:lang w:val="es-ES_tradnl"/>
        </w:rPr>
        <w:t xml:space="preserve">Adhesión del Reino en Europa y las Antillas Neerlandesas.  Las Antillas Neerlandesas dejaron de existir el 10 de octubre de 2010.  A partir de esa fecha, el Tratado sigue aplicándose a Curaçao y San Martín.  El Tratado también sigue aplicándose a las islas de Bonaire, San Eustaquio y Saba, que, desde el 10 de octubre de 2010, forman parte del territorio del Reino de los Países Bajos en </w:t>
      </w:r>
      <w:r w:rsidR="009908DF">
        <w:rPr>
          <w:lang w:val="es-ES_tradnl"/>
        </w:rPr>
        <w:t>Europa.</w:t>
      </w:r>
    </w:p>
  </w:footnote>
  <w:footnote w:id="6">
    <w:p w:rsidR="00D65A43" w:rsidRDefault="00D65A43" w:rsidP="00D65A43">
      <w:pPr>
        <w:pStyle w:val="FootnoteText"/>
        <w:ind w:left="567" w:hanging="567"/>
      </w:pPr>
      <w:r w:rsidRPr="00803C5A">
        <w:rPr>
          <w:rStyle w:val="FootnoteReference"/>
        </w:rPr>
        <w:footnoteRef/>
      </w:r>
      <w:r w:rsidRPr="00803C5A">
        <w:rPr>
          <w:lang w:val="es-ES_tradnl"/>
        </w:rPr>
        <w:tab/>
      </w:r>
      <w:r w:rsidR="009908DF">
        <w:rPr>
          <w:lang w:val="es-ES_tradnl"/>
        </w:rPr>
        <w:t>La ratificación no</w:t>
      </w:r>
      <w:r w:rsidR="009908DF" w:rsidRPr="00803C5A">
        <w:rPr>
          <w:lang w:val="es-ES_tradnl"/>
        </w:rPr>
        <w:t xml:space="preserve"> se hace extensiva a Tokelau, a menos </w:t>
      </w:r>
      <w:r w:rsidR="009908DF">
        <w:rPr>
          <w:lang w:val="es-ES_tradnl"/>
        </w:rPr>
        <w:t xml:space="preserve">y hasta </w:t>
      </w:r>
      <w:r w:rsidR="009908DF" w:rsidRPr="00803C5A">
        <w:rPr>
          <w:lang w:val="es-ES_tradnl"/>
        </w:rPr>
        <w:t>que</w:t>
      </w:r>
      <w:r w:rsidR="009908DF">
        <w:rPr>
          <w:lang w:val="es-ES_tradnl"/>
        </w:rPr>
        <w:t xml:space="preserve"> el Gobierno de Nueva Zelandia</w:t>
      </w:r>
      <w:r w:rsidR="009908DF" w:rsidRPr="00803C5A">
        <w:rPr>
          <w:lang w:val="es-ES_tradnl"/>
        </w:rPr>
        <w:t xml:space="preserve"> presente una declaración a</w:t>
      </w:r>
      <w:r w:rsidR="009908DF">
        <w:rPr>
          <w:lang w:val="es-ES_tradnl"/>
        </w:rPr>
        <w:t xml:space="preserve"> tal</w:t>
      </w:r>
      <w:r w:rsidR="009908DF" w:rsidRPr="00803C5A">
        <w:rPr>
          <w:lang w:val="es-ES_tradnl"/>
        </w:rPr>
        <w:t xml:space="preserve"> efecto ante el depositario tras las consultas pertinentes con ese territorio.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43" w:rsidRPr="00750467" w:rsidRDefault="00093B00" w:rsidP="00515347">
    <w:pPr>
      <w:jc w:val="right"/>
    </w:pPr>
    <w:r>
      <w:rPr>
        <w:lang w:val="es-ES_tradnl"/>
      </w:rPr>
      <w:t>STLT/A/8</w:t>
    </w:r>
    <w:r w:rsidR="00D65A43" w:rsidRPr="00750467">
      <w:rPr>
        <w:lang w:val="es-ES_tradnl"/>
      </w:rPr>
      <w:t>/1</w:t>
    </w:r>
  </w:p>
  <w:p w:rsidR="00D65A43" w:rsidRPr="00750467" w:rsidRDefault="00D65A43" w:rsidP="00477D6B">
    <w:pPr>
      <w:jc w:val="right"/>
    </w:pPr>
    <w:r w:rsidRPr="00750467">
      <w:t xml:space="preserve">página </w:t>
    </w:r>
    <w:r>
      <w:fldChar w:fldCharType="begin"/>
    </w:r>
    <w:r>
      <w:instrText xml:space="preserve"> PAGE  \* MERGEFORMAT </w:instrText>
    </w:r>
    <w:r>
      <w:fldChar w:fldCharType="separate"/>
    </w:r>
    <w:r w:rsidR="00AB4695">
      <w:rPr>
        <w:noProof/>
      </w:rPr>
      <w:t>5</w:t>
    </w:r>
    <w:r>
      <w:rPr>
        <w:noProof/>
      </w:rPr>
      <w:fldChar w:fldCharType="end"/>
    </w:r>
  </w:p>
  <w:p w:rsidR="00D65A43" w:rsidRDefault="00D65A4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01395C" w:rsidP="00477D6B">
    <w:pPr>
      <w:jc w:val="right"/>
    </w:pPr>
    <w:bookmarkStart w:id="6" w:name="Code2"/>
    <w:bookmarkEnd w:id="6"/>
    <w:r>
      <w:t>STLT/A/8/1</w:t>
    </w:r>
  </w:p>
  <w:p w:rsidR="00AE7F20" w:rsidRDefault="00AE7F20" w:rsidP="00477D6B">
    <w:pPr>
      <w:jc w:val="right"/>
    </w:pPr>
    <w:r>
      <w:t xml:space="preserve">página </w:t>
    </w:r>
    <w:r>
      <w:fldChar w:fldCharType="begin"/>
    </w:r>
    <w:r>
      <w:instrText xml:space="preserve"> PAGE  \* MERGEFORMAT </w:instrText>
    </w:r>
    <w:r>
      <w:fldChar w:fldCharType="separate"/>
    </w:r>
    <w:r w:rsidR="004D2312">
      <w:rPr>
        <w:noProof/>
      </w:rPr>
      <w:t>3</w:t>
    </w:r>
    <w:r>
      <w:fldChar w:fldCharType="end"/>
    </w:r>
  </w:p>
  <w:p w:rsidR="00AE7F20" w:rsidRDefault="00AE7F2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00" w:rsidRDefault="00093B00" w:rsidP="00093B00">
    <w:pPr>
      <w:pStyle w:val="Header"/>
      <w:jc w:val="right"/>
    </w:pPr>
    <w:r>
      <w:t>STLT/A/8/1</w:t>
    </w:r>
  </w:p>
  <w:p w:rsidR="00093B00" w:rsidRDefault="00093B00" w:rsidP="00093B00">
    <w:pPr>
      <w:pStyle w:val="Header"/>
      <w:jc w:val="right"/>
    </w:pPr>
    <w:r>
      <w:t>ANEXO</w:t>
    </w:r>
  </w:p>
  <w:p w:rsidR="00093B00" w:rsidRDefault="00093B00" w:rsidP="00093B0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B0406"/>
    <w:multiLevelType w:val="hybridMultilevel"/>
    <w:tmpl w:val="91C81730"/>
    <w:lvl w:ilvl="0" w:tplc="D868BD44">
      <w:numFmt w:val="bullet"/>
      <w:lvlText w:val="–"/>
      <w:lvlJc w:val="left"/>
      <w:pPr>
        <w:ind w:left="720" w:hanging="360"/>
      </w:pPr>
      <w:rPr>
        <w:rFonts w:ascii="Arial" w:eastAsia="SimSu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67"/>
    <w:rsid w:val="00010686"/>
    <w:rsid w:val="0001395C"/>
    <w:rsid w:val="00035C0F"/>
    <w:rsid w:val="00052915"/>
    <w:rsid w:val="00055933"/>
    <w:rsid w:val="00065654"/>
    <w:rsid w:val="00093B00"/>
    <w:rsid w:val="000C4E33"/>
    <w:rsid w:val="000E3BB3"/>
    <w:rsid w:val="000F3CC6"/>
    <w:rsid w:val="000F5E56"/>
    <w:rsid w:val="001362EE"/>
    <w:rsid w:val="00152CEA"/>
    <w:rsid w:val="001832A6"/>
    <w:rsid w:val="002634C4"/>
    <w:rsid w:val="00270732"/>
    <w:rsid w:val="00292204"/>
    <w:rsid w:val="002A4050"/>
    <w:rsid w:val="002A73D1"/>
    <w:rsid w:val="002D3D44"/>
    <w:rsid w:val="002E0F47"/>
    <w:rsid w:val="002F4E68"/>
    <w:rsid w:val="00345F67"/>
    <w:rsid w:val="0035092C"/>
    <w:rsid w:val="00354647"/>
    <w:rsid w:val="00377273"/>
    <w:rsid w:val="003845C1"/>
    <w:rsid w:val="00387287"/>
    <w:rsid w:val="003A23B3"/>
    <w:rsid w:val="003E48F1"/>
    <w:rsid w:val="003F347A"/>
    <w:rsid w:val="00414A3C"/>
    <w:rsid w:val="00423E3E"/>
    <w:rsid w:val="00427AF4"/>
    <w:rsid w:val="00445D93"/>
    <w:rsid w:val="0045231F"/>
    <w:rsid w:val="004647DA"/>
    <w:rsid w:val="00477808"/>
    <w:rsid w:val="00477D6B"/>
    <w:rsid w:val="004A6C37"/>
    <w:rsid w:val="004D2312"/>
    <w:rsid w:val="004E297D"/>
    <w:rsid w:val="005332F0"/>
    <w:rsid w:val="0055013B"/>
    <w:rsid w:val="00571B99"/>
    <w:rsid w:val="005724C2"/>
    <w:rsid w:val="005C24D6"/>
    <w:rsid w:val="00605827"/>
    <w:rsid w:val="006635F9"/>
    <w:rsid w:val="00675021"/>
    <w:rsid w:val="006A06C6"/>
    <w:rsid w:val="006C75BD"/>
    <w:rsid w:val="006D5091"/>
    <w:rsid w:val="006F6545"/>
    <w:rsid w:val="007224C8"/>
    <w:rsid w:val="00762602"/>
    <w:rsid w:val="00794BE2"/>
    <w:rsid w:val="007A3BED"/>
    <w:rsid w:val="007B71FE"/>
    <w:rsid w:val="007D781E"/>
    <w:rsid w:val="007E1A41"/>
    <w:rsid w:val="007E663E"/>
    <w:rsid w:val="00815082"/>
    <w:rsid w:val="008157C8"/>
    <w:rsid w:val="0088395E"/>
    <w:rsid w:val="008A2314"/>
    <w:rsid w:val="008B28A9"/>
    <w:rsid w:val="008B2CC1"/>
    <w:rsid w:val="008D4D00"/>
    <w:rsid w:val="008E6BD6"/>
    <w:rsid w:val="0090731E"/>
    <w:rsid w:val="009136F3"/>
    <w:rsid w:val="00966A22"/>
    <w:rsid w:val="00972F03"/>
    <w:rsid w:val="009908DF"/>
    <w:rsid w:val="009A0C8B"/>
    <w:rsid w:val="009B6241"/>
    <w:rsid w:val="009E74D2"/>
    <w:rsid w:val="00A16FC0"/>
    <w:rsid w:val="00A32C9E"/>
    <w:rsid w:val="00A80299"/>
    <w:rsid w:val="00A84F32"/>
    <w:rsid w:val="00AB4695"/>
    <w:rsid w:val="00AB613D"/>
    <w:rsid w:val="00AE7F20"/>
    <w:rsid w:val="00B251A8"/>
    <w:rsid w:val="00B45941"/>
    <w:rsid w:val="00B47239"/>
    <w:rsid w:val="00B65A0A"/>
    <w:rsid w:val="00B66DD9"/>
    <w:rsid w:val="00B67CDC"/>
    <w:rsid w:val="00B72D36"/>
    <w:rsid w:val="00BC4164"/>
    <w:rsid w:val="00BD2DCC"/>
    <w:rsid w:val="00C5360E"/>
    <w:rsid w:val="00C67983"/>
    <w:rsid w:val="00C90559"/>
    <w:rsid w:val="00CA04FB"/>
    <w:rsid w:val="00CA2251"/>
    <w:rsid w:val="00CA3EA8"/>
    <w:rsid w:val="00CE45CF"/>
    <w:rsid w:val="00D521DE"/>
    <w:rsid w:val="00D55D97"/>
    <w:rsid w:val="00D56C7C"/>
    <w:rsid w:val="00D65A43"/>
    <w:rsid w:val="00D71B4D"/>
    <w:rsid w:val="00D72E76"/>
    <w:rsid w:val="00D90289"/>
    <w:rsid w:val="00D93D55"/>
    <w:rsid w:val="00DA0DB9"/>
    <w:rsid w:val="00DC4C60"/>
    <w:rsid w:val="00DC4DF5"/>
    <w:rsid w:val="00DF4FA9"/>
    <w:rsid w:val="00E0079A"/>
    <w:rsid w:val="00E02273"/>
    <w:rsid w:val="00E444DA"/>
    <w:rsid w:val="00E45C84"/>
    <w:rsid w:val="00E504E5"/>
    <w:rsid w:val="00EB7A3E"/>
    <w:rsid w:val="00EC401A"/>
    <w:rsid w:val="00EF530A"/>
    <w:rsid w:val="00EF6622"/>
    <w:rsid w:val="00F364A0"/>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45F67"/>
    <w:rPr>
      <w:rFonts w:ascii="Tahoma" w:hAnsi="Tahoma" w:cs="Tahoma"/>
      <w:sz w:val="16"/>
      <w:szCs w:val="16"/>
    </w:rPr>
  </w:style>
  <w:style w:type="character" w:customStyle="1" w:styleId="BalloonTextChar">
    <w:name w:val="Balloon Text Char"/>
    <w:basedOn w:val="DefaultParagraphFont"/>
    <w:link w:val="BalloonText"/>
    <w:rsid w:val="00345F67"/>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9"/>
    <w:locked/>
    <w:rsid w:val="00D65A43"/>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semiHidden/>
    <w:locked/>
    <w:rsid w:val="00D65A43"/>
    <w:rPr>
      <w:rFonts w:ascii="Arial" w:eastAsia="SimSun" w:hAnsi="Arial" w:cs="Arial"/>
      <w:sz w:val="18"/>
      <w:lang w:val="es-ES" w:eastAsia="zh-CN"/>
    </w:rPr>
  </w:style>
  <w:style w:type="character" w:styleId="FootnoteReference">
    <w:name w:val="footnote reference"/>
    <w:basedOn w:val="DefaultParagraphFont"/>
    <w:uiPriority w:val="99"/>
    <w:rsid w:val="00D65A43"/>
    <w:rPr>
      <w:rFonts w:cs="Times New Roman"/>
      <w:vertAlign w:val="superscript"/>
    </w:rPr>
  </w:style>
  <w:style w:type="paragraph" w:customStyle="1" w:styleId="DecisionInvitingPara">
    <w:name w:val="Decision Inviting Para."/>
    <w:basedOn w:val="Normal"/>
    <w:uiPriority w:val="99"/>
    <w:rsid w:val="00D65A43"/>
    <w:pPr>
      <w:spacing w:after="120" w:line="260" w:lineRule="atLeast"/>
      <w:ind w:left="5534"/>
      <w:contextualSpacing/>
    </w:pPr>
    <w:rPr>
      <w:rFonts w:eastAsia="Times New Roman" w:cs="Times New Roman"/>
      <w:i/>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uiPriority w:val="99"/>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45F67"/>
    <w:rPr>
      <w:rFonts w:ascii="Tahoma" w:hAnsi="Tahoma" w:cs="Tahoma"/>
      <w:sz w:val="16"/>
      <w:szCs w:val="16"/>
    </w:rPr>
  </w:style>
  <w:style w:type="character" w:customStyle="1" w:styleId="BalloonTextChar">
    <w:name w:val="Balloon Text Char"/>
    <w:basedOn w:val="DefaultParagraphFont"/>
    <w:link w:val="BalloonText"/>
    <w:rsid w:val="00345F67"/>
    <w:rPr>
      <w:rFonts w:ascii="Tahoma" w:eastAsia="SimSun" w:hAnsi="Tahoma" w:cs="Tahoma"/>
      <w:sz w:val="16"/>
      <w:szCs w:val="16"/>
      <w:lang w:val="es-ES" w:eastAsia="zh-CN"/>
    </w:rPr>
  </w:style>
  <w:style w:type="character" w:customStyle="1" w:styleId="Heading1Char">
    <w:name w:val="Heading 1 Char"/>
    <w:basedOn w:val="DefaultParagraphFont"/>
    <w:link w:val="Heading1"/>
    <w:uiPriority w:val="99"/>
    <w:locked/>
    <w:rsid w:val="00D65A43"/>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semiHidden/>
    <w:locked/>
    <w:rsid w:val="00D65A43"/>
    <w:rPr>
      <w:rFonts w:ascii="Arial" w:eastAsia="SimSun" w:hAnsi="Arial" w:cs="Arial"/>
      <w:sz w:val="18"/>
      <w:lang w:val="es-ES" w:eastAsia="zh-CN"/>
    </w:rPr>
  </w:style>
  <w:style w:type="character" w:styleId="FootnoteReference">
    <w:name w:val="footnote reference"/>
    <w:basedOn w:val="DefaultParagraphFont"/>
    <w:uiPriority w:val="99"/>
    <w:rsid w:val="00D65A43"/>
    <w:rPr>
      <w:rFonts w:cs="Times New Roman"/>
      <w:vertAlign w:val="superscript"/>
    </w:rPr>
  </w:style>
  <w:style w:type="paragraph" w:customStyle="1" w:styleId="DecisionInvitingPara">
    <w:name w:val="Decision Inviting Para."/>
    <w:basedOn w:val="Normal"/>
    <w:uiPriority w:val="99"/>
    <w:rsid w:val="00D65A43"/>
    <w:pPr>
      <w:spacing w:after="120" w:line="260" w:lineRule="atLeast"/>
      <w:ind w:left="5534"/>
      <w:contextualSpacing/>
    </w:pPr>
    <w:rPr>
      <w:rFonts w:eastAsia="Times New Roman" w:cs="Times New Roman"/>
      <w:i/>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1954</Words>
  <Characters>10637</Characters>
  <Application>Microsoft Office Word</Application>
  <DocSecurity>0</DocSecurity>
  <Lines>88</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Bernardet</dc:creator>
  <cp:lastModifiedBy>MARIN-CUDRAZ DAVI Nicoletta</cp:lastModifiedBy>
  <cp:revision>6</cp:revision>
  <cp:lastPrinted>2015-07-16T09:28:00Z</cp:lastPrinted>
  <dcterms:created xsi:type="dcterms:W3CDTF">2015-07-16T09:27:00Z</dcterms:created>
  <dcterms:modified xsi:type="dcterms:W3CDTF">2015-07-16T15:15:00Z</dcterms:modified>
</cp:coreProperties>
</file>