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774E7" w:rsidRPr="00855837" w:rsidTr="00A7453D">
        <w:tc>
          <w:tcPr>
            <w:tcW w:w="4513" w:type="dxa"/>
            <w:tcBorders>
              <w:bottom w:val="single" w:sz="4" w:space="0" w:color="auto"/>
            </w:tcBorders>
            <w:tcMar>
              <w:bottom w:w="170" w:type="dxa"/>
            </w:tcMar>
          </w:tcPr>
          <w:p w:rsidR="00C774E7" w:rsidRPr="00855837" w:rsidRDefault="00C774E7" w:rsidP="00AB613D">
            <w:pPr>
              <w:rPr>
                <w:lang w:val="es-ES_tradnl"/>
              </w:rPr>
            </w:pPr>
          </w:p>
        </w:tc>
        <w:tc>
          <w:tcPr>
            <w:tcW w:w="4337" w:type="dxa"/>
            <w:tcBorders>
              <w:bottom w:val="single" w:sz="4" w:space="0" w:color="auto"/>
            </w:tcBorders>
            <w:tcMar>
              <w:left w:w="0" w:type="dxa"/>
              <w:bottom w:w="170" w:type="dxa"/>
              <w:right w:w="0" w:type="dxa"/>
            </w:tcMar>
          </w:tcPr>
          <w:p w:rsidR="00C774E7" w:rsidRPr="00855837" w:rsidRDefault="00D406AB" w:rsidP="00AB613D">
            <w:pPr>
              <w:rPr>
                <w:lang w:val="es-ES_tradnl"/>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S" style="width:142.35pt;height:104.2pt;visibility:visible">
                  <v:imagedata r:id="rId8" o:title=""/>
                </v:shape>
              </w:pict>
            </w:r>
          </w:p>
        </w:tc>
        <w:tc>
          <w:tcPr>
            <w:tcW w:w="425" w:type="dxa"/>
            <w:tcBorders>
              <w:bottom w:val="single" w:sz="4" w:space="0" w:color="auto"/>
            </w:tcBorders>
            <w:tcMar>
              <w:bottom w:w="170" w:type="dxa"/>
            </w:tcMar>
          </w:tcPr>
          <w:p w:rsidR="00C774E7" w:rsidRPr="00855837" w:rsidRDefault="00C774E7" w:rsidP="00750467">
            <w:pPr>
              <w:jc w:val="right"/>
              <w:rPr>
                <w:lang w:val="es-ES_tradnl"/>
              </w:rPr>
            </w:pPr>
            <w:r w:rsidRPr="00855837">
              <w:rPr>
                <w:b/>
                <w:sz w:val="40"/>
                <w:szCs w:val="40"/>
                <w:lang w:val="es-ES_tradnl"/>
              </w:rPr>
              <w:t>S</w:t>
            </w:r>
          </w:p>
        </w:tc>
      </w:tr>
      <w:tr w:rsidR="00C774E7" w:rsidRPr="00855837" w:rsidTr="00AB613D">
        <w:trPr>
          <w:trHeight w:hRule="exact" w:val="340"/>
        </w:trPr>
        <w:tc>
          <w:tcPr>
            <w:tcW w:w="9356" w:type="dxa"/>
            <w:gridSpan w:val="3"/>
            <w:tcBorders>
              <w:top w:val="single" w:sz="4" w:space="0" w:color="auto"/>
            </w:tcBorders>
            <w:tcMar>
              <w:top w:w="170" w:type="dxa"/>
              <w:left w:w="0" w:type="dxa"/>
              <w:right w:w="0" w:type="dxa"/>
            </w:tcMar>
            <w:vAlign w:val="bottom"/>
          </w:tcPr>
          <w:p w:rsidR="00C774E7" w:rsidRPr="00855837" w:rsidRDefault="00C774E7" w:rsidP="00F261DD">
            <w:pPr>
              <w:jc w:val="right"/>
              <w:rPr>
                <w:rFonts w:ascii="Arial Black" w:hAnsi="Arial Black"/>
                <w:caps/>
                <w:sz w:val="15"/>
                <w:lang w:val="es-ES_tradnl"/>
              </w:rPr>
            </w:pPr>
            <w:r w:rsidRPr="00855837">
              <w:rPr>
                <w:rFonts w:ascii="Arial Black" w:hAnsi="Arial Black"/>
                <w:sz w:val="15"/>
                <w:lang w:val="es-ES_tradnl"/>
              </w:rPr>
              <w:t>STLT/A/5/1</w:t>
            </w:r>
          </w:p>
        </w:tc>
      </w:tr>
      <w:tr w:rsidR="00C774E7" w:rsidRPr="00855837" w:rsidTr="00AB613D">
        <w:trPr>
          <w:trHeight w:hRule="exact" w:val="170"/>
        </w:trPr>
        <w:tc>
          <w:tcPr>
            <w:tcW w:w="9356" w:type="dxa"/>
            <w:gridSpan w:val="3"/>
            <w:noWrap/>
            <w:tcMar>
              <w:left w:w="0" w:type="dxa"/>
              <w:right w:w="0" w:type="dxa"/>
            </w:tcMar>
            <w:vAlign w:val="bottom"/>
          </w:tcPr>
          <w:p w:rsidR="00C774E7" w:rsidRPr="00855837" w:rsidRDefault="00C774E7" w:rsidP="00F261DD">
            <w:pPr>
              <w:jc w:val="right"/>
              <w:rPr>
                <w:rFonts w:ascii="Arial Black" w:hAnsi="Arial Black"/>
                <w:caps/>
                <w:sz w:val="15"/>
                <w:lang w:val="es-ES_tradnl"/>
              </w:rPr>
            </w:pPr>
            <w:r w:rsidRPr="00855837">
              <w:rPr>
                <w:rFonts w:ascii="Arial Black" w:hAnsi="Arial Black"/>
                <w:b/>
                <w:sz w:val="15"/>
                <w:lang w:val="es-ES_tradnl"/>
              </w:rPr>
              <w:t>ORIGINAL:</w:t>
            </w:r>
            <w:r w:rsidRPr="00855837">
              <w:rPr>
                <w:rFonts w:ascii="Arial Black" w:hAnsi="Arial Black"/>
                <w:sz w:val="15"/>
                <w:lang w:val="es-ES_tradnl"/>
              </w:rPr>
              <w:t xml:space="preserve">  INGLÉS</w:t>
            </w:r>
          </w:p>
        </w:tc>
      </w:tr>
      <w:tr w:rsidR="00C774E7" w:rsidRPr="00855837" w:rsidTr="00AB613D">
        <w:trPr>
          <w:trHeight w:hRule="exact" w:val="198"/>
        </w:trPr>
        <w:tc>
          <w:tcPr>
            <w:tcW w:w="9356" w:type="dxa"/>
            <w:gridSpan w:val="3"/>
            <w:tcMar>
              <w:left w:w="0" w:type="dxa"/>
              <w:right w:w="0" w:type="dxa"/>
            </w:tcMar>
            <w:vAlign w:val="bottom"/>
          </w:tcPr>
          <w:p w:rsidR="00C774E7" w:rsidRPr="00855837" w:rsidRDefault="00C774E7" w:rsidP="00F261DD">
            <w:pPr>
              <w:jc w:val="right"/>
              <w:rPr>
                <w:rFonts w:ascii="Arial Black" w:hAnsi="Arial Black"/>
                <w:caps/>
                <w:sz w:val="15"/>
                <w:lang w:val="es-ES_tradnl"/>
              </w:rPr>
            </w:pPr>
            <w:r w:rsidRPr="00855837">
              <w:rPr>
                <w:rFonts w:ascii="Arial Black" w:hAnsi="Arial Black"/>
                <w:sz w:val="15"/>
                <w:lang w:val="es-ES_tradnl"/>
              </w:rPr>
              <w:t>FECHA:  22 DE JULIO DE 2013</w:t>
            </w:r>
          </w:p>
        </w:tc>
      </w:tr>
    </w:tbl>
    <w:p w:rsidR="00C774E7" w:rsidRPr="00855837" w:rsidRDefault="00C774E7" w:rsidP="008B2CC1">
      <w:pPr>
        <w:rPr>
          <w:lang w:val="es-ES_tradnl"/>
        </w:rPr>
      </w:pPr>
    </w:p>
    <w:p w:rsidR="00C774E7" w:rsidRPr="00855837" w:rsidRDefault="00C774E7" w:rsidP="008B2CC1">
      <w:pPr>
        <w:rPr>
          <w:lang w:val="es-ES_tradnl"/>
        </w:rPr>
      </w:pPr>
    </w:p>
    <w:p w:rsidR="00C774E7" w:rsidRPr="00855837" w:rsidRDefault="00C774E7" w:rsidP="008B2CC1">
      <w:pPr>
        <w:rPr>
          <w:lang w:val="es-ES_tradnl"/>
        </w:rPr>
      </w:pPr>
    </w:p>
    <w:p w:rsidR="00C774E7" w:rsidRPr="00855837" w:rsidRDefault="00C774E7" w:rsidP="008B2CC1">
      <w:pPr>
        <w:rPr>
          <w:lang w:val="es-ES_tradnl"/>
        </w:rPr>
      </w:pPr>
    </w:p>
    <w:p w:rsidR="00C774E7" w:rsidRPr="00855837" w:rsidRDefault="00C774E7" w:rsidP="008B2CC1">
      <w:pPr>
        <w:rPr>
          <w:lang w:val="es-ES_tradnl"/>
        </w:rPr>
      </w:pPr>
    </w:p>
    <w:p w:rsidR="00C774E7" w:rsidRPr="00855837" w:rsidRDefault="00C774E7" w:rsidP="008B2CC1">
      <w:pPr>
        <w:rPr>
          <w:b/>
          <w:sz w:val="28"/>
          <w:szCs w:val="28"/>
          <w:lang w:val="es-ES_tradnl"/>
        </w:rPr>
      </w:pPr>
      <w:r w:rsidRPr="00855837">
        <w:rPr>
          <w:b/>
          <w:sz w:val="28"/>
          <w:szCs w:val="28"/>
          <w:lang w:val="es-ES_tradnl"/>
        </w:rPr>
        <w:t>Tratado de Singapur sobre el Derecho de Marcas (STLT)</w:t>
      </w:r>
    </w:p>
    <w:p w:rsidR="00C774E7" w:rsidRPr="00855837" w:rsidRDefault="00C774E7" w:rsidP="003845C1">
      <w:pPr>
        <w:rPr>
          <w:lang w:val="es-ES_tradnl"/>
        </w:rPr>
      </w:pPr>
    </w:p>
    <w:p w:rsidR="00C774E7" w:rsidRPr="00855837" w:rsidRDefault="00C774E7" w:rsidP="003845C1">
      <w:pPr>
        <w:rPr>
          <w:lang w:val="es-ES_tradnl"/>
        </w:rPr>
      </w:pPr>
    </w:p>
    <w:p w:rsidR="00C774E7" w:rsidRPr="00855837" w:rsidRDefault="00C774E7" w:rsidP="003845C1">
      <w:pPr>
        <w:rPr>
          <w:b/>
          <w:sz w:val="28"/>
          <w:szCs w:val="28"/>
          <w:lang w:val="es-ES_tradnl"/>
        </w:rPr>
      </w:pPr>
      <w:r w:rsidRPr="00855837">
        <w:rPr>
          <w:b/>
          <w:sz w:val="28"/>
          <w:szCs w:val="28"/>
          <w:lang w:val="es-ES_tradnl"/>
        </w:rPr>
        <w:t>Asamblea</w:t>
      </w:r>
    </w:p>
    <w:p w:rsidR="00C774E7" w:rsidRPr="00855837" w:rsidRDefault="00C774E7" w:rsidP="003845C1">
      <w:pPr>
        <w:rPr>
          <w:lang w:val="es-ES_tradnl"/>
        </w:rPr>
      </w:pPr>
    </w:p>
    <w:p w:rsidR="00C774E7" w:rsidRPr="00855837" w:rsidRDefault="00C774E7" w:rsidP="003845C1">
      <w:pPr>
        <w:rPr>
          <w:lang w:val="es-ES_tradnl"/>
        </w:rPr>
      </w:pPr>
    </w:p>
    <w:p w:rsidR="00C774E7" w:rsidRPr="00855837" w:rsidRDefault="00C774E7" w:rsidP="008B2CC1">
      <w:pPr>
        <w:rPr>
          <w:b/>
          <w:sz w:val="24"/>
          <w:szCs w:val="24"/>
          <w:lang w:val="es-ES_tradnl"/>
        </w:rPr>
      </w:pPr>
      <w:r w:rsidRPr="00855837">
        <w:rPr>
          <w:b/>
          <w:sz w:val="24"/>
          <w:szCs w:val="24"/>
          <w:lang w:val="es-ES_tradnl"/>
        </w:rPr>
        <w:t>Quinto período de sesiones (3° ordinario)</w:t>
      </w:r>
    </w:p>
    <w:p w:rsidR="00C774E7" w:rsidRPr="00855837" w:rsidRDefault="00C774E7" w:rsidP="008B2CC1">
      <w:pPr>
        <w:rPr>
          <w:b/>
          <w:sz w:val="24"/>
          <w:szCs w:val="24"/>
          <w:lang w:val="es-ES_tradnl"/>
        </w:rPr>
      </w:pPr>
      <w:r w:rsidRPr="00855837">
        <w:rPr>
          <w:b/>
          <w:sz w:val="24"/>
          <w:szCs w:val="24"/>
          <w:lang w:val="es-ES_tradnl"/>
        </w:rPr>
        <w:t>Ginebra, 23 de septiembre a 2 de octubre de 2013</w:t>
      </w:r>
    </w:p>
    <w:p w:rsidR="00C774E7" w:rsidRPr="00855837" w:rsidRDefault="00C774E7" w:rsidP="008B2CC1">
      <w:pPr>
        <w:rPr>
          <w:lang w:val="es-ES_tradnl"/>
        </w:rPr>
      </w:pPr>
    </w:p>
    <w:p w:rsidR="00C774E7" w:rsidRPr="00855837" w:rsidRDefault="00C774E7" w:rsidP="008B2CC1">
      <w:pPr>
        <w:rPr>
          <w:lang w:val="es-ES_tradnl"/>
        </w:rPr>
      </w:pPr>
    </w:p>
    <w:p w:rsidR="00C774E7" w:rsidRPr="00855837" w:rsidRDefault="00C774E7" w:rsidP="008B2CC1">
      <w:pPr>
        <w:rPr>
          <w:lang w:val="es-ES_tradnl"/>
        </w:rPr>
      </w:pPr>
    </w:p>
    <w:p w:rsidR="00C774E7" w:rsidRPr="00855837" w:rsidRDefault="00C774E7" w:rsidP="0092005F">
      <w:pPr>
        <w:rPr>
          <w:caps/>
          <w:sz w:val="24"/>
          <w:lang w:val="es-ES_tradnl"/>
        </w:rPr>
      </w:pPr>
      <w:bookmarkStart w:id="0" w:name="TitleOfDoc"/>
      <w:bookmarkEnd w:id="0"/>
      <w:r w:rsidRPr="00855837">
        <w:rPr>
          <w:sz w:val="24"/>
          <w:lang w:val="es-ES_tradnl"/>
        </w:rPr>
        <w:t xml:space="preserve">ASISTENCIA PARA LA APLICACIÓN DEL TRATADO DE SINGAPUR SOBRE EL DERECHO DE MARCAS </w:t>
      </w:r>
      <w:r w:rsidRPr="00855837">
        <w:rPr>
          <w:caps/>
          <w:sz w:val="24"/>
          <w:lang w:val="es-ES_tradnl"/>
        </w:rPr>
        <w:t>(STLT)</w:t>
      </w:r>
    </w:p>
    <w:p w:rsidR="00C774E7" w:rsidRPr="00855837" w:rsidRDefault="00C774E7" w:rsidP="00643CDC">
      <w:pPr>
        <w:rPr>
          <w:caps/>
          <w:sz w:val="24"/>
          <w:lang w:val="es-ES_tradnl"/>
        </w:rPr>
      </w:pPr>
    </w:p>
    <w:p w:rsidR="00C774E7" w:rsidRPr="00855837" w:rsidRDefault="00C774E7" w:rsidP="00643CDC">
      <w:pPr>
        <w:rPr>
          <w:lang w:val="es-ES_tradnl"/>
        </w:rPr>
      </w:pPr>
    </w:p>
    <w:p w:rsidR="00C774E7" w:rsidRPr="00855837" w:rsidRDefault="00C774E7" w:rsidP="0092005F">
      <w:pPr>
        <w:rPr>
          <w:i/>
          <w:lang w:val="es-ES_tradnl"/>
        </w:rPr>
      </w:pPr>
      <w:bookmarkStart w:id="1" w:name="Prepared"/>
      <w:bookmarkEnd w:id="1"/>
      <w:r w:rsidRPr="00855837">
        <w:rPr>
          <w:i/>
          <w:lang w:val="es-ES_tradnl"/>
        </w:rPr>
        <w:t>Documento preparado por la Oficina Internacional</w:t>
      </w:r>
    </w:p>
    <w:p w:rsidR="00C774E7" w:rsidRPr="00855837" w:rsidRDefault="00C774E7" w:rsidP="00643CDC">
      <w:pPr>
        <w:rPr>
          <w:lang w:val="es-ES_tradnl"/>
        </w:rPr>
      </w:pPr>
    </w:p>
    <w:p w:rsidR="00C774E7" w:rsidRPr="00855837" w:rsidRDefault="00C774E7" w:rsidP="00643CDC">
      <w:pPr>
        <w:rPr>
          <w:lang w:val="es-ES_tradnl"/>
        </w:rPr>
      </w:pPr>
    </w:p>
    <w:p w:rsidR="00C774E7" w:rsidRPr="00855837" w:rsidRDefault="00C774E7" w:rsidP="00643CDC">
      <w:pPr>
        <w:rPr>
          <w:lang w:val="es-ES_tradnl"/>
        </w:rPr>
      </w:pPr>
    </w:p>
    <w:p w:rsidR="00C774E7" w:rsidRPr="00855837" w:rsidRDefault="00C774E7" w:rsidP="0092005F">
      <w:pPr>
        <w:pStyle w:val="Heading1"/>
        <w:ind w:left="567" w:hanging="567"/>
        <w:rPr>
          <w:lang w:val="es-ES_tradnl"/>
        </w:rPr>
      </w:pPr>
      <w:r w:rsidRPr="00855837">
        <w:rPr>
          <w:caps w:val="0"/>
          <w:lang w:val="es-ES_tradnl"/>
        </w:rPr>
        <w:t>INTRODUCCIÓN</w:t>
      </w:r>
    </w:p>
    <w:p w:rsidR="00C774E7" w:rsidRPr="00855837" w:rsidRDefault="00C774E7" w:rsidP="00643CDC">
      <w:pPr>
        <w:rPr>
          <w:lang w:val="es-ES_tradnl"/>
        </w:rPr>
      </w:pPr>
    </w:p>
    <w:p w:rsidR="00C774E7" w:rsidRPr="00855837" w:rsidRDefault="00C774E7" w:rsidP="00750467">
      <w:pPr>
        <w:pStyle w:val="ONUMFS"/>
        <w:numPr>
          <w:ilvl w:val="0"/>
          <w:numId w:val="16"/>
        </w:numPr>
        <w:ind w:left="0" w:firstLine="0"/>
        <w:rPr>
          <w:lang w:val="es-ES_tradnl"/>
        </w:rPr>
      </w:pPr>
      <w:r w:rsidRPr="00855837">
        <w:rPr>
          <w:lang w:val="es-ES_tradnl"/>
        </w:rPr>
        <w:t>En su Resolución suplementaria al Tratado de Singapur sobre el Derecho de Marcas (en lo sucesivo, “el Tratado de Singapur”), la Conferencia Diplomática para la Adopción de un Tratado revisado sobre el Derecho de Marcas, celebrada en Singapur en marzo de 2006, solicitó a la Asamblea del Tratado de Singapur que supervisara y evaluara, en cada período ordinario de sesiones, la marcha de la asistencia relacionada con la labor de aplicación y con los beneficios resultantes de la misma (párrafo 8 de la Resolución suplementaria al Tratado de Singapur, adoptada por la Conferencia Diplomática para la Adopción de un Tratado revisado sobre el Derecho de Marcas, Singapur, del 13 al 27 de marzo de 2006).</w:t>
      </w:r>
    </w:p>
    <w:p w:rsidR="00C774E7" w:rsidRPr="00855837" w:rsidRDefault="00C774E7" w:rsidP="00750467">
      <w:pPr>
        <w:pStyle w:val="ONUMFS"/>
        <w:numPr>
          <w:ilvl w:val="0"/>
          <w:numId w:val="16"/>
        </w:numPr>
        <w:ind w:left="0" w:firstLine="0"/>
        <w:rPr>
          <w:lang w:val="es-ES_tradnl"/>
        </w:rPr>
      </w:pPr>
      <w:r w:rsidRPr="00855837">
        <w:rPr>
          <w:lang w:val="es-ES_tradnl"/>
        </w:rPr>
        <w:t>En su primer período ordinario de sesiones, celebrado en Ginebra del 22 de septiembre al 1 de octubre de 2009, la Asamblea del Tratado de Singapur acordó que la Partes Contratantes comunicarían a la Oficina Internacional cualquier información sobre actividades de asistencia técnica relacionadas con la aplicación del Tratado de Singapur y que la Oficina Internacional recopilaría la información recibida y la presentaría, junto con toda la información pertinente de sus propias actividades de asistencia técnica, en el siguiente período ordinario de sesiones de la Asamblea del Tratado de Singapur (documento STLT/A/1/2, párrafo 4, y documento STLT/A/1/4, párrafo 10).</w:t>
      </w:r>
    </w:p>
    <w:p w:rsidR="00C774E7" w:rsidRPr="00855837" w:rsidRDefault="00C774E7" w:rsidP="00750467">
      <w:pPr>
        <w:pStyle w:val="ONUMFS"/>
        <w:numPr>
          <w:ilvl w:val="0"/>
          <w:numId w:val="16"/>
        </w:numPr>
        <w:ind w:left="0" w:firstLine="0"/>
        <w:rPr>
          <w:lang w:val="es-ES_tradnl"/>
        </w:rPr>
      </w:pPr>
      <w:r w:rsidRPr="00855837">
        <w:rPr>
          <w:lang w:val="es-ES_tradnl"/>
        </w:rPr>
        <w:lastRenderedPageBreak/>
        <w:t>En consecuencia, la Oficina Internacional preparó un documento de información intitulado “Asistencia para la aplicación del Tratado de Singapur sobre el Derecho de Marcas” y lo presentó en el tercer periodo de sesiones (2º ordinario) de la Asamblea del Tratado de Singapur (documento STLT/A/3/1).  El presente documento contiene información importante relativa al período comprendido entre noviembre de 2011 y junio de 2013.  La información se presenta en dos amplias categorías, a saber, asistencia en el establecimiento del marco jurídico para la aplicación del Tratado y actividades relativas a cuestiones de información, educación, sensibilización y asistencia en la revisión de procedimientos y prácticas administrativas</w:t>
      </w:r>
    </w:p>
    <w:p w:rsidR="00C774E7" w:rsidRPr="00855837" w:rsidRDefault="00C774E7" w:rsidP="00971E12">
      <w:pPr>
        <w:pStyle w:val="Heading1"/>
        <w:ind w:left="567" w:hanging="567"/>
        <w:rPr>
          <w:lang w:val="es-ES_tradnl"/>
        </w:rPr>
      </w:pPr>
      <w:r w:rsidRPr="00855837">
        <w:rPr>
          <w:caps w:val="0"/>
          <w:lang w:val="es-ES_tradnl"/>
        </w:rPr>
        <w:t>II.</w:t>
      </w:r>
      <w:r w:rsidRPr="00855837">
        <w:rPr>
          <w:b w:val="0"/>
          <w:caps w:val="0"/>
          <w:lang w:val="es-ES_tradnl"/>
        </w:rPr>
        <w:tab/>
      </w:r>
      <w:r w:rsidRPr="00855837">
        <w:rPr>
          <w:caps w:val="0"/>
          <w:lang w:val="es-ES_tradnl"/>
        </w:rPr>
        <w:t>ASISTENCIA EN EL ESTABLECIMIENTO DEL MARCO JURÍDICO PARA LA APLICACIÓN DEL TRATADO</w:t>
      </w:r>
    </w:p>
    <w:p w:rsidR="00C774E7" w:rsidRPr="00855837" w:rsidRDefault="00C774E7" w:rsidP="00643CDC">
      <w:pPr>
        <w:rPr>
          <w:lang w:val="es-ES_tradnl"/>
        </w:rPr>
      </w:pPr>
    </w:p>
    <w:p w:rsidR="00C774E7" w:rsidRPr="00855837" w:rsidRDefault="00C774E7" w:rsidP="005D4EF3">
      <w:pPr>
        <w:pStyle w:val="ONUMFS"/>
        <w:numPr>
          <w:ilvl w:val="0"/>
          <w:numId w:val="16"/>
        </w:numPr>
        <w:ind w:left="0" w:firstLine="0"/>
        <w:rPr>
          <w:lang w:val="es-ES_tradnl"/>
        </w:rPr>
      </w:pPr>
      <w:r w:rsidRPr="00855837">
        <w:rPr>
          <w:lang w:val="es-ES_tradnl"/>
        </w:rPr>
        <w:t>Las actividades se presentan siguiendo el orden alfabético del nombre en inglés del Estado receptor.  Todos los Estados que lo solicitaron recibieron asesoramiento jurídico y comentarios, estuvieran o no inmersos en el proceso de adhesión o ratificación del Tratado de Singapur.  En general, se prestó asesoramiento de naturaleza muy variada, abarcando todos los aspectos del Derecho de marcas y cuestiones relativas a la aplicación del Tratado de Singapur:</w:t>
      </w:r>
    </w:p>
    <w:p w:rsidR="00C774E7" w:rsidRPr="00855837" w:rsidRDefault="00C774E7" w:rsidP="005D4EF3">
      <w:pPr>
        <w:pStyle w:val="ONUMFS"/>
        <w:numPr>
          <w:ilvl w:val="0"/>
          <w:numId w:val="22"/>
        </w:numPr>
        <w:ind w:left="1134" w:hanging="567"/>
        <w:rPr>
          <w:lang w:val="es-ES_tradnl"/>
        </w:rPr>
      </w:pPr>
      <w:r w:rsidRPr="00855837">
        <w:rPr>
          <w:lang w:val="es-ES_tradnl"/>
        </w:rPr>
        <w:t>Bahamas:  Comentarios sobre el proyecto de enmiendade la Ley de Propiedad Intelectual, entregados el 25 de abril de 2012;</w:t>
      </w:r>
    </w:p>
    <w:p w:rsidR="00C774E7" w:rsidRPr="00855837" w:rsidRDefault="00C774E7" w:rsidP="00336C79">
      <w:pPr>
        <w:pStyle w:val="ONUMFS"/>
        <w:numPr>
          <w:ilvl w:val="0"/>
          <w:numId w:val="22"/>
        </w:numPr>
        <w:ind w:left="1134" w:hanging="567"/>
        <w:rPr>
          <w:lang w:val="es-ES_tradnl"/>
        </w:rPr>
      </w:pPr>
      <w:r w:rsidRPr="00855837">
        <w:rPr>
          <w:lang w:val="es-ES_tradnl"/>
        </w:rPr>
        <w:t>Barbados:  Comentarios sobre los proyectos de Ley y de Reglamento de Marcas, entregados el 30 de julio de 2012;</w:t>
      </w:r>
    </w:p>
    <w:p w:rsidR="00C774E7" w:rsidRPr="00855837" w:rsidRDefault="00C774E7" w:rsidP="005D4EF3">
      <w:pPr>
        <w:pStyle w:val="ONUMFS"/>
        <w:numPr>
          <w:ilvl w:val="0"/>
          <w:numId w:val="22"/>
        </w:numPr>
        <w:ind w:left="1134" w:hanging="567"/>
        <w:rPr>
          <w:lang w:val="es-ES_tradnl"/>
        </w:rPr>
      </w:pPr>
      <w:r w:rsidRPr="00855837">
        <w:rPr>
          <w:lang w:val="es-ES_tradnl"/>
        </w:rPr>
        <w:t>Camboya:  Comentarios sobre</w:t>
      </w:r>
      <w:r>
        <w:rPr>
          <w:lang w:val="es-ES_tradnl"/>
        </w:rPr>
        <w:t xml:space="preserve"> el </w:t>
      </w:r>
      <w:r w:rsidRPr="00855837">
        <w:rPr>
          <w:lang w:val="es-ES_tradnl"/>
        </w:rPr>
        <w:t>proyecto de Manual de marcas, entregados el 8 de marzo de 2013;</w:t>
      </w:r>
    </w:p>
    <w:p w:rsidR="00C774E7" w:rsidRPr="00855837" w:rsidRDefault="00C774E7" w:rsidP="005D4EF3">
      <w:pPr>
        <w:pStyle w:val="ONUMFS"/>
        <w:numPr>
          <w:ilvl w:val="0"/>
          <w:numId w:val="22"/>
        </w:numPr>
        <w:ind w:left="1134" w:hanging="567"/>
        <w:rPr>
          <w:lang w:val="es-ES_tradnl"/>
        </w:rPr>
      </w:pPr>
      <w:r w:rsidRPr="00855837">
        <w:rPr>
          <w:lang w:val="es-ES_tradnl"/>
        </w:rPr>
        <w:t>Granada:  Comentarios sobre la Ley de Marcas de 2010, entregados el 6 de junio de 2011;</w:t>
      </w:r>
    </w:p>
    <w:p w:rsidR="00C774E7" w:rsidRPr="00855837" w:rsidRDefault="00C774E7" w:rsidP="00336C79">
      <w:pPr>
        <w:pStyle w:val="ONUMFS"/>
        <w:numPr>
          <w:ilvl w:val="0"/>
          <w:numId w:val="22"/>
        </w:numPr>
        <w:ind w:left="1134" w:hanging="567"/>
        <w:rPr>
          <w:lang w:val="es-ES_tradnl"/>
        </w:rPr>
      </w:pPr>
      <w:r w:rsidRPr="00855837">
        <w:rPr>
          <w:lang w:val="es-ES_tradnl"/>
        </w:rPr>
        <w:t xml:space="preserve">Guatemala:  Misión de asesoramiento jurídico los días 20 y 21 de marzo de 2012 y comentarios </w:t>
      </w:r>
      <w:r>
        <w:rPr>
          <w:lang w:val="es-ES_tradnl"/>
        </w:rPr>
        <w:t>sobre</w:t>
      </w:r>
      <w:r w:rsidRPr="00855837">
        <w:rPr>
          <w:lang w:val="es-ES_tradnl"/>
        </w:rPr>
        <w:t xml:space="preserve"> la Ley de Propiedad Industrial, entregados el 11 de octubre de 2012;</w:t>
      </w:r>
    </w:p>
    <w:p w:rsidR="00C774E7" w:rsidRPr="00855837" w:rsidRDefault="00C774E7" w:rsidP="005D4EF3">
      <w:pPr>
        <w:pStyle w:val="ONUMFS"/>
        <w:numPr>
          <w:ilvl w:val="0"/>
          <w:numId w:val="22"/>
        </w:numPr>
        <w:ind w:left="1134" w:hanging="567"/>
        <w:rPr>
          <w:lang w:val="es-ES_tradnl"/>
        </w:rPr>
      </w:pPr>
      <w:r w:rsidRPr="00855837">
        <w:rPr>
          <w:lang w:val="es-ES_tradnl"/>
        </w:rPr>
        <w:t>Jamaica:  Comentarios sobre la Ley de Marcas y el Reglamento de Marcas, entregados el 29 de marzo de 2012;</w:t>
      </w:r>
    </w:p>
    <w:p w:rsidR="00C774E7" w:rsidRPr="00855837" w:rsidRDefault="00C774E7" w:rsidP="005D4EF3">
      <w:pPr>
        <w:pStyle w:val="ONUMFS"/>
        <w:numPr>
          <w:ilvl w:val="0"/>
          <w:numId w:val="22"/>
        </w:numPr>
        <w:ind w:left="1134" w:hanging="567"/>
        <w:rPr>
          <w:lang w:val="es-ES_tradnl"/>
        </w:rPr>
      </w:pPr>
      <w:r w:rsidRPr="00855837">
        <w:rPr>
          <w:lang w:val="es-ES_tradnl"/>
        </w:rPr>
        <w:t>Liberia:  Comentarios sobre el proyecto de Ley de Propiedad Intelectual, entregados el 27 de noviembre de 2012;</w:t>
      </w:r>
    </w:p>
    <w:p w:rsidR="00C774E7" w:rsidRPr="00855837" w:rsidRDefault="00C774E7" w:rsidP="005D4EF3">
      <w:pPr>
        <w:pStyle w:val="ONUMFS"/>
        <w:numPr>
          <w:ilvl w:val="0"/>
          <w:numId w:val="22"/>
        </w:numPr>
        <w:ind w:left="1134" w:hanging="567"/>
        <w:rPr>
          <w:lang w:val="es-ES_tradnl"/>
        </w:rPr>
      </w:pPr>
      <w:r w:rsidRPr="00855837">
        <w:rPr>
          <w:lang w:val="es-ES_tradnl"/>
        </w:rPr>
        <w:t>Libia:  Comentarios sobre el proyecto de Reglamento de la Ley de Marcas, entregados el 17 de octubre de 2012;</w:t>
      </w:r>
    </w:p>
    <w:p w:rsidR="00C774E7" w:rsidRPr="00855837" w:rsidRDefault="00C774E7" w:rsidP="00336C79">
      <w:pPr>
        <w:pStyle w:val="ONUMFS"/>
        <w:numPr>
          <w:ilvl w:val="0"/>
          <w:numId w:val="22"/>
        </w:numPr>
        <w:ind w:left="1134" w:hanging="567"/>
        <w:rPr>
          <w:lang w:val="es-ES_tradnl"/>
        </w:rPr>
      </w:pPr>
      <w:r w:rsidRPr="00855837">
        <w:rPr>
          <w:lang w:val="es-ES_tradnl"/>
        </w:rPr>
        <w:t>Maldivas:  Asistencia en la preparación de un proyecto de Ley de Marcas y notas explicativas, prestada el 16 de abril de 2013;</w:t>
      </w:r>
    </w:p>
    <w:p w:rsidR="00C774E7" w:rsidRPr="00855837" w:rsidRDefault="00C774E7" w:rsidP="00336C79">
      <w:pPr>
        <w:pStyle w:val="ONUMFS"/>
        <w:numPr>
          <w:ilvl w:val="0"/>
          <w:numId w:val="22"/>
        </w:numPr>
        <w:ind w:left="1134" w:hanging="567"/>
        <w:rPr>
          <w:lang w:val="es-ES_tradnl"/>
        </w:rPr>
      </w:pPr>
      <w:r w:rsidRPr="00855837">
        <w:rPr>
          <w:lang w:val="es-ES_tradnl"/>
        </w:rPr>
        <w:t>Myanmar:  Misión de asesoramiento jurídico, del 6 al 8 de mayo de 2013 y comentarios al proyecto de Ley de Marcas, entregados el 30 de mayo de 2013;</w:t>
      </w:r>
    </w:p>
    <w:p w:rsidR="00C774E7" w:rsidRPr="00855837" w:rsidRDefault="00C774E7" w:rsidP="005D4EF3">
      <w:pPr>
        <w:pStyle w:val="ONUMFS"/>
        <w:numPr>
          <w:ilvl w:val="0"/>
          <w:numId w:val="22"/>
        </w:numPr>
        <w:ind w:left="1134" w:hanging="567"/>
        <w:rPr>
          <w:lang w:val="es-ES_tradnl"/>
        </w:rPr>
      </w:pPr>
      <w:r w:rsidRPr="00855837">
        <w:rPr>
          <w:lang w:val="es-ES_tradnl"/>
        </w:rPr>
        <w:t>Nigeria:  Comentarios sobre el proyecto de Ley de Propiedad Intelectual, entregados el 29 de septiembre de 2011;</w:t>
      </w:r>
    </w:p>
    <w:p w:rsidR="00C774E7" w:rsidRPr="00855837" w:rsidRDefault="00C774E7" w:rsidP="005D4EF3">
      <w:pPr>
        <w:pStyle w:val="ONUMFS"/>
        <w:numPr>
          <w:ilvl w:val="0"/>
          <w:numId w:val="22"/>
        </w:numPr>
        <w:ind w:left="1134" w:hanging="567"/>
        <w:rPr>
          <w:lang w:val="es-ES_tradnl"/>
        </w:rPr>
      </w:pPr>
      <w:r w:rsidRPr="00855837">
        <w:rPr>
          <w:lang w:val="es-ES_tradnl"/>
        </w:rPr>
        <w:br w:type="page"/>
      </w:r>
      <w:r>
        <w:rPr>
          <w:lang w:val="es-ES_tradnl"/>
        </w:rPr>
        <w:lastRenderedPageBreak/>
        <w:t>Panamá:  C</w:t>
      </w:r>
      <w:r w:rsidRPr="00855837">
        <w:rPr>
          <w:lang w:val="es-ES_tradnl"/>
        </w:rPr>
        <w:t>omentarios sobre el proyecto revisado de Ley de Propiedad Industrial, entregados el 4 de junio de 2012, y comentarios al proyecto de Reglamento revisado, entregados el 22 de febrero de 2013;  y</w:t>
      </w:r>
    </w:p>
    <w:p w:rsidR="00C774E7" w:rsidRPr="00855837" w:rsidRDefault="00C774E7" w:rsidP="00515347">
      <w:pPr>
        <w:pStyle w:val="ONUMFS"/>
        <w:numPr>
          <w:ilvl w:val="0"/>
          <w:numId w:val="22"/>
        </w:numPr>
        <w:ind w:left="1134" w:hanging="567"/>
        <w:rPr>
          <w:lang w:val="es-ES_tradnl"/>
        </w:rPr>
      </w:pPr>
      <w:r w:rsidRPr="00855837">
        <w:rPr>
          <w:lang w:val="es-ES_tradnl"/>
        </w:rPr>
        <w:t xml:space="preserve">Saint Kitts y Nevis:  </w:t>
      </w:r>
      <w:r>
        <w:rPr>
          <w:lang w:val="es-ES_tradnl"/>
        </w:rPr>
        <w:t>C</w:t>
      </w:r>
      <w:r w:rsidRPr="00855837">
        <w:rPr>
          <w:lang w:val="es-ES_tradnl"/>
        </w:rPr>
        <w:t>omentarios sobre la Ley de Marcas, Marcas Colectivas y Nombres Comerciales, entregados el 16 de abril de 2012.</w:t>
      </w:r>
    </w:p>
    <w:p w:rsidR="00C774E7" w:rsidRPr="00855837" w:rsidRDefault="00C774E7" w:rsidP="0092005F">
      <w:pPr>
        <w:pStyle w:val="Heading1"/>
        <w:ind w:left="550" w:hanging="550"/>
        <w:rPr>
          <w:lang w:val="es-ES_tradnl"/>
        </w:rPr>
      </w:pPr>
      <w:r w:rsidRPr="00855837">
        <w:rPr>
          <w:lang w:val="es-ES_tradnl"/>
        </w:rPr>
        <w:t>III.</w:t>
      </w:r>
      <w:r w:rsidRPr="00855837">
        <w:rPr>
          <w:lang w:val="es-ES_tradnl"/>
        </w:rPr>
        <w:tab/>
      </w:r>
      <w:r w:rsidRPr="00855837">
        <w:rPr>
          <w:caps w:val="0"/>
          <w:lang w:val="es-ES_tradnl"/>
        </w:rPr>
        <w:t>ACTIVIDADES RELATIVAS A CUESTIONES DE INFORMACIÓN, EDUCACIÓN, SENSIBILIZACIÓN Y ASISTENCIA EN LA REVISIÓN DE PROCEDIMIENTOS Y PRÁCTICAS ADMINISTRATIVAS</w:t>
      </w:r>
    </w:p>
    <w:p w:rsidR="00C774E7" w:rsidRPr="00855837" w:rsidRDefault="00C774E7" w:rsidP="00643CDC">
      <w:pPr>
        <w:tabs>
          <w:tab w:val="left" w:pos="567"/>
        </w:tabs>
        <w:rPr>
          <w:lang w:val="es-ES_tradnl"/>
        </w:rPr>
      </w:pPr>
    </w:p>
    <w:p w:rsidR="00C774E7" w:rsidRPr="00855837" w:rsidRDefault="00C774E7" w:rsidP="00935895">
      <w:pPr>
        <w:pStyle w:val="ONUMFS"/>
        <w:numPr>
          <w:ilvl w:val="0"/>
          <w:numId w:val="16"/>
        </w:numPr>
        <w:ind w:left="0" w:firstLine="0"/>
        <w:rPr>
          <w:lang w:val="es-ES_tradnl"/>
        </w:rPr>
      </w:pPr>
      <w:r w:rsidRPr="00855837">
        <w:rPr>
          <w:lang w:val="es-ES_tradnl"/>
        </w:rPr>
        <w:t>La información relativa a este punto comprende también actividades emprendidas en relación con el Tratado sobre el Derecho de Marcas (TLT), el instrumento internacional que fue revisado por el Tratado de Singapur y que contiene todas las disposiciones sustantivas de este último.  La información se presenta por orden cronológico, de acuerdo con la fecha de la actividad.</w:t>
      </w:r>
    </w:p>
    <w:p w:rsidR="00C774E7" w:rsidRPr="00855837" w:rsidRDefault="00C774E7" w:rsidP="005D4EF3">
      <w:pPr>
        <w:pStyle w:val="ONUMFS"/>
        <w:numPr>
          <w:ilvl w:val="0"/>
          <w:numId w:val="22"/>
        </w:numPr>
        <w:ind w:left="1134" w:hanging="567"/>
        <w:rPr>
          <w:lang w:val="es-ES_tradnl"/>
        </w:rPr>
      </w:pPr>
      <w:r w:rsidRPr="00855837">
        <w:rPr>
          <w:lang w:val="es-ES_tradnl"/>
        </w:rPr>
        <w:t>Del 14 al 18 de noviembre de 2011, tuvo lugar en Singapur un Taller regional avanzado de la OMC y la Oficina de la OMPI en Singapur sobre los desafíos que plantea el fomento de las marcas en los países en desarrollo.  Esta actividad fue organizada conjuntamente por la Organización Mundial del Comercio (OMC) y la Oficina de la OMPI en Singapur, y asistieron funcionarios de las oficinas de propiedad industrial de los siguientes países:  Bangladesh, Bhután, Brunei Darussalam, China,  Fiji, Hong Kong (China), India, Indonesia, República Democrática Popular Lao, Malasia, Maldivas, Mongolia, Myanmar, Nepal, Pakistán, Filipinas, República de Corea, Samoa, Sri Lanka, Tailandia, Tonga y Viet Nam.</w:t>
      </w:r>
    </w:p>
    <w:p w:rsidR="00C774E7" w:rsidRPr="00855837" w:rsidRDefault="00C774E7" w:rsidP="00935895">
      <w:pPr>
        <w:pStyle w:val="ONUMFS"/>
        <w:numPr>
          <w:ilvl w:val="0"/>
          <w:numId w:val="22"/>
        </w:numPr>
        <w:ind w:left="1134" w:hanging="567"/>
        <w:rPr>
          <w:lang w:val="es-ES_tradnl"/>
        </w:rPr>
      </w:pPr>
      <w:r w:rsidRPr="00855837">
        <w:rPr>
          <w:lang w:val="es-ES_tradnl"/>
        </w:rPr>
        <w:t>El 24 y 25 de noviembre de 2011, tuvo lugar en Ulaanbaatar (Mongolia) un “Taller nacional sobre prácticas utilizadas para el examen de marcas y marcas no tradicionales”.  Esta actividad fue organizada por la Oficina de Propiedad Intelectual de Mongolia (IPOM) y asistieron funcionarios de la IPOM, como examinadores y juristas (miembros de la comisión de solución de controversias) así como profesionales de la P.I. de Mongolia.</w:t>
      </w:r>
    </w:p>
    <w:p w:rsidR="00C774E7" w:rsidRPr="00855837" w:rsidRDefault="00C774E7" w:rsidP="00D05A45">
      <w:pPr>
        <w:pStyle w:val="ONUMFS"/>
        <w:numPr>
          <w:ilvl w:val="0"/>
          <w:numId w:val="22"/>
        </w:numPr>
        <w:ind w:left="1134" w:hanging="567"/>
        <w:rPr>
          <w:lang w:val="es-ES_tradnl"/>
        </w:rPr>
      </w:pPr>
      <w:r w:rsidRPr="00855837">
        <w:rPr>
          <w:lang w:val="es-ES_tradnl"/>
        </w:rPr>
        <w:t>El 26 y 27 de abril de 2012, tuvo lugar en Skopie (ex República Yugoslava de Macedonia) un “Seminario nacional acerca del Tratado sobre el Derecho de Patentes y el Tratado de Singapur sobre el Derecho de Marcas..  Esta actividad fue organizada por la OMPI y la Oficina Estatal de la Propiedad Industrial (SOIP), y asistieron representantes de la oficina nacional del P.I. y profesionales del derecho locales.</w:t>
      </w:r>
    </w:p>
    <w:p w:rsidR="00C774E7" w:rsidRPr="00855837" w:rsidRDefault="00C774E7" w:rsidP="00D05A45">
      <w:pPr>
        <w:pStyle w:val="ONUMFS"/>
        <w:numPr>
          <w:ilvl w:val="0"/>
          <w:numId w:val="22"/>
        </w:numPr>
        <w:ind w:left="1134" w:hanging="567"/>
        <w:rPr>
          <w:lang w:val="es-ES_tradnl"/>
        </w:rPr>
      </w:pPr>
      <w:r w:rsidRPr="00855837">
        <w:rPr>
          <w:lang w:val="es-ES_tradnl"/>
        </w:rPr>
        <w:t xml:space="preserve">Del 29 al 31 de mayo de 2012, tuvo lugar </w:t>
      </w:r>
      <w:r w:rsidRPr="00855837">
        <w:rPr>
          <w:iCs/>
          <w:lang w:val="es-ES_tradnl"/>
        </w:rPr>
        <w:t xml:space="preserve">en La Habana </w:t>
      </w:r>
      <w:r w:rsidRPr="00855837">
        <w:rPr>
          <w:lang w:val="es-ES_tradnl"/>
        </w:rPr>
        <w:t>(Cuba) un “Seminario sobre propiedad intelectual”</w:t>
      </w:r>
      <w:r w:rsidRPr="00855837">
        <w:rPr>
          <w:iCs/>
          <w:lang w:val="es-ES_tradnl"/>
        </w:rPr>
        <w:t>, seguido de un “Taller sobre marcas no tradicionales”</w:t>
      </w:r>
      <w:r w:rsidRPr="00855837">
        <w:rPr>
          <w:lang w:val="es-ES_tradnl"/>
        </w:rPr>
        <w:t>.  Esta actividad fue organizada por la OMPI y la Cámara de Comercio de Cuba, y asistieron representantes de la Cámara de Comercio, la Oficina de Propiedad Industrial de Cuba (OCPI), profesores de Derecho de La Habana y profesionales del derecho locales.</w:t>
      </w:r>
    </w:p>
    <w:p w:rsidR="00C774E7" w:rsidRPr="00855837" w:rsidRDefault="00C774E7" w:rsidP="00D05A45">
      <w:pPr>
        <w:pStyle w:val="ONUMFS"/>
        <w:numPr>
          <w:ilvl w:val="0"/>
          <w:numId w:val="22"/>
        </w:numPr>
        <w:ind w:left="1134" w:hanging="567"/>
        <w:rPr>
          <w:lang w:val="es-ES_tradnl"/>
        </w:rPr>
      </w:pPr>
      <w:r w:rsidRPr="00855837">
        <w:rPr>
          <w:lang w:val="es-ES_tradnl"/>
        </w:rPr>
        <w:t>El 25 y 26 de abril de 2013,  tuvo lugar en la Ciudad de Panamá (Panamá) un “Taller nacional acerca del Tratado sobre el Derecho de Marcas”.  Esta actividad fue organizada por la OMPI y la Dirección General del Registro de la Propiedad Industrial (DIGERPI), y asistieron miembros del poder judicial, empleados de la oficina nacional de marcas y profesionales del derecho locales.</w:t>
      </w:r>
    </w:p>
    <w:p w:rsidR="00C774E7" w:rsidRPr="00855837" w:rsidRDefault="00C774E7">
      <w:pPr>
        <w:rPr>
          <w:lang w:val="es-ES_tradnl"/>
        </w:rPr>
      </w:pPr>
      <w:r w:rsidRPr="00855837">
        <w:rPr>
          <w:lang w:val="es-ES_tradnl"/>
        </w:rPr>
        <w:br w:type="page"/>
      </w:r>
    </w:p>
    <w:p w:rsidR="00C774E7" w:rsidRPr="00855837" w:rsidRDefault="00C774E7" w:rsidP="00D05A45">
      <w:pPr>
        <w:pStyle w:val="ONUMFS"/>
        <w:numPr>
          <w:ilvl w:val="0"/>
          <w:numId w:val="22"/>
        </w:numPr>
        <w:ind w:left="1134" w:hanging="567"/>
        <w:rPr>
          <w:lang w:val="es-ES_tradnl"/>
        </w:rPr>
      </w:pPr>
      <w:r w:rsidRPr="00855837">
        <w:rPr>
          <w:lang w:val="es-ES_tradnl"/>
        </w:rPr>
        <w:t>Del 18 al 21 y del 24 al 26 de junio de 2013, tuvieron lugar en San José (Costa Rica) y en Tegucigalpa (Honduras), respectivamente, sendas misiones de fortalecimiento de capacidades en el examen de marcas notradicionales y en la aplicación del Tratado sobre el Derecho de Marcas.Las misiones  corrieron a cargo de un experto del Instituto Nacional de Defensa de la Competencia y de la Protección de la Propiedad Intelectual (INDECOPI) del Perú, en el marco del programa de la OMPI de cooperación técnica en Costa Rica y Honduras.</w:t>
      </w:r>
    </w:p>
    <w:p w:rsidR="00C774E7" w:rsidRPr="00855837" w:rsidRDefault="00C774E7" w:rsidP="00750467">
      <w:pPr>
        <w:pStyle w:val="ONUMFS"/>
        <w:numPr>
          <w:ilvl w:val="0"/>
          <w:numId w:val="16"/>
        </w:numPr>
        <w:ind w:left="0" w:firstLine="0"/>
        <w:rPr>
          <w:lang w:val="es-ES_tradnl"/>
        </w:rPr>
      </w:pPr>
      <w:r w:rsidRPr="00855837">
        <w:rPr>
          <w:lang w:val="es-ES_tradnl"/>
        </w:rPr>
        <w:t>El Anexo del presente documento contiene una lista de las Partes Contratantes en el Tratado de Singapur al 22 de julio de 2013.</w:t>
      </w:r>
    </w:p>
    <w:p w:rsidR="00C774E7" w:rsidRPr="00855837" w:rsidRDefault="00C774E7" w:rsidP="00750467">
      <w:pPr>
        <w:pStyle w:val="ONUMFS"/>
        <w:numPr>
          <w:ilvl w:val="0"/>
          <w:numId w:val="16"/>
        </w:numPr>
        <w:tabs>
          <w:tab w:val="left" w:pos="6096"/>
        </w:tabs>
        <w:ind w:left="5533" w:firstLine="0"/>
        <w:rPr>
          <w:i/>
          <w:szCs w:val="22"/>
          <w:lang w:val="es-ES_tradnl"/>
        </w:rPr>
      </w:pPr>
      <w:r w:rsidRPr="00855837">
        <w:rPr>
          <w:i/>
          <w:szCs w:val="22"/>
          <w:lang w:val="es-ES_tradnl"/>
        </w:rPr>
        <w:t>Se invita a la Asamblea a tomar nota del contenido del presente documento.</w:t>
      </w:r>
    </w:p>
    <w:p w:rsidR="00C774E7" w:rsidRDefault="00C774E7" w:rsidP="00643CDC">
      <w:pPr>
        <w:pStyle w:val="DecisionInvitingPara"/>
        <w:tabs>
          <w:tab w:val="left" w:pos="5954"/>
          <w:tab w:val="right" w:pos="9072"/>
        </w:tabs>
        <w:spacing w:after="0" w:line="240" w:lineRule="auto"/>
        <w:ind w:left="5529" w:firstLine="5"/>
        <w:rPr>
          <w:sz w:val="22"/>
          <w:szCs w:val="22"/>
          <w:lang w:val="es-ES_tradnl"/>
        </w:rPr>
      </w:pPr>
    </w:p>
    <w:p w:rsidR="00D406AB" w:rsidRPr="00855837" w:rsidRDefault="00D406AB" w:rsidP="00643CDC">
      <w:pPr>
        <w:pStyle w:val="DecisionInvitingPara"/>
        <w:tabs>
          <w:tab w:val="left" w:pos="5954"/>
          <w:tab w:val="right" w:pos="9072"/>
        </w:tabs>
        <w:spacing w:after="0" w:line="240" w:lineRule="auto"/>
        <w:ind w:left="5529" w:firstLine="5"/>
        <w:rPr>
          <w:sz w:val="22"/>
          <w:szCs w:val="22"/>
          <w:lang w:val="es-ES_tradnl"/>
        </w:rPr>
      </w:pPr>
      <w:bookmarkStart w:id="2" w:name="_GoBack"/>
      <w:bookmarkEnd w:id="2"/>
    </w:p>
    <w:p w:rsidR="00C774E7" w:rsidRPr="00855837" w:rsidRDefault="00C774E7" w:rsidP="00750467">
      <w:pPr>
        <w:pStyle w:val="Endofdocument-Annex"/>
        <w:rPr>
          <w:i/>
          <w:lang w:val="es-ES_tradnl"/>
        </w:rPr>
      </w:pPr>
      <w:r w:rsidRPr="00855837">
        <w:rPr>
          <w:lang w:val="es-ES_tradnl"/>
        </w:rPr>
        <w:t>[Sigue el Anexo]</w:t>
      </w:r>
    </w:p>
    <w:p w:rsidR="00C774E7" w:rsidRPr="00855837" w:rsidRDefault="00C774E7" w:rsidP="00643CDC">
      <w:pPr>
        <w:tabs>
          <w:tab w:val="left" w:pos="567"/>
        </w:tabs>
        <w:rPr>
          <w:lang w:val="es-ES_tradnl"/>
        </w:rPr>
      </w:pPr>
    </w:p>
    <w:p w:rsidR="00C774E7" w:rsidRPr="00855837" w:rsidRDefault="00C774E7" w:rsidP="00643CDC">
      <w:pPr>
        <w:tabs>
          <w:tab w:val="left" w:pos="567"/>
        </w:tabs>
        <w:rPr>
          <w:lang w:val="es-ES_tradnl"/>
        </w:rPr>
      </w:pPr>
    </w:p>
    <w:p w:rsidR="00C774E7" w:rsidRPr="00855837" w:rsidRDefault="00C774E7" w:rsidP="00643CDC">
      <w:pPr>
        <w:rPr>
          <w:lang w:val="es-ES_tradnl"/>
        </w:rPr>
      </w:pPr>
    </w:p>
    <w:p w:rsidR="00C774E7" w:rsidRPr="00855837" w:rsidRDefault="00C774E7" w:rsidP="00643CDC">
      <w:pPr>
        <w:rPr>
          <w:lang w:val="es-ES_tradnl"/>
        </w:rPr>
        <w:sectPr w:rsidR="00C774E7" w:rsidRPr="00855837" w:rsidSect="0092005F">
          <w:headerReference w:type="default" r:id="rId9"/>
          <w:endnotePr>
            <w:numFmt w:val="decimal"/>
          </w:endnotePr>
          <w:pgSz w:w="11907" w:h="16840" w:code="9"/>
          <w:pgMar w:top="567" w:right="1134" w:bottom="1418" w:left="1418" w:header="510" w:footer="1021" w:gutter="0"/>
          <w:cols w:space="720"/>
          <w:titlePg/>
          <w:docGrid w:linePitch="299"/>
        </w:sectPr>
      </w:pPr>
    </w:p>
    <w:p w:rsidR="00C774E7" w:rsidRPr="00855837" w:rsidRDefault="00C774E7" w:rsidP="0092005F">
      <w:pPr>
        <w:autoSpaceDE w:val="0"/>
        <w:autoSpaceDN w:val="0"/>
        <w:adjustRightInd w:val="0"/>
        <w:jc w:val="center"/>
        <w:rPr>
          <w:szCs w:val="24"/>
          <w:lang w:val="es-ES_tradnl"/>
        </w:rPr>
      </w:pPr>
      <w:r w:rsidRPr="00855837">
        <w:rPr>
          <w:bCs/>
          <w:szCs w:val="24"/>
          <w:lang w:val="es-ES_tradnl"/>
        </w:rPr>
        <w:lastRenderedPageBreak/>
        <w:t>Tratado de Singapur sobre el Derecho de Marcas</w:t>
      </w:r>
    </w:p>
    <w:p w:rsidR="00C774E7" w:rsidRPr="00855837" w:rsidRDefault="00C774E7" w:rsidP="0092005F">
      <w:pPr>
        <w:autoSpaceDE w:val="0"/>
        <w:autoSpaceDN w:val="0"/>
        <w:adjustRightInd w:val="0"/>
        <w:jc w:val="center"/>
        <w:rPr>
          <w:szCs w:val="24"/>
          <w:lang w:val="es-ES_tradnl"/>
        </w:rPr>
      </w:pPr>
      <w:r w:rsidRPr="00855837">
        <w:rPr>
          <w:szCs w:val="24"/>
          <w:lang w:val="es-ES_tradnl"/>
        </w:rPr>
        <w:t>(Singapur 2006)</w:t>
      </w:r>
    </w:p>
    <w:p w:rsidR="00C774E7" w:rsidRPr="00855837" w:rsidRDefault="00C774E7" w:rsidP="0092005F">
      <w:pPr>
        <w:autoSpaceDE w:val="0"/>
        <w:autoSpaceDN w:val="0"/>
        <w:adjustRightInd w:val="0"/>
        <w:jc w:val="center"/>
        <w:rPr>
          <w:szCs w:val="24"/>
          <w:lang w:val="es-ES_tradnl"/>
        </w:rPr>
      </w:pPr>
      <w:r w:rsidRPr="00855837">
        <w:rPr>
          <w:bCs/>
          <w:szCs w:val="24"/>
          <w:lang w:val="es-ES_tradnl"/>
        </w:rPr>
        <w:t>Situación al 22 de julio de 2013</w:t>
      </w:r>
    </w:p>
    <w:p w:rsidR="00C774E7" w:rsidRPr="00855837" w:rsidRDefault="00C774E7" w:rsidP="00643CDC">
      <w:pPr>
        <w:autoSpaceDE w:val="0"/>
        <w:autoSpaceDN w:val="0"/>
        <w:adjustRightInd w:val="0"/>
        <w:jc w:val="center"/>
        <w:rPr>
          <w:szCs w:val="24"/>
          <w:lang w:val="es-ES_tradnl"/>
        </w:rPr>
      </w:pPr>
    </w:p>
    <w:tbl>
      <w:tblPr>
        <w:tblW w:w="0" w:type="auto"/>
        <w:tblLayout w:type="fixed"/>
        <w:tblLook w:val="01E0" w:firstRow="1" w:lastRow="1" w:firstColumn="1" w:lastColumn="1" w:noHBand="0" w:noVBand="0"/>
      </w:tblPr>
      <w:tblGrid>
        <w:gridCol w:w="3085"/>
        <w:gridCol w:w="4536"/>
      </w:tblGrid>
      <w:tr w:rsidR="00C774E7" w:rsidRPr="00855837" w:rsidTr="0096788B">
        <w:tc>
          <w:tcPr>
            <w:tcW w:w="3085" w:type="dxa"/>
          </w:tcPr>
          <w:p w:rsidR="00C774E7" w:rsidRPr="00855837" w:rsidRDefault="00C774E7" w:rsidP="0096788B">
            <w:pPr>
              <w:pBdr>
                <w:top w:val="single" w:sz="4" w:space="1" w:color="auto"/>
              </w:pBdr>
              <w:tabs>
                <w:tab w:val="left" w:leader="dot" w:pos="2665"/>
              </w:tabs>
              <w:autoSpaceDE w:val="0"/>
              <w:autoSpaceDN w:val="0"/>
              <w:adjustRightInd w:val="0"/>
              <w:ind w:right="229"/>
              <w:rPr>
                <w:sz w:val="18"/>
                <w:szCs w:val="18"/>
                <w:lang w:val="es-ES_tradnl"/>
              </w:rPr>
            </w:pPr>
          </w:p>
          <w:p w:rsidR="00C774E7" w:rsidRPr="00855837" w:rsidRDefault="00C774E7" w:rsidP="0096788B">
            <w:pPr>
              <w:pBdr>
                <w:top w:val="single" w:sz="4" w:space="1" w:color="auto"/>
              </w:pBdr>
              <w:tabs>
                <w:tab w:val="left" w:leader="dot" w:pos="2665"/>
              </w:tabs>
              <w:autoSpaceDE w:val="0"/>
              <w:autoSpaceDN w:val="0"/>
              <w:adjustRightInd w:val="0"/>
              <w:ind w:right="229"/>
              <w:rPr>
                <w:sz w:val="18"/>
                <w:szCs w:val="18"/>
                <w:lang w:val="es-ES_tradnl"/>
              </w:rPr>
            </w:pPr>
            <w:r w:rsidRPr="00855837">
              <w:rPr>
                <w:sz w:val="18"/>
                <w:szCs w:val="18"/>
                <w:lang w:val="es-ES_tradnl"/>
              </w:rPr>
              <w:t>Estado</w:t>
            </w:r>
          </w:p>
        </w:tc>
        <w:tc>
          <w:tcPr>
            <w:tcW w:w="4536" w:type="dxa"/>
          </w:tcPr>
          <w:p w:rsidR="00C774E7" w:rsidRPr="00855837" w:rsidRDefault="00C774E7" w:rsidP="0096788B">
            <w:pPr>
              <w:pBdr>
                <w:top w:val="single" w:sz="4" w:space="1" w:color="auto"/>
              </w:pBdr>
              <w:autoSpaceDE w:val="0"/>
              <w:autoSpaceDN w:val="0"/>
              <w:adjustRightInd w:val="0"/>
              <w:rPr>
                <w:sz w:val="18"/>
                <w:szCs w:val="18"/>
                <w:lang w:val="es-ES_tradnl"/>
              </w:rPr>
            </w:pPr>
          </w:p>
          <w:p w:rsidR="00C774E7" w:rsidRPr="00855837" w:rsidRDefault="00C774E7" w:rsidP="0096788B">
            <w:pPr>
              <w:autoSpaceDE w:val="0"/>
              <w:autoSpaceDN w:val="0"/>
              <w:adjustRightInd w:val="0"/>
              <w:rPr>
                <w:sz w:val="18"/>
                <w:szCs w:val="18"/>
                <w:lang w:val="es-ES_tradnl"/>
              </w:rPr>
            </w:pPr>
            <w:r w:rsidRPr="00855837">
              <w:rPr>
                <w:sz w:val="18"/>
                <w:szCs w:val="18"/>
                <w:lang w:val="es-ES_tradnl"/>
              </w:rPr>
              <w:t>Fecha en la que el Estado se convirtió en parte en el Tratado de Singapur sobre el Derecho de Marcas</w:t>
            </w:r>
          </w:p>
        </w:tc>
      </w:tr>
      <w:tr w:rsidR="00C774E7" w:rsidRPr="00855837" w:rsidTr="0096788B">
        <w:tc>
          <w:tcPr>
            <w:tcW w:w="3085" w:type="dxa"/>
          </w:tcPr>
          <w:p w:rsidR="00C774E7" w:rsidRPr="00855837" w:rsidRDefault="00C774E7" w:rsidP="0096788B">
            <w:pPr>
              <w:pBdr>
                <w:top w:val="single" w:sz="4" w:space="1" w:color="auto"/>
              </w:pBdr>
              <w:tabs>
                <w:tab w:val="left" w:leader="dot" w:pos="2665"/>
              </w:tabs>
              <w:autoSpaceDE w:val="0"/>
              <w:autoSpaceDN w:val="0"/>
              <w:adjustRightInd w:val="0"/>
              <w:ind w:right="229"/>
              <w:rPr>
                <w:sz w:val="18"/>
                <w:szCs w:val="18"/>
                <w:lang w:val="es-ES_tradnl"/>
              </w:rPr>
            </w:pPr>
          </w:p>
          <w:p w:rsidR="00C774E7" w:rsidRPr="00855837" w:rsidRDefault="00C774E7" w:rsidP="0096788B">
            <w:pPr>
              <w:pBdr>
                <w:top w:val="single" w:sz="4" w:space="1" w:color="auto"/>
              </w:pBdr>
              <w:tabs>
                <w:tab w:val="left" w:leader="dot" w:pos="2665"/>
              </w:tabs>
              <w:autoSpaceDE w:val="0"/>
              <w:autoSpaceDN w:val="0"/>
              <w:adjustRightInd w:val="0"/>
              <w:ind w:right="229"/>
              <w:rPr>
                <w:sz w:val="18"/>
                <w:szCs w:val="18"/>
                <w:lang w:val="es-ES_tradnl"/>
              </w:rPr>
            </w:pPr>
            <w:r w:rsidRPr="00855837">
              <w:rPr>
                <w:sz w:val="18"/>
                <w:szCs w:val="18"/>
                <w:lang w:val="es-ES_tradnl"/>
              </w:rPr>
              <w:t>Australia</w:t>
            </w:r>
          </w:p>
        </w:tc>
        <w:tc>
          <w:tcPr>
            <w:tcW w:w="4536" w:type="dxa"/>
          </w:tcPr>
          <w:p w:rsidR="00C774E7" w:rsidRPr="00855837" w:rsidRDefault="00C774E7" w:rsidP="0096788B">
            <w:pPr>
              <w:pBdr>
                <w:top w:val="single" w:sz="4" w:space="1" w:color="auto"/>
              </w:pBdr>
              <w:autoSpaceDE w:val="0"/>
              <w:autoSpaceDN w:val="0"/>
              <w:adjustRightInd w:val="0"/>
              <w:rPr>
                <w:sz w:val="18"/>
                <w:szCs w:val="18"/>
                <w:lang w:val="es-ES_tradnl"/>
              </w:rPr>
            </w:pPr>
          </w:p>
          <w:p w:rsidR="00C774E7" w:rsidRPr="00855837" w:rsidRDefault="00C774E7" w:rsidP="0096788B">
            <w:pPr>
              <w:pBdr>
                <w:top w:val="single" w:sz="4" w:space="1" w:color="auto"/>
              </w:pBd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Benín</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Todavía no ha entrado en vigor</w:t>
            </w:r>
            <w:r w:rsidRPr="00855837">
              <w:rPr>
                <w:sz w:val="18"/>
                <w:szCs w:val="18"/>
                <w:vertAlign w:val="superscript"/>
                <w:lang w:val="es-ES_tradnl"/>
              </w:rPr>
              <w:t>3</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rPr>
                <w:sz w:val="18"/>
                <w:szCs w:val="18"/>
                <w:lang w:val="es-ES_tradnl"/>
              </w:rPr>
            </w:pPr>
            <w:r w:rsidRPr="00855837">
              <w:rPr>
                <w:sz w:val="18"/>
                <w:szCs w:val="18"/>
                <w:lang w:val="es-ES_tradnl"/>
              </w:rPr>
              <w:t>Bulgaria</w:t>
            </w:r>
            <w:r w:rsidRPr="00855837">
              <w:rPr>
                <w:rStyle w:val="FootnoteReference"/>
                <w:rFonts w:cs="Arial"/>
                <w:sz w:val="18"/>
                <w:szCs w:val="18"/>
                <w:lang w:val="es-ES_tradnl"/>
              </w:rPr>
              <w:footnoteReference w:id="2"/>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Croacia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13 de abril de 2011</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Dinamarca</w:t>
            </w:r>
            <w:r w:rsidRPr="00855837">
              <w:rPr>
                <w:rStyle w:val="FootnoteReference"/>
                <w:rFonts w:cs="Arial"/>
                <w:sz w:val="18"/>
                <w:szCs w:val="18"/>
                <w:lang w:val="es-ES_tradnl"/>
              </w:rPr>
              <w:footnoteReference w:id="3"/>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3162D8">
        <w:tc>
          <w:tcPr>
            <w:tcW w:w="3085" w:type="dxa"/>
          </w:tcPr>
          <w:p w:rsidR="00C774E7" w:rsidRPr="00855837" w:rsidRDefault="00C774E7" w:rsidP="003162D8">
            <w:pPr>
              <w:tabs>
                <w:tab w:val="left" w:leader="dot" w:pos="2665"/>
              </w:tabs>
              <w:autoSpaceDE w:val="0"/>
              <w:autoSpaceDN w:val="0"/>
              <w:adjustRightInd w:val="0"/>
              <w:ind w:right="229"/>
              <w:rPr>
                <w:sz w:val="18"/>
                <w:szCs w:val="18"/>
                <w:lang w:val="es-ES_tradnl"/>
              </w:rPr>
            </w:pPr>
            <w:r w:rsidRPr="00855837">
              <w:rPr>
                <w:sz w:val="18"/>
                <w:szCs w:val="18"/>
                <w:lang w:val="es-ES_tradnl"/>
              </w:rPr>
              <w:t>Eslovaquia</w:t>
            </w:r>
          </w:p>
        </w:tc>
        <w:tc>
          <w:tcPr>
            <w:tcW w:w="4536" w:type="dxa"/>
          </w:tcPr>
          <w:p w:rsidR="00C774E7" w:rsidRPr="00855837" w:rsidRDefault="00C774E7" w:rsidP="003162D8">
            <w:pPr>
              <w:autoSpaceDE w:val="0"/>
              <w:autoSpaceDN w:val="0"/>
              <w:adjustRightInd w:val="0"/>
              <w:rPr>
                <w:sz w:val="18"/>
                <w:szCs w:val="18"/>
                <w:lang w:val="es-ES_tradnl"/>
              </w:rPr>
            </w:pPr>
            <w:r w:rsidRPr="00855837">
              <w:rPr>
                <w:sz w:val="18"/>
                <w:szCs w:val="18"/>
                <w:lang w:val="es-ES_tradnl"/>
              </w:rPr>
              <w:t>16 de mayo de 2010</w:t>
            </w:r>
          </w:p>
        </w:tc>
      </w:tr>
      <w:tr w:rsidR="00C774E7" w:rsidRPr="00855837" w:rsidTr="003162D8">
        <w:tc>
          <w:tcPr>
            <w:tcW w:w="3085" w:type="dxa"/>
          </w:tcPr>
          <w:p w:rsidR="00C774E7" w:rsidRPr="00855837" w:rsidRDefault="00C774E7" w:rsidP="003162D8">
            <w:pPr>
              <w:tabs>
                <w:tab w:val="left" w:leader="dot" w:pos="2665"/>
              </w:tabs>
              <w:autoSpaceDE w:val="0"/>
              <w:autoSpaceDN w:val="0"/>
              <w:adjustRightInd w:val="0"/>
              <w:ind w:right="229"/>
              <w:rPr>
                <w:sz w:val="18"/>
                <w:szCs w:val="18"/>
                <w:lang w:val="es-ES_tradnl"/>
              </w:rPr>
            </w:pPr>
            <w:r w:rsidRPr="00855837">
              <w:rPr>
                <w:sz w:val="18"/>
                <w:szCs w:val="18"/>
                <w:lang w:val="es-ES_tradnl"/>
              </w:rPr>
              <w:t>España</w:t>
            </w:r>
            <w:r w:rsidRPr="00855837">
              <w:rPr>
                <w:sz w:val="18"/>
                <w:szCs w:val="18"/>
                <w:vertAlign w:val="superscript"/>
                <w:lang w:val="es-ES_tradnl"/>
              </w:rPr>
              <w:t>1</w:t>
            </w:r>
          </w:p>
        </w:tc>
        <w:tc>
          <w:tcPr>
            <w:tcW w:w="4536" w:type="dxa"/>
          </w:tcPr>
          <w:p w:rsidR="00C774E7" w:rsidRPr="00855837" w:rsidRDefault="00C774E7" w:rsidP="003162D8">
            <w:pPr>
              <w:autoSpaceDE w:val="0"/>
              <w:autoSpaceDN w:val="0"/>
              <w:adjustRightInd w:val="0"/>
              <w:rPr>
                <w:sz w:val="18"/>
                <w:szCs w:val="18"/>
                <w:lang w:val="es-ES_tradnl"/>
              </w:rPr>
            </w:pPr>
            <w:r w:rsidRPr="00855837">
              <w:rPr>
                <w:sz w:val="18"/>
                <w:szCs w:val="18"/>
                <w:lang w:val="es-ES_tradnl"/>
              </w:rPr>
              <w:t>18 de mayo de 2009</w:t>
            </w:r>
          </w:p>
        </w:tc>
      </w:tr>
      <w:tr w:rsidR="00C774E7" w:rsidRPr="00855837" w:rsidTr="0016501B">
        <w:tc>
          <w:tcPr>
            <w:tcW w:w="3085" w:type="dxa"/>
          </w:tcPr>
          <w:p w:rsidR="00C774E7" w:rsidRPr="00855837" w:rsidRDefault="00C774E7" w:rsidP="0016501B">
            <w:pPr>
              <w:tabs>
                <w:tab w:val="left" w:leader="dot" w:pos="2665"/>
              </w:tabs>
              <w:autoSpaceDE w:val="0"/>
              <w:autoSpaceDN w:val="0"/>
              <w:adjustRightInd w:val="0"/>
              <w:ind w:right="229"/>
              <w:rPr>
                <w:sz w:val="18"/>
                <w:szCs w:val="18"/>
                <w:lang w:val="es-ES_tradnl"/>
              </w:rPr>
            </w:pPr>
            <w:r w:rsidRPr="00855837">
              <w:rPr>
                <w:sz w:val="18"/>
                <w:szCs w:val="18"/>
                <w:lang w:val="es-ES_tradnl"/>
              </w:rPr>
              <w:t>Estados Unidos de América</w:t>
            </w:r>
          </w:p>
        </w:tc>
        <w:tc>
          <w:tcPr>
            <w:tcW w:w="4536" w:type="dxa"/>
          </w:tcPr>
          <w:p w:rsidR="00C774E7" w:rsidRPr="00855837" w:rsidRDefault="00C774E7" w:rsidP="0016501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Estonia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14 de agosto de 2009</w:t>
            </w:r>
          </w:p>
        </w:tc>
      </w:tr>
      <w:tr w:rsidR="00C774E7" w:rsidRPr="00855837" w:rsidTr="000C3AE9">
        <w:tc>
          <w:tcPr>
            <w:tcW w:w="3085" w:type="dxa"/>
          </w:tcPr>
          <w:p w:rsidR="00C774E7" w:rsidRPr="00855837" w:rsidRDefault="00C774E7" w:rsidP="000C3AE9">
            <w:pPr>
              <w:tabs>
                <w:tab w:val="left" w:leader="dot" w:pos="2665"/>
              </w:tabs>
              <w:autoSpaceDE w:val="0"/>
              <w:autoSpaceDN w:val="0"/>
              <w:adjustRightInd w:val="0"/>
              <w:ind w:right="229"/>
              <w:rPr>
                <w:sz w:val="18"/>
                <w:szCs w:val="18"/>
                <w:lang w:val="es-ES_tradnl"/>
              </w:rPr>
            </w:pPr>
            <w:r w:rsidRPr="00855837">
              <w:rPr>
                <w:sz w:val="18"/>
                <w:szCs w:val="18"/>
                <w:lang w:val="es-ES_tradnl"/>
              </w:rPr>
              <w:t>ex República Yugoslava de Macedonia</w:t>
            </w:r>
          </w:p>
        </w:tc>
        <w:tc>
          <w:tcPr>
            <w:tcW w:w="4536" w:type="dxa"/>
          </w:tcPr>
          <w:p w:rsidR="00C774E7" w:rsidRPr="00855837" w:rsidRDefault="00C774E7" w:rsidP="000C3AE9">
            <w:pPr>
              <w:autoSpaceDE w:val="0"/>
              <w:autoSpaceDN w:val="0"/>
              <w:adjustRightInd w:val="0"/>
              <w:rPr>
                <w:sz w:val="18"/>
                <w:szCs w:val="18"/>
                <w:lang w:val="es-ES_tradnl"/>
              </w:rPr>
            </w:pPr>
          </w:p>
          <w:p w:rsidR="00C774E7" w:rsidRPr="00855837" w:rsidRDefault="00C774E7" w:rsidP="000C3AE9">
            <w:pPr>
              <w:autoSpaceDE w:val="0"/>
              <w:autoSpaceDN w:val="0"/>
              <w:adjustRightInd w:val="0"/>
              <w:rPr>
                <w:sz w:val="18"/>
                <w:szCs w:val="18"/>
                <w:lang w:val="es-ES_tradnl"/>
              </w:rPr>
            </w:pPr>
            <w:r w:rsidRPr="00855837">
              <w:rPr>
                <w:sz w:val="18"/>
                <w:szCs w:val="18"/>
                <w:lang w:val="es-ES_tradnl"/>
              </w:rPr>
              <w:t>6 de octubre de 2010</w:t>
            </w:r>
          </w:p>
        </w:tc>
      </w:tr>
      <w:tr w:rsidR="00C774E7" w:rsidRPr="00855837" w:rsidTr="0040737F">
        <w:tc>
          <w:tcPr>
            <w:tcW w:w="3085" w:type="dxa"/>
          </w:tcPr>
          <w:p w:rsidR="00C774E7" w:rsidRPr="00855837" w:rsidRDefault="00C774E7" w:rsidP="0040737F">
            <w:pPr>
              <w:tabs>
                <w:tab w:val="left" w:leader="dot" w:pos="2665"/>
              </w:tabs>
              <w:autoSpaceDE w:val="0"/>
              <w:autoSpaceDN w:val="0"/>
              <w:adjustRightInd w:val="0"/>
              <w:ind w:right="229"/>
              <w:rPr>
                <w:sz w:val="18"/>
                <w:szCs w:val="18"/>
                <w:lang w:val="es-ES_tradnl"/>
              </w:rPr>
            </w:pPr>
            <w:r w:rsidRPr="00855837">
              <w:rPr>
                <w:sz w:val="18"/>
                <w:szCs w:val="18"/>
                <w:lang w:val="es-ES_tradnl"/>
              </w:rPr>
              <w:t>Federación de Rusia</w:t>
            </w:r>
          </w:p>
        </w:tc>
        <w:tc>
          <w:tcPr>
            <w:tcW w:w="4536" w:type="dxa"/>
          </w:tcPr>
          <w:p w:rsidR="00C774E7" w:rsidRPr="00855837" w:rsidRDefault="00C774E7" w:rsidP="0040737F">
            <w:pPr>
              <w:autoSpaceDE w:val="0"/>
              <w:autoSpaceDN w:val="0"/>
              <w:adjustRightInd w:val="0"/>
              <w:rPr>
                <w:sz w:val="18"/>
                <w:szCs w:val="18"/>
                <w:lang w:val="es-ES_tradnl"/>
              </w:rPr>
            </w:pPr>
            <w:r w:rsidRPr="00855837">
              <w:rPr>
                <w:sz w:val="18"/>
                <w:szCs w:val="18"/>
                <w:lang w:val="es-ES_tradnl"/>
              </w:rPr>
              <w:t>18 de diciembre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Francia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28 de noviembre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Islandia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14 de diciembre de 2012</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Italia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21 de septiembre de 2010</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Kazajstán</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5 de septiembre de 2012</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Kirguistán</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Letonia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Liechtenstein</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3 de marzo de 2010</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Lituania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14 de agosto de 2013</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Malí</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Todavía no ha entrado en vigor</w:t>
            </w:r>
            <w:r w:rsidRPr="00855837">
              <w:rPr>
                <w:rStyle w:val="FootnoteReference"/>
                <w:rFonts w:cs="Arial"/>
                <w:sz w:val="18"/>
                <w:szCs w:val="18"/>
                <w:lang w:val="es-ES_tradnl"/>
              </w:rPr>
              <w:footnoteReference w:id="4"/>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Mongolia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3 de marzo de 2011</w:t>
            </w:r>
          </w:p>
        </w:tc>
      </w:tr>
      <w:tr w:rsidR="00C774E7" w:rsidRPr="00855837" w:rsidTr="00B66075">
        <w:tc>
          <w:tcPr>
            <w:tcW w:w="3085" w:type="dxa"/>
          </w:tcPr>
          <w:p w:rsidR="00C774E7" w:rsidRPr="00855837" w:rsidRDefault="00C774E7" w:rsidP="00B66075">
            <w:pPr>
              <w:tabs>
                <w:tab w:val="left" w:leader="dot" w:pos="2665"/>
              </w:tabs>
              <w:autoSpaceDE w:val="0"/>
              <w:autoSpaceDN w:val="0"/>
              <w:adjustRightInd w:val="0"/>
              <w:ind w:right="229"/>
              <w:rPr>
                <w:sz w:val="18"/>
                <w:szCs w:val="18"/>
                <w:lang w:val="es-ES_tradnl"/>
              </w:rPr>
            </w:pPr>
            <w:r w:rsidRPr="00855837">
              <w:rPr>
                <w:sz w:val="18"/>
                <w:szCs w:val="18"/>
                <w:lang w:val="es-ES_tradnl"/>
              </w:rPr>
              <w:t>Nueva Zelandia</w:t>
            </w:r>
            <w:r w:rsidRPr="00855837">
              <w:rPr>
                <w:rStyle w:val="FootnoteReference"/>
                <w:rFonts w:cs="Arial"/>
                <w:sz w:val="18"/>
                <w:szCs w:val="18"/>
                <w:lang w:val="es-ES_tradnl"/>
              </w:rPr>
              <w:footnoteReference w:id="5"/>
            </w:r>
          </w:p>
        </w:tc>
        <w:tc>
          <w:tcPr>
            <w:tcW w:w="4536" w:type="dxa"/>
          </w:tcPr>
          <w:p w:rsidR="00C774E7" w:rsidRPr="00855837" w:rsidRDefault="00C774E7" w:rsidP="00B66075">
            <w:pPr>
              <w:autoSpaceDE w:val="0"/>
              <w:autoSpaceDN w:val="0"/>
              <w:adjustRightInd w:val="0"/>
              <w:rPr>
                <w:sz w:val="18"/>
                <w:szCs w:val="18"/>
                <w:lang w:val="es-ES_tradnl"/>
              </w:rPr>
            </w:pPr>
            <w:r w:rsidRPr="00855837">
              <w:rPr>
                <w:sz w:val="18"/>
                <w:szCs w:val="18"/>
                <w:lang w:val="es-ES_tradnl"/>
              </w:rPr>
              <w:t>10 de diciembre de 2012</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Países Bajos</w:t>
            </w:r>
            <w:r w:rsidRPr="00855837">
              <w:rPr>
                <w:rStyle w:val="FootnoteReference"/>
                <w:rFonts w:cs="Arial"/>
                <w:sz w:val="18"/>
                <w:szCs w:val="18"/>
                <w:lang w:val="es-ES_tradnl"/>
              </w:rPr>
              <w:footnoteReference w:id="6"/>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Todavía no ha entrado en vigor</w:t>
            </w:r>
            <w:r w:rsidRPr="00855837">
              <w:rPr>
                <w:rStyle w:val="FootnoteReference"/>
                <w:rFonts w:cs="Arial"/>
                <w:sz w:val="18"/>
                <w:szCs w:val="18"/>
                <w:lang w:val="es-ES_tradnl"/>
              </w:rPr>
              <w:footnoteReference w:id="7"/>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Polonia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2 de julio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República de Moldova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A51B39">
        <w:tc>
          <w:tcPr>
            <w:tcW w:w="3085" w:type="dxa"/>
          </w:tcPr>
          <w:p w:rsidR="00C774E7" w:rsidRPr="00855837" w:rsidRDefault="00C774E7" w:rsidP="00A51B39">
            <w:pPr>
              <w:tabs>
                <w:tab w:val="left" w:leader="dot" w:pos="2665"/>
              </w:tabs>
              <w:autoSpaceDE w:val="0"/>
              <w:autoSpaceDN w:val="0"/>
              <w:adjustRightInd w:val="0"/>
              <w:ind w:right="229"/>
              <w:rPr>
                <w:sz w:val="18"/>
                <w:szCs w:val="18"/>
                <w:lang w:val="es-ES_tradnl"/>
              </w:rPr>
            </w:pPr>
            <w:r w:rsidRPr="00855837">
              <w:rPr>
                <w:sz w:val="18"/>
                <w:szCs w:val="18"/>
                <w:lang w:val="es-ES_tradnl"/>
              </w:rPr>
              <w:t>Reino Unido</w:t>
            </w:r>
          </w:p>
        </w:tc>
        <w:tc>
          <w:tcPr>
            <w:tcW w:w="4536" w:type="dxa"/>
          </w:tcPr>
          <w:p w:rsidR="00C774E7" w:rsidRPr="00855837" w:rsidRDefault="00C774E7" w:rsidP="00A51B39">
            <w:pPr>
              <w:autoSpaceDE w:val="0"/>
              <w:autoSpaceDN w:val="0"/>
              <w:adjustRightInd w:val="0"/>
              <w:rPr>
                <w:sz w:val="18"/>
                <w:szCs w:val="18"/>
                <w:lang w:val="es-ES_tradnl"/>
              </w:rPr>
            </w:pPr>
            <w:r w:rsidRPr="00855837">
              <w:rPr>
                <w:sz w:val="18"/>
                <w:szCs w:val="18"/>
                <w:lang w:val="es-ES_tradnl"/>
              </w:rPr>
              <w:t>21 de junio de 2012</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Rumania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Serbia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19 de noviembre de 2010</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Singapur</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Suecia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diciembre de 2011</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Suiza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16 de marzo de 2009</w:t>
            </w:r>
          </w:p>
        </w:tc>
      </w:tr>
      <w:tr w:rsidR="00C774E7" w:rsidRPr="00855837" w:rsidTr="0096788B">
        <w:tc>
          <w:tcPr>
            <w:tcW w:w="3085" w:type="dxa"/>
          </w:tcPr>
          <w:p w:rsidR="00C774E7" w:rsidRPr="00855837" w:rsidRDefault="00C774E7" w:rsidP="0096788B">
            <w:pPr>
              <w:tabs>
                <w:tab w:val="left" w:leader="dot" w:pos="2665"/>
              </w:tabs>
              <w:autoSpaceDE w:val="0"/>
              <w:autoSpaceDN w:val="0"/>
              <w:adjustRightInd w:val="0"/>
              <w:ind w:right="229"/>
              <w:rPr>
                <w:sz w:val="18"/>
                <w:szCs w:val="18"/>
                <w:lang w:val="es-ES_tradnl"/>
              </w:rPr>
            </w:pPr>
            <w:r w:rsidRPr="00855837">
              <w:rPr>
                <w:sz w:val="18"/>
                <w:szCs w:val="18"/>
                <w:lang w:val="es-ES_tradnl"/>
              </w:rPr>
              <w:t>Ucrania</w:t>
            </w:r>
          </w:p>
        </w:tc>
        <w:tc>
          <w:tcPr>
            <w:tcW w:w="4536" w:type="dxa"/>
          </w:tcPr>
          <w:p w:rsidR="00C774E7" w:rsidRPr="00855837" w:rsidRDefault="00C774E7" w:rsidP="0096788B">
            <w:pPr>
              <w:autoSpaceDE w:val="0"/>
              <w:autoSpaceDN w:val="0"/>
              <w:adjustRightInd w:val="0"/>
              <w:rPr>
                <w:sz w:val="18"/>
                <w:szCs w:val="18"/>
                <w:lang w:val="es-ES_tradnl"/>
              </w:rPr>
            </w:pPr>
            <w:r w:rsidRPr="00855837">
              <w:rPr>
                <w:sz w:val="18"/>
                <w:szCs w:val="18"/>
                <w:lang w:val="es-ES_tradnl"/>
              </w:rPr>
              <w:t>24 de mayo de 2010</w:t>
            </w:r>
          </w:p>
        </w:tc>
      </w:tr>
    </w:tbl>
    <w:p w:rsidR="00C774E7" w:rsidRPr="00855837" w:rsidRDefault="00C774E7" w:rsidP="00643CDC">
      <w:pPr>
        <w:autoSpaceDE w:val="0"/>
        <w:autoSpaceDN w:val="0"/>
        <w:adjustRightInd w:val="0"/>
        <w:rPr>
          <w:sz w:val="18"/>
          <w:szCs w:val="18"/>
          <w:lang w:val="es-ES_tradnl"/>
        </w:rPr>
      </w:pPr>
    </w:p>
    <w:p w:rsidR="00C774E7" w:rsidRPr="00855837" w:rsidRDefault="00C774E7" w:rsidP="0092005F">
      <w:pPr>
        <w:autoSpaceDE w:val="0"/>
        <w:autoSpaceDN w:val="0"/>
        <w:adjustRightInd w:val="0"/>
        <w:rPr>
          <w:sz w:val="18"/>
          <w:szCs w:val="18"/>
          <w:lang w:val="es-ES_tradnl"/>
        </w:rPr>
      </w:pPr>
      <w:r w:rsidRPr="00855837">
        <w:rPr>
          <w:sz w:val="18"/>
          <w:szCs w:val="18"/>
          <w:lang w:val="es-ES_tradnl"/>
        </w:rPr>
        <w:t>(Total:  29 Estados)</w:t>
      </w:r>
    </w:p>
    <w:p w:rsidR="00C774E7" w:rsidRPr="00855837" w:rsidRDefault="00C774E7" w:rsidP="00643CDC">
      <w:pPr>
        <w:autoSpaceDE w:val="0"/>
        <w:autoSpaceDN w:val="0"/>
        <w:adjustRightInd w:val="0"/>
        <w:rPr>
          <w:sz w:val="18"/>
          <w:szCs w:val="18"/>
          <w:lang w:val="es-ES_tradnl"/>
        </w:rPr>
      </w:pPr>
    </w:p>
    <w:p w:rsidR="00C774E7" w:rsidRPr="00855837" w:rsidRDefault="00C774E7" w:rsidP="00643CDC">
      <w:pPr>
        <w:autoSpaceDE w:val="0"/>
        <w:autoSpaceDN w:val="0"/>
        <w:adjustRightInd w:val="0"/>
        <w:rPr>
          <w:sz w:val="18"/>
          <w:szCs w:val="18"/>
          <w:lang w:val="es-ES_tradnl"/>
        </w:rPr>
      </w:pPr>
    </w:p>
    <w:p w:rsidR="00C774E7" w:rsidRPr="00855837" w:rsidRDefault="00C774E7" w:rsidP="00643CDC">
      <w:pPr>
        <w:autoSpaceDE w:val="0"/>
        <w:autoSpaceDN w:val="0"/>
        <w:adjustRightInd w:val="0"/>
        <w:rPr>
          <w:sz w:val="18"/>
          <w:szCs w:val="18"/>
          <w:lang w:val="es-ES_tradnl"/>
        </w:rPr>
      </w:pPr>
    </w:p>
    <w:p w:rsidR="00C774E7" w:rsidRPr="00855837" w:rsidRDefault="00C774E7" w:rsidP="0092005F">
      <w:pPr>
        <w:pStyle w:val="DecisionInvitingPara"/>
        <w:tabs>
          <w:tab w:val="left" w:pos="5954"/>
          <w:tab w:val="right" w:pos="9072"/>
        </w:tabs>
        <w:spacing w:after="0" w:line="240" w:lineRule="auto"/>
        <w:ind w:left="5529" w:firstLine="5"/>
        <w:rPr>
          <w:i w:val="0"/>
          <w:sz w:val="22"/>
          <w:szCs w:val="22"/>
          <w:lang w:val="es-ES_tradnl"/>
        </w:rPr>
      </w:pPr>
      <w:r w:rsidRPr="00855837">
        <w:rPr>
          <w:i w:val="0"/>
          <w:sz w:val="22"/>
          <w:szCs w:val="22"/>
          <w:lang w:val="es-ES_tradnl"/>
        </w:rPr>
        <w:t>[Fin del Anexo y del documento]</w:t>
      </w:r>
    </w:p>
    <w:p w:rsidR="00C774E7" w:rsidRPr="00855837" w:rsidRDefault="00C774E7" w:rsidP="00643CDC">
      <w:pPr>
        <w:autoSpaceDE w:val="0"/>
        <w:autoSpaceDN w:val="0"/>
        <w:adjustRightInd w:val="0"/>
        <w:rPr>
          <w:sz w:val="18"/>
          <w:szCs w:val="18"/>
          <w:lang w:val="es-ES_tradnl"/>
        </w:rPr>
      </w:pPr>
    </w:p>
    <w:p w:rsidR="00C774E7" w:rsidRPr="00855837" w:rsidRDefault="00C774E7" w:rsidP="00643CDC">
      <w:pPr>
        <w:rPr>
          <w:lang w:val="es-ES_tradnl"/>
        </w:rPr>
      </w:pPr>
    </w:p>
    <w:sectPr w:rsidR="00C774E7" w:rsidRPr="00855837" w:rsidSect="00073AE9">
      <w:headerReference w:type="default" r:id="rId10"/>
      <w:headerReference w:type="first" r:id="rId11"/>
      <w:pgSz w:w="11907" w:h="16840" w:code="9"/>
      <w:pgMar w:top="567" w:right="1134" w:bottom="1418" w:left="1418" w:header="510" w:footer="1021"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E7" w:rsidRDefault="00C774E7">
      <w:r>
        <w:separator/>
      </w:r>
    </w:p>
  </w:endnote>
  <w:endnote w:type="continuationSeparator" w:id="0">
    <w:p w:rsidR="00C774E7" w:rsidRPr="009D30E6" w:rsidRDefault="00C774E7" w:rsidP="007E663E">
      <w:pPr>
        <w:rPr>
          <w:sz w:val="17"/>
          <w:szCs w:val="17"/>
        </w:rPr>
      </w:pPr>
      <w:r w:rsidRPr="009D30E6">
        <w:rPr>
          <w:sz w:val="17"/>
          <w:szCs w:val="17"/>
        </w:rPr>
        <w:separator/>
      </w:r>
    </w:p>
    <w:p w:rsidR="00C774E7" w:rsidRPr="007E663E" w:rsidRDefault="00C774E7" w:rsidP="007E663E">
      <w:pPr>
        <w:spacing w:after="60"/>
        <w:rPr>
          <w:sz w:val="17"/>
          <w:szCs w:val="17"/>
        </w:rPr>
      </w:pPr>
      <w:r>
        <w:rPr>
          <w:sz w:val="17"/>
        </w:rPr>
        <w:t>[Continuación de la nota de la página anterior]</w:t>
      </w:r>
    </w:p>
  </w:endnote>
  <w:endnote w:type="continuationNotice" w:id="1">
    <w:p w:rsidR="00C774E7" w:rsidRPr="007E663E" w:rsidRDefault="00C774E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E7" w:rsidRDefault="00C774E7">
      <w:r>
        <w:separator/>
      </w:r>
    </w:p>
  </w:footnote>
  <w:footnote w:type="continuationSeparator" w:id="0">
    <w:p w:rsidR="00C774E7" w:rsidRPr="009D30E6" w:rsidRDefault="00C774E7" w:rsidP="007E663E">
      <w:pPr>
        <w:rPr>
          <w:sz w:val="17"/>
          <w:szCs w:val="17"/>
        </w:rPr>
      </w:pPr>
      <w:r w:rsidRPr="009D30E6">
        <w:rPr>
          <w:sz w:val="17"/>
          <w:szCs w:val="17"/>
        </w:rPr>
        <w:separator/>
      </w:r>
    </w:p>
    <w:p w:rsidR="00C774E7" w:rsidRPr="007E663E" w:rsidRDefault="00C774E7" w:rsidP="007E663E">
      <w:pPr>
        <w:spacing w:after="60"/>
        <w:rPr>
          <w:sz w:val="17"/>
          <w:szCs w:val="17"/>
        </w:rPr>
      </w:pPr>
      <w:r>
        <w:rPr>
          <w:sz w:val="17"/>
        </w:rPr>
        <w:t>[Continuación de la nota de la página anterior]</w:t>
      </w:r>
    </w:p>
  </w:footnote>
  <w:footnote w:type="continuationNotice" w:id="1">
    <w:p w:rsidR="00C774E7" w:rsidRPr="007E663E" w:rsidRDefault="00C774E7" w:rsidP="007E663E">
      <w:pPr>
        <w:spacing w:before="60"/>
        <w:jc w:val="right"/>
        <w:rPr>
          <w:sz w:val="17"/>
          <w:szCs w:val="17"/>
        </w:rPr>
      </w:pPr>
      <w:r w:rsidRPr="007E663E">
        <w:rPr>
          <w:sz w:val="17"/>
          <w:szCs w:val="17"/>
        </w:rPr>
        <w:t>[Sigue la nota en la página siguiente]</w:t>
      </w:r>
    </w:p>
  </w:footnote>
  <w:footnote w:id="2">
    <w:p w:rsidR="00C774E7" w:rsidRDefault="00C774E7" w:rsidP="0092005F">
      <w:pPr>
        <w:pStyle w:val="FootnoteText"/>
      </w:pPr>
      <w:r>
        <w:rPr>
          <w:rStyle w:val="FootnoteReference"/>
          <w:rFonts w:cs="Arial"/>
        </w:rPr>
        <w:footnoteRef/>
      </w:r>
      <w:r>
        <w:rPr>
          <w:lang w:val="es-ES_tradnl"/>
        </w:rPr>
        <w:tab/>
      </w:r>
      <w:r w:rsidRPr="00803C5A">
        <w:rPr>
          <w:lang w:val="es-ES_tradnl"/>
        </w:rPr>
        <w:t>Con la declaración prevista en el Artículo 29)4).</w:t>
      </w:r>
    </w:p>
  </w:footnote>
  <w:footnote w:id="3">
    <w:p w:rsidR="00C774E7" w:rsidRDefault="00C774E7" w:rsidP="0092005F">
      <w:pPr>
        <w:pStyle w:val="FootnoteText"/>
      </w:pPr>
      <w:r w:rsidRPr="00803C5A">
        <w:rPr>
          <w:rStyle w:val="FootnoteReference"/>
          <w:rFonts w:cs="Arial"/>
        </w:rPr>
        <w:footnoteRef/>
      </w:r>
      <w:r w:rsidRPr="00803C5A">
        <w:rPr>
          <w:lang w:val="es-ES_tradnl"/>
        </w:rPr>
        <w:tab/>
        <w:t>No es aplicable a las Islas Feroe ni a Groenlandia.</w:t>
      </w:r>
    </w:p>
  </w:footnote>
  <w:footnote w:id="4">
    <w:p w:rsidR="00C774E7" w:rsidRDefault="00C774E7" w:rsidP="00542B53">
      <w:pPr>
        <w:pStyle w:val="FootnoteText"/>
        <w:ind w:left="567" w:hanging="567"/>
      </w:pPr>
      <w:r w:rsidRPr="00803C5A">
        <w:rPr>
          <w:rStyle w:val="FootnoteReference"/>
          <w:rFonts w:cs="Arial"/>
        </w:rPr>
        <w:footnoteRef/>
      </w:r>
      <w:r w:rsidRPr="00803C5A">
        <w:rPr>
          <w:lang w:val="es-ES_tradnl"/>
        </w:rPr>
        <w:tab/>
        <w:t>Este Estado quedará obligado por el Tratado tres meses después de depositar el instrumento de adhesión de la Organización Africana de la Propiedad Intelectual (OAPI).</w:t>
      </w:r>
    </w:p>
  </w:footnote>
  <w:footnote w:id="5">
    <w:p w:rsidR="00C774E7" w:rsidRDefault="00C774E7" w:rsidP="00D05A45">
      <w:pPr>
        <w:pStyle w:val="FootnoteText"/>
        <w:ind w:left="567" w:hanging="567"/>
      </w:pPr>
      <w:r w:rsidRPr="00803C5A">
        <w:rPr>
          <w:rStyle w:val="FootnoteReference"/>
          <w:rFonts w:cs="Arial"/>
        </w:rPr>
        <w:footnoteRef/>
      </w:r>
      <w:r w:rsidRPr="00803C5A">
        <w:rPr>
          <w:lang w:val="es-ES_tradnl"/>
        </w:rPr>
        <w:tab/>
        <w:t>El Gobierno de Nueva Zelandia declara que su adhesión no se hace extensiva a Tokelau, a menos que presente una declaración al efecto ante el depositario tras las consultas pertinentes con ese territorio.</w:t>
      </w:r>
    </w:p>
  </w:footnote>
  <w:footnote w:id="6">
    <w:p w:rsidR="00C774E7" w:rsidRDefault="00C774E7" w:rsidP="00542B53">
      <w:pPr>
        <w:pStyle w:val="FootnoteText"/>
        <w:ind w:left="567" w:hanging="567"/>
      </w:pPr>
      <w:r w:rsidRPr="00803C5A">
        <w:rPr>
          <w:rStyle w:val="FootnoteReference"/>
          <w:rFonts w:cs="Arial"/>
        </w:rPr>
        <w:footnoteRef/>
      </w:r>
      <w:r w:rsidRPr="00803C5A">
        <w:rPr>
          <w:lang w:val="es-ES_tradnl"/>
        </w:rPr>
        <w:tab/>
        <w:t>Adhesión del Reino en Europa y las Antillas Neerlandesas.  Las Antillas Neerlandesas dejaron de existir el 10 de octubre de 2010.  A partir de esa fecha, el Tratado sigue aplicándose a Curaçao y San Martín.  El Tratado también sigue aplicándose a las islas de Bonaire, San Eustaquio y Saba, que, desde el 10 de octubre de 2010, forman parte del territorio del Reino de los Países Bajos en Europa.</w:t>
      </w:r>
    </w:p>
  </w:footnote>
  <w:footnote w:id="7">
    <w:p w:rsidR="00C774E7" w:rsidRDefault="00C774E7" w:rsidP="00542B53">
      <w:pPr>
        <w:pStyle w:val="FootnoteText"/>
        <w:ind w:left="567" w:hanging="567"/>
      </w:pPr>
      <w:r w:rsidRPr="00803C5A">
        <w:rPr>
          <w:rStyle w:val="FootnoteReference"/>
          <w:rFonts w:cs="Arial"/>
        </w:rPr>
        <w:footnoteRef/>
      </w:r>
      <w:r w:rsidRPr="00803C5A">
        <w:rPr>
          <w:lang w:val="es-ES_tradnl"/>
        </w:rPr>
        <w:tab/>
        <w:t xml:space="preserve">En el caso de las Antillas Neerlandesas, el Tratado entró en vigor el 2 de enero de 2010.  En el caso del Reino en Europa, dicho Tratado entrará en vigor posteriormente, de conformidad con los </w:t>
      </w:r>
      <w:r>
        <w:rPr>
          <w:lang w:val="es-ES_tradnl"/>
        </w:rPr>
        <w:t>a</w:t>
      </w:r>
      <w:r w:rsidRPr="00803C5A">
        <w:rPr>
          <w:lang w:val="es-ES_tradnl"/>
        </w:rPr>
        <w:t>rtículos 26 y 28 del Tratado.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E7" w:rsidRPr="00750467" w:rsidRDefault="00C774E7" w:rsidP="00515347">
    <w:pPr>
      <w:jc w:val="right"/>
    </w:pPr>
    <w:r w:rsidRPr="00750467">
      <w:rPr>
        <w:lang w:val="es-ES_tradnl"/>
      </w:rPr>
      <w:t>STLT/A/5/1</w:t>
    </w:r>
  </w:p>
  <w:p w:rsidR="00C774E7" w:rsidRPr="00750467" w:rsidRDefault="00C774E7" w:rsidP="00477D6B">
    <w:pPr>
      <w:jc w:val="right"/>
    </w:pPr>
    <w:r w:rsidRPr="00750467">
      <w:t xml:space="preserve">página </w:t>
    </w:r>
    <w:r w:rsidR="00D406AB">
      <w:fldChar w:fldCharType="begin"/>
    </w:r>
    <w:r w:rsidR="00D406AB">
      <w:instrText xml:space="preserve"> PAGE  \* MERGEFORMAT </w:instrText>
    </w:r>
    <w:r w:rsidR="00D406AB">
      <w:fldChar w:fldCharType="separate"/>
    </w:r>
    <w:r w:rsidR="00D406AB">
      <w:rPr>
        <w:noProof/>
      </w:rPr>
      <w:t>4</w:t>
    </w:r>
    <w:r w:rsidR="00D406AB">
      <w:rPr>
        <w:noProof/>
      </w:rPr>
      <w:fldChar w:fldCharType="end"/>
    </w:r>
  </w:p>
  <w:p w:rsidR="00C774E7" w:rsidRDefault="00C774E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E7" w:rsidRPr="00750467" w:rsidRDefault="00C774E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E7" w:rsidRDefault="00C774E7" w:rsidP="00643CDC">
    <w:pPr>
      <w:jc w:val="right"/>
    </w:pPr>
    <w:r>
      <w:t>STLT/A/5/1</w:t>
    </w:r>
  </w:p>
  <w:p w:rsidR="00C774E7" w:rsidRDefault="00C774E7" w:rsidP="0092005F">
    <w:pPr>
      <w:jc w:val="right"/>
    </w:pPr>
    <w:r>
      <w:t>ANEXO</w:t>
    </w:r>
  </w:p>
  <w:p w:rsidR="00C774E7" w:rsidRDefault="00C774E7" w:rsidP="0092005F">
    <w:pPr>
      <w:jc w:val="right"/>
    </w:pPr>
  </w:p>
  <w:p w:rsidR="00C774E7" w:rsidRDefault="00C774E7" w:rsidP="0092005F">
    <w:pPr>
      <w:pStyle w:val="Header"/>
      <w:tabs>
        <w:tab w:val="clear" w:pos="4536"/>
        <w:tab w:val="clear" w:pos="9072"/>
        <w:tab w:val="left" w:pos="82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pStyle w:val="ONUMFS"/>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2EB0406"/>
    <w:multiLevelType w:val="hybridMultilevel"/>
    <w:tmpl w:val="91C81730"/>
    <w:lvl w:ilvl="0" w:tplc="D868BD44">
      <w:numFmt w:val="bullet"/>
      <w:lvlText w:val="–"/>
      <w:lvlJc w:val="left"/>
      <w:pPr>
        <w:ind w:left="720" w:hanging="360"/>
      </w:pPr>
      <w:rPr>
        <w:rFonts w:ascii="Arial" w:eastAsia="SimSu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2DC77A59"/>
    <w:multiLevelType w:val="multilevel"/>
    <w:tmpl w:val="B21455DA"/>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692D23"/>
    <w:multiLevelType w:val="multilevel"/>
    <w:tmpl w:val="B21455DA"/>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4504624E"/>
    <w:multiLevelType w:val="multilevel"/>
    <w:tmpl w:val="B21455DA"/>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6"/>
  </w:num>
  <w:num w:numId="13">
    <w:abstractNumId w:val="0"/>
  </w:num>
  <w:num w:numId="14">
    <w:abstractNumId w:val="9"/>
  </w:num>
  <w:num w:numId="15">
    <w:abstractNumId w:val="1"/>
  </w:num>
  <w:num w:numId="16">
    <w:abstractNumId w:val="4"/>
  </w:num>
  <w:num w:numId="17">
    <w:abstractNumId w:val="8"/>
  </w:num>
  <w:num w:numId="18">
    <w:abstractNumId w:val="7"/>
  </w:num>
  <w:num w:numId="19">
    <w:abstractNumId w:val="5"/>
  </w:num>
  <w:num w:numId="20">
    <w:abstractNumId w:val="4"/>
  </w:num>
  <w:num w:numId="21">
    <w:abstractNumId w:val="4"/>
  </w:num>
  <w:num w:numId="22">
    <w:abstractNumId w:val="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urceLng" w:val="eng"/>
    <w:docVar w:name="TargetLng" w:val="spa"/>
    <w:docVar w:name="TermBases" w:val="Empty"/>
    <w:docVar w:name="TermBaseURL" w:val="empty"/>
    <w:docVar w:name="TextBases" w:val="Patents\Meeting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073AE9"/>
    <w:rsid w:val="00073AE9"/>
    <w:rsid w:val="000C3AE9"/>
    <w:rsid w:val="000D12C4"/>
    <w:rsid w:val="000E1FCF"/>
    <w:rsid w:val="000E3307"/>
    <w:rsid w:val="000E3BB3"/>
    <w:rsid w:val="000F3944"/>
    <w:rsid w:val="000F5E56"/>
    <w:rsid w:val="001362EE"/>
    <w:rsid w:val="00152CEA"/>
    <w:rsid w:val="0016501B"/>
    <w:rsid w:val="001669FA"/>
    <w:rsid w:val="001832A6"/>
    <w:rsid w:val="001C4DD3"/>
    <w:rsid w:val="00201CDB"/>
    <w:rsid w:val="002178DC"/>
    <w:rsid w:val="00253145"/>
    <w:rsid w:val="002634C4"/>
    <w:rsid w:val="002F4E68"/>
    <w:rsid w:val="003162D8"/>
    <w:rsid w:val="00336C79"/>
    <w:rsid w:val="00354647"/>
    <w:rsid w:val="00377273"/>
    <w:rsid w:val="003845C1"/>
    <w:rsid w:val="00387287"/>
    <w:rsid w:val="003D41D4"/>
    <w:rsid w:val="0040737F"/>
    <w:rsid w:val="00423E3E"/>
    <w:rsid w:val="00427AF4"/>
    <w:rsid w:val="00431C9B"/>
    <w:rsid w:val="0045231F"/>
    <w:rsid w:val="004556DD"/>
    <w:rsid w:val="004647DA"/>
    <w:rsid w:val="00477D6B"/>
    <w:rsid w:val="004941C7"/>
    <w:rsid w:val="004A6C37"/>
    <w:rsid w:val="004B3335"/>
    <w:rsid w:val="004E34F5"/>
    <w:rsid w:val="00502762"/>
    <w:rsid w:val="00515347"/>
    <w:rsid w:val="005257FE"/>
    <w:rsid w:val="00542B53"/>
    <w:rsid w:val="005466C5"/>
    <w:rsid w:val="0055013B"/>
    <w:rsid w:val="0056224D"/>
    <w:rsid w:val="00567FF8"/>
    <w:rsid w:val="005709EE"/>
    <w:rsid w:val="00571B99"/>
    <w:rsid w:val="005758E2"/>
    <w:rsid w:val="005D2131"/>
    <w:rsid w:val="005D4EF3"/>
    <w:rsid w:val="00605827"/>
    <w:rsid w:val="0062055D"/>
    <w:rsid w:val="0062730D"/>
    <w:rsid w:val="006328DF"/>
    <w:rsid w:val="00640F0E"/>
    <w:rsid w:val="00643CDC"/>
    <w:rsid w:val="00654A23"/>
    <w:rsid w:val="00675021"/>
    <w:rsid w:val="00696183"/>
    <w:rsid w:val="006A06C6"/>
    <w:rsid w:val="00714012"/>
    <w:rsid w:val="00750467"/>
    <w:rsid w:val="0075377A"/>
    <w:rsid w:val="007A68DB"/>
    <w:rsid w:val="007B51E2"/>
    <w:rsid w:val="007C370B"/>
    <w:rsid w:val="007E663E"/>
    <w:rsid w:val="00803C5A"/>
    <w:rsid w:val="00815082"/>
    <w:rsid w:val="00855837"/>
    <w:rsid w:val="008B2CC1"/>
    <w:rsid w:val="008C2D21"/>
    <w:rsid w:val="0090731E"/>
    <w:rsid w:val="009122AF"/>
    <w:rsid w:val="0092005F"/>
    <w:rsid w:val="00935895"/>
    <w:rsid w:val="00966A22"/>
    <w:rsid w:val="0096788B"/>
    <w:rsid w:val="00971E12"/>
    <w:rsid w:val="00972F03"/>
    <w:rsid w:val="009962C5"/>
    <w:rsid w:val="009A0C8B"/>
    <w:rsid w:val="009A4376"/>
    <w:rsid w:val="009B6241"/>
    <w:rsid w:val="009D30E6"/>
    <w:rsid w:val="00A16FC0"/>
    <w:rsid w:val="00A32C9E"/>
    <w:rsid w:val="00A51B39"/>
    <w:rsid w:val="00A7453D"/>
    <w:rsid w:val="00A862F9"/>
    <w:rsid w:val="00A974CF"/>
    <w:rsid w:val="00AB613D"/>
    <w:rsid w:val="00AB7E63"/>
    <w:rsid w:val="00AD6C16"/>
    <w:rsid w:val="00B65A0A"/>
    <w:rsid w:val="00B66075"/>
    <w:rsid w:val="00B72D36"/>
    <w:rsid w:val="00B7633A"/>
    <w:rsid w:val="00BC4164"/>
    <w:rsid w:val="00BD2DCC"/>
    <w:rsid w:val="00BE050D"/>
    <w:rsid w:val="00BE1A8C"/>
    <w:rsid w:val="00BF15C0"/>
    <w:rsid w:val="00C26C06"/>
    <w:rsid w:val="00C774E7"/>
    <w:rsid w:val="00C90559"/>
    <w:rsid w:val="00CC0209"/>
    <w:rsid w:val="00D05A45"/>
    <w:rsid w:val="00D406AB"/>
    <w:rsid w:val="00D40CF0"/>
    <w:rsid w:val="00D56C7C"/>
    <w:rsid w:val="00D66828"/>
    <w:rsid w:val="00D71B4D"/>
    <w:rsid w:val="00D7420A"/>
    <w:rsid w:val="00D81A1F"/>
    <w:rsid w:val="00D90289"/>
    <w:rsid w:val="00D925AB"/>
    <w:rsid w:val="00D93D55"/>
    <w:rsid w:val="00E379B4"/>
    <w:rsid w:val="00E45C84"/>
    <w:rsid w:val="00E504E5"/>
    <w:rsid w:val="00E6008F"/>
    <w:rsid w:val="00EB7A3E"/>
    <w:rsid w:val="00EC401A"/>
    <w:rsid w:val="00EF530A"/>
    <w:rsid w:val="00EF6622"/>
    <w:rsid w:val="00F204F3"/>
    <w:rsid w:val="00F261DD"/>
    <w:rsid w:val="00F55408"/>
    <w:rsid w:val="00F6490E"/>
    <w:rsid w:val="00F66152"/>
    <w:rsid w:val="00F80845"/>
    <w:rsid w:val="00F84474"/>
    <w:rsid w:val="00F866F6"/>
    <w:rsid w:val="00F93242"/>
    <w:rsid w:val="00F94D0A"/>
    <w:rsid w:val="00F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828"/>
    <w:rPr>
      <w:rFonts w:ascii="Cambria" w:hAnsi="Cambria" w:cs="Times New Roman"/>
      <w:b/>
      <w:bCs/>
      <w:kern w:val="32"/>
      <w:sz w:val="32"/>
      <w:szCs w:val="32"/>
      <w:lang w:val="es-ES" w:eastAsia="zh-CN"/>
    </w:rPr>
  </w:style>
  <w:style w:type="character" w:customStyle="1" w:styleId="Heading2Char">
    <w:name w:val="Heading 2 Char"/>
    <w:basedOn w:val="DefaultParagraphFont"/>
    <w:link w:val="Heading2"/>
    <w:uiPriority w:val="99"/>
    <w:semiHidden/>
    <w:locked/>
    <w:rsid w:val="00D66828"/>
    <w:rPr>
      <w:rFonts w:ascii="Cambria" w:hAnsi="Cambria" w:cs="Times New Roman"/>
      <w:b/>
      <w:bCs/>
      <w:i/>
      <w:iCs/>
      <w:sz w:val="28"/>
      <w:szCs w:val="28"/>
      <w:lang w:val="es-ES" w:eastAsia="zh-CN"/>
    </w:rPr>
  </w:style>
  <w:style w:type="character" w:customStyle="1" w:styleId="Heading3Char">
    <w:name w:val="Heading 3 Char"/>
    <w:basedOn w:val="DefaultParagraphFont"/>
    <w:link w:val="Heading3"/>
    <w:uiPriority w:val="99"/>
    <w:semiHidden/>
    <w:locked/>
    <w:rsid w:val="00D66828"/>
    <w:rPr>
      <w:rFonts w:ascii="Cambria" w:hAnsi="Cambria" w:cs="Times New Roman"/>
      <w:b/>
      <w:bCs/>
      <w:sz w:val="26"/>
      <w:szCs w:val="26"/>
      <w:lang w:val="es-ES" w:eastAsia="zh-CN"/>
    </w:rPr>
  </w:style>
  <w:style w:type="character" w:customStyle="1" w:styleId="Heading4Char">
    <w:name w:val="Heading 4 Char"/>
    <w:basedOn w:val="DefaultParagraphFont"/>
    <w:link w:val="Heading4"/>
    <w:uiPriority w:val="99"/>
    <w:semiHidden/>
    <w:locked/>
    <w:rsid w:val="00D66828"/>
    <w:rPr>
      <w:rFonts w:ascii="Calibri" w:hAnsi="Calibri" w:cs="Times New Roman"/>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locked/>
    <w:rsid w:val="00D66828"/>
    <w:rPr>
      <w:rFonts w:ascii="Arial" w:eastAsia="SimSun" w:hAnsi="Arial" w:cs="Arial"/>
      <w:sz w:val="20"/>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D66828"/>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D66828"/>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locked/>
    <w:rsid w:val="00D66828"/>
    <w:rPr>
      <w:rFonts w:ascii="Arial" w:eastAsia="SimSun" w:hAnsi="Arial" w:cs="Arial"/>
      <w:sz w:val="20"/>
      <w:szCs w:val="20"/>
      <w:lang w:val="es-ES"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D66828"/>
    <w:rPr>
      <w:rFonts w:ascii="Arial" w:eastAsia="SimSun" w:hAnsi="Arial" w:cs="Arial"/>
      <w:sz w:val="20"/>
      <w:szCs w:val="20"/>
      <w:lang w:val="es-ES" w:eastAsia="zh-CN"/>
    </w:rPr>
  </w:style>
  <w:style w:type="paragraph" w:customStyle="1" w:styleId="Endofdocument-Annex">
    <w:name w:val="[End of document - Annex]"/>
    <w:basedOn w:val="Normal"/>
    <w:uiPriority w:val="99"/>
    <w:rsid w:val="00815082"/>
    <w:pPr>
      <w:ind w:left="5534"/>
    </w:pPr>
    <w:rPr>
      <w:lang w:val="en-US"/>
    </w:rPr>
  </w:style>
  <w:style w:type="table" w:styleId="TableGrid">
    <w:name w:val="Table Grid"/>
    <w:basedOn w:val="TableNormal"/>
    <w:uiPriority w:val="99"/>
    <w:rsid w:val="00643C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locked/>
    <w:rsid w:val="00D66828"/>
    <w:rPr>
      <w:rFonts w:ascii="Arial" w:eastAsia="SimSun" w:hAnsi="Arial" w:cs="Arial"/>
      <w:sz w:val="20"/>
      <w:szCs w:val="20"/>
      <w:lang w:val="es-ES" w:eastAsia="zh-CN"/>
    </w:rPr>
  </w:style>
  <w:style w:type="paragraph" w:styleId="ListNumber">
    <w:name w:val="List Number"/>
    <w:basedOn w:val="Normal"/>
    <w:uiPriority w:val="99"/>
    <w:semiHidden/>
    <w:rsid w:val="00A32C9E"/>
    <w:pPr>
      <w:numPr>
        <w:numId w:val="14"/>
      </w:numPr>
    </w:pPr>
  </w:style>
  <w:style w:type="paragraph" w:customStyle="1" w:styleId="ONUME">
    <w:name w:val="ONUM E"/>
    <w:basedOn w:val="BodyText"/>
    <w:uiPriority w:val="99"/>
    <w:rsid w:val="00A32C9E"/>
    <w:pPr>
      <w:numPr>
        <w:numId w:val="15"/>
      </w:numPr>
    </w:pPr>
  </w:style>
  <w:style w:type="paragraph" w:customStyle="1" w:styleId="ONUMFS">
    <w:name w:val="ONUM FS"/>
    <w:basedOn w:val="BodyText"/>
    <w:uiPriority w:val="99"/>
    <w:rsid w:val="00A32C9E"/>
    <w:pPr>
      <w:numPr>
        <w:numId w:val="7"/>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D66828"/>
    <w:rPr>
      <w:rFonts w:ascii="Arial" w:eastAsia="SimSun" w:hAnsi="Arial" w:cs="Arial"/>
      <w:sz w:val="20"/>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D66828"/>
    <w:rPr>
      <w:rFonts w:ascii="Arial" w:eastAsia="SimSun" w:hAnsi="Arial" w:cs="Arial"/>
      <w:sz w:val="20"/>
      <w:szCs w:val="20"/>
      <w:lang w:val="es-ES" w:eastAsia="zh-CN"/>
    </w:rPr>
  </w:style>
  <w:style w:type="character" w:styleId="FootnoteReference">
    <w:name w:val="footnote reference"/>
    <w:basedOn w:val="DefaultParagraphFont"/>
    <w:uiPriority w:val="99"/>
    <w:rsid w:val="00643CDC"/>
    <w:rPr>
      <w:rFonts w:cs="Times New Roman"/>
      <w:vertAlign w:val="superscript"/>
    </w:rPr>
  </w:style>
  <w:style w:type="paragraph" w:customStyle="1" w:styleId="DecisionInvitingPara">
    <w:name w:val="Decision Inviting Para."/>
    <w:basedOn w:val="Normal"/>
    <w:uiPriority w:val="99"/>
    <w:rsid w:val="00643CDC"/>
    <w:pPr>
      <w:spacing w:after="120" w:line="260" w:lineRule="atLeast"/>
      <w:ind w:left="5534"/>
      <w:contextualSpacing/>
    </w:pPr>
    <w:rPr>
      <w:rFonts w:eastAsia="Times New Roman" w:cs="Times New Roman"/>
      <w:i/>
      <w:sz w:val="20"/>
      <w:lang w:val="en-US" w:eastAsia="en-US"/>
    </w:rPr>
  </w:style>
  <w:style w:type="paragraph" w:styleId="BalloonText">
    <w:name w:val="Balloon Text"/>
    <w:basedOn w:val="Normal"/>
    <w:link w:val="BalloonTextChar"/>
    <w:uiPriority w:val="99"/>
    <w:semiHidden/>
    <w:rsid w:val="00336C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2762"/>
    <w:rPr>
      <w:rFonts w:eastAsia="SimSun" w:cs="Arial"/>
      <w:sz w:val="2"/>
      <w:lang w:val="es-ES" w:eastAsia="zh-CN"/>
    </w:rPr>
  </w:style>
  <w:style w:type="paragraph" w:styleId="ListParagraph">
    <w:name w:val="List Paragraph"/>
    <w:basedOn w:val="Normal"/>
    <w:uiPriority w:val="99"/>
    <w:qFormat/>
    <w:rsid w:val="00855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ED0665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ED0665A1.dot</Template>
  <TotalTime>8</TotalTime>
  <Pages>5</Pages>
  <Words>1441</Words>
  <Characters>8215</Characters>
  <Application>Microsoft Office Word</Application>
  <DocSecurity>0</DocSecurity>
  <Lines>68</Lines>
  <Paragraphs>19</Paragraphs>
  <ScaleCrop>false</ScaleCrop>
  <Company>WIPO</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STLT/A/5/</dc:title>
  <dc:subject/>
  <dc:creator>BOU LLORET Amparo</dc:creator>
  <cp:keywords/>
  <dc:description/>
  <cp:lastModifiedBy>MARIN-CUDRAZ DAVI Nicoletta</cp:lastModifiedBy>
  <cp:revision>3</cp:revision>
  <cp:lastPrinted>2013-07-04T09:18:00Z</cp:lastPrinted>
  <dcterms:created xsi:type="dcterms:W3CDTF">2013-07-04T09:50:00Z</dcterms:created>
  <dcterms:modified xsi:type="dcterms:W3CDTF">2013-07-09T08:20:00Z</dcterms:modified>
</cp:coreProperties>
</file>