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CC1" w:rsidRPr="003B5630" w:rsidRDefault="008B14EA" w:rsidP="008B14EA">
      <w:pPr>
        <w:spacing w:after="120"/>
        <w:jc w:val="right"/>
        <w:rPr>
          <w:lang w:val="es-419"/>
        </w:rPr>
      </w:pPr>
      <w:bookmarkStart w:id="0" w:name="_GoBack"/>
      <w:bookmarkEnd w:id="0"/>
      <w:r w:rsidRPr="003B5630">
        <w:rPr>
          <w:noProof/>
          <w:lang w:val="en-US" w:eastAsia="en-US"/>
        </w:rPr>
        <w:drawing>
          <wp:inline distT="0" distB="0" distL="0" distR="0" wp14:anchorId="480DD030" wp14:editId="54F8A085">
            <wp:extent cx="3014550" cy="1332000"/>
            <wp:effectExtent l="0" t="0" r="0" b="1905"/>
            <wp:docPr id="2" name="Picture 2" descr="Las líneas curvas ascendentes del logotipo de la Organización Mundial de la Propiedad Intelectual evocan el progreso humano impulsado por la innovación y la creatividad." title="WIPO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IPO_logo_S.png"/>
                    <pic:cNvPicPr/>
                  </pic:nvPicPr>
                  <pic:blipFill rotWithShape="1">
                    <a:blip r:embed="rId7">
                      <a:extLst>
                        <a:ext uri="{28A0092B-C50C-407E-A947-70E740481C1C}">
                          <a14:useLocalDpi xmlns:a14="http://schemas.microsoft.com/office/drawing/2010/main" val="0"/>
                        </a:ext>
                      </a:extLst>
                    </a:blip>
                    <a:srcRect b="5603"/>
                    <a:stretch/>
                  </pic:blipFill>
                  <pic:spPr bwMode="auto">
                    <a:xfrm>
                      <a:off x="0" y="0"/>
                      <a:ext cx="3014550" cy="1332000"/>
                    </a:xfrm>
                    <a:prstGeom prst="rect">
                      <a:avLst/>
                    </a:prstGeom>
                    <a:ln>
                      <a:noFill/>
                    </a:ln>
                    <a:extLst>
                      <a:ext uri="{53640926-AAD7-44D8-BBD7-CCE9431645EC}">
                        <a14:shadowObscured xmlns:a14="http://schemas.microsoft.com/office/drawing/2010/main"/>
                      </a:ext>
                    </a:extLst>
                  </pic:spPr>
                </pic:pic>
              </a:graphicData>
            </a:graphic>
          </wp:inline>
        </w:drawing>
      </w:r>
      <w:r w:rsidR="00307787" w:rsidRPr="003B5630">
        <w:rPr>
          <w:rFonts w:ascii="Arial Black" w:hAnsi="Arial Black"/>
          <w:caps/>
          <w:noProof/>
          <w:sz w:val="15"/>
          <w:szCs w:val="15"/>
          <w:lang w:val="en-US" w:eastAsia="en-US"/>
        </w:rPr>
        <mc:AlternateContent>
          <mc:Choice Requires="wps">
            <w:drawing>
              <wp:inline distT="0" distB="0" distL="0" distR="0" wp14:anchorId="4A9A19D2" wp14:editId="14DD7BBC">
                <wp:extent cx="5935980" cy="0"/>
                <wp:effectExtent l="0" t="0" r="26670" b="19050"/>
                <wp:docPr id="3" name="Straight Connector 3"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0AC1B97A" id="Straight Connector 3"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" strokecolor="black [3040]">
                <w10:anchorlock/>
              </v:line>
            </w:pict>
          </mc:Fallback>
        </mc:AlternateContent>
      </w:r>
    </w:p>
    <w:p w:rsidR="008B2CC1" w:rsidRPr="003B5630" w:rsidRDefault="00077913" w:rsidP="008B14EA">
      <w:pPr>
        <w:jc w:val="right"/>
        <w:rPr>
          <w:rFonts w:ascii="Arial Black" w:hAnsi="Arial Black"/>
          <w:caps/>
          <w:sz w:val="15"/>
          <w:lang w:val="es-419"/>
        </w:rPr>
      </w:pPr>
      <w:r w:rsidRPr="003B5630">
        <w:rPr>
          <w:rFonts w:ascii="Arial Black" w:hAnsi="Arial Black"/>
          <w:caps/>
          <w:sz w:val="15"/>
          <w:lang w:val="es-419"/>
        </w:rPr>
        <w:t>STLT/A/14/</w:t>
      </w:r>
      <w:bookmarkStart w:id="1" w:name="Code"/>
      <w:bookmarkEnd w:id="1"/>
      <w:r w:rsidR="0048653C" w:rsidRPr="003B5630">
        <w:rPr>
          <w:rFonts w:ascii="Arial Black" w:hAnsi="Arial Black"/>
          <w:caps/>
          <w:sz w:val="15"/>
          <w:lang w:val="es-419"/>
        </w:rPr>
        <w:t>2 PROV.</w:t>
      </w:r>
    </w:p>
    <w:p w:rsidR="008B2CC1" w:rsidRPr="003B5630" w:rsidRDefault="008B14EA" w:rsidP="008B14EA">
      <w:pPr>
        <w:jc w:val="right"/>
        <w:rPr>
          <w:rFonts w:ascii="Arial Black" w:hAnsi="Arial Black"/>
          <w:caps/>
          <w:sz w:val="15"/>
          <w:lang w:val="es-419"/>
        </w:rPr>
      </w:pPr>
      <w:r w:rsidRPr="003B5630">
        <w:rPr>
          <w:rFonts w:ascii="Arial Black" w:hAnsi="Arial Black"/>
          <w:caps/>
          <w:sz w:val="15"/>
          <w:lang w:val="es-419"/>
        </w:rPr>
        <w:t xml:space="preserve">ORIGINAL: </w:t>
      </w:r>
      <w:bookmarkStart w:id="2" w:name="Original"/>
      <w:r w:rsidR="0048653C" w:rsidRPr="003B5630">
        <w:rPr>
          <w:rFonts w:ascii="Arial Black" w:hAnsi="Arial Black"/>
          <w:caps/>
          <w:sz w:val="15"/>
          <w:lang w:val="es-419"/>
        </w:rPr>
        <w:t>INGLÉS</w:t>
      </w:r>
    </w:p>
    <w:bookmarkEnd w:id="2"/>
    <w:p w:rsidR="008B2CC1" w:rsidRPr="003B5630" w:rsidRDefault="008B14EA" w:rsidP="008B14EA">
      <w:pPr>
        <w:spacing w:after="1200"/>
        <w:jc w:val="right"/>
        <w:rPr>
          <w:rFonts w:ascii="Arial Black" w:hAnsi="Arial Black"/>
          <w:caps/>
          <w:sz w:val="15"/>
          <w:lang w:val="es-419"/>
        </w:rPr>
      </w:pPr>
      <w:r w:rsidRPr="003B5630">
        <w:rPr>
          <w:rFonts w:ascii="Arial Black" w:hAnsi="Arial Black"/>
          <w:caps/>
          <w:sz w:val="15"/>
          <w:lang w:val="es-419"/>
        </w:rPr>
        <w:t xml:space="preserve">FECHA: </w:t>
      </w:r>
      <w:bookmarkStart w:id="3" w:name="Date"/>
      <w:r w:rsidR="0048653C" w:rsidRPr="003B5630">
        <w:rPr>
          <w:rFonts w:ascii="Arial Black" w:hAnsi="Arial Black"/>
          <w:caps/>
          <w:sz w:val="15"/>
          <w:lang w:val="es-419"/>
        </w:rPr>
        <w:t>5 DE NOVIEMBRE DE 2021</w:t>
      </w:r>
    </w:p>
    <w:bookmarkEnd w:id="3"/>
    <w:p w:rsidR="008B2CC1" w:rsidRPr="003B5630" w:rsidRDefault="00077913" w:rsidP="008B14EA">
      <w:pPr>
        <w:spacing w:after="600"/>
        <w:rPr>
          <w:b/>
          <w:sz w:val="28"/>
          <w:szCs w:val="28"/>
          <w:lang w:val="es-419"/>
        </w:rPr>
      </w:pPr>
      <w:r w:rsidRPr="003B5630">
        <w:rPr>
          <w:b/>
          <w:bCs/>
          <w:kern w:val="32"/>
          <w:sz w:val="28"/>
          <w:szCs w:val="32"/>
          <w:lang w:val="es-419"/>
        </w:rPr>
        <w:t>Tratado de Singapur sobre el Derecho de Marcas (STLT)</w:t>
      </w:r>
    </w:p>
    <w:p w:rsidR="001C4DD3" w:rsidRPr="003B5630" w:rsidRDefault="001C4DD3" w:rsidP="008B14EA">
      <w:pPr>
        <w:spacing w:after="720"/>
        <w:rPr>
          <w:b/>
          <w:sz w:val="28"/>
          <w:szCs w:val="28"/>
          <w:lang w:val="es-419"/>
        </w:rPr>
      </w:pPr>
      <w:r w:rsidRPr="003B5630">
        <w:rPr>
          <w:b/>
          <w:sz w:val="28"/>
          <w:szCs w:val="28"/>
          <w:lang w:val="es-419"/>
        </w:rPr>
        <w:t>Asamblea</w:t>
      </w:r>
    </w:p>
    <w:p w:rsidR="008B2CC1" w:rsidRPr="003B5630" w:rsidRDefault="00077913" w:rsidP="008B14EA">
      <w:pPr>
        <w:spacing w:after="720"/>
        <w:rPr>
          <w:b/>
          <w:sz w:val="24"/>
          <w:szCs w:val="24"/>
          <w:lang w:val="es-419"/>
        </w:rPr>
      </w:pPr>
      <w:r w:rsidRPr="003B5630">
        <w:rPr>
          <w:b/>
          <w:sz w:val="24"/>
          <w:lang w:val="es-419"/>
        </w:rPr>
        <w:t>Decimo</w:t>
      </w:r>
      <w:r w:rsidR="00650F28" w:rsidRPr="003B5630">
        <w:rPr>
          <w:b/>
          <w:sz w:val="24"/>
          <w:lang w:val="es-419"/>
        </w:rPr>
        <w:t>cuarto período de sesiones (7.º</w:t>
      </w:r>
      <w:r w:rsidR="00CF6527" w:rsidRPr="003B5630">
        <w:rPr>
          <w:b/>
          <w:sz w:val="24"/>
          <w:lang w:val="es-419"/>
        </w:rPr>
        <w:t xml:space="preserve"> </w:t>
      </w:r>
      <w:r w:rsidRPr="003B5630">
        <w:rPr>
          <w:b/>
          <w:sz w:val="24"/>
          <w:lang w:val="es-419"/>
        </w:rPr>
        <w:t>ordinario)</w:t>
      </w:r>
      <w:r w:rsidR="008B14EA" w:rsidRPr="003B5630">
        <w:rPr>
          <w:b/>
          <w:sz w:val="24"/>
          <w:szCs w:val="24"/>
          <w:lang w:val="es-419"/>
        </w:rPr>
        <w:br/>
      </w:r>
      <w:r w:rsidRPr="003B5630">
        <w:rPr>
          <w:b/>
          <w:sz w:val="24"/>
          <w:lang w:val="es-419"/>
        </w:rPr>
        <w:t>Ginebra, 4 a 8 de octubre de 2021</w:t>
      </w:r>
    </w:p>
    <w:p w:rsidR="0048653C" w:rsidRPr="003B5630" w:rsidRDefault="0048653C" w:rsidP="0048653C">
      <w:pPr>
        <w:spacing w:after="360"/>
        <w:rPr>
          <w:caps/>
          <w:sz w:val="24"/>
          <w:lang w:val="es-419"/>
        </w:rPr>
      </w:pPr>
      <w:bookmarkStart w:id="4" w:name="TitleOfDoc"/>
      <w:r w:rsidRPr="003B5630">
        <w:rPr>
          <w:caps/>
          <w:sz w:val="24"/>
          <w:lang w:val="es-419"/>
        </w:rPr>
        <w:t>PROYECTO DE INFORME</w:t>
      </w:r>
    </w:p>
    <w:p w:rsidR="0048653C" w:rsidRPr="003B5630" w:rsidRDefault="0048653C" w:rsidP="0048653C">
      <w:pPr>
        <w:spacing w:after="960"/>
        <w:rPr>
          <w:i/>
          <w:lang w:val="es-419"/>
        </w:rPr>
      </w:pPr>
      <w:bookmarkStart w:id="5" w:name="Prepared"/>
      <w:bookmarkEnd w:id="4"/>
      <w:r w:rsidRPr="003B5630">
        <w:rPr>
          <w:i/>
          <w:lang w:val="es-419"/>
        </w:rPr>
        <w:t>preparado por la Secretaría</w:t>
      </w:r>
    </w:p>
    <w:bookmarkEnd w:id="5"/>
    <w:p w:rsidR="0048653C" w:rsidRPr="003B5630" w:rsidRDefault="0048653C" w:rsidP="0048653C">
      <w:pPr>
        <w:pStyle w:val="ONUMFS"/>
        <w:rPr>
          <w:lang w:val="es-419"/>
        </w:rPr>
      </w:pPr>
      <w:r w:rsidRPr="003B5630">
        <w:rPr>
          <w:lang w:val="es-419"/>
        </w:rPr>
        <w:t>La Asamblea abordó los siguientes puntos del orden del día consolidado (documento A/62/1): 1, 2, 3, 4, 5, 6, 10.ii), 11, 12, 27, 32 y 33.</w:t>
      </w:r>
    </w:p>
    <w:p w:rsidR="0048653C" w:rsidRPr="003B5630" w:rsidRDefault="0048653C" w:rsidP="0048653C">
      <w:pPr>
        <w:pStyle w:val="ONUMFS"/>
        <w:rPr>
          <w:lang w:val="es-419"/>
        </w:rPr>
      </w:pPr>
      <w:r w:rsidRPr="003B5630">
        <w:rPr>
          <w:lang w:val="es-419"/>
        </w:rPr>
        <w:t>Los informes sobre los puntos mencionados, excepto el punto 27, constan en el proyecto de informe general (documento A/62/13 Prov.).</w:t>
      </w:r>
    </w:p>
    <w:p w:rsidR="0048653C" w:rsidRPr="003B5630" w:rsidRDefault="0048653C" w:rsidP="0048653C">
      <w:pPr>
        <w:pStyle w:val="ONUMFS"/>
        <w:rPr>
          <w:lang w:val="es-419"/>
        </w:rPr>
      </w:pPr>
      <w:r w:rsidRPr="003B5630">
        <w:rPr>
          <w:lang w:val="es-419"/>
        </w:rPr>
        <w:t>El informe sobre el punto 27 consta en el presente documento.</w:t>
      </w:r>
    </w:p>
    <w:p w:rsidR="0048653C" w:rsidRPr="003B5630" w:rsidRDefault="00E61948" w:rsidP="0048653C">
      <w:pPr>
        <w:pStyle w:val="ONUMFS"/>
        <w:rPr>
          <w:lang w:val="es-419"/>
        </w:rPr>
      </w:pPr>
      <w:r w:rsidRPr="003B5630">
        <w:rPr>
          <w:lang w:val="es-419"/>
        </w:rPr>
        <w:t>Fue elegida presidenta</w:t>
      </w:r>
      <w:r w:rsidR="0048653C" w:rsidRPr="003B5630">
        <w:rPr>
          <w:lang w:val="es-419"/>
        </w:rPr>
        <w:t xml:space="preserve"> de la Asamblea </w:t>
      </w:r>
      <w:r w:rsidRPr="003B5630">
        <w:rPr>
          <w:lang w:val="es-419"/>
        </w:rPr>
        <w:t>la Sra. María Lu</w:t>
      </w:r>
      <w:r w:rsidR="00D13792" w:rsidRPr="003B5630">
        <w:rPr>
          <w:lang w:val="es-419"/>
        </w:rPr>
        <w:t>cía</w:t>
      </w:r>
      <w:r w:rsidRPr="003B5630">
        <w:rPr>
          <w:lang w:val="es-419"/>
        </w:rPr>
        <w:t xml:space="preserve"> Estrada (Uruguay)</w:t>
      </w:r>
      <w:r w:rsidR="0048653C" w:rsidRPr="003B5630">
        <w:rPr>
          <w:lang w:val="es-419"/>
        </w:rPr>
        <w:t>.</w:t>
      </w:r>
    </w:p>
    <w:p w:rsidR="0048653C" w:rsidRPr="003B5630" w:rsidRDefault="0048653C" w:rsidP="0048653C">
      <w:pPr>
        <w:spacing w:before="480"/>
        <w:outlineLvl w:val="2"/>
        <w:rPr>
          <w:lang w:val="es-419"/>
        </w:rPr>
      </w:pPr>
      <w:r w:rsidRPr="003B5630">
        <w:rPr>
          <w:lang w:val="es-419"/>
        </w:rPr>
        <w:br w:type="page"/>
      </w:r>
      <w:r w:rsidRPr="003B5630">
        <w:rPr>
          <w:lang w:val="es-419"/>
        </w:rPr>
        <w:lastRenderedPageBreak/>
        <w:t>PUNTO 27 DEL ORDEN DEL DÍA CONSOLIDADO</w:t>
      </w:r>
    </w:p>
    <w:p w:rsidR="0048653C" w:rsidRPr="003B5630" w:rsidRDefault="0048653C" w:rsidP="0048653C">
      <w:pPr>
        <w:spacing w:before="240" w:after="240"/>
        <w:outlineLvl w:val="2"/>
        <w:rPr>
          <w:bCs/>
          <w:caps/>
          <w:szCs w:val="26"/>
          <w:lang w:val="es-419"/>
        </w:rPr>
      </w:pPr>
      <w:r w:rsidRPr="003B5630">
        <w:rPr>
          <w:lang w:val="es-419"/>
        </w:rPr>
        <w:t>TRATADO DE SINGAPUR SOBRE EL DERECHO DE MARCAS (STLT)</w:t>
      </w:r>
    </w:p>
    <w:p w:rsidR="0048653C" w:rsidRPr="003B5630" w:rsidRDefault="0048653C" w:rsidP="002911C0">
      <w:pPr>
        <w:pStyle w:val="ONUMFS"/>
        <w:rPr>
          <w:lang w:val="es-419"/>
        </w:rPr>
      </w:pPr>
      <w:r w:rsidRPr="003B5630">
        <w:rPr>
          <w:lang w:val="es-419"/>
        </w:rPr>
        <w:t xml:space="preserve">Los debates se basaron en el documento </w:t>
      </w:r>
      <w:hyperlink r:id="rId8" w:history="1">
        <w:r w:rsidR="00BC74A0" w:rsidRPr="003B5630">
          <w:rPr>
            <w:rStyle w:val="Hyperlink"/>
            <w:color w:val="auto"/>
            <w:u w:val="none"/>
            <w:lang w:val="es-419"/>
          </w:rPr>
          <w:t>STLT/A/14/1</w:t>
        </w:r>
      </w:hyperlink>
      <w:r w:rsidRPr="003B5630">
        <w:rPr>
          <w:lang w:val="es-419"/>
        </w:rPr>
        <w:t>.</w:t>
      </w:r>
    </w:p>
    <w:p w:rsidR="002911C0" w:rsidRPr="003B5630" w:rsidRDefault="002911C0" w:rsidP="002911C0">
      <w:pPr>
        <w:pStyle w:val="ONUMFS"/>
        <w:rPr>
          <w:lang w:val="es-419"/>
        </w:rPr>
      </w:pPr>
      <w:r w:rsidRPr="003B5630">
        <w:rPr>
          <w:lang w:val="es-419"/>
        </w:rPr>
        <w:t>La presidenta abrió los debates y dio la bienvenida a todas las delegaciones participantes en el decimocuarto período de sesiones de la Asamblea del Tratado de Singapur. Además, dio la bienvenida a dos nuevas Partes Contratantes del Tratado de Singapur sobre el Derecho de Marcas (STLT) (en lo sucesivo, "Tratado de Singapur"), a saber, Trinidad y Tabago, y Uruguay, con lo que el número total de Partes Contratantes pasa a ser de 51.</w:t>
      </w:r>
    </w:p>
    <w:p w:rsidR="002911C0" w:rsidRPr="003B5630" w:rsidRDefault="002911C0" w:rsidP="002911C0">
      <w:pPr>
        <w:pStyle w:val="ONUMFS"/>
        <w:rPr>
          <w:lang w:val="es-419"/>
        </w:rPr>
      </w:pPr>
      <w:r w:rsidRPr="003B5630">
        <w:rPr>
          <w:lang w:val="es-419"/>
        </w:rPr>
        <w:t>La Secretaría presentó el documento y recordó que en su Resolución suplementaria al Tratado de Singapur, la Conferencia Diplomática para la Adopción de un Tratado revisado sobre el Derecho de Marcas, celebrada en Singapur en marzo de 2006, solicitó a la Asamblea del Tratado de Singapur que supervisara y evaluara, en cada período ordinario de sesiones, la marcha de la asistencia relacionada con la labor de aplicación y con los beneficios resultantes de la misma. En su primer período ordinario de sesiones, celebrado en Ginebra del 22 de septiembre al 1 de octubre de 2009, la Asamblea del Tratado de Singapur acordó que las Partes Contratantes comunicarían a la Secretaría toda información sobre las actividades de asistencia técnica relacionadas con la aplicación del STLT y que la Secretaría recopilaría la información recibida y la presentaría, junto con toda la información pertinente de sus propias actividades de asistencia técnica, en el siguiente período ordinario de sesiones de la Asamblea del Tratado de Singapur. Por consiguiente, el documento STLT/A/14/1 contiene la información necesaria en relación con el período comprendido entre junio de 2019 y mayo de 2021. La información se presenta en dos amplias categorías de actividades, a saber, asistencia en el establecimiento del marco jurídico para la aplicación del Tratado, y actividades de sensibilización e información.</w:t>
      </w:r>
    </w:p>
    <w:p w:rsidR="002911C0" w:rsidRPr="003B5630" w:rsidRDefault="002911C0" w:rsidP="002911C0">
      <w:pPr>
        <w:pStyle w:val="ONUMFS"/>
        <w:tabs>
          <w:tab w:val="clear" w:pos="567"/>
        </w:tabs>
        <w:spacing w:after="600"/>
        <w:ind w:left="567"/>
        <w:rPr>
          <w:lang w:val="es-419"/>
        </w:rPr>
      </w:pPr>
      <w:r w:rsidRPr="003B5630">
        <w:rPr>
          <w:lang w:val="es-419"/>
        </w:rPr>
        <w:t>La Asamblea del Tratado de Singapur tomó nota de la información sobre “Asistencia técnica y cooperación en relación con el Tratado de Singapur sobre el Derecho de Marcas (STLT)” (documento STLT/A/14/1).</w:t>
      </w:r>
    </w:p>
    <w:p w:rsidR="00152CEA" w:rsidRPr="003B5630" w:rsidRDefault="002911C0" w:rsidP="002911C0">
      <w:pPr>
        <w:pStyle w:val="Endofdocument-Annex"/>
        <w:rPr>
          <w:lang w:val="es-419"/>
        </w:rPr>
      </w:pPr>
      <w:r w:rsidRPr="003B5630">
        <w:rPr>
          <w:lang w:val="es-419"/>
        </w:rPr>
        <w:t>[Fin del documento]</w:t>
      </w:r>
    </w:p>
    <w:sectPr w:rsidR="00152CEA" w:rsidRPr="003B5630" w:rsidSect="0048653C">
      <w:headerReference w:type="default" r:id="rId9"/>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653C" w:rsidRDefault="0048653C">
      <w:r>
        <w:separator/>
      </w:r>
    </w:p>
  </w:endnote>
  <w:endnote w:type="continuationSeparator" w:id="0">
    <w:p w:rsidR="0048653C" w:rsidRPr="009D30E6" w:rsidRDefault="0048653C" w:rsidP="007E663E">
      <w:pPr>
        <w:rPr>
          <w:sz w:val="17"/>
          <w:szCs w:val="17"/>
        </w:rPr>
      </w:pPr>
      <w:r w:rsidRPr="009D30E6">
        <w:rPr>
          <w:sz w:val="17"/>
          <w:szCs w:val="17"/>
        </w:rPr>
        <w:separator/>
      </w:r>
    </w:p>
    <w:p w:rsidR="0048653C" w:rsidRPr="007E663E" w:rsidRDefault="0048653C" w:rsidP="007E663E">
      <w:pPr>
        <w:spacing w:after="60"/>
        <w:rPr>
          <w:sz w:val="17"/>
          <w:szCs w:val="17"/>
        </w:rPr>
      </w:pPr>
      <w:r>
        <w:rPr>
          <w:sz w:val="17"/>
        </w:rPr>
        <w:t>[Continuación de la nota de la página anterior]</w:t>
      </w:r>
    </w:p>
  </w:endnote>
  <w:endnote w:type="continuationNotice" w:id="1">
    <w:p w:rsidR="0048653C" w:rsidRPr="007E663E" w:rsidRDefault="0048653C" w:rsidP="007E663E">
      <w:pPr>
        <w:spacing w:before="60"/>
        <w:jc w:val="right"/>
        <w:rPr>
          <w:sz w:val="17"/>
          <w:szCs w:val="17"/>
        </w:rPr>
      </w:pPr>
      <w:r w:rsidRPr="0075377A">
        <w:rPr>
          <w:sz w:val="17"/>
          <w:szCs w:val="17"/>
        </w:rPr>
        <w:t>[Sigue la nota en la pá</w:t>
      </w:r>
      <w:r>
        <w:rPr>
          <w:sz w:val="17"/>
          <w:szCs w:val="17"/>
        </w:rPr>
        <w:t>gina siguiente]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00000000"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00000000"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653C" w:rsidRDefault="0048653C">
      <w:r>
        <w:separator/>
      </w:r>
    </w:p>
  </w:footnote>
  <w:footnote w:type="continuationSeparator" w:id="0">
    <w:p w:rsidR="0048653C" w:rsidRPr="009D30E6" w:rsidRDefault="0048653C" w:rsidP="007E663E">
      <w:pPr>
        <w:rPr>
          <w:sz w:val="17"/>
          <w:szCs w:val="17"/>
        </w:rPr>
      </w:pPr>
      <w:r w:rsidRPr="009D30E6">
        <w:rPr>
          <w:sz w:val="17"/>
          <w:szCs w:val="17"/>
        </w:rPr>
        <w:separator/>
      </w:r>
    </w:p>
    <w:p w:rsidR="0048653C" w:rsidRPr="007E663E" w:rsidRDefault="0048653C" w:rsidP="007E663E">
      <w:pPr>
        <w:spacing w:after="60"/>
        <w:rPr>
          <w:sz w:val="17"/>
          <w:szCs w:val="17"/>
        </w:rPr>
      </w:pPr>
      <w:r>
        <w:rPr>
          <w:sz w:val="17"/>
        </w:rPr>
        <w:t>[Continuación de la nota de la página anterior]</w:t>
      </w:r>
    </w:p>
  </w:footnote>
  <w:footnote w:type="continuationNotice" w:id="1">
    <w:p w:rsidR="0048653C" w:rsidRPr="007E663E" w:rsidRDefault="0048653C" w:rsidP="007E663E">
      <w:pPr>
        <w:spacing w:before="60"/>
        <w:jc w:val="right"/>
        <w:rPr>
          <w:sz w:val="17"/>
          <w:szCs w:val="17"/>
        </w:rPr>
      </w:pPr>
      <w:r w:rsidRPr="007E663E">
        <w:rPr>
          <w:sz w:val="17"/>
          <w:szCs w:val="17"/>
        </w:rPr>
        <w:t>[Sigue la nota en la página siguiente]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4474" w:rsidRDefault="0048653C" w:rsidP="00477D6B">
    <w:pPr>
      <w:jc w:val="right"/>
    </w:pPr>
    <w:bookmarkStart w:id="6" w:name="Code2"/>
    <w:bookmarkEnd w:id="6"/>
    <w:r>
      <w:t>STLT/A/14/2 Prov.</w:t>
    </w:r>
  </w:p>
  <w:p w:rsidR="00F84474" w:rsidRDefault="00F84474" w:rsidP="00477D6B">
    <w:pPr>
      <w:jc w:val="right"/>
    </w:pPr>
    <w:r>
      <w:t xml:space="preserve">página </w:t>
    </w:r>
    <w:r>
      <w:fldChar w:fldCharType="begin"/>
    </w:r>
    <w:r>
      <w:instrText xml:space="preserve"> PAGE  \* MERGEFORMAT </w:instrText>
    </w:r>
    <w:r>
      <w:fldChar w:fldCharType="separate"/>
    </w:r>
    <w:r w:rsidR="00554BC7">
      <w:rPr>
        <w:noProof/>
      </w:rPr>
      <w:t>2</w:t>
    </w:r>
    <w:r>
      <w:fldChar w:fldCharType="end"/>
    </w:r>
  </w:p>
  <w:p w:rsidR="00F84474" w:rsidRDefault="00F84474" w:rsidP="00477D6B">
    <w:pPr>
      <w:jc w:val="right"/>
    </w:pPr>
  </w:p>
  <w:p w:rsidR="004F7418" w:rsidRDefault="004F7418" w:rsidP="00477D6B">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DCC6DE4"/>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CF28B75E"/>
    <w:lvl w:ilvl="0">
      <w:start w:val="5"/>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653C"/>
    <w:rsid w:val="00077913"/>
    <w:rsid w:val="000E3BB3"/>
    <w:rsid w:val="000F5E56"/>
    <w:rsid w:val="001362EE"/>
    <w:rsid w:val="00152CEA"/>
    <w:rsid w:val="001832A6"/>
    <w:rsid w:val="001C4DD3"/>
    <w:rsid w:val="002634C4"/>
    <w:rsid w:val="002911C0"/>
    <w:rsid w:val="002F4E68"/>
    <w:rsid w:val="00307787"/>
    <w:rsid w:val="00354647"/>
    <w:rsid w:val="00377273"/>
    <w:rsid w:val="003845C1"/>
    <w:rsid w:val="00387287"/>
    <w:rsid w:val="003B5630"/>
    <w:rsid w:val="003D41D4"/>
    <w:rsid w:val="00423E3E"/>
    <w:rsid w:val="00427AF4"/>
    <w:rsid w:val="0045231F"/>
    <w:rsid w:val="004647DA"/>
    <w:rsid w:val="00477D6B"/>
    <w:rsid w:val="0048653C"/>
    <w:rsid w:val="004A6C37"/>
    <w:rsid w:val="004F7418"/>
    <w:rsid w:val="0055013B"/>
    <w:rsid w:val="00554BC7"/>
    <w:rsid w:val="0056224D"/>
    <w:rsid w:val="00571B99"/>
    <w:rsid w:val="005D64EC"/>
    <w:rsid w:val="00605827"/>
    <w:rsid w:val="00650F28"/>
    <w:rsid w:val="00675021"/>
    <w:rsid w:val="006A06C6"/>
    <w:rsid w:val="007E63AC"/>
    <w:rsid w:val="007E663E"/>
    <w:rsid w:val="00815082"/>
    <w:rsid w:val="00843582"/>
    <w:rsid w:val="008B14EA"/>
    <w:rsid w:val="008B2CC1"/>
    <w:rsid w:val="0090731E"/>
    <w:rsid w:val="00966A22"/>
    <w:rsid w:val="00972F03"/>
    <w:rsid w:val="009A0C8B"/>
    <w:rsid w:val="009B6241"/>
    <w:rsid w:val="00A16FC0"/>
    <w:rsid w:val="00A32C9E"/>
    <w:rsid w:val="00A7453D"/>
    <w:rsid w:val="00AB613D"/>
    <w:rsid w:val="00B65A0A"/>
    <w:rsid w:val="00B72D36"/>
    <w:rsid w:val="00BC4164"/>
    <w:rsid w:val="00BC69A3"/>
    <w:rsid w:val="00BC74A0"/>
    <w:rsid w:val="00BD2DCC"/>
    <w:rsid w:val="00BE1A8C"/>
    <w:rsid w:val="00C06472"/>
    <w:rsid w:val="00C90559"/>
    <w:rsid w:val="00CF27AA"/>
    <w:rsid w:val="00CF6527"/>
    <w:rsid w:val="00D13792"/>
    <w:rsid w:val="00D36B79"/>
    <w:rsid w:val="00D40CF0"/>
    <w:rsid w:val="00D56C7C"/>
    <w:rsid w:val="00D71B4D"/>
    <w:rsid w:val="00D90289"/>
    <w:rsid w:val="00D93D55"/>
    <w:rsid w:val="00E45C84"/>
    <w:rsid w:val="00E504E5"/>
    <w:rsid w:val="00E61948"/>
    <w:rsid w:val="00E73ABF"/>
    <w:rsid w:val="00EB7A3E"/>
    <w:rsid w:val="00EC401A"/>
    <w:rsid w:val="00EF530A"/>
    <w:rsid w:val="00EF6622"/>
    <w:rsid w:val="00F55408"/>
    <w:rsid w:val="00F66152"/>
    <w:rsid w:val="00F80845"/>
    <w:rsid w:val="00F84474"/>
    <w:rsid w:val="00F87575"/>
  </w:rsids>
  <m:mathPr>
    <m:mathFont m:val="Cambria Math"/>
    <m:brkBin m:val="before"/>
    <m:brkBinSub m:val="--"/>
    <m:smallFrac m:val="0"/>
    <m:dispDef/>
    <m:lMargin m:val="0"/>
    <m:rMargin m:val="0"/>
    <m:defJc m:val="centerGroup"/>
    <m:wrapIndent m:val="1440"/>
    <m:intLim m:val="subSup"/>
    <m:naryLim m:val="undOvr"/>
  </m:mathPr>
  <w:themeFontLang w:val="fr-CH"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FF90062E-3C3A-4565-8B3A-383F29B010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2C9E"/>
    <w:rPr>
      <w:rFonts w:ascii="Arial" w:eastAsia="SimSun" w:hAnsi="Arial" w:cs="Arial"/>
      <w:sz w:val="22"/>
      <w:lang w:val="es-ES" w:eastAsia="zh-CN"/>
    </w:rPr>
  </w:style>
  <w:style w:type="paragraph" w:styleId="Heading1">
    <w:name w:val="heading 1"/>
    <w:basedOn w:val="Normal"/>
    <w:next w:val="Normal"/>
    <w:qFormat/>
    <w:rsid w:val="00A32C9E"/>
    <w:pPr>
      <w:keepNext/>
      <w:spacing w:before="240" w:after="60"/>
      <w:outlineLvl w:val="0"/>
    </w:pPr>
    <w:rPr>
      <w:b/>
      <w:bCs/>
      <w:caps/>
      <w:kern w:val="32"/>
      <w:szCs w:val="32"/>
    </w:rPr>
  </w:style>
  <w:style w:type="paragraph" w:styleId="Heading2">
    <w:name w:val="heading 2"/>
    <w:basedOn w:val="Normal"/>
    <w:next w:val="Normal"/>
    <w:qFormat/>
    <w:rsid w:val="00A32C9E"/>
    <w:pPr>
      <w:keepNext/>
      <w:spacing w:before="240" w:after="60"/>
      <w:outlineLvl w:val="1"/>
    </w:pPr>
    <w:rPr>
      <w:bCs/>
      <w:iCs/>
      <w:caps/>
      <w:szCs w:val="28"/>
    </w:rPr>
  </w:style>
  <w:style w:type="paragraph" w:styleId="Heading3">
    <w:name w:val="heading 3"/>
    <w:basedOn w:val="Normal"/>
    <w:next w:val="Normal"/>
    <w:qFormat/>
    <w:rsid w:val="00A32C9E"/>
    <w:pPr>
      <w:keepNext/>
      <w:spacing w:before="240" w:after="60"/>
      <w:outlineLvl w:val="2"/>
    </w:pPr>
    <w:rPr>
      <w:bCs/>
      <w:szCs w:val="26"/>
      <w:u w:val="single"/>
    </w:rPr>
  </w:style>
  <w:style w:type="paragraph" w:styleId="Heading4">
    <w:name w:val="heading 4"/>
    <w:basedOn w:val="Normal"/>
    <w:next w:val="Normal"/>
    <w:qFormat/>
    <w:rsid w:val="00A32C9E"/>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32C9E"/>
    <w:pPr>
      <w:spacing w:after="220"/>
    </w:pPr>
  </w:style>
  <w:style w:type="paragraph" w:styleId="Caption">
    <w:name w:val="caption"/>
    <w:basedOn w:val="Normal"/>
    <w:next w:val="Normal"/>
    <w:qFormat/>
    <w:rsid w:val="00A32C9E"/>
    <w:rPr>
      <w:b/>
      <w:bCs/>
      <w:sz w:val="18"/>
    </w:rPr>
  </w:style>
  <w:style w:type="paragraph" w:styleId="CommentText">
    <w:name w:val="annotation text"/>
    <w:basedOn w:val="Normal"/>
    <w:semiHidden/>
    <w:rsid w:val="00A32C9E"/>
    <w:rPr>
      <w:sz w:val="18"/>
    </w:rPr>
  </w:style>
  <w:style w:type="paragraph" w:styleId="EndnoteText">
    <w:name w:val="endnote text"/>
    <w:basedOn w:val="Normal"/>
    <w:semiHidden/>
    <w:rsid w:val="00A32C9E"/>
    <w:rPr>
      <w:sz w:val="18"/>
    </w:rPr>
  </w:style>
  <w:style w:type="paragraph" w:styleId="Footer">
    <w:name w:val="footer"/>
    <w:basedOn w:val="Normal"/>
    <w:semiHidden/>
    <w:rsid w:val="00A32C9E"/>
    <w:pPr>
      <w:tabs>
        <w:tab w:val="center" w:pos="4320"/>
        <w:tab w:val="right" w:pos="8640"/>
      </w:tabs>
    </w:pPr>
  </w:style>
  <w:style w:type="paragraph" w:styleId="FootnoteText">
    <w:name w:val="footnote text"/>
    <w:basedOn w:val="Normal"/>
    <w:semiHidden/>
    <w:rsid w:val="00A32C9E"/>
    <w:rPr>
      <w:sz w:val="18"/>
    </w:rPr>
  </w:style>
  <w:style w:type="paragraph" w:customStyle="1" w:styleId="Endofdocument-Annex">
    <w:name w:val="[End of document - Annex]"/>
    <w:basedOn w:val="Normal"/>
    <w:rsid w:val="00815082"/>
    <w:pPr>
      <w:ind w:left="5534"/>
    </w:pPr>
    <w:rPr>
      <w:lang w:val="en-US"/>
    </w:rPr>
  </w:style>
  <w:style w:type="paragraph" w:styleId="Header">
    <w:name w:val="header"/>
    <w:basedOn w:val="Normal"/>
    <w:semiHidden/>
    <w:rsid w:val="00A32C9E"/>
    <w:pPr>
      <w:tabs>
        <w:tab w:val="center" w:pos="4536"/>
        <w:tab w:val="right" w:pos="9072"/>
      </w:tabs>
    </w:pPr>
  </w:style>
  <w:style w:type="paragraph" w:styleId="ListNumber">
    <w:name w:val="List Number"/>
    <w:basedOn w:val="Normal"/>
    <w:semiHidden/>
    <w:rsid w:val="00A32C9E"/>
    <w:pPr>
      <w:numPr>
        <w:numId w:val="4"/>
      </w:numPr>
    </w:pPr>
  </w:style>
  <w:style w:type="paragraph" w:customStyle="1" w:styleId="ONUME">
    <w:name w:val="ONUM E"/>
    <w:basedOn w:val="BodyText"/>
    <w:rsid w:val="00A32C9E"/>
    <w:pPr>
      <w:numPr>
        <w:numId w:val="5"/>
      </w:numPr>
    </w:pPr>
  </w:style>
  <w:style w:type="paragraph" w:customStyle="1" w:styleId="ONUMFS">
    <w:name w:val="ONUM FS"/>
    <w:basedOn w:val="BodyText"/>
    <w:rsid w:val="00A32C9E"/>
    <w:pPr>
      <w:numPr>
        <w:numId w:val="6"/>
      </w:numPr>
    </w:pPr>
  </w:style>
  <w:style w:type="paragraph" w:styleId="Salutation">
    <w:name w:val="Salutation"/>
    <w:basedOn w:val="Normal"/>
    <w:next w:val="Normal"/>
    <w:semiHidden/>
    <w:rsid w:val="00A32C9E"/>
  </w:style>
  <w:style w:type="paragraph" w:styleId="Signature">
    <w:name w:val="Signature"/>
    <w:basedOn w:val="Normal"/>
    <w:semiHidden/>
    <w:rsid w:val="00A32C9E"/>
    <w:pPr>
      <w:ind w:left="5250"/>
    </w:pPr>
  </w:style>
  <w:style w:type="character" w:styleId="Hyperlink">
    <w:name w:val="Hyperlink"/>
    <w:basedOn w:val="DefaultParagraphFont"/>
    <w:unhideWhenUsed/>
    <w:rsid w:val="00BC74A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wipo.int/about-wipo/es/assemblies/2021/a_62/doc_details.jsp?doc_id=544321"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O:\WORD2010\WIPO%20TEMPLATES\Meetings\Assembly\STLT_A_14%20(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STLT_A_14 (S)</Template>
  <TotalTime>11</TotalTime>
  <Pages>2</Pages>
  <Words>464</Words>
  <Characters>2423</Characters>
  <Application>Microsoft Office Word</Application>
  <DocSecurity>0</DocSecurity>
  <Lines>46</Lines>
  <Paragraphs>19</Paragraphs>
  <ScaleCrop>false</ScaleCrop>
  <HeadingPairs>
    <vt:vector size="2" baseType="variant">
      <vt:variant>
        <vt:lpstr>Title</vt:lpstr>
      </vt:variant>
      <vt:variant>
        <vt:i4>1</vt:i4>
      </vt:variant>
    </vt:vector>
  </HeadingPairs>
  <TitlesOfParts>
    <vt:vector size="1" baseType="lpstr">
      <vt:lpstr>STLT/A/14/2 Prov.</vt:lpstr>
    </vt:vector>
  </TitlesOfParts>
  <Company>WIPO</Company>
  <LinksUpToDate>false</LinksUpToDate>
  <CharactersWithSpaces>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STLT/A/14/2 Prov.</dc:title>
  <dc:creator>WIPO</dc:creator>
  <cp:keywords>PUBLIC</cp:keywords>
  <cp:lastModifiedBy>HÄFLIGER Patience</cp:lastModifiedBy>
  <cp:revision>9</cp:revision>
  <dcterms:created xsi:type="dcterms:W3CDTF">2021-10-04T12:58:00Z</dcterms:created>
  <dcterms:modified xsi:type="dcterms:W3CDTF">2021-11-02T16:14:00Z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97c1e2a3-8e7f-43d2-be5f-27d34b55462c</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