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DC0BA7" w:rsidP="006E4F5F">
      <w:pPr>
        <w:widowControl w:val="0"/>
        <w:jc w:val="right"/>
        <w:rPr>
          <w:b/>
          <w:sz w:val="2"/>
          <w:szCs w:val="40"/>
        </w:rPr>
      </w:pPr>
      <w:bookmarkStart w:id="0" w:name="_GoBack"/>
      <w:bookmarkEnd w:id="0"/>
      <w:r>
        <w:rPr>
          <w:b/>
          <w:sz w:val="40"/>
          <w:szCs w:val="40"/>
        </w:rPr>
        <w:t>S</w:t>
      </w:r>
    </w:p>
    <w:p w:rsidR="006E4F5F" w:rsidRDefault="00DC0BA7" w:rsidP="006E4F5F">
      <w:pPr>
        <w:spacing w:line="360" w:lineRule="auto"/>
        <w:ind w:left="4592"/>
        <w:rPr>
          <w:rFonts w:ascii="Arial Black" w:hAnsi="Arial Black"/>
          <w:caps/>
          <w:sz w:val="15"/>
        </w:rPr>
      </w:pPr>
      <w:r>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56479" w:rsidRDefault="006B0DF8" w:rsidP="00AA2DD4">
      <w:pPr>
        <w:pBdr>
          <w:top w:val="single" w:sz="4" w:space="10" w:color="auto"/>
        </w:pBdr>
        <w:spacing w:before="120"/>
        <w:jc w:val="right"/>
        <w:rPr>
          <w:rFonts w:ascii="Arial Black" w:hAnsi="Arial Black"/>
          <w:b/>
          <w:caps/>
          <w:sz w:val="15"/>
          <w:lang w:val="es-ES_tradnl"/>
        </w:rPr>
      </w:pPr>
      <w:r w:rsidRPr="006B0DF8">
        <w:rPr>
          <w:rFonts w:ascii="Arial Black" w:hAnsi="Arial Black"/>
          <w:b/>
          <w:caps/>
          <w:sz w:val="15"/>
          <w:lang w:val="es-ES_tradnl"/>
        </w:rPr>
        <w:t>PCT/A/51</w:t>
      </w:r>
      <w:r w:rsidR="006E4F5F" w:rsidRPr="00B56479">
        <w:rPr>
          <w:rFonts w:ascii="Arial Black" w:hAnsi="Arial Black"/>
          <w:b/>
          <w:caps/>
          <w:sz w:val="15"/>
          <w:lang w:val="es-ES_tradnl"/>
        </w:rPr>
        <w:t>/</w:t>
      </w:r>
      <w:bookmarkStart w:id="1" w:name="Code"/>
      <w:bookmarkEnd w:id="1"/>
      <w:r w:rsidR="003E4127">
        <w:rPr>
          <w:rFonts w:ascii="Arial Black" w:hAnsi="Arial Black"/>
          <w:b/>
          <w:caps/>
          <w:sz w:val="15"/>
          <w:lang w:val="es-ES_tradnl"/>
        </w:rPr>
        <w:t>3</w:t>
      </w:r>
    </w:p>
    <w:p w:rsidR="006E4F5F" w:rsidRPr="00B56479" w:rsidRDefault="006E4F5F" w:rsidP="006E4F5F">
      <w:pPr>
        <w:jc w:val="right"/>
        <w:rPr>
          <w:rFonts w:ascii="Arial Black" w:hAnsi="Arial Black"/>
          <w:b/>
          <w:caps/>
          <w:sz w:val="15"/>
          <w:lang w:val="es-ES_tradnl"/>
        </w:rPr>
      </w:pPr>
      <w:r w:rsidRPr="00B56479">
        <w:rPr>
          <w:rFonts w:ascii="Arial Black" w:hAnsi="Arial Black"/>
          <w:b/>
          <w:caps/>
          <w:sz w:val="15"/>
          <w:lang w:val="es-ES_tradnl"/>
        </w:rPr>
        <w:t>ORIGINAL:</w:t>
      </w:r>
      <w:r w:rsidR="00024D48">
        <w:rPr>
          <w:rFonts w:ascii="Arial Black" w:hAnsi="Arial Black"/>
          <w:b/>
          <w:caps/>
          <w:sz w:val="15"/>
          <w:lang w:val="es-ES_tradnl"/>
        </w:rPr>
        <w:t xml:space="preserve"> </w:t>
      </w:r>
      <w:bookmarkStart w:id="2" w:name="Original"/>
      <w:bookmarkEnd w:id="2"/>
      <w:r w:rsidR="003E4127">
        <w:rPr>
          <w:rFonts w:ascii="Arial Black" w:hAnsi="Arial Black"/>
          <w:b/>
          <w:caps/>
          <w:sz w:val="15"/>
          <w:lang w:val="es-ES_tradnl"/>
        </w:rPr>
        <w:t>INGLÉS</w:t>
      </w:r>
    </w:p>
    <w:p w:rsidR="006E4F5F" w:rsidRPr="00B56479" w:rsidRDefault="00DC0BA7" w:rsidP="006E4F5F">
      <w:pPr>
        <w:spacing w:line="1680" w:lineRule="auto"/>
        <w:jc w:val="right"/>
        <w:rPr>
          <w:rFonts w:ascii="Arial Black" w:hAnsi="Arial Black"/>
          <w:b/>
          <w:caps/>
          <w:sz w:val="15"/>
          <w:lang w:val="es-ES_tradnl"/>
        </w:rPr>
      </w:pPr>
      <w:r w:rsidRPr="00B56479">
        <w:rPr>
          <w:rFonts w:ascii="Arial Black" w:hAnsi="Arial Black"/>
          <w:b/>
          <w:caps/>
          <w:sz w:val="15"/>
          <w:lang w:val="es-ES_tradnl"/>
        </w:rPr>
        <w:t>Fecha</w:t>
      </w:r>
      <w:r w:rsidR="006E4F5F" w:rsidRPr="00B56479">
        <w:rPr>
          <w:rFonts w:ascii="Arial Black" w:hAnsi="Arial Black"/>
          <w:b/>
          <w:caps/>
          <w:sz w:val="15"/>
          <w:lang w:val="es-ES_tradnl"/>
        </w:rPr>
        <w:t>:</w:t>
      </w:r>
      <w:r w:rsidR="00024D48">
        <w:rPr>
          <w:rFonts w:ascii="Arial Black" w:hAnsi="Arial Black"/>
          <w:b/>
          <w:caps/>
          <w:sz w:val="15"/>
          <w:lang w:val="es-ES_tradnl"/>
        </w:rPr>
        <w:t xml:space="preserve"> </w:t>
      </w:r>
      <w:bookmarkStart w:id="3" w:name="Date"/>
      <w:bookmarkEnd w:id="3"/>
      <w:r w:rsidR="003E4127">
        <w:rPr>
          <w:rFonts w:ascii="Arial Black" w:hAnsi="Arial Black"/>
          <w:b/>
          <w:caps/>
          <w:sz w:val="15"/>
          <w:lang w:val="es-ES_tradnl"/>
        </w:rPr>
        <w:t>30 DE JULIO DE 2019</w:t>
      </w:r>
    </w:p>
    <w:p w:rsidR="006B0DF8" w:rsidRPr="006B0DF8" w:rsidRDefault="006B0DF8" w:rsidP="006B0DF8">
      <w:pPr>
        <w:pStyle w:val="Heading1"/>
        <w:rPr>
          <w:lang w:val="es-ES_tradnl"/>
        </w:rPr>
      </w:pPr>
      <w:r w:rsidRPr="006B0DF8">
        <w:rPr>
          <w:lang w:val="es-ES_tradnl"/>
        </w:rPr>
        <w:t xml:space="preserve">Unión Internacional de Cooperación en materia de Patentes </w:t>
      </w:r>
      <w:r w:rsidR="00F7662E">
        <w:rPr>
          <w:lang w:val="es-ES_tradnl"/>
        </w:rPr>
        <w:br/>
      </w:r>
      <w:r w:rsidRPr="006B0DF8">
        <w:rPr>
          <w:lang w:val="es-ES_tradnl"/>
        </w:rPr>
        <w:t>(Unión del PCT)</w:t>
      </w:r>
    </w:p>
    <w:p w:rsidR="008B2CC1" w:rsidRPr="00B56479" w:rsidRDefault="006B0DF8" w:rsidP="006B0DF8">
      <w:pPr>
        <w:pStyle w:val="Heading1"/>
        <w:rPr>
          <w:lang w:val="es-ES_tradnl"/>
        </w:rPr>
      </w:pPr>
      <w:r w:rsidRPr="006B0DF8">
        <w:rPr>
          <w:lang w:val="es-ES_tradnl"/>
        </w:rPr>
        <w:t>Asamblea</w:t>
      </w:r>
    </w:p>
    <w:p w:rsidR="008B2CC1" w:rsidRPr="00B56479" w:rsidRDefault="006B0DF8" w:rsidP="001F0FE5">
      <w:pPr>
        <w:spacing w:after="720"/>
        <w:rPr>
          <w:b/>
          <w:sz w:val="24"/>
          <w:lang w:val="es-ES_tradnl"/>
        </w:rPr>
      </w:pPr>
      <w:r w:rsidRPr="006B0DF8">
        <w:rPr>
          <w:b/>
          <w:sz w:val="24"/>
          <w:lang w:val="es-ES_tradnl"/>
        </w:rPr>
        <w:t>Quincuagésimo primer período de sesiones (22.º ordinario)</w:t>
      </w:r>
      <w:r w:rsidR="003D57B0" w:rsidRPr="00B56479">
        <w:rPr>
          <w:b/>
          <w:sz w:val="24"/>
          <w:lang w:val="es-ES_tradnl"/>
        </w:rPr>
        <w:br/>
      </w:r>
      <w:r w:rsidRPr="006B0DF8">
        <w:rPr>
          <w:b/>
          <w:sz w:val="24"/>
          <w:lang w:val="es-ES_tradnl"/>
        </w:rPr>
        <w:t>Ginebra, 30 de septiembre a 9 de octubre de 2019</w:t>
      </w:r>
    </w:p>
    <w:p w:rsidR="008B2CC1" w:rsidRPr="00B56479" w:rsidRDefault="003E4127" w:rsidP="00565072">
      <w:pPr>
        <w:spacing w:after="360"/>
        <w:rPr>
          <w:caps/>
          <w:sz w:val="24"/>
          <w:lang w:val="es-ES_tradnl"/>
        </w:rPr>
      </w:pPr>
      <w:bookmarkStart w:id="4" w:name="TitleOfDoc"/>
      <w:bookmarkEnd w:id="4"/>
      <w:r w:rsidRPr="00963980">
        <w:rPr>
          <w:caps/>
          <w:sz w:val="24"/>
          <w:lang w:val="es-ES"/>
        </w:rPr>
        <w:t>Revisión de los criterios relativos a la reducción de las tasas del PCT para los solicitantes de determinados países</w:t>
      </w:r>
    </w:p>
    <w:p w:rsidR="008B2CC1" w:rsidRPr="00B56479" w:rsidRDefault="003E4127" w:rsidP="009C127D">
      <w:pPr>
        <w:spacing w:after="960"/>
        <w:rPr>
          <w:i/>
          <w:lang w:val="es-ES_tradnl"/>
        </w:rPr>
      </w:pPr>
      <w:bookmarkStart w:id="5" w:name="Prepared"/>
      <w:bookmarkEnd w:id="5"/>
      <w:r w:rsidRPr="00963980">
        <w:rPr>
          <w:i/>
          <w:lang w:val="es-ES"/>
        </w:rPr>
        <w:t>Documento preparado por la Oficina Internacional</w:t>
      </w:r>
    </w:p>
    <w:p w:rsidR="003E4127" w:rsidRDefault="003E4127" w:rsidP="003E4127">
      <w:pPr>
        <w:pStyle w:val="Heading2"/>
        <w:rPr>
          <w:lang w:val="es-ES"/>
        </w:rPr>
      </w:pPr>
      <w:r w:rsidRPr="00963980">
        <w:rPr>
          <w:lang w:val="es-ES"/>
        </w:rPr>
        <w:t>RESUMEN</w:t>
      </w:r>
    </w:p>
    <w:p w:rsidR="003E4127" w:rsidRDefault="003E4127" w:rsidP="003E4127">
      <w:pPr>
        <w:pStyle w:val="ONUMFS"/>
        <w:rPr>
          <w:lang w:val="es-ES"/>
        </w:rPr>
      </w:pPr>
      <w:r w:rsidRPr="00963980">
        <w:rPr>
          <w:lang w:val="es-ES"/>
        </w:rPr>
        <w:t>Se invita a la Asamblea a revisar los criterios para establecer las listas de los Estados cuyos nacionales y residentes reúnen los requisitos para beneficiarse de la reducción de las tasas del PCT; de conformidad con la Tabla de tasas del PCT, la Asamblea debe revisar esos criterios por lo menos cada cinco años.</w:t>
      </w:r>
    </w:p>
    <w:p w:rsidR="003E4127" w:rsidRDefault="003E4127" w:rsidP="003E4127">
      <w:pPr>
        <w:pStyle w:val="ONUMFS"/>
        <w:rPr>
          <w:lang w:val="es-ES"/>
        </w:rPr>
      </w:pPr>
      <w:r w:rsidRPr="00963980">
        <w:rPr>
          <w:lang w:val="es-ES"/>
        </w:rPr>
        <w:t>Como referencia para la revisión de los criterios por parte de la Asamblea, en el presente documento se proporciona información sobre la evolución en los últimos cinco años de los datos estadísticos en que se basan esos criterios (las cifras del promedio decenal del producto interno bruto per cápita publicadas por las Naciones Unidas; las cifras más recientes publicadas por la Oficina Internacional en relación con el promedio quinquenal de presentación anual de solicitudes PCT; y la lista de los países clasificados como países menos adelantados (PMA) por las Naciones Unidas), así como información sobre en qué medida las personas físicas han pedido la reducción de las tasas, tanto en los tres años anteriores como posteriores a la entrada en vigor de los criterios de admisibilidad actuales.</w:t>
      </w:r>
    </w:p>
    <w:p w:rsidR="003E4127" w:rsidRDefault="003E4127" w:rsidP="003E4127">
      <w:pPr>
        <w:pStyle w:val="Heading2"/>
        <w:rPr>
          <w:lang w:val="es-ES"/>
        </w:rPr>
      </w:pPr>
      <w:r w:rsidRPr="00963980">
        <w:rPr>
          <w:lang w:val="es-ES"/>
        </w:rPr>
        <w:lastRenderedPageBreak/>
        <w:t>ANTECEDENTES</w:t>
      </w:r>
    </w:p>
    <w:p w:rsidR="003E4127" w:rsidRDefault="003E4127" w:rsidP="003E4127">
      <w:pPr>
        <w:pStyle w:val="ONUMFS"/>
        <w:rPr>
          <w:lang w:val="es-ES"/>
        </w:rPr>
      </w:pPr>
      <w:r w:rsidRPr="00963980">
        <w:rPr>
          <w:lang w:val="es-ES"/>
        </w:rPr>
        <w:t>En su cuadragésimo sexto período de sesiones, celebrad</w:t>
      </w:r>
      <w:r w:rsidR="0062341A">
        <w:rPr>
          <w:lang w:val="es-ES"/>
        </w:rPr>
        <w:t>o del 22 al 30 de septiembre de </w:t>
      </w:r>
      <w:r w:rsidRPr="00963980">
        <w:rPr>
          <w:lang w:val="es-ES"/>
        </w:rPr>
        <w:t>2014, la Asamblea de la Unión del PCT aprobó las modificaciones de la Tabla de tasas que figuran en el anexo del Reglamento del PCT, las cuales establecen nuevos criterios para definir las listas de los Estados cuyos nacionales y residentes reúnen los requisitos para beneficiarse de la reducción de tasas con arreglo a los puntos 5.a) y b) de dicha tabla.</w:t>
      </w:r>
      <w:r>
        <w:rPr>
          <w:lang w:val="es-ES"/>
        </w:rPr>
        <w:t xml:space="preserve"> </w:t>
      </w:r>
      <w:r w:rsidRPr="00963980">
        <w:rPr>
          <w:lang w:val="es-ES"/>
        </w:rPr>
        <w:t>La Tabla de tasas modificada entró en vigor el 1 de julio de 2015.</w:t>
      </w:r>
    </w:p>
    <w:p w:rsidR="003E4127" w:rsidRDefault="003E4127" w:rsidP="003E4127">
      <w:pPr>
        <w:pStyle w:val="ONUMFS"/>
        <w:rPr>
          <w:lang w:val="es-ES"/>
        </w:rPr>
      </w:pPr>
      <w:r w:rsidRPr="00963980">
        <w:rPr>
          <w:lang w:val="es-ES"/>
        </w:rPr>
        <w:t>Con arreglo a las modificaciones del punto 5 de la Tabla de tasas aprobadas en 2014, se actualizó el criterio basado en los ingresos y se introdujo un criterio basado en la innovación (ambos definidos en el punto 5.a) de la Tabla de tasas) con el fin de determinar los Estados cuyos nacionales y residentes reúnen los criterios para la reducción de las tasas enumeradas en la Tabla de tasas con respecto a las solicitudes internacionales presentadas por personas físicas.</w:t>
      </w:r>
      <w:r>
        <w:rPr>
          <w:lang w:val="es-ES"/>
        </w:rPr>
        <w:t xml:space="preserve"> </w:t>
      </w:r>
      <w:r w:rsidRPr="00963980">
        <w:rPr>
          <w:lang w:val="es-ES"/>
        </w:rPr>
        <w:t xml:space="preserve">Todos los solicitantes, fueran personas </w:t>
      </w:r>
      <w:r>
        <w:rPr>
          <w:lang w:val="es-ES"/>
        </w:rPr>
        <w:t>física</w:t>
      </w:r>
      <w:r w:rsidRPr="00963980">
        <w:rPr>
          <w:lang w:val="es-ES"/>
        </w:rPr>
        <w:t>s o no, de los Estados clasificados como PMA siguieron beneficiándose de la reducción de las tasas como ya lo hacían.</w:t>
      </w:r>
    </w:p>
    <w:p w:rsidR="003E4127" w:rsidRDefault="003E4127" w:rsidP="003E4127">
      <w:pPr>
        <w:pStyle w:val="ONUMFS"/>
        <w:rPr>
          <w:lang w:val="es-ES"/>
        </w:rPr>
      </w:pPr>
      <w:r w:rsidRPr="00963980">
        <w:rPr>
          <w:lang w:val="es-ES"/>
        </w:rPr>
        <w:t xml:space="preserve">El criterio basado en los ingresos que figura en el punto 5.a) de la Tabla de tasas fija un máximo de 25.000 dólares de los </w:t>
      </w:r>
      <w:r>
        <w:rPr>
          <w:lang w:val="es-ES"/>
        </w:rPr>
        <w:t>Estados Unidos</w:t>
      </w:r>
      <w:r w:rsidRPr="00963980">
        <w:rPr>
          <w:lang w:val="es-ES"/>
        </w:rPr>
        <w:t xml:space="preserve"> de producto interno bruto (PIB) per cápita determinado según las cifras más recientes publicadas por las Naciones Unidas en relación con el promedio decenal del PIB per cápita en dólares constantes de 2005 para que un Estado pueda beneficiarse de la reducción de las tasas.</w:t>
      </w:r>
      <w:r>
        <w:rPr>
          <w:lang w:val="es-ES"/>
        </w:rPr>
        <w:t xml:space="preserve"> </w:t>
      </w:r>
      <w:r w:rsidRPr="00963980">
        <w:rPr>
          <w:lang w:val="es-ES"/>
        </w:rPr>
        <w:t xml:space="preserve">Se utiliza un promedio decenal del PIB per cápita a fin de tener en cuenta los Estados que, a pesar de experimentar un fuerte crecimiento económico, su economía sea más frágil que otras con un PIB per cápita comparable. El uso de valores en dólares constantes de los </w:t>
      </w:r>
      <w:r w:rsidRPr="00800547">
        <w:rPr>
          <w:lang w:val="es-ES"/>
        </w:rPr>
        <w:t>Estados Unidos</w:t>
      </w:r>
      <w:r w:rsidRPr="00963980">
        <w:rPr>
          <w:lang w:val="es-ES"/>
        </w:rPr>
        <w:t xml:space="preserve"> elimina la incidencia de la inflación o la deflación y permite determinar los ingresos per cápita reales.</w:t>
      </w:r>
    </w:p>
    <w:p w:rsidR="003E4127" w:rsidRDefault="003E4127" w:rsidP="003E4127">
      <w:pPr>
        <w:pStyle w:val="ONUMFS"/>
        <w:rPr>
          <w:lang w:val="es-ES"/>
        </w:rPr>
      </w:pPr>
      <w:bookmarkStart w:id="6" w:name="_Ref11926456"/>
      <w:r w:rsidRPr="00963980">
        <w:rPr>
          <w:lang w:val="es-ES"/>
        </w:rPr>
        <w:t>Además de cumplir el criterio basado en los ingresos, los Estados deben cumplir el criterio basado en la innovación, a saber, que los nacionales y residentes del Estado en cuestión que sean personas físicas hayan presentado menos de 10 solicitudes internacionales por año (por millón de habitantes) o menos de 50 solicitudes internacionales por año (en cifras absolutas), conforme a las cifras más recientes publicadas por la Oficina Internacional en relación con el promedio quinquenal de presentación anual.</w:t>
      </w:r>
      <w:r>
        <w:rPr>
          <w:lang w:val="es-ES"/>
        </w:rPr>
        <w:t xml:space="preserve"> </w:t>
      </w:r>
      <w:bookmarkEnd w:id="6"/>
      <w:r w:rsidRPr="00963980">
        <w:rPr>
          <w:lang w:val="es-ES"/>
        </w:rPr>
        <w:t>La utilización de dos indicadores tiene por objeto evitar los efectos extremos en los Estados muy pequeños en los que basta con unas pocas solicitudes para rebasar el límite de “menos de 10 solicitudes internacionales por año (por millón de habitantes)”; los Estados solo deberán ajustarse a uno de los dos indicadores para cumplir el criterio basado en la innovación.</w:t>
      </w:r>
    </w:p>
    <w:p w:rsidR="003E4127" w:rsidRDefault="003E4127" w:rsidP="003E4127">
      <w:pPr>
        <w:pStyle w:val="ONUMFS"/>
        <w:rPr>
          <w:lang w:val="es-ES"/>
        </w:rPr>
      </w:pPr>
      <w:r w:rsidRPr="00963980">
        <w:rPr>
          <w:lang w:val="es-ES"/>
        </w:rPr>
        <w:t>A fin de reflejar los cambios en las condiciones económicas de los Estados y los posibles cambios en el uso del Sistema del PCT, la Oficina Internacional actualiza cada cinco años las listas de los Estados que cumplen los criterios que figuran en los puntos 5.a) y b) de la Tabla de tasas, de conformidad con las directrices establecidas por la Asamblea.</w:t>
      </w:r>
      <w:r>
        <w:rPr>
          <w:lang w:val="es-ES"/>
        </w:rPr>
        <w:t xml:space="preserve"> </w:t>
      </w:r>
      <w:r w:rsidRPr="00963980">
        <w:rPr>
          <w:lang w:val="es-ES"/>
        </w:rPr>
        <w:t>Las listas revisadas se ponen a disposición de los Estados con arreglo a las cifras aplicables el día de apertura de la Asamblea del PCT que se celebre durante el “año de revisión” y, con sujeción a la corrección de errores de hecho, entrarán en vigor el 1 de enero del año siguiente.</w:t>
      </w:r>
    </w:p>
    <w:p w:rsidR="003E4127" w:rsidRDefault="003E4127" w:rsidP="003E4127">
      <w:pPr>
        <w:pStyle w:val="ONUMFS"/>
        <w:rPr>
          <w:lang w:val="es-ES"/>
        </w:rPr>
      </w:pPr>
      <w:r w:rsidRPr="00963980">
        <w:rPr>
          <w:lang w:val="es-ES"/>
        </w:rPr>
        <w:t>Para facilitar la consulta, a continuación se reproduce el texto del punto 5 de la Tabla de tasas, en el que se establecen los criterios que definen las listas de los Estados cuyos nacionales y residentes pueden beneficiarse de una reducción de las tasas:</w:t>
      </w:r>
    </w:p>
    <w:p w:rsidR="003E4127" w:rsidRDefault="003E4127" w:rsidP="00B40BDC">
      <w:pPr>
        <w:pStyle w:val="ONUMFS"/>
        <w:numPr>
          <w:ilvl w:val="0"/>
          <w:numId w:val="0"/>
        </w:numPr>
        <w:ind w:left="567"/>
        <w:rPr>
          <w:lang w:val="es-ES"/>
        </w:rPr>
      </w:pPr>
      <w:r w:rsidRPr="00963980">
        <w:rPr>
          <w:lang w:val="es-ES"/>
        </w:rPr>
        <w:t>“5.</w:t>
      </w:r>
      <w:r w:rsidR="0062341A">
        <w:rPr>
          <w:lang w:val="es-ES"/>
        </w:rPr>
        <w:t xml:space="preserve">  </w:t>
      </w:r>
      <w:r w:rsidRPr="00963980">
        <w:rPr>
          <w:lang w:val="es-ES"/>
        </w:rPr>
        <w:t xml:space="preserve"> 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p w:rsidR="003E4127" w:rsidRDefault="003E4127" w:rsidP="00B40BDC">
      <w:pPr>
        <w:pStyle w:val="ONUMFS"/>
        <w:numPr>
          <w:ilvl w:val="0"/>
          <w:numId w:val="0"/>
        </w:numPr>
        <w:ind w:left="1134"/>
        <w:rPr>
          <w:lang w:val="es-ES"/>
        </w:rPr>
      </w:pPr>
      <w:r w:rsidRPr="00963980">
        <w:rPr>
          <w:lang w:val="es-ES"/>
        </w:rPr>
        <w:lastRenderedPageBreak/>
        <w:t>a)</w:t>
      </w:r>
      <w:r w:rsidRPr="00963980">
        <w:rPr>
          <w:lang w:val="es-ES"/>
        </w:rPr>
        <w:tab/>
        <w:t xml:space="preserve">una persona física nacional de y domiciliada en un Estado que figura en la lista de Estados como Estado cuyo producto interno </w:t>
      </w:r>
      <w:r w:rsidR="005E4C87">
        <w:rPr>
          <w:lang w:val="es-ES"/>
        </w:rPr>
        <w:t>bruto per cápita sea inferior a </w:t>
      </w:r>
      <w:r w:rsidRPr="00963980">
        <w:rPr>
          <w:lang w:val="es-ES"/>
        </w:rPr>
        <w:t xml:space="preserve">25.000 dólares de los </w:t>
      </w:r>
      <w:r w:rsidRPr="00800547">
        <w:rPr>
          <w:lang w:val="es-ES"/>
        </w:rPr>
        <w:t>Estados Unidos</w:t>
      </w:r>
      <w:r w:rsidRPr="00963980">
        <w:rPr>
          <w:lang w:val="es-ES"/>
        </w:rPr>
        <w:t xml:space="preserve">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p>
    <w:p w:rsidR="003E4127" w:rsidRDefault="003E4127" w:rsidP="00B40BDC">
      <w:pPr>
        <w:pStyle w:val="ONUMFS"/>
        <w:numPr>
          <w:ilvl w:val="0"/>
          <w:numId w:val="0"/>
        </w:numPr>
        <w:ind w:left="1134"/>
        <w:rPr>
          <w:lang w:val="es-ES"/>
        </w:rPr>
      </w:pPr>
      <w:r w:rsidRPr="00963980">
        <w:rPr>
          <w:lang w:val="es-ES"/>
        </w:rPr>
        <w:t>b)</w:t>
      </w:r>
      <w:r w:rsidRPr="00963980">
        <w:rPr>
          <w:lang w:val="es-ES"/>
        </w:rPr>
        <w:tab/>
        <w:t>una persona física o no, nacional de y domiciliada en un Estado que figura en la lista de Estados clasificado como país menos adelantado por las Naciones Unidas;</w:t>
      </w:r>
    </w:p>
    <w:p w:rsidR="003E4127" w:rsidRDefault="003E4127" w:rsidP="00B40BDC">
      <w:pPr>
        <w:pStyle w:val="ONUMFS"/>
        <w:numPr>
          <w:ilvl w:val="0"/>
          <w:numId w:val="0"/>
        </w:numPr>
        <w:ind w:left="567"/>
        <w:rPr>
          <w:lang w:val="es-ES"/>
        </w:rPr>
      </w:pPr>
      <w:r w:rsidRPr="00963980">
        <w:rPr>
          <w:lang w:val="es-ES"/>
        </w:rPr>
        <w:t>a condición de que, en la fecha de presentación de la solicitud internacional, ningún titular de la solicitud internacional se haya beneficiado de la reducción sin satisfacer los criterios enunciados en los apartados a) y b) y a condición de que, si hubiera varios solicitantes, cada uno de ellos satisfaga los criterios descritos en los apartados a) y b).</w:t>
      </w:r>
      <w:r>
        <w:rPr>
          <w:lang w:val="es-ES"/>
        </w:rPr>
        <w:t xml:space="preserve"> </w:t>
      </w:r>
      <w:r w:rsidRPr="00963980">
        <w:rPr>
          <w:lang w:val="es-ES"/>
        </w:rPr>
        <w:t>Las listas de Estados mencionadas en los apartados a) y b)15 serán actualizadas por el director general cada cinco años como mínimo conforme a las directrices establecidas por la Asamblea.</w:t>
      </w:r>
      <w:r>
        <w:rPr>
          <w:lang w:val="es-ES"/>
        </w:rPr>
        <w:t xml:space="preserve"> </w:t>
      </w:r>
      <w:r w:rsidRPr="00963980">
        <w:rPr>
          <w:lang w:val="es-ES"/>
        </w:rPr>
        <w:t>Los criterios descritos en los apartados a) y b) serán examinados por la Asamblea cada cinco años como mínimo.”</w:t>
      </w:r>
    </w:p>
    <w:p w:rsidR="003E4127" w:rsidRDefault="003E4127" w:rsidP="003E4127">
      <w:pPr>
        <w:pStyle w:val="Heading2"/>
        <w:rPr>
          <w:lang w:val="es-ES"/>
        </w:rPr>
      </w:pPr>
      <w:r w:rsidRPr="00963980">
        <w:rPr>
          <w:lang w:val="es-ES"/>
        </w:rPr>
        <w:t>REVISIÓN DE LOS CRITERIOS</w:t>
      </w:r>
    </w:p>
    <w:p w:rsidR="003E4127" w:rsidRDefault="003E4127" w:rsidP="003E4127">
      <w:pPr>
        <w:pStyle w:val="ONUMFS"/>
        <w:rPr>
          <w:lang w:val="es-ES"/>
        </w:rPr>
      </w:pPr>
      <w:r w:rsidRPr="00963980">
        <w:rPr>
          <w:lang w:val="es-ES"/>
        </w:rPr>
        <w:t>Como ya se ha indicado, en la Tabla de tasas (véase la última frase del punto 5) se estipula que los criterios para tener derecho a la reducción de las tasas deben ser revisados por la Asamblea al menos cada cinco años.</w:t>
      </w:r>
      <w:r>
        <w:rPr>
          <w:lang w:val="es-ES"/>
        </w:rPr>
        <w:t xml:space="preserve"> </w:t>
      </w:r>
      <w:r w:rsidRPr="00963980">
        <w:rPr>
          <w:lang w:val="es-ES"/>
        </w:rPr>
        <w:t>Si bien esto podría interpretarse en el sentido de que la Asamblea debe realizar una revisión a más tardar en 2020, cinco años después de la entrada en vigor de los nuevos criterios, el Grupo de Trabajo del PCT recomendó que la Asamblea revisara los criterios ya en su actual período de sesiones, en 2019, al mismo tiempo que el director general debe actualizar las listas de los Estados que reúnan las condiciones necesarias, de conformidad con el punto 5 de la Tabla de tasas y con las directrices establecidas por la Asamblea (véanse los párrafos 63 a 69 del documento PCT/WG/12/24).</w:t>
      </w:r>
      <w:r>
        <w:rPr>
          <w:lang w:val="es-ES"/>
        </w:rPr>
        <w:t xml:space="preserve"> </w:t>
      </w:r>
    </w:p>
    <w:p w:rsidR="003E4127" w:rsidRDefault="003E4127" w:rsidP="003E4127">
      <w:pPr>
        <w:pStyle w:val="Heading3"/>
        <w:rPr>
          <w:lang w:val="es-ES"/>
        </w:rPr>
      </w:pPr>
      <w:r w:rsidRPr="00963980">
        <w:rPr>
          <w:lang w:val="es-ES"/>
        </w:rPr>
        <w:t xml:space="preserve">evolución en los últimos cinco años de los datos estadísticos en que se basan los criterios </w:t>
      </w:r>
    </w:p>
    <w:p w:rsidR="003E4127" w:rsidRDefault="003E4127" w:rsidP="003E4127">
      <w:pPr>
        <w:pStyle w:val="ONUMFS"/>
        <w:rPr>
          <w:lang w:val="es-ES"/>
        </w:rPr>
      </w:pPr>
      <w:bookmarkStart w:id="7" w:name="_Ref11679454"/>
      <w:r w:rsidRPr="00963980">
        <w:rPr>
          <w:lang w:val="es-ES"/>
        </w:rPr>
        <w:t>De conformidad con las “Directrices para actualizar las listas de Estados que reúnen los criterios de reducción de determinadas tasas del PCT”, aprobadas por la Asamblea en 2014, cinco años después del establecimiento de la primera lista de los Estados que se ajustan a los criterios mencionados en los puntos 5.a) y b) de la Tabla de tasas (y cada cinco años a partir de esa fecha), el director general deberá actualizar las listas de Estados.</w:t>
      </w:r>
      <w:r>
        <w:rPr>
          <w:lang w:val="es-ES"/>
        </w:rPr>
        <w:t xml:space="preserve"> </w:t>
      </w:r>
      <w:bookmarkEnd w:id="7"/>
      <w:r w:rsidRPr="00963980">
        <w:rPr>
          <w:lang w:val="es-ES"/>
        </w:rPr>
        <w:t>Por consiguiente, la primera actualización de las listas de los Estados que cumplen los criterios se llevará a cabo a finales de este año, con arreglo a la siguiente información:</w:t>
      </w:r>
    </w:p>
    <w:p w:rsidR="003E4127" w:rsidRDefault="003E4127" w:rsidP="00B40BDC">
      <w:pPr>
        <w:pStyle w:val="ONUMFS"/>
        <w:numPr>
          <w:ilvl w:val="0"/>
          <w:numId w:val="0"/>
        </w:numPr>
        <w:ind w:left="567"/>
        <w:rPr>
          <w:lang w:val="es-ES"/>
        </w:rPr>
      </w:pPr>
      <w:r w:rsidRPr="00963980">
        <w:rPr>
          <w:lang w:val="es-ES"/>
        </w:rPr>
        <w:t>i)</w:t>
      </w:r>
      <w:r w:rsidRPr="00963980">
        <w:rPr>
          <w:lang w:val="es-ES"/>
        </w:rPr>
        <w:tab/>
      </w:r>
      <w:r w:rsidRPr="00963980">
        <w:rPr>
          <w:i/>
          <w:lang w:val="es-ES"/>
        </w:rPr>
        <w:t>punto 5.a) de la Tabla de tasas</w:t>
      </w:r>
      <w:r w:rsidRPr="00963980">
        <w:rPr>
          <w:lang w:val="es-ES"/>
        </w:rPr>
        <w:t>: “según las cifras más recientes del promedio de 10 años del producto interno bruto per cápita, publicadas por las Naciones Unidas, y según las cifras de la Oficina Internacional para los últimos cinco años correspondientes al número promedio anual de las solicitudes PCT presentadas, respectivamente, que se publicarán al menos dos semanas antes del primer día del período de sesiones de la Asamblea que se celebre en septiembre-octubre de ese año;”</w:t>
      </w:r>
    </w:p>
    <w:p w:rsidR="003E4127" w:rsidRDefault="003E4127" w:rsidP="00B40BDC">
      <w:pPr>
        <w:pStyle w:val="ONUMFS"/>
        <w:numPr>
          <w:ilvl w:val="0"/>
          <w:numId w:val="0"/>
        </w:numPr>
        <w:ind w:left="567"/>
        <w:rPr>
          <w:lang w:val="es-ES"/>
        </w:rPr>
      </w:pPr>
      <w:r w:rsidRPr="00963980">
        <w:rPr>
          <w:lang w:val="es-ES"/>
        </w:rPr>
        <w:lastRenderedPageBreak/>
        <w:t>ii)</w:t>
      </w:r>
      <w:r w:rsidRPr="00963980">
        <w:rPr>
          <w:lang w:val="es-ES"/>
        </w:rPr>
        <w:tab/>
      </w:r>
      <w:r w:rsidRPr="00963980">
        <w:rPr>
          <w:i/>
          <w:lang w:val="es-ES"/>
        </w:rPr>
        <w:t>punto 5.b) de la Tabla de tasas</w:t>
      </w:r>
      <w:r w:rsidRPr="00963980">
        <w:rPr>
          <w:lang w:val="es-ES"/>
        </w:rPr>
        <w:t>: “según la lista más reciente de los países clasificados como países menos adelantados por las Naciones Unidas, que se publicará al menos dos semanas antes del primer día del per</w:t>
      </w:r>
      <w:r>
        <w:rPr>
          <w:lang w:val="es-ES"/>
        </w:rPr>
        <w:t>í</w:t>
      </w:r>
      <w:r w:rsidRPr="00963980">
        <w:rPr>
          <w:lang w:val="es-ES"/>
        </w:rPr>
        <w:t>odo de sesiones de la Asamblea que se celebre en septiembre-octubre de ese año…”.</w:t>
      </w:r>
    </w:p>
    <w:p w:rsidR="003E4127" w:rsidRDefault="003E4127" w:rsidP="003E4127">
      <w:pPr>
        <w:pStyle w:val="ONUMFS"/>
        <w:rPr>
          <w:lang w:val="es-ES"/>
        </w:rPr>
      </w:pPr>
      <w:r w:rsidRPr="0038105E">
        <w:rPr>
          <w:lang w:val="es-ES_tradnl"/>
        </w:rPr>
        <w:t>Es decir, las últimas cifras pertinentes en que se basará la actualización serán las últimas cifras disponibles el 16 de septiembre de 2019 (dos semanas antes del primer día del período de sesiones de la Asamblea).</w:t>
      </w:r>
    </w:p>
    <w:p w:rsidR="003E4127" w:rsidRDefault="003E4127" w:rsidP="003E4127">
      <w:pPr>
        <w:pStyle w:val="ONUMFS"/>
        <w:rPr>
          <w:lang w:val="es-ES"/>
        </w:rPr>
      </w:pPr>
      <w:r w:rsidRPr="0038105E">
        <w:rPr>
          <w:lang w:val="es-ES_tradnl"/>
        </w:rPr>
        <w:t>Las cifras suministradas por las Naciones Unidas suelen estar disponibles en enero de cada año.</w:t>
      </w:r>
      <w:r>
        <w:rPr>
          <w:lang w:val="es-ES"/>
        </w:rPr>
        <w:t xml:space="preserve"> </w:t>
      </w:r>
      <w:r w:rsidRPr="00B1273E">
        <w:rPr>
          <w:lang w:val="es-ES_tradnl"/>
        </w:rPr>
        <w:t>Por consiguiente, se prevé que el período decenal del producto interno bruto sea el comprendido entre 2008 y 2017, respecto del cual ya se dispone de cifras, siendo poco probable que cambien.</w:t>
      </w:r>
      <w:r>
        <w:rPr>
          <w:lang w:val="es-ES"/>
        </w:rPr>
        <w:t xml:space="preserve"> </w:t>
      </w:r>
      <w:r w:rsidRPr="00B1273E">
        <w:rPr>
          <w:lang w:val="es-ES_tradnl"/>
        </w:rPr>
        <w:t>El período para el cálculo del promedio anual de solicitudes PCT presentadas será el comprendido entre 2014 y 2018.</w:t>
      </w:r>
      <w:r>
        <w:rPr>
          <w:lang w:val="es-ES"/>
        </w:rPr>
        <w:t xml:space="preserve"> </w:t>
      </w:r>
      <w:r w:rsidRPr="00B1273E">
        <w:rPr>
          <w:lang w:val="es-ES_tradnl"/>
        </w:rPr>
        <w:t>Para ese período, se dispone de cifras provisionales, pero es poco probable que las cifras definitivas sean significativamente diferentes como para que afecten a la composición de las listas de Estados.</w:t>
      </w:r>
      <w:r>
        <w:rPr>
          <w:lang w:val="es-ES"/>
        </w:rPr>
        <w:t xml:space="preserve"> </w:t>
      </w:r>
      <w:r w:rsidRPr="002414C2">
        <w:rPr>
          <w:lang w:val="es-ES_tradnl"/>
        </w:rPr>
        <w:t>Las Naciones Unidas ya no publican la lista de países por producto interno bruto en d</w:t>
      </w:r>
      <w:r w:rsidR="0062341A">
        <w:rPr>
          <w:lang w:val="es-ES_tradnl"/>
        </w:rPr>
        <w:t>ólares constantes de </w:t>
      </w:r>
      <w:r w:rsidRPr="002414C2">
        <w:rPr>
          <w:lang w:val="es-ES_tradnl"/>
        </w:rPr>
        <w:t>2005 de los EE.UU,</w:t>
      </w:r>
      <w:r>
        <w:rPr>
          <w:lang w:val="es-ES"/>
        </w:rPr>
        <w:t xml:space="preserve"> </w:t>
      </w:r>
      <w:r w:rsidRPr="002414C2">
        <w:rPr>
          <w:lang w:val="es-ES_tradnl"/>
        </w:rPr>
        <w:t xml:space="preserve">por lo que esos valores se reproducirán a partir de las listas publicadas relativas al PIB real y al “índice PIB a precios constantes: dólares de los </w:t>
      </w:r>
      <w:r w:rsidRPr="00800547">
        <w:rPr>
          <w:lang w:val="es-ES"/>
        </w:rPr>
        <w:t>Estados Unidos</w:t>
      </w:r>
      <w:r w:rsidRPr="002414C2">
        <w:rPr>
          <w:lang w:val="es-ES_tradnl"/>
        </w:rPr>
        <w:t>”.</w:t>
      </w:r>
    </w:p>
    <w:p w:rsidR="003E4127" w:rsidRDefault="003E4127" w:rsidP="003E4127">
      <w:pPr>
        <w:pStyle w:val="ONUMFS"/>
        <w:rPr>
          <w:lang w:val="es-ES"/>
        </w:rPr>
      </w:pPr>
      <w:r w:rsidRPr="00B106B3">
        <w:rPr>
          <w:lang w:val="es-ES_tradnl"/>
        </w:rPr>
        <w:t>A fin de preparar la actualización de la lista de los Estados que reúnen los criterios, la Oficina Internacional presentó al Grupo de Trabajo del PCT, para que la examinara en su duodécima reunión, celebrada del 11 al 14 de junio de 2019, una lista en la que se indicaban los requisitos que debían cumplir los Estados para ser incluidos en las listas revisadas, con arreglo a la información disponible en ese momento (véase el Anexo I del documento PCT/WG/12/11).</w:t>
      </w:r>
    </w:p>
    <w:p w:rsidR="003E4127" w:rsidRDefault="003E4127" w:rsidP="003E4127">
      <w:pPr>
        <w:pStyle w:val="ONUMFS"/>
        <w:rPr>
          <w:lang w:val="es-ES"/>
        </w:rPr>
      </w:pPr>
      <w:r w:rsidRPr="00210781">
        <w:rPr>
          <w:lang w:val="es-ES_tradnl"/>
        </w:rPr>
        <w:t>Con respecto a los Estados que pueden acogerse a la</w:t>
      </w:r>
      <w:r w:rsidR="0062341A">
        <w:rPr>
          <w:lang w:val="es-ES_tradnl"/>
        </w:rPr>
        <w:t xml:space="preserve"> reducción prevista en el punto </w:t>
      </w:r>
      <w:r w:rsidRPr="00210781">
        <w:rPr>
          <w:lang w:val="es-ES_tradnl"/>
        </w:rPr>
        <w:t xml:space="preserve">5.a), las cifras que figuran en el Anexo I del documento PCT/WG/12/11 muestran que el promedio del PIB per cápita del último período decenal correspondiente a las Bahamas y Chipre rebasa el umbral de 25.000 dólares de los </w:t>
      </w:r>
      <w:r w:rsidRPr="00800547">
        <w:rPr>
          <w:lang w:val="es-ES"/>
        </w:rPr>
        <w:t>Estados Unidos</w:t>
      </w:r>
      <w:r w:rsidRPr="00210781">
        <w:rPr>
          <w:lang w:val="es-ES_tradnl"/>
        </w:rPr>
        <w:t xml:space="preserve"> establecido para las reducciones en ese apartado.</w:t>
      </w:r>
      <w:r>
        <w:rPr>
          <w:lang w:val="es-ES"/>
        </w:rPr>
        <w:t xml:space="preserve"> </w:t>
      </w:r>
      <w:r w:rsidRPr="005A0410">
        <w:rPr>
          <w:lang w:val="es-ES"/>
        </w:rPr>
        <w:t xml:space="preserve">Desde que se establecieron las listas en 2014, el promedio decenal más reciente del PIB per cápita de las Bahamas ha </w:t>
      </w:r>
      <w:r w:rsidR="0062341A">
        <w:rPr>
          <w:lang w:val="es-ES"/>
        </w:rPr>
        <w:t>aumentado un 28,6%, de 22.214 a </w:t>
      </w:r>
      <w:r w:rsidRPr="005A0410">
        <w:rPr>
          <w:lang w:val="es-ES"/>
        </w:rPr>
        <w:t>28.567 dólares, y en el caso de Chipre, de 22.806 a 30.906 dólares, lo que representa un aumento del 35,5%.</w:t>
      </w:r>
    </w:p>
    <w:p w:rsidR="003E4127" w:rsidRDefault="003E4127" w:rsidP="003E4127">
      <w:pPr>
        <w:pStyle w:val="ONUMFS"/>
        <w:rPr>
          <w:lang w:val="es-ES"/>
        </w:rPr>
      </w:pPr>
      <w:r w:rsidRPr="00960DA2">
        <w:rPr>
          <w:lang w:val="es-ES"/>
        </w:rPr>
        <w:t>Desde que se elaboraron las listas en 2014, Samoa (e</w:t>
      </w:r>
      <w:r w:rsidR="0062341A">
        <w:rPr>
          <w:lang w:val="es-ES"/>
        </w:rPr>
        <w:t>n 2014) y Guinea Ecuatorial (en </w:t>
      </w:r>
      <w:r w:rsidRPr="00960DA2">
        <w:rPr>
          <w:lang w:val="es-ES"/>
        </w:rPr>
        <w:t>2017) han abandonado la categoría de países menos adelantados</w:t>
      </w:r>
      <w:r w:rsidRPr="00960DA2">
        <w:rPr>
          <w:vertAlign w:val="superscript"/>
          <w:lang w:val="es-ES"/>
        </w:rPr>
        <w:footnoteReference w:id="2"/>
      </w:r>
      <w:r w:rsidRPr="00960DA2">
        <w:rPr>
          <w:lang w:val="es-ES"/>
        </w:rPr>
        <w:t xml:space="preserve">. Por lo tanto, los solicitantes, personas físicas o no, nacionales de dichos Estados y domiciliadas en ellos, dejarán de poder beneficiarse de la reducción con arreglo al punto 5.b); sin embargo, en la práctica, esto solo afectará a las personas jurídicas de esos Estados, ya que las personas físicas que sean nacionales de dichos Estados y estén domiciliadas en ellos seguirán beneficiándose de las reducciones previstas en el punto 5.a). Otros tres Estados </w:t>
      </w:r>
      <w:r>
        <w:rPr>
          <w:lang w:val="es-ES"/>
        </w:rPr>
        <w:t>–</w:t>
      </w:r>
      <w:r w:rsidRPr="00960DA2">
        <w:rPr>
          <w:lang w:val="es-ES"/>
        </w:rPr>
        <w:t>Vanuatu (2020), Angola (2021) y Bhután (2023)</w:t>
      </w:r>
      <w:r>
        <w:rPr>
          <w:lang w:val="es-ES"/>
        </w:rPr>
        <w:t>–</w:t>
      </w:r>
      <w:r w:rsidRPr="00960DA2">
        <w:rPr>
          <w:lang w:val="es-ES"/>
        </w:rPr>
        <w:t xml:space="preserve"> </w:t>
      </w:r>
      <w:r>
        <w:rPr>
          <w:lang w:val="es-ES"/>
        </w:rPr>
        <w:t xml:space="preserve">previsiblemente </w:t>
      </w:r>
      <w:r w:rsidRPr="00960DA2">
        <w:rPr>
          <w:lang w:val="es-ES"/>
        </w:rPr>
        <w:t>abandonar</w:t>
      </w:r>
      <w:r>
        <w:rPr>
          <w:lang w:val="es-ES"/>
        </w:rPr>
        <w:t>án</w:t>
      </w:r>
      <w:r w:rsidRPr="00960DA2">
        <w:rPr>
          <w:lang w:val="es-ES"/>
        </w:rPr>
        <w:t xml:space="preserve"> la categoría de países menos adelantados antes de la elaboración de la próxima lista dentro de cinco años, pero, en virtud de las directrices, seguirán beneficiándose de la reducción hasta el final del período de validez de la lista, que es de cinco años.</w:t>
      </w:r>
    </w:p>
    <w:p w:rsidR="0062341A" w:rsidRDefault="0062341A">
      <w:pPr>
        <w:rPr>
          <w:lang w:val="es-ES"/>
        </w:rPr>
      </w:pPr>
      <w:r>
        <w:rPr>
          <w:lang w:val="es-ES"/>
        </w:rPr>
        <w:br w:type="page"/>
      </w:r>
    </w:p>
    <w:p w:rsidR="003E4127" w:rsidRDefault="003E4127" w:rsidP="003E4127">
      <w:pPr>
        <w:pStyle w:val="ONUMFS"/>
        <w:rPr>
          <w:lang w:val="es-ES"/>
        </w:rPr>
      </w:pPr>
      <w:r w:rsidRPr="00E87E55">
        <w:rPr>
          <w:lang w:val="es-ES"/>
        </w:rPr>
        <w:lastRenderedPageBreak/>
        <w:t xml:space="preserve">Por consiguiente, el resultado esperado </w:t>
      </w:r>
      <w:r>
        <w:rPr>
          <w:lang w:val="es-ES"/>
        </w:rPr>
        <w:t xml:space="preserve">tras </w:t>
      </w:r>
      <w:r w:rsidRPr="00E87E55">
        <w:rPr>
          <w:lang w:val="es-ES"/>
        </w:rPr>
        <w:t xml:space="preserve">la actualización de las listas más adelante este año </w:t>
      </w:r>
      <w:r>
        <w:rPr>
          <w:lang w:val="es-ES"/>
        </w:rPr>
        <w:t>es</w:t>
      </w:r>
      <w:r w:rsidRPr="00E87E55">
        <w:rPr>
          <w:lang w:val="es-ES"/>
        </w:rPr>
        <w:t xml:space="preserve"> </w:t>
      </w:r>
      <w:r>
        <w:rPr>
          <w:lang w:val="es-ES"/>
        </w:rPr>
        <w:t>que</w:t>
      </w:r>
      <w:r w:rsidRPr="00E87E55">
        <w:rPr>
          <w:lang w:val="es-ES"/>
        </w:rPr>
        <w:t>:</w:t>
      </w:r>
    </w:p>
    <w:p w:rsidR="003E4127" w:rsidRDefault="003E4127" w:rsidP="00B40BDC">
      <w:pPr>
        <w:pStyle w:val="ONUMFS"/>
        <w:numPr>
          <w:ilvl w:val="0"/>
          <w:numId w:val="16"/>
        </w:numPr>
        <w:ind w:left="567"/>
        <w:rPr>
          <w:lang w:val="es-ES"/>
        </w:rPr>
      </w:pPr>
      <w:r w:rsidRPr="00E87E55">
        <w:rPr>
          <w:lang w:val="es-ES"/>
        </w:rPr>
        <w:t>las personas nacionales de las Bahamas y Chipre y domiciliadas en esos países dejarán de tener derecho a la reducción prevista en el punto 5.a), en ambos casos debido al crecimiento</w:t>
      </w:r>
      <w:r>
        <w:rPr>
          <w:lang w:val="es-ES"/>
        </w:rPr>
        <w:t xml:space="preserve"> del promedio decenal de su PIB;</w:t>
      </w:r>
    </w:p>
    <w:p w:rsidR="003E4127" w:rsidRDefault="003E4127" w:rsidP="00B40BDC">
      <w:pPr>
        <w:pStyle w:val="ONUMFS"/>
        <w:numPr>
          <w:ilvl w:val="0"/>
          <w:numId w:val="16"/>
        </w:numPr>
        <w:ind w:left="567"/>
        <w:rPr>
          <w:lang w:val="es-ES"/>
        </w:rPr>
      </w:pPr>
      <w:r w:rsidRPr="00E87E55">
        <w:rPr>
          <w:lang w:val="es-ES"/>
        </w:rPr>
        <w:t>las personas, físicas o no, nacionales de Samoa y Guinea Ecuatorial y domiciliadas en esos países dejarán de tener derecho a la reducción prevista en el punto 5.b), pero las personas físicas nacionales de esos Estados y domiciliadas en ellos seguirán teniendo derecho a la reducción prevista en el punto 5.a).</w:t>
      </w:r>
    </w:p>
    <w:p w:rsidR="003E4127" w:rsidRDefault="003E4127" w:rsidP="003E4127">
      <w:pPr>
        <w:pStyle w:val="ONUMFS"/>
        <w:rPr>
          <w:lang w:val="es-ES"/>
        </w:rPr>
      </w:pPr>
      <w:r w:rsidRPr="00E87E55">
        <w:rPr>
          <w:lang w:val="es-ES"/>
        </w:rPr>
        <w:t>De conformidad con las directrices, poco antes de la Asamblea del PCT se preparará una versión revisada de las listas</w:t>
      </w:r>
      <w:r>
        <w:rPr>
          <w:lang w:val="es-ES"/>
        </w:rPr>
        <w:t xml:space="preserve">, con </w:t>
      </w:r>
      <w:r w:rsidRPr="00E87E55">
        <w:rPr>
          <w:lang w:val="es-ES"/>
        </w:rPr>
        <w:t>toda la nueva información disponible, que estará abierta a la formulación de observaciones hasta el final de la Asamblea, el 9 de octubre de 2019.</w:t>
      </w:r>
    </w:p>
    <w:p w:rsidR="003E4127" w:rsidRDefault="003E4127" w:rsidP="003E4127">
      <w:pPr>
        <w:pStyle w:val="Heading3"/>
        <w:rPr>
          <w:lang w:val="es-ES"/>
        </w:rPr>
      </w:pPr>
      <w:r w:rsidRPr="00043774">
        <w:rPr>
          <w:lang w:val="es-ES_tradnl"/>
        </w:rPr>
        <w:t>Información adicional sobre la reducción de las tasas y las solicitudes</w:t>
      </w:r>
    </w:p>
    <w:p w:rsidR="003E4127" w:rsidRDefault="003E4127" w:rsidP="003E4127">
      <w:pPr>
        <w:pStyle w:val="ONUMFS"/>
        <w:rPr>
          <w:lang w:val="es-ES"/>
        </w:rPr>
      </w:pPr>
      <w:r w:rsidRPr="00F1052B">
        <w:rPr>
          <w:lang w:val="es-ES_tradnl"/>
        </w:rPr>
        <w:t xml:space="preserve">Además de la información que figura en los párrafos 10 a 17 sobre la lista de los Estados que reúnen los criterios para la reducción de las tasas, en el Anexo del presente documento se proporciona información adicional que puede ser útil para evaluar los criterios que deben cumplirse para </w:t>
      </w:r>
      <w:r>
        <w:rPr>
          <w:lang w:val="es-ES_tradnl"/>
        </w:rPr>
        <w:t xml:space="preserve">tener derecho a </w:t>
      </w:r>
      <w:r w:rsidRPr="00F1052B">
        <w:rPr>
          <w:lang w:val="es-ES_tradnl"/>
        </w:rPr>
        <w:t>esa reducción, en particular:</w:t>
      </w:r>
    </w:p>
    <w:p w:rsidR="003E4127" w:rsidRDefault="003E4127" w:rsidP="00B40BDC">
      <w:pPr>
        <w:pStyle w:val="ONUMFS"/>
        <w:numPr>
          <w:ilvl w:val="0"/>
          <w:numId w:val="17"/>
        </w:numPr>
        <w:ind w:left="567"/>
        <w:rPr>
          <w:lang w:val="es-ES"/>
        </w:rPr>
      </w:pPr>
      <w:r w:rsidRPr="00F1052B">
        <w:rPr>
          <w:lang w:val="es-ES_tradnl"/>
        </w:rPr>
        <w:t>el número de reducciones de tasas solicitadas por personas domiciliadas en distintos Estados;</w:t>
      </w:r>
    </w:p>
    <w:p w:rsidR="003E4127" w:rsidRDefault="003E4127" w:rsidP="00B40BDC">
      <w:pPr>
        <w:pStyle w:val="ONUMFS"/>
        <w:numPr>
          <w:ilvl w:val="0"/>
          <w:numId w:val="17"/>
        </w:numPr>
        <w:ind w:left="567"/>
        <w:rPr>
          <w:lang w:val="es-ES"/>
        </w:rPr>
      </w:pPr>
      <w:r w:rsidRPr="00F1052B">
        <w:rPr>
          <w:lang w:val="es-ES_tradnl"/>
        </w:rPr>
        <w:t>el número de solicitudes presentadas por personas físicas domiciliadas en distintos Estados; y</w:t>
      </w:r>
    </w:p>
    <w:p w:rsidR="003E4127" w:rsidRDefault="003E4127" w:rsidP="00B40BDC">
      <w:pPr>
        <w:pStyle w:val="ONUMFS"/>
        <w:numPr>
          <w:ilvl w:val="0"/>
          <w:numId w:val="17"/>
        </w:numPr>
        <w:ind w:left="567"/>
        <w:rPr>
          <w:lang w:val="es-ES"/>
        </w:rPr>
      </w:pPr>
      <w:r w:rsidRPr="00F1052B">
        <w:rPr>
          <w:lang w:val="es-ES_tradnl"/>
        </w:rPr>
        <w:t>el número total de solicitudes presentadas por personas, físicas o no, domiciliadas en distintos Estados;</w:t>
      </w:r>
    </w:p>
    <w:p w:rsidR="003E4127" w:rsidRDefault="003E4127" w:rsidP="00B40BDC">
      <w:pPr>
        <w:pStyle w:val="ONUMFS"/>
        <w:numPr>
          <w:ilvl w:val="0"/>
          <w:numId w:val="0"/>
        </w:numPr>
        <w:rPr>
          <w:lang w:val="es-ES"/>
        </w:rPr>
      </w:pPr>
      <w:r w:rsidRPr="00F1052B">
        <w:rPr>
          <w:lang w:val="es-ES_tradnl"/>
        </w:rPr>
        <w:t xml:space="preserve">tanto en los tres años anteriores a la entrada en vigor de los criterios de </w:t>
      </w:r>
      <w:r>
        <w:rPr>
          <w:lang w:val="es-ES_tradnl"/>
        </w:rPr>
        <w:t>admisi</w:t>
      </w:r>
      <w:r w:rsidRPr="00F1052B">
        <w:rPr>
          <w:lang w:val="es-ES_tradnl"/>
        </w:rPr>
        <w:t>bilidad actuales (1 de julio de 2015) como en los tres años posteriores a dicha entrada en vigor.</w:t>
      </w:r>
      <w:r>
        <w:rPr>
          <w:lang w:val="es-ES"/>
        </w:rPr>
        <w:t xml:space="preserve"> </w:t>
      </w:r>
      <w:r w:rsidRPr="00F1052B">
        <w:rPr>
          <w:lang w:val="es-ES_tradnl"/>
        </w:rPr>
        <w:t>Además, se calculan las diferencias entre determinadas cifras correspondientes al período de 12 meses más reciente en comparación con el período de 12 meses inmediatamente anterior a la modificación.</w:t>
      </w:r>
      <w:r>
        <w:rPr>
          <w:lang w:val="es-ES"/>
        </w:rPr>
        <w:t xml:space="preserve"> </w:t>
      </w:r>
      <w:r w:rsidRPr="00FD5CFF">
        <w:rPr>
          <w:lang w:val="es-ES_tradnl"/>
        </w:rPr>
        <w:t>La información proporcionada en el Anexo se divide en cinco partes, según los períodos en que los Estados figuraron en las listas relativas a las dos reducciones.</w:t>
      </w:r>
    </w:p>
    <w:p w:rsidR="003E4127" w:rsidRDefault="003E4127" w:rsidP="003E4127">
      <w:pPr>
        <w:pStyle w:val="Heading3"/>
        <w:rPr>
          <w:lang w:val="es-ES"/>
        </w:rPr>
      </w:pPr>
      <w:r w:rsidRPr="00FD5CFF">
        <w:rPr>
          <w:lang w:val="es-ES_tradnl"/>
        </w:rPr>
        <w:t>Observaciones</w:t>
      </w:r>
    </w:p>
    <w:p w:rsidR="003E4127" w:rsidRDefault="003E4127" w:rsidP="003E4127">
      <w:pPr>
        <w:pStyle w:val="ONUMFS"/>
        <w:rPr>
          <w:lang w:val="es-ES"/>
        </w:rPr>
      </w:pPr>
      <w:r w:rsidRPr="00FD5CFF">
        <w:rPr>
          <w:lang w:val="es-ES_tradnl"/>
        </w:rPr>
        <w:t>Teniendo en cuenta la información que figura en los párrafos 10 a 17 y la información que figura en el Anexo del presente documento, la Oficina Internacional desea formular las observaciones siguientes:</w:t>
      </w:r>
    </w:p>
    <w:p w:rsidR="003E4127" w:rsidRDefault="003E4127" w:rsidP="00B40BDC">
      <w:pPr>
        <w:pStyle w:val="ONUMFS"/>
        <w:numPr>
          <w:ilvl w:val="0"/>
          <w:numId w:val="18"/>
        </w:numPr>
        <w:ind w:left="567"/>
        <w:rPr>
          <w:lang w:val="es-ES"/>
        </w:rPr>
      </w:pPr>
      <w:r w:rsidRPr="00887B5E">
        <w:rPr>
          <w:lang w:val="es-ES_tradnl"/>
        </w:rPr>
        <w:t>Al parecer, el promedio de los años tiende hacia el grado de estabilidad que se pretende lograr.</w:t>
      </w:r>
      <w:r>
        <w:rPr>
          <w:lang w:val="es-ES"/>
        </w:rPr>
        <w:t xml:space="preserve"> </w:t>
      </w:r>
      <w:r w:rsidRPr="00887B5E">
        <w:rPr>
          <w:lang w:val="es-ES_tradnl"/>
        </w:rPr>
        <w:t xml:space="preserve">Solo dos de los diez Estados que en 2015 cumplían los requisitos para </w:t>
      </w:r>
      <w:r>
        <w:rPr>
          <w:lang w:val="es-ES_tradnl"/>
        </w:rPr>
        <w:t>acogerse</w:t>
      </w:r>
      <w:r w:rsidRPr="00887B5E">
        <w:rPr>
          <w:lang w:val="es-ES_tradnl"/>
        </w:rPr>
        <w:t xml:space="preserve"> a las reducciones, debido en gran medida a la crisis financiera mundial, han dejado de reunir los criterios de acuerdo con las cifras mencionadas, a pesar de que otros han vuelto a superar el umbral del PIB, a la luz de las cifras del último año.</w:t>
      </w:r>
    </w:p>
    <w:p w:rsidR="003E4127" w:rsidRDefault="003E4127" w:rsidP="00B40BDC">
      <w:pPr>
        <w:pStyle w:val="ONUMFS"/>
        <w:numPr>
          <w:ilvl w:val="0"/>
          <w:numId w:val="18"/>
        </w:numPr>
        <w:ind w:left="567"/>
        <w:rPr>
          <w:lang w:val="es-ES"/>
        </w:rPr>
      </w:pPr>
      <w:r w:rsidRPr="00887B5E">
        <w:rPr>
          <w:lang w:val="es-ES_tradnl"/>
        </w:rPr>
        <w:t xml:space="preserve">La posibilidad de solicitar una reducción parece afectar a la conducta de los solicitantes, </w:t>
      </w:r>
      <w:r>
        <w:rPr>
          <w:lang w:val="es-ES_tradnl"/>
        </w:rPr>
        <w:t>si bien</w:t>
      </w:r>
      <w:r w:rsidRPr="00887B5E">
        <w:rPr>
          <w:lang w:val="es-ES_tradnl"/>
        </w:rPr>
        <w:t xml:space="preserve"> los efectos son difíciles de evaluar.</w:t>
      </w:r>
      <w:r>
        <w:rPr>
          <w:lang w:val="es-ES"/>
        </w:rPr>
        <w:t xml:space="preserve"> </w:t>
      </w:r>
      <w:r w:rsidRPr="00887B5E">
        <w:rPr>
          <w:lang w:val="es-ES_tradnl"/>
        </w:rPr>
        <w:t xml:space="preserve">Parece que las solicitudes presentadas por personas físicas, tanto en términos relativos como absolutos, así como el nivel de aplicación de las reducciones, se ven fuertemente afectados por factores que no guardan relación con el hecho de que se </w:t>
      </w:r>
      <w:r>
        <w:rPr>
          <w:lang w:val="es-ES_tradnl"/>
        </w:rPr>
        <w:t xml:space="preserve">tenga derecho o no a </w:t>
      </w:r>
      <w:r w:rsidRPr="00887B5E">
        <w:rPr>
          <w:lang w:val="es-ES_tradnl"/>
        </w:rPr>
        <w:t>la reducción.</w:t>
      </w:r>
    </w:p>
    <w:p w:rsidR="003E4127" w:rsidRDefault="003E4127" w:rsidP="00B40BDC">
      <w:pPr>
        <w:pStyle w:val="ONUMFS"/>
        <w:numPr>
          <w:ilvl w:val="0"/>
          <w:numId w:val="18"/>
        </w:numPr>
        <w:ind w:left="567"/>
        <w:rPr>
          <w:lang w:val="es-ES"/>
        </w:rPr>
      </w:pPr>
      <w:r w:rsidRPr="003079DD">
        <w:rPr>
          <w:lang w:val="es-ES_tradnl"/>
        </w:rPr>
        <w:lastRenderedPageBreak/>
        <w:t>Las medidas adoptadas para aclarar que las reducciones no están destinadas a las solicitudes internacionales en las que figure un “titular real” que no cumpla los criterios para beneficiarse de la reducción (véase el documento PCT/A/49/4), sumadas a una mayor sensibilización a ese respecto de las Oficinas receptoras, han reducido considerablemente el número de peticiones de reducción de las tasas presentadas por personas en representación de grandes empresas que no reúnen los requisitos para beneficiarse de la reducción.</w:t>
      </w:r>
    </w:p>
    <w:p w:rsidR="003E4127" w:rsidRDefault="003E4127" w:rsidP="003E4127">
      <w:pPr>
        <w:pStyle w:val="Heading3"/>
        <w:rPr>
          <w:lang w:val="es-ES"/>
        </w:rPr>
      </w:pPr>
      <w:r w:rsidRPr="003079DD">
        <w:rPr>
          <w:lang w:val="es-ES_tradnl"/>
        </w:rPr>
        <w:t>CONSIDERACIÓN por el Grupo de Trabajo</w:t>
      </w:r>
    </w:p>
    <w:p w:rsidR="003E4127" w:rsidRDefault="003E4127" w:rsidP="003E4127">
      <w:pPr>
        <w:pStyle w:val="ONUMFS"/>
        <w:rPr>
          <w:lang w:val="es-ES"/>
        </w:rPr>
      </w:pPr>
      <w:r w:rsidRPr="00440DED">
        <w:rPr>
          <w:lang w:val="es-ES_tradnl"/>
        </w:rPr>
        <w:t>Durante la preparación de la revisión de los criterios por parte de la Asamblea, el Grupo de Trabajo del PCT examinó la cuestión en su duodécima reunión, celebrada en Ginebra del 11 al 14 de junio de 2019, como se indica en los párrafos 63 a 69 del resumen de la presidencia (documento de PCT/WG/12/24, que se reproduce en el Anexo del documento PCT/A/51/1):</w:t>
      </w:r>
    </w:p>
    <w:p w:rsidR="003E4127" w:rsidRDefault="003E4127" w:rsidP="00B40BDC">
      <w:pPr>
        <w:pStyle w:val="ONUMFS"/>
        <w:numPr>
          <w:ilvl w:val="0"/>
          <w:numId w:val="0"/>
        </w:numPr>
        <w:ind w:left="567"/>
        <w:rPr>
          <w:lang w:val="es-ES"/>
        </w:rPr>
      </w:pPr>
      <w:r>
        <w:rPr>
          <w:lang w:val="es-ES"/>
        </w:rPr>
        <w:t>“63.</w:t>
      </w:r>
      <w:r>
        <w:rPr>
          <w:lang w:val="es-ES"/>
        </w:rPr>
        <w:tab/>
      </w:r>
      <w:r w:rsidRPr="00213365">
        <w:rPr>
          <w:lang w:val="es-ES"/>
        </w:rPr>
        <w:t>Los debates se basaron en el documento PCT/WG/12/11.</w:t>
      </w:r>
    </w:p>
    <w:p w:rsidR="003E4127" w:rsidRDefault="003E4127" w:rsidP="00B40BDC">
      <w:pPr>
        <w:pStyle w:val="ONUMFS"/>
        <w:numPr>
          <w:ilvl w:val="0"/>
          <w:numId w:val="0"/>
        </w:numPr>
        <w:ind w:left="567"/>
        <w:rPr>
          <w:lang w:val="es-ES"/>
        </w:rPr>
      </w:pPr>
      <w:r>
        <w:rPr>
          <w:lang w:val="es-ES"/>
        </w:rPr>
        <w:t>64.</w:t>
      </w:r>
      <w:r>
        <w:rPr>
          <w:lang w:val="es-ES"/>
        </w:rPr>
        <w:tab/>
      </w:r>
      <w:r w:rsidRPr="00213365">
        <w:rPr>
          <w:lang w:val="es-ES"/>
        </w:rPr>
        <w:t xml:space="preserve">Todas las delegaciones que hicieron uso de la palabra apoyaron la propuesta de mantener los criterios que se establecen en el punto 5 de la tabla de tasas y de volver a revisar los criterios dentro de cinco años. Una delegación señaló que en el ciclo actual de revisión, basado en el crecimiento de sus economías, cuatro países han ascendido en las categorías de la tabla de tasas del PCT, dos desde el nivel descrito en el punto 5.a) y dos desde el nivel descrito en el punto 5.b), y sugirieron que el sistema de patentes ha tenido algo que ver en tales avances. </w:t>
      </w:r>
    </w:p>
    <w:p w:rsidR="003E4127" w:rsidRDefault="003E4127" w:rsidP="00B40BDC">
      <w:pPr>
        <w:pStyle w:val="ONUMFS"/>
        <w:numPr>
          <w:ilvl w:val="0"/>
          <w:numId w:val="0"/>
        </w:numPr>
        <w:ind w:left="567"/>
        <w:rPr>
          <w:lang w:val="es-ES"/>
        </w:rPr>
      </w:pPr>
      <w:r>
        <w:rPr>
          <w:lang w:val="es-ES"/>
        </w:rPr>
        <w:t>65.</w:t>
      </w:r>
      <w:r>
        <w:rPr>
          <w:lang w:val="es-ES"/>
        </w:rPr>
        <w:tab/>
      </w:r>
      <w:r w:rsidRPr="00213365">
        <w:rPr>
          <w:lang w:val="es-ES"/>
        </w:rPr>
        <w:t>Diversas delegaciones comentaron que las cifras presentadas muestran la importancia de aplicar las reducciones a personas físicas residentes en los países beneficiarios, y señalaron la disminución del número de solicitudes presentadas en los países en que ya no se aplican reducciones. Se sugirió que dichos datos demuestran que las reducciones de tasas específicas son eficaces. Una delegación que representa a un país cuyos residentes fueron destinatarios en 2015 de la reducción de las tasas señaló igualmente que las reducciones de tasas incidieron positivamente, en su caso, en la conducta de los solicitantes. Por otra parte, otra delegación señaló las diferencias en los efectos que se observan entre distintos países muestran que en la conducta en lo que respecta a la presentación de solicitudes inciden también mucho otros factores distintos a la reducción de las tasas.</w:t>
      </w:r>
    </w:p>
    <w:p w:rsidR="003E4127" w:rsidRDefault="003E4127" w:rsidP="00B40BDC">
      <w:pPr>
        <w:pStyle w:val="ONUMFS"/>
        <w:numPr>
          <w:ilvl w:val="0"/>
          <w:numId w:val="0"/>
        </w:numPr>
        <w:ind w:left="567"/>
        <w:rPr>
          <w:lang w:val="es-ES"/>
        </w:rPr>
      </w:pPr>
      <w:r>
        <w:rPr>
          <w:lang w:val="es-ES"/>
        </w:rPr>
        <w:t>66.</w:t>
      </w:r>
      <w:r>
        <w:rPr>
          <w:lang w:val="es-ES"/>
        </w:rPr>
        <w:tab/>
      </w:r>
      <w:r w:rsidRPr="00213365">
        <w:rPr>
          <w:lang w:val="es-ES"/>
        </w:rPr>
        <w:t>Una delegación manifestó su satisfacción por que en el documento se explique que las medidas adoptadas previamente para aclarar los criterios que deben cumplir los solicitantes para poder acceder a las reducciones de tasas han sido eficaces.</w:t>
      </w:r>
    </w:p>
    <w:p w:rsidR="003E4127" w:rsidRDefault="003E4127" w:rsidP="00B40BDC">
      <w:pPr>
        <w:pStyle w:val="ONUMFS"/>
        <w:numPr>
          <w:ilvl w:val="0"/>
          <w:numId w:val="0"/>
        </w:numPr>
        <w:ind w:left="567"/>
        <w:rPr>
          <w:lang w:val="es-ES"/>
        </w:rPr>
      </w:pPr>
      <w:r>
        <w:rPr>
          <w:lang w:val="es-ES"/>
        </w:rPr>
        <w:t>67.</w:t>
      </w:r>
      <w:r>
        <w:rPr>
          <w:lang w:val="es-ES"/>
        </w:rPr>
        <w:tab/>
      </w:r>
      <w:r w:rsidRPr="00213365">
        <w:rPr>
          <w:lang w:val="es-ES"/>
        </w:rPr>
        <w:t>En respuesta a una pregunta relativa al hecho de que las Naciones Unidas ya no publican directamente el producto interno bruto en valores constantes de 200</w:t>
      </w:r>
      <w:r>
        <w:rPr>
          <w:lang w:val="es-ES"/>
        </w:rPr>
        <w:t>5</w:t>
      </w:r>
      <w:r w:rsidRPr="00213365">
        <w:rPr>
          <w:lang w:val="es-ES"/>
        </w:rPr>
        <w:t xml:space="preserve"> de los Estados Unidos de América, la Oficina Internacional señaló que preferiría no modificar la tabla de tasas, puesto que esa idea ya ha sido acordada y siguen publicándose las cifras de ajuste que permiten calcular directamente los valores necesarios.</w:t>
      </w:r>
    </w:p>
    <w:p w:rsidR="003E4127" w:rsidRDefault="003E4127" w:rsidP="00B40BDC">
      <w:pPr>
        <w:pStyle w:val="ONUMFS"/>
        <w:numPr>
          <w:ilvl w:val="0"/>
          <w:numId w:val="0"/>
        </w:numPr>
        <w:ind w:left="567"/>
        <w:rPr>
          <w:lang w:val="es-ES"/>
        </w:rPr>
      </w:pPr>
      <w:r>
        <w:rPr>
          <w:lang w:val="es-ES"/>
        </w:rPr>
        <w:t>68.</w:t>
      </w:r>
      <w:r>
        <w:rPr>
          <w:lang w:val="es-ES"/>
        </w:rPr>
        <w:tab/>
      </w:r>
      <w:r w:rsidRPr="00213365">
        <w:rPr>
          <w:lang w:val="es-ES"/>
        </w:rPr>
        <w:t>Con respecto a una pregunta relativa al término “países en desarrollo” que figura en el título del documento, la Oficina Internacional observó que ese término ha sido utilizado durante muchos años, a lo largo de los cuales el Grupo de Trabajo examinaba una propuesta de revisar los criterios de aplicación de las reducciones de tasas. Si bien la propuesta se refería en general a los “países en desarrollo”, la Oficina Internacional reconoció que no existe una única definición en las Naciones Unidas para el término “países en desarrollo”, y que son los Estados miembros del PCT los que deciden los criterios sobre la reducción de las tasas que se establecen en el punto 5.a).</w:t>
      </w:r>
    </w:p>
    <w:p w:rsidR="003E4127" w:rsidRDefault="003E4127" w:rsidP="00B40BDC">
      <w:pPr>
        <w:pStyle w:val="ONUMFS"/>
        <w:numPr>
          <w:ilvl w:val="0"/>
          <w:numId w:val="0"/>
        </w:numPr>
        <w:ind w:left="1276"/>
        <w:rPr>
          <w:lang w:val="es-ES"/>
        </w:rPr>
      </w:pPr>
      <w:r>
        <w:rPr>
          <w:lang w:val="es-ES"/>
        </w:rPr>
        <w:lastRenderedPageBreak/>
        <w:t>69.</w:t>
      </w:r>
      <w:r>
        <w:rPr>
          <w:lang w:val="es-ES"/>
        </w:rPr>
        <w:tab/>
      </w:r>
      <w:r w:rsidRPr="00213365">
        <w:rPr>
          <w:lang w:val="es-ES"/>
        </w:rPr>
        <w:t>El Grupo de Trabajo convino en recomendar a la Asamblea que se mantengan los criterios que se establecen en el punto 5 de la tabla de tasas de PCT, y que la Asamblea revise de nuevo los criterios dentro de cinco años.</w:t>
      </w:r>
      <w:r>
        <w:rPr>
          <w:lang w:val="es-ES"/>
        </w:rPr>
        <w:t>”</w:t>
      </w:r>
    </w:p>
    <w:p w:rsidR="003E4127" w:rsidRPr="002E7058" w:rsidRDefault="003E4127" w:rsidP="002E7058">
      <w:pPr>
        <w:pStyle w:val="ONUMFS"/>
        <w:ind w:left="5534"/>
        <w:rPr>
          <w:i/>
          <w:lang w:val="es-ES"/>
        </w:rPr>
      </w:pPr>
      <w:r w:rsidRPr="002E7058">
        <w:rPr>
          <w:i/>
          <w:lang w:val="es-ES_tradnl"/>
        </w:rPr>
        <w:t>Se invita a la Asamblea a:</w:t>
      </w:r>
    </w:p>
    <w:p w:rsidR="003E4127" w:rsidRPr="002E7058" w:rsidRDefault="003E4127" w:rsidP="002E7058">
      <w:pPr>
        <w:pStyle w:val="ONUMFS"/>
        <w:numPr>
          <w:ilvl w:val="0"/>
          <w:numId w:val="19"/>
        </w:numPr>
        <w:ind w:left="6237"/>
        <w:rPr>
          <w:i/>
          <w:lang w:val="es-ES"/>
        </w:rPr>
      </w:pPr>
      <w:r w:rsidRPr="002E7058">
        <w:rPr>
          <w:i/>
          <w:lang w:val="es-ES_tradnl"/>
        </w:rPr>
        <w:t>decidir, tras haber examinado los criterios expuestos en el punto 5 de la Tabla de tasas del PCT, que se mantengan esos criterios; y</w:t>
      </w:r>
    </w:p>
    <w:p w:rsidR="003E4127" w:rsidRPr="002E7058" w:rsidRDefault="003E4127" w:rsidP="002E7058">
      <w:pPr>
        <w:pStyle w:val="ONUMFS"/>
        <w:numPr>
          <w:ilvl w:val="0"/>
          <w:numId w:val="19"/>
        </w:numPr>
        <w:ind w:left="6237"/>
        <w:rPr>
          <w:i/>
          <w:lang w:val="es-ES"/>
        </w:rPr>
      </w:pPr>
      <w:r w:rsidRPr="002E7058">
        <w:rPr>
          <w:i/>
          <w:lang w:val="es-ES_tradnl"/>
        </w:rPr>
        <w:t>decidir que la Asamblea vuelva a examinar esos criterios dentro de cinco años, como se estipula en la Tabla de tasas.</w:t>
      </w:r>
    </w:p>
    <w:p w:rsidR="003E4127" w:rsidRDefault="003E4127" w:rsidP="002E7058">
      <w:pPr>
        <w:ind w:left="6237"/>
        <w:rPr>
          <w:lang w:val="es-ES"/>
        </w:rPr>
      </w:pPr>
    </w:p>
    <w:p w:rsidR="003E4127" w:rsidRPr="00963980" w:rsidRDefault="003E4127" w:rsidP="003E4127">
      <w:pPr>
        <w:pStyle w:val="Endofdocument-Annex"/>
        <w:rPr>
          <w:lang w:val="es-ES"/>
        </w:rPr>
        <w:sectPr w:rsidR="003E4127" w:rsidRPr="00963980" w:rsidSect="00C375E7">
          <w:headerReference w:type="default" r:id="rId9"/>
          <w:endnotePr>
            <w:numFmt w:val="decimal"/>
          </w:endnotePr>
          <w:pgSz w:w="11907" w:h="16840" w:code="9"/>
          <w:pgMar w:top="567" w:right="1134" w:bottom="1418" w:left="1418" w:header="510" w:footer="1021" w:gutter="0"/>
          <w:cols w:space="720"/>
          <w:titlePg/>
          <w:docGrid w:linePitch="299"/>
        </w:sectPr>
      </w:pPr>
      <w:r w:rsidRPr="0090775E">
        <w:rPr>
          <w:lang w:val="es-ES_tradnl"/>
        </w:rPr>
        <w:t>[Sigue el Anexo]</w:t>
      </w:r>
    </w:p>
    <w:p w:rsidR="003E4127" w:rsidRDefault="003E4127" w:rsidP="003E4127">
      <w:pPr>
        <w:jc w:val="center"/>
        <w:rPr>
          <w:lang w:val="es-ES"/>
        </w:rPr>
      </w:pPr>
    </w:p>
    <w:p w:rsidR="003E4127" w:rsidRDefault="003E4127" w:rsidP="003E4127">
      <w:pPr>
        <w:jc w:val="center"/>
        <w:rPr>
          <w:lang w:val="es-ES"/>
        </w:rPr>
      </w:pPr>
      <w:r w:rsidRPr="0090775E">
        <w:rPr>
          <w:lang w:val="es-ES_tradnl"/>
        </w:rPr>
        <w:t>EVOLUCIÓN DE LA PRESENTACIÓN DE SOLICITUDES INTERNACIONALES</w:t>
      </w:r>
    </w:p>
    <w:p w:rsidR="003E4127" w:rsidRDefault="003E4127" w:rsidP="003E4127">
      <w:pPr>
        <w:rPr>
          <w:lang w:val="es-ES"/>
        </w:rPr>
      </w:pPr>
    </w:p>
    <w:p w:rsidR="003E4127" w:rsidRDefault="003E4127" w:rsidP="003E4127">
      <w:pPr>
        <w:rPr>
          <w:lang w:val="es-ES"/>
        </w:rPr>
      </w:pPr>
      <w:r w:rsidRPr="0090775E">
        <w:rPr>
          <w:lang w:val="es-ES_tradnl"/>
        </w:rPr>
        <w:t>En estos cuadros:</w:t>
      </w:r>
    </w:p>
    <w:p w:rsidR="003E4127" w:rsidRDefault="003E4127" w:rsidP="003E4127">
      <w:pPr>
        <w:rPr>
          <w:lang w:val="es-ES"/>
        </w:rPr>
      </w:pPr>
    </w:p>
    <w:p w:rsidR="003E4127" w:rsidRPr="00D306A0" w:rsidRDefault="003E4127" w:rsidP="003E4127">
      <w:pPr>
        <w:pStyle w:val="ListParagraph"/>
        <w:numPr>
          <w:ilvl w:val="0"/>
          <w:numId w:val="15"/>
        </w:numPr>
        <w:rPr>
          <w:lang w:val="es-ES"/>
        </w:rPr>
      </w:pPr>
      <w:r w:rsidRPr="00D306A0">
        <w:rPr>
          <w:lang w:val="es-ES_tradnl"/>
        </w:rPr>
        <w:t>“a-1” representa el período de 12 meses inmediatamente anterior a la modificación de los criterios de admisibilidad correspondiente al 1 de julio de 2015; “a+1” representa el período de 12 meses inmediatamente posterior, y así sucesivamente.</w:t>
      </w:r>
    </w:p>
    <w:p w:rsidR="003E4127" w:rsidRDefault="003E4127" w:rsidP="003E4127">
      <w:pPr>
        <w:rPr>
          <w:lang w:val="es-ES"/>
        </w:rPr>
      </w:pPr>
    </w:p>
    <w:p w:rsidR="003E4127" w:rsidRPr="00D306A0" w:rsidRDefault="003E4127" w:rsidP="003E4127">
      <w:pPr>
        <w:pStyle w:val="ListParagraph"/>
        <w:numPr>
          <w:ilvl w:val="0"/>
          <w:numId w:val="15"/>
        </w:numPr>
        <w:rPr>
          <w:lang w:val="es-ES"/>
        </w:rPr>
      </w:pPr>
      <w:r w:rsidRPr="00D306A0">
        <w:rPr>
          <w:lang w:val="es-ES_tradnl"/>
        </w:rPr>
        <w:t>En cada período de cada Estado figuran tres valores con el formato “a / b / c”, donde “a” es el número de reducciones de tasas pedidas por personas domiciliadas en el Estado en cuestión, “b” es el número de solicitudes internacionales presentadas por personas físicas domiciliadas en el Estado en cuestión y “c” es el número total de solicitudes internacionales presentadas por personas domiciliadas en el Estado en cuestión (personas físicas o no).</w:t>
      </w:r>
    </w:p>
    <w:p w:rsidR="003E4127" w:rsidRDefault="003E4127" w:rsidP="003E4127">
      <w:pPr>
        <w:rPr>
          <w:lang w:val="es-ES"/>
        </w:rPr>
      </w:pPr>
    </w:p>
    <w:p w:rsidR="003E4127" w:rsidRPr="00D306A0" w:rsidRDefault="003E4127" w:rsidP="003E4127">
      <w:pPr>
        <w:pStyle w:val="ListParagraph"/>
        <w:numPr>
          <w:ilvl w:val="0"/>
          <w:numId w:val="15"/>
        </w:numPr>
        <w:rPr>
          <w:lang w:val="es-ES"/>
        </w:rPr>
      </w:pPr>
      <w:r w:rsidRPr="00D306A0">
        <w:rPr>
          <w:lang w:val="es-ES_tradnl"/>
        </w:rPr>
        <w:t>En las últimas cuatro columnas se comparan las solicitudes entre los últimos 12 meses (a+3: del 1 de julio de 2017 al 30 de junio de 2018) y los 12 meses inmediatamente anteriores a la modificación de los criterios para acogerse a la reducción de las tasas.</w:t>
      </w:r>
      <w:r w:rsidRPr="00D306A0">
        <w:rPr>
          <w:lang w:val="es-ES"/>
        </w:rPr>
        <w:t xml:space="preserve"> </w:t>
      </w:r>
      <w:r w:rsidRPr="00D306A0">
        <w:rPr>
          <w:lang w:val="es-ES_tradnl"/>
        </w:rPr>
        <w:t>En las dos primeras de estas cuatro columnas se muestra una estimación del porcentaje de todas las solicitudes presentadas por personas domiciliadas en los Estados que pidieron la reducción de las tasas en cada uno de los dos años.</w:t>
      </w:r>
      <w:r w:rsidRPr="00D306A0">
        <w:rPr>
          <w:lang w:val="es-ES"/>
        </w:rPr>
        <w:t xml:space="preserve"> </w:t>
      </w:r>
      <w:r w:rsidRPr="00D306A0">
        <w:rPr>
          <w:lang w:val="es-ES_tradnl"/>
        </w:rPr>
        <w:t>En las dos últimas columnas se indica la variación porcentual del número de solicitudes presentadas por personas domiciliadas en el Estado en cuestión entre ambos años, en total y con respecto a las solicitudes en las que solo figuran como solicitantes personas físicas.</w:t>
      </w:r>
    </w:p>
    <w:p w:rsidR="003E4127" w:rsidRDefault="003E4127" w:rsidP="003E4127">
      <w:pPr>
        <w:rPr>
          <w:lang w:val="es-ES"/>
        </w:rPr>
      </w:pPr>
    </w:p>
    <w:p w:rsidR="003E4127" w:rsidRDefault="003E4127" w:rsidP="003E4127">
      <w:pPr>
        <w:rPr>
          <w:lang w:val="es-ES"/>
        </w:rPr>
      </w:pPr>
      <w:r w:rsidRPr="002A7D04">
        <w:rPr>
          <w:lang w:val="es-ES_tradnl"/>
        </w:rPr>
        <w:t xml:space="preserve">La lista incluye únicamente aquellos Estados en los que al menos en una solicitud internacional figura como primer solicitante una persona domiciliada en el Estado durante el </w:t>
      </w:r>
      <w:r>
        <w:rPr>
          <w:lang w:val="es-ES_tradnl"/>
        </w:rPr>
        <w:t>período</w:t>
      </w:r>
      <w:r w:rsidRPr="002A7D04">
        <w:rPr>
          <w:lang w:val="es-ES_tradnl"/>
        </w:rPr>
        <w:t xml:space="preserve"> en cuestión.</w:t>
      </w:r>
    </w:p>
    <w:p w:rsidR="003E4127" w:rsidRPr="00963980" w:rsidRDefault="003E4127" w:rsidP="003E4127">
      <w:pPr>
        <w:rPr>
          <w:lang w:val="es-ES"/>
        </w:rPr>
      </w:pPr>
      <w:r w:rsidRPr="00963980">
        <w:rPr>
          <w:lang w:val="es-ES"/>
        </w:rPr>
        <w:br w:type="page"/>
      </w:r>
    </w:p>
    <w:tbl>
      <w:tblPr>
        <w:tblW w:w="0" w:type="auto"/>
        <w:tblLook w:val="04A0" w:firstRow="1" w:lastRow="0" w:firstColumn="1" w:lastColumn="0" w:noHBand="0" w:noVBand="1"/>
      </w:tblPr>
      <w:tblGrid>
        <w:gridCol w:w="2511"/>
        <w:gridCol w:w="1207"/>
        <w:gridCol w:w="1273"/>
        <w:gridCol w:w="1272"/>
        <w:gridCol w:w="1270"/>
        <w:gridCol w:w="1270"/>
        <w:gridCol w:w="1270"/>
        <w:gridCol w:w="1314"/>
        <w:gridCol w:w="1314"/>
        <w:gridCol w:w="1072"/>
        <w:gridCol w:w="1072"/>
      </w:tblGrid>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ind w:left="567" w:hanging="567"/>
              <w:rPr>
                <w:sz w:val="20"/>
                <w:lang w:val="es-ES"/>
              </w:rPr>
            </w:pPr>
          </w:p>
          <w:p w:rsidR="003E4127" w:rsidRDefault="003E4127" w:rsidP="00C375E7">
            <w:pPr>
              <w:ind w:left="567" w:hanging="567"/>
              <w:rPr>
                <w:b/>
                <w:i/>
                <w:sz w:val="20"/>
                <w:lang w:val="es-ES"/>
              </w:rPr>
            </w:pPr>
            <w:r w:rsidRPr="00963980">
              <w:rPr>
                <w:b/>
                <w:i/>
                <w:sz w:val="20"/>
                <w:lang w:val="es-ES"/>
              </w:rPr>
              <w:t>A.</w:t>
            </w:r>
            <w:r>
              <w:rPr>
                <w:b/>
                <w:i/>
                <w:sz w:val="20"/>
                <w:lang w:val="es-ES"/>
              </w:rPr>
              <w:t xml:space="preserve"> </w:t>
            </w:r>
            <w:r w:rsidRPr="00C76AC1">
              <w:rPr>
                <w:b/>
                <w:i/>
                <w:sz w:val="20"/>
                <w:lang w:val="es-ES_tradnl"/>
              </w:rPr>
              <w:t>Estados incluidos en la lista con anterioridad al 1 de julio de 2015, pero no posteriormente</w:t>
            </w:r>
          </w:p>
          <w:p w:rsidR="003E4127" w:rsidRPr="00963980" w:rsidRDefault="003E4127" w:rsidP="00C375E7">
            <w:pPr>
              <w:ind w:left="567" w:hanging="567"/>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_tradnl"/>
              </w:rPr>
              <w:t>Código ST.3,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_tradnl"/>
              </w:rPr>
              <w:t>Solicitudes presentadas antes del 1 de julio de 2015</w:t>
            </w:r>
          </w:p>
          <w:p w:rsidR="003E4127" w:rsidRPr="008851A5" w:rsidRDefault="003E4127" w:rsidP="00C375E7">
            <w:pPr>
              <w:rPr>
                <w:b/>
                <w:sz w:val="18"/>
                <w:lang w:val="es-ES"/>
              </w:rPr>
            </w:pPr>
            <w:r w:rsidRPr="008851A5">
              <w:rPr>
                <w:i/>
                <w:sz w:val="18"/>
                <w:lang w:val="es-ES_tradnl"/>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Default="003E4127" w:rsidP="00C375E7">
            <w:pPr>
              <w:rPr>
                <w:sz w:val="18"/>
                <w:lang w:val="es-ES_tradnl"/>
              </w:rPr>
            </w:pPr>
            <w:r w:rsidRPr="008851A5">
              <w:rPr>
                <w:b/>
                <w:sz w:val="18"/>
                <w:lang w:val="es-ES_tradnl"/>
              </w:rPr>
              <w:t>Solicitudes presentadas a partir del 1 de julio de 2015</w:t>
            </w:r>
            <w:r w:rsidRPr="008851A5">
              <w:rPr>
                <w:sz w:val="18"/>
                <w:lang w:val="es-ES_tradnl"/>
              </w:rPr>
              <w:t xml:space="preserve"> </w:t>
            </w:r>
          </w:p>
          <w:p w:rsidR="003E4127" w:rsidRPr="008851A5" w:rsidRDefault="003E4127" w:rsidP="00C375E7">
            <w:pPr>
              <w:rPr>
                <w:b/>
                <w:sz w:val="18"/>
                <w:lang w:val="es-ES"/>
              </w:rPr>
            </w:pPr>
            <w:r w:rsidRPr="008851A5">
              <w:rPr>
                <w:i/>
                <w:sz w:val="18"/>
                <w:lang w:val="es-ES_tradnl"/>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_tradnl"/>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_tradnl"/>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b/>
                <w:sz w:val="20"/>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center"/>
              <w:rPr>
                <w:b/>
                <w:sz w:val="20"/>
                <w:lang w:val="es-ES"/>
              </w:rPr>
            </w:pPr>
            <w:r w:rsidRPr="008851A5">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693C35">
              <w:rPr>
                <w:sz w:val="20"/>
              </w:rPr>
              <w:t>AE</w:t>
            </w:r>
            <w:r w:rsidRPr="00693C35">
              <w:rPr>
                <w:sz w:val="20"/>
              </w:rPr>
              <w:tab/>
            </w:r>
            <w:r>
              <w:rPr>
                <w:sz w:val="20"/>
              </w:rPr>
              <w:t>Emiratos Árabes Unidos</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19 / 25</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29 / 29 / 76</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22 / 92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 / 81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 / 79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20 / 99</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-9%</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693C35">
              <w:rPr>
                <w:sz w:val="20"/>
              </w:rPr>
              <w:t>SG</w:t>
            </w:r>
            <w:r w:rsidRPr="00693C35">
              <w:rPr>
                <w:sz w:val="20"/>
              </w:rPr>
              <w:tab/>
            </w:r>
            <w:r>
              <w:rPr>
                <w:sz w:val="20"/>
              </w:rPr>
              <w:t>Singapur</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29 / 31 / 405</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59 / 71 / 925</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62 / 72 / 922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26 / 886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41 / 895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27 / 839</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-9%</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-63%</w:t>
            </w:r>
          </w:p>
        </w:tc>
      </w:tr>
    </w:tbl>
    <w:p w:rsidR="003E4127" w:rsidRPr="00963980" w:rsidRDefault="003E4127" w:rsidP="003E4127">
      <w:pPr>
        <w:rPr>
          <w:lang w:val="es-ES"/>
        </w:rPr>
      </w:pPr>
      <w:r w:rsidRPr="00963980">
        <w:rPr>
          <w:lang w:val="es-ES"/>
        </w:rPr>
        <w:br w:type="page"/>
      </w:r>
    </w:p>
    <w:tbl>
      <w:tblPr>
        <w:tblW w:w="0" w:type="auto"/>
        <w:tblLook w:val="04A0" w:firstRow="1" w:lastRow="0" w:firstColumn="1" w:lastColumn="0" w:noHBand="0" w:noVBand="1"/>
      </w:tblPr>
      <w:tblGrid>
        <w:gridCol w:w="2511"/>
        <w:gridCol w:w="1207"/>
        <w:gridCol w:w="1273"/>
        <w:gridCol w:w="1272"/>
        <w:gridCol w:w="1270"/>
        <w:gridCol w:w="1270"/>
        <w:gridCol w:w="1270"/>
        <w:gridCol w:w="1314"/>
        <w:gridCol w:w="1314"/>
        <w:gridCol w:w="1072"/>
        <w:gridCol w:w="1072"/>
      </w:tblGrid>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keepNext/>
              <w:ind w:left="567" w:hanging="567"/>
              <w:rPr>
                <w:sz w:val="20"/>
                <w:lang w:val="es-ES"/>
              </w:rPr>
            </w:pPr>
          </w:p>
          <w:p w:rsidR="003E4127" w:rsidRDefault="003E4127" w:rsidP="00C375E7">
            <w:pPr>
              <w:keepNext/>
              <w:ind w:left="567" w:hanging="567"/>
              <w:rPr>
                <w:b/>
                <w:i/>
                <w:sz w:val="20"/>
                <w:lang w:val="es-ES"/>
              </w:rPr>
            </w:pPr>
            <w:r w:rsidRPr="00963980">
              <w:rPr>
                <w:b/>
                <w:i/>
                <w:sz w:val="20"/>
                <w:lang w:val="es-ES"/>
              </w:rPr>
              <w:t>B.</w:t>
            </w:r>
            <w:r>
              <w:rPr>
                <w:b/>
                <w:i/>
                <w:sz w:val="20"/>
                <w:lang w:val="es-ES"/>
              </w:rPr>
              <w:t xml:space="preserve"> </w:t>
            </w:r>
            <w:r w:rsidRPr="00F01F1D">
              <w:rPr>
                <w:b/>
                <w:i/>
                <w:sz w:val="20"/>
                <w:lang w:val="es-ES_tradnl"/>
              </w:rPr>
              <w:t>Estados incluidos en la lista a partir del 1 de julio de 2015, pero no anteriormente</w:t>
            </w:r>
          </w:p>
          <w:p w:rsidR="003E4127" w:rsidRPr="00963980" w:rsidRDefault="003E4127" w:rsidP="00C375E7">
            <w:pPr>
              <w:keepNext/>
              <w:jc w:val="right"/>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Código ST.3,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Solicitudes presentadas antes del 1 de julio de 2015</w:t>
            </w:r>
          </w:p>
          <w:p w:rsidR="003E4127" w:rsidRPr="008851A5" w:rsidRDefault="003E4127" w:rsidP="00C375E7">
            <w:pPr>
              <w:rPr>
                <w:b/>
                <w:sz w:val="18"/>
                <w:lang w:val="es-ES"/>
              </w:rPr>
            </w:pPr>
            <w:r w:rsidRPr="008851A5">
              <w:rPr>
                <w:i/>
                <w:sz w:val="18"/>
                <w:lang w:val="es-ES"/>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rPr>
                <w:b/>
                <w:sz w:val="18"/>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ind w:left="454" w:hanging="454"/>
              <w:rPr>
                <w:sz w:val="20"/>
                <w:lang w:val="es-ES"/>
              </w:rPr>
            </w:pPr>
            <w:r w:rsidRPr="00963980">
              <w:rPr>
                <w:sz w:val="20"/>
                <w:lang w:val="es-ES"/>
              </w:rPr>
              <w:t>BS</w:t>
            </w:r>
            <w:r w:rsidRPr="00963980">
              <w:rPr>
                <w:sz w:val="20"/>
                <w:lang w:val="es-ES"/>
              </w:rPr>
              <w:tab/>
              <w:t>Bahamas</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7</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1 / 12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4</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-43%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ind w:left="454" w:hanging="454"/>
              <w:rPr>
                <w:sz w:val="20"/>
                <w:lang w:val="es-ES"/>
              </w:rPr>
            </w:pPr>
            <w:r w:rsidRPr="00963980">
              <w:rPr>
                <w:sz w:val="20"/>
                <w:lang w:val="es-ES"/>
              </w:rPr>
              <w:t>CY</w:t>
            </w:r>
            <w:r w:rsidRPr="00963980">
              <w:rPr>
                <w:sz w:val="20"/>
                <w:lang w:val="es-ES"/>
              </w:rPr>
              <w:tab/>
            </w:r>
            <w:r>
              <w:rPr>
                <w:sz w:val="20"/>
                <w:lang w:val="es-ES"/>
              </w:rPr>
              <w:t>Chipre</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0 / 16</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6 / 42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2 / 55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8 / 8 / 55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6 / 2 / 42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6 / 4 / 47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-15%</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+100%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ind w:left="454" w:hanging="454"/>
              <w:rPr>
                <w:sz w:val="20"/>
                <w:lang w:val="es-ES"/>
              </w:rPr>
            </w:pPr>
            <w:r w:rsidRPr="00963980">
              <w:rPr>
                <w:sz w:val="20"/>
                <w:lang w:val="es-ES"/>
              </w:rPr>
              <w:t>GR</w:t>
            </w:r>
            <w:r w:rsidRPr="00963980">
              <w:rPr>
                <w:sz w:val="20"/>
                <w:lang w:val="es-ES"/>
              </w:rPr>
              <w:tab/>
            </w:r>
            <w:r>
              <w:rPr>
                <w:sz w:val="20"/>
                <w:lang w:val="es-ES"/>
              </w:rPr>
              <w:t>Grecia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33 / 54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60 / 111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0 / 62 / 126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43 / 58 / 114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50 / 66 / 115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45 / 53 / 125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36%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-15%</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MT</w:t>
            </w:r>
            <w:r w:rsidRPr="00963980">
              <w:rPr>
                <w:sz w:val="20"/>
                <w:lang w:val="es-ES"/>
              </w:rPr>
              <w:tab/>
              <w:t>Malta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37</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73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67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79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88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44</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-34%</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PT</w:t>
            </w:r>
            <w:r w:rsidRPr="00963980">
              <w:rPr>
                <w:sz w:val="20"/>
                <w:lang w:val="es-ES"/>
              </w:rPr>
              <w:tab/>
              <w:t>Portugal</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12 / 84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 / 144</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27 / 160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18 / 167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29 / 186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30 / 216</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+35%</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SA</w:t>
            </w:r>
            <w:r w:rsidRPr="00963980">
              <w:rPr>
                <w:sz w:val="20"/>
                <w:lang w:val="es-ES"/>
              </w:rPr>
              <w:tab/>
            </w:r>
            <w:r>
              <w:rPr>
                <w:sz w:val="20"/>
                <w:lang w:val="es-ES"/>
              </w:rPr>
              <w:t>Arabia Saudita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101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13 / 257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 / 359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28 / 34 / 273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26 / 46 / 358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28 / 42 / 471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SI</w:t>
            </w:r>
            <w:r w:rsidRPr="00963980">
              <w:rPr>
                <w:sz w:val="20"/>
                <w:lang w:val="es-ES"/>
              </w:rPr>
              <w:tab/>
            </w:r>
            <w:r>
              <w:rPr>
                <w:sz w:val="20"/>
                <w:lang w:val="es-ES"/>
              </w:rPr>
              <w:t>Eslovenia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16 / 63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19 / 127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14 / 133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16 / 19 / 76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17 / 70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31 / 38 / 134</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+171%</w:t>
            </w:r>
          </w:p>
        </w:tc>
      </w:tr>
    </w:tbl>
    <w:p w:rsidR="003E4127" w:rsidRPr="00963980" w:rsidRDefault="003E4127" w:rsidP="003E4127">
      <w:pPr>
        <w:rPr>
          <w:lang w:val="es-ES"/>
        </w:rPr>
      </w:pPr>
      <w:r w:rsidRPr="00963980">
        <w:rPr>
          <w:lang w:val="es-ES"/>
        </w:rPr>
        <w:br w:type="page"/>
      </w:r>
    </w:p>
    <w:tbl>
      <w:tblPr>
        <w:tblW w:w="14845" w:type="dxa"/>
        <w:tblLook w:val="04A0" w:firstRow="1" w:lastRow="0" w:firstColumn="1" w:lastColumn="0" w:noHBand="0" w:noVBand="1"/>
      </w:tblPr>
      <w:tblGrid>
        <w:gridCol w:w="2405"/>
        <w:gridCol w:w="1313"/>
        <w:gridCol w:w="1273"/>
        <w:gridCol w:w="1272"/>
        <w:gridCol w:w="1270"/>
        <w:gridCol w:w="1270"/>
        <w:gridCol w:w="1270"/>
        <w:gridCol w:w="1314"/>
        <w:gridCol w:w="1314"/>
        <w:gridCol w:w="1072"/>
        <w:gridCol w:w="1072"/>
      </w:tblGrid>
      <w:tr w:rsidR="003E4127" w:rsidRPr="005E4C87" w:rsidTr="0016601B">
        <w:trPr>
          <w:cantSplit/>
          <w:trHeight w:val="300"/>
        </w:trPr>
        <w:tc>
          <w:tcPr>
            <w:tcW w:w="14845"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ind w:left="567" w:hanging="567"/>
              <w:rPr>
                <w:sz w:val="20"/>
                <w:lang w:val="es-ES"/>
              </w:rPr>
            </w:pPr>
          </w:p>
          <w:p w:rsidR="003E4127" w:rsidRDefault="003E4127" w:rsidP="00C375E7">
            <w:pPr>
              <w:ind w:left="567" w:hanging="567"/>
              <w:rPr>
                <w:b/>
                <w:i/>
                <w:sz w:val="20"/>
                <w:lang w:val="es-ES"/>
              </w:rPr>
            </w:pPr>
            <w:r w:rsidRPr="00963980">
              <w:rPr>
                <w:b/>
                <w:i/>
                <w:sz w:val="20"/>
                <w:lang w:val="es-ES"/>
              </w:rPr>
              <w:t>C.</w:t>
            </w:r>
            <w:r>
              <w:rPr>
                <w:b/>
                <w:i/>
                <w:sz w:val="20"/>
                <w:lang w:val="es-ES"/>
              </w:rPr>
              <w:t xml:space="preserve"> </w:t>
            </w:r>
            <w:r w:rsidRPr="00F01F1D">
              <w:rPr>
                <w:b/>
                <w:i/>
                <w:sz w:val="20"/>
                <w:lang w:val="es-ES_tradnl"/>
              </w:rPr>
              <w:t>Estados incluidos en la lista durante todo el período</w:t>
            </w:r>
          </w:p>
          <w:p w:rsidR="003E4127" w:rsidRPr="00963980" w:rsidRDefault="003E4127" w:rsidP="00C375E7">
            <w:pPr>
              <w:ind w:left="567" w:hanging="567"/>
              <w:rPr>
                <w:sz w:val="20"/>
                <w:lang w:val="es-ES"/>
              </w:rPr>
            </w:pPr>
          </w:p>
        </w:tc>
      </w:tr>
      <w:tr w:rsidR="003E4127" w:rsidRPr="005E4C87" w:rsidTr="0016601B">
        <w:trPr>
          <w:cantSplit/>
          <w:trHeight w:val="300"/>
          <w:tblHeader/>
        </w:trPr>
        <w:tc>
          <w:tcPr>
            <w:tcW w:w="2405"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Código ST.3</w:t>
            </w:r>
            <w:r w:rsidR="00BC259E">
              <w:rPr>
                <w:b/>
                <w:sz w:val="18"/>
                <w:lang w:val="es-ES"/>
              </w:rPr>
              <w:t>.</w:t>
            </w:r>
            <w:r w:rsidRPr="008851A5">
              <w:rPr>
                <w:b/>
                <w:sz w:val="18"/>
                <w:lang w:val="es-ES"/>
              </w:rPr>
              <w:t xml:space="preserve"> Estado</w:t>
            </w:r>
          </w:p>
        </w:tc>
        <w:tc>
          <w:tcPr>
            <w:tcW w:w="3858"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Solicitudes presentadas antes del 1 de julio de 2015</w:t>
            </w:r>
          </w:p>
          <w:p w:rsidR="003E4127" w:rsidRPr="008851A5" w:rsidRDefault="003E4127" w:rsidP="00C375E7">
            <w:pPr>
              <w:rPr>
                <w:b/>
                <w:sz w:val="18"/>
                <w:lang w:val="es-ES"/>
              </w:rPr>
            </w:pPr>
            <w:r w:rsidRPr="008851A5">
              <w:rPr>
                <w:i/>
                <w:sz w:val="18"/>
                <w:lang w:val="es-ES"/>
              </w:rPr>
              <w:t>(con reducción / únicamente por personas físicas / total)</w:t>
            </w:r>
          </w:p>
        </w:tc>
        <w:tc>
          <w:tcPr>
            <w:tcW w:w="3810"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2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
              </w:rPr>
              <w:t>% de todas las solicitudes con reducción</w:t>
            </w:r>
          </w:p>
        </w:tc>
        <w:tc>
          <w:tcPr>
            <w:tcW w:w="2144"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jc w:val="center"/>
              <w:rPr>
                <w:b/>
                <w:sz w:val="18"/>
                <w:lang w:val="es-ES"/>
              </w:rPr>
            </w:pPr>
            <w:r w:rsidRPr="008851A5">
              <w:rPr>
                <w:b/>
                <w:sz w:val="18"/>
                <w:lang w:val="es-ES"/>
              </w:rPr>
              <w:t>% evolución de la presentación de solicitudes internacionales</w:t>
            </w:r>
          </w:p>
        </w:tc>
      </w:tr>
      <w:tr w:rsidR="003E4127" w:rsidRPr="00963980" w:rsidTr="0016601B">
        <w:trPr>
          <w:cantSplit/>
          <w:trHeight w:val="300"/>
          <w:tblHeader/>
        </w:trPr>
        <w:tc>
          <w:tcPr>
            <w:tcW w:w="2405"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rPr>
                <w:b/>
                <w:sz w:val="18"/>
                <w:lang w:val="es-ES"/>
              </w:rPr>
            </w:pP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a+3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Total</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jc w:val="center"/>
              <w:rPr>
                <w:b/>
                <w:sz w:val="18"/>
                <w:lang w:val="es-ES"/>
              </w:rPr>
            </w:pPr>
            <w:r w:rsidRPr="008851A5">
              <w:rPr>
                <w:b/>
                <w:sz w:val="18"/>
                <w:lang w:val="es-ES"/>
              </w:rPr>
              <w:t>Personas físicas</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AG</w:t>
            </w:r>
            <w:r w:rsidRPr="00963980">
              <w:rPr>
                <w:sz w:val="20"/>
                <w:lang w:val="es-ES"/>
              </w:rPr>
              <w:tab/>
            </w:r>
            <w:r>
              <w:rPr>
                <w:sz w:val="20"/>
                <w:lang w:val="es-ES"/>
              </w:rPr>
              <w:t>Antigua y Barbuda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76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AL</w:t>
            </w:r>
            <w:r w:rsidRPr="00963980">
              <w:rPr>
                <w:sz w:val="20"/>
                <w:lang w:val="es-ES"/>
              </w:rPr>
              <w:tab/>
              <w:t>Albania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5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AM</w:t>
            </w:r>
            <w:r w:rsidRPr="00963980">
              <w:rPr>
                <w:sz w:val="20"/>
                <w:lang w:val="es-ES"/>
              </w:rPr>
              <w:tab/>
              <w:t>Armenia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11 / 12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5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AR</w:t>
            </w:r>
            <w:r w:rsidRPr="00963980">
              <w:rPr>
                <w:sz w:val="20"/>
                <w:lang w:val="es-ES"/>
              </w:rPr>
              <w:tab/>
              <w:t>Argentina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12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17 / 33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9 / 25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22 / 37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16 / 43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22 / 34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+144%</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AZ</w:t>
            </w:r>
            <w:r w:rsidRPr="00963980">
              <w:rPr>
                <w:sz w:val="20"/>
                <w:lang w:val="es-ES"/>
              </w:rPr>
              <w:tab/>
            </w:r>
            <w:r>
              <w:rPr>
                <w:sz w:val="20"/>
                <w:lang w:val="es-ES"/>
              </w:rPr>
              <w:t>Azerbaiyán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16 / 21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BA</w:t>
            </w:r>
            <w:r w:rsidRPr="00963980">
              <w:rPr>
                <w:sz w:val="20"/>
                <w:lang w:val="es-ES"/>
              </w:rPr>
              <w:tab/>
            </w:r>
            <w:r>
              <w:rPr>
                <w:sz w:val="20"/>
                <w:lang w:val="es-ES"/>
              </w:rPr>
              <w:t>Bosnia y Herzegovina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4</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6 / 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BB</w:t>
            </w:r>
            <w:r w:rsidRPr="00963980">
              <w:rPr>
                <w:sz w:val="20"/>
                <w:lang w:val="es-ES"/>
              </w:rPr>
              <w:tab/>
              <w:t>Barbados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81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157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173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116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163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84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BG</w:t>
            </w:r>
            <w:r w:rsidRPr="00963980">
              <w:rPr>
                <w:sz w:val="20"/>
                <w:lang w:val="es-ES"/>
              </w:rPr>
              <w:tab/>
              <w:t>Bulgaria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15 / 33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25 / 28 / 54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26 / 57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 / 26 / 51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14 / 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22 / 26 / 63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BH</w:t>
            </w:r>
            <w:r w:rsidRPr="00963980">
              <w:rPr>
                <w:sz w:val="20"/>
                <w:lang w:val="es-ES"/>
              </w:rPr>
              <w:tab/>
            </w:r>
            <w:r>
              <w:rPr>
                <w:sz w:val="20"/>
                <w:lang w:val="es-ES"/>
              </w:rPr>
              <w:t>Bahrein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4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6F3304" w:rsidRDefault="003E4127" w:rsidP="00C375E7">
            <w:pPr>
              <w:ind w:left="454" w:hanging="454"/>
              <w:rPr>
                <w:sz w:val="20"/>
                <w:lang w:val="es-ES"/>
              </w:rPr>
            </w:pPr>
            <w:r w:rsidRPr="00C45B38">
              <w:rPr>
                <w:sz w:val="20"/>
                <w:lang w:val="es-ES"/>
              </w:rPr>
              <w:t>BO</w:t>
            </w:r>
            <w:r w:rsidRPr="00C45B38">
              <w:rPr>
                <w:sz w:val="20"/>
                <w:lang w:val="es-ES"/>
              </w:rPr>
              <w:tab/>
              <w:t>Bolivia (Estado Plurinacional de)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BR</w:t>
            </w:r>
            <w:r w:rsidRPr="00963980">
              <w:rPr>
                <w:sz w:val="20"/>
                <w:lang w:val="es-ES"/>
              </w:rPr>
              <w:tab/>
            </w:r>
            <w:r>
              <w:rPr>
                <w:sz w:val="20"/>
                <w:lang w:val="es-ES"/>
              </w:rPr>
              <w:t>Brasil</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105 / 103 / 259</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223 / 232 / 633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212 / 217 / 552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201 / 211 / 565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233 / 247 / 586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246 / 259 / 613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BW</w:t>
            </w:r>
            <w:r w:rsidRPr="00963980">
              <w:rPr>
                <w:sz w:val="20"/>
                <w:lang w:val="es-ES"/>
              </w:rPr>
              <w:tab/>
              <w:t>Botswana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BY</w:t>
            </w:r>
            <w:r w:rsidRPr="00963980">
              <w:rPr>
                <w:sz w:val="20"/>
                <w:lang w:val="es-ES"/>
              </w:rPr>
              <w:tab/>
            </w:r>
            <w:r>
              <w:rPr>
                <w:sz w:val="20"/>
                <w:lang w:val="es-ES"/>
              </w:rPr>
              <w:t>Belarús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6 / 9</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13 / 15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8 / 13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8 / 11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18 / 19 / 23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18 / 20 / 24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BZ</w:t>
            </w:r>
            <w:r w:rsidRPr="00963980">
              <w:rPr>
                <w:sz w:val="20"/>
                <w:lang w:val="es-ES"/>
              </w:rPr>
              <w:tab/>
            </w:r>
            <w:r>
              <w:rPr>
                <w:sz w:val="20"/>
                <w:lang w:val="es-ES"/>
              </w:rPr>
              <w:t>Belice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1 / 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CG</w:t>
            </w:r>
            <w:r w:rsidRPr="00963980">
              <w:rPr>
                <w:sz w:val="20"/>
                <w:lang w:val="es-ES"/>
              </w:rPr>
              <w:tab/>
              <w:t>Congo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CI</w:t>
            </w:r>
            <w:r w:rsidRPr="00963980">
              <w:rPr>
                <w:sz w:val="20"/>
                <w:lang w:val="es-ES"/>
              </w:rPr>
              <w:tab/>
              <w:t>Côte d’Ivoire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CL</w:t>
            </w:r>
            <w:r w:rsidRPr="00963980">
              <w:rPr>
                <w:sz w:val="20"/>
                <w:lang w:val="es-ES"/>
              </w:rPr>
              <w:tab/>
              <w:t>Chile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26 / 55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44 / 51 / 135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36 / 49 / 164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50 / 54 / 172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38 / 43 / 180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51 / 59 / 192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CM</w:t>
            </w:r>
            <w:r w:rsidRPr="00963980">
              <w:rPr>
                <w:sz w:val="20"/>
                <w:lang w:val="es-ES"/>
              </w:rPr>
              <w:tab/>
            </w:r>
            <w:r>
              <w:rPr>
                <w:sz w:val="20"/>
                <w:lang w:val="es-ES"/>
              </w:rPr>
              <w:t>Camerún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CN</w:t>
            </w:r>
            <w:r w:rsidRPr="00963980">
              <w:rPr>
                <w:sz w:val="20"/>
                <w:lang w:val="es-ES"/>
              </w:rPr>
              <w:tab/>
              <w:t>China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w:t>
            </w:r>
            <w:r w:rsidR="00BC259E">
              <w:rPr>
                <w:sz w:val="20"/>
                <w:lang w:val="es-ES"/>
              </w:rPr>
              <w:t>.</w:t>
            </w:r>
            <w:r w:rsidRPr="00963980">
              <w:rPr>
                <w:sz w:val="20"/>
                <w:lang w:val="es-ES"/>
              </w:rPr>
              <w:t>305 / 1</w:t>
            </w:r>
            <w:r w:rsidR="00BC259E">
              <w:rPr>
                <w:sz w:val="20"/>
                <w:lang w:val="es-ES"/>
              </w:rPr>
              <w:t>.</w:t>
            </w:r>
            <w:r w:rsidRPr="00963980">
              <w:rPr>
                <w:sz w:val="20"/>
                <w:lang w:val="es-ES"/>
              </w:rPr>
              <w:t>270 / 8</w:t>
            </w:r>
            <w:r w:rsidR="00BC259E">
              <w:rPr>
                <w:sz w:val="20"/>
                <w:lang w:val="es-ES"/>
              </w:rPr>
              <w:t>.</w:t>
            </w:r>
            <w:r w:rsidRPr="00963980">
              <w:rPr>
                <w:sz w:val="20"/>
                <w:lang w:val="es-ES"/>
              </w:rPr>
              <w:t>446</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w:t>
            </w:r>
            <w:r w:rsidR="00BC259E">
              <w:rPr>
                <w:sz w:val="20"/>
                <w:lang w:val="es-ES"/>
              </w:rPr>
              <w:t>.</w:t>
            </w:r>
            <w:r w:rsidRPr="00963980">
              <w:rPr>
                <w:sz w:val="20"/>
                <w:lang w:val="es-ES"/>
              </w:rPr>
              <w:t>249 / 3</w:t>
            </w:r>
            <w:r w:rsidR="00BC259E">
              <w:rPr>
                <w:sz w:val="20"/>
                <w:lang w:val="es-ES"/>
              </w:rPr>
              <w:t>.</w:t>
            </w:r>
            <w:r w:rsidRPr="00963980">
              <w:rPr>
                <w:sz w:val="20"/>
                <w:lang w:val="es-ES"/>
              </w:rPr>
              <w:t>169 / 23</w:t>
            </w:r>
            <w:r w:rsidR="00BC259E">
              <w:rPr>
                <w:sz w:val="20"/>
                <w:lang w:val="es-ES"/>
              </w:rPr>
              <w:t>.</w:t>
            </w:r>
            <w:r w:rsidRPr="00963980">
              <w:rPr>
                <w:sz w:val="20"/>
                <w:lang w:val="es-ES"/>
              </w:rPr>
              <w:t>616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w:t>
            </w:r>
            <w:r w:rsidR="00BC259E">
              <w:rPr>
                <w:sz w:val="20"/>
                <w:lang w:val="es-ES"/>
              </w:rPr>
              <w:t>.</w:t>
            </w:r>
            <w:r w:rsidRPr="00963980">
              <w:rPr>
                <w:sz w:val="20"/>
                <w:lang w:val="es-ES"/>
              </w:rPr>
              <w:t>124 / 3</w:t>
            </w:r>
            <w:r w:rsidR="00BC259E">
              <w:rPr>
                <w:sz w:val="20"/>
                <w:lang w:val="es-ES"/>
              </w:rPr>
              <w:t>.</w:t>
            </w:r>
            <w:r w:rsidRPr="00963980">
              <w:rPr>
                <w:sz w:val="20"/>
                <w:lang w:val="es-ES"/>
              </w:rPr>
              <w:t>494 / 27</w:t>
            </w:r>
            <w:r w:rsidR="00BC259E">
              <w:rPr>
                <w:sz w:val="20"/>
                <w:lang w:val="es-ES"/>
              </w:rPr>
              <w:t>.</w:t>
            </w:r>
            <w:r w:rsidRPr="00963980">
              <w:rPr>
                <w:sz w:val="20"/>
                <w:lang w:val="es-ES"/>
              </w:rPr>
              <w:t>066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w:t>
            </w:r>
            <w:r w:rsidR="00BC259E">
              <w:rPr>
                <w:sz w:val="20"/>
                <w:lang w:val="es-ES"/>
              </w:rPr>
              <w:t>.</w:t>
            </w:r>
            <w:r w:rsidRPr="00963980">
              <w:rPr>
                <w:sz w:val="20"/>
                <w:lang w:val="es-ES"/>
              </w:rPr>
              <w:t>152 / 5</w:t>
            </w:r>
            <w:r w:rsidR="00BC259E">
              <w:rPr>
                <w:sz w:val="20"/>
                <w:lang w:val="es-ES"/>
              </w:rPr>
              <w:t>.</w:t>
            </w:r>
            <w:r w:rsidRPr="00963980">
              <w:rPr>
                <w:sz w:val="20"/>
                <w:lang w:val="es-ES"/>
              </w:rPr>
              <w:t>914 / 34</w:t>
            </w:r>
            <w:r w:rsidR="00BC259E">
              <w:rPr>
                <w:sz w:val="20"/>
                <w:lang w:val="es-ES"/>
              </w:rPr>
              <w:t>.</w:t>
            </w:r>
            <w:r w:rsidRPr="00963980">
              <w:rPr>
                <w:sz w:val="20"/>
                <w:lang w:val="es-ES"/>
              </w:rPr>
              <w:t>520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w:t>
            </w:r>
            <w:r w:rsidR="00BC259E">
              <w:rPr>
                <w:sz w:val="20"/>
                <w:lang w:val="es-ES"/>
              </w:rPr>
              <w:t>.</w:t>
            </w:r>
            <w:r w:rsidRPr="00963980">
              <w:rPr>
                <w:sz w:val="20"/>
                <w:lang w:val="es-ES"/>
              </w:rPr>
              <w:t>671 / 7</w:t>
            </w:r>
            <w:r w:rsidR="00BC259E">
              <w:rPr>
                <w:sz w:val="20"/>
                <w:lang w:val="es-ES"/>
              </w:rPr>
              <w:t>.</w:t>
            </w:r>
            <w:r w:rsidRPr="00963980">
              <w:rPr>
                <w:sz w:val="20"/>
                <w:lang w:val="es-ES"/>
              </w:rPr>
              <w:t>077 / 46</w:t>
            </w:r>
            <w:r w:rsidR="00BC259E">
              <w:rPr>
                <w:sz w:val="20"/>
                <w:lang w:val="es-ES"/>
              </w:rPr>
              <w:t>.</w:t>
            </w:r>
            <w:r w:rsidRPr="00963980">
              <w:rPr>
                <w:sz w:val="20"/>
                <w:lang w:val="es-ES"/>
              </w:rPr>
              <w:t>350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w:t>
            </w:r>
            <w:r w:rsidR="00BC259E">
              <w:rPr>
                <w:sz w:val="20"/>
                <w:lang w:val="es-ES"/>
              </w:rPr>
              <w:t>.</w:t>
            </w:r>
            <w:r w:rsidRPr="00963980">
              <w:rPr>
                <w:sz w:val="20"/>
                <w:lang w:val="es-ES"/>
              </w:rPr>
              <w:t>357 / 3</w:t>
            </w:r>
            <w:r w:rsidR="00BC259E">
              <w:rPr>
                <w:sz w:val="20"/>
                <w:lang w:val="es-ES"/>
              </w:rPr>
              <w:t>.</w:t>
            </w:r>
            <w:r w:rsidRPr="00963980">
              <w:rPr>
                <w:sz w:val="20"/>
                <w:lang w:val="es-ES"/>
              </w:rPr>
              <w:t>766 / 50</w:t>
            </w:r>
            <w:r w:rsidR="00BC259E">
              <w:rPr>
                <w:sz w:val="20"/>
                <w:lang w:val="es-ES"/>
              </w:rPr>
              <w:t>.</w:t>
            </w:r>
            <w:r w:rsidRPr="00963980">
              <w:rPr>
                <w:sz w:val="20"/>
                <w:lang w:val="es-ES"/>
              </w:rPr>
              <w:t>359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w:t>
            </w:r>
          </w:p>
        </w:tc>
      </w:tr>
      <w:tr w:rsidR="003E4127" w:rsidRPr="005E4C87" w:rsidTr="0016601B">
        <w:trPr>
          <w:cantSplit/>
          <w:trHeight w:val="300"/>
        </w:trPr>
        <w:tc>
          <w:tcPr>
            <w:tcW w:w="14845"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keepNext/>
              <w:ind w:left="567" w:hanging="567"/>
              <w:rPr>
                <w:sz w:val="20"/>
                <w:lang w:val="es-ES"/>
              </w:rPr>
            </w:pPr>
          </w:p>
          <w:p w:rsidR="003E4127" w:rsidRDefault="003E4127" w:rsidP="00C375E7">
            <w:pPr>
              <w:keepNext/>
              <w:ind w:left="567" w:hanging="567"/>
              <w:rPr>
                <w:b/>
                <w:i/>
                <w:sz w:val="20"/>
                <w:lang w:val="es-ES"/>
              </w:rPr>
            </w:pPr>
            <w:r w:rsidRPr="00963980">
              <w:rPr>
                <w:b/>
                <w:i/>
                <w:sz w:val="20"/>
                <w:lang w:val="es-ES"/>
              </w:rPr>
              <w:t>C.</w:t>
            </w:r>
            <w:r>
              <w:rPr>
                <w:b/>
                <w:i/>
                <w:sz w:val="20"/>
                <w:lang w:val="es-ES"/>
              </w:rPr>
              <w:t xml:space="preserve"> </w:t>
            </w:r>
            <w:r w:rsidRPr="00F01F1D">
              <w:rPr>
                <w:b/>
                <w:i/>
                <w:sz w:val="20"/>
                <w:lang w:val="es-ES_tradnl"/>
              </w:rPr>
              <w:t>Estados incluidos en la lista durante todo el período (continuación)</w:t>
            </w:r>
          </w:p>
          <w:p w:rsidR="003E4127" w:rsidRPr="00963980" w:rsidRDefault="003E4127" w:rsidP="00C375E7">
            <w:pPr>
              <w:keepNext/>
              <w:ind w:left="567" w:hanging="567"/>
              <w:rPr>
                <w:sz w:val="20"/>
                <w:lang w:val="es-ES"/>
              </w:rPr>
            </w:pPr>
          </w:p>
        </w:tc>
      </w:tr>
      <w:tr w:rsidR="003E4127" w:rsidRPr="005E4C87" w:rsidTr="0016601B">
        <w:trPr>
          <w:cantSplit/>
          <w:trHeight w:val="300"/>
          <w:tblHeader/>
        </w:trPr>
        <w:tc>
          <w:tcPr>
            <w:tcW w:w="2405"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Código ST.3</w:t>
            </w:r>
            <w:r w:rsidR="00BC259E">
              <w:rPr>
                <w:b/>
                <w:sz w:val="18"/>
                <w:lang w:val="es-ES"/>
              </w:rPr>
              <w:t>.</w:t>
            </w:r>
            <w:r w:rsidRPr="008851A5">
              <w:rPr>
                <w:b/>
                <w:sz w:val="18"/>
                <w:lang w:val="es-ES"/>
              </w:rPr>
              <w:t xml:space="preserve"> Estado</w:t>
            </w:r>
          </w:p>
        </w:tc>
        <w:tc>
          <w:tcPr>
            <w:tcW w:w="3858"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antes del 1 de julio de 2015</w:t>
            </w:r>
          </w:p>
          <w:p w:rsidR="003E4127" w:rsidRPr="008851A5" w:rsidRDefault="003E4127" w:rsidP="00C375E7">
            <w:pPr>
              <w:keepNext/>
              <w:rPr>
                <w:b/>
                <w:sz w:val="18"/>
                <w:lang w:val="es-ES"/>
              </w:rPr>
            </w:pPr>
            <w:r w:rsidRPr="008851A5">
              <w:rPr>
                <w:i/>
                <w:sz w:val="18"/>
                <w:lang w:val="es-ES"/>
              </w:rPr>
              <w:t>(con reducción / únicamente por personas físicas / total)</w:t>
            </w:r>
          </w:p>
        </w:tc>
        <w:tc>
          <w:tcPr>
            <w:tcW w:w="3810"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2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de todas las solicitudes con reducción</w:t>
            </w:r>
          </w:p>
        </w:tc>
        <w:tc>
          <w:tcPr>
            <w:tcW w:w="2144"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evolución de la presentación de solicitudes internacionales</w:t>
            </w:r>
          </w:p>
        </w:tc>
      </w:tr>
      <w:tr w:rsidR="003E4127" w:rsidRPr="00963980" w:rsidTr="0016601B">
        <w:trPr>
          <w:cantSplit/>
          <w:trHeight w:val="300"/>
          <w:tblHeader/>
        </w:trPr>
        <w:tc>
          <w:tcPr>
            <w:tcW w:w="2405"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rPr>
                <w:b/>
                <w:sz w:val="18"/>
                <w:lang w:val="es-ES"/>
              </w:rPr>
            </w:pP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Total</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Personas físicas</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ind w:left="454" w:hanging="454"/>
              <w:rPr>
                <w:sz w:val="20"/>
                <w:lang w:val="es-ES"/>
              </w:rPr>
            </w:pPr>
            <w:r w:rsidRPr="00963980">
              <w:rPr>
                <w:sz w:val="20"/>
                <w:lang w:val="es-ES"/>
              </w:rPr>
              <w:t>CO</w:t>
            </w:r>
            <w:r w:rsidRPr="00963980">
              <w:rPr>
                <w:sz w:val="20"/>
                <w:lang w:val="es-ES"/>
              </w:rPr>
              <w:tab/>
              <w:t>Colombia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11 / 10 / 27</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26 / 26 / 101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21 / 25 / 95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20 / 20 / 79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31 / 44 / 134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rPr>
                <w:sz w:val="20"/>
                <w:lang w:val="es-ES"/>
              </w:rPr>
            </w:pPr>
            <w:r w:rsidRPr="00963980">
              <w:rPr>
                <w:sz w:val="20"/>
                <w:lang w:val="es-ES"/>
              </w:rPr>
              <w:t>47 / 52 / 164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22%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29%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+73%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keepNext/>
              <w:jc w:val="right"/>
              <w:rPr>
                <w:sz w:val="20"/>
                <w:lang w:val="es-ES"/>
              </w:rPr>
            </w:pPr>
            <w:r w:rsidRPr="00963980">
              <w:rPr>
                <w:sz w:val="20"/>
                <w:lang w:val="es-ES"/>
              </w:rPr>
              <w:t>+108%</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CR</w:t>
            </w:r>
            <w:r w:rsidRPr="00963980">
              <w:rPr>
                <w:sz w:val="20"/>
                <w:lang w:val="es-ES"/>
              </w:rPr>
              <w:tab/>
              <w:t>Costa Rica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8 / 12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5 / 15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CU</w:t>
            </w:r>
            <w:r w:rsidRPr="00963980">
              <w:rPr>
                <w:sz w:val="20"/>
                <w:lang w:val="es-ES"/>
              </w:rPr>
              <w:tab/>
              <w:t>Cuba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9</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CZ</w:t>
            </w:r>
            <w:r w:rsidRPr="00963980">
              <w:rPr>
                <w:sz w:val="20"/>
                <w:lang w:val="es-ES"/>
              </w:rPr>
              <w:tab/>
            </w:r>
            <w:r>
              <w:rPr>
                <w:sz w:val="20"/>
                <w:lang w:val="es-ES"/>
              </w:rPr>
              <w:t>República Checa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16 / 26 / 92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31 / 37 / 186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32 / 32 / 188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26 / 36 / 214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25 / 24 / 187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 / 32 / 177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DM</w:t>
            </w:r>
            <w:r w:rsidRPr="00963980">
              <w:rPr>
                <w:sz w:val="20"/>
                <w:lang w:val="es-ES"/>
              </w:rPr>
              <w:tab/>
              <w:t>Dominica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DO</w:t>
            </w:r>
            <w:r w:rsidRPr="00963980">
              <w:rPr>
                <w:sz w:val="20"/>
                <w:lang w:val="es-ES"/>
              </w:rPr>
              <w:tab/>
            </w:r>
            <w:r>
              <w:rPr>
                <w:sz w:val="20"/>
                <w:lang w:val="es-ES"/>
              </w:rPr>
              <w:t>República Dominicana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6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9 / 10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+900%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DZ</w:t>
            </w:r>
            <w:r w:rsidRPr="00963980">
              <w:rPr>
                <w:sz w:val="20"/>
                <w:lang w:val="es-ES"/>
              </w:rPr>
              <w:tab/>
            </w:r>
            <w:r>
              <w:rPr>
                <w:sz w:val="20"/>
                <w:lang w:val="es-ES"/>
              </w:rPr>
              <w:t>Argelia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8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11 / 12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8 / 13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7 / 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-22%</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EC</w:t>
            </w:r>
            <w:r w:rsidRPr="00963980">
              <w:rPr>
                <w:sz w:val="20"/>
                <w:lang w:val="es-ES"/>
              </w:rPr>
              <w:tab/>
              <w:t>Ecuador</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7</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5 / 16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0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27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+575%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EE</w:t>
            </w:r>
            <w:r w:rsidRPr="00963980">
              <w:rPr>
                <w:sz w:val="20"/>
                <w:lang w:val="es-ES"/>
              </w:rPr>
              <w:tab/>
              <w:t>Estonia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13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5 / 30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4 / 23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38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42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EG</w:t>
            </w:r>
            <w:r w:rsidRPr="00963980">
              <w:rPr>
                <w:sz w:val="20"/>
                <w:lang w:val="es-ES"/>
              </w:rPr>
              <w:tab/>
            </w:r>
            <w:r>
              <w:rPr>
                <w:sz w:val="20"/>
                <w:lang w:val="es-ES"/>
              </w:rPr>
              <w:t>Egipto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18 / 22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40 / 42 / 53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 / 55 / 60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38 / 39 / 46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33 / 42 / 44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26 / 28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82%</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FJ</w:t>
            </w:r>
            <w:r w:rsidRPr="00963980">
              <w:rPr>
                <w:sz w:val="20"/>
                <w:lang w:val="es-ES"/>
              </w:rPr>
              <w:tab/>
              <w:t>Fiji</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B643E5" w:rsidRDefault="003E4127" w:rsidP="00C375E7">
            <w:pPr>
              <w:ind w:left="454" w:hanging="454"/>
              <w:rPr>
                <w:sz w:val="20"/>
                <w:lang w:val="es-ES"/>
              </w:rPr>
            </w:pPr>
            <w:r w:rsidRPr="00C45B38">
              <w:rPr>
                <w:sz w:val="20"/>
                <w:lang w:val="es-ES"/>
              </w:rPr>
              <w:t>FM</w:t>
            </w:r>
            <w:r w:rsidRPr="00C45B38">
              <w:rPr>
                <w:sz w:val="20"/>
                <w:lang w:val="es-ES"/>
              </w:rPr>
              <w:tab/>
              <w:t>Micronesia (Estados Federados de)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GA</w:t>
            </w:r>
            <w:r w:rsidRPr="00963980">
              <w:rPr>
                <w:sz w:val="20"/>
                <w:lang w:val="es-ES"/>
              </w:rPr>
              <w:tab/>
            </w:r>
            <w:r>
              <w:rPr>
                <w:sz w:val="20"/>
                <w:lang w:val="es-ES"/>
              </w:rPr>
              <w:t>Gabón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GE</w:t>
            </w:r>
            <w:r w:rsidRPr="00963980">
              <w:rPr>
                <w:sz w:val="20"/>
                <w:lang w:val="es-ES"/>
              </w:rPr>
              <w:tab/>
              <w:t>Georgia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5 / 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7 / 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16 / 16 / 16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GH</w:t>
            </w:r>
            <w:r w:rsidRPr="00963980">
              <w:rPr>
                <w:sz w:val="20"/>
                <w:lang w:val="es-ES"/>
              </w:rPr>
              <w:tab/>
              <w:t>Ghana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GT</w:t>
            </w:r>
            <w:r w:rsidRPr="00963980">
              <w:rPr>
                <w:sz w:val="20"/>
                <w:lang w:val="es-ES"/>
              </w:rPr>
              <w:tab/>
              <w:t>Guatemala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HN</w:t>
            </w:r>
            <w:r w:rsidRPr="00963980">
              <w:rPr>
                <w:sz w:val="20"/>
                <w:lang w:val="es-ES"/>
              </w:rPr>
              <w:tab/>
              <w:t>Honduras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HR</w:t>
            </w:r>
            <w:r w:rsidRPr="00963980">
              <w:rPr>
                <w:sz w:val="20"/>
                <w:lang w:val="es-ES"/>
              </w:rPr>
              <w:tab/>
            </w:r>
            <w:r>
              <w:rPr>
                <w:sz w:val="20"/>
                <w:lang w:val="es-ES"/>
              </w:rPr>
              <w:t>Croacia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14 / 21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28 / 33 / 50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23 / 41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18 / 34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13 / 33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 / 18 / 36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-22%</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HU</w:t>
            </w:r>
            <w:r w:rsidRPr="00963980">
              <w:rPr>
                <w:sz w:val="20"/>
                <w:lang w:val="es-ES"/>
              </w:rPr>
              <w:tab/>
            </w:r>
            <w:r>
              <w:rPr>
                <w:sz w:val="20"/>
                <w:lang w:val="es-ES"/>
              </w:rPr>
              <w:t>Hungría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 / 27 / 77</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60 / 58 / 156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65 / 72 / 166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82 / 84 / 160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73 / 83 / 171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 / 52 / 145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-28%</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ID</w:t>
            </w:r>
            <w:r w:rsidRPr="00963980">
              <w:rPr>
                <w:sz w:val="20"/>
                <w:lang w:val="es-ES"/>
              </w:rPr>
              <w:tab/>
              <w:t>Indonesia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7</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8 / 11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5 / 12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10 / 13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6 / 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4 / 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r>
      <w:tr w:rsidR="003E4127" w:rsidRPr="005E4C87" w:rsidTr="0016601B">
        <w:trPr>
          <w:cantSplit/>
          <w:trHeight w:val="300"/>
        </w:trPr>
        <w:tc>
          <w:tcPr>
            <w:tcW w:w="14845"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Pr="003E4127" w:rsidRDefault="003E4127" w:rsidP="00C375E7">
            <w:pPr>
              <w:keepNext/>
              <w:ind w:left="567" w:hanging="567"/>
              <w:rPr>
                <w:sz w:val="20"/>
                <w:lang w:val="es-ES"/>
              </w:rPr>
            </w:pPr>
          </w:p>
          <w:p w:rsidR="003E4127" w:rsidRDefault="003E4127" w:rsidP="00C375E7">
            <w:pPr>
              <w:keepNext/>
              <w:ind w:left="567" w:hanging="567"/>
              <w:rPr>
                <w:b/>
                <w:i/>
                <w:sz w:val="20"/>
                <w:lang w:val="es-ES"/>
              </w:rPr>
            </w:pPr>
            <w:r w:rsidRPr="00963980">
              <w:rPr>
                <w:b/>
                <w:i/>
                <w:sz w:val="20"/>
                <w:lang w:val="es-ES"/>
              </w:rPr>
              <w:t>C.</w:t>
            </w:r>
            <w:r>
              <w:rPr>
                <w:b/>
                <w:i/>
                <w:sz w:val="20"/>
                <w:lang w:val="es-ES"/>
              </w:rPr>
              <w:t xml:space="preserve"> </w:t>
            </w:r>
            <w:r w:rsidRPr="00F01F1D">
              <w:rPr>
                <w:b/>
                <w:i/>
                <w:sz w:val="20"/>
                <w:lang w:val="es-ES_tradnl"/>
              </w:rPr>
              <w:t>Estados incluidos en la lista durante todo el período (continuación)</w:t>
            </w:r>
          </w:p>
          <w:p w:rsidR="003E4127" w:rsidRPr="00963980" w:rsidRDefault="003E4127" w:rsidP="00C375E7">
            <w:pPr>
              <w:keepNext/>
              <w:ind w:left="567" w:hanging="567"/>
              <w:rPr>
                <w:sz w:val="20"/>
                <w:lang w:val="es-ES"/>
              </w:rPr>
            </w:pPr>
          </w:p>
        </w:tc>
      </w:tr>
      <w:tr w:rsidR="003E4127" w:rsidRPr="005E4C87" w:rsidTr="0016601B">
        <w:trPr>
          <w:cantSplit/>
          <w:trHeight w:val="300"/>
          <w:tblHeader/>
        </w:trPr>
        <w:tc>
          <w:tcPr>
            <w:tcW w:w="2405"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Código ST.3</w:t>
            </w:r>
            <w:r w:rsidR="00BC259E">
              <w:rPr>
                <w:b/>
                <w:sz w:val="18"/>
                <w:lang w:val="es-ES"/>
              </w:rPr>
              <w:t>.</w:t>
            </w:r>
            <w:r w:rsidRPr="008851A5">
              <w:rPr>
                <w:b/>
                <w:sz w:val="18"/>
                <w:lang w:val="es-ES"/>
              </w:rPr>
              <w:t xml:space="preserve"> Estado</w:t>
            </w:r>
          </w:p>
        </w:tc>
        <w:tc>
          <w:tcPr>
            <w:tcW w:w="3858"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antes del 1 de julio de 2015</w:t>
            </w:r>
          </w:p>
          <w:p w:rsidR="003E4127" w:rsidRPr="008851A5" w:rsidRDefault="003E4127" w:rsidP="00C375E7">
            <w:pPr>
              <w:keepNext/>
              <w:rPr>
                <w:b/>
                <w:sz w:val="18"/>
                <w:lang w:val="es-ES"/>
              </w:rPr>
            </w:pPr>
            <w:r w:rsidRPr="008851A5">
              <w:rPr>
                <w:i/>
                <w:sz w:val="18"/>
                <w:lang w:val="es-ES"/>
              </w:rPr>
              <w:t>(con reducción / únicamente por personas físicas / total)</w:t>
            </w:r>
          </w:p>
        </w:tc>
        <w:tc>
          <w:tcPr>
            <w:tcW w:w="3810"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2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de todas las solicitudes con reducción</w:t>
            </w:r>
          </w:p>
        </w:tc>
        <w:tc>
          <w:tcPr>
            <w:tcW w:w="2144"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evolución de la presentación de solicitudes internacionales</w:t>
            </w:r>
          </w:p>
        </w:tc>
      </w:tr>
      <w:tr w:rsidR="003E4127" w:rsidRPr="00963980" w:rsidTr="0016601B">
        <w:trPr>
          <w:cantSplit/>
          <w:trHeight w:val="300"/>
          <w:tblHeader/>
        </w:trPr>
        <w:tc>
          <w:tcPr>
            <w:tcW w:w="2405"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rPr>
                <w:b/>
                <w:sz w:val="18"/>
                <w:lang w:val="es-ES"/>
              </w:rPr>
            </w:pP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Total</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Personas físicas</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IN</w:t>
            </w:r>
            <w:r w:rsidRPr="00963980">
              <w:rPr>
                <w:sz w:val="20"/>
                <w:lang w:val="es-ES"/>
              </w:rPr>
              <w:tab/>
              <w:t>India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193 / 167 / 650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394 / 377 / 1</w:t>
            </w:r>
            <w:r w:rsidR="00BC259E">
              <w:rPr>
                <w:sz w:val="20"/>
                <w:lang w:val="es-ES"/>
              </w:rPr>
              <w:t>.</w:t>
            </w:r>
            <w:r w:rsidRPr="00963980">
              <w:rPr>
                <w:sz w:val="20"/>
                <w:lang w:val="es-ES"/>
              </w:rPr>
              <w:t>408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305 / 350 / 1</w:t>
            </w:r>
            <w:r w:rsidR="00BC259E">
              <w:rPr>
                <w:sz w:val="20"/>
                <w:lang w:val="es-ES"/>
              </w:rPr>
              <w:t>.</w:t>
            </w:r>
            <w:r w:rsidRPr="00963980">
              <w:rPr>
                <w:sz w:val="20"/>
                <w:lang w:val="es-ES"/>
              </w:rPr>
              <w:t>332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447 / 490 / 1</w:t>
            </w:r>
            <w:r w:rsidR="00BC259E">
              <w:rPr>
                <w:sz w:val="20"/>
                <w:lang w:val="es-ES"/>
              </w:rPr>
              <w:t>.</w:t>
            </w:r>
            <w:r w:rsidRPr="00963980">
              <w:rPr>
                <w:sz w:val="20"/>
                <w:lang w:val="es-ES"/>
              </w:rPr>
              <w:t>511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473 / 492 / 1</w:t>
            </w:r>
            <w:r w:rsidR="00BC259E">
              <w:rPr>
                <w:sz w:val="20"/>
                <w:lang w:val="es-ES"/>
              </w:rPr>
              <w:t>.</w:t>
            </w:r>
            <w:r w:rsidRPr="00963980">
              <w:rPr>
                <w:sz w:val="20"/>
                <w:lang w:val="es-ES"/>
              </w:rPr>
              <w:t>510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680 / 726 / 1</w:t>
            </w:r>
            <w:r w:rsidR="00BC259E">
              <w:rPr>
                <w:sz w:val="20"/>
                <w:lang w:val="es-ES"/>
              </w:rPr>
              <w:t>.</w:t>
            </w:r>
            <w:r w:rsidRPr="00963980">
              <w:rPr>
                <w:sz w:val="20"/>
                <w:lang w:val="es-ES"/>
              </w:rPr>
              <w:t>835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+38%</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+107%</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IQ</w:t>
            </w:r>
            <w:r w:rsidRPr="00963980">
              <w:rPr>
                <w:sz w:val="20"/>
                <w:lang w:val="es-ES"/>
              </w:rPr>
              <w:tab/>
              <w:t>Iraq</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E0733F" w:rsidRDefault="003E4127" w:rsidP="00C375E7">
            <w:pPr>
              <w:ind w:left="454" w:hanging="454"/>
              <w:rPr>
                <w:sz w:val="20"/>
                <w:lang w:val="es-ES"/>
              </w:rPr>
            </w:pPr>
            <w:r w:rsidRPr="00C45B38">
              <w:rPr>
                <w:sz w:val="20"/>
                <w:lang w:val="es-ES"/>
              </w:rPr>
              <w:t>IR</w:t>
            </w:r>
            <w:r w:rsidRPr="00C45B38">
              <w:rPr>
                <w:sz w:val="20"/>
                <w:lang w:val="es-ES"/>
              </w:rPr>
              <w:tab/>
              <w:t>Irán (República Islámica del)</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16 / 18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31 / 49 / 50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56 / 66 / 73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45 / 66 / 68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101 / 118 / 128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+141%</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JM</w:t>
            </w:r>
            <w:r w:rsidRPr="00963980">
              <w:rPr>
                <w:sz w:val="20"/>
                <w:lang w:val="es-ES"/>
              </w:rPr>
              <w:tab/>
              <w:t>Jamaica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JO</w:t>
            </w:r>
            <w:r w:rsidRPr="00963980">
              <w:rPr>
                <w:sz w:val="20"/>
                <w:lang w:val="es-ES"/>
              </w:rPr>
              <w:tab/>
            </w:r>
            <w:r>
              <w:rPr>
                <w:sz w:val="20"/>
                <w:lang w:val="es-ES"/>
              </w:rPr>
              <w:t>Jordania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12 / 14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86%</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KE</w:t>
            </w:r>
            <w:r w:rsidRPr="00963980">
              <w:rPr>
                <w:sz w:val="20"/>
                <w:lang w:val="es-ES"/>
              </w:rPr>
              <w:tab/>
              <w:t>Kenya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9 / 17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5 / 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-44%</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KG</w:t>
            </w:r>
            <w:r w:rsidRPr="00963980">
              <w:rPr>
                <w:sz w:val="20"/>
                <w:lang w:val="es-ES"/>
              </w:rPr>
              <w:tab/>
            </w:r>
            <w:r>
              <w:rPr>
                <w:sz w:val="20"/>
                <w:lang w:val="es-ES"/>
              </w:rPr>
              <w:t>Kirguistán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E9078F" w:rsidRDefault="003E4127" w:rsidP="00C375E7">
            <w:pPr>
              <w:ind w:left="454" w:hanging="454"/>
              <w:rPr>
                <w:sz w:val="20"/>
              </w:rPr>
            </w:pPr>
            <w:r w:rsidRPr="00E9078F">
              <w:rPr>
                <w:sz w:val="20"/>
              </w:rPr>
              <w:t>KN</w:t>
            </w:r>
            <w:r w:rsidRPr="00E9078F">
              <w:rPr>
                <w:sz w:val="20"/>
              </w:rPr>
              <w:tab/>
            </w:r>
            <w:r>
              <w:rPr>
                <w:sz w:val="20"/>
              </w:rPr>
              <w:t>Saint Kitts y Nevis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E0733F" w:rsidRDefault="003E4127" w:rsidP="00C375E7">
            <w:pPr>
              <w:ind w:left="454" w:hanging="454"/>
              <w:rPr>
                <w:sz w:val="20"/>
                <w:lang w:val="es-ES"/>
              </w:rPr>
            </w:pPr>
            <w:r w:rsidRPr="00C45B38">
              <w:rPr>
                <w:sz w:val="20"/>
                <w:lang w:val="es-ES"/>
              </w:rPr>
              <w:t>KP</w:t>
            </w:r>
            <w:r w:rsidRPr="00C45B38">
              <w:rPr>
                <w:sz w:val="20"/>
                <w:lang w:val="es-ES"/>
              </w:rPr>
              <w:tab/>
              <w:t>República Popular Democrática de Corea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5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4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KZ</w:t>
            </w:r>
            <w:r w:rsidRPr="00963980">
              <w:rPr>
                <w:sz w:val="20"/>
                <w:lang w:val="es-ES"/>
              </w:rPr>
              <w:tab/>
            </w:r>
            <w:r>
              <w:rPr>
                <w:sz w:val="20"/>
                <w:lang w:val="es-ES"/>
              </w:rPr>
              <w:t>Kazajstán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9 / 9</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14 / 18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13 / 21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23 / 31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20 / 17 / 25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16 / 18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LB</w:t>
            </w:r>
            <w:r w:rsidRPr="00963980">
              <w:rPr>
                <w:sz w:val="20"/>
                <w:lang w:val="es-ES"/>
              </w:rPr>
              <w:tab/>
            </w:r>
            <w:r>
              <w:rPr>
                <w:sz w:val="20"/>
                <w:lang w:val="es-ES"/>
              </w:rPr>
              <w:t>Líbano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LC</w:t>
            </w:r>
            <w:r w:rsidRPr="00963980">
              <w:rPr>
                <w:sz w:val="20"/>
                <w:lang w:val="es-ES"/>
              </w:rPr>
              <w:tab/>
            </w:r>
            <w:r>
              <w:rPr>
                <w:sz w:val="20"/>
                <w:lang w:val="es-ES"/>
              </w:rPr>
              <w:t>Santa Lucía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LK</w:t>
            </w:r>
            <w:r w:rsidRPr="00963980">
              <w:rPr>
                <w:sz w:val="20"/>
                <w:lang w:val="es-ES"/>
              </w:rPr>
              <w:tab/>
              <w:t>Sri Lanka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12 / 16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11 / 19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7 / 16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7 / 14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17 / 23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+55%</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LT</w:t>
            </w:r>
            <w:r w:rsidRPr="00963980">
              <w:rPr>
                <w:sz w:val="20"/>
                <w:lang w:val="es-ES"/>
              </w:rPr>
              <w:tab/>
            </w:r>
            <w:r>
              <w:rPr>
                <w:sz w:val="20"/>
                <w:lang w:val="es-ES"/>
              </w:rPr>
              <w:t>Lituania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3 / 47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0 / 43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30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LV</w:t>
            </w:r>
            <w:r w:rsidRPr="00963980">
              <w:rPr>
                <w:sz w:val="20"/>
                <w:lang w:val="es-ES"/>
              </w:rPr>
              <w:tab/>
            </w:r>
            <w:r>
              <w:rPr>
                <w:sz w:val="20"/>
                <w:lang w:val="es-ES"/>
              </w:rPr>
              <w:t>Letonia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11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7 / 24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12 / 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10 / 24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19 / 12 / 28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12 / 24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58%</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LY</w:t>
            </w:r>
            <w:r w:rsidRPr="00963980">
              <w:rPr>
                <w:sz w:val="20"/>
                <w:lang w:val="es-ES"/>
              </w:rPr>
              <w:tab/>
            </w:r>
            <w:r>
              <w:rPr>
                <w:sz w:val="20"/>
                <w:lang w:val="es-ES"/>
              </w:rPr>
              <w:t>Libia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MA</w:t>
            </w:r>
            <w:r w:rsidRPr="00963980">
              <w:rPr>
                <w:sz w:val="20"/>
                <w:lang w:val="es-ES"/>
              </w:rPr>
              <w:tab/>
            </w:r>
            <w:r>
              <w:rPr>
                <w:sz w:val="20"/>
                <w:lang w:val="es-ES"/>
              </w:rPr>
              <w:t>Marruecos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 / 8 / 19</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10 / 48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14 / 53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15 / 42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11 / 38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10 / 43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-29%</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MD</w:t>
            </w:r>
            <w:r w:rsidRPr="00963980">
              <w:rPr>
                <w:sz w:val="20"/>
                <w:lang w:val="es-ES"/>
              </w:rPr>
              <w:tab/>
            </w:r>
            <w:r>
              <w:rPr>
                <w:sz w:val="20"/>
                <w:lang w:val="es-ES"/>
              </w:rPr>
              <w:t>República de Moldova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10 / 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10 / 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6 / 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ME</w:t>
            </w:r>
            <w:r w:rsidRPr="00963980">
              <w:rPr>
                <w:sz w:val="20"/>
                <w:lang w:val="es-ES"/>
              </w:rPr>
              <w:tab/>
              <w:t>Montenegro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MH</w:t>
            </w:r>
            <w:r w:rsidRPr="00963980">
              <w:rPr>
                <w:sz w:val="20"/>
                <w:lang w:val="es-ES"/>
              </w:rPr>
              <w:tab/>
            </w:r>
            <w:r>
              <w:rPr>
                <w:sz w:val="20"/>
                <w:lang w:val="es-ES"/>
              </w:rPr>
              <w:t>Islas Marshall</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5E4C87" w:rsidTr="0016601B">
        <w:trPr>
          <w:cantSplit/>
          <w:trHeight w:val="300"/>
        </w:trPr>
        <w:tc>
          <w:tcPr>
            <w:tcW w:w="14845"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keepNext/>
              <w:ind w:left="567" w:hanging="567"/>
              <w:rPr>
                <w:sz w:val="20"/>
                <w:lang w:val="es-ES"/>
              </w:rPr>
            </w:pPr>
          </w:p>
          <w:p w:rsidR="003E4127" w:rsidRDefault="003E4127" w:rsidP="00C375E7">
            <w:pPr>
              <w:keepNext/>
              <w:ind w:left="567" w:hanging="567"/>
              <w:rPr>
                <w:b/>
                <w:i/>
                <w:sz w:val="20"/>
                <w:lang w:val="es-ES"/>
              </w:rPr>
            </w:pPr>
            <w:r w:rsidRPr="00963980">
              <w:rPr>
                <w:b/>
                <w:i/>
                <w:sz w:val="20"/>
                <w:lang w:val="es-ES"/>
              </w:rPr>
              <w:t>C.</w:t>
            </w:r>
            <w:r>
              <w:rPr>
                <w:b/>
                <w:i/>
                <w:sz w:val="20"/>
                <w:lang w:val="es-ES"/>
              </w:rPr>
              <w:t xml:space="preserve"> </w:t>
            </w:r>
            <w:r w:rsidRPr="00F01F1D">
              <w:rPr>
                <w:b/>
                <w:i/>
                <w:sz w:val="20"/>
                <w:lang w:val="es-ES_tradnl"/>
              </w:rPr>
              <w:t>Estados incluidos en la lista durante todo el período (continuación)</w:t>
            </w:r>
          </w:p>
          <w:p w:rsidR="003E4127" w:rsidRPr="00963980" w:rsidRDefault="003E4127" w:rsidP="00C375E7">
            <w:pPr>
              <w:keepNext/>
              <w:ind w:left="567" w:hanging="567"/>
              <w:rPr>
                <w:sz w:val="20"/>
                <w:lang w:val="es-ES"/>
              </w:rPr>
            </w:pPr>
          </w:p>
        </w:tc>
      </w:tr>
      <w:tr w:rsidR="003E4127" w:rsidRPr="005E4C87" w:rsidTr="0016601B">
        <w:trPr>
          <w:cantSplit/>
          <w:trHeight w:val="300"/>
          <w:tblHeader/>
        </w:trPr>
        <w:tc>
          <w:tcPr>
            <w:tcW w:w="2405"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Código ST.3</w:t>
            </w:r>
            <w:r w:rsidR="00BC259E">
              <w:rPr>
                <w:b/>
                <w:sz w:val="18"/>
                <w:lang w:val="es-ES"/>
              </w:rPr>
              <w:t>.</w:t>
            </w:r>
            <w:r w:rsidRPr="008851A5">
              <w:rPr>
                <w:b/>
                <w:sz w:val="18"/>
                <w:lang w:val="es-ES"/>
              </w:rPr>
              <w:t xml:space="preserve"> Estado</w:t>
            </w:r>
          </w:p>
        </w:tc>
        <w:tc>
          <w:tcPr>
            <w:tcW w:w="3858"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antes del 1 de julio de 2015</w:t>
            </w:r>
          </w:p>
          <w:p w:rsidR="003E4127" w:rsidRPr="008851A5" w:rsidRDefault="003E4127" w:rsidP="00C375E7">
            <w:pPr>
              <w:keepNext/>
              <w:rPr>
                <w:b/>
                <w:sz w:val="18"/>
                <w:lang w:val="es-ES"/>
              </w:rPr>
            </w:pPr>
            <w:r w:rsidRPr="008851A5">
              <w:rPr>
                <w:i/>
                <w:sz w:val="18"/>
                <w:lang w:val="es-ES"/>
              </w:rPr>
              <w:t>(con reducción / únicamente por personas físicas / total)</w:t>
            </w:r>
          </w:p>
        </w:tc>
        <w:tc>
          <w:tcPr>
            <w:tcW w:w="3810"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2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de todas las solicitudes con reducción</w:t>
            </w:r>
          </w:p>
        </w:tc>
        <w:tc>
          <w:tcPr>
            <w:tcW w:w="2144"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evolución de la presentación de solicitudes internacionales</w:t>
            </w:r>
          </w:p>
        </w:tc>
      </w:tr>
      <w:tr w:rsidR="003E4127" w:rsidRPr="00963980" w:rsidTr="0016601B">
        <w:trPr>
          <w:cantSplit/>
          <w:trHeight w:val="300"/>
          <w:tblHeader/>
        </w:trPr>
        <w:tc>
          <w:tcPr>
            <w:tcW w:w="2405"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rPr>
                <w:b/>
                <w:sz w:val="18"/>
                <w:lang w:val="es-ES"/>
              </w:rPr>
            </w:pP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Total</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Personas físicas</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MK</w:t>
            </w:r>
            <w:r w:rsidRPr="00963980">
              <w:rPr>
                <w:sz w:val="20"/>
                <w:lang w:val="es-ES"/>
              </w:rPr>
              <w:tab/>
            </w:r>
            <w:r>
              <w:rPr>
                <w:sz w:val="20"/>
                <w:lang w:val="es-ES"/>
              </w:rPr>
              <w:t>Macedonia del Norte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MN</w:t>
            </w:r>
            <w:r w:rsidRPr="00963980">
              <w:rPr>
                <w:sz w:val="20"/>
                <w:lang w:val="es-ES"/>
              </w:rPr>
              <w:tab/>
              <w:t>Mongolia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MU</w:t>
            </w:r>
            <w:r w:rsidRPr="00963980">
              <w:rPr>
                <w:sz w:val="20"/>
                <w:lang w:val="es-ES"/>
              </w:rPr>
              <w:tab/>
            </w:r>
            <w:r>
              <w:rPr>
                <w:sz w:val="20"/>
                <w:lang w:val="es-ES"/>
              </w:rPr>
              <w:t>Mauricio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4</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MX</w:t>
            </w:r>
            <w:r w:rsidRPr="00963980">
              <w:rPr>
                <w:sz w:val="20"/>
                <w:lang w:val="es-ES"/>
              </w:rPr>
              <w:tab/>
            </w:r>
            <w:r>
              <w:rPr>
                <w:sz w:val="20"/>
                <w:lang w:val="es-ES"/>
              </w:rPr>
              <w:t>México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46 / 50 / 88</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142 / 150 / 271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142 / 155 / 299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139 / 145 / 285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139 / 151 / 288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138 / 149 / 279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MY</w:t>
            </w:r>
            <w:r w:rsidRPr="00963980">
              <w:rPr>
                <w:sz w:val="20"/>
                <w:lang w:val="es-ES"/>
              </w:rPr>
              <w:tab/>
            </w:r>
            <w:r>
              <w:rPr>
                <w:sz w:val="20"/>
                <w:lang w:val="es-ES"/>
              </w:rPr>
              <w:t>Malasia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 / 13 / 129</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31 / 34 / 400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 / 30 / 203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44 / 45 / 235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39 / 38 / 165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38 / 40 / 142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NA</w:t>
            </w:r>
            <w:r w:rsidRPr="00963980">
              <w:rPr>
                <w:sz w:val="20"/>
                <w:lang w:val="es-ES"/>
              </w:rPr>
              <w:tab/>
              <w:t>Namibia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2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NG</w:t>
            </w:r>
            <w:r w:rsidRPr="00963980">
              <w:rPr>
                <w:sz w:val="20"/>
                <w:lang w:val="es-ES"/>
              </w:rPr>
              <w:tab/>
            </w:r>
            <w:r>
              <w:rPr>
                <w:sz w:val="20"/>
                <w:lang w:val="es-ES"/>
              </w:rPr>
              <w:t>Nigeria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6 / 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5 / 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7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NI</w:t>
            </w:r>
            <w:r w:rsidRPr="00963980">
              <w:rPr>
                <w:sz w:val="20"/>
                <w:lang w:val="es-ES"/>
              </w:rPr>
              <w:tab/>
              <w:t>Nicaragua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OM</w:t>
            </w:r>
            <w:r w:rsidRPr="00963980">
              <w:rPr>
                <w:sz w:val="20"/>
                <w:lang w:val="es-ES"/>
              </w:rPr>
              <w:tab/>
            </w:r>
            <w:r>
              <w:rPr>
                <w:sz w:val="20"/>
                <w:lang w:val="es-ES"/>
              </w:rPr>
              <w:t>Omán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5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8 / 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PA</w:t>
            </w:r>
            <w:r w:rsidRPr="00963980">
              <w:rPr>
                <w:sz w:val="20"/>
                <w:lang w:val="es-ES"/>
              </w:rPr>
              <w:tab/>
            </w:r>
            <w:r>
              <w:rPr>
                <w:sz w:val="20"/>
                <w:lang w:val="es-ES"/>
              </w:rPr>
              <w:t>Panamá</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8</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19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58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3 / 163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+758%</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PE</w:t>
            </w:r>
            <w:r w:rsidRPr="00963980">
              <w:rPr>
                <w:sz w:val="20"/>
                <w:lang w:val="es-ES"/>
              </w:rPr>
              <w:tab/>
            </w:r>
            <w:r>
              <w:rPr>
                <w:sz w:val="20"/>
                <w:lang w:val="es-ES"/>
              </w:rPr>
              <w:t>Perú</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6</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10 / 16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10 / 16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19 / 19 / 27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22 / 22 / 27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 / 27 / 35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+170%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PH</w:t>
            </w:r>
            <w:r w:rsidRPr="00963980">
              <w:rPr>
                <w:sz w:val="20"/>
                <w:lang w:val="es-ES"/>
              </w:rPr>
              <w:tab/>
            </w:r>
            <w:r>
              <w:rPr>
                <w:sz w:val="20"/>
                <w:lang w:val="es-ES"/>
              </w:rPr>
              <w:t>Filipinas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 / 14 / 24</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19 / 31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18 / 22 / 29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16 / 15 / 20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23 / 29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11 / 17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PK</w:t>
            </w:r>
            <w:r w:rsidRPr="00963980">
              <w:rPr>
                <w:sz w:val="20"/>
                <w:lang w:val="es-ES"/>
              </w:rPr>
              <w:tab/>
            </w:r>
            <w:r>
              <w:rPr>
                <w:sz w:val="20"/>
                <w:lang w:val="es-ES"/>
              </w:rPr>
              <w:t>Pakistán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PL</w:t>
            </w:r>
            <w:r w:rsidRPr="00963980">
              <w:rPr>
                <w:sz w:val="20"/>
                <w:lang w:val="es-ES"/>
              </w:rPr>
              <w:tab/>
            </w:r>
            <w:r>
              <w:rPr>
                <w:sz w:val="20"/>
                <w:lang w:val="es-ES"/>
              </w:rPr>
              <w:t>Polonia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24 / 24 / 135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 / 56 / 352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42 / 41 / 375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81 / 91 / 410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72 / 94 / 335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66 / 84 / 322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+105%</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PY</w:t>
            </w:r>
            <w:r w:rsidRPr="00963980">
              <w:rPr>
                <w:sz w:val="20"/>
                <w:lang w:val="es-ES"/>
              </w:rPr>
              <w:tab/>
              <w:t>Paraguay</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RO</w:t>
            </w:r>
            <w:r w:rsidRPr="00963980">
              <w:rPr>
                <w:sz w:val="20"/>
                <w:lang w:val="es-ES"/>
              </w:rPr>
              <w:tab/>
            </w:r>
            <w:r>
              <w:rPr>
                <w:sz w:val="20"/>
                <w:lang w:val="es-ES"/>
              </w:rPr>
              <w:t>Rumania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11 / 12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16 / 34</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17 / 17 / 32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26 / 35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18 / 20 / 34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 / 24 / 29</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-9%</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+41%</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RS</w:t>
            </w:r>
            <w:r w:rsidRPr="00963980">
              <w:rPr>
                <w:sz w:val="20"/>
                <w:lang w:val="es-ES"/>
              </w:rPr>
              <w:tab/>
              <w:t>Serbia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8 / 15</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11 / 15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15 / 20 / 30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13 / 24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9 / 11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13 / 20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-35%</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RU</w:t>
            </w:r>
            <w:r w:rsidRPr="00963980">
              <w:rPr>
                <w:sz w:val="20"/>
                <w:lang w:val="es-ES"/>
              </w:rPr>
              <w:tab/>
            </w:r>
            <w:r>
              <w:rPr>
                <w:sz w:val="20"/>
                <w:lang w:val="es-ES"/>
              </w:rPr>
              <w:t>Federación de Rusia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277 / 315 / 500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541 / 598 / 1</w:t>
            </w:r>
            <w:r w:rsidR="00BC259E">
              <w:rPr>
                <w:sz w:val="20"/>
                <w:lang w:val="es-ES"/>
              </w:rPr>
              <w:t>.</w:t>
            </w:r>
            <w:r w:rsidRPr="00963980">
              <w:rPr>
                <w:sz w:val="20"/>
                <w:lang w:val="es-ES"/>
              </w:rPr>
              <w:t>033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432 / 467 / 817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431 / 454 / 860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487 / 537 / 1</w:t>
            </w:r>
            <w:r w:rsidR="00BC259E">
              <w:rPr>
                <w:sz w:val="20"/>
                <w:lang w:val="es-ES"/>
              </w:rPr>
              <w:t>.</w:t>
            </w:r>
            <w:r w:rsidRPr="00963980">
              <w:rPr>
                <w:sz w:val="20"/>
                <w:lang w:val="es-ES"/>
              </w:rPr>
              <w:t>011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489 / 542 / 1</w:t>
            </w:r>
            <w:r w:rsidR="00BC259E">
              <w:rPr>
                <w:sz w:val="20"/>
                <w:lang w:val="es-ES"/>
              </w:rPr>
              <w:t>.</w:t>
            </w:r>
            <w:r w:rsidRPr="00963980">
              <w:rPr>
                <w:sz w:val="20"/>
                <w:lang w:val="es-ES"/>
              </w:rPr>
              <w:t>041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+16%</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SC</w:t>
            </w:r>
            <w:r w:rsidRPr="00963980">
              <w:rPr>
                <w:sz w:val="20"/>
                <w:lang w:val="es-ES"/>
              </w:rPr>
              <w:tab/>
              <w:t>Seychelles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SK</w:t>
            </w:r>
            <w:r w:rsidRPr="00963980">
              <w:rPr>
                <w:sz w:val="20"/>
                <w:lang w:val="es-ES"/>
              </w:rPr>
              <w:tab/>
            </w:r>
            <w:r>
              <w:rPr>
                <w:sz w:val="20"/>
                <w:lang w:val="es-ES"/>
              </w:rPr>
              <w:t>Eslovaquia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13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26 / 28 / 67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 / 13 / 41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11 / 41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20 / 20 / 47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19 / 21 / 58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+62%</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SV</w:t>
            </w:r>
            <w:r w:rsidRPr="00963980">
              <w:rPr>
                <w:sz w:val="20"/>
                <w:lang w:val="es-ES"/>
              </w:rPr>
              <w:tab/>
              <w:t>El Salvador</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5E4C87" w:rsidTr="0016601B">
        <w:trPr>
          <w:cantSplit/>
          <w:trHeight w:val="300"/>
        </w:trPr>
        <w:tc>
          <w:tcPr>
            <w:tcW w:w="14845"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keepNext/>
              <w:ind w:left="567" w:hanging="567"/>
              <w:rPr>
                <w:sz w:val="20"/>
                <w:lang w:val="es-ES"/>
              </w:rPr>
            </w:pPr>
          </w:p>
          <w:p w:rsidR="003E4127" w:rsidRDefault="003E4127" w:rsidP="00C375E7">
            <w:pPr>
              <w:keepNext/>
              <w:ind w:left="567" w:hanging="567"/>
              <w:rPr>
                <w:b/>
                <w:i/>
                <w:sz w:val="20"/>
                <w:lang w:val="es-ES"/>
              </w:rPr>
            </w:pPr>
            <w:r w:rsidRPr="00963980">
              <w:rPr>
                <w:b/>
                <w:i/>
                <w:sz w:val="20"/>
                <w:lang w:val="es-ES"/>
              </w:rPr>
              <w:t>C.</w:t>
            </w:r>
            <w:r>
              <w:rPr>
                <w:b/>
                <w:i/>
                <w:sz w:val="20"/>
                <w:lang w:val="es-ES"/>
              </w:rPr>
              <w:t xml:space="preserve"> </w:t>
            </w:r>
            <w:r w:rsidRPr="00F01F1D">
              <w:rPr>
                <w:b/>
                <w:i/>
                <w:sz w:val="20"/>
                <w:lang w:val="es-ES_tradnl"/>
              </w:rPr>
              <w:t>Estados incluidos en la lista durante todo el período (continuación)</w:t>
            </w:r>
          </w:p>
          <w:p w:rsidR="003E4127" w:rsidRPr="00963980" w:rsidRDefault="003E4127" w:rsidP="00C375E7">
            <w:pPr>
              <w:keepNext/>
              <w:ind w:left="567" w:hanging="567"/>
              <w:rPr>
                <w:sz w:val="20"/>
                <w:lang w:val="es-ES"/>
              </w:rPr>
            </w:pPr>
          </w:p>
        </w:tc>
      </w:tr>
      <w:tr w:rsidR="003E4127" w:rsidRPr="005E4C87" w:rsidTr="0016601B">
        <w:trPr>
          <w:cantSplit/>
          <w:trHeight w:val="300"/>
          <w:tblHeader/>
        </w:trPr>
        <w:tc>
          <w:tcPr>
            <w:tcW w:w="2405" w:type="dxa"/>
            <w:vMerge w:val="restart"/>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Código ST.3</w:t>
            </w:r>
            <w:r w:rsidR="00BC259E">
              <w:rPr>
                <w:b/>
                <w:sz w:val="18"/>
                <w:lang w:val="es-ES"/>
              </w:rPr>
              <w:t>.</w:t>
            </w:r>
            <w:r w:rsidRPr="008851A5">
              <w:rPr>
                <w:b/>
                <w:sz w:val="18"/>
                <w:lang w:val="es-ES"/>
              </w:rPr>
              <w:t xml:space="preserve"> Estado</w:t>
            </w:r>
          </w:p>
        </w:tc>
        <w:tc>
          <w:tcPr>
            <w:tcW w:w="3858"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antes del 1 de julio de 2015</w:t>
            </w:r>
          </w:p>
          <w:p w:rsidR="003E4127" w:rsidRPr="008851A5" w:rsidRDefault="003E4127" w:rsidP="00C375E7">
            <w:pPr>
              <w:keepNext/>
              <w:rPr>
                <w:b/>
                <w:sz w:val="18"/>
                <w:lang w:val="es-ES"/>
              </w:rPr>
            </w:pPr>
            <w:r w:rsidRPr="008851A5">
              <w:rPr>
                <w:i/>
                <w:sz w:val="18"/>
                <w:lang w:val="es-ES"/>
              </w:rPr>
              <w:t>(con reducción / únicamente por personas físicas / total)</w:t>
            </w:r>
          </w:p>
        </w:tc>
        <w:tc>
          <w:tcPr>
            <w:tcW w:w="3810" w:type="dxa"/>
            <w:gridSpan w:val="3"/>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rPr>
                <w:b/>
                <w:sz w:val="18"/>
                <w:lang w:val="es-ES"/>
              </w:rPr>
            </w:pPr>
            <w:r w:rsidRPr="008851A5">
              <w:rPr>
                <w:b/>
                <w:sz w:val="18"/>
                <w:lang w:val="es-ES"/>
              </w:rPr>
              <w:t>Solicitudes presentadas a partir del 1 de julio de 2015</w:t>
            </w:r>
            <w:r w:rsidRPr="008851A5">
              <w:rPr>
                <w:b/>
                <w:sz w:val="18"/>
                <w:lang w:val="es-ES"/>
              </w:rPr>
              <w:br/>
            </w:r>
            <w:r w:rsidRPr="008851A5">
              <w:rPr>
                <w:i/>
                <w:sz w:val="18"/>
                <w:lang w:val="es-ES"/>
              </w:rPr>
              <w:t>(con reducción / únicamente por personas físicas / total)</w:t>
            </w:r>
          </w:p>
        </w:tc>
        <w:tc>
          <w:tcPr>
            <w:tcW w:w="2628"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de todas las solicitudes con reducción</w:t>
            </w:r>
          </w:p>
        </w:tc>
        <w:tc>
          <w:tcPr>
            <w:tcW w:w="2144" w:type="dxa"/>
            <w:gridSpan w:val="2"/>
            <w:tcBorders>
              <w:top w:val="single" w:sz="4" w:space="0" w:color="auto"/>
              <w:left w:val="single" w:sz="4" w:space="0" w:color="auto"/>
              <w:bottom w:val="single" w:sz="4" w:space="0" w:color="auto"/>
              <w:right w:val="single" w:sz="4" w:space="0" w:color="auto"/>
            </w:tcBorders>
            <w:noWrap/>
          </w:tcPr>
          <w:p w:rsidR="003E4127" w:rsidRPr="008851A5" w:rsidRDefault="003E4127" w:rsidP="00C375E7">
            <w:pPr>
              <w:keepNext/>
              <w:jc w:val="center"/>
              <w:rPr>
                <w:b/>
                <w:sz w:val="18"/>
                <w:lang w:val="es-ES"/>
              </w:rPr>
            </w:pPr>
            <w:r w:rsidRPr="008851A5">
              <w:rPr>
                <w:b/>
                <w:sz w:val="18"/>
                <w:lang w:val="es-ES"/>
              </w:rPr>
              <w:t>% evolución de la presentación de solicitudes internacionales</w:t>
            </w:r>
          </w:p>
        </w:tc>
      </w:tr>
      <w:tr w:rsidR="003E4127" w:rsidRPr="00963980" w:rsidTr="0016601B">
        <w:trPr>
          <w:cantSplit/>
          <w:trHeight w:val="300"/>
          <w:tblHeader/>
        </w:trPr>
        <w:tc>
          <w:tcPr>
            <w:tcW w:w="2405" w:type="dxa"/>
            <w:vMerge/>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rPr>
                <w:b/>
                <w:sz w:val="18"/>
                <w:lang w:val="es-ES"/>
              </w:rPr>
            </w:pP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a+3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Total</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8851A5" w:rsidRDefault="003E4127" w:rsidP="00C375E7">
            <w:pPr>
              <w:keepNext/>
              <w:jc w:val="center"/>
              <w:rPr>
                <w:b/>
                <w:sz w:val="18"/>
                <w:lang w:val="es-ES"/>
              </w:rPr>
            </w:pPr>
            <w:r w:rsidRPr="008851A5">
              <w:rPr>
                <w:b/>
                <w:sz w:val="18"/>
                <w:lang w:val="es-ES"/>
              </w:rPr>
              <w:t>Personas físicas</w:t>
            </w:r>
          </w:p>
        </w:tc>
      </w:tr>
      <w:tr w:rsidR="0016601B"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16601B">
            <w:pPr>
              <w:ind w:left="454" w:hanging="454"/>
              <w:rPr>
                <w:sz w:val="20"/>
                <w:lang w:val="es-ES"/>
              </w:rPr>
            </w:pPr>
            <w:r w:rsidRPr="00963980">
              <w:rPr>
                <w:sz w:val="20"/>
                <w:lang w:val="es-ES"/>
              </w:rPr>
              <w:t>SY</w:t>
            </w:r>
            <w:r w:rsidRPr="00963980">
              <w:rPr>
                <w:sz w:val="20"/>
                <w:lang w:val="es-ES"/>
              </w:rPr>
              <w:tab/>
              <w:t>Rep</w:t>
            </w:r>
            <w:r>
              <w:rPr>
                <w:sz w:val="20"/>
                <w:lang w:val="es-ES"/>
              </w:rPr>
              <w:t>ú</w:t>
            </w:r>
            <w:r w:rsidRPr="00963980">
              <w:rPr>
                <w:sz w:val="20"/>
                <w:lang w:val="es-ES"/>
              </w:rPr>
              <w:t>blica</w:t>
            </w:r>
            <w:r>
              <w:rPr>
                <w:sz w:val="20"/>
                <w:lang w:val="es-ES"/>
              </w:rPr>
              <w:t xml:space="preserve"> Árabe Siria</w:t>
            </w:r>
          </w:p>
        </w:tc>
        <w:tc>
          <w:tcPr>
            <w:tcW w:w="131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1 / 1 / 1</w:t>
            </w:r>
          </w:p>
        </w:tc>
        <w:tc>
          <w:tcPr>
            <w:tcW w:w="127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0 / 1 / 1</w:t>
            </w:r>
          </w:p>
        </w:tc>
        <w:tc>
          <w:tcPr>
            <w:tcW w:w="12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3 / 1 / 1</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1 / 2 / 2</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2 / 2 / 2</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300%</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+100%</w:t>
            </w:r>
          </w:p>
        </w:tc>
      </w:tr>
      <w:tr w:rsidR="0016601B"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ind w:left="454" w:hanging="454"/>
              <w:rPr>
                <w:sz w:val="20"/>
                <w:lang w:val="es-ES"/>
              </w:rPr>
            </w:pPr>
            <w:r w:rsidRPr="00963980">
              <w:rPr>
                <w:sz w:val="20"/>
                <w:lang w:val="es-ES"/>
              </w:rPr>
              <w:t>SZ</w:t>
            </w:r>
            <w:r w:rsidRPr="00963980">
              <w:rPr>
                <w:sz w:val="20"/>
                <w:lang w:val="es-ES"/>
              </w:rPr>
              <w:tab/>
              <w:t>Eswatini</w:t>
            </w:r>
          </w:p>
        </w:tc>
        <w:tc>
          <w:tcPr>
            <w:tcW w:w="131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p>
        </w:tc>
      </w:tr>
      <w:tr w:rsidR="0016601B"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ind w:left="454" w:hanging="454"/>
              <w:rPr>
                <w:sz w:val="20"/>
                <w:lang w:val="es-ES"/>
              </w:rPr>
            </w:pPr>
            <w:r>
              <w:rPr>
                <w:sz w:val="20"/>
                <w:lang w:val="es-ES"/>
              </w:rPr>
              <w:t>TH</w:t>
            </w:r>
            <w:r>
              <w:rPr>
                <w:sz w:val="20"/>
                <w:lang w:val="es-ES"/>
              </w:rPr>
              <w:tab/>
              <w:t>T</w:t>
            </w:r>
            <w:r w:rsidRPr="00963980">
              <w:rPr>
                <w:sz w:val="20"/>
                <w:lang w:val="es-ES"/>
              </w:rPr>
              <w:t>ailand</w:t>
            </w:r>
            <w:r>
              <w:rPr>
                <w:sz w:val="20"/>
                <w:lang w:val="es-ES"/>
              </w:rPr>
              <w:t>ia</w:t>
            </w:r>
          </w:p>
        </w:tc>
        <w:tc>
          <w:tcPr>
            <w:tcW w:w="131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9 / 10 / 25</w:t>
            </w:r>
          </w:p>
        </w:tc>
        <w:tc>
          <w:tcPr>
            <w:tcW w:w="1273"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28 / 35 / 66</w:t>
            </w:r>
          </w:p>
        </w:tc>
        <w:tc>
          <w:tcPr>
            <w:tcW w:w="12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27 / 38 / 98</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47 / 57 / 159</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44 / 47 / 147</w:t>
            </w:r>
          </w:p>
        </w:tc>
        <w:tc>
          <w:tcPr>
            <w:tcW w:w="1270"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rPr>
                <w:sz w:val="20"/>
                <w:lang w:val="es-ES"/>
              </w:rPr>
            </w:pPr>
            <w:r w:rsidRPr="00963980">
              <w:rPr>
                <w:sz w:val="20"/>
                <w:lang w:val="es-ES"/>
              </w:rPr>
              <w:t>28 / 29 / 124</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28%</w:t>
            </w:r>
          </w:p>
        </w:tc>
        <w:tc>
          <w:tcPr>
            <w:tcW w:w="1314"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23%</w:t>
            </w: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+27%</w:t>
            </w:r>
          </w:p>
        </w:tc>
        <w:tc>
          <w:tcPr>
            <w:tcW w:w="1072" w:type="dxa"/>
            <w:tcBorders>
              <w:top w:val="single" w:sz="4" w:space="0" w:color="auto"/>
              <w:left w:val="single" w:sz="4" w:space="0" w:color="auto"/>
              <w:bottom w:val="single" w:sz="4" w:space="0" w:color="auto"/>
              <w:right w:val="single" w:sz="4" w:space="0" w:color="auto"/>
            </w:tcBorders>
            <w:noWrap/>
            <w:hideMark/>
          </w:tcPr>
          <w:p w:rsidR="0016601B" w:rsidRPr="00963980" w:rsidRDefault="0016601B" w:rsidP="00ED5B70">
            <w:pPr>
              <w:jc w:val="right"/>
              <w:rPr>
                <w:sz w:val="20"/>
                <w:lang w:val="es-ES"/>
              </w:rPr>
            </w:pPr>
            <w:r w:rsidRPr="00963980">
              <w:rPr>
                <w:sz w:val="20"/>
                <w:lang w:val="es-ES"/>
              </w:rPr>
              <w:t>-24%</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TN</w:t>
            </w:r>
            <w:r w:rsidRPr="00963980">
              <w:rPr>
                <w:sz w:val="20"/>
                <w:lang w:val="es-ES"/>
              </w:rPr>
              <w:tab/>
            </w:r>
            <w:r>
              <w:rPr>
                <w:sz w:val="20"/>
                <w:lang w:val="es-ES"/>
              </w:rPr>
              <w:t>Túnez</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5 / 7</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4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2 / 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10 / 11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82%</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+57%</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TO</w:t>
            </w:r>
            <w:r w:rsidRPr="00963980">
              <w:rPr>
                <w:sz w:val="20"/>
                <w:lang w:val="es-ES"/>
              </w:rPr>
              <w:tab/>
              <w:t>Tonga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TR</w:t>
            </w:r>
            <w:r w:rsidRPr="00963980">
              <w:rPr>
                <w:sz w:val="20"/>
                <w:lang w:val="es-ES"/>
              </w:rPr>
              <w:tab/>
            </w:r>
            <w:r>
              <w:rPr>
                <w:sz w:val="20"/>
                <w:lang w:val="es-ES"/>
              </w:rPr>
              <w:t>Turquía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125 / 138 / 358</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191 / 216 / 822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237 / 254 / 908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253 / 268 / 1</w:t>
            </w:r>
            <w:r w:rsidR="00BC259E">
              <w:rPr>
                <w:sz w:val="20"/>
                <w:lang w:val="es-ES"/>
              </w:rPr>
              <w:t>.</w:t>
            </w:r>
            <w:r w:rsidRPr="00963980">
              <w:rPr>
                <w:sz w:val="20"/>
                <w:lang w:val="es-ES"/>
              </w:rPr>
              <w:t>019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265 / 283 / 1</w:t>
            </w:r>
            <w:r w:rsidR="00BC259E">
              <w:rPr>
                <w:sz w:val="20"/>
                <w:lang w:val="es-ES"/>
              </w:rPr>
              <w:t>.</w:t>
            </w:r>
            <w:r w:rsidRPr="00963980">
              <w:rPr>
                <w:sz w:val="20"/>
                <w:lang w:val="es-ES"/>
              </w:rPr>
              <w:t>143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243 / 284 / 1</w:t>
            </w:r>
            <w:r w:rsidR="00BC259E">
              <w:rPr>
                <w:sz w:val="20"/>
                <w:lang w:val="es-ES"/>
              </w:rPr>
              <w:t>.</w:t>
            </w:r>
            <w:r w:rsidRPr="00963980">
              <w:rPr>
                <w:sz w:val="20"/>
                <w:lang w:val="es-ES"/>
              </w:rPr>
              <w:t>220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TT</w:t>
            </w:r>
            <w:r w:rsidRPr="00963980">
              <w:rPr>
                <w:sz w:val="20"/>
                <w:lang w:val="es-ES"/>
              </w:rPr>
              <w:tab/>
            </w:r>
            <w:r>
              <w:rPr>
                <w:sz w:val="20"/>
                <w:lang w:val="es-ES"/>
              </w:rPr>
              <w:t>Trinidad y Tabago</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5 / 5</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31 / 31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10 / 10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5</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UA</w:t>
            </w:r>
            <w:r w:rsidRPr="00963980">
              <w:rPr>
                <w:sz w:val="20"/>
                <w:lang w:val="es-ES"/>
              </w:rPr>
              <w:tab/>
            </w:r>
            <w:r>
              <w:rPr>
                <w:sz w:val="20"/>
                <w:lang w:val="es-ES"/>
              </w:rPr>
              <w:t>Ucrania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48 / 55 / 64</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114 / 125 / 158</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96 / 101 / 132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138 / 145 / 156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122 / 134 / 152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107 / 128 / 138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73%</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78%</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+27%</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UY</w:t>
            </w:r>
            <w:r w:rsidRPr="00963980">
              <w:rPr>
                <w:sz w:val="20"/>
                <w:lang w:val="es-ES"/>
              </w:rPr>
              <w:tab/>
              <w:t>Uruguay</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3 / 6</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7 / 14</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12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UZ</w:t>
            </w:r>
            <w:r w:rsidRPr="00963980">
              <w:rPr>
                <w:sz w:val="20"/>
                <w:lang w:val="es-ES"/>
              </w:rPr>
              <w:tab/>
            </w:r>
            <w:r>
              <w:rPr>
                <w:sz w:val="20"/>
                <w:lang w:val="es-ES"/>
              </w:rPr>
              <w:t>Uzbekistán</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0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6 / 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4 / 4</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57%</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-43%</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530F0C" w:rsidRDefault="003E4127" w:rsidP="00C375E7">
            <w:pPr>
              <w:ind w:left="454" w:hanging="454"/>
              <w:rPr>
                <w:sz w:val="20"/>
                <w:lang w:val="es-ES"/>
              </w:rPr>
            </w:pPr>
            <w:r w:rsidRPr="00C45B38">
              <w:rPr>
                <w:sz w:val="20"/>
                <w:lang w:val="es-ES"/>
              </w:rPr>
              <w:t>VC</w:t>
            </w:r>
            <w:r w:rsidRPr="00C45B38">
              <w:rPr>
                <w:sz w:val="20"/>
                <w:lang w:val="es-ES"/>
              </w:rPr>
              <w:tab/>
              <w:t>San Vicente y las Granadinas</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VE</w:t>
            </w:r>
            <w:r w:rsidRPr="00963980">
              <w:rPr>
                <w:sz w:val="20"/>
                <w:lang w:val="es-ES"/>
              </w:rPr>
              <w:tab/>
              <w:t>Venezuela (</w:t>
            </w:r>
            <w:r>
              <w:rPr>
                <w:sz w:val="20"/>
                <w:lang w:val="es-ES"/>
              </w:rPr>
              <w:t>República Bolivariana de</w:t>
            </w:r>
            <w:r w:rsidRPr="00963980">
              <w:rPr>
                <w:sz w:val="20"/>
                <w:lang w:val="es-ES"/>
              </w:rPr>
              <w:t>)</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2</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VN</w:t>
            </w:r>
            <w:r w:rsidRPr="00963980">
              <w:rPr>
                <w:sz w:val="20"/>
                <w:lang w:val="es-ES"/>
              </w:rPr>
              <w:tab/>
              <w:t>Viet Nam</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7 / 7 / 10</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7 / 13</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5 / 7 / 9</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9 / 13 / 17</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 / 13 / 16</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7 / 8 / 28</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56%</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+211%</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ZA</w:t>
            </w:r>
            <w:r w:rsidRPr="00963980">
              <w:rPr>
                <w:sz w:val="20"/>
                <w:lang w:val="es-ES"/>
              </w:rPr>
              <w:tab/>
            </w:r>
            <w:r>
              <w:rPr>
                <w:sz w:val="20"/>
                <w:lang w:val="es-ES"/>
              </w:rPr>
              <w:t>Sudáfrica</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64 / 62 / 161</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142 / 138 / 315</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132 / 130 / 318</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119 / 117 / 303</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117 / 113 / 282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120 / 113 / 271</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44%</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r>
      <w:tr w:rsidR="003E4127" w:rsidRPr="00963980" w:rsidTr="0016601B">
        <w:trPr>
          <w:cantSplit/>
          <w:trHeight w:val="300"/>
        </w:trPr>
        <w:tc>
          <w:tcPr>
            <w:tcW w:w="2405"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ZW</w:t>
            </w:r>
            <w:r w:rsidRPr="00963980">
              <w:rPr>
                <w:sz w:val="20"/>
                <w:lang w:val="es-ES"/>
              </w:rPr>
              <w:tab/>
              <w:t>Zimbabwe</w:t>
            </w:r>
          </w:p>
        </w:tc>
        <w:tc>
          <w:tcPr>
            <w:tcW w:w="131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7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7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21 / 22</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1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r w:rsidR="00BC259E">
              <w:rPr>
                <w:sz w:val="20"/>
                <w:lang w:val="es-ES"/>
              </w:rPr>
              <w:t>.</w:t>
            </w:r>
            <w:r w:rsidRPr="00963980">
              <w:rPr>
                <w:sz w:val="20"/>
                <w:lang w:val="es-ES"/>
              </w:rPr>
              <w:t>100%</w:t>
            </w:r>
          </w:p>
        </w:tc>
        <w:tc>
          <w:tcPr>
            <w:tcW w:w="1072"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r w:rsidR="00BC259E">
              <w:rPr>
                <w:sz w:val="20"/>
                <w:lang w:val="es-ES"/>
              </w:rPr>
              <w:t>.</w:t>
            </w:r>
            <w:r w:rsidRPr="00963980">
              <w:rPr>
                <w:sz w:val="20"/>
                <w:lang w:val="es-ES"/>
              </w:rPr>
              <w:t>000%</w:t>
            </w:r>
          </w:p>
        </w:tc>
      </w:tr>
    </w:tbl>
    <w:p w:rsidR="003E4127" w:rsidRPr="00963980" w:rsidRDefault="003E4127" w:rsidP="003E4127">
      <w:pPr>
        <w:rPr>
          <w:lang w:val="es-ES"/>
        </w:rPr>
      </w:pPr>
      <w:r w:rsidRPr="00963980">
        <w:rPr>
          <w:lang w:val="es-ES"/>
        </w:rPr>
        <w:br w:type="page"/>
      </w:r>
    </w:p>
    <w:tbl>
      <w:tblPr>
        <w:tblW w:w="0" w:type="auto"/>
        <w:tblLook w:val="04A0" w:firstRow="1" w:lastRow="0" w:firstColumn="1" w:lastColumn="0" w:noHBand="0" w:noVBand="1"/>
      </w:tblPr>
      <w:tblGrid>
        <w:gridCol w:w="2511"/>
        <w:gridCol w:w="1207"/>
        <w:gridCol w:w="1273"/>
        <w:gridCol w:w="1272"/>
        <w:gridCol w:w="1270"/>
        <w:gridCol w:w="1270"/>
        <w:gridCol w:w="1270"/>
        <w:gridCol w:w="1314"/>
        <w:gridCol w:w="1314"/>
        <w:gridCol w:w="1072"/>
        <w:gridCol w:w="1072"/>
      </w:tblGrid>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rPr>
                <w:b/>
                <w:i/>
                <w:sz w:val="20"/>
                <w:lang w:val="es-ES"/>
              </w:rPr>
            </w:pPr>
          </w:p>
          <w:p w:rsidR="003E4127" w:rsidRDefault="003E4127" w:rsidP="00C375E7">
            <w:pPr>
              <w:rPr>
                <w:b/>
                <w:i/>
                <w:sz w:val="20"/>
                <w:lang w:val="es-ES"/>
              </w:rPr>
            </w:pPr>
            <w:r w:rsidRPr="00963980">
              <w:rPr>
                <w:b/>
                <w:i/>
                <w:sz w:val="20"/>
                <w:lang w:val="es-ES"/>
              </w:rPr>
              <w:t>D.</w:t>
            </w:r>
            <w:r>
              <w:rPr>
                <w:b/>
                <w:i/>
                <w:sz w:val="20"/>
                <w:lang w:val="es-ES"/>
              </w:rPr>
              <w:t xml:space="preserve"> </w:t>
            </w:r>
            <w:r w:rsidRPr="00F01F1D">
              <w:rPr>
                <w:b/>
                <w:i/>
                <w:sz w:val="20"/>
                <w:lang w:val="es-ES_tradnl"/>
              </w:rPr>
              <w:t>Países menos adelantados, cuyos nacionales y residentes pueden acogerse a la reducción de las tasas, sean o no personas físicas</w:t>
            </w:r>
          </w:p>
          <w:p w:rsidR="003E4127" w:rsidRPr="00963980" w:rsidRDefault="003E4127" w:rsidP="00C375E7">
            <w:pPr>
              <w:ind w:left="567" w:hanging="567"/>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0F2318" w:rsidRDefault="003E4127" w:rsidP="00C375E7">
            <w:pPr>
              <w:rPr>
                <w:b/>
                <w:sz w:val="18"/>
                <w:lang w:val="es-ES"/>
              </w:rPr>
            </w:pPr>
            <w:r w:rsidRPr="000F2318">
              <w:rPr>
                <w:b/>
                <w:sz w:val="18"/>
                <w:lang w:val="es-ES"/>
              </w:rPr>
              <w:t>Código ST.3,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0F2318" w:rsidRDefault="003E4127" w:rsidP="00C375E7">
            <w:pPr>
              <w:rPr>
                <w:b/>
                <w:sz w:val="18"/>
                <w:lang w:val="es-ES"/>
              </w:rPr>
            </w:pPr>
            <w:r w:rsidRPr="000F2318">
              <w:rPr>
                <w:b/>
                <w:sz w:val="18"/>
                <w:lang w:val="es-ES"/>
              </w:rPr>
              <w:t>Solicitudes presentadas antes del 1 de julio de 2015</w:t>
            </w:r>
          </w:p>
          <w:p w:rsidR="003E4127" w:rsidRPr="000F2318" w:rsidRDefault="003E4127" w:rsidP="00C375E7">
            <w:pPr>
              <w:rPr>
                <w:b/>
                <w:sz w:val="18"/>
                <w:lang w:val="es-ES"/>
              </w:rPr>
            </w:pPr>
            <w:r w:rsidRPr="000F2318">
              <w:rPr>
                <w:i/>
                <w:sz w:val="18"/>
                <w:lang w:val="es-ES"/>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Pr="000F2318" w:rsidRDefault="003E4127" w:rsidP="00C375E7">
            <w:pPr>
              <w:rPr>
                <w:b/>
                <w:sz w:val="18"/>
                <w:lang w:val="es-ES"/>
              </w:rPr>
            </w:pPr>
            <w:r w:rsidRPr="000F2318">
              <w:rPr>
                <w:b/>
                <w:sz w:val="18"/>
                <w:lang w:val="es-ES"/>
              </w:rPr>
              <w:t>Solicitudes presentadas a partir del 1 de julio de 2015</w:t>
            </w:r>
            <w:r w:rsidRPr="000F2318">
              <w:rPr>
                <w:b/>
                <w:sz w:val="18"/>
                <w:lang w:val="es-ES"/>
              </w:rPr>
              <w:br/>
            </w:r>
            <w:r w:rsidRPr="000F2318">
              <w:rPr>
                <w:i/>
                <w:sz w:val="18"/>
                <w:lang w:val="es-ES"/>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0F2318" w:rsidRDefault="003E4127" w:rsidP="00C375E7">
            <w:pPr>
              <w:jc w:val="center"/>
              <w:rPr>
                <w:b/>
                <w:sz w:val="18"/>
                <w:lang w:val="es-ES"/>
              </w:rPr>
            </w:pPr>
            <w:r w:rsidRPr="000F2318">
              <w:rPr>
                <w:b/>
                <w:sz w:val="18"/>
                <w:lang w:val="es-ES"/>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0F2318" w:rsidRDefault="003E4127" w:rsidP="00C375E7">
            <w:pPr>
              <w:jc w:val="center"/>
              <w:rPr>
                <w:b/>
                <w:sz w:val="18"/>
                <w:lang w:val="es-ES"/>
              </w:rPr>
            </w:pPr>
            <w:r w:rsidRPr="000F2318">
              <w:rPr>
                <w:b/>
                <w:sz w:val="18"/>
                <w:lang w:val="es-ES"/>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rPr>
                <w:b/>
                <w:sz w:val="18"/>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C375E7">
            <w:pPr>
              <w:jc w:val="center"/>
              <w:rPr>
                <w:b/>
                <w:sz w:val="18"/>
                <w:lang w:val="es-ES"/>
              </w:rPr>
            </w:pPr>
            <w:r w:rsidRPr="000F2318">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AO</w:t>
            </w:r>
            <w:r w:rsidRPr="00963980">
              <w:rPr>
                <w:sz w:val="20"/>
                <w:lang w:val="es-ES"/>
              </w:rPr>
              <w:tab/>
              <w:t>Angola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BD</w:t>
            </w:r>
            <w:r w:rsidRPr="00963980">
              <w:rPr>
                <w:sz w:val="20"/>
                <w:lang w:val="es-ES"/>
              </w:rPr>
              <w:tab/>
              <w:t>Bangladesh</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BI</w:t>
            </w:r>
            <w:r w:rsidRPr="00963980">
              <w:rPr>
                <w:sz w:val="20"/>
                <w:lang w:val="es-ES"/>
              </w:rPr>
              <w:tab/>
              <w:t>Burundi</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CD4266" w:rsidRDefault="003E4127" w:rsidP="00C375E7">
            <w:pPr>
              <w:ind w:left="454" w:hanging="454"/>
              <w:rPr>
                <w:sz w:val="20"/>
                <w:lang w:val="es-ES"/>
              </w:rPr>
            </w:pPr>
            <w:r w:rsidRPr="00C45B38">
              <w:rPr>
                <w:sz w:val="20"/>
                <w:lang w:val="es-ES"/>
              </w:rPr>
              <w:t>CD</w:t>
            </w:r>
            <w:r w:rsidRPr="00C45B38">
              <w:rPr>
                <w:sz w:val="20"/>
                <w:lang w:val="es-ES"/>
              </w:rPr>
              <w:tab/>
              <w:t>República Democrática del Congo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ER</w:t>
            </w:r>
            <w:r w:rsidRPr="00963980">
              <w:rPr>
                <w:sz w:val="20"/>
                <w:lang w:val="es-ES"/>
              </w:rPr>
              <w:tab/>
              <w:t>Eritrea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GN</w:t>
            </w:r>
            <w:r w:rsidRPr="00963980">
              <w:rPr>
                <w:sz w:val="20"/>
                <w:lang w:val="es-ES"/>
              </w:rPr>
              <w:tab/>
              <w:t>Guinea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KH</w:t>
            </w:r>
            <w:r w:rsidRPr="00963980">
              <w:rPr>
                <w:sz w:val="20"/>
                <w:lang w:val="es-ES"/>
              </w:rPr>
              <w:tab/>
            </w:r>
            <w:r>
              <w:rPr>
                <w:sz w:val="20"/>
                <w:lang w:val="es-ES"/>
              </w:rPr>
              <w:t>Camboya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CD4266" w:rsidRDefault="003E4127" w:rsidP="00C375E7">
            <w:pPr>
              <w:ind w:left="454" w:hanging="454"/>
              <w:rPr>
                <w:sz w:val="20"/>
                <w:lang w:val="es-ES"/>
              </w:rPr>
            </w:pPr>
            <w:r w:rsidRPr="00C45B38">
              <w:rPr>
                <w:sz w:val="20"/>
                <w:lang w:val="es-ES"/>
              </w:rPr>
              <w:t>LA</w:t>
            </w:r>
            <w:r w:rsidRPr="00C45B38">
              <w:rPr>
                <w:sz w:val="20"/>
                <w:lang w:val="es-ES"/>
              </w:rPr>
              <w:tab/>
              <w:t>República Democrática Popular Lao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LR</w:t>
            </w:r>
            <w:r w:rsidRPr="00963980">
              <w:rPr>
                <w:sz w:val="20"/>
                <w:lang w:val="es-ES"/>
              </w:rPr>
              <w:tab/>
              <w:t>Liberia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MG</w:t>
            </w:r>
            <w:r w:rsidRPr="00963980">
              <w:rPr>
                <w:sz w:val="20"/>
                <w:lang w:val="es-ES"/>
              </w:rPr>
              <w:tab/>
              <w:t>Madagascar</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2 / 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MW</w:t>
            </w:r>
            <w:r w:rsidRPr="00963980">
              <w:rPr>
                <w:sz w:val="20"/>
                <w:lang w:val="es-ES"/>
              </w:rPr>
              <w:tab/>
              <w:t>Malawi</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MZ</w:t>
            </w:r>
            <w:r w:rsidRPr="00963980">
              <w:rPr>
                <w:sz w:val="20"/>
                <w:lang w:val="es-ES"/>
              </w:rPr>
              <w:tab/>
              <w:t>Mozambique</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NE</w:t>
            </w:r>
            <w:r w:rsidRPr="00963980">
              <w:rPr>
                <w:sz w:val="20"/>
                <w:lang w:val="es-ES"/>
              </w:rPr>
              <w:tab/>
            </w:r>
            <w:r>
              <w:rPr>
                <w:sz w:val="20"/>
                <w:lang w:val="es-ES"/>
              </w:rPr>
              <w:t>Níger</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RW</w:t>
            </w:r>
            <w:r w:rsidRPr="00963980">
              <w:rPr>
                <w:sz w:val="20"/>
                <w:lang w:val="es-ES"/>
              </w:rPr>
              <w:tab/>
              <w:t>Rwanda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SB</w:t>
            </w:r>
            <w:r w:rsidRPr="00963980">
              <w:rPr>
                <w:sz w:val="20"/>
                <w:lang w:val="es-ES"/>
              </w:rPr>
              <w:tab/>
            </w:r>
            <w:r>
              <w:rPr>
                <w:sz w:val="20"/>
                <w:lang w:val="es-ES"/>
              </w:rPr>
              <w:t>Islas Salomón</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SD</w:t>
            </w:r>
            <w:r w:rsidRPr="00963980">
              <w:rPr>
                <w:sz w:val="20"/>
                <w:lang w:val="es-ES"/>
              </w:rPr>
              <w:tab/>
            </w:r>
            <w:r>
              <w:rPr>
                <w:sz w:val="20"/>
                <w:lang w:val="es-ES"/>
              </w:rPr>
              <w:t>Sudán</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5 / 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7 / 8 / 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6 / 6 / 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+17%</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SN</w:t>
            </w:r>
            <w:r w:rsidRPr="00963980">
              <w:rPr>
                <w:sz w:val="20"/>
                <w:lang w:val="es-ES"/>
              </w:rPr>
              <w:tab/>
              <w:t>Senegal</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3 / 16 / 16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4 / 8 / 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4 / 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3 / 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-81%</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TD</w:t>
            </w:r>
            <w:r w:rsidRPr="00963980">
              <w:rPr>
                <w:sz w:val="20"/>
                <w:lang w:val="es-ES"/>
              </w:rPr>
              <w:tab/>
              <w:t>Chad</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TG</w:t>
            </w:r>
            <w:r w:rsidRPr="00963980">
              <w:rPr>
                <w:sz w:val="20"/>
                <w:lang w:val="es-ES"/>
              </w:rPr>
              <w:tab/>
              <w:t>Togo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CD4266" w:rsidRDefault="003E4127" w:rsidP="00C375E7">
            <w:pPr>
              <w:ind w:left="454" w:hanging="454"/>
              <w:rPr>
                <w:sz w:val="20"/>
                <w:lang w:val="es-ES"/>
              </w:rPr>
            </w:pPr>
            <w:r w:rsidRPr="00C45B38">
              <w:rPr>
                <w:sz w:val="20"/>
                <w:lang w:val="es-ES"/>
              </w:rPr>
              <w:t>TZ</w:t>
            </w:r>
            <w:r w:rsidRPr="00C45B38">
              <w:rPr>
                <w:sz w:val="20"/>
                <w:lang w:val="es-ES"/>
              </w:rPr>
              <w:tab/>
              <w:t>República Unida de Tanzanía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1E1F4B">
            <w:pPr>
              <w:keepNext/>
              <w:ind w:left="567" w:hanging="567"/>
              <w:rPr>
                <w:sz w:val="20"/>
                <w:lang w:val="es-ES"/>
              </w:rPr>
            </w:pPr>
          </w:p>
          <w:p w:rsidR="003E4127" w:rsidRDefault="003E4127" w:rsidP="001E1F4B">
            <w:pPr>
              <w:keepNext/>
              <w:ind w:left="567" w:hanging="567"/>
              <w:rPr>
                <w:b/>
                <w:i/>
                <w:sz w:val="20"/>
                <w:lang w:val="es-ES"/>
              </w:rPr>
            </w:pPr>
            <w:r w:rsidRPr="00963980">
              <w:rPr>
                <w:b/>
                <w:i/>
                <w:sz w:val="20"/>
                <w:lang w:val="es-ES"/>
              </w:rPr>
              <w:t>D.</w:t>
            </w:r>
            <w:r>
              <w:rPr>
                <w:b/>
                <w:i/>
                <w:sz w:val="20"/>
                <w:lang w:val="es-ES"/>
              </w:rPr>
              <w:t xml:space="preserve"> </w:t>
            </w:r>
            <w:r w:rsidRPr="00F01F1D">
              <w:rPr>
                <w:b/>
                <w:i/>
                <w:sz w:val="20"/>
                <w:lang w:val="es-ES_tradnl"/>
              </w:rPr>
              <w:t>Países menos adelantados, cuyos nacionales y residentes pueden acogerse a la reducción de las tasas, sean o no personas físicas (continuación)</w:t>
            </w:r>
          </w:p>
          <w:p w:rsidR="003E4127" w:rsidRPr="00963980" w:rsidRDefault="003E4127" w:rsidP="001E1F4B">
            <w:pPr>
              <w:keepNext/>
              <w:ind w:left="567" w:hanging="567"/>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0F2318" w:rsidRDefault="003E4127" w:rsidP="001E1F4B">
            <w:pPr>
              <w:keepNext/>
              <w:rPr>
                <w:b/>
                <w:sz w:val="18"/>
                <w:lang w:val="es-ES"/>
              </w:rPr>
            </w:pPr>
            <w:r w:rsidRPr="000F2318">
              <w:rPr>
                <w:b/>
                <w:sz w:val="18"/>
                <w:lang w:val="es-ES"/>
              </w:rPr>
              <w:t>Código ST.3,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0F2318" w:rsidRDefault="003E4127" w:rsidP="001E1F4B">
            <w:pPr>
              <w:keepNext/>
              <w:rPr>
                <w:b/>
                <w:sz w:val="18"/>
                <w:lang w:val="es-ES"/>
              </w:rPr>
            </w:pPr>
            <w:r w:rsidRPr="000F2318">
              <w:rPr>
                <w:b/>
                <w:sz w:val="18"/>
                <w:lang w:val="es-ES"/>
              </w:rPr>
              <w:t>Solicitudes presentadas antes del 1 de julio de 2015</w:t>
            </w:r>
          </w:p>
          <w:p w:rsidR="003E4127" w:rsidRPr="000F2318" w:rsidRDefault="003E4127" w:rsidP="001E1F4B">
            <w:pPr>
              <w:keepNext/>
              <w:rPr>
                <w:b/>
                <w:sz w:val="18"/>
                <w:lang w:val="es-ES"/>
              </w:rPr>
            </w:pPr>
            <w:r w:rsidRPr="000F2318">
              <w:rPr>
                <w:i/>
                <w:sz w:val="18"/>
                <w:lang w:val="es-ES"/>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Pr="000F2318" w:rsidRDefault="003E4127" w:rsidP="001E1F4B">
            <w:pPr>
              <w:keepNext/>
              <w:rPr>
                <w:b/>
                <w:sz w:val="18"/>
                <w:lang w:val="es-ES"/>
              </w:rPr>
            </w:pPr>
            <w:r w:rsidRPr="000F2318">
              <w:rPr>
                <w:b/>
                <w:sz w:val="18"/>
                <w:lang w:val="es-ES"/>
              </w:rPr>
              <w:t>Solicitudes presentadas a partir del 1 de julio de 2015</w:t>
            </w:r>
            <w:r w:rsidRPr="000F2318">
              <w:rPr>
                <w:b/>
                <w:sz w:val="18"/>
                <w:lang w:val="es-ES"/>
              </w:rPr>
              <w:br/>
            </w:r>
            <w:r w:rsidRPr="000F2318">
              <w:rPr>
                <w:i/>
                <w:sz w:val="18"/>
                <w:lang w:val="es-ES"/>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0F2318" w:rsidRDefault="003E4127" w:rsidP="001E1F4B">
            <w:pPr>
              <w:keepNext/>
              <w:jc w:val="center"/>
              <w:rPr>
                <w:b/>
                <w:sz w:val="18"/>
                <w:lang w:val="es-ES"/>
              </w:rPr>
            </w:pPr>
            <w:r w:rsidRPr="000F2318">
              <w:rPr>
                <w:b/>
                <w:sz w:val="18"/>
                <w:lang w:val="es-ES"/>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0F2318" w:rsidRDefault="003E4127" w:rsidP="001E1F4B">
            <w:pPr>
              <w:keepNext/>
              <w:jc w:val="center"/>
              <w:rPr>
                <w:b/>
                <w:sz w:val="18"/>
                <w:lang w:val="es-ES"/>
              </w:rPr>
            </w:pPr>
            <w:r w:rsidRPr="000F2318">
              <w:rPr>
                <w:b/>
                <w:sz w:val="18"/>
                <w:lang w:val="es-ES"/>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rPr>
                <w:b/>
                <w:sz w:val="18"/>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0F2318" w:rsidRDefault="003E4127" w:rsidP="001E1F4B">
            <w:pPr>
              <w:keepNext/>
              <w:jc w:val="center"/>
              <w:rPr>
                <w:b/>
                <w:sz w:val="18"/>
                <w:lang w:val="es-ES"/>
              </w:rPr>
            </w:pPr>
            <w:r w:rsidRPr="000F2318">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ind w:left="454" w:hanging="454"/>
              <w:rPr>
                <w:sz w:val="20"/>
                <w:lang w:val="es-ES"/>
              </w:rPr>
            </w:pPr>
            <w:r w:rsidRPr="00963980">
              <w:rPr>
                <w:sz w:val="20"/>
                <w:lang w:val="es-ES"/>
              </w:rPr>
              <w:t>UG</w:t>
            </w:r>
            <w:r w:rsidRPr="00963980">
              <w:rPr>
                <w:sz w:val="20"/>
                <w:lang w:val="es-ES"/>
              </w:rPr>
              <w:tab/>
              <w:t>Uganda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0 / 0 / 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1 / 1 / 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1 / 1 / 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jc w:val="right"/>
              <w:rPr>
                <w:sz w:val="20"/>
                <w:lang w:val="es-ES"/>
              </w:rPr>
            </w:pPr>
            <w:r w:rsidRPr="00963980">
              <w:rPr>
                <w:sz w:val="20"/>
                <w:lang w:val="es-ES"/>
              </w:rPr>
              <w:t>33%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1E1F4B">
            <w:pPr>
              <w:keepNext/>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VU</w:t>
            </w:r>
            <w:r w:rsidRPr="00963980">
              <w:rPr>
                <w:sz w:val="20"/>
                <w:lang w:val="es-ES"/>
              </w:rPr>
              <w:tab/>
              <w:t>Vanuatu</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WS</w:t>
            </w:r>
            <w:r w:rsidRPr="00963980">
              <w:rPr>
                <w:sz w:val="20"/>
                <w:lang w:val="es-ES"/>
              </w:rPr>
              <w:tab/>
              <w:t>Samoa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0 / 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0 / 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-88%</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YE</w:t>
            </w:r>
            <w:r w:rsidRPr="00963980">
              <w:rPr>
                <w:sz w:val="20"/>
                <w:lang w:val="es-ES"/>
              </w:rPr>
              <w:tab/>
              <w:t>Yemen</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2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ZM</w:t>
            </w:r>
            <w:r w:rsidRPr="00963980">
              <w:rPr>
                <w:sz w:val="20"/>
                <w:lang w:val="es-ES"/>
              </w:rPr>
              <w:tab/>
              <w:t>Zambia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1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bl>
    <w:p w:rsidR="003E4127" w:rsidRPr="00963980" w:rsidRDefault="003E4127" w:rsidP="003E4127">
      <w:pPr>
        <w:rPr>
          <w:lang w:val="es-ES"/>
        </w:rPr>
      </w:pPr>
      <w:r w:rsidRPr="00963980">
        <w:rPr>
          <w:lang w:val="es-ES"/>
        </w:rPr>
        <w:br w:type="page"/>
      </w:r>
    </w:p>
    <w:tbl>
      <w:tblPr>
        <w:tblW w:w="0" w:type="auto"/>
        <w:tblLook w:val="04A0" w:firstRow="1" w:lastRow="0" w:firstColumn="1" w:lastColumn="0" w:noHBand="0" w:noVBand="1"/>
      </w:tblPr>
      <w:tblGrid>
        <w:gridCol w:w="2511"/>
        <w:gridCol w:w="1207"/>
        <w:gridCol w:w="1273"/>
        <w:gridCol w:w="1272"/>
        <w:gridCol w:w="1270"/>
        <w:gridCol w:w="1270"/>
        <w:gridCol w:w="1270"/>
        <w:gridCol w:w="1314"/>
        <w:gridCol w:w="1314"/>
        <w:gridCol w:w="1072"/>
        <w:gridCol w:w="1072"/>
      </w:tblGrid>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C375E7">
            <w:pPr>
              <w:ind w:left="567" w:hanging="567"/>
              <w:rPr>
                <w:sz w:val="20"/>
                <w:lang w:val="es-ES"/>
              </w:rPr>
            </w:pPr>
          </w:p>
          <w:p w:rsidR="003E4127" w:rsidRDefault="003E4127" w:rsidP="00C375E7">
            <w:pPr>
              <w:ind w:left="567" w:hanging="567"/>
              <w:rPr>
                <w:b/>
                <w:i/>
                <w:sz w:val="20"/>
                <w:lang w:val="es-ES"/>
              </w:rPr>
            </w:pPr>
            <w:r w:rsidRPr="00963980">
              <w:rPr>
                <w:b/>
                <w:i/>
                <w:sz w:val="20"/>
                <w:lang w:val="es-ES"/>
              </w:rPr>
              <w:t>E.</w:t>
            </w:r>
            <w:r>
              <w:rPr>
                <w:b/>
                <w:i/>
                <w:sz w:val="20"/>
                <w:lang w:val="es-ES"/>
              </w:rPr>
              <w:t xml:space="preserve"> </w:t>
            </w:r>
            <w:r w:rsidRPr="00F01F1D">
              <w:rPr>
                <w:b/>
                <w:i/>
                <w:sz w:val="20"/>
                <w:lang w:val="es-ES_tradnl"/>
              </w:rPr>
              <w:t>Estados no incluidos en la lista en ningún momento durante el período</w:t>
            </w:r>
          </w:p>
          <w:p w:rsidR="003E4127" w:rsidRPr="00963980" w:rsidRDefault="003E4127" w:rsidP="00C375E7">
            <w:pPr>
              <w:jc w:val="right"/>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2D3EAD" w:rsidRDefault="003E4127" w:rsidP="00C375E7">
            <w:pPr>
              <w:rPr>
                <w:b/>
                <w:sz w:val="18"/>
                <w:lang w:val="es-ES"/>
              </w:rPr>
            </w:pPr>
            <w:r w:rsidRPr="002D3EAD">
              <w:rPr>
                <w:b/>
                <w:sz w:val="18"/>
                <w:lang w:val="es-ES"/>
              </w:rPr>
              <w:t>Código ST.3</w:t>
            </w:r>
            <w:r w:rsidR="00BC259E">
              <w:rPr>
                <w:b/>
                <w:sz w:val="18"/>
                <w:lang w:val="es-ES"/>
              </w:rPr>
              <w:t>.</w:t>
            </w:r>
            <w:r w:rsidRPr="002D3EAD">
              <w:rPr>
                <w:b/>
                <w:sz w:val="18"/>
                <w:lang w:val="es-ES"/>
              </w:rPr>
              <w:t xml:space="preserve">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2D3EAD" w:rsidRDefault="003E4127" w:rsidP="00C375E7">
            <w:pPr>
              <w:rPr>
                <w:b/>
                <w:sz w:val="18"/>
                <w:lang w:val="es-ES"/>
              </w:rPr>
            </w:pPr>
            <w:r w:rsidRPr="002D3EAD">
              <w:rPr>
                <w:b/>
                <w:sz w:val="18"/>
                <w:lang w:val="es-ES"/>
              </w:rPr>
              <w:t>Solicitudes presentadas antes del 1 de julio de 2015</w:t>
            </w:r>
          </w:p>
          <w:p w:rsidR="003E4127" w:rsidRPr="002D3EAD" w:rsidRDefault="003E4127" w:rsidP="00C375E7">
            <w:pPr>
              <w:rPr>
                <w:b/>
                <w:sz w:val="18"/>
                <w:lang w:val="es-ES"/>
              </w:rPr>
            </w:pPr>
            <w:r w:rsidRPr="002D3EAD">
              <w:rPr>
                <w:i/>
                <w:sz w:val="18"/>
                <w:lang w:val="es-ES"/>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Pr="002D3EAD" w:rsidRDefault="003E4127" w:rsidP="00C375E7">
            <w:pPr>
              <w:rPr>
                <w:b/>
                <w:sz w:val="18"/>
                <w:lang w:val="es-ES"/>
              </w:rPr>
            </w:pPr>
            <w:r w:rsidRPr="002D3EAD">
              <w:rPr>
                <w:b/>
                <w:sz w:val="18"/>
                <w:lang w:val="es-ES"/>
              </w:rPr>
              <w:t>Solicitudes presentadas a partir del 1 de julio de 2015</w:t>
            </w:r>
            <w:r w:rsidRPr="002D3EAD">
              <w:rPr>
                <w:b/>
                <w:sz w:val="18"/>
                <w:lang w:val="es-ES"/>
              </w:rPr>
              <w:br/>
            </w:r>
            <w:r w:rsidRPr="002D3EAD">
              <w:rPr>
                <w:i/>
                <w:sz w:val="18"/>
                <w:lang w:val="es-ES"/>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2D3EAD" w:rsidRDefault="003E4127" w:rsidP="00C375E7">
            <w:pPr>
              <w:jc w:val="center"/>
              <w:rPr>
                <w:b/>
                <w:sz w:val="18"/>
                <w:lang w:val="es-ES"/>
              </w:rPr>
            </w:pPr>
            <w:r w:rsidRPr="002D3EAD">
              <w:rPr>
                <w:b/>
                <w:sz w:val="18"/>
                <w:lang w:val="es-ES"/>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2D3EAD" w:rsidRDefault="003E4127" w:rsidP="00C375E7">
            <w:pPr>
              <w:jc w:val="center"/>
              <w:rPr>
                <w:b/>
                <w:sz w:val="18"/>
                <w:lang w:val="es-ES"/>
              </w:rPr>
            </w:pPr>
            <w:r w:rsidRPr="002D3EAD">
              <w:rPr>
                <w:b/>
                <w:sz w:val="18"/>
                <w:lang w:val="es-ES"/>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rPr>
                <w:b/>
                <w:sz w:val="18"/>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C375E7">
            <w:pPr>
              <w:jc w:val="center"/>
              <w:rPr>
                <w:b/>
                <w:sz w:val="18"/>
                <w:lang w:val="es-ES"/>
              </w:rPr>
            </w:pPr>
            <w:r w:rsidRPr="002D3EAD">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AD</w:t>
            </w:r>
            <w:r w:rsidRPr="00963980">
              <w:rPr>
                <w:sz w:val="20"/>
                <w:lang w:val="es-ES"/>
              </w:rPr>
              <w:tab/>
              <w:t>Andorra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AT</w:t>
            </w:r>
            <w:r w:rsidRPr="00963980">
              <w:rPr>
                <w:sz w:val="20"/>
                <w:lang w:val="es-ES"/>
              </w:rPr>
              <w:tab/>
              <w:t>Austria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81 / 614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169 / 1</w:t>
            </w:r>
            <w:r w:rsidR="00BC259E">
              <w:rPr>
                <w:sz w:val="20"/>
                <w:lang w:val="es-ES"/>
              </w:rPr>
              <w:t>.</w:t>
            </w:r>
            <w:r w:rsidRPr="00963980">
              <w:rPr>
                <w:sz w:val="20"/>
                <w:lang w:val="es-ES"/>
              </w:rPr>
              <w:t>377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139 / 1</w:t>
            </w:r>
            <w:r w:rsidR="00BC259E">
              <w:rPr>
                <w:sz w:val="20"/>
                <w:lang w:val="es-ES"/>
              </w:rPr>
              <w:t>.</w:t>
            </w:r>
            <w:r w:rsidRPr="00963980">
              <w:rPr>
                <w:sz w:val="20"/>
                <w:lang w:val="es-ES"/>
              </w:rPr>
              <w:t>338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166 / 1</w:t>
            </w:r>
            <w:r w:rsidR="00BC259E">
              <w:rPr>
                <w:sz w:val="20"/>
                <w:lang w:val="es-ES"/>
              </w:rPr>
              <w:t>.</w:t>
            </w:r>
            <w:r w:rsidRPr="00963980">
              <w:rPr>
                <w:sz w:val="20"/>
                <w:lang w:val="es-ES"/>
              </w:rPr>
              <w:t>439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172 / 1</w:t>
            </w:r>
            <w:r w:rsidR="00BC259E">
              <w:rPr>
                <w:sz w:val="20"/>
                <w:lang w:val="es-ES"/>
              </w:rPr>
              <w:t>.</w:t>
            </w:r>
            <w:r w:rsidRPr="00963980">
              <w:rPr>
                <w:sz w:val="20"/>
                <w:lang w:val="es-ES"/>
              </w:rPr>
              <w:t>417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166 / 1</w:t>
            </w:r>
            <w:r w:rsidR="00BC259E">
              <w:rPr>
                <w:sz w:val="20"/>
                <w:lang w:val="es-ES"/>
              </w:rPr>
              <w:t>.</w:t>
            </w:r>
            <w:r w:rsidRPr="00963980">
              <w:rPr>
                <w:sz w:val="20"/>
                <w:lang w:val="es-ES"/>
              </w:rPr>
              <w:t>383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AU</w:t>
            </w:r>
            <w:r w:rsidRPr="00963980">
              <w:rPr>
                <w:sz w:val="20"/>
                <w:lang w:val="es-ES"/>
              </w:rPr>
              <w:tab/>
              <w:t>Australia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119 / 739</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312 / 1</w:t>
            </w:r>
            <w:r w:rsidR="00BC259E">
              <w:rPr>
                <w:sz w:val="20"/>
                <w:lang w:val="es-ES"/>
              </w:rPr>
              <w:t>.</w:t>
            </w:r>
            <w:r w:rsidRPr="00963980">
              <w:rPr>
                <w:sz w:val="20"/>
                <w:lang w:val="es-ES"/>
              </w:rPr>
              <w:t>687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283 / 1</w:t>
            </w:r>
            <w:r w:rsidR="00BC259E">
              <w:rPr>
                <w:sz w:val="20"/>
                <w:lang w:val="es-ES"/>
              </w:rPr>
              <w:t>.</w:t>
            </w:r>
            <w:r w:rsidRPr="00963980">
              <w:rPr>
                <w:sz w:val="20"/>
                <w:lang w:val="es-ES"/>
              </w:rPr>
              <w:t>640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322 / 1</w:t>
            </w:r>
            <w:r w:rsidR="00BC259E">
              <w:rPr>
                <w:sz w:val="20"/>
                <w:lang w:val="es-ES"/>
              </w:rPr>
              <w:t>.</w:t>
            </w:r>
            <w:r w:rsidRPr="00963980">
              <w:rPr>
                <w:sz w:val="20"/>
                <w:lang w:val="es-ES"/>
              </w:rPr>
              <w:t>795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275 / 1</w:t>
            </w:r>
            <w:r w:rsidR="00BC259E">
              <w:rPr>
                <w:sz w:val="20"/>
                <w:lang w:val="es-ES"/>
              </w:rPr>
              <w:t>.</w:t>
            </w:r>
            <w:r w:rsidRPr="00963980">
              <w:rPr>
                <w:sz w:val="20"/>
                <w:lang w:val="es-ES"/>
              </w:rPr>
              <w:t>822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309 / 1</w:t>
            </w:r>
            <w:r w:rsidR="00BC259E">
              <w:rPr>
                <w:sz w:val="20"/>
                <w:lang w:val="es-ES"/>
              </w:rPr>
              <w:t>.</w:t>
            </w:r>
            <w:r w:rsidRPr="00963980">
              <w:rPr>
                <w:sz w:val="20"/>
                <w:lang w:val="es-ES"/>
              </w:rPr>
              <w:t>830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+9%</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BE</w:t>
            </w:r>
            <w:r w:rsidRPr="00963980">
              <w:rPr>
                <w:sz w:val="20"/>
                <w:lang w:val="es-ES"/>
              </w:rPr>
              <w:tab/>
            </w:r>
            <w:r>
              <w:rPr>
                <w:sz w:val="20"/>
                <w:lang w:val="es-ES"/>
              </w:rPr>
              <w:t>Bélgica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29 / 541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40 / 1</w:t>
            </w:r>
            <w:r w:rsidR="00BC259E">
              <w:rPr>
                <w:sz w:val="20"/>
                <w:lang w:val="es-ES"/>
              </w:rPr>
              <w:t>.</w:t>
            </w:r>
            <w:r w:rsidRPr="00963980">
              <w:rPr>
                <w:sz w:val="20"/>
                <w:lang w:val="es-ES"/>
              </w:rPr>
              <w:t>172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46 / 1</w:t>
            </w:r>
            <w:r w:rsidR="00BC259E">
              <w:rPr>
                <w:sz w:val="20"/>
                <w:lang w:val="es-ES"/>
              </w:rPr>
              <w:t>.</w:t>
            </w:r>
            <w:r w:rsidRPr="00963980">
              <w:rPr>
                <w:sz w:val="20"/>
                <w:lang w:val="es-ES"/>
              </w:rPr>
              <w:t>154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45 / 1</w:t>
            </w:r>
            <w:r w:rsidR="00BC259E">
              <w:rPr>
                <w:sz w:val="20"/>
                <w:lang w:val="es-ES"/>
              </w:rPr>
              <w:t>.</w:t>
            </w:r>
            <w:r w:rsidRPr="00963980">
              <w:rPr>
                <w:sz w:val="20"/>
                <w:lang w:val="es-ES"/>
              </w:rPr>
              <w:t>214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56 / 1</w:t>
            </w:r>
            <w:r w:rsidR="00BC259E">
              <w:rPr>
                <w:sz w:val="20"/>
                <w:lang w:val="es-ES"/>
              </w:rPr>
              <w:t>.</w:t>
            </w:r>
            <w:r w:rsidRPr="00963980">
              <w:rPr>
                <w:sz w:val="20"/>
                <w:lang w:val="es-ES"/>
              </w:rPr>
              <w:t>376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47 / 1</w:t>
            </w:r>
            <w:r w:rsidR="00BC259E">
              <w:rPr>
                <w:sz w:val="20"/>
                <w:lang w:val="es-ES"/>
              </w:rPr>
              <w:t>.</w:t>
            </w:r>
            <w:r w:rsidRPr="00963980">
              <w:rPr>
                <w:sz w:val="20"/>
                <w:lang w:val="es-ES"/>
              </w:rPr>
              <w:t>295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BN</w:t>
            </w:r>
            <w:r w:rsidRPr="00963980">
              <w:rPr>
                <w:sz w:val="20"/>
                <w:lang w:val="es-ES"/>
              </w:rPr>
              <w:tab/>
              <w:t>Brunei Darussalam</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CA</w:t>
            </w:r>
            <w:r w:rsidRPr="00963980">
              <w:rPr>
                <w:sz w:val="20"/>
                <w:lang w:val="es-ES"/>
              </w:rPr>
              <w:tab/>
            </w:r>
            <w:r>
              <w:rPr>
                <w:sz w:val="20"/>
                <w:lang w:val="es-ES"/>
              </w:rPr>
              <w:t>Canadá</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219 / 1</w:t>
            </w:r>
            <w:r w:rsidR="00BC259E">
              <w:rPr>
                <w:sz w:val="20"/>
                <w:lang w:val="es-ES"/>
              </w:rPr>
              <w:t>.</w:t>
            </w:r>
            <w:r w:rsidRPr="00963980">
              <w:rPr>
                <w:sz w:val="20"/>
                <w:lang w:val="es-ES"/>
              </w:rPr>
              <w:t>500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417 / 2</w:t>
            </w:r>
            <w:r w:rsidR="00BC259E">
              <w:rPr>
                <w:sz w:val="20"/>
                <w:lang w:val="es-ES"/>
              </w:rPr>
              <w:t>.</w:t>
            </w:r>
            <w:r w:rsidRPr="00963980">
              <w:rPr>
                <w:sz w:val="20"/>
                <w:lang w:val="es-ES"/>
              </w:rPr>
              <w:t>885</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364 / 2</w:t>
            </w:r>
            <w:r w:rsidR="00BC259E">
              <w:rPr>
                <w:sz w:val="20"/>
                <w:lang w:val="es-ES"/>
              </w:rPr>
              <w:t>.</w:t>
            </w:r>
            <w:r w:rsidRPr="00963980">
              <w:rPr>
                <w:sz w:val="20"/>
                <w:lang w:val="es-ES"/>
              </w:rPr>
              <w:t>861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392 / 2</w:t>
            </w:r>
            <w:r w:rsidR="00BC259E">
              <w:rPr>
                <w:sz w:val="20"/>
                <w:lang w:val="es-ES"/>
              </w:rPr>
              <w:t>.</w:t>
            </w:r>
            <w:r w:rsidRPr="00963980">
              <w:rPr>
                <w:sz w:val="20"/>
                <w:lang w:val="es-ES"/>
              </w:rPr>
              <w:t>599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341 / 2</w:t>
            </w:r>
            <w:r w:rsidR="00BC259E">
              <w:rPr>
                <w:sz w:val="20"/>
                <w:lang w:val="es-ES"/>
              </w:rPr>
              <w:t>.</w:t>
            </w:r>
            <w:r w:rsidRPr="00963980">
              <w:rPr>
                <w:sz w:val="20"/>
                <w:lang w:val="es-ES"/>
              </w:rPr>
              <w:t>340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346 / 2</w:t>
            </w:r>
            <w:r w:rsidR="00BC259E">
              <w:rPr>
                <w:sz w:val="20"/>
                <w:lang w:val="es-ES"/>
              </w:rPr>
              <w:t>.</w:t>
            </w:r>
            <w:r w:rsidRPr="00963980">
              <w:rPr>
                <w:sz w:val="20"/>
                <w:lang w:val="es-ES"/>
              </w:rPr>
              <w:t>331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CH</w:t>
            </w:r>
            <w:r w:rsidRPr="00963980">
              <w:rPr>
                <w:sz w:val="20"/>
                <w:lang w:val="es-ES"/>
              </w:rPr>
              <w:tab/>
            </w:r>
            <w:r>
              <w:rPr>
                <w:sz w:val="20"/>
                <w:lang w:val="es-ES"/>
              </w:rPr>
              <w:t>Suiza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83 / 2</w:t>
            </w:r>
            <w:r w:rsidR="00BC259E">
              <w:rPr>
                <w:sz w:val="20"/>
                <w:lang w:val="es-ES"/>
              </w:rPr>
              <w:t>.</w:t>
            </w:r>
            <w:r w:rsidRPr="00963980">
              <w:rPr>
                <w:sz w:val="20"/>
                <w:lang w:val="es-ES"/>
              </w:rPr>
              <w:t>112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174 / 4</w:t>
            </w:r>
            <w:r w:rsidR="00BC259E">
              <w:rPr>
                <w:sz w:val="20"/>
                <w:lang w:val="es-ES"/>
              </w:rPr>
              <w:t>.</w:t>
            </w:r>
            <w:r w:rsidRPr="00963980">
              <w:rPr>
                <w:sz w:val="20"/>
                <w:lang w:val="es-ES"/>
              </w:rPr>
              <w:t>340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162 / 4</w:t>
            </w:r>
            <w:r w:rsidR="00BC259E">
              <w:rPr>
                <w:sz w:val="20"/>
                <w:lang w:val="es-ES"/>
              </w:rPr>
              <w:t>.</w:t>
            </w:r>
            <w:r w:rsidRPr="00963980">
              <w:rPr>
                <w:sz w:val="20"/>
                <w:lang w:val="es-ES"/>
              </w:rPr>
              <w:t>214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148 / 4</w:t>
            </w:r>
            <w:r w:rsidR="00BC259E">
              <w:rPr>
                <w:sz w:val="20"/>
                <w:lang w:val="es-ES"/>
              </w:rPr>
              <w:t>.</w:t>
            </w:r>
            <w:r w:rsidRPr="00963980">
              <w:rPr>
                <w:sz w:val="20"/>
                <w:lang w:val="es-ES"/>
              </w:rPr>
              <w:t>384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173 / 4</w:t>
            </w:r>
            <w:r w:rsidR="00BC259E">
              <w:rPr>
                <w:sz w:val="20"/>
                <w:lang w:val="es-ES"/>
              </w:rPr>
              <w:t>.</w:t>
            </w:r>
            <w:r w:rsidRPr="00963980">
              <w:rPr>
                <w:sz w:val="20"/>
                <w:lang w:val="es-ES"/>
              </w:rPr>
              <w:t>564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156 / 4</w:t>
            </w:r>
            <w:r w:rsidR="00BC259E">
              <w:rPr>
                <w:sz w:val="20"/>
                <w:lang w:val="es-ES"/>
              </w:rPr>
              <w:t>.</w:t>
            </w:r>
            <w:r w:rsidRPr="00963980">
              <w:rPr>
                <w:sz w:val="20"/>
                <w:lang w:val="es-ES"/>
              </w:rPr>
              <w:t>555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DE</w:t>
            </w:r>
            <w:r w:rsidRPr="00963980">
              <w:rPr>
                <w:sz w:val="20"/>
                <w:lang w:val="es-ES"/>
              </w:rPr>
              <w:tab/>
            </w:r>
            <w:r>
              <w:rPr>
                <w:sz w:val="20"/>
                <w:lang w:val="es-ES"/>
              </w:rPr>
              <w:t>Alemania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405 / 8</w:t>
            </w:r>
            <w:r w:rsidR="00BC259E">
              <w:rPr>
                <w:sz w:val="20"/>
                <w:lang w:val="es-ES"/>
              </w:rPr>
              <w:t>.</w:t>
            </w:r>
            <w:r w:rsidRPr="00963980">
              <w:rPr>
                <w:sz w:val="20"/>
                <w:lang w:val="es-ES"/>
              </w:rPr>
              <w:t>758</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819 / 17</w:t>
            </w:r>
            <w:r w:rsidR="00BC259E">
              <w:rPr>
                <w:sz w:val="20"/>
                <w:lang w:val="es-ES"/>
              </w:rPr>
              <w:t>.</w:t>
            </w:r>
            <w:r w:rsidRPr="00963980">
              <w:rPr>
                <w:sz w:val="20"/>
                <w:lang w:val="es-ES"/>
              </w:rPr>
              <w:t>879</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794 / 18</w:t>
            </w:r>
            <w:r w:rsidR="00BC259E">
              <w:rPr>
                <w:sz w:val="20"/>
                <w:lang w:val="es-ES"/>
              </w:rPr>
              <w:t>.</w:t>
            </w:r>
            <w:r w:rsidRPr="00963980">
              <w:rPr>
                <w:sz w:val="20"/>
                <w:lang w:val="es-ES"/>
              </w:rPr>
              <w:t>232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734 / 17</w:t>
            </w:r>
            <w:r w:rsidR="00BC259E">
              <w:rPr>
                <w:sz w:val="20"/>
                <w:lang w:val="es-ES"/>
              </w:rPr>
              <w:t>.</w:t>
            </w:r>
            <w:r w:rsidRPr="00963980">
              <w:rPr>
                <w:sz w:val="20"/>
                <w:lang w:val="es-ES"/>
              </w:rPr>
              <w:t>808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726 / 18</w:t>
            </w:r>
            <w:r w:rsidR="00BC259E">
              <w:rPr>
                <w:sz w:val="20"/>
                <w:lang w:val="es-ES"/>
              </w:rPr>
              <w:t>.</w:t>
            </w:r>
            <w:r w:rsidRPr="00963980">
              <w:rPr>
                <w:sz w:val="20"/>
                <w:lang w:val="es-ES"/>
              </w:rPr>
              <w:t>359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779 / 19</w:t>
            </w:r>
            <w:r w:rsidR="00BC259E">
              <w:rPr>
                <w:sz w:val="20"/>
                <w:lang w:val="es-ES"/>
              </w:rPr>
              <w:t>.</w:t>
            </w:r>
            <w:r w:rsidRPr="00963980">
              <w:rPr>
                <w:sz w:val="20"/>
                <w:lang w:val="es-ES"/>
              </w:rPr>
              <w:t>537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DK</w:t>
            </w:r>
            <w:r w:rsidRPr="00963980">
              <w:rPr>
                <w:sz w:val="20"/>
                <w:lang w:val="es-ES"/>
              </w:rPr>
              <w:tab/>
            </w:r>
            <w:r>
              <w:rPr>
                <w:sz w:val="20"/>
                <w:lang w:val="es-ES"/>
              </w:rPr>
              <w:t>Dinamarca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24 / 604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39 / 1</w:t>
            </w:r>
            <w:r w:rsidR="00BC259E">
              <w:rPr>
                <w:sz w:val="20"/>
                <w:lang w:val="es-ES"/>
              </w:rPr>
              <w:t>.</w:t>
            </w:r>
            <w:r w:rsidRPr="00963980">
              <w:rPr>
                <w:sz w:val="20"/>
                <w:lang w:val="es-ES"/>
              </w:rPr>
              <w:t>296</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26 / 1</w:t>
            </w:r>
            <w:r w:rsidR="00BC259E">
              <w:rPr>
                <w:sz w:val="20"/>
                <w:lang w:val="es-ES"/>
              </w:rPr>
              <w:t>.</w:t>
            </w:r>
            <w:r w:rsidRPr="00963980">
              <w:rPr>
                <w:sz w:val="20"/>
                <w:lang w:val="es-ES"/>
              </w:rPr>
              <w:t>280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31 / 1</w:t>
            </w:r>
            <w:r w:rsidR="00BC259E">
              <w:rPr>
                <w:sz w:val="20"/>
                <w:lang w:val="es-ES"/>
              </w:rPr>
              <w:t>.</w:t>
            </w:r>
            <w:r w:rsidRPr="00963980">
              <w:rPr>
                <w:sz w:val="20"/>
                <w:lang w:val="es-ES"/>
              </w:rPr>
              <w:t>341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23 / 1</w:t>
            </w:r>
            <w:r w:rsidR="00BC259E">
              <w:rPr>
                <w:sz w:val="20"/>
                <w:lang w:val="es-ES"/>
              </w:rPr>
              <w:t>.</w:t>
            </w:r>
            <w:r w:rsidRPr="00963980">
              <w:rPr>
                <w:sz w:val="20"/>
                <w:lang w:val="es-ES"/>
              </w:rPr>
              <w:t>385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31 / 1</w:t>
            </w:r>
            <w:r w:rsidR="00BC259E">
              <w:rPr>
                <w:sz w:val="20"/>
                <w:lang w:val="es-ES"/>
              </w:rPr>
              <w:t>.</w:t>
            </w:r>
            <w:r w:rsidRPr="00963980">
              <w:rPr>
                <w:sz w:val="20"/>
                <w:lang w:val="es-ES"/>
              </w:rPr>
              <w:t>455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ES</w:t>
            </w:r>
            <w:r w:rsidRPr="00963980">
              <w:rPr>
                <w:sz w:val="20"/>
                <w:lang w:val="es-ES"/>
              </w:rPr>
              <w:tab/>
            </w:r>
            <w:r>
              <w:rPr>
                <w:sz w:val="20"/>
                <w:lang w:val="es-ES"/>
              </w:rPr>
              <w:t>España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185 / 820</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363 / 1</w:t>
            </w:r>
            <w:r w:rsidR="00BC259E">
              <w:rPr>
                <w:sz w:val="20"/>
                <w:lang w:val="es-ES"/>
              </w:rPr>
              <w:t>.</w:t>
            </w:r>
            <w:r w:rsidRPr="00963980">
              <w:rPr>
                <w:sz w:val="20"/>
                <w:lang w:val="es-ES"/>
              </w:rPr>
              <w:t>716</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370 / 1</w:t>
            </w:r>
            <w:r w:rsidR="00BC259E">
              <w:rPr>
                <w:sz w:val="20"/>
                <w:lang w:val="es-ES"/>
              </w:rPr>
              <w:t>.</w:t>
            </w:r>
            <w:r w:rsidRPr="00963980">
              <w:rPr>
                <w:sz w:val="20"/>
                <w:lang w:val="es-ES"/>
              </w:rPr>
              <w:t>544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361 / 1</w:t>
            </w:r>
            <w:r w:rsidR="00BC259E">
              <w:rPr>
                <w:sz w:val="20"/>
                <w:lang w:val="es-ES"/>
              </w:rPr>
              <w:t>.</w:t>
            </w:r>
            <w:r w:rsidRPr="00963980">
              <w:rPr>
                <w:sz w:val="20"/>
                <w:lang w:val="es-ES"/>
              </w:rPr>
              <w:t>535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324 / 1</w:t>
            </w:r>
            <w:r w:rsidR="00BC259E">
              <w:rPr>
                <w:sz w:val="20"/>
                <w:lang w:val="es-ES"/>
              </w:rPr>
              <w:t>.</w:t>
            </w:r>
            <w:r w:rsidRPr="00963980">
              <w:rPr>
                <w:sz w:val="20"/>
                <w:lang w:val="es-ES"/>
              </w:rPr>
              <w:t>501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314 / 1</w:t>
            </w:r>
            <w:r w:rsidR="00BC259E">
              <w:rPr>
                <w:sz w:val="20"/>
                <w:lang w:val="es-ES"/>
              </w:rPr>
              <w:t>.</w:t>
            </w:r>
            <w:r w:rsidRPr="00963980">
              <w:rPr>
                <w:sz w:val="20"/>
                <w:lang w:val="es-ES"/>
              </w:rPr>
              <w:t>386</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-15%</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FI</w:t>
            </w:r>
            <w:r w:rsidRPr="00963980">
              <w:rPr>
                <w:sz w:val="20"/>
                <w:lang w:val="es-ES"/>
              </w:rPr>
              <w:tab/>
            </w:r>
            <w:r>
              <w:rPr>
                <w:sz w:val="20"/>
                <w:lang w:val="es-ES"/>
              </w:rPr>
              <w:t>Finlandia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41 / 1</w:t>
            </w:r>
            <w:r w:rsidR="00BC259E">
              <w:rPr>
                <w:sz w:val="20"/>
                <w:lang w:val="es-ES"/>
              </w:rPr>
              <w:t>.</w:t>
            </w:r>
            <w:r w:rsidRPr="00963980">
              <w:rPr>
                <w:sz w:val="20"/>
                <w:lang w:val="es-ES"/>
              </w:rPr>
              <w:t>244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48 / 1</w:t>
            </w:r>
            <w:r w:rsidR="00BC259E">
              <w:rPr>
                <w:sz w:val="20"/>
                <w:lang w:val="es-ES"/>
              </w:rPr>
              <w:t>.</w:t>
            </w:r>
            <w:r w:rsidRPr="00963980">
              <w:rPr>
                <w:sz w:val="20"/>
                <w:lang w:val="es-ES"/>
              </w:rPr>
              <w:t>812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58 / 1</w:t>
            </w:r>
            <w:r w:rsidR="00BC259E">
              <w:rPr>
                <w:sz w:val="20"/>
                <w:lang w:val="es-ES"/>
              </w:rPr>
              <w:t>.</w:t>
            </w:r>
            <w:r w:rsidRPr="00963980">
              <w:rPr>
                <w:sz w:val="20"/>
                <w:lang w:val="es-ES"/>
              </w:rPr>
              <w:t>674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49 / 1</w:t>
            </w:r>
            <w:r w:rsidR="00BC259E">
              <w:rPr>
                <w:sz w:val="20"/>
                <w:lang w:val="es-ES"/>
              </w:rPr>
              <w:t>.</w:t>
            </w:r>
            <w:r w:rsidRPr="00963980">
              <w:rPr>
                <w:sz w:val="20"/>
                <w:lang w:val="es-ES"/>
              </w:rPr>
              <w:t>550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43 / 1</w:t>
            </w:r>
            <w:r w:rsidR="00BC259E">
              <w:rPr>
                <w:sz w:val="20"/>
                <w:lang w:val="es-ES"/>
              </w:rPr>
              <w:t>.</w:t>
            </w:r>
            <w:r w:rsidRPr="00963980">
              <w:rPr>
                <w:sz w:val="20"/>
                <w:lang w:val="es-ES"/>
              </w:rPr>
              <w:t>550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59 / 1</w:t>
            </w:r>
            <w:r w:rsidR="00BC259E">
              <w:rPr>
                <w:sz w:val="20"/>
                <w:lang w:val="es-ES"/>
              </w:rPr>
              <w:t>.</w:t>
            </w:r>
            <w:r w:rsidRPr="00963980">
              <w:rPr>
                <w:sz w:val="20"/>
                <w:lang w:val="es-ES"/>
              </w:rPr>
              <w:t>726</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FR</w:t>
            </w:r>
            <w:r w:rsidRPr="00963980">
              <w:rPr>
                <w:sz w:val="20"/>
                <w:lang w:val="es-ES"/>
              </w:rPr>
              <w:tab/>
            </w:r>
            <w:r>
              <w:rPr>
                <w:sz w:val="20"/>
                <w:lang w:val="es-ES"/>
              </w:rPr>
              <w:t>Francia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150 / 3</w:t>
            </w:r>
            <w:r w:rsidR="00BC259E">
              <w:rPr>
                <w:sz w:val="20"/>
                <w:lang w:val="es-ES"/>
              </w:rPr>
              <w:t>.</w:t>
            </w:r>
            <w:r w:rsidRPr="00963980">
              <w:rPr>
                <w:sz w:val="20"/>
                <w:lang w:val="es-ES"/>
              </w:rPr>
              <w:t>813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333 / 8</w:t>
            </w:r>
            <w:r w:rsidR="00BC259E">
              <w:rPr>
                <w:sz w:val="20"/>
                <w:lang w:val="es-ES"/>
              </w:rPr>
              <w:t>.</w:t>
            </w:r>
            <w:r w:rsidRPr="00963980">
              <w:rPr>
                <w:sz w:val="20"/>
                <w:lang w:val="es-ES"/>
              </w:rPr>
              <w:t>270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290 / 8</w:t>
            </w:r>
            <w:r w:rsidR="00BC259E">
              <w:rPr>
                <w:sz w:val="20"/>
                <w:lang w:val="es-ES"/>
              </w:rPr>
              <w:t>.</w:t>
            </w:r>
            <w:r w:rsidRPr="00963980">
              <w:rPr>
                <w:sz w:val="20"/>
                <w:lang w:val="es-ES"/>
              </w:rPr>
              <w:t>503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340 / 8</w:t>
            </w:r>
            <w:r w:rsidR="00BC259E">
              <w:rPr>
                <w:sz w:val="20"/>
                <w:lang w:val="es-ES"/>
              </w:rPr>
              <w:t>.</w:t>
            </w:r>
            <w:r w:rsidRPr="00963980">
              <w:rPr>
                <w:sz w:val="20"/>
                <w:lang w:val="es-ES"/>
              </w:rPr>
              <w:t>303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340 / 8</w:t>
            </w:r>
            <w:r w:rsidR="00BC259E">
              <w:rPr>
                <w:sz w:val="20"/>
                <w:lang w:val="es-ES"/>
              </w:rPr>
              <w:t>.</w:t>
            </w:r>
            <w:r w:rsidRPr="00963980">
              <w:rPr>
                <w:sz w:val="20"/>
                <w:lang w:val="es-ES"/>
              </w:rPr>
              <w:t>044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356 / 7</w:t>
            </w:r>
            <w:r w:rsidR="00BC259E">
              <w:rPr>
                <w:sz w:val="20"/>
                <w:lang w:val="es-ES"/>
              </w:rPr>
              <w:t>.</w:t>
            </w:r>
            <w:r w:rsidRPr="00963980">
              <w:rPr>
                <w:sz w:val="20"/>
                <w:lang w:val="es-ES"/>
              </w:rPr>
              <w:t>906</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+23%</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GB</w:t>
            </w:r>
            <w:r w:rsidRPr="00963980">
              <w:rPr>
                <w:sz w:val="20"/>
                <w:lang w:val="es-ES"/>
              </w:rPr>
              <w:tab/>
            </w:r>
            <w:r>
              <w:rPr>
                <w:sz w:val="20"/>
                <w:lang w:val="es-ES"/>
              </w:rPr>
              <w:t>Reino Unido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286 / 2</w:t>
            </w:r>
            <w:r w:rsidR="00BC259E">
              <w:rPr>
                <w:sz w:val="20"/>
                <w:lang w:val="es-ES"/>
              </w:rPr>
              <w:t>.</w:t>
            </w:r>
            <w:r w:rsidRPr="00963980">
              <w:rPr>
                <w:sz w:val="20"/>
                <w:lang w:val="es-ES"/>
              </w:rPr>
              <w:t>402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427 / 5</w:t>
            </w:r>
            <w:r w:rsidR="00BC259E">
              <w:rPr>
                <w:sz w:val="20"/>
                <w:lang w:val="es-ES"/>
              </w:rPr>
              <w:t>.</w:t>
            </w:r>
            <w:r w:rsidRPr="00963980">
              <w:rPr>
                <w:sz w:val="20"/>
                <w:lang w:val="es-ES"/>
              </w:rPr>
              <w:t>064</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389 / 5</w:t>
            </w:r>
            <w:r w:rsidR="00BC259E">
              <w:rPr>
                <w:sz w:val="20"/>
                <w:lang w:val="es-ES"/>
              </w:rPr>
              <w:t>.</w:t>
            </w:r>
            <w:r w:rsidRPr="00963980">
              <w:rPr>
                <w:sz w:val="20"/>
                <w:lang w:val="es-ES"/>
              </w:rPr>
              <w:t>170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392 / 5</w:t>
            </w:r>
            <w:r w:rsidR="00BC259E">
              <w:rPr>
                <w:sz w:val="20"/>
                <w:lang w:val="es-ES"/>
              </w:rPr>
              <w:t>.</w:t>
            </w:r>
            <w:r w:rsidRPr="00963980">
              <w:rPr>
                <w:sz w:val="20"/>
                <w:lang w:val="es-ES"/>
              </w:rPr>
              <w:t>372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382 / 5</w:t>
            </w:r>
            <w:r w:rsidR="00BC259E">
              <w:rPr>
                <w:sz w:val="20"/>
                <w:lang w:val="es-ES"/>
              </w:rPr>
              <w:t>.</w:t>
            </w:r>
            <w:r w:rsidRPr="00963980">
              <w:rPr>
                <w:sz w:val="20"/>
                <w:lang w:val="es-ES"/>
              </w:rPr>
              <w:t>672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339 / 5</w:t>
            </w:r>
            <w:r w:rsidR="00BC259E">
              <w:rPr>
                <w:sz w:val="20"/>
                <w:lang w:val="es-ES"/>
              </w:rPr>
              <w:t>.</w:t>
            </w:r>
            <w:r w:rsidRPr="00963980">
              <w:rPr>
                <w:sz w:val="20"/>
                <w:lang w:val="es-ES"/>
              </w:rPr>
              <w:t>544</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-13%</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IE</w:t>
            </w:r>
            <w:r w:rsidRPr="00963980">
              <w:rPr>
                <w:sz w:val="20"/>
                <w:lang w:val="es-ES"/>
              </w:rPr>
              <w:tab/>
            </w:r>
            <w:r>
              <w:rPr>
                <w:sz w:val="20"/>
                <w:lang w:val="es-ES"/>
              </w:rPr>
              <w:t>Irlanda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21 / 212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50 / 437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38 / 424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56 / 472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33 / 654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28 / 552</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-26%</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IL</w:t>
            </w:r>
            <w:r w:rsidRPr="00963980">
              <w:rPr>
                <w:sz w:val="20"/>
                <w:lang w:val="es-ES"/>
              </w:rPr>
              <w:tab/>
              <w:t>Israel</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128 / 821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294 / 1</w:t>
            </w:r>
            <w:r w:rsidR="00BC259E">
              <w:rPr>
                <w:sz w:val="20"/>
                <w:lang w:val="es-ES"/>
              </w:rPr>
              <w:t>.</w:t>
            </w:r>
            <w:r w:rsidRPr="00963980">
              <w:rPr>
                <w:sz w:val="20"/>
                <w:lang w:val="es-ES"/>
              </w:rPr>
              <w:t>542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259 / 1</w:t>
            </w:r>
            <w:r w:rsidR="00BC259E">
              <w:rPr>
                <w:sz w:val="20"/>
                <w:lang w:val="es-ES"/>
              </w:rPr>
              <w:t>.</w:t>
            </w:r>
            <w:r w:rsidRPr="00963980">
              <w:rPr>
                <w:sz w:val="20"/>
                <w:lang w:val="es-ES"/>
              </w:rPr>
              <w:t>659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238 / 1</w:t>
            </w:r>
            <w:r w:rsidR="00BC259E">
              <w:rPr>
                <w:sz w:val="20"/>
                <w:lang w:val="es-ES"/>
              </w:rPr>
              <w:t>.</w:t>
            </w:r>
            <w:r w:rsidRPr="00963980">
              <w:rPr>
                <w:sz w:val="20"/>
                <w:lang w:val="es-ES"/>
              </w:rPr>
              <w:t>692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234 / 1</w:t>
            </w:r>
            <w:r w:rsidR="00BC259E">
              <w:rPr>
                <w:sz w:val="20"/>
                <w:lang w:val="es-ES"/>
              </w:rPr>
              <w:t>.</w:t>
            </w:r>
            <w:r w:rsidRPr="00963980">
              <w:rPr>
                <w:sz w:val="20"/>
                <w:lang w:val="es-ES"/>
              </w:rPr>
              <w:t>811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256 / 1</w:t>
            </w:r>
            <w:r w:rsidR="00BC259E">
              <w:rPr>
                <w:sz w:val="20"/>
                <w:lang w:val="es-ES"/>
              </w:rPr>
              <w:t>.</w:t>
            </w:r>
            <w:r w:rsidRPr="00963980">
              <w:rPr>
                <w:sz w:val="20"/>
                <w:lang w:val="es-ES"/>
              </w:rPr>
              <w:t>791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+8%</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IS</w:t>
            </w:r>
            <w:r w:rsidRPr="00963980">
              <w:rPr>
                <w:sz w:val="20"/>
                <w:lang w:val="es-ES"/>
              </w:rPr>
              <w:tab/>
            </w:r>
            <w:r>
              <w:rPr>
                <w:sz w:val="20"/>
                <w:lang w:val="es-ES"/>
              </w:rPr>
              <w:t>Islandia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26</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 / 41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46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49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42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32</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-67%</w:t>
            </w:r>
          </w:p>
        </w:tc>
      </w:tr>
      <w:tr w:rsidR="003E4127" w:rsidRPr="005E4C87" w:rsidTr="00C375E7">
        <w:trPr>
          <w:cantSplit/>
          <w:trHeight w:val="300"/>
        </w:trPr>
        <w:tc>
          <w:tcPr>
            <w:tcW w:w="15128" w:type="dxa"/>
            <w:gridSpan w:val="11"/>
            <w:tcBorders>
              <w:top w:val="single" w:sz="4" w:space="0" w:color="auto"/>
              <w:left w:val="single" w:sz="4" w:space="0" w:color="auto"/>
              <w:bottom w:val="single" w:sz="4" w:space="0" w:color="auto"/>
              <w:right w:val="single" w:sz="4" w:space="0" w:color="auto"/>
            </w:tcBorders>
            <w:shd w:val="clear" w:color="auto" w:fill="EEECE1" w:themeFill="background2"/>
            <w:noWrap/>
          </w:tcPr>
          <w:p w:rsidR="003E4127" w:rsidRDefault="003E4127" w:rsidP="001E1F4B">
            <w:pPr>
              <w:keepNext/>
              <w:ind w:left="567" w:hanging="567"/>
              <w:rPr>
                <w:sz w:val="20"/>
                <w:lang w:val="es-ES"/>
              </w:rPr>
            </w:pPr>
          </w:p>
          <w:p w:rsidR="003E4127" w:rsidRDefault="003E4127" w:rsidP="001E1F4B">
            <w:pPr>
              <w:keepNext/>
              <w:ind w:left="567" w:hanging="567"/>
              <w:rPr>
                <w:b/>
                <w:i/>
                <w:sz w:val="20"/>
                <w:lang w:val="es-ES"/>
              </w:rPr>
            </w:pPr>
            <w:r w:rsidRPr="00963980">
              <w:rPr>
                <w:b/>
                <w:i/>
                <w:sz w:val="20"/>
                <w:lang w:val="es-ES"/>
              </w:rPr>
              <w:t>E.</w:t>
            </w:r>
            <w:r>
              <w:rPr>
                <w:b/>
                <w:i/>
                <w:sz w:val="20"/>
                <w:lang w:val="es-ES"/>
              </w:rPr>
              <w:t xml:space="preserve"> </w:t>
            </w:r>
            <w:r w:rsidRPr="00F01F1D">
              <w:rPr>
                <w:b/>
                <w:i/>
                <w:sz w:val="20"/>
                <w:lang w:val="es-ES_tradnl"/>
              </w:rPr>
              <w:t>Estados no incluidos en la lista en ningún momento durante el período (continuación)</w:t>
            </w:r>
          </w:p>
          <w:p w:rsidR="003E4127" w:rsidRPr="00963980" w:rsidRDefault="003E4127" w:rsidP="001E1F4B">
            <w:pPr>
              <w:keepNext/>
              <w:jc w:val="right"/>
              <w:rPr>
                <w:sz w:val="20"/>
                <w:lang w:val="es-ES"/>
              </w:rPr>
            </w:pPr>
          </w:p>
        </w:tc>
      </w:tr>
      <w:tr w:rsidR="003E4127" w:rsidRPr="005E4C87" w:rsidTr="00C375E7">
        <w:trPr>
          <w:cantSplit/>
          <w:trHeight w:val="300"/>
          <w:tblHeader/>
        </w:trPr>
        <w:tc>
          <w:tcPr>
            <w:tcW w:w="2563" w:type="dxa"/>
            <w:vMerge w:val="restart"/>
            <w:tcBorders>
              <w:top w:val="single" w:sz="4" w:space="0" w:color="auto"/>
              <w:left w:val="single" w:sz="4" w:space="0" w:color="auto"/>
              <w:bottom w:val="single" w:sz="4" w:space="0" w:color="auto"/>
              <w:right w:val="single" w:sz="4" w:space="0" w:color="auto"/>
            </w:tcBorders>
            <w:noWrap/>
          </w:tcPr>
          <w:p w:rsidR="003E4127" w:rsidRPr="002D3EAD" w:rsidRDefault="003E4127" w:rsidP="001E1F4B">
            <w:pPr>
              <w:keepNext/>
              <w:rPr>
                <w:b/>
                <w:sz w:val="18"/>
                <w:lang w:val="es-ES"/>
              </w:rPr>
            </w:pPr>
            <w:r w:rsidRPr="002D3EAD">
              <w:rPr>
                <w:b/>
                <w:sz w:val="18"/>
                <w:lang w:val="es-ES"/>
              </w:rPr>
              <w:t>Código ST.3</w:t>
            </w:r>
            <w:r w:rsidR="00BC259E">
              <w:rPr>
                <w:b/>
                <w:sz w:val="18"/>
                <w:lang w:val="es-ES"/>
              </w:rPr>
              <w:t>.</w:t>
            </w:r>
            <w:r w:rsidRPr="002D3EAD">
              <w:rPr>
                <w:b/>
                <w:sz w:val="18"/>
                <w:lang w:val="es-ES"/>
              </w:rPr>
              <w:t xml:space="preserve"> Estado</w:t>
            </w:r>
          </w:p>
        </w:tc>
        <w:tc>
          <w:tcPr>
            <w:tcW w:w="3823" w:type="dxa"/>
            <w:gridSpan w:val="3"/>
            <w:tcBorders>
              <w:top w:val="single" w:sz="4" w:space="0" w:color="auto"/>
              <w:left w:val="single" w:sz="4" w:space="0" w:color="auto"/>
              <w:bottom w:val="single" w:sz="4" w:space="0" w:color="auto"/>
              <w:right w:val="single" w:sz="4" w:space="0" w:color="auto"/>
            </w:tcBorders>
            <w:noWrap/>
          </w:tcPr>
          <w:p w:rsidR="003E4127" w:rsidRPr="002D3EAD" w:rsidRDefault="003E4127" w:rsidP="001E1F4B">
            <w:pPr>
              <w:keepNext/>
              <w:rPr>
                <w:b/>
                <w:sz w:val="18"/>
                <w:lang w:val="es-ES"/>
              </w:rPr>
            </w:pPr>
            <w:r w:rsidRPr="002D3EAD">
              <w:rPr>
                <w:b/>
                <w:sz w:val="18"/>
                <w:lang w:val="es-ES"/>
              </w:rPr>
              <w:t>Solicitudes presentadas antes del 1 de julio de 2015</w:t>
            </w:r>
          </w:p>
          <w:p w:rsidR="003E4127" w:rsidRPr="002D3EAD" w:rsidRDefault="003E4127" w:rsidP="001E1F4B">
            <w:pPr>
              <w:keepNext/>
              <w:rPr>
                <w:b/>
                <w:sz w:val="18"/>
                <w:lang w:val="es-ES"/>
              </w:rPr>
            </w:pPr>
            <w:r w:rsidRPr="002D3EAD">
              <w:rPr>
                <w:i/>
                <w:sz w:val="18"/>
                <w:lang w:val="es-ES"/>
              </w:rPr>
              <w:t>(con reducción / únicamente por personas físicas / total)</w:t>
            </w:r>
          </w:p>
        </w:tc>
        <w:tc>
          <w:tcPr>
            <w:tcW w:w="3882" w:type="dxa"/>
            <w:gridSpan w:val="3"/>
            <w:tcBorders>
              <w:top w:val="single" w:sz="4" w:space="0" w:color="auto"/>
              <w:left w:val="single" w:sz="4" w:space="0" w:color="auto"/>
              <w:bottom w:val="single" w:sz="4" w:space="0" w:color="auto"/>
              <w:right w:val="single" w:sz="4" w:space="0" w:color="auto"/>
            </w:tcBorders>
            <w:noWrap/>
          </w:tcPr>
          <w:p w:rsidR="003E4127" w:rsidRPr="002D3EAD" w:rsidRDefault="003E4127" w:rsidP="001E1F4B">
            <w:pPr>
              <w:keepNext/>
              <w:rPr>
                <w:b/>
                <w:sz w:val="18"/>
                <w:lang w:val="es-ES"/>
              </w:rPr>
            </w:pPr>
            <w:r w:rsidRPr="002D3EAD">
              <w:rPr>
                <w:b/>
                <w:sz w:val="18"/>
                <w:lang w:val="es-ES"/>
              </w:rPr>
              <w:t>Solicitudes presentadas a partir del 1 de julio de 2015</w:t>
            </w:r>
            <w:r w:rsidRPr="002D3EAD">
              <w:rPr>
                <w:b/>
                <w:sz w:val="18"/>
                <w:lang w:val="es-ES"/>
              </w:rPr>
              <w:br/>
            </w:r>
            <w:r w:rsidRPr="002D3EAD">
              <w:rPr>
                <w:i/>
                <w:sz w:val="18"/>
                <w:lang w:val="es-ES"/>
              </w:rPr>
              <w:t>(con reducción / únicamente por personas físicas / total)</w:t>
            </w:r>
          </w:p>
        </w:tc>
        <w:tc>
          <w:tcPr>
            <w:tcW w:w="2678" w:type="dxa"/>
            <w:gridSpan w:val="2"/>
            <w:tcBorders>
              <w:top w:val="single" w:sz="4" w:space="0" w:color="auto"/>
              <w:left w:val="single" w:sz="4" w:space="0" w:color="auto"/>
              <w:bottom w:val="single" w:sz="4" w:space="0" w:color="auto"/>
              <w:right w:val="single" w:sz="4" w:space="0" w:color="auto"/>
            </w:tcBorders>
            <w:noWrap/>
          </w:tcPr>
          <w:p w:rsidR="003E4127" w:rsidRPr="002D3EAD" w:rsidRDefault="003E4127" w:rsidP="001E1F4B">
            <w:pPr>
              <w:keepNext/>
              <w:jc w:val="center"/>
              <w:rPr>
                <w:b/>
                <w:sz w:val="18"/>
                <w:lang w:val="es-ES"/>
              </w:rPr>
            </w:pPr>
            <w:r w:rsidRPr="002D3EAD">
              <w:rPr>
                <w:b/>
                <w:sz w:val="18"/>
                <w:lang w:val="es-ES"/>
              </w:rPr>
              <w:t>% de todas las solicitudes con reducción</w:t>
            </w:r>
          </w:p>
        </w:tc>
        <w:tc>
          <w:tcPr>
            <w:tcW w:w="2182" w:type="dxa"/>
            <w:gridSpan w:val="2"/>
            <w:tcBorders>
              <w:top w:val="single" w:sz="4" w:space="0" w:color="auto"/>
              <w:left w:val="single" w:sz="4" w:space="0" w:color="auto"/>
              <w:bottom w:val="single" w:sz="4" w:space="0" w:color="auto"/>
              <w:right w:val="single" w:sz="4" w:space="0" w:color="auto"/>
            </w:tcBorders>
            <w:noWrap/>
          </w:tcPr>
          <w:p w:rsidR="003E4127" w:rsidRPr="002D3EAD" w:rsidRDefault="003E4127" w:rsidP="001E1F4B">
            <w:pPr>
              <w:keepNext/>
              <w:jc w:val="center"/>
              <w:rPr>
                <w:b/>
                <w:sz w:val="18"/>
                <w:lang w:val="es-ES"/>
              </w:rPr>
            </w:pPr>
            <w:r w:rsidRPr="002D3EAD">
              <w:rPr>
                <w:b/>
                <w:sz w:val="18"/>
                <w:lang w:val="es-ES"/>
              </w:rPr>
              <w:t>% evolución de la presentación de solicitudes internacionales</w:t>
            </w:r>
          </w:p>
        </w:tc>
      </w:tr>
      <w:tr w:rsidR="003E4127" w:rsidRPr="00963980" w:rsidTr="00C375E7">
        <w:trPr>
          <w:cantSplit/>
          <w:trHeight w:val="300"/>
          <w:tblHeader/>
        </w:trPr>
        <w:tc>
          <w:tcPr>
            <w:tcW w:w="2563" w:type="dxa"/>
            <w:vMerge/>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rPr>
                <w:b/>
                <w:sz w:val="18"/>
                <w:lang w:val="es-ES"/>
              </w:rPr>
            </w:pP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a-1</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a+3</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Total</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2D3EAD" w:rsidRDefault="003E4127" w:rsidP="001E1F4B">
            <w:pPr>
              <w:keepNext/>
              <w:jc w:val="center"/>
              <w:rPr>
                <w:b/>
                <w:sz w:val="18"/>
                <w:lang w:val="es-ES"/>
              </w:rPr>
            </w:pPr>
            <w:r w:rsidRPr="002D3EAD">
              <w:rPr>
                <w:b/>
                <w:sz w:val="18"/>
                <w:lang w:val="es-ES"/>
              </w:rPr>
              <w:t>Personas físicas</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IT</w:t>
            </w:r>
            <w:r w:rsidRPr="00963980">
              <w:rPr>
                <w:sz w:val="20"/>
                <w:lang w:val="es-ES"/>
              </w:rPr>
              <w:tab/>
            </w:r>
            <w:r>
              <w:rPr>
                <w:sz w:val="20"/>
                <w:lang w:val="es-ES"/>
              </w:rPr>
              <w:t>Italia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241 / 1</w:t>
            </w:r>
            <w:r w:rsidR="00BC259E">
              <w:rPr>
                <w:sz w:val="20"/>
                <w:lang w:val="es-ES"/>
              </w:rPr>
              <w:t>.</w:t>
            </w:r>
            <w:r w:rsidRPr="00963980">
              <w:rPr>
                <w:sz w:val="20"/>
                <w:lang w:val="es-ES"/>
              </w:rPr>
              <w:t>398</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473 / 2</w:t>
            </w:r>
            <w:r w:rsidR="00BC259E">
              <w:rPr>
                <w:sz w:val="20"/>
                <w:lang w:val="es-ES"/>
              </w:rPr>
              <w:t>.</w:t>
            </w:r>
            <w:r w:rsidRPr="00963980">
              <w:rPr>
                <w:sz w:val="20"/>
                <w:lang w:val="es-ES"/>
              </w:rPr>
              <w:t>897</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495 / 3</w:t>
            </w:r>
            <w:r w:rsidR="00BC259E">
              <w:rPr>
                <w:sz w:val="20"/>
                <w:lang w:val="es-ES"/>
              </w:rPr>
              <w:t>.</w:t>
            </w:r>
            <w:r w:rsidRPr="00963980">
              <w:rPr>
                <w:sz w:val="20"/>
                <w:lang w:val="es-ES"/>
              </w:rPr>
              <w:t>094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549 / 3</w:t>
            </w:r>
            <w:r w:rsidR="00BC259E">
              <w:rPr>
                <w:sz w:val="20"/>
                <w:lang w:val="es-ES"/>
              </w:rPr>
              <w:t>.</w:t>
            </w:r>
            <w:r w:rsidRPr="00963980">
              <w:rPr>
                <w:sz w:val="20"/>
                <w:lang w:val="es-ES"/>
              </w:rPr>
              <w:t>155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526 / 3</w:t>
            </w:r>
            <w:r w:rsidR="00BC259E">
              <w:rPr>
                <w:sz w:val="20"/>
                <w:lang w:val="es-ES"/>
              </w:rPr>
              <w:t>.</w:t>
            </w:r>
            <w:r w:rsidRPr="00963980">
              <w:rPr>
                <w:sz w:val="20"/>
                <w:lang w:val="es-ES"/>
              </w:rPr>
              <w:t>322</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564 / 3</w:t>
            </w:r>
            <w:r w:rsidR="00BC259E">
              <w:rPr>
                <w:sz w:val="20"/>
                <w:lang w:val="es-ES"/>
              </w:rPr>
              <w:t>.</w:t>
            </w:r>
            <w:r w:rsidRPr="00963980">
              <w:rPr>
                <w:sz w:val="20"/>
                <w:lang w:val="es-ES"/>
              </w:rPr>
              <w:t>260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+5%</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JP</w:t>
            </w:r>
            <w:r w:rsidRPr="00963980">
              <w:rPr>
                <w:sz w:val="20"/>
                <w:lang w:val="es-ES"/>
              </w:rPr>
              <w:tab/>
            </w:r>
            <w:r>
              <w:rPr>
                <w:sz w:val="20"/>
                <w:lang w:val="es-ES"/>
              </w:rPr>
              <w:t>Japón</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237 / 22</w:t>
            </w:r>
            <w:r w:rsidR="00BC259E">
              <w:rPr>
                <w:sz w:val="20"/>
                <w:lang w:val="es-ES"/>
              </w:rPr>
              <w:t>.</w:t>
            </w:r>
            <w:r w:rsidRPr="00963980">
              <w:rPr>
                <w:sz w:val="20"/>
                <w:lang w:val="es-ES"/>
              </w:rPr>
              <w:t>279</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474 / 42</w:t>
            </w:r>
            <w:r w:rsidR="00BC259E">
              <w:rPr>
                <w:sz w:val="20"/>
                <w:lang w:val="es-ES"/>
              </w:rPr>
              <w:t>.</w:t>
            </w:r>
            <w:r w:rsidRPr="00963980">
              <w:rPr>
                <w:sz w:val="20"/>
                <w:lang w:val="es-ES"/>
              </w:rPr>
              <w:t>612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498 / 43</w:t>
            </w:r>
            <w:r w:rsidR="00BC259E">
              <w:rPr>
                <w:sz w:val="20"/>
                <w:lang w:val="es-ES"/>
              </w:rPr>
              <w:t>.</w:t>
            </w:r>
            <w:r w:rsidRPr="00963980">
              <w:rPr>
                <w:sz w:val="20"/>
                <w:lang w:val="es-ES"/>
              </w:rPr>
              <w:t>694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481 / 44</w:t>
            </w:r>
            <w:r w:rsidR="00BC259E">
              <w:rPr>
                <w:sz w:val="20"/>
                <w:lang w:val="es-ES"/>
              </w:rPr>
              <w:t>.</w:t>
            </w:r>
            <w:r w:rsidRPr="00963980">
              <w:rPr>
                <w:sz w:val="20"/>
                <w:lang w:val="es-ES"/>
              </w:rPr>
              <w:t>344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473 / 46</w:t>
            </w:r>
            <w:r w:rsidR="00BC259E">
              <w:rPr>
                <w:sz w:val="20"/>
                <w:lang w:val="es-ES"/>
              </w:rPr>
              <w:t>.</w:t>
            </w:r>
            <w:r w:rsidRPr="00963980">
              <w:rPr>
                <w:sz w:val="20"/>
                <w:lang w:val="es-ES"/>
              </w:rPr>
              <w:t>818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498 / 49</w:t>
            </w:r>
            <w:r w:rsidR="00BC259E">
              <w:rPr>
                <w:sz w:val="20"/>
                <w:lang w:val="es-ES"/>
              </w:rPr>
              <w:t>.</w:t>
            </w:r>
            <w:r w:rsidRPr="00963980">
              <w:rPr>
                <w:sz w:val="20"/>
                <w:lang w:val="es-ES"/>
              </w:rPr>
              <w:t>075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+12%</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KR</w:t>
            </w:r>
            <w:r w:rsidRPr="00963980">
              <w:rPr>
                <w:sz w:val="20"/>
                <w:lang w:val="es-ES"/>
              </w:rPr>
              <w:tab/>
            </w:r>
            <w:r>
              <w:rPr>
                <w:sz w:val="20"/>
                <w:lang w:val="es-ES"/>
              </w:rPr>
              <w:t>República de Corea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928 / 5</w:t>
            </w:r>
            <w:r w:rsidR="00BC259E">
              <w:rPr>
                <w:sz w:val="20"/>
                <w:lang w:val="es-ES"/>
              </w:rPr>
              <w:t>.</w:t>
            </w:r>
            <w:r w:rsidRPr="00963980">
              <w:rPr>
                <w:sz w:val="20"/>
                <w:lang w:val="es-ES"/>
              </w:rPr>
              <w:t>749</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w:t>
            </w:r>
            <w:r w:rsidR="00BC259E">
              <w:rPr>
                <w:sz w:val="20"/>
                <w:lang w:val="es-ES"/>
              </w:rPr>
              <w:t>.</w:t>
            </w:r>
            <w:r w:rsidRPr="00963980">
              <w:rPr>
                <w:sz w:val="20"/>
                <w:lang w:val="es-ES"/>
              </w:rPr>
              <w:t>861 / 12</w:t>
            </w:r>
            <w:r w:rsidR="00BC259E">
              <w:rPr>
                <w:sz w:val="20"/>
                <w:lang w:val="es-ES"/>
              </w:rPr>
              <w:t>.</w:t>
            </w:r>
            <w:r w:rsidRPr="00963980">
              <w:rPr>
                <w:sz w:val="20"/>
                <w:lang w:val="es-ES"/>
              </w:rPr>
              <w:t>426</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w:t>
            </w:r>
            <w:r w:rsidR="00BC259E">
              <w:rPr>
                <w:sz w:val="20"/>
                <w:lang w:val="es-ES"/>
              </w:rPr>
              <w:t>.</w:t>
            </w:r>
            <w:r w:rsidRPr="00963980">
              <w:rPr>
                <w:sz w:val="20"/>
                <w:lang w:val="es-ES"/>
              </w:rPr>
              <w:t>083 / 14</w:t>
            </w:r>
            <w:r w:rsidR="00BC259E">
              <w:rPr>
                <w:sz w:val="20"/>
                <w:lang w:val="es-ES"/>
              </w:rPr>
              <w:t>.</w:t>
            </w:r>
            <w:r w:rsidRPr="00963980">
              <w:rPr>
                <w:sz w:val="20"/>
                <w:lang w:val="es-ES"/>
              </w:rPr>
              <w:t>019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w:t>
            </w:r>
            <w:r w:rsidR="00BC259E">
              <w:rPr>
                <w:sz w:val="20"/>
                <w:lang w:val="es-ES"/>
              </w:rPr>
              <w:t>.</w:t>
            </w:r>
            <w:r w:rsidRPr="00963980">
              <w:rPr>
                <w:sz w:val="20"/>
                <w:lang w:val="es-ES"/>
              </w:rPr>
              <w:t>065 / 14</w:t>
            </w:r>
            <w:r w:rsidR="00BC259E">
              <w:rPr>
                <w:sz w:val="20"/>
                <w:lang w:val="es-ES"/>
              </w:rPr>
              <w:t>.</w:t>
            </w:r>
            <w:r w:rsidRPr="00963980">
              <w:rPr>
                <w:sz w:val="20"/>
                <w:lang w:val="es-ES"/>
              </w:rPr>
              <w:t>875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w:t>
            </w:r>
            <w:r w:rsidR="00BC259E">
              <w:rPr>
                <w:sz w:val="20"/>
                <w:lang w:val="es-ES"/>
              </w:rPr>
              <w:t>.</w:t>
            </w:r>
            <w:r w:rsidRPr="00963980">
              <w:rPr>
                <w:sz w:val="20"/>
                <w:lang w:val="es-ES"/>
              </w:rPr>
              <w:t>943 / 15</w:t>
            </w:r>
            <w:r w:rsidR="00BC259E">
              <w:rPr>
                <w:sz w:val="20"/>
                <w:lang w:val="es-ES"/>
              </w:rPr>
              <w:t>.</w:t>
            </w:r>
            <w:r w:rsidRPr="00963980">
              <w:rPr>
                <w:sz w:val="20"/>
                <w:lang w:val="es-ES"/>
              </w:rPr>
              <w:t>488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w:t>
            </w:r>
            <w:r w:rsidR="00BC259E">
              <w:rPr>
                <w:sz w:val="20"/>
                <w:lang w:val="es-ES"/>
              </w:rPr>
              <w:t>.</w:t>
            </w:r>
            <w:r w:rsidRPr="00963980">
              <w:rPr>
                <w:sz w:val="20"/>
                <w:lang w:val="es-ES"/>
              </w:rPr>
              <w:t>051 / 16</w:t>
            </w:r>
            <w:r w:rsidR="00BC259E">
              <w:rPr>
                <w:sz w:val="20"/>
                <w:lang w:val="es-ES"/>
              </w:rPr>
              <w:t>.</w:t>
            </w:r>
            <w:r w:rsidRPr="00963980">
              <w:rPr>
                <w:sz w:val="20"/>
                <w:lang w:val="es-ES"/>
              </w:rPr>
              <w:t>207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KW</w:t>
            </w:r>
            <w:r w:rsidRPr="00963980">
              <w:rPr>
                <w:sz w:val="20"/>
                <w:lang w:val="es-ES"/>
              </w:rPr>
              <w:tab/>
              <w:t>Kuwait</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4</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+300%</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LI</w:t>
            </w:r>
            <w:r w:rsidRPr="00963980">
              <w:rPr>
                <w:sz w:val="20"/>
                <w:lang w:val="es-ES"/>
              </w:rPr>
              <w:tab/>
              <w:t>Liechtenstein</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71</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223</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245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214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261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273</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LU</w:t>
            </w:r>
            <w:r w:rsidRPr="00963980">
              <w:rPr>
                <w:sz w:val="20"/>
                <w:lang w:val="es-ES"/>
              </w:rPr>
              <w:tab/>
            </w:r>
            <w:r>
              <w:rPr>
                <w:sz w:val="20"/>
                <w:lang w:val="es-ES"/>
              </w:rPr>
              <w:t>Luxemburgo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202</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10 / 488</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400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478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438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425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MC</w:t>
            </w:r>
            <w:r w:rsidRPr="00963980">
              <w:rPr>
                <w:sz w:val="20"/>
                <w:lang w:val="es-ES"/>
              </w:rPr>
              <w:tab/>
            </w:r>
            <w:r>
              <w:rPr>
                <w:sz w:val="20"/>
                <w:lang w:val="es-ES"/>
              </w:rPr>
              <w:t>Mónaco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9</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 / 25</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 / 38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6 / 17</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14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10</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-74%</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-63%</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NL</w:t>
            </w:r>
            <w:r w:rsidRPr="00963980">
              <w:rPr>
                <w:sz w:val="20"/>
                <w:lang w:val="es-ES"/>
              </w:rPr>
              <w:tab/>
            </w:r>
            <w:r>
              <w:rPr>
                <w:sz w:val="20"/>
                <w:lang w:val="es-ES"/>
              </w:rPr>
              <w:t>Países Bajos</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52 / 2</w:t>
            </w:r>
            <w:r w:rsidR="00BC259E">
              <w:rPr>
                <w:sz w:val="20"/>
                <w:lang w:val="es-ES"/>
              </w:rPr>
              <w:t>.</w:t>
            </w:r>
            <w:r w:rsidRPr="00963980">
              <w:rPr>
                <w:sz w:val="20"/>
                <w:lang w:val="es-ES"/>
              </w:rPr>
              <w:t>064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88 / 4</w:t>
            </w:r>
            <w:r w:rsidR="00BC259E">
              <w:rPr>
                <w:sz w:val="20"/>
                <w:lang w:val="es-ES"/>
              </w:rPr>
              <w:t>.</w:t>
            </w:r>
            <w:r w:rsidRPr="00963980">
              <w:rPr>
                <w:sz w:val="20"/>
                <w:lang w:val="es-ES"/>
              </w:rPr>
              <w:t>090</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90 / 4</w:t>
            </w:r>
            <w:r w:rsidR="00BC259E">
              <w:rPr>
                <w:sz w:val="20"/>
                <w:lang w:val="es-ES"/>
              </w:rPr>
              <w:t>.</w:t>
            </w:r>
            <w:r w:rsidRPr="00963980">
              <w:rPr>
                <w:sz w:val="20"/>
                <w:lang w:val="es-ES"/>
              </w:rPr>
              <w:t>359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93 / 4</w:t>
            </w:r>
            <w:r w:rsidR="00BC259E">
              <w:rPr>
                <w:sz w:val="20"/>
                <w:lang w:val="es-ES"/>
              </w:rPr>
              <w:t>.</w:t>
            </w:r>
            <w:r w:rsidRPr="00963980">
              <w:rPr>
                <w:sz w:val="20"/>
                <w:lang w:val="es-ES"/>
              </w:rPr>
              <w:t>464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83 / 4</w:t>
            </w:r>
            <w:r w:rsidR="00BC259E">
              <w:rPr>
                <w:sz w:val="20"/>
                <w:lang w:val="es-ES"/>
              </w:rPr>
              <w:t>.</w:t>
            </w:r>
            <w:r w:rsidRPr="00963980">
              <w:rPr>
                <w:sz w:val="20"/>
                <w:lang w:val="es-ES"/>
              </w:rPr>
              <w:t>609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77 / 4</w:t>
            </w:r>
            <w:r w:rsidR="00BC259E">
              <w:rPr>
                <w:sz w:val="20"/>
                <w:lang w:val="es-ES"/>
              </w:rPr>
              <w:t>.</w:t>
            </w:r>
            <w:r w:rsidRPr="00963980">
              <w:rPr>
                <w:sz w:val="20"/>
                <w:lang w:val="es-ES"/>
              </w:rPr>
              <w:t>307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-14%</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NO</w:t>
            </w:r>
            <w:r w:rsidRPr="00963980">
              <w:rPr>
                <w:sz w:val="20"/>
                <w:lang w:val="es-ES"/>
              </w:rPr>
              <w:tab/>
            </w:r>
            <w:r>
              <w:rPr>
                <w:sz w:val="20"/>
                <w:lang w:val="es-ES"/>
              </w:rPr>
              <w:t>Noruega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22 / 356</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50 / 712</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37 / 651</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50 / 704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28 / 760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46 / 777</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+19%</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+24%</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NZ</w:t>
            </w:r>
            <w:r w:rsidRPr="00963980">
              <w:rPr>
                <w:sz w:val="20"/>
                <w:lang w:val="es-ES"/>
              </w:rPr>
              <w:tab/>
            </w:r>
            <w:r>
              <w:rPr>
                <w:sz w:val="20"/>
                <w:lang w:val="es-ES"/>
              </w:rPr>
              <w:t>Nueva Zelandia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25 / 143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70 / 325</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58 / 350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50 / 334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56 / 286</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37 / 259</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-26%</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-36%</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QA</w:t>
            </w:r>
            <w:r w:rsidRPr="00963980">
              <w:rPr>
                <w:sz w:val="20"/>
                <w:lang w:val="es-ES"/>
              </w:rPr>
              <w:tab/>
              <w:t>Qatar</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 / 25</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19</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5 / 13</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4 / 15</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6 / 28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7 / 18</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+38%</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SE</w:t>
            </w:r>
            <w:r w:rsidRPr="00963980">
              <w:rPr>
                <w:sz w:val="20"/>
                <w:lang w:val="es-ES"/>
              </w:rPr>
              <w:tab/>
            </w:r>
            <w:r>
              <w:rPr>
                <w:sz w:val="20"/>
                <w:lang w:val="es-ES"/>
              </w:rPr>
              <w:t>Suecia</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64 / 2</w:t>
            </w:r>
            <w:r w:rsidR="00BC259E">
              <w:rPr>
                <w:sz w:val="20"/>
                <w:lang w:val="es-ES"/>
              </w:rPr>
              <w:t>.</w:t>
            </w:r>
            <w:r w:rsidRPr="00963980">
              <w:rPr>
                <w:sz w:val="20"/>
                <w:lang w:val="es-ES"/>
              </w:rPr>
              <w:t>004</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143 / 3</w:t>
            </w:r>
            <w:r w:rsidR="00BC259E">
              <w:rPr>
                <w:sz w:val="20"/>
                <w:lang w:val="es-ES"/>
              </w:rPr>
              <w:t>.</w:t>
            </w:r>
            <w:r w:rsidRPr="00963980">
              <w:rPr>
                <w:sz w:val="20"/>
                <w:lang w:val="es-ES"/>
              </w:rPr>
              <w:t>938</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111 / 3</w:t>
            </w:r>
            <w:r w:rsidR="00BC259E">
              <w:rPr>
                <w:sz w:val="20"/>
                <w:lang w:val="es-ES"/>
              </w:rPr>
              <w:t>.</w:t>
            </w:r>
            <w:r w:rsidRPr="00963980">
              <w:rPr>
                <w:sz w:val="20"/>
                <w:lang w:val="es-ES"/>
              </w:rPr>
              <w:t>960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100 / 3</w:t>
            </w:r>
            <w:r w:rsidR="00BC259E">
              <w:rPr>
                <w:sz w:val="20"/>
                <w:lang w:val="es-ES"/>
              </w:rPr>
              <w:t>.</w:t>
            </w:r>
            <w:r w:rsidRPr="00963980">
              <w:rPr>
                <w:sz w:val="20"/>
                <w:lang w:val="es-ES"/>
              </w:rPr>
              <w:t>790</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97 / 3</w:t>
            </w:r>
            <w:r w:rsidR="00BC259E">
              <w:rPr>
                <w:sz w:val="20"/>
                <w:lang w:val="es-ES"/>
              </w:rPr>
              <w:t>.</w:t>
            </w:r>
            <w:r w:rsidRPr="00963980">
              <w:rPr>
                <w:sz w:val="20"/>
                <w:lang w:val="es-ES"/>
              </w:rPr>
              <w:t>699</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83 / 4</w:t>
            </w:r>
            <w:r w:rsidR="00BC259E">
              <w:rPr>
                <w:sz w:val="20"/>
                <w:lang w:val="es-ES"/>
              </w:rPr>
              <w:t>.</w:t>
            </w:r>
            <w:r w:rsidRPr="00963980">
              <w:rPr>
                <w:sz w:val="20"/>
                <w:lang w:val="es-ES"/>
              </w:rPr>
              <w:t>106</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+4%</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ind w:left="454" w:hanging="454"/>
              <w:rPr>
                <w:sz w:val="20"/>
                <w:lang w:val="es-ES"/>
              </w:rPr>
            </w:pPr>
            <w:r w:rsidRPr="00963980">
              <w:rPr>
                <w:sz w:val="20"/>
                <w:lang w:val="es-ES"/>
              </w:rPr>
              <w:t>SM</w:t>
            </w:r>
            <w:r w:rsidRPr="00963980">
              <w:rPr>
                <w:sz w:val="20"/>
                <w:lang w:val="es-ES"/>
              </w:rPr>
              <w:tab/>
              <w:t>San Marino</w:t>
            </w:r>
          </w:p>
        </w:tc>
        <w:tc>
          <w:tcPr>
            <w:tcW w:w="1230"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3</w:t>
            </w:r>
          </w:p>
        </w:tc>
        <w:tc>
          <w:tcPr>
            <w:tcW w:w="1297"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1</w:t>
            </w:r>
          </w:p>
        </w:tc>
        <w:tc>
          <w:tcPr>
            <w:tcW w:w="1296"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1 / 4</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3 / 8</w:t>
            </w:r>
          </w:p>
        </w:tc>
        <w:tc>
          <w:tcPr>
            <w:tcW w:w="1294"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rPr>
                <w:sz w:val="20"/>
                <w:lang w:val="es-ES"/>
              </w:rPr>
            </w:pPr>
            <w:r w:rsidRPr="00963980">
              <w:rPr>
                <w:sz w:val="20"/>
                <w:lang w:val="es-ES"/>
              </w:rPr>
              <w:t>0 / 0 / 5</w:t>
            </w: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+25%</w:t>
            </w:r>
          </w:p>
        </w:tc>
        <w:tc>
          <w:tcPr>
            <w:tcW w:w="1091" w:type="dxa"/>
            <w:tcBorders>
              <w:top w:val="single" w:sz="4" w:space="0" w:color="auto"/>
              <w:left w:val="single" w:sz="4" w:space="0" w:color="auto"/>
              <w:bottom w:val="single" w:sz="4" w:space="0" w:color="auto"/>
              <w:right w:val="single" w:sz="4" w:space="0" w:color="auto"/>
            </w:tcBorders>
            <w:noWrap/>
            <w:hideMark/>
          </w:tcPr>
          <w:p w:rsidR="003E4127" w:rsidRPr="00963980" w:rsidRDefault="003E4127" w:rsidP="00C375E7">
            <w:pPr>
              <w:jc w:val="right"/>
              <w:rPr>
                <w:sz w:val="20"/>
                <w:lang w:val="es-ES"/>
              </w:rPr>
            </w:pPr>
            <w:r w:rsidRPr="00963980">
              <w:rPr>
                <w:sz w:val="20"/>
                <w:lang w:val="es-ES"/>
              </w:rPr>
              <w:t>-100%</w:t>
            </w:r>
          </w:p>
        </w:tc>
      </w:tr>
      <w:tr w:rsidR="003E4127" w:rsidRPr="00963980" w:rsidTr="00C375E7">
        <w:trPr>
          <w:cantSplit/>
          <w:trHeight w:val="300"/>
        </w:trPr>
        <w:tc>
          <w:tcPr>
            <w:tcW w:w="2563" w:type="dxa"/>
            <w:tcBorders>
              <w:top w:val="single" w:sz="4" w:space="0" w:color="auto"/>
              <w:left w:val="single" w:sz="4" w:space="0" w:color="auto"/>
              <w:bottom w:val="single" w:sz="4" w:space="0" w:color="auto"/>
              <w:right w:val="single" w:sz="4" w:space="0" w:color="auto"/>
            </w:tcBorders>
            <w:noWrap/>
          </w:tcPr>
          <w:p w:rsidR="003E4127" w:rsidRPr="0046133B" w:rsidRDefault="003E4127" w:rsidP="00C375E7">
            <w:pPr>
              <w:ind w:left="454" w:hanging="454"/>
              <w:rPr>
                <w:sz w:val="20"/>
                <w:lang w:val="es-ES"/>
              </w:rPr>
            </w:pPr>
            <w:r w:rsidRPr="00C45B38">
              <w:rPr>
                <w:sz w:val="20"/>
                <w:lang w:val="es-ES"/>
              </w:rPr>
              <w:t>US</w:t>
            </w:r>
            <w:r w:rsidRPr="00C45B38">
              <w:rPr>
                <w:sz w:val="20"/>
                <w:lang w:val="es-ES"/>
              </w:rPr>
              <w:tab/>
              <w:t>Estados Unidos de América</w:t>
            </w:r>
          </w:p>
        </w:tc>
        <w:tc>
          <w:tcPr>
            <w:tcW w:w="1230"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1</w:t>
            </w:r>
            <w:r w:rsidR="00BC259E">
              <w:rPr>
                <w:sz w:val="20"/>
                <w:lang w:val="es-ES"/>
              </w:rPr>
              <w:t>.</w:t>
            </w:r>
            <w:r w:rsidRPr="00963980">
              <w:rPr>
                <w:sz w:val="20"/>
                <w:lang w:val="es-ES"/>
              </w:rPr>
              <w:t>677 / 28</w:t>
            </w:r>
            <w:r w:rsidR="00BC259E">
              <w:rPr>
                <w:sz w:val="20"/>
                <w:lang w:val="es-ES"/>
              </w:rPr>
              <w:t>.</w:t>
            </w:r>
            <w:r w:rsidRPr="00963980">
              <w:rPr>
                <w:sz w:val="20"/>
                <w:lang w:val="es-ES"/>
              </w:rPr>
              <w:t>052</w:t>
            </w:r>
          </w:p>
        </w:tc>
        <w:tc>
          <w:tcPr>
            <w:tcW w:w="1297"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4</w:t>
            </w:r>
            <w:r w:rsidR="00BC259E">
              <w:rPr>
                <w:sz w:val="20"/>
                <w:lang w:val="es-ES"/>
              </w:rPr>
              <w:t>.</w:t>
            </w:r>
            <w:r w:rsidRPr="00963980">
              <w:rPr>
                <w:sz w:val="20"/>
                <w:lang w:val="es-ES"/>
              </w:rPr>
              <w:t>058 / 62</w:t>
            </w:r>
            <w:r w:rsidR="00BC259E">
              <w:rPr>
                <w:sz w:val="20"/>
                <w:lang w:val="es-ES"/>
              </w:rPr>
              <w:t>.</w:t>
            </w:r>
            <w:r w:rsidRPr="00963980">
              <w:rPr>
                <w:sz w:val="20"/>
                <w:lang w:val="es-ES"/>
              </w:rPr>
              <w:t>705</w:t>
            </w:r>
          </w:p>
        </w:tc>
        <w:tc>
          <w:tcPr>
            <w:tcW w:w="1296"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3</w:t>
            </w:r>
            <w:r w:rsidR="00BC259E">
              <w:rPr>
                <w:sz w:val="20"/>
                <w:lang w:val="es-ES"/>
              </w:rPr>
              <w:t>.</w:t>
            </w:r>
            <w:r w:rsidRPr="00963980">
              <w:rPr>
                <w:sz w:val="20"/>
                <w:lang w:val="es-ES"/>
              </w:rPr>
              <w:t>643 / 55</w:t>
            </w:r>
            <w:r w:rsidR="00BC259E">
              <w:rPr>
                <w:sz w:val="20"/>
                <w:lang w:val="es-ES"/>
              </w:rPr>
              <w:t>.</w:t>
            </w:r>
            <w:r w:rsidRPr="00963980">
              <w:rPr>
                <w:sz w:val="20"/>
                <w:lang w:val="es-ES"/>
              </w:rPr>
              <w:t>037</w:t>
            </w:r>
          </w:p>
        </w:tc>
        <w:tc>
          <w:tcPr>
            <w:tcW w:w="1294"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3</w:t>
            </w:r>
            <w:r w:rsidR="00BC259E">
              <w:rPr>
                <w:sz w:val="20"/>
                <w:lang w:val="es-ES"/>
              </w:rPr>
              <w:t>.</w:t>
            </w:r>
            <w:r w:rsidRPr="00963980">
              <w:rPr>
                <w:sz w:val="20"/>
                <w:lang w:val="es-ES"/>
              </w:rPr>
              <w:t>497 / 56</w:t>
            </w:r>
            <w:r w:rsidR="00BC259E">
              <w:rPr>
                <w:sz w:val="20"/>
                <w:lang w:val="es-ES"/>
              </w:rPr>
              <w:t>.</w:t>
            </w:r>
            <w:r w:rsidRPr="00963980">
              <w:rPr>
                <w:sz w:val="20"/>
                <w:lang w:val="es-ES"/>
              </w:rPr>
              <w:t>962</w:t>
            </w:r>
          </w:p>
        </w:tc>
        <w:tc>
          <w:tcPr>
            <w:tcW w:w="1294"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3</w:t>
            </w:r>
            <w:r w:rsidR="00BC259E">
              <w:rPr>
                <w:sz w:val="20"/>
                <w:lang w:val="es-ES"/>
              </w:rPr>
              <w:t>.</w:t>
            </w:r>
            <w:r w:rsidRPr="00963980">
              <w:rPr>
                <w:sz w:val="20"/>
                <w:lang w:val="es-ES"/>
              </w:rPr>
              <w:t>283 / 56</w:t>
            </w:r>
            <w:r w:rsidR="00BC259E">
              <w:rPr>
                <w:sz w:val="20"/>
                <w:lang w:val="es-ES"/>
              </w:rPr>
              <w:t>.</w:t>
            </w:r>
            <w:r w:rsidRPr="00963980">
              <w:rPr>
                <w:sz w:val="20"/>
                <w:lang w:val="es-ES"/>
              </w:rPr>
              <w:t>403</w:t>
            </w:r>
          </w:p>
        </w:tc>
        <w:tc>
          <w:tcPr>
            <w:tcW w:w="1294"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rPr>
                <w:sz w:val="20"/>
                <w:lang w:val="es-ES"/>
              </w:rPr>
            </w:pPr>
            <w:r w:rsidRPr="00963980">
              <w:rPr>
                <w:sz w:val="20"/>
                <w:lang w:val="es-ES"/>
              </w:rPr>
              <w:t>0 / 3</w:t>
            </w:r>
            <w:r w:rsidR="00BC259E">
              <w:rPr>
                <w:sz w:val="20"/>
                <w:lang w:val="es-ES"/>
              </w:rPr>
              <w:t>.</w:t>
            </w:r>
            <w:r w:rsidRPr="00963980">
              <w:rPr>
                <w:sz w:val="20"/>
                <w:lang w:val="es-ES"/>
              </w:rPr>
              <w:t>350 / 56</w:t>
            </w:r>
            <w:r w:rsidR="00BC259E">
              <w:rPr>
                <w:sz w:val="20"/>
                <w:lang w:val="es-ES"/>
              </w:rPr>
              <w:t>.</w:t>
            </w:r>
            <w:r w:rsidRPr="00963980">
              <w:rPr>
                <w:sz w:val="20"/>
                <w:lang w:val="es-ES"/>
              </w:rPr>
              <w:t>691</w:t>
            </w:r>
          </w:p>
        </w:tc>
        <w:tc>
          <w:tcPr>
            <w:tcW w:w="1339"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jc w:val="right"/>
              <w:rPr>
                <w:sz w:val="20"/>
                <w:lang w:val="es-ES"/>
              </w:rPr>
            </w:pPr>
          </w:p>
        </w:tc>
        <w:tc>
          <w:tcPr>
            <w:tcW w:w="1339"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jc w:val="right"/>
              <w:rPr>
                <w:sz w:val="20"/>
                <w:lang w:val="es-ES"/>
              </w:rPr>
            </w:pPr>
          </w:p>
        </w:tc>
        <w:tc>
          <w:tcPr>
            <w:tcW w:w="1091"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jc w:val="right"/>
              <w:rPr>
                <w:sz w:val="20"/>
                <w:lang w:val="es-ES"/>
              </w:rPr>
            </w:pPr>
            <w:r w:rsidRPr="00963980">
              <w:rPr>
                <w:sz w:val="20"/>
                <w:lang w:val="es-ES"/>
              </w:rPr>
              <w:t>+3%</w:t>
            </w:r>
          </w:p>
        </w:tc>
        <w:tc>
          <w:tcPr>
            <w:tcW w:w="1091" w:type="dxa"/>
            <w:tcBorders>
              <w:top w:val="single" w:sz="4" w:space="0" w:color="auto"/>
              <w:left w:val="single" w:sz="4" w:space="0" w:color="auto"/>
              <w:bottom w:val="single" w:sz="4" w:space="0" w:color="auto"/>
              <w:right w:val="single" w:sz="4" w:space="0" w:color="auto"/>
            </w:tcBorders>
            <w:noWrap/>
          </w:tcPr>
          <w:p w:rsidR="003E4127" w:rsidRPr="00963980" w:rsidRDefault="003E4127" w:rsidP="00C375E7">
            <w:pPr>
              <w:jc w:val="right"/>
              <w:rPr>
                <w:sz w:val="20"/>
                <w:lang w:val="es-ES"/>
              </w:rPr>
            </w:pPr>
            <w:r w:rsidRPr="00963980">
              <w:rPr>
                <w:sz w:val="20"/>
                <w:lang w:val="es-ES"/>
              </w:rPr>
              <w:t>-8%</w:t>
            </w:r>
          </w:p>
        </w:tc>
      </w:tr>
    </w:tbl>
    <w:p w:rsidR="003E4127" w:rsidRDefault="003E4127" w:rsidP="003E4127">
      <w:pPr>
        <w:rPr>
          <w:lang w:val="es-ES"/>
        </w:rPr>
      </w:pPr>
    </w:p>
    <w:p w:rsidR="003E4127" w:rsidRDefault="003E4127" w:rsidP="003E4127">
      <w:pPr>
        <w:keepNext/>
        <w:keepLines/>
        <w:rPr>
          <w:lang w:val="es-ES"/>
        </w:rPr>
      </w:pPr>
      <w:r w:rsidRPr="00E933AF">
        <w:rPr>
          <w:lang w:val="es-ES_tradnl"/>
        </w:rPr>
        <w:lastRenderedPageBreak/>
        <w:t xml:space="preserve">Se observan algunas anomalías debido a que no se han logrado extraer totalmente de las bases de datos de la Oficina Internacional los datos relativos al domicilio </w:t>
      </w:r>
      <w:r>
        <w:rPr>
          <w:lang w:val="es-ES_tradnl"/>
        </w:rPr>
        <w:t xml:space="preserve">que figuran </w:t>
      </w:r>
      <w:r w:rsidRPr="00E933AF">
        <w:rPr>
          <w:lang w:val="es-ES_tradnl"/>
        </w:rPr>
        <w:t>en las solicitudes presentadas.</w:t>
      </w:r>
      <w:r>
        <w:rPr>
          <w:lang w:val="es-ES"/>
        </w:rPr>
        <w:t xml:space="preserve"> </w:t>
      </w:r>
      <w:r w:rsidRPr="00E933AF">
        <w:rPr>
          <w:lang w:val="es-ES_tradnl"/>
        </w:rPr>
        <w:t>Por consiguiente, la primera cifra se obtiene de un modo que solo puede considerarse aproximado a fin de compararla con las cifras segunda y tercera.</w:t>
      </w:r>
      <w:r>
        <w:rPr>
          <w:lang w:val="es-ES"/>
        </w:rPr>
        <w:t xml:space="preserve"> </w:t>
      </w:r>
      <w:r w:rsidRPr="00E933AF">
        <w:rPr>
          <w:lang w:val="es-ES_tradnl"/>
        </w:rPr>
        <w:t xml:space="preserve">Concretamente, la primera cifra representa una estimación de las cifras relativas al domicilio del primer solicitante </w:t>
      </w:r>
      <w:r w:rsidRPr="002D3EAD">
        <w:rPr>
          <w:i/>
          <w:lang w:val="es-ES_tradnl"/>
        </w:rPr>
        <w:t>según figuran en las solicitudes presentadas</w:t>
      </w:r>
      <w:r w:rsidRPr="00E933AF">
        <w:rPr>
          <w:lang w:val="es-ES_tradnl"/>
        </w:rPr>
        <w:t>, dando por supuesto que el Estado es el mismo que el de la Oficina receptora cuando dicha Oficina es una Oficina nacional y los datos no son claros de otro modo.</w:t>
      </w:r>
      <w:r>
        <w:rPr>
          <w:lang w:val="es-ES"/>
        </w:rPr>
        <w:t xml:space="preserve"> </w:t>
      </w:r>
      <w:r w:rsidRPr="00E933AF">
        <w:rPr>
          <w:lang w:val="es-ES_tradnl"/>
        </w:rPr>
        <w:t xml:space="preserve">Las cifras segunda y tercera se basan en el domicilio del primer solicitante </w:t>
      </w:r>
      <w:r w:rsidRPr="002D3EAD">
        <w:rPr>
          <w:i/>
          <w:lang w:val="es-ES_tradnl"/>
        </w:rPr>
        <w:t>actual</w:t>
      </w:r>
      <w:r w:rsidRPr="00E933AF">
        <w:rPr>
          <w:lang w:val="es-ES_tradnl"/>
        </w:rPr>
        <w:t>, respecto del cual los datos son de mayor calidad, aunque la identidad o el domicilio del primer solicitante pueda haber cambiado entretanto.</w:t>
      </w:r>
      <w:r>
        <w:rPr>
          <w:lang w:val="es-ES"/>
        </w:rPr>
        <w:t xml:space="preserve"> </w:t>
      </w:r>
      <w:r w:rsidRPr="00E933AF">
        <w:rPr>
          <w:lang w:val="es-ES_tradnl"/>
        </w:rPr>
        <w:t>Las diferencias representan una proporción muy pequeña del total de solicitudes en la mayoría de Estados, pero presentan errores significativos, en particular en el caso de algunos Estados que poseen un número de solicitudes reducido.</w:t>
      </w:r>
    </w:p>
    <w:p w:rsidR="003E4127" w:rsidRDefault="003E4127" w:rsidP="003E4127">
      <w:pPr>
        <w:keepNext/>
        <w:keepLines/>
        <w:rPr>
          <w:lang w:val="es-ES"/>
        </w:rPr>
      </w:pPr>
    </w:p>
    <w:p w:rsidR="003E4127" w:rsidRDefault="003E4127" w:rsidP="003E4127">
      <w:pPr>
        <w:keepNext/>
        <w:keepLines/>
        <w:rPr>
          <w:lang w:val="es-ES"/>
        </w:rPr>
      </w:pPr>
    </w:p>
    <w:p w:rsidR="003E4127" w:rsidRDefault="003E4127" w:rsidP="003E4127">
      <w:pPr>
        <w:keepNext/>
        <w:keepLines/>
        <w:rPr>
          <w:lang w:val="es-ES"/>
        </w:rPr>
      </w:pPr>
    </w:p>
    <w:p w:rsidR="003E4127" w:rsidRPr="00807775" w:rsidRDefault="003E4127" w:rsidP="003E4127">
      <w:pPr>
        <w:ind w:left="9781"/>
        <w:rPr>
          <w:lang w:val="es-ES_tradnl"/>
        </w:rPr>
      </w:pPr>
      <w:r w:rsidRPr="00E933AF">
        <w:rPr>
          <w:lang w:val="es-ES_tradnl"/>
        </w:rPr>
        <w:t>[Fin del Anexo y del documento]</w:t>
      </w:r>
    </w:p>
    <w:p w:rsidR="000765C4" w:rsidRPr="00B56479" w:rsidRDefault="000765C4" w:rsidP="000765C4">
      <w:pPr>
        <w:rPr>
          <w:lang w:val="es-ES_tradnl"/>
        </w:rPr>
      </w:pPr>
    </w:p>
    <w:sectPr w:rsidR="000765C4" w:rsidRPr="00B56479" w:rsidSect="00C375E7">
      <w:headerReference w:type="default" r:id="rId10"/>
      <w:headerReference w:type="first" r:id="rId11"/>
      <w:endnotePr>
        <w:numFmt w:val="decimal"/>
      </w:endnotePr>
      <w:pgSz w:w="16840" w:h="11907" w:orient="landscape" w:code="9"/>
      <w:pgMar w:top="1418" w:right="567" w:bottom="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E7" w:rsidRDefault="00C375E7">
      <w:r>
        <w:separator/>
      </w:r>
    </w:p>
  </w:endnote>
  <w:endnote w:type="continuationSeparator" w:id="0">
    <w:p w:rsidR="00C375E7" w:rsidRDefault="00C375E7" w:rsidP="003B38C1">
      <w:r>
        <w:separator/>
      </w:r>
    </w:p>
    <w:p w:rsidR="00C375E7" w:rsidRPr="003B38C1" w:rsidRDefault="00C375E7" w:rsidP="003B38C1">
      <w:pPr>
        <w:spacing w:after="60"/>
        <w:rPr>
          <w:sz w:val="17"/>
        </w:rPr>
      </w:pPr>
      <w:r>
        <w:rPr>
          <w:sz w:val="17"/>
        </w:rPr>
        <w:t>[Endnote continued from previous page]</w:t>
      </w:r>
    </w:p>
  </w:endnote>
  <w:endnote w:type="continuationNotice" w:id="1">
    <w:p w:rsidR="00C375E7" w:rsidRPr="003B38C1" w:rsidRDefault="00C375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E7" w:rsidRDefault="00C375E7">
      <w:r>
        <w:separator/>
      </w:r>
    </w:p>
  </w:footnote>
  <w:footnote w:type="continuationSeparator" w:id="0">
    <w:p w:rsidR="00C375E7" w:rsidRDefault="00C375E7" w:rsidP="008B60B2">
      <w:r>
        <w:separator/>
      </w:r>
    </w:p>
    <w:p w:rsidR="00C375E7" w:rsidRPr="00ED77FB" w:rsidRDefault="00C375E7" w:rsidP="008B60B2">
      <w:pPr>
        <w:spacing w:after="60"/>
        <w:rPr>
          <w:sz w:val="17"/>
          <w:szCs w:val="17"/>
        </w:rPr>
      </w:pPr>
      <w:r w:rsidRPr="00ED77FB">
        <w:rPr>
          <w:sz w:val="17"/>
          <w:szCs w:val="17"/>
        </w:rPr>
        <w:t>[Footnote continued from previous page]</w:t>
      </w:r>
    </w:p>
  </w:footnote>
  <w:footnote w:type="continuationNotice" w:id="1">
    <w:p w:rsidR="00C375E7" w:rsidRPr="00ED77FB" w:rsidRDefault="00C375E7" w:rsidP="008B60B2">
      <w:pPr>
        <w:spacing w:before="60"/>
        <w:jc w:val="right"/>
        <w:rPr>
          <w:sz w:val="17"/>
          <w:szCs w:val="17"/>
        </w:rPr>
      </w:pPr>
      <w:r w:rsidRPr="00ED77FB">
        <w:rPr>
          <w:sz w:val="17"/>
          <w:szCs w:val="17"/>
        </w:rPr>
        <w:t>[Footnote continued on next page]</w:t>
      </w:r>
    </w:p>
  </w:footnote>
  <w:footnote w:id="2">
    <w:p w:rsidR="00C375E7" w:rsidRDefault="00C375E7" w:rsidP="003E4127">
      <w:pPr>
        <w:pStyle w:val="FootnoteText"/>
      </w:pPr>
      <w:r>
        <w:rPr>
          <w:rStyle w:val="FootnoteReference"/>
        </w:rPr>
        <w:footnoteRef/>
      </w:r>
      <w:r>
        <w:t xml:space="preserve"> </w:t>
      </w:r>
      <w:r>
        <w:tab/>
      </w:r>
      <w:r w:rsidRPr="006343F1">
        <w:t>https://www.un.org/development/desa/dpad/least-developed-country-category/ldc-graduation.html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E7" w:rsidRPr="00E64FE2" w:rsidRDefault="00C375E7" w:rsidP="00477D6B">
    <w:pPr>
      <w:jc w:val="right"/>
      <w:rPr>
        <w:lang w:val="fr-FR"/>
      </w:rPr>
    </w:pPr>
    <w:r w:rsidRPr="00E64FE2">
      <w:rPr>
        <w:lang w:val="fr-FR"/>
      </w:rPr>
      <w:t>P</w:t>
    </w:r>
    <w:r>
      <w:rPr>
        <w:lang w:val="fr-FR"/>
      </w:rPr>
      <w:t>CT/A/51/3</w:t>
    </w:r>
  </w:p>
  <w:p w:rsidR="00C375E7" w:rsidRPr="00E64FE2" w:rsidRDefault="00C375E7" w:rsidP="00477D6B">
    <w:pPr>
      <w:jc w:val="right"/>
      <w:rPr>
        <w:lang w:val="fr-FR"/>
      </w:rPr>
    </w:pPr>
    <w:r w:rsidRPr="00E64FE2">
      <w:rPr>
        <w:lang w:val="fr-FR"/>
      </w:rPr>
      <w:t>p</w:t>
    </w:r>
    <w:r>
      <w:rPr>
        <w:lang w:val="fr-FR"/>
      </w:rPr>
      <w:t>ágina</w:t>
    </w:r>
    <w:r w:rsidRPr="00E64FE2">
      <w:rPr>
        <w:lang w:val="fr-FR"/>
      </w:rPr>
      <w:t xml:space="preserve"> </w:t>
    </w:r>
    <w:r>
      <w:fldChar w:fldCharType="begin"/>
    </w:r>
    <w:r w:rsidRPr="00E64FE2">
      <w:rPr>
        <w:lang w:val="fr-FR"/>
      </w:rPr>
      <w:instrText xml:space="preserve"> PAGE  \* MERGEFORMAT </w:instrText>
    </w:r>
    <w:r>
      <w:fldChar w:fldCharType="separate"/>
    </w:r>
    <w:r w:rsidR="00503B51" w:rsidRPr="00503B51">
      <w:rPr>
        <w:noProof/>
        <w:lang w:val="fr-CH"/>
      </w:rPr>
      <w:t>7</w:t>
    </w:r>
    <w:r>
      <w:fldChar w:fldCharType="end"/>
    </w:r>
  </w:p>
  <w:p w:rsidR="00C375E7" w:rsidRPr="00E64FE2" w:rsidRDefault="00C375E7" w:rsidP="00477D6B">
    <w:pPr>
      <w:jc w:val="right"/>
      <w:rPr>
        <w:lang w:val="fr-FR"/>
      </w:rPr>
    </w:pPr>
  </w:p>
  <w:p w:rsidR="00C375E7" w:rsidRPr="00E64FE2" w:rsidRDefault="00C375E7"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E7" w:rsidRDefault="00C375E7" w:rsidP="00477D6B">
    <w:pPr>
      <w:jc w:val="right"/>
    </w:pPr>
    <w:bookmarkStart w:id="8" w:name="Code2"/>
    <w:bookmarkEnd w:id="8"/>
    <w:r>
      <w:t>PCT/A/51/3</w:t>
    </w:r>
  </w:p>
  <w:p w:rsidR="00C375E7" w:rsidRDefault="00C375E7" w:rsidP="00477D6B">
    <w:pPr>
      <w:jc w:val="right"/>
    </w:pPr>
    <w:r>
      <w:t xml:space="preserve">Anexo, página </w:t>
    </w:r>
    <w:r>
      <w:fldChar w:fldCharType="begin"/>
    </w:r>
    <w:r>
      <w:instrText xml:space="preserve"> PAGE  \* MERGEFORMAT </w:instrText>
    </w:r>
    <w:r>
      <w:fldChar w:fldCharType="separate"/>
    </w:r>
    <w:r w:rsidR="00503B51">
      <w:rPr>
        <w:noProof/>
      </w:rPr>
      <w:t>13</w:t>
    </w:r>
    <w:r>
      <w:fldChar w:fldCharType="end"/>
    </w:r>
  </w:p>
  <w:p w:rsidR="00C375E7" w:rsidRDefault="00C375E7" w:rsidP="00477D6B">
    <w:pPr>
      <w:jc w:val="right"/>
    </w:pPr>
  </w:p>
  <w:p w:rsidR="00C375E7" w:rsidRDefault="00C375E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5E7" w:rsidRDefault="00C375E7" w:rsidP="00C375E7">
    <w:pPr>
      <w:pStyle w:val="Header"/>
      <w:jc w:val="right"/>
    </w:pPr>
    <w:r>
      <w:t>PCT/A/51/3</w:t>
    </w:r>
  </w:p>
  <w:p w:rsidR="00C375E7" w:rsidRDefault="00C375E7" w:rsidP="00C375E7">
    <w:pPr>
      <w:pStyle w:val="Header"/>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C03EF3"/>
    <w:multiLevelType w:val="multilevel"/>
    <w:tmpl w:val="52B2FE3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547FDC"/>
    <w:multiLevelType w:val="hybridMultilevel"/>
    <w:tmpl w:val="9260E936"/>
    <w:lvl w:ilvl="0" w:tplc="37C4DB46">
      <w:start w:val="1"/>
      <w:numFmt w:val="lowerRoman"/>
      <w:lvlText w:val="%1)"/>
      <w:lvlJc w:val="left"/>
      <w:pPr>
        <w:ind w:left="6816" w:hanging="720"/>
      </w:pPr>
      <w:rPr>
        <w:rFonts w:hint="default"/>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26D00C4"/>
    <w:multiLevelType w:val="hybridMultilevel"/>
    <w:tmpl w:val="0DE69D1C"/>
    <w:lvl w:ilvl="0" w:tplc="7BDE9AAE">
      <w:start w:val="1"/>
      <w:numFmt w:val="lowerRoman"/>
      <w:lvlText w:val="%1)"/>
      <w:lvlJc w:val="left"/>
      <w:pPr>
        <w:ind w:left="6456" w:hanging="360"/>
      </w:pPr>
      <w:rPr>
        <w:rFonts w:hint="default"/>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597427"/>
    <w:multiLevelType w:val="multilevel"/>
    <w:tmpl w:val="7AA807A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B046D"/>
    <w:multiLevelType w:val="multilevel"/>
    <w:tmpl w:val="F304A73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51C825BB"/>
    <w:multiLevelType w:val="hybridMultilevel"/>
    <w:tmpl w:val="8C0891BE"/>
    <w:lvl w:ilvl="0" w:tplc="D9BA4C54">
      <w:start w:val="2"/>
      <w:numFmt w:val="bullet"/>
      <w:lvlText w:val="–"/>
      <w:lvlJc w:val="left"/>
      <w:pPr>
        <w:ind w:left="0" w:firstLine="0"/>
      </w:pPr>
      <w:rPr>
        <w:rFonts w:ascii="Arial" w:eastAsia="SimSu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C4F77"/>
    <w:multiLevelType w:val="hybridMultilevel"/>
    <w:tmpl w:val="2674B5EE"/>
    <w:lvl w:ilvl="0" w:tplc="2BC2FDAA">
      <w:start w:val="2"/>
      <w:numFmt w:val="bullet"/>
      <w:lvlText w:val="–"/>
      <w:lvlJc w:val="left"/>
      <w:pPr>
        <w:ind w:left="930" w:hanging="570"/>
      </w:pPr>
      <w:rPr>
        <w:rFonts w:ascii="Arial" w:eastAsia="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B1B39E1"/>
    <w:multiLevelType w:val="hybridMultilevel"/>
    <w:tmpl w:val="CA0EEEA4"/>
    <w:lvl w:ilvl="0" w:tplc="889A0158">
      <w:start w:val="1"/>
      <w:numFmt w:val="bullet"/>
      <w:lvlText w:val=""/>
      <w:lvlJc w:val="left"/>
      <w:pPr>
        <w:ind w:left="0" w:firstLine="0"/>
      </w:pPr>
      <w:rPr>
        <w:rFonts w:ascii="Symbol" w:hAnsi="Symbol" w:hint="default"/>
      </w:rPr>
    </w:lvl>
    <w:lvl w:ilvl="1" w:tplc="130867BE">
      <w:start w:val="2"/>
      <w:numFmt w:val="bullet"/>
      <w:lvlText w:val="–"/>
      <w:lvlJc w:val="left"/>
      <w:pPr>
        <w:ind w:left="0" w:firstLine="0"/>
      </w:pPr>
      <w:rPr>
        <w:rFonts w:ascii="Arial" w:eastAsia="SimSu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771D3E"/>
    <w:multiLevelType w:val="multilevel"/>
    <w:tmpl w:val="04EE9E8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8"/>
  </w:num>
  <w:num w:numId="3">
    <w:abstractNumId w:val="0"/>
  </w:num>
  <w:num w:numId="4">
    <w:abstractNumId w:val="9"/>
  </w:num>
  <w:num w:numId="5">
    <w:abstractNumId w:val="3"/>
  </w:num>
  <w:num w:numId="6">
    <w:abstractNumId w:val="7"/>
  </w:num>
  <w:num w:numId="7">
    <w:abstractNumId w:val="3"/>
    <w:lvlOverride w:ilvl="0">
      <w:startOverride w:val="63"/>
    </w:lvlOverride>
  </w:num>
  <w:num w:numId="8">
    <w:abstractNumId w:val="3"/>
    <w:lvlOverride w:ilvl="0">
      <w:startOverride w:val="63"/>
    </w:lvlOverride>
  </w:num>
  <w:num w:numId="9">
    <w:abstractNumId w:val="3"/>
    <w:lvlOverride w:ilvl="0">
      <w:startOverride w:val="64"/>
    </w:lvlOverride>
  </w:num>
  <w:num w:numId="10">
    <w:abstractNumId w:val="3"/>
    <w:lvlOverride w:ilvl="0">
      <w:startOverride w:val="65"/>
    </w:lvlOverride>
  </w:num>
  <w:num w:numId="11">
    <w:abstractNumId w:val="4"/>
  </w:num>
  <w:num w:numId="12">
    <w:abstractNumId w:val="2"/>
  </w:num>
  <w:num w:numId="13">
    <w:abstractNumId w:val="13"/>
  </w:num>
  <w:num w:numId="14">
    <w:abstractNumId w:val="12"/>
  </w:num>
  <w:num w:numId="15">
    <w:abstractNumId w:val="11"/>
  </w:num>
  <w:num w:numId="16">
    <w:abstractNumId w:val="1"/>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27"/>
    <w:rsid w:val="00024D48"/>
    <w:rsid w:val="00043CAA"/>
    <w:rsid w:val="00075432"/>
    <w:rsid w:val="000765C4"/>
    <w:rsid w:val="000968ED"/>
    <w:rsid w:val="000C117A"/>
    <w:rsid w:val="000D5AD7"/>
    <w:rsid w:val="000F5E56"/>
    <w:rsid w:val="00117E63"/>
    <w:rsid w:val="001362EE"/>
    <w:rsid w:val="00156693"/>
    <w:rsid w:val="001647D5"/>
    <w:rsid w:val="0016601B"/>
    <w:rsid w:val="001832A6"/>
    <w:rsid w:val="001E1F4B"/>
    <w:rsid w:val="001F0FE5"/>
    <w:rsid w:val="00205915"/>
    <w:rsid w:val="0021217E"/>
    <w:rsid w:val="00217165"/>
    <w:rsid w:val="002634C4"/>
    <w:rsid w:val="002928D3"/>
    <w:rsid w:val="002A1C08"/>
    <w:rsid w:val="002A633A"/>
    <w:rsid w:val="002E7058"/>
    <w:rsid w:val="002F1FE6"/>
    <w:rsid w:val="002F4E68"/>
    <w:rsid w:val="00312F7F"/>
    <w:rsid w:val="00350AE2"/>
    <w:rsid w:val="00361450"/>
    <w:rsid w:val="003673CF"/>
    <w:rsid w:val="003845C1"/>
    <w:rsid w:val="003A6F89"/>
    <w:rsid w:val="003B38C1"/>
    <w:rsid w:val="003C6B17"/>
    <w:rsid w:val="003D57B0"/>
    <w:rsid w:val="003E08A1"/>
    <w:rsid w:val="003E4127"/>
    <w:rsid w:val="00423E3E"/>
    <w:rsid w:val="00427AF4"/>
    <w:rsid w:val="004647DA"/>
    <w:rsid w:val="00474062"/>
    <w:rsid w:val="00477D6B"/>
    <w:rsid w:val="005019FF"/>
    <w:rsid w:val="00503B51"/>
    <w:rsid w:val="0053057A"/>
    <w:rsid w:val="00560A29"/>
    <w:rsid w:val="00565072"/>
    <w:rsid w:val="005C6649"/>
    <w:rsid w:val="005E4C87"/>
    <w:rsid w:val="00605827"/>
    <w:rsid w:val="0062341A"/>
    <w:rsid w:val="00646050"/>
    <w:rsid w:val="006713CA"/>
    <w:rsid w:val="00676C5C"/>
    <w:rsid w:val="006B0DF8"/>
    <w:rsid w:val="006E4F5F"/>
    <w:rsid w:val="006E6EC0"/>
    <w:rsid w:val="007D1613"/>
    <w:rsid w:val="007D3B15"/>
    <w:rsid w:val="007E4C0E"/>
    <w:rsid w:val="00846AD2"/>
    <w:rsid w:val="00860537"/>
    <w:rsid w:val="00877718"/>
    <w:rsid w:val="00896786"/>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40BDC"/>
    <w:rsid w:val="00B56183"/>
    <w:rsid w:val="00B56479"/>
    <w:rsid w:val="00B9734B"/>
    <w:rsid w:val="00BA30E2"/>
    <w:rsid w:val="00BC259E"/>
    <w:rsid w:val="00C11BFE"/>
    <w:rsid w:val="00C375E7"/>
    <w:rsid w:val="00C5068F"/>
    <w:rsid w:val="00C86D74"/>
    <w:rsid w:val="00C877CC"/>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6152"/>
    <w:rsid w:val="00F7662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858943C-B02C-4374-A705-2FCCAE9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ONUMEChar">
    <w:name w:val="ONUM E Char"/>
    <w:basedOn w:val="DefaultParagraphFont"/>
    <w:link w:val="ONUME"/>
    <w:rsid w:val="003E4127"/>
    <w:rPr>
      <w:rFonts w:ascii="Arial" w:eastAsia="SimSun" w:hAnsi="Arial" w:cs="Arial"/>
      <w:sz w:val="22"/>
      <w:lang w:val="en-US" w:eastAsia="zh-CN"/>
    </w:rPr>
  </w:style>
  <w:style w:type="character" w:styleId="FootnoteReference">
    <w:name w:val="footnote reference"/>
    <w:basedOn w:val="DefaultParagraphFont"/>
    <w:semiHidden/>
    <w:unhideWhenUsed/>
    <w:rsid w:val="003E4127"/>
    <w:rPr>
      <w:vertAlign w:val="superscript"/>
    </w:rPr>
  </w:style>
  <w:style w:type="character" w:styleId="FollowedHyperlink">
    <w:name w:val="FollowedHyperlink"/>
    <w:basedOn w:val="DefaultParagraphFont"/>
    <w:uiPriority w:val="99"/>
    <w:semiHidden/>
    <w:unhideWhenUsed/>
    <w:rsid w:val="003E4127"/>
    <w:rPr>
      <w:color w:val="954F72"/>
      <w:u w:val="single"/>
    </w:rPr>
  </w:style>
  <w:style w:type="paragraph" w:customStyle="1" w:styleId="msonormal0">
    <w:name w:val="msonormal"/>
    <w:basedOn w:val="Normal"/>
    <w:rsid w:val="003E4127"/>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3E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4127"/>
    <w:rPr>
      <w:sz w:val="16"/>
      <w:szCs w:val="16"/>
    </w:rPr>
  </w:style>
  <w:style w:type="paragraph" w:styleId="CommentSubject">
    <w:name w:val="annotation subject"/>
    <w:basedOn w:val="CommentText"/>
    <w:next w:val="CommentText"/>
    <w:link w:val="CommentSubjectChar"/>
    <w:semiHidden/>
    <w:unhideWhenUsed/>
    <w:rsid w:val="003E4127"/>
    <w:rPr>
      <w:b/>
      <w:bCs/>
      <w:sz w:val="20"/>
    </w:rPr>
  </w:style>
  <w:style w:type="character" w:customStyle="1" w:styleId="CommentTextChar">
    <w:name w:val="Comment Text Char"/>
    <w:basedOn w:val="DefaultParagraphFont"/>
    <w:link w:val="CommentText"/>
    <w:semiHidden/>
    <w:rsid w:val="003E412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E4127"/>
    <w:rPr>
      <w:rFonts w:ascii="Arial" w:eastAsia="SimSun" w:hAnsi="Arial" w:cs="Arial"/>
      <w:b/>
      <w:bCs/>
      <w:sz w:val="18"/>
      <w:lang w:val="en-US" w:eastAsia="zh-CN"/>
    </w:rPr>
  </w:style>
  <w:style w:type="paragraph" w:styleId="ListParagraph">
    <w:name w:val="List Paragraph"/>
    <w:basedOn w:val="Normal"/>
    <w:uiPriority w:val="34"/>
    <w:qFormat/>
    <w:rsid w:val="003E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PCT%20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AE1D-4FE4-46BA-AA2A-EAD63DA1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51 (S)</Template>
  <TotalTime>1</TotalTime>
  <Pages>20</Pages>
  <Words>10256</Words>
  <Characters>33819</Characters>
  <Application>Microsoft Office Word</Application>
  <DocSecurity>4</DocSecurity>
  <Lines>281</Lines>
  <Paragraphs>87</Paragraphs>
  <ScaleCrop>false</ScaleCrop>
  <HeadingPairs>
    <vt:vector size="2" baseType="variant">
      <vt:variant>
        <vt:lpstr>Title</vt:lpstr>
      </vt:variant>
      <vt:variant>
        <vt:i4>1</vt:i4>
      </vt:variant>
    </vt:vector>
  </HeadingPairs>
  <TitlesOfParts>
    <vt:vector size="1" baseType="lpstr">
      <vt:lpstr>PCT/A/51/3</vt:lpstr>
    </vt:vector>
  </TitlesOfParts>
  <Company>WIPO</Company>
  <LinksUpToDate>false</LinksUpToDate>
  <CharactersWithSpaces>43988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PCT/A/51/3</dc:title>
  <dc:subject>Quincuagésima octava serie de reuniones</dc:subject>
  <dc:creator>CEVALLOS DUQUE Nilo</dc:creator>
  <cp:keywords>FOR OFFICIAL USE ONLY</cp:keywords>
  <cp:lastModifiedBy>HÄFLIGER Patience</cp:lastModifiedBy>
  <cp:revision>2</cp:revision>
  <cp:lastPrinted>2011-02-15T11:56:00Z</cp:lastPrinted>
  <dcterms:created xsi:type="dcterms:W3CDTF">2019-07-18T12:37:00Z</dcterms:created>
  <dcterms:modified xsi:type="dcterms:W3CDTF">2019-07-18T12:37:00Z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5e0c5b84-bb1c-4064-959e-5e74acc3c37c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