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A7453D">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3B5E0D"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753E6" w:rsidP="00AB613D">
            <w:pPr>
              <w:jc w:val="right"/>
              <w:rPr>
                <w:rFonts w:ascii="Arial Black" w:hAnsi="Arial Black"/>
                <w:caps/>
                <w:sz w:val="15"/>
              </w:rPr>
            </w:pPr>
            <w:r>
              <w:rPr>
                <w:rFonts w:ascii="Arial Black" w:hAnsi="Arial Black"/>
                <w:caps/>
                <w:sz w:val="15"/>
              </w:rPr>
              <w:t>PCT/A/46/</w:t>
            </w:r>
            <w:bookmarkStart w:id="0" w:name="Code"/>
            <w:bookmarkEnd w:id="0"/>
            <w:r w:rsidR="00C95E69">
              <w:rPr>
                <w:rFonts w:ascii="Arial Black" w:hAnsi="Arial Black"/>
                <w:caps/>
                <w:sz w:val="15"/>
              </w:rPr>
              <w:t>4</w:t>
            </w:r>
            <w:r w:rsidR="008B2CC1" w:rsidRPr="0090731E">
              <w:rPr>
                <w:rFonts w:ascii="Arial Black" w:hAnsi="Arial Black"/>
                <w:caps/>
                <w:sz w:val="15"/>
              </w:rPr>
              <w:t xml:space="preserve">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C95E6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C95E69">
              <w:rPr>
                <w:rFonts w:ascii="Arial Black" w:hAnsi="Arial Black"/>
                <w:caps/>
                <w:sz w:val="15"/>
              </w:rPr>
              <w:t>22 DE JULIO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753E6" w:rsidP="005753E6">
      <w:pPr>
        <w:rPr>
          <w:b/>
          <w:sz w:val="28"/>
          <w:szCs w:val="28"/>
        </w:rPr>
      </w:pPr>
      <w:r w:rsidRPr="005753E6">
        <w:rPr>
          <w:b/>
          <w:sz w:val="28"/>
          <w:szCs w:val="28"/>
        </w:rPr>
        <w:t xml:space="preserve">Unión Internacional de Cooperación en materia de Patentes </w:t>
      </w:r>
      <w:r>
        <w:rPr>
          <w:b/>
          <w:sz w:val="28"/>
          <w:szCs w:val="28"/>
        </w:rPr>
        <w:br/>
      </w:r>
      <w:r w:rsidRPr="005753E6">
        <w:rPr>
          <w:b/>
          <w:sz w:val="28"/>
          <w:szCs w:val="28"/>
        </w:rPr>
        <w:t>(Unión del PCT)</w:t>
      </w:r>
    </w:p>
    <w:p w:rsidR="003845C1" w:rsidRDefault="003845C1" w:rsidP="003845C1"/>
    <w:p w:rsidR="001C4DD3" w:rsidRDefault="001C4DD3" w:rsidP="003845C1"/>
    <w:p w:rsidR="001C4DD3" w:rsidRPr="001C4DD3" w:rsidRDefault="001C4DD3" w:rsidP="003845C1">
      <w:pPr>
        <w:rPr>
          <w:b/>
          <w:sz w:val="28"/>
          <w:szCs w:val="28"/>
        </w:rPr>
      </w:pPr>
      <w:r w:rsidRPr="001C4DD3">
        <w:rPr>
          <w:b/>
          <w:sz w:val="28"/>
          <w:szCs w:val="28"/>
        </w:rPr>
        <w:t>Asamblea</w:t>
      </w:r>
    </w:p>
    <w:p w:rsidR="001C4DD3" w:rsidRDefault="001C4DD3" w:rsidP="003845C1"/>
    <w:p w:rsidR="003845C1" w:rsidRDefault="003845C1" w:rsidP="003845C1"/>
    <w:p w:rsidR="005753E6" w:rsidRPr="005753E6" w:rsidRDefault="005753E6" w:rsidP="005753E6">
      <w:pPr>
        <w:rPr>
          <w:b/>
          <w:sz w:val="24"/>
          <w:szCs w:val="24"/>
        </w:rPr>
      </w:pPr>
      <w:r w:rsidRPr="005753E6">
        <w:rPr>
          <w:b/>
          <w:sz w:val="24"/>
          <w:szCs w:val="24"/>
        </w:rPr>
        <w:t>Cuadragésimo sexto período de sesiones (27</w:t>
      </w:r>
      <w:r w:rsidRPr="00307233">
        <w:rPr>
          <w:bCs/>
          <w:color w:val="000000"/>
          <w:szCs w:val="24"/>
          <w:vertAlign w:val="superscript"/>
        </w:rPr>
        <w:t>o</w:t>
      </w:r>
      <w:r w:rsidRPr="005753E6">
        <w:rPr>
          <w:b/>
          <w:sz w:val="24"/>
          <w:szCs w:val="24"/>
        </w:rPr>
        <w:t xml:space="preserve"> extraordinario)</w:t>
      </w:r>
    </w:p>
    <w:p w:rsidR="008B2CC1" w:rsidRPr="003845C1" w:rsidRDefault="005753E6" w:rsidP="005753E6">
      <w:pPr>
        <w:rPr>
          <w:b/>
          <w:sz w:val="24"/>
          <w:szCs w:val="24"/>
        </w:rPr>
      </w:pPr>
      <w:r w:rsidRPr="005753E6">
        <w:rPr>
          <w:b/>
          <w:sz w:val="24"/>
          <w:szCs w:val="24"/>
        </w:rPr>
        <w:t>Ginebra, 22 a 30 de septiembre de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C95E69" w:rsidP="008B2CC1">
      <w:pPr>
        <w:rPr>
          <w:caps/>
          <w:sz w:val="24"/>
        </w:rPr>
      </w:pPr>
      <w:bookmarkStart w:id="3" w:name="TitleOfDoc"/>
      <w:bookmarkEnd w:id="3"/>
      <w:r w:rsidRPr="00B05BDA">
        <w:rPr>
          <w:caps/>
          <w:sz w:val="24"/>
        </w:rPr>
        <w:t>Procedimientos para la designación de las ADMINISTRACIONES ENCARGADAS DE LA BÚSQUEDA INTERNACIONAL Y DEL EXAMEN PRELIMINAR INTERNACIONAL en virtud del PCT</w:t>
      </w:r>
    </w:p>
    <w:p w:rsidR="008B2CC1" w:rsidRPr="008B2CC1" w:rsidRDefault="008B2CC1" w:rsidP="008B2CC1"/>
    <w:p w:rsidR="008B2CC1" w:rsidRPr="008B2CC1" w:rsidRDefault="00C95E69" w:rsidP="008B2CC1">
      <w:pPr>
        <w:rPr>
          <w:i/>
        </w:rPr>
      </w:pPr>
      <w:bookmarkStart w:id="4" w:name="Prepared"/>
      <w:bookmarkEnd w:id="4"/>
      <w:r w:rsidRPr="00B05BDA">
        <w:rPr>
          <w:i/>
        </w:rPr>
        <w:t>Documento preparado por la Oficina Internacional</w:t>
      </w:r>
    </w:p>
    <w:p w:rsidR="008B2CC1" w:rsidRDefault="008B2CC1" w:rsidP="003845C1"/>
    <w:p w:rsidR="000F5E56" w:rsidRDefault="000F5E56"/>
    <w:p w:rsidR="00F84474" w:rsidRDefault="00F84474"/>
    <w:p w:rsidR="00F84474" w:rsidRDefault="00F84474"/>
    <w:p w:rsidR="00C95E69" w:rsidRPr="00B05BDA" w:rsidRDefault="00C95E69" w:rsidP="00C95E69">
      <w:pPr>
        <w:pStyle w:val="Heading1"/>
      </w:pPr>
      <w:r w:rsidRPr="00B05BDA">
        <w:t>RESUMEN</w:t>
      </w:r>
    </w:p>
    <w:p w:rsidR="00C95E69" w:rsidRPr="00B05BDA" w:rsidRDefault="00C95E69" w:rsidP="00966CAF">
      <w:pPr>
        <w:pStyle w:val="ONUMFS"/>
      </w:pPr>
      <w:r>
        <w:t>Conforme a</w:t>
      </w:r>
      <w:r w:rsidRPr="00B05BDA">
        <w:t xml:space="preserve"> lo recomendado por el Grupo de Trabajo del PCT, se invita a la Asamblea del PCT a adoptar </w:t>
      </w:r>
      <w:r>
        <w:t>pautas acordadas</w:t>
      </w:r>
      <w:r w:rsidRPr="00B05BDA">
        <w:t xml:space="preserve"> con respecto a los procedimientos para la designación de una Oficina como Administración encargada de la búsqueda internacional y del examen preliminar internacional (“Administración internacional”) en virtud del PCT, concebid</w:t>
      </w:r>
      <w:r>
        <w:t>as</w:t>
      </w:r>
      <w:r w:rsidRPr="00B05BDA">
        <w:t xml:space="preserve"> para velar por que:</w:t>
      </w:r>
    </w:p>
    <w:p w:rsidR="00C95E69" w:rsidRPr="00B05BDA" w:rsidRDefault="00C95E69" w:rsidP="00C95E69">
      <w:pPr>
        <w:pStyle w:val="ONUME"/>
        <w:numPr>
          <w:ilvl w:val="1"/>
          <w:numId w:val="5"/>
        </w:numPr>
      </w:pPr>
      <w:r w:rsidRPr="00B05BDA">
        <w:t xml:space="preserve">el Comité de Cooperación Técnica del PCT (PCT/CTC) se reúna </w:t>
      </w:r>
      <w:r>
        <w:t>en calidad de</w:t>
      </w:r>
      <w:r w:rsidRPr="00B05BDA">
        <w:t xml:space="preserve"> órgano experto antes de la Asamblea del PCT </w:t>
      </w:r>
      <w:r>
        <w:t>y examine l</w:t>
      </w:r>
      <w:r w:rsidRPr="00B05BDA">
        <w:t>a solicitud de designación de una Oficina como Administración internacional;  y</w:t>
      </w:r>
    </w:p>
    <w:p w:rsidR="00C95E69" w:rsidRPr="00B05BDA" w:rsidRDefault="00C95E69" w:rsidP="00C95E69">
      <w:pPr>
        <w:pStyle w:val="ONUME"/>
        <w:numPr>
          <w:ilvl w:val="1"/>
          <w:numId w:val="5"/>
        </w:numPr>
      </w:pPr>
      <w:r w:rsidRPr="00B05BDA">
        <w:t xml:space="preserve">las </w:t>
      </w:r>
      <w:r>
        <w:t>Oficina</w:t>
      </w:r>
      <w:r w:rsidRPr="00B05BDA">
        <w:t xml:space="preserve">s que </w:t>
      </w:r>
      <w:r>
        <w:t>soliciten</w:t>
      </w:r>
      <w:r w:rsidRPr="00B05BDA">
        <w:t xml:space="preserve"> ser designadas </w:t>
      </w:r>
      <w:r>
        <w:t>cumplan con</w:t>
      </w:r>
      <w:r w:rsidRPr="00B05BDA">
        <w:t xml:space="preserve"> los criterios correspondientes en el momento de la designación, en lugar de que las designaciones sean provisionales </w:t>
      </w:r>
      <w:r>
        <w:t>hasta tanto</w:t>
      </w:r>
      <w:r w:rsidRPr="00B05BDA">
        <w:t xml:space="preserve"> se </w:t>
      </w:r>
      <w:r>
        <w:t xml:space="preserve">adopten </w:t>
      </w:r>
      <w:r w:rsidRPr="00B05BDA">
        <w:t xml:space="preserve">medidas adicionales </w:t>
      </w:r>
      <w:r>
        <w:t xml:space="preserve">para </w:t>
      </w:r>
      <w:r w:rsidRPr="00B05BDA">
        <w:t xml:space="preserve">que la </w:t>
      </w:r>
      <w:r>
        <w:t>Oficina</w:t>
      </w:r>
      <w:r w:rsidRPr="00B05BDA">
        <w:t xml:space="preserve"> pueda </w:t>
      </w:r>
      <w:r>
        <w:t>empezar a actuar en calidad de</w:t>
      </w:r>
      <w:r w:rsidRPr="00B05BDA">
        <w:t xml:space="preserve"> Administración internacional.</w:t>
      </w:r>
    </w:p>
    <w:p w:rsidR="00C95E69" w:rsidRPr="00B05BDA" w:rsidRDefault="00C95E69" w:rsidP="00C95E69">
      <w:pPr>
        <w:pStyle w:val="Heading1"/>
        <w:keepNext w:val="0"/>
      </w:pPr>
      <w:r w:rsidRPr="00B05BDA">
        <w:t>Antecedentes</w:t>
      </w:r>
    </w:p>
    <w:p w:rsidR="00C95E69" w:rsidRPr="00B05BDA" w:rsidRDefault="00C95E69" w:rsidP="00966CAF">
      <w:pPr>
        <w:pStyle w:val="ONUMFS"/>
      </w:pPr>
      <w:r w:rsidRPr="00B05BDA">
        <w:t xml:space="preserve">En su cuadragésimo cuarto período de sesiones, celebrado del 23 de septiembre al 2 de octubre de 2013, la Asamblea del PCT aprobó una recomendación según la cual la Oficina </w:t>
      </w:r>
      <w:r w:rsidRPr="00B05BDA">
        <w:lastRenderedPageBreak/>
        <w:t xml:space="preserve">Internacional debería emprender una revisión de los criterios y procedimientos para la designación de una </w:t>
      </w:r>
      <w:r>
        <w:t>Oficina</w:t>
      </w:r>
      <w:r w:rsidRPr="00B05BDA">
        <w:t xml:space="preserve"> como Administración internacional y formular las propuestas de modificación pertinentes, </w:t>
      </w:r>
      <w:r>
        <w:t xml:space="preserve">de ser el caso, </w:t>
      </w:r>
      <w:r w:rsidRPr="00B05BDA">
        <w:t>en coordinación con la Reunión de las Administraciones Internacionales (PCT/MIA), para su examen por el Grupo de Trabajo en el marco de su siguiente reunión (párrafo 3 del documento PCT/A/44/1 y párrafo 19.ii) del documento PCT/A/44/5 Prov.).</w:t>
      </w:r>
    </w:p>
    <w:p w:rsidR="00C95E69" w:rsidRPr="00B05BDA" w:rsidRDefault="00C95E69" w:rsidP="00966CAF">
      <w:pPr>
        <w:pStyle w:val="ONUMFS"/>
      </w:pPr>
      <w:r w:rsidRPr="00B05BDA">
        <w:t xml:space="preserve">Como primera etapa en la revisión de los criterios y procedimientos para la designación de una </w:t>
      </w:r>
      <w:r>
        <w:t>Oficina</w:t>
      </w:r>
      <w:r w:rsidRPr="00B05BDA">
        <w:t xml:space="preserve"> como Administración internacional, según lo dispuesto por la Asamblea del PCT, la Oficina Internacional solicitó su opinión a la PCT/MIA, que trató esta cuestión en su vigésima primera sesión celebrada en Tel Aviv del 11 al 13 de febrero de 2014, sobre la base de un documento preparado por la Oficina Internacional (documento PCT/MIA/21/3) y un documento preparado por la Oficina Europea de Patentes (OEP), el Servicio Federal de la Propiedad Intelectual de la Federación de Rusia (Rospatent) y la Oficina de Patentes y Marcas de los Estados Unidos de América (USPTO) (documento PCT/MIA/21/21).  Los debates que tuvieron lugar </w:t>
      </w:r>
      <w:r>
        <w:t>durante</w:t>
      </w:r>
      <w:r w:rsidRPr="00B05BDA">
        <w:t xml:space="preserve"> la Reunión fueron recogidos en los párrafos 44 a 54 del Resumen de la Presidencia de la reunión (documento PCT/MIA/21/22, en inglés únicamente, reproducido en los seis idiomas de las Naciones Unidas en el Anexo del documento PCT/WG/7/3).</w:t>
      </w:r>
    </w:p>
    <w:p w:rsidR="00C95E69" w:rsidRPr="00B05BDA" w:rsidRDefault="00C95E69" w:rsidP="00966CAF">
      <w:pPr>
        <w:pStyle w:val="ONUMFS"/>
      </w:pPr>
      <w:r w:rsidRPr="00B05BDA">
        <w:t>Las cuestiones se trataron posteriormente en la séptima reunión del Grupo de Trabajo del PCT, celebrada del 10 al 13 de junio de 2014, sobre la base del documento PCT/WG/7/4.  Los debates del Grupo de Trabajo figuran en los párrafos 40 a 52 del Resumen de la Presidencia de la reunión (documento PCT/WG/7/29, reproducido en el Anexo del documento PCT/A/46/1).</w:t>
      </w:r>
    </w:p>
    <w:p w:rsidR="00C95E69" w:rsidRPr="00B05BDA" w:rsidRDefault="00C95E69" w:rsidP="00966CAF">
      <w:pPr>
        <w:pStyle w:val="ONUMFS"/>
      </w:pPr>
      <w:r w:rsidRPr="00B05BDA">
        <w:t>Los debates del Grupo de Trabajo pueden resumirse de la manera siguiente:</w:t>
      </w:r>
    </w:p>
    <w:p w:rsidR="00C95E69" w:rsidRPr="00B05BDA" w:rsidRDefault="00C95E69" w:rsidP="00966CAF">
      <w:pPr>
        <w:pStyle w:val="ONUME"/>
        <w:numPr>
          <w:ilvl w:val="1"/>
          <w:numId w:val="7"/>
        </w:numPr>
      </w:pPr>
      <w:r w:rsidRPr="00B05BDA">
        <w:t xml:space="preserve">Con respecto a los criterios sustantivos de designación, el Grupo de Trabajo convino en que era prematuro recomendar cambios.  Al observar que el tema clave reside en garantizar que las </w:t>
      </w:r>
      <w:r>
        <w:t>Oficina</w:t>
      </w:r>
      <w:r w:rsidRPr="00B05BDA">
        <w:t xml:space="preserve">s estén en condiciones de realizar la búsqueda internacional y el examen preliminar internacional con el nivel de calidad necesario, la PCT/MIA encomendó a su Subgrupo encargado de la Calidad la tarea de seguir examinando los requisitos de calidad exigidos para poder actuar con eficacia como Administración internacional, y </w:t>
      </w:r>
      <w:r>
        <w:t>la</w:t>
      </w:r>
      <w:r w:rsidRPr="00B05BDA">
        <w:t xml:space="preserve"> forma </w:t>
      </w:r>
      <w:r>
        <w:t xml:space="preserve">en que </w:t>
      </w:r>
      <w:r w:rsidRPr="00B05BDA">
        <w:t>podrían formularse mejor esos requisitos en los criterios de designación.  El Grupo de Trabajo acordó esperar los resultados de los debates mantenidos en ese Subgrupo y en la PCT/MIA antes de seguir examinando la cuestión en su reunión de 2015.</w:t>
      </w:r>
    </w:p>
    <w:p w:rsidR="00C95E69" w:rsidRPr="00B05BDA" w:rsidRDefault="00C95E69" w:rsidP="00C95E69">
      <w:pPr>
        <w:pStyle w:val="ONUME"/>
        <w:numPr>
          <w:ilvl w:val="1"/>
          <w:numId w:val="5"/>
        </w:numPr>
      </w:pPr>
      <w:r w:rsidRPr="00B05BDA">
        <w:t xml:space="preserve">Con respecto a los procedimientos para la designación, el Grupo de Trabajo acordó que sería de gran beneficio </w:t>
      </w:r>
      <w:r>
        <w:t>incluir en esos</w:t>
      </w:r>
      <w:r w:rsidRPr="00B05BDA">
        <w:t xml:space="preserve"> procedimientos un examen de expertos de la solicitud de una </w:t>
      </w:r>
      <w:r>
        <w:t>Oficina</w:t>
      </w:r>
      <w:r w:rsidRPr="00B05BDA">
        <w:t>, antes de que la Asamblea tome una decisión.  Por lo tanto, recomendó que la As</w:t>
      </w:r>
      <w:r>
        <w:t>a</w:t>
      </w:r>
      <w:r w:rsidRPr="00B05BDA">
        <w:t>mbl</w:t>
      </w:r>
      <w:r>
        <w:t>ea</w:t>
      </w:r>
      <w:r w:rsidRPr="00B05BDA">
        <w:t xml:space="preserve"> del PCT adopte unas pautas acordadas, según se expone </w:t>
      </w:r>
      <w:r>
        <w:rPr>
          <w:i/>
        </w:rPr>
        <w:t>infra</w:t>
      </w:r>
      <w:r w:rsidRPr="00B05BDA">
        <w:t>, con el fin de velar por que el PCT/CTC, al que el Tratado confía la tarea de asesor</w:t>
      </w:r>
      <w:r>
        <w:t>ar</w:t>
      </w:r>
      <w:r w:rsidRPr="00B05BDA">
        <w:t xml:space="preserve"> a la Asamblea sobre cualquier solicitud de designación, </w:t>
      </w:r>
      <w:r>
        <w:t>se reúna</w:t>
      </w:r>
      <w:r w:rsidRPr="00B05BDA">
        <w:t xml:space="preserve"> siempre en tanto que auténtico órgano experto, con una antelación bien considerable con respecto a la fecha de celebración de la Asamblea del PCT, para conseguir que el procedimiento que desemboca en la decisión final de la Asamblea del PCT resulte verdaderamente útil y eficaz.  Varias delegaciones indicaron preferir que se prevea un papel más formal para las Administraciones internacionales existentes, </w:t>
      </w:r>
      <w:r>
        <w:t>mediante</w:t>
      </w:r>
      <w:r w:rsidRPr="00B05BDA">
        <w:t xml:space="preserve"> debates en la PCT/MIA, con miras a preparar asesoramiento técnico adicional para someter al examen del PCT/CTC;  sin embargo, no hubo consenso en el Grupo de Trabajo respecto de esa cuestión.</w:t>
      </w:r>
    </w:p>
    <w:p w:rsidR="00C95E69" w:rsidRPr="00B05BDA" w:rsidRDefault="00C95E69" w:rsidP="00C95E69">
      <w:pPr>
        <w:pStyle w:val="ONUME"/>
        <w:numPr>
          <w:ilvl w:val="1"/>
          <w:numId w:val="5"/>
        </w:numPr>
      </w:pPr>
      <w:r w:rsidRPr="00B05BDA">
        <w:t xml:space="preserve">El Grupo de Trabajo recomendó asimismo que las </w:t>
      </w:r>
      <w:r>
        <w:t>Oficina</w:t>
      </w:r>
      <w:r w:rsidRPr="00B05BDA">
        <w:t xml:space="preserve">s que </w:t>
      </w:r>
      <w:r>
        <w:t>solicitan</w:t>
      </w:r>
      <w:r w:rsidRPr="00B05BDA">
        <w:t xml:space="preserve"> ser designadas deberían cumplir todos los criterios necesarios en el momento de su designación, </w:t>
      </w:r>
      <w:r>
        <w:t xml:space="preserve">con la </w:t>
      </w:r>
      <w:r w:rsidRPr="00B05BDA">
        <w:t>salv</w:t>
      </w:r>
      <w:r>
        <w:t>edad de</w:t>
      </w:r>
      <w:r w:rsidRPr="00B05BDA">
        <w:t xml:space="preserve"> una excepción específica relativa a los sistemas de gestión de la calidad, según se indica en el párrafo d) del proyecto de pautas acordadas, </w:t>
      </w:r>
      <w:r>
        <w:t xml:space="preserve">que figura </w:t>
      </w:r>
      <w:r w:rsidRPr="00B05BDA">
        <w:rPr>
          <w:i/>
        </w:rPr>
        <w:t>infra</w:t>
      </w:r>
      <w:r w:rsidRPr="00B05BDA">
        <w:t>, puesto que</w:t>
      </w:r>
      <w:r>
        <w:t>, de hecho,</w:t>
      </w:r>
      <w:r w:rsidRPr="00B05BDA">
        <w:t xml:space="preserve"> esos sistemas no pueden ponerse en </w:t>
      </w:r>
      <w:r w:rsidRPr="00B05BDA">
        <w:lastRenderedPageBreak/>
        <w:t xml:space="preserve">funcionamiento hasta tanto la </w:t>
      </w:r>
      <w:r>
        <w:t>Oficina</w:t>
      </w:r>
      <w:r w:rsidRPr="00B05BDA">
        <w:t xml:space="preserve"> que solicita su designación no empiece a actuar en calidad de Administración internacional.</w:t>
      </w:r>
    </w:p>
    <w:p w:rsidR="00C95E69" w:rsidRPr="00B05BDA" w:rsidRDefault="00C95E69" w:rsidP="00C95E69">
      <w:pPr>
        <w:pStyle w:val="Heading1"/>
      </w:pPr>
      <w:r w:rsidRPr="00B05BDA">
        <w:t>Propuesta</w:t>
      </w:r>
    </w:p>
    <w:p w:rsidR="00C95E69" w:rsidRPr="00B05BDA" w:rsidRDefault="00C95E69" w:rsidP="00966CAF">
      <w:pPr>
        <w:pStyle w:val="ONUMFS"/>
      </w:pPr>
      <w:r w:rsidRPr="00B05BDA">
        <w:t xml:space="preserve">El </w:t>
      </w:r>
      <w:r>
        <w:t>Grupo de Trabajo</w:t>
      </w:r>
      <w:r w:rsidRPr="00B05BDA">
        <w:t xml:space="preserve"> recomendó a la Asamblea del PCT que adopte las siguientes pautas acordadas:</w:t>
      </w:r>
    </w:p>
    <w:p w:rsidR="00C95E69" w:rsidRPr="00B05BDA" w:rsidRDefault="00C95E69" w:rsidP="00966CAF">
      <w:pPr>
        <w:pStyle w:val="ONUME"/>
        <w:keepLines/>
        <w:numPr>
          <w:ilvl w:val="0"/>
          <w:numId w:val="0"/>
        </w:numPr>
        <w:spacing w:after="180"/>
        <w:ind w:left="562"/>
      </w:pPr>
      <w:r w:rsidRPr="00B05BDA">
        <w:t>“</w:t>
      </w:r>
      <w:r w:rsidRPr="00B05BDA">
        <w:rPr>
          <w:u w:val="single"/>
        </w:rPr>
        <w:t>Procedimientos para la designación de las Administraciones internacionales</w:t>
      </w:r>
      <w:r w:rsidRPr="00B05BDA">
        <w:t>:</w:t>
      </w:r>
    </w:p>
    <w:p w:rsidR="00C95E69" w:rsidRPr="00B05BDA" w:rsidRDefault="00C95E69" w:rsidP="00966CAF">
      <w:pPr>
        <w:pStyle w:val="ONUME"/>
        <w:numPr>
          <w:ilvl w:val="0"/>
          <w:numId w:val="0"/>
        </w:numPr>
        <w:ind w:left="567"/>
      </w:pPr>
      <w:r w:rsidRPr="00B05BDA">
        <w:t>a)</w:t>
      </w:r>
      <w:r w:rsidRPr="00B05BDA">
        <w:tab/>
        <w:t>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p>
    <w:p w:rsidR="00C95E69" w:rsidRPr="00B05BDA" w:rsidRDefault="00C95E69" w:rsidP="00966CAF">
      <w:pPr>
        <w:pStyle w:val="ONUME"/>
        <w:numPr>
          <w:ilvl w:val="0"/>
          <w:numId w:val="0"/>
        </w:numPr>
        <w:ind w:left="567"/>
      </w:pPr>
      <w:r w:rsidRPr="00B05BDA">
        <w:t>b)</w:t>
      </w:r>
      <w:r w:rsidRPr="00B05BDA">
        <w:tab/>
        <w:t>La solicitud de designación como Administración internacional deberá ser presentada con suficiente antelación de su examen por la Asamblea del PCT a los fines de un examen apropiado por el Comité de Cooperación Técnica (CTC).  El 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p>
    <w:p w:rsidR="00C95E69" w:rsidRPr="00B05BDA" w:rsidRDefault="00C95E69" w:rsidP="00966CAF">
      <w:pPr>
        <w:pStyle w:val="ONUME"/>
        <w:numPr>
          <w:ilvl w:val="0"/>
          <w:numId w:val="0"/>
        </w:numPr>
        <w:ind w:left="567"/>
      </w:pPr>
      <w:r w:rsidRPr="00B05BDA">
        <w:t>c)</w:t>
      </w:r>
      <w:r w:rsidRPr="00B05BDA">
        <w:tab/>
        <w:t>Por consiguiente, la Oficina deberá enviar por escrito al Director General una solicitud de convocación del CTC, de preferencia, antes del 1 de marzo del año en el que la solicitud vaya a ser examinada por la Asamblea del PCT y en todo caso, con suficiente tiempo para que el Director General envíe cartas de convocación del CTC a más tardar dos meses antes del inicio de la reunión.</w:t>
      </w:r>
    </w:p>
    <w:p w:rsidR="00C95E69" w:rsidRPr="00B05BDA" w:rsidRDefault="00C95E69" w:rsidP="00966CAF">
      <w:pPr>
        <w:pStyle w:val="ONUME"/>
        <w:numPr>
          <w:ilvl w:val="0"/>
          <w:numId w:val="0"/>
        </w:numPr>
        <w:ind w:left="567"/>
      </w:pPr>
      <w:r w:rsidRPr="00B05BDA">
        <w:t>d)</w:t>
      </w:r>
      <w:r w:rsidRPr="00B05BDA">
        <w:tab/>
        <w:t>Toda solicitud deberá ser presentada bajo el presupuesto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  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C95E69" w:rsidRPr="00B05BDA" w:rsidRDefault="00C95E69" w:rsidP="00966CAF">
      <w:pPr>
        <w:pStyle w:val="ONUME"/>
        <w:numPr>
          <w:ilvl w:val="0"/>
          <w:numId w:val="0"/>
        </w:numPr>
        <w:ind w:left="567"/>
      </w:pPr>
      <w:r w:rsidRPr="00B05BDA">
        <w:t>e)</w:t>
      </w:r>
      <w:r w:rsidRPr="00B05BDA">
        <w:tab/>
        <w:t>Todo documento sometido por la Oficina a examen del CTC para respaldar su solicitud deberá ser presentado al Director General al menos dos meses antes del inicio de la reunión del CTC.</w:t>
      </w:r>
    </w:p>
    <w:p w:rsidR="00C95E69" w:rsidRPr="00B05BDA" w:rsidRDefault="00C95E69" w:rsidP="00966CAF">
      <w:pPr>
        <w:pStyle w:val="ONUME"/>
        <w:numPr>
          <w:ilvl w:val="0"/>
          <w:numId w:val="0"/>
        </w:numPr>
        <w:ind w:left="567"/>
      </w:pPr>
      <w:r w:rsidRPr="00B05BDA">
        <w:t>f)</w:t>
      </w:r>
      <w:r w:rsidRPr="00B05BDA">
        <w:tab/>
        <w:t>Toda solicitud será sometida después a la Asamblea del PCT (que habitualmente es convocada en torno a septiembre/octubre de cada año), acompañada de la recomendación formulada por el CTC, para la adopción de la correspondiente decisión acerca de la solicitud.”</w:t>
      </w:r>
    </w:p>
    <w:p w:rsidR="00C95E69" w:rsidRPr="00B05BDA" w:rsidRDefault="00C95E69" w:rsidP="00966CAF">
      <w:pPr>
        <w:pStyle w:val="ONUMFS"/>
        <w:tabs>
          <w:tab w:val="clear" w:pos="567"/>
        </w:tabs>
      </w:pPr>
      <w:r w:rsidRPr="00B05BDA">
        <w:t xml:space="preserve">El Grupo de Trabajo recomendó asimismo a la Asamblea del PCT que </w:t>
      </w:r>
      <w:r>
        <w:t>adopte</w:t>
      </w:r>
      <w:r w:rsidRPr="00B05BDA">
        <w:t xml:space="preserve"> la siguiente decisión acerca de la entrada en vigor de las pautas acordadas que se han propuesto:</w:t>
      </w:r>
    </w:p>
    <w:p w:rsidR="00C95E69" w:rsidRPr="00B05BDA" w:rsidRDefault="00C95E69" w:rsidP="00966CAF">
      <w:pPr>
        <w:pStyle w:val="ONUME"/>
        <w:numPr>
          <w:ilvl w:val="0"/>
          <w:numId w:val="0"/>
        </w:numPr>
        <w:spacing w:after="180"/>
        <w:ind w:left="567"/>
      </w:pPr>
      <w:r w:rsidRPr="00B05BDA">
        <w:t>“Los procedimientos de designación de Administraciones internacionales expuestos en las pautas anteriores se aplicarán a toda solicitud de designación como Administración internacional presentada después de la clausura del presente período de sesiones de la Asamblea del PCT</w:t>
      </w:r>
      <w:r>
        <w:t>.</w:t>
      </w:r>
      <w:r w:rsidRPr="00B05BDA">
        <w:t>”</w:t>
      </w:r>
    </w:p>
    <w:p w:rsidR="00C95E69" w:rsidRPr="00C43DC6" w:rsidRDefault="00C95E69" w:rsidP="00C43DC6">
      <w:pPr>
        <w:pStyle w:val="ONUMFS"/>
        <w:spacing w:after="0"/>
        <w:ind w:left="5533"/>
        <w:rPr>
          <w:i/>
        </w:rPr>
      </w:pPr>
      <w:r w:rsidRPr="00966CAF">
        <w:rPr>
          <w:i/>
        </w:rPr>
        <w:lastRenderedPageBreak/>
        <w:t>Se invita a la Asamblea a adoptar las pautas acordadas propuestas respecto de los “Procedimientos para la designación de las Administraciones internacionales”, que figuran en el párrafo 6 del documento PCT/A/46/4, así como la decisión acerca de su entrada en vigor, que figura en el párrafo 7 del mismo documento.</w:t>
      </w:r>
    </w:p>
    <w:p w:rsidR="00C95E69" w:rsidRDefault="00C95E69" w:rsidP="00C43DC6">
      <w:pPr>
        <w:pStyle w:val="ONUME"/>
        <w:numPr>
          <w:ilvl w:val="0"/>
          <w:numId w:val="0"/>
        </w:numPr>
        <w:spacing w:after="0"/>
        <w:ind w:left="5533"/>
        <w:rPr>
          <w:i/>
        </w:rPr>
      </w:pPr>
    </w:p>
    <w:p w:rsidR="00C43DC6" w:rsidRDefault="00C43DC6" w:rsidP="00C43DC6">
      <w:pPr>
        <w:pStyle w:val="ONUME"/>
        <w:numPr>
          <w:ilvl w:val="0"/>
          <w:numId w:val="0"/>
        </w:numPr>
        <w:spacing w:after="0"/>
        <w:ind w:left="5533"/>
        <w:rPr>
          <w:i/>
        </w:rPr>
      </w:pPr>
    </w:p>
    <w:p w:rsidR="00C43DC6" w:rsidRPr="00C43DC6" w:rsidRDefault="00C43DC6" w:rsidP="00C43DC6">
      <w:pPr>
        <w:pStyle w:val="ONUME"/>
        <w:numPr>
          <w:ilvl w:val="0"/>
          <w:numId w:val="0"/>
        </w:numPr>
        <w:spacing w:after="0"/>
        <w:ind w:left="5533"/>
        <w:rPr>
          <w:i/>
        </w:rPr>
      </w:pPr>
    </w:p>
    <w:p w:rsidR="00966CAF" w:rsidRPr="00C95E69" w:rsidRDefault="00C95E69" w:rsidP="00C43DC6">
      <w:pPr>
        <w:pStyle w:val="Endofdocument-Annex"/>
        <w:rPr>
          <w:lang w:val="es-ES"/>
        </w:rPr>
      </w:pPr>
      <w:r w:rsidRPr="00B05BDA">
        <w:rPr>
          <w:lang w:val="es-ES"/>
        </w:rPr>
        <w:t>[Fin del documento]</w:t>
      </w:r>
      <w:bookmarkStart w:id="5" w:name="_GoBack"/>
      <w:bookmarkEnd w:id="5"/>
    </w:p>
    <w:sectPr w:rsidR="00966CAF" w:rsidRPr="00C95E69" w:rsidSect="00C95E69">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46" w:rsidRDefault="00987646">
      <w:r>
        <w:separator/>
      </w:r>
    </w:p>
  </w:endnote>
  <w:endnote w:type="continuationSeparator" w:id="0">
    <w:p w:rsidR="00987646" w:rsidRPr="009D30E6" w:rsidRDefault="00987646" w:rsidP="007E663E">
      <w:pPr>
        <w:rPr>
          <w:sz w:val="17"/>
          <w:szCs w:val="17"/>
        </w:rPr>
      </w:pPr>
      <w:r w:rsidRPr="009D30E6">
        <w:rPr>
          <w:sz w:val="17"/>
          <w:szCs w:val="17"/>
        </w:rPr>
        <w:separator/>
      </w:r>
    </w:p>
    <w:p w:rsidR="00987646" w:rsidRPr="007E663E" w:rsidRDefault="00987646" w:rsidP="007E663E">
      <w:pPr>
        <w:spacing w:after="60"/>
        <w:rPr>
          <w:sz w:val="17"/>
          <w:szCs w:val="17"/>
        </w:rPr>
      </w:pPr>
      <w:r>
        <w:rPr>
          <w:sz w:val="17"/>
        </w:rPr>
        <w:t>[Continuación de la nota de la página anterior]</w:t>
      </w:r>
    </w:p>
  </w:endnote>
  <w:endnote w:type="continuationNotice" w:id="1">
    <w:p w:rsidR="00987646" w:rsidRPr="007E663E" w:rsidRDefault="0098764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46" w:rsidRDefault="00987646">
      <w:r>
        <w:separator/>
      </w:r>
    </w:p>
  </w:footnote>
  <w:footnote w:type="continuationSeparator" w:id="0">
    <w:p w:rsidR="00987646" w:rsidRPr="009D30E6" w:rsidRDefault="00987646" w:rsidP="007E663E">
      <w:pPr>
        <w:rPr>
          <w:sz w:val="17"/>
          <w:szCs w:val="17"/>
        </w:rPr>
      </w:pPr>
      <w:r w:rsidRPr="009D30E6">
        <w:rPr>
          <w:sz w:val="17"/>
          <w:szCs w:val="17"/>
        </w:rPr>
        <w:separator/>
      </w:r>
    </w:p>
    <w:p w:rsidR="00987646" w:rsidRPr="007E663E" w:rsidRDefault="00987646" w:rsidP="007E663E">
      <w:pPr>
        <w:spacing w:after="60"/>
        <w:rPr>
          <w:sz w:val="17"/>
          <w:szCs w:val="17"/>
        </w:rPr>
      </w:pPr>
      <w:r>
        <w:rPr>
          <w:sz w:val="17"/>
        </w:rPr>
        <w:t>[Continuación de la nota de la página anterior]</w:t>
      </w:r>
    </w:p>
  </w:footnote>
  <w:footnote w:type="continuationNotice" w:id="1">
    <w:p w:rsidR="00987646" w:rsidRPr="007E663E" w:rsidRDefault="0098764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C95E69" w:rsidP="00477D6B">
    <w:pPr>
      <w:jc w:val="right"/>
    </w:pPr>
    <w:bookmarkStart w:id="6" w:name="Code2"/>
    <w:bookmarkEnd w:id="6"/>
    <w:r>
      <w:t>PCT/A/46/4</w:t>
    </w:r>
  </w:p>
  <w:p w:rsidR="00F84474" w:rsidRDefault="00F84474" w:rsidP="00477D6B">
    <w:pPr>
      <w:jc w:val="right"/>
    </w:pPr>
    <w:r>
      <w:t xml:space="preserve">página </w:t>
    </w:r>
    <w:r>
      <w:fldChar w:fldCharType="begin"/>
    </w:r>
    <w:r>
      <w:instrText xml:space="preserve"> PAGE  \* MERGEFORMAT </w:instrText>
    </w:r>
    <w:r>
      <w:fldChar w:fldCharType="separate"/>
    </w:r>
    <w:r w:rsidR="00C43DC6">
      <w:rPr>
        <w:noProof/>
      </w:rPr>
      <w:t>4</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F72CD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69"/>
    <w:rsid w:val="000E3BB3"/>
    <w:rsid w:val="000F5E56"/>
    <w:rsid w:val="001362EE"/>
    <w:rsid w:val="00152CEA"/>
    <w:rsid w:val="001832A6"/>
    <w:rsid w:val="001C4DD3"/>
    <w:rsid w:val="002634C4"/>
    <w:rsid w:val="002F4E68"/>
    <w:rsid w:val="003277FE"/>
    <w:rsid w:val="00354647"/>
    <w:rsid w:val="00377273"/>
    <w:rsid w:val="003845C1"/>
    <w:rsid w:val="00387287"/>
    <w:rsid w:val="003B5E0D"/>
    <w:rsid w:val="003D41D4"/>
    <w:rsid w:val="00423E3E"/>
    <w:rsid w:val="00427AF4"/>
    <w:rsid w:val="0045231F"/>
    <w:rsid w:val="004647DA"/>
    <w:rsid w:val="00477D6B"/>
    <w:rsid w:val="004A6C37"/>
    <w:rsid w:val="0055013B"/>
    <w:rsid w:val="0056224D"/>
    <w:rsid w:val="00571B99"/>
    <w:rsid w:val="005753E6"/>
    <w:rsid w:val="00605827"/>
    <w:rsid w:val="00675021"/>
    <w:rsid w:val="006A06C6"/>
    <w:rsid w:val="007E663E"/>
    <w:rsid w:val="00815082"/>
    <w:rsid w:val="008B2CC1"/>
    <w:rsid w:val="0090731E"/>
    <w:rsid w:val="00966A22"/>
    <w:rsid w:val="00966CAF"/>
    <w:rsid w:val="00972F03"/>
    <w:rsid w:val="00987646"/>
    <w:rsid w:val="009A0C8B"/>
    <w:rsid w:val="009B6241"/>
    <w:rsid w:val="00A16FC0"/>
    <w:rsid w:val="00A32C9E"/>
    <w:rsid w:val="00A7453D"/>
    <w:rsid w:val="00AB613D"/>
    <w:rsid w:val="00B65A0A"/>
    <w:rsid w:val="00B72D36"/>
    <w:rsid w:val="00BC3703"/>
    <w:rsid w:val="00BC4164"/>
    <w:rsid w:val="00BD2DCC"/>
    <w:rsid w:val="00BE1A8C"/>
    <w:rsid w:val="00C43DC6"/>
    <w:rsid w:val="00C90559"/>
    <w:rsid w:val="00C95E69"/>
    <w:rsid w:val="00D40CF0"/>
    <w:rsid w:val="00D56C7C"/>
    <w:rsid w:val="00D71B4D"/>
    <w:rsid w:val="00D90289"/>
    <w:rsid w:val="00D93D55"/>
    <w:rsid w:val="00E45C84"/>
    <w:rsid w:val="00E504E5"/>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5E0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5E0D"/>
    <w:rPr>
      <w:rFonts w:ascii="Tahoma" w:eastAsia="SimSun" w:hAnsi="Tahoma" w:cs="Tahoma"/>
      <w:sz w:val="16"/>
      <w:szCs w:val="16"/>
      <w:lang w:val="es-ES" w:eastAsia="zh-CN"/>
    </w:rPr>
  </w:style>
  <w:style w:type="character" w:customStyle="1" w:styleId="ONUMEChar">
    <w:name w:val="ONUM E Char"/>
    <w:basedOn w:val="DefaultParagraphFont"/>
    <w:link w:val="ONUME"/>
    <w:rsid w:val="00C95E69"/>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5E0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5E0D"/>
    <w:rPr>
      <w:rFonts w:ascii="Tahoma" w:eastAsia="SimSun" w:hAnsi="Tahoma" w:cs="Tahoma"/>
      <w:sz w:val="16"/>
      <w:szCs w:val="16"/>
      <w:lang w:val="es-ES" w:eastAsia="zh-CN"/>
    </w:rPr>
  </w:style>
  <w:style w:type="character" w:customStyle="1" w:styleId="ONUMEChar">
    <w:name w:val="ONUM E Char"/>
    <w:basedOn w:val="DefaultParagraphFont"/>
    <w:link w:val="ONUME"/>
    <w:rsid w:val="00C95E6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46 (S).dotm</Template>
  <TotalTime>20</TotalTime>
  <Pages>4</Pages>
  <Words>1503</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PCT/A/46/4</dc:title>
  <dc:subject>Procedimientos para la designación de las administraciones encargadas de la búsqueda internacional y del examen preliminar internacional en virtud del PCT</dc:subject>
  <dc:creator/>
  <dc:description>LM - 10/7/2014</dc:description>
  <cp:lastModifiedBy>MARIN-CUDRAZ DAVI Nicoletta</cp:lastModifiedBy>
  <cp:revision>2</cp:revision>
  <dcterms:created xsi:type="dcterms:W3CDTF">2014-07-11T08:05:00Z</dcterms:created>
  <dcterms:modified xsi:type="dcterms:W3CDTF">2014-07-11T08:34:00Z</dcterms:modified>
</cp:coreProperties>
</file>