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B631" w14:textId="77777777" w:rsidR="008B2CC1" w:rsidRPr="009E70A1" w:rsidRDefault="008B14EA" w:rsidP="008B14EA">
      <w:pPr>
        <w:spacing w:after="120"/>
        <w:jc w:val="right"/>
        <w:rPr>
          <w:lang w:val="es-ES_tradnl"/>
        </w:rPr>
      </w:pPr>
      <w:r w:rsidRPr="009E70A1">
        <w:rPr>
          <w:noProof/>
          <w:lang w:val="es-ES_tradnl" w:eastAsia="fr-CH"/>
        </w:rPr>
        <w:drawing>
          <wp:inline distT="0" distB="0" distL="0" distR="0" wp14:anchorId="7EECA681" wp14:editId="57BC9F6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E70A1">
        <w:rPr>
          <w:rFonts w:ascii="Arial Black" w:hAnsi="Arial Black"/>
          <w:caps/>
          <w:noProof/>
          <w:sz w:val="15"/>
          <w:szCs w:val="15"/>
          <w:lang w:val="es-ES_tradnl" w:eastAsia="fr-CH"/>
        </w:rPr>
        <mc:AlternateContent>
          <mc:Choice Requires="wps">
            <w:drawing>
              <wp:inline distT="0" distB="0" distL="0" distR="0" wp14:anchorId="7A3BBB55" wp14:editId="608E9D5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4768E0C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E8C3292" w14:textId="3CE9C911" w:rsidR="008B2CC1" w:rsidRPr="009E70A1" w:rsidRDefault="00B43817" w:rsidP="008B14EA">
      <w:pPr>
        <w:jc w:val="right"/>
        <w:rPr>
          <w:rFonts w:ascii="Arial Black" w:hAnsi="Arial Black"/>
          <w:caps/>
          <w:sz w:val="15"/>
          <w:lang w:val="es-ES_tradnl"/>
        </w:rPr>
      </w:pPr>
      <w:r w:rsidRPr="009E70A1">
        <w:rPr>
          <w:rFonts w:ascii="Arial Black" w:hAnsi="Arial Black"/>
          <w:caps/>
          <w:sz w:val="15"/>
          <w:lang w:val="es-ES_tradnl"/>
        </w:rPr>
        <w:t>MVT/A/</w:t>
      </w:r>
      <w:r w:rsidR="005E75F4" w:rsidRPr="009E70A1">
        <w:rPr>
          <w:rFonts w:ascii="Arial Black" w:hAnsi="Arial Black"/>
          <w:caps/>
          <w:sz w:val="15"/>
          <w:lang w:val="es-ES_tradnl"/>
        </w:rPr>
        <w:t>11</w:t>
      </w:r>
      <w:r w:rsidRPr="009E70A1">
        <w:rPr>
          <w:rFonts w:ascii="Arial Black" w:hAnsi="Arial Black"/>
          <w:caps/>
          <w:sz w:val="15"/>
          <w:lang w:val="es-ES_tradnl"/>
        </w:rPr>
        <w:t>/</w:t>
      </w:r>
      <w:bookmarkStart w:id="0" w:name="Code"/>
      <w:bookmarkEnd w:id="0"/>
      <w:r w:rsidR="009E70A1" w:rsidRPr="009E70A1">
        <w:rPr>
          <w:rFonts w:ascii="Arial Black" w:hAnsi="Arial Black"/>
          <w:caps/>
          <w:sz w:val="15"/>
          <w:lang w:val="es-ES_tradnl"/>
        </w:rPr>
        <w:t>1</w:t>
      </w:r>
    </w:p>
    <w:p w14:paraId="337CCA6E" w14:textId="6FD36E89" w:rsidR="008B2CC1" w:rsidRPr="009E70A1" w:rsidRDefault="008B14EA" w:rsidP="008B14EA">
      <w:pPr>
        <w:jc w:val="right"/>
        <w:rPr>
          <w:rFonts w:ascii="Arial Black" w:hAnsi="Arial Black"/>
          <w:caps/>
          <w:sz w:val="15"/>
          <w:lang w:val="es-ES_tradnl"/>
        </w:rPr>
      </w:pPr>
      <w:r w:rsidRPr="009E70A1">
        <w:rPr>
          <w:rFonts w:ascii="Arial Black" w:hAnsi="Arial Black"/>
          <w:caps/>
          <w:sz w:val="15"/>
          <w:lang w:val="es-ES_tradnl"/>
        </w:rPr>
        <w:t xml:space="preserve">ORIGINAL: </w:t>
      </w:r>
      <w:bookmarkStart w:id="1" w:name="Original"/>
      <w:r w:rsidR="009E70A1" w:rsidRPr="009E70A1">
        <w:rPr>
          <w:rFonts w:ascii="Arial Black" w:hAnsi="Arial Black"/>
          <w:caps/>
          <w:sz w:val="15"/>
          <w:lang w:val="es-ES_tradnl"/>
        </w:rPr>
        <w:t>INGLÉS</w:t>
      </w:r>
    </w:p>
    <w:bookmarkEnd w:id="1"/>
    <w:p w14:paraId="556EAB10" w14:textId="1D44640D" w:rsidR="008B2CC1" w:rsidRPr="009E70A1" w:rsidRDefault="008B14EA" w:rsidP="008B14EA">
      <w:pPr>
        <w:spacing w:after="1200"/>
        <w:jc w:val="right"/>
        <w:rPr>
          <w:rFonts w:ascii="Arial Black" w:hAnsi="Arial Black"/>
          <w:caps/>
          <w:sz w:val="15"/>
          <w:lang w:val="es-ES_tradnl"/>
        </w:rPr>
      </w:pPr>
      <w:r w:rsidRPr="009E70A1">
        <w:rPr>
          <w:rFonts w:ascii="Arial Black" w:hAnsi="Arial Black"/>
          <w:caps/>
          <w:sz w:val="15"/>
          <w:lang w:val="es-ES_tradnl"/>
        </w:rPr>
        <w:t xml:space="preserve">FECHA: </w:t>
      </w:r>
      <w:bookmarkStart w:id="2" w:name="Date"/>
      <w:r w:rsidR="009E70A1" w:rsidRPr="009E70A1">
        <w:rPr>
          <w:rFonts w:ascii="Arial Black" w:hAnsi="Arial Black"/>
          <w:caps/>
          <w:sz w:val="15"/>
          <w:lang w:val="es-ES_tradnl"/>
        </w:rPr>
        <w:t>5 DE MAYO DE 2026</w:t>
      </w:r>
    </w:p>
    <w:bookmarkEnd w:id="2"/>
    <w:p w14:paraId="11A55B22" w14:textId="4BAE0B9F" w:rsidR="008B2CC1" w:rsidRPr="009E70A1" w:rsidRDefault="00B43817" w:rsidP="008B14EA">
      <w:pPr>
        <w:spacing w:after="600"/>
        <w:rPr>
          <w:b/>
          <w:sz w:val="28"/>
          <w:szCs w:val="28"/>
          <w:lang w:val="es-ES_tradnl"/>
        </w:rPr>
      </w:pPr>
      <w:r w:rsidRPr="009E70A1">
        <w:rPr>
          <w:b/>
          <w:sz w:val="28"/>
          <w:lang w:val="es-ES_tradnl"/>
        </w:rPr>
        <w:t>Tratado de Marrakech para facilitar el acceso a las obras publicadas a</w:t>
      </w:r>
      <w:r w:rsidR="004E3E26">
        <w:rPr>
          <w:b/>
          <w:sz w:val="28"/>
          <w:lang w:val="es-ES_tradnl"/>
        </w:rPr>
        <w:t xml:space="preserve"> </w:t>
      </w:r>
      <w:r w:rsidRPr="009E70A1">
        <w:rPr>
          <w:b/>
          <w:sz w:val="28"/>
          <w:lang w:val="es-ES_tradnl"/>
        </w:rPr>
        <w:br/>
        <w:t>las personas ciegas, con discapacidad visual o con otras dificultades</w:t>
      </w:r>
      <w:r w:rsidR="004E3E26">
        <w:rPr>
          <w:b/>
          <w:sz w:val="28"/>
          <w:lang w:val="es-ES_tradnl"/>
        </w:rPr>
        <w:t xml:space="preserve"> </w:t>
      </w:r>
      <w:r w:rsidRPr="009E70A1">
        <w:rPr>
          <w:b/>
          <w:sz w:val="28"/>
          <w:lang w:val="es-ES_tradnl"/>
        </w:rPr>
        <w:br/>
        <w:t>para acceder al texto impreso</w:t>
      </w:r>
    </w:p>
    <w:p w14:paraId="0FA5E46C" w14:textId="77777777" w:rsidR="001C4DD3" w:rsidRPr="009E70A1" w:rsidRDefault="001C4DD3" w:rsidP="008B14EA">
      <w:pPr>
        <w:spacing w:after="720"/>
        <w:rPr>
          <w:b/>
          <w:sz w:val="28"/>
          <w:szCs w:val="28"/>
          <w:lang w:val="es-ES_tradnl"/>
        </w:rPr>
      </w:pPr>
      <w:r w:rsidRPr="009E70A1">
        <w:rPr>
          <w:b/>
          <w:sz w:val="28"/>
          <w:szCs w:val="28"/>
          <w:lang w:val="es-ES_tradnl"/>
        </w:rPr>
        <w:t>Asamblea</w:t>
      </w:r>
    </w:p>
    <w:p w14:paraId="6A38B822" w14:textId="77777777" w:rsidR="00511D0C" w:rsidRPr="009E70A1" w:rsidRDefault="005E75F4" w:rsidP="00511D0C">
      <w:pPr>
        <w:rPr>
          <w:b/>
          <w:sz w:val="24"/>
          <w:szCs w:val="24"/>
          <w:lang w:val="es-ES_tradnl"/>
        </w:rPr>
      </w:pPr>
      <w:r w:rsidRPr="009E70A1">
        <w:rPr>
          <w:b/>
          <w:sz w:val="24"/>
          <w:lang w:val="es-ES_tradnl"/>
        </w:rPr>
        <w:t>Undécimo</w:t>
      </w:r>
      <w:r w:rsidR="0064615D" w:rsidRPr="009E70A1">
        <w:rPr>
          <w:b/>
          <w:sz w:val="24"/>
          <w:lang w:val="es-ES_tradnl"/>
        </w:rPr>
        <w:t xml:space="preserve"> período de sesiones (</w:t>
      </w:r>
      <w:r w:rsidRPr="009E70A1">
        <w:rPr>
          <w:b/>
          <w:sz w:val="24"/>
          <w:lang w:val="es-ES_tradnl"/>
        </w:rPr>
        <w:t>11</w:t>
      </w:r>
      <w:r w:rsidR="0064615D" w:rsidRPr="009E70A1">
        <w:rPr>
          <w:b/>
          <w:sz w:val="24"/>
          <w:lang w:val="es-ES_tradnl"/>
        </w:rPr>
        <w:t>.º ordinario</w:t>
      </w:r>
      <w:r w:rsidR="00B43817" w:rsidRPr="009E70A1">
        <w:rPr>
          <w:b/>
          <w:sz w:val="24"/>
          <w:lang w:val="es-ES_tradnl"/>
        </w:rPr>
        <w:t>)</w:t>
      </w:r>
    </w:p>
    <w:p w14:paraId="1CFCD356" w14:textId="77777777" w:rsidR="008B2CC1" w:rsidRPr="009E70A1" w:rsidRDefault="0064615D" w:rsidP="008B14EA">
      <w:pPr>
        <w:spacing w:after="720"/>
        <w:rPr>
          <w:b/>
          <w:sz w:val="24"/>
          <w:szCs w:val="24"/>
          <w:lang w:val="es-ES_tradnl"/>
        </w:rPr>
      </w:pPr>
      <w:r w:rsidRPr="009E70A1">
        <w:rPr>
          <w:b/>
          <w:sz w:val="24"/>
          <w:lang w:val="es-ES_tradnl"/>
        </w:rPr>
        <w:t xml:space="preserve">Ginebra, </w:t>
      </w:r>
      <w:r w:rsidR="005E75F4" w:rsidRPr="009E70A1">
        <w:rPr>
          <w:b/>
          <w:sz w:val="24"/>
          <w:lang w:val="es-ES_tradnl"/>
        </w:rPr>
        <w:t>7</w:t>
      </w:r>
      <w:r w:rsidRPr="009E70A1">
        <w:rPr>
          <w:b/>
          <w:sz w:val="24"/>
          <w:lang w:val="es-ES_tradnl"/>
        </w:rPr>
        <w:t xml:space="preserve"> a 1</w:t>
      </w:r>
      <w:r w:rsidR="005E75F4" w:rsidRPr="009E70A1">
        <w:rPr>
          <w:b/>
          <w:sz w:val="24"/>
          <w:lang w:val="es-ES_tradnl"/>
        </w:rPr>
        <w:t>5</w:t>
      </w:r>
      <w:r w:rsidRPr="009E70A1">
        <w:rPr>
          <w:b/>
          <w:sz w:val="24"/>
          <w:lang w:val="es-ES_tradnl"/>
        </w:rPr>
        <w:t xml:space="preserve"> de julio de </w:t>
      </w:r>
      <w:r w:rsidR="00B43817" w:rsidRPr="009E70A1">
        <w:rPr>
          <w:b/>
          <w:sz w:val="24"/>
          <w:lang w:val="es-ES_tradnl"/>
        </w:rPr>
        <w:t>202</w:t>
      </w:r>
      <w:r w:rsidR="005E75F4" w:rsidRPr="009E70A1">
        <w:rPr>
          <w:b/>
          <w:sz w:val="24"/>
          <w:lang w:val="es-ES_tradnl"/>
        </w:rPr>
        <w:t>6</w:t>
      </w:r>
    </w:p>
    <w:p w14:paraId="2A443BB2" w14:textId="306EEF4C" w:rsidR="008B2CC1" w:rsidRPr="009E70A1" w:rsidRDefault="009E70A1" w:rsidP="008B14EA">
      <w:pPr>
        <w:spacing w:after="360"/>
        <w:rPr>
          <w:caps/>
          <w:sz w:val="24"/>
          <w:lang w:val="es-ES_tradnl"/>
        </w:rPr>
      </w:pPr>
      <w:bookmarkStart w:id="3" w:name="TitleOfDoc"/>
      <w:r w:rsidRPr="009E70A1">
        <w:rPr>
          <w:lang w:val="es-ES_tradnl"/>
        </w:rPr>
        <w:t>SITUACIÓN DEL TRATADO DE MARRAKECH</w:t>
      </w:r>
    </w:p>
    <w:p w14:paraId="16B2F103" w14:textId="4B5FC55E" w:rsidR="008B2CC1" w:rsidRPr="009E70A1" w:rsidRDefault="009E70A1" w:rsidP="008B14EA">
      <w:pPr>
        <w:spacing w:after="960"/>
        <w:rPr>
          <w:i/>
          <w:lang w:val="es-ES_tradnl"/>
        </w:rPr>
      </w:pPr>
      <w:bookmarkStart w:id="4" w:name="Prepared"/>
      <w:bookmarkEnd w:id="3"/>
      <w:r w:rsidRPr="009E70A1">
        <w:rPr>
          <w:lang w:val="es-ES_tradnl"/>
        </w:rPr>
        <w:t>Documento preparado por la Secretaría</w:t>
      </w:r>
    </w:p>
    <w:bookmarkEnd w:id="4"/>
    <w:p w14:paraId="00ADF7EA" w14:textId="2E8CF73D" w:rsidR="009E70A1" w:rsidRPr="009E70A1" w:rsidRDefault="009E70A1" w:rsidP="009E70A1">
      <w:pPr>
        <w:pStyle w:val="Text"/>
        <w:numPr>
          <w:ilvl w:val="1"/>
          <w:numId w:val="9"/>
        </w:numPr>
        <w:spacing w:before="0" w:after="480"/>
        <w:rPr>
          <w:lang w:val="es-ES_tradnl"/>
        </w:rPr>
      </w:pPr>
      <w:r w:rsidRPr="009E70A1">
        <w:rPr>
          <w:lang w:val="es-ES_tradnl"/>
        </w:rPr>
        <w:t>En el presente documento se informa acerca de la firma, la ratificación y la adhesión al Tratado de Marrakech para facilitar el acceso a las obras publicadas a las personas ciegas, con discapacidad visual o con otras dificultades para acceder al texto impreso (</w:t>
      </w:r>
      <w:r>
        <w:rPr>
          <w:lang w:val="es-ES_tradnl"/>
        </w:rPr>
        <w:t xml:space="preserve"> “</w:t>
      </w:r>
      <w:r w:rsidRPr="009E70A1">
        <w:rPr>
          <w:lang w:val="es-ES_tradnl"/>
        </w:rPr>
        <w:t>Tratado de Marrakech</w:t>
      </w:r>
      <w:r w:rsidR="0094207C">
        <w:rPr>
          <w:lang w:val="es-ES_tradnl"/>
        </w:rPr>
        <w:t>”</w:t>
      </w:r>
      <w:r w:rsidRPr="009E70A1">
        <w:rPr>
          <w:lang w:val="es-ES_tradnl"/>
        </w:rPr>
        <w:t>).</w:t>
      </w:r>
      <w:r>
        <w:rPr>
          <w:lang w:val="es-ES_tradnl"/>
        </w:rPr>
        <w:t xml:space="preserve"> </w:t>
      </w:r>
      <w:r w:rsidRPr="009E70A1">
        <w:rPr>
          <w:lang w:val="es-ES_tradnl"/>
        </w:rPr>
        <w:t>También se proporciona información actualizada sobre la promoción y la aplicación del Tratado de Marrakech.</w:t>
      </w:r>
    </w:p>
    <w:p w14:paraId="2D0C72E6" w14:textId="7A1AAEDE" w:rsidR="009E70A1" w:rsidRPr="009E70A1" w:rsidRDefault="009E70A1" w:rsidP="009E70A1">
      <w:pPr>
        <w:pStyle w:val="Heading1"/>
        <w:numPr>
          <w:ilvl w:val="0"/>
          <w:numId w:val="10"/>
        </w:numPr>
        <w:spacing w:before="0" w:after="120"/>
        <w:ind w:left="567" w:hanging="567"/>
        <w:rPr>
          <w:lang w:val="es-ES_tradnl"/>
        </w:rPr>
      </w:pPr>
      <w:r w:rsidRPr="009E70A1">
        <w:rPr>
          <w:lang w:val="es-ES_tradnl"/>
        </w:rPr>
        <w:t>FIRMA DEL TRATADO DE MARRAKECH</w:t>
      </w:r>
    </w:p>
    <w:p w14:paraId="51A0B671" w14:textId="781ABBFB" w:rsidR="009E70A1" w:rsidRPr="009E70A1" w:rsidRDefault="009E70A1" w:rsidP="009E70A1">
      <w:pPr>
        <w:pStyle w:val="Text"/>
        <w:numPr>
          <w:ilvl w:val="1"/>
          <w:numId w:val="9"/>
        </w:numPr>
        <w:spacing w:before="0" w:after="240"/>
        <w:rPr>
          <w:lang w:val="es-ES_tradnl"/>
        </w:rPr>
      </w:pPr>
      <w:r w:rsidRPr="009E70A1">
        <w:rPr>
          <w:lang w:val="es-ES_tradnl"/>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 que quedó abierto a la firma el 28 de junio de 2013.</w:t>
      </w:r>
      <w:r>
        <w:rPr>
          <w:lang w:val="es-ES_tradnl"/>
        </w:rPr>
        <w:t xml:space="preserve"> </w:t>
      </w:r>
      <w:r w:rsidRPr="009E70A1">
        <w:rPr>
          <w:lang w:val="es-ES_tradnl"/>
        </w:rPr>
        <w:t>De conformidad con el artículo 17 del Tratado de Marrakech, este siguió abierto a la firma en la sede de la OMPI durante un año tras su adopción, esto es, hasta el 27 de junio de 2014.</w:t>
      </w:r>
    </w:p>
    <w:p w14:paraId="1D83F265" w14:textId="77777777" w:rsidR="009E70A1" w:rsidRPr="009E70A1" w:rsidRDefault="009E70A1" w:rsidP="009E70A1">
      <w:pPr>
        <w:pStyle w:val="Text"/>
        <w:numPr>
          <w:ilvl w:val="1"/>
          <w:numId w:val="9"/>
        </w:numPr>
        <w:spacing w:before="0" w:after="480"/>
        <w:rPr>
          <w:lang w:val="es-ES_tradnl"/>
        </w:rPr>
      </w:pPr>
      <w:r w:rsidRPr="009E70A1">
        <w:rPr>
          <w:lang w:val="es-ES_tradnl"/>
        </w:rPr>
        <w:t>Al 27 de junio de 2014 habían firmado el Tratado las 80 partes que reunían las condiciones requeridas y que constan en el Anexo I.</w:t>
      </w:r>
    </w:p>
    <w:p w14:paraId="69F6C6AF" w14:textId="77777777" w:rsidR="009E70A1" w:rsidRPr="009E70A1" w:rsidRDefault="009E70A1" w:rsidP="009E70A1">
      <w:pPr>
        <w:pStyle w:val="Heading1"/>
        <w:numPr>
          <w:ilvl w:val="0"/>
          <w:numId w:val="10"/>
        </w:numPr>
        <w:spacing w:before="0" w:after="120"/>
        <w:ind w:left="567" w:hanging="567"/>
        <w:rPr>
          <w:lang w:val="es-ES_tradnl"/>
        </w:rPr>
      </w:pPr>
      <w:r w:rsidRPr="009E70A1">
        <w:rPr>
          <w:lang w:val="es-ES_tradnl"/>
        </w:rPr>
        <w:t>ENTRADA EN VIGOR DEL TRATADO DE MARRAKECH</w:t>
      </w:r>
    </w:p>
    <w:p w14:paraId="3B31180B" w14:textId="122E828C" w:rsidR="009E70A1" w:rsidRPr="009E70A1" w:rsidRDefault="009E70A1" w:rsidP="009E70A1">
      <w:pPr>
        <w:pStyle w:val="Text"/>
        <w:numPr>
          <w:ilvl w:val="1"/>
          <w:numId w:val="9"/>
        </w:numPr>
        <w:spacing w:before="0" w:after="240"/>
        <w:rPr>
          <w:lang w:val="es-ES_tradnl"/>
        </w:rPr>
      </w:pPr>
      <w:r w:rsidRPr="009E70A1">
        <w:rPr>
          <w:lang w:val="es-ES_tradnl"/>
        </w:rPr>
        <w:t>En virtud de su artículo 18, el Tratado entrará en vigor tres meses después de que 20 partes que reúnan las condiciones estipuladas hayan depositado sus instrumentos de ratificación o de adhesión.</w:t>
      </w:r>
      <w:r>
        <w:rPr>
          <w:lang w:val="es-ES_tradnl"/>
        </w:rPr>
        <w:t xml:space="preserve"> </w:t>
      </w:r>
      <w:r w:rsidRPr="009E70A1">
        <w:rPr>
          <w:lang w:val="es-ES_tradnl"/>
        </w:rPr>
        <w:t>La vigésima parte depositó su instrumento el 30 de junio de 2016.</w:t>
      </w:r>
    </w:p>
    <w:p w14:paraId="65742A1F" w14:textId="77777777" w:rsidR="009E70A1" w:rsidRPr="009E70A1" w:rsidRDefault="009E70A1" w:rsidP="009E70A1">
      <w:pPr>
        <w:pStyle w:val="Text"/>
        <w:numPr>
          <w:ilvl w:val="1"/>
          <w:numId w:val="9"/>
        </w:numPr>
        <w:spacing w:before="0" w:after="240"/>
        <w:rPr>
          <w:lang w:val="es-ES_tradnl"/>
        </w:rPr>
      </w:pPr>
      <w:r w:rsidRPr="009E70A1">
        <w:rPr>
          <w:lang w:val="es-ES_tradnl"/>
        </w:rPr>
        <w:t xml:space="preserve">El Tratado de Marrakech entró en vigor el 30 de septiembre de 2016. </w:t>
      </w:r>
    </w:p>
    <w:p w14:paraId="3480D615" w14:textId="14037640" w:rsidR="009E70A1" w:rsidRPr="009E70A1" w:rsidRDefault="009E70A1" w:rsidP="009E70A1">
      <w:pPr>
        <w:pStyle w:val="Text"/>
        <w:numPr>
          <w:ilvl w:val="1"/>
          <w:numId w:val="9"/>
        </w:numPr>
        <w:spacing w:before="0" w:after="480"/>
        <w:rPr>
          <w:lang w:val="es-ES_tradnl"/>
        </w:rPr>
      </w:pPr>
      <w:r w:rsidRPr="009E70A1">
        <w:rPr>
          <w:lang w:val="es-ES_tradnl"/>
        </w:rPr>
        <w:t>En 2026 se cumple el décimo aniversario de la entrada en vigor del Tratado de Marrakech.</w:t>
      </w:r>
      <w:r>
        <w:rPr>
          <w:lang w:val="es-ES_tradnl"/>
        </w:rPr>
        <w:t xml:space="preserve"> </w:t>
      </w:r>
      <w:r w:rsidRPr="009E70A1">
        <w:rPr>
          <w:lang w:val="es-ES_tradnl"/>
        </w:rPr>
        <w:t>Este hito se celebrará en un acto organizado durante las reuniones de 2026 de las Asambleas de la OMPI.</w:t>
      </w:r>
    </w:p>
    <w:p w14:paraId="4DA1AFE8" w14:textId="77777777" w:rsidR="009E70A1" w:rsidRPr="009E70A1" w:rsidRDefault="009E70A1" w:rsidP="009E70A1">
      <w:pPr>
        <w:pStyle w:val="Heading1"/>
        <w:numPr>
          <w:ilvl w:val="0"/>
          <w:numId w:val="10"/>
        </w:numPr>
        <w:spacing w:before="0" w:after="120"/>
        <w:ind w:left="567" w:hanging="567"/>
        <w:rPr>
          <w:lang w:val="es-ES_tradnl"/>
        </w:rPr>
      </w:pPr>
      <w:r w:rsidRPr="009E70A1">
        <w:rPr>
          <w:lang w:val="es-ES_tradnl"/>
        </w:rPr>
        <w:t>RATIFICACIÓN Y ADHESIÓN AL TRATADO DE MARRAKECH</w:t>
      </w:r>
    </w:p>
    <w:p w14:paraId="4EE62DAC" w14:textId="0F52A1E9" w:rsidR="009E70A1" w:rsidRPr="009E70A1" w:rsidRDefault="009E70A1" w:rsidP="009E70A1">
      <w:pPr>
        <w:pStyle w:val="Text"/>
        <w:numPr>
          <w:ilvl w:val="1"/>
          <w:numId w:val="9"/>
        </w:numPr>
        <w:spacing w:before="0" w:after="480"/>
        <w:rPr>
          <w:lang w:val="es-ES_tradnl"/>
        </w:rPr>
      </w:pPr>
      <w:r w:rsidRPr="009E70A1">
        <w:rPr>
          <w:lang w:val="es-ES_tradnl"/>
        </w:rPr>
        <w:t>Al 30 de marzo de 2026, los 102 Estados miembros de la OMPI que figuran en el Anexo II y la Unión Europea se ha adherido al Tratado de Marrakech o lo han ratificado.</w:t>
      </w:r>
      <w:r>
        <w:rPr>
          <w:lang w:val="es-ES_tradnl"/>
        </w:rPr>
        <w:t xml:space="preserve"> </w:t>
      </w:r>
      <w:r w:rsidRPr="009E70A1">
        <w:rPr>
          <w:lang w:val="es-ES_tradnl"/>
        </w:rPr>
        <w:t>Las 103 Partes Contratantes del Tratado abarcan 129 Estados miembros de la OMPI.</w:t>
      </w:r>
    </w:p>
    <w:p w14:paraId="6F7309E1" w14:textId="77777777" w:rsidR="009E70A1" w:rsidRPr="009E70A1" w:rsidRDefault="009E70A1" w:rsidP="009E70A1">
      <w:pPr>
        <w:pStyle w:val="Heading1"/>
        <w:numPr>
          <w:ilvl w:val="0"/>
          <w:numId w:val="10"/>
        </w:numPr>
        <w:spacing w:before="0" w:after="120"/>
        <w:ind w:left="567" w:hanging="567"/>
        <w:rPr>
          <w:lang w:val="es-ES_tradnl"/>
        </w:rPr>
      </w:pPr>
      <w:r w:rsidRPr="009E70A1">
        <w:rPr>
          <w:lang w:val="es-ES_tradnl"/>
        </w:rPr>
        <w:t>PUNTO DE ACCESO A LA INFORMACIÓN SOBRE EL TRATADO DE MARRAKECH</w:t>
      </w:r>
    </w:p>
    <w:p w14:paraId="2B4EFA3F" w14:textId="78AEFB7F" w:rsidR="009E70A1" w:rsidRPr="009E70A1" w:rsidRDefault="009E70A1" w:rsidP="009E70A1">
      <w:pPr>
        <w:pStyle w:val="Text"/>
        <w:numPr>
          <w:ilvl w:val="1"/>
          <w:numId w:val="9"/>
        </w:numPr>
        <w:spacing w:before="0" w:after="240"/>
        <w:rPr>
          <w:lang w:val="es-ES_tradnl"/>
        </w:rPr>
      </w:pPr>
      <w:r w:rsidRPr="009E70A1">
        <w:rPr>
          <w:lang w:val="es-ES_tradnl"/>
        </w:rPr>
        <w:t>El artículo 9.1 del Tratado de Marrakech establece que</w:t>
      </w:r>
      <w:r>
        <w:rPr>
          <w:lang w:val="es-ES_tradnl"/>
        </w:rPr>
        <w:t xml:space="preserve"> “</w:t>
      </w:r>
      <w:r w:rsidRPr="009E70A1">
        <w:rPr>
          <w:lang w:val="es-ES_tradnl"/>
        </w:rPr>
        <w:t>las partes contratantes harán todo lo posible por facilitar el intercambio transfronterizo de ejemplares en formato accesible, alentando el intercambio voluntario de información para ayudar a las entidades autorizadas a identificarse.</w:t>
      </w:r>
      <w:r>
        <w:rPr>
          <w:lang w:val="es-ES_tradnl"/>
        </w:rPr>
        <w:t xml:space="preserve"> </w:t>
      </w:r>
      <w:r w:rsidRPr="009E70A1">
        <w:rPr>
          <w:lang w:val="es-ES_tradnl"/>
        </w:rPr>
        <w:t>La Oficina Internacional de la OMPI establecerá a tal fin un punto de acceso a la información</w:t>
      </w:r>
      <w:r>
        <w:rPr>
          <w:lang w:val="es-ES_tradnl"/>
        </w:rPr>
        <w:t>”</w:t>
      </w:r>
      <w:r w:rsidRPr="009E70A1">
        <w:rPr>
          <w:lang w:val="es-ES_tradnl"/>
        </w:rPr>
        <w:t>.</w:t>
      </w:r>
    </w:p>
    <w:p w14:paraId="0FE2FFF5" w14:textId="5A4CC474" w:rsidR="009E70A1" w:rsidRPr="009E70A1" w:rsidRDefault="009E70A1" w:rsidP="009E70A1">
      <w:pPr>
        <w:pStyle w:val="Text"/>
        <w:numPr>
          <w:ilvl w:val="1"/>
          <w:numId w:val="9"/>
        </w:numPr>
        <w:spacing w:before="0" w:after="480"/>
        <w:rPr>
          <w:lang w:val="es-ES_tradnl"/>
        </w:rPr>
      </w:pPr>
      <w:r w:rsidRPr="009E70A1">
        <w:rPr>
          <w:lang w:val="es-ES_tradnl"/>
        </w:rPr>
        <w:t xml:space="preserve">En abril de 2018, la Oficina Internacional de la OMPI creó el </w:t>
      </w:r>
      <w:hyperlink r:id="rId14" w:history="1">
        <w:r w:rsidRPr="009E70A1">
          <w:rPr>
            <w:lang w:val="es-ES_tradnl"/>
          </w:rPr>
          <w:t>punto de acceso a la información sobre el Tratado de Marrakech</w:t>
        </w:r>
      </w:hyperlink>
      <w:r w:rsidRPr="009E70A1">
        <w:rPr>
          <w:lang w:val="es-ES_tradnl"/>
        </w:rPr>
        <w:t xml:space="preserve"> y lo publicó en la página del sitio web de la OMPI </w:t>
      </w:r>
      <w:hyperlink r:id="rId15" w:history="1">
        <w:r w:rsidRPr="00832EE6">
          <w:rPr>
            <w:rStyle w:val="Hyperlink"/>
            <w:lang w:val="es-ES_tradnl"/>
          </w:rPr>
          <w:t>https://www.wipo.int/es/web/marrakesh-treaty/index</w:t>
        </w:r>
      </w:hyperlink>
      <w:r w:rsidRPr="009E70A1">
        <w:rPr>
          <w:lang w:val="es-ES_tradnl"/>
        </w:rPr>
        <w:t xml:space="preserve">. </w:t>
      </w:r>
    </w:p>
    <w:p w14:paraId="12820EE8" w14:textId="77777777" w:rsidR="009E70A1" w:rsidRPr="009E70A1" w:rsidRDefault="009E70A1" w:rsidP="009E70A1">
      <w:pPr>
        <w:pStyle w:val="Heading1"/>
        <w:numPr>
          <w:ilvl w:val="0"/>
          <w:numId w:val="10"/>
        </w:numPr>
        <w:spacing w:before="0" w:after="120"/>
        <w:ind w:left="567" w:hanging="567"/>
        <w:rPr>
          <w:lang w:val="es-ES_tradnl"/>
        </w:rPr>
      </w:pPr>
      <w:r w:rsidRPr="009E70A1">
        <w:rPr>
          <w:lang w:val="es-ES_tradnl"/>
        </w:rPr>
        <w:t>PROMOCIÓN DEL TRATADO DE MARRAKECH</w:t>
      </w:r>
    </w:p>
    <w:p w14:paraId="228296E6" w14:textId="73C19E56" w:rsidR="009E70A1" w:rsidRPr="009E70A1" w:rsidRDefault="009E70A1" w:rsidP="009E70A1">
      <w:pPr>
        <w:pStyle w:val="Text"/>
        <w:numPr>
          <w:ilvl w:val="1"/>
          <w:numId w:val="9"/>
        </w:numPr>
        <w:spacing w:before="0" w:after="240"/>
        <w:rPr>
          <w:lang w:val="es-ES_tradnl"/>
        </w:rPr>
      </w:pPr>
      <w:r w:rsidRPr="009E70A1">
        <w:rPr>
          <w:lang w:val="es-ES_tradnl"/>
        </w:rPr>
        <w:t>Entre octubre de 2024 y diciembre de 2025, la División de Derecho de Autor de la OMPI y la Secretaría del Consorcio de Libros Accesibles (ABC) organizaron conjuntamente tres importantes eventos regionales destinados a traducir los principios del Tratado de Marrakech en resultados prácticos.</w:t>
      </w:r>
      <w:r>
        <w:rPr>
          <w:lang w:val="es-ES_tradnl"/>
        </w:rPr>
        <w:t xml:space="preserve"> </w:t>
      </w:r>
      <w:r w:rsidRPr="009E70A1">
        <w:rPr>
          <w:lang w:val="es-ES_tradnl"/>
        </w:rPr>
        <w:t>Estos eventos, orientados a fortalecer las capacidades jurídicas y técnicas en el Pacífico, el Caribe y los países árabes, se centraron en mejorar el acceso a la información de las personas con dificultades para acceder al texto impreso a través del ABC.</w:t>
      </w:r>
    </w:p>
    <w:p w14:paraId="06E3CD60" w14:textId="7277C696" w:rsidR="009E70A1" w:rsidRPr="009E70A1" w:rsidRDefault="009E70A1" w:rsidP="009E70A1">
      <w:pPr>
        <w:pStyle w:val="Text"/>
        <w:numPr>
          <w:ilvl w:val="1"/>
          <w:numId w:val="9"/>
        </w:numPr>
        <w:spacing w:before="0" w:after="240"/>
        <w:rPr>
          <w:lang w:val="es-ES_tradnl"/>
        </w:rPr>
      </w:pPr>
      <w:bookmarkStart w:id="5" w:name="_Hlk160635753"/>
      <w:r w:rsidRPr="009E70A1">
        <w:rPr>
          <w:lang w:val="es-ES_tradnl"/>
        </w:rPr>
        <w:t>La Conferencia subregional sobre el derecho a la lectura para los países insulares del Pacífico —el Tratado de Marrakech y el ABC— se celebró del 30 de octubre al 1 de noviembre de</w:t>
      </w:r>
      <w:r>
        <w:rPr>
          <w:lang w:val="es-ES_tradnl"/>
        </w:rPr>
        <w:t> </w:t>
      </w:r>
      <w:r w:rsidRPr="009E70A1">
        <w:rPr>
          <w:lang w:val="es-ES_tradnl"/>
        </w:rPr>
        <w:t>2024 en Sídney (Australia).</w:t>
      </w:r>
      <w:r>
        <w:rPr>
          <w:lang w:val="es-ES_tradnl"/>
        </w:rPr>
        <w:t xml:space="preserve"> </w:t>
      </w:r>
      <w:r w:rsidRPr="009E70A1">
        <w:rPr>
          <w:lang w:val="es-ES_tradnl"/>
        </w:rPr>
        <w:t>Con el apoyo del programa del fondo fiduciario de la OMPI y Australia, el evento reunió a representantes de asociaciones de personas con discapacidad, incluidas asociaciones de personas ciegas, y a autoridades en el ámbito de la propiedad intelectual (PI) de nueve países insulares del Pacífico.</w:t>
      </w:r>
      <w:r>
        <w:rPr>
          <w:lang w:val="es-ES_tradnl"/>
        </w:rPr>
        <w:t xml:space="preserve"> </w:t>
      </w:r>
      <w:r w:rsidRPr="009E70A1">
        <w:rPr>
          <w:lang w:val="es-ES_tradnl"/>
        </w:rPr>
        <w:t>Los participantes abordaron los retos que plantea la mejora de la lectura para las personas con discapacidad visual.</w:t>
      </w:r>
      <w:r>
        <w:rPr>
          <w:lang w:val="es-ES_tradnl"/>
        </w:rPr>
        <w:t xml:space="preserve"> </w:t>
      </w:r>
      <w:r w:rsidRPr="009E70A1">
        <w:rPr>
          <w:lang w:val="es-ES_tradnl"/>
        </w:rPr>
        <w:t>En los debates se destacó la importancia de la colaboración local y de aprovechar recursos como el Servicio Mundial de Libros del ABC.</w:t>
      </w:r>
      <w:r>
        <w:rPr>
          <w:lang w:val="es-ES_tradnl"/>
        </w:rPr>
        <w:t xml:space="preserve"> </w:t>
      </w:r>
    </w:p>
    <w:p w14:paraId="6C4A8ADA" w14:textId="0C73FA42" w:rsidR="009E70A1" w:rsidRPr="009E70A1" w:rsidRDefault="009E70A1" w:rsidP="009E70A1">
      <w:pPr>
        <w:pStyle w:val="Text"/>
        <w:numPr>
          <w:ilvl w:val="1"/>
          <w:numId w:val="9"/>
        </w:numPr>
        <w:spacing w:before="0" w:after="240"/>
        <w:rPr>
          <w:lang w:val="es-ES_tradnl"/>
        </w:rPr>
      </w:pPr>
      <w:r w:rsidRPr="009E70A1">
        <w:rPr>
          <w:lang w:val="es-ES_tradnl"/>
        </w:rPr>
        <w:t>Del 25 al 27 de noviembre de 2025 tuvo lugar en Puerto España (Trinidad y Tabago), un taller regional para determinados países del Caribe en torno al tema</w:t>
      </w:r>
      <w:r>
        <w:rPr>
          <w:lang w:val="es-ES_tradnl"/>
        </w:rPr>
        <w:t xml:space="preserve"> “</w:t>
      </w:r>
      <w:r w:rsidRPr="009E70A1">
        <w:rPr>
          <w:lang w:val="es-ES_tradnl"/>
        </w:rPr>
        <w:t>Facilitar el acceso: aprovechar al máximo el potencial del Tratado de Marrakech</w:t>
      </w:r>
      <w:r w:rsidR="0094207C">
        <w:rPr>
          <w:lang w:val="es-ES_tradnl"/>
        </w:rPr>
        <w:t>”</w:t>
      </w:r>
      <w:r w:rsidRPr="009E70A1">
        <w:rPr>
          <w:lang w:val="es-ES_tradnl"/>
        </w:rPr>
        <w:t>.</w:t>
      </w:r>
      <w:r>
        <w:rPr>
          <w:lang w:val="es-ES_tradnl"/>
        </w:rPr>
        <w:t xml:space="preserve"> </w:t>
      </w:r>
      <w:r w:rsidRPr="009E70A1">
        <w:rPr>
          <w:lang w:val="es-ES_tradnl"/>
        </w:rPr>
        <w:t>El evento, organizado conjuntamente con la Oficina de Propiedad Intelectual de Trinidad y Tabago (TTIPO) y la Autoridad Nacional de Bibliotecas y Sistemas de Información (NALIS), reunió a representantes de</w:t>
      </w:r>
      <w:r>
        <w:rPr>
          <w:lang w:val="es-ES_tradnl"/>
        </w:rPr>
        <w:t> </w:t>
      </w:r>
      <w:r w:rsidRPr="009E70A1">
        <w:rPr>
          <w:lang w:val="es-ES_tradnl"/>
        </w:rPr>
        <w:t>13 países del Caribe.</w:t>
      </w:r>
      <w:r>
        <w:rPr>
          <w:lang w:val="es-ES_tradnl"/>
        </w:rPr>
        <w:t xml:space="preserve"> </w:t>
      </w:r>
      <w:r w:rsidRPr="009E70A1">
        <w:rPr>
          <w:lang w:val="es-ES_tradnl"/>
        </w:rPr>
        <w:t>Como la región comparte un mismo plan de estudios y los mismos exámenes de secundaria, la posibilidad de intercambiar materiales educativos accesibles ofrece un gran potencial para amplificar el impacto del Tratado de Marrakech en todo el Caribe.</w:t>
      </w:r>
      <w:r>
        <w:rPr>
          <w:lang w:val="es-ES_tradnl"/>
        </w:rPr>
        <w:t xml:space="preserve"> </w:t>
      </w:r>
      <w:bookmarkStart w:id="6" w:name="_Hlk226450983"/>
      <w:r w:rsidRPr="009E70A1">
        <w:rPr>
          <w:lang w:val="es-ES_tradnl"/>
        </w:rPr>
        <w:t xml:space="preserve">Así lo confirmó el director ejecutivo y registrador del Caribbean Examinations Council, que, en su intervención en el taller, anunció que el Consejo dejaría claro en todos los acuerdos contractuales con las editoriales que todos los recursos didácticos deben producirse en formatos digitales accesibles que sean compatibles con las tecnologías de asistencia, incluidos el braille y los tipos de imprenta grandes. </w:t>
      </w:r>
      <w:bookmarkEnd w:id="6"/>
    </w:p>
    <w:p w14:paraId="02BDC921" w14:textId="37160317" w:rsidR="009E70A1" w:rsidRPr="009E70A1" w:rsidRDefault="009E70A1" w:rsidP="009E70A1">
      <w:pPr>
        <w:pStyle w:val="Text"/>
        <w:numPr>
          <w:ilvl w:val="1"/>
          <w:numId w:val="9"/>
        </w:numPr>
        <w:spacing w:before="0" w:after="240"/>
        <w:rPr>
          <w:lang w:val="es-ES_tradnl"/>
        </w:rPr>
      </w:pPr>
      <w:r w:rsidRPr="009E70A1">
        <w:rPr>
          <w:lang w:val="es-ES_tradnl"/>
        </w:rPr>
        <w:t>Del 8 al 10 de diciembre de 2025 se celebró en Túnez un taller regional sobre el tema</w:t>
      </w:r>
      <w:r>
        <w:rPr>
          <w:lang w:val="es-ES_tradnl"/>
        </w:rPr>
        <w:t xml:space="preserve"> “</w:t>
      </w:r>
      <w:r w:rsidRPr="009E70A1">
        <w:rPr>
          <w:lang w:val="es-ES_tradnl"/>
        </w:rPr>
        <w:t>Facilitar el acceso: poner en práctica el Tratado de Marrakech en los países árabes</w:t>
      </w:r>
      <w:r w:rsidR="0094207C">
        <w:rPr>
          <w:lang w:val="es-ES_tradnl"/>
        </w:rPr>
        <w:t>”</w:t>
      </w:r>
      <w:r w:rsidRPr="009E70A1">
        <w:rPr>
          <w:lang w:val="es-ES_tradnl"/>
        </w:rPr>
        <w:t>.</w:t>
      </w:r>
      <w:r>
        <w:rPr>
          <w:lang w:val="es-ES_tradnl"/>
        </w:rPr>
        <w:t xml:space="preserve"> </w:t>
      </w:r>
      <w:r w:rsidRPr="009E70A1">
        <w:rPr>
          <w:lang w:val="es-ES_tradnl"/>
        </w:rPr>
        <w:t>Organizado en colaboración con el Organismo Tunecino de Protección del Derecho de Autor y los Derechos Conexos (OTDAV), el taller reunió a representantes de oficinas de derechos de autor y bibliotecas para ciegos de 14 países.</w:t>
      </w:r>
      <w:r>
        <w:rPr>
          <w:lang w:val="es-ES_tradnl"/>
        </w:rPr>
        <w:t xml:space="preserve"> </w:t>
      </w:r>
      <w:r w:rsidRPr="009E70A1">
        <w:rPr>
          <w:lang w:val="es-ES_tradnl"/>
        </w:rPr>
        <w:t>Los debates se centraron en acelerar la adhesión al Tratado de Marrakech y su aplicación.</w:t>
      </w:r>
      <w:r>
        <w:rPr>
          <w:lang w:val="es-ES_tradnl"/>
        </w:rPr>
        <w:t xml:space="preserve"> </w:t>
      </w:r>
      <w:r w:rsidRPr="009E70A1">
        <w:rPr>
          <w:lang w:val="es-ES_tradnl"/>
        </w:rPr>
        <w:t xml:space="preserve">Uno de los debates más importantes se centró en la escasa representación de títulos en lengua árabe en el catálogo del Servicio Mundial de Libros del ABC. </w:t>
      </w:r>
    </w:p>
    <w:bookmarkEnd w:id="5"/>
    <w:p w14:paraId="45D9BB3F" w14:textId="77777777" w:rsidR="009E70A1" w:rsidRPr="009E70A1" w:rsidRDefault="009E70A1" w:rsidP="009E70A1">
      <w:pPr>
        <w:pStyle w:val="Text"/>
        <w:numPr>
          <w:ilvl w:val="1"/>
          <w:numId w:val="9"/>
        </w:numPr>
        <w:spacing w:before="0" w:after="240"/>
        <w:rPr>
          <w:lang w:val="es-ES_tradnl"/>
        </w:rPr>
      </w:pPr>
      <w:r w:rsidRPr="009E70A1">
        <w:rPr>
          <w:lang w:val="es-ES_tradnl"/>
        </w:rPr>
        <w:t>La Secretaría ha efectuado además algunas actividades adicionales a escala nacional, como la prestación de asistencia legislativa.</w:t>
      </w:r>
    </w:p>
    <w:p w14:paraId="4CF14BEF" w14:textId="43CB6788" w:rsidR="009E70A1" w:rsidRPr="009E70A1" w:rsidRDefault="009E70A1" w:rsidP="009E70A1">
      <w:pPr>
        <w:numPr>
          <w:ilvl w:val="1"/>
          <w:numId w:val="9"/>
        </w:numPr>
        <w:tabs>
          <w:tab w:val="clear" w:pos="567"/>
        </w:tabs>
        <w:spacing w:after="400"/>
        <w:ind w:left="5533"/>
        <w:rPr>
          <w:i/>
          <w:iCs/>
          <w:lang w:val="es-ES_tradnl"/>
        </w:rPr>
      </w:pPr>
      <w:r w:rsidRPr="009E70A1">
        <w:rPr>
          <w:i/>
          <w:lang w:val="es-ES_tradnl"/>
        </w:rPr>
        <w:t>Se invita a la Asamblea del Tratado de Marrakech a tomar nota de la</w:t>
      </w:r>
      <w:r>
        <w:rPr>
          <w:i/>
          <w:lang w:val="es-ES_tradnl"/>
        </w:rPr>
        <w:t xml:space="preserve"> “</w:t>
      </w:r>
      <w:r w:rsidRPr="009E70A1">
        <w:rPr>
          <w:i/>
          <w:lang w:val="es-ES_tradnl"/>
        </w:rPr>
        <w:t>Situación del Tratado de Marrakech</w:t>
      </w:r>
      <w:r w:rsidR="0094207C">
        <w:rPr>
          <w:i/>
          <w:lang w:val="es-ES_tradnl"/>
        </w:rPr>
        <w:t>”</w:t>
      </w:r>
      <w:r w:rsidRPr="009E70A1">
        <w:rPr>
          <w:i/>
          <w:lang w:val="es-ES_tradnl"/>
        </w:rPr>
        <w:t xml:space="preserve"> (documento MVT/A/11/1).</w:t>
      </w:r>
    </w:p>
    <w:p w14:paraId="07A8A4E2" w14:textId="77777777" w:rsidR="009E70A1" w:rsidRPr="009E70A1" w:rsidRDefault="009E70A1" w:rsidP="009E70A1">
      <w:pPr>
        <w:pStyle w:val="Endofdocument-Annex"/>
        <w:rPr>
          <w:lang w:val="es-ES_tradnl"/>
        </w:rPr>
      </w:pPr>
      <w:r w:rsidRPr="009E70A1">
        <w:rPr>
          <w:lang w:val="es-ES_tradnl"/>
        </w:rPr>
        <w:t>[Siguen los Anexos]</w:t>
      </w:r>
    </w:p>
    <w:p w14:paraId="5FFAFDD1" w14:textId="77777777" w:rsidR="009E70A1" w:rsidRPr="009E70A1" w:rsidRDefault="009E70A1" w:rsidP="009E70A1">
      <w:pPr>
        <w:pStyle w:val="Endofdocument-Annex"/>
        <w:rPr>
          <w:lang w:val="es-ES_tradnl"/>
        </w:rPr>
        <w:sectPr w:rsidR="009E70A1" w:rsidRPr="009E70A1" w:rsidSect="009E70A1">
          <w:headerReference w:type="even" r:id="rId16"/>
          <w:headerReference w:type="default" r:id="rId17"/>
          <w:endnotePr>
            <w:numFmt w:val="decimal"/>
          </w:endnotePr>
          <w:pgSz w:w="11907" w:h="16840" w:code="9"/>
          <w:pgMar w:top="567" w:right="1134" w:bottom="1418" w:left="1418" w:header="510" w:footer="1021" w:gutter="0"/>
          <w:cols w:space="720"/>
          <w:titlePg/>
          <w:docGrid w:linePitch="299"/>
        </w:sectPr>
      </w:pPr>
    </w:p>
    <w:p w14:paraId="3AE82DA4" w14:textId="77777777" w:rsidR="009E70A1" w:rsidRPr="009E70A1" w:rsidRDefault="009E70A1" w:rsidP="009E70A1">
      <w:pPr>
        <w:pStyle w:val="Heading2"/>
        <w:spacing w:before="0" w:after="120"/>
        <w:rPr>
          <w:lang w:val="es-ES_tradnl"/>
        </w:rPr>
      </w:pPr>
      <w:r w:rsidRPr="009E70A1">
        <w:rPr>
          <w:lang w:val="es-ES_tradnl"/>
        </w:rPr>
        <w:t>SIGNATARIOS DEL TRATADO DE MARRAKECH PARA FACILITAR EL ACCESO A LAS OBRAS PUBLICADAS A LAS PERSONAS CIEGAS, CON DISCAPACIDAD VISUAL O CON OTRAS DIFICULTADES PARA ACCEDER AL TEXTO IMPRESO (al 27 de junio de 2014)</w:t>
      </w:r>
    </w:p>
    <w:p w14:paraId="782BC9F0" w14:textId="5C887136" w:rsidR="009E70A1" w:rsidRPr="009E70A1" w:rsidRDefault="009E70A1" w:rsidP="009E70A1">
      <w:pPr>
        <w:pStyle w:val="TextAbstract"/>
        <w:spacing w:before="0" w:after="600"/>
        <w:rPr>
          <w:lang w:val="es-ES_tradnl"/>
        </w:rPr>
      </w:pPr>
      <w:r w:rsidRPr="009E70A1">
        <w:rPr>
          <w:lang w:val="es-ES_tradnl"/>
        </w:rPr>
        <w:t>Las siguientes partes que reúnen las condiciones requeridas firmaron el Tratado de Marrakech para facilitar el acceso a las obras publicadas a las personas ciegas, con discapacidad visual o con otras dificultades para acceder al texto impreso:</w:t>
      </w:r>
      <w:r>
        <w:rPr>
          <w:lang w:val="es-ES_tradnl"/>
        </w:rPr>
        <w:t xml:space="preserve"> </w:t>
      </w:r>
      <w:r w:rsidRPr="009E70A1">
        <w:rPr>
          <w:lang w:val="es-ES_tradnl"/>
        </w:rPr>
        <w:t>Afganistán, Alemania, Argentina, Australia, Austria, Bélgica, Bosnia y Herzegovina, Brasil, Burkina Faso, Burundi, Camboya, Camerún, Chad, Chile, China, Chipre, Colombia, Comoras, Congo, Costa Rica, Côte d’Ivoire, Dinamarca, Djibouti, Ecuador, El Salvador, Eslovenia, Estados Unidos de América, Etiopía, Finlandia, Francia, Ghana, Grecia, Guatemala, Guinea, Haití, India, Indonesia, Irán (República Islámica del), Irlanda, Jordania, Kenya, Líbano, Lituania, Luxemburgo, Malí, Marruecos, Mauricio, Mauritania, México, Mongolia, Mozambique, Namibia, Nepal, Nigeria, Noruega, Panamá, Paraguay, Perú, Polonia, Reino Unido, República Árabe Siria, República Centroafricana, República Checa, República de Corea, República de Moldova, República Dominicana, República Popular Democrática de Corea, Santa Sede, Santo Tomé y Príncipe, Senegal, Sierra Leona, Sudán, Suiza, Togo, Túnez, Türkiye, Uganda, Unión Europea, Uruguay y Zimbabwe (80).</w:t>
      </w:r>
    </w:p>
    <w:p w14:paraId="781107FD" w14:textId="77777777" w:rsidR="009E70A1" w:rsidRDefault="009E70A1" w:rsidP="009E70A1">
      <w:pPr>
        <w:pStyle w:val="Endofdocument-Annex"/>
        <w:rPr>
          <w:lang w:val="es-ES_tradnl"/>
        </w:rPr>
      </w:pPr>
      <w:r w:rsidRPr="009E70A1">
        <w:rPr>
          <w:lang w:val="es-ES_tradnl"/>
        </w:rPr>
        <w:t>[Sigue el Anexo II]</w:t>
      </w:r>
    </w:p>
    <w:p w14:paraId="42EEE277" w14:textId="77777777" w:rsidR="009E70A1" w:rsidRPr="009E70A1" w:rsidRDefault="009E70A1" w:rsidP="009E70A1">
      <w:pPr>
        <w:pStyle w:val="Endofdocument-Annex"/>
        <w:rPr>
          <w:lang w:val="es-ES_tradnl"/>
        </w:rPr>
        <w:sectPr w:rsidR="009E70A1" w:rsidRPr="009E70A1" w:rsidSect="009E70A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p>
    <w:p w14:paraId="6172C6D2" w14:textId="77777777" w:rsidR="009E70A1" w:rsidRPr="009E70A1" w:rsidRDefault="009E70A1" w:rsidP="009E70A1">
      <w:pPr>
        <w:pStyle w:val="Heading2"/>
        <w:spacing w:before="0" w:after="120"/>
        <w:rPr>
          <w:lang w:val="es-ES_tradnl"/>
        </w:rPr>
      </w:pPr>
      <w:bookmarkStart w:id="7" w:name="_Hlk159515623"/>
      <w:r w:rsidRPr="009E70A1">
        <w:rPr>
          <w:lang w:val="es-ES_tradnl"/>
        </w:rPr>
        <w:t xml:space="preserve">RATIFICACIONES O ADHESIONES AL TRATADO DE MARRAKECH </w:t>
      </w:r>
      <w:bookmarkEnd w:id="7"/>
      <w:r w:rsidRPr="009E70A1">
        <w:rPr>
          <w:lang w:val="es-ES_tradnl"/>
        </w:rPr>
        <w:t>PARA FACILITAR EL ACCESO A LAS OBRAS PUBLICADAS A LAS PERSONAS CIEGAS, CON DISCAPACIDAD VISUAL O CON OTRAS DIFICULTADES PARA ACCEDER AL TEXTO IMPRESO (al 30 de marzo de 2026)</w:t>
      </w:r>
    </w:p>
    <w:p w14:paraId="0B424D18" w14:textId="4149BD71" w:rsidR="009E70A1" w:rsidRPr="009E70A1" w:rsidRDefault="009E70A1" w:rsidP="009E70A1">
      <w:pPr>
        <w:pStyle w:val="TextAbstract"/>
        <w:spacing w:before="0" w:after="600"/>
        <w:rPr>
          <w:lang w:val="es-ES_tradnl"/>
        </w:rPr>
      </w:pPr>
      <w:r w:rsidRPr="009E70A1">
        <w:rPr>
          <w:lang w:val="es-ES_tradnl"/>
        </w:rPr>
        <w:t>Los siguientes Estados miembros y organización internacional se han adherido al Tratado de Marrakech para facilitar el acceso a las obras publicadas a las personas ciegas, con discapacidad visual o con otras dificultades para acceder al texto impreso o lo han ratificado:</w:t>
      </w:r>
      <w:r>
        <w:rPr>
          <w:lang w:val="es-ES_tradnl"/>
        </w:rPr>
        <w:t xml:space="preserve"> </w:t>
      </w:r>
      <w:r w:rsidRPr="009E70A1">
        <w:rPr>
          <w:lang w:val="es-ES_tradnl"/>
        </w:rPr>
        <w:t>Afganistán, Arabia Saudita, Argentina, Armenia, Australia, Azerbaiyán, Bangladesh, Barbados, Belice, Belarús, Bolivia (Estado Plurinacional de), Bosnia y Herzegovina, Botswana, Brasil, Burkina Faso, Cabo Verde, Camerún, Canadá, Chile, China, Colombia, Comoras, Costa Rica, Côte d’Ivoire, Cuba, Ecuador, El Salvador, Emiratos Árabes Unidos, Estados Unidos de América, Etiopía, Federación de Rusia, Filipinas, Ghana, Guatemala, Honduras, India, Indonesia, Iraq, Islandia, Islas Cook, Islas Marshall, Israel, Jamaica, Japón, Jordania, Kenya, Kirguistán, Kiribati, Lesotho, Liberia, Liechtenstein, Malasia, Malawi, Malí, Marruecos, Mauricio, México, Mongolia, Montenegro, Nueva Zelandia, Nicaragua, Nigeria, Noruega, Pakistán, Panamá, Paraguay, Perú, Qatar, Reino Unido, República Centroafricana, República de Corea, República de Moldova, República Dominicana, República Popular Democrática de Corea, República Unida de Tanzanía, Rwanda, San Marino, Santa Lucía, Santo Tomé y Príncipe, San Vicente y las Granadinas, Serbia, Singapur, Sri Lanka, Suiza, Tailandia, Tayikistán, Trinidad y Tabago, Túnez, Turkmenistán, Uganda, Ucrania, Uruguay, Uzbekistán, Vanuatu, Venezuela (República Bolivariana de), Viet Nam, Zimbabwe y la Unión Europea (103).</w:t>
      </w:r>
    </w:p>
    <w:p w14:paraId="09944D4A" w14:textId="77777777" w:rsidR="009E70A1" w:rsidRPr="009E70A1" w:rsidRDefault="009E70A1" w:rsidP="009E70A1">
      <w:pPr>
        <w:pStyle w:val="Endofdocument-Annex"/>
        <w:rPr>
          <w:lang w:val="es-ES_tradnl"/>
        </w:rPr>
      </w:pPr>
      <w:r w:rsidRPr="009E70A1">
        <w:rPr>
          <w:lang w:val="es-ES_tradnl"/>
        </w:rPr>
        <w:t>[Fin del Anexo II y del documento]</w:t>
      </w:r>
    </w:p>
    <w:sectPr w:rsidR="009E70A1" w:rsidRPr="009E70A1" w:rsidSect="009E70A1">
      <w:headerReference w:type="default" r:id="rId24"/>
      <w:headerReference w:type="first" r:id="rId2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906C" w14:textId="77777777" w:rsidR="00CB3710" w:rsidRDefault="00CB3710">
      <w:r>
        <w:separator/>
      </w:r>
    </w:p>
  </w:endnote>
  <w:endnote w:type="continuationSeparator" w:id="0">
    <w:p w14:paraId="55076A32" w14:textId="77777777" w:rsidR="00CB3710" w:rsidRPr="009D30E6" w:rsidRDefault="00CB3710" w:rsidP="007E663E">
      <w:pPr>
        <w:rPr>
          <w:sz w:val="17"/>
          <w:szCs w:val="17"/>
        </w:rPr>
      </w:pPr>
      <w:r w:rsidRPr="009D30E6">
        <w:rPr>
          <w:sz w:val="17"/>
          <w:szCs w:val="17"/>
        </w:rPr>
        <w:separator/>
      </w:r>
    </w:p>
    <w:p w14:paraId="1881D8E2" w14:textId="77777777" w:rsidR="00CB3710" w:rsidRPr="007E663E" w:rsidRDefault="00CB3710" w:rsidP="007E663E">
      <w:pPr>
        <w:spacing w:after="60"/>
        <w:rPr>
          <w:sz w:val="17"/>
          <w:szCs w:val="17"/>
        </w:rPr>
      </w:pPr>
      <w:r>
        <w:rPr>
          <w:sz w:val="17"/>
        </w:rPr>
        <w:t>[Continuación de la nota de la página anterior]</w:t>
      </w:r>
    </w:p>
  </w:endnote>
  <w:endnote w:type="continuationNotice" w:id="1">
    <w:p w14:paraId="275A404D" w14:textId="77777777" w:rsidR="00CB3710" w:rsidRPr="007E663E" w:rsidRDefault="00CB37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3B71" w14:textId="77777777" w:rsidR="009E70A1" w:rsidRDefault="009E7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0A4B" w14:textId="77777777" w:rsidR="009E70A1" w:rsidRDefault="009E7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213" w14:textId="77777777" w:rsidR="009E70A1" w:rsidRDefault="009E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8453" w14:textId="77777777" w:rsidR="00CB3710" w:rsidRDefault="00CB3710">
      <w:r>
        <w:separator/>
      </w:r>
    </w:p>
  </w:footnote>
  <w:footnote w:type="continuationSeparator" w:id="0">
    <w:p w14:paraId="16F3A00B" w14:textId="77777777" w:rsidR="00CB3710" w:rsidRPr="009D30E6" w:rsidRDefault="00CB3710" w:rsidP="007E663E">
      <w:pPr>
        <w:rPr>
          <w:sz w:val="17"/>
          <w:szCs w:val="17"/>
        </w:rPr>
      </w:pPr>
      <w:r w:rsidRPr="009D30E6">
        <w:rPr>
          <w:sz w:val="17"/>
          <w:szCs w:val="17"/>
        </w:rPr>
        <w:separator/>
      </w:r>
    </w:p>
    <w:p w14:paraId="1B4F9340" w14:textId="77777777" w:rsidR="00CB3710" w:rsidRPr="007E663E" w:rsidRDefault="00CB3710" w:rsidP="007E663E">
      <w:pPr>
        <w:spacing w:after="60"/>
        <w:rPr>
          <w:sz w:val="17"/>
          <w:szCs w:val="17"/>
        </w:rPr>
      </w:pPr>
      <w:r>
        <w:rPr>
          <w:sz w:val="17"/>
        </w:rPr>
        <w:t>[Continuación de la nota de la página anterior]</w:t>
      </w:r>
    </w:p>
  </w:footnote>
  <w:footnote w:type="continuationNotice" w:id="1">
    <w:p w14:paraId="20CE8C45" w14:textId="77777777" w:rsidR="00CB3710" w:rsidRPr="007E663E" w:rsidRDefault="00CB371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D2DF" w14:textId="77777777" w:rsidR="009E70A1" w:rsidRDefault="009E70A1">
    <w:pPr>
      <w:jc w:val="right"/>
    </w:pPr>
    <w:r>
      <w:t>MVT/A/11/1</w:t>
    </w:r>
  </w:p>
  <w:p w14:paraId="72577752" w14:textId="77777777" w:rsidR="009E70A1" w:rsidRDefault="009E70A1">
    <w:pPr>
      <w:jc w:val="right"/>
    </w:pPr>
    <w:r>
      <w:t xml:space="preserve">page </w:t>
    </w:r>
    <w:r>
      <w:fldChar w:fldCharType="begin"/>
    </w:r>
    <w:r>
      <w:instrText xml:space="preserve"> PAGE  \* MERGEFORMAT </w:instrText>
    </w:r>
    <w:r>
      <w:fldChar w:fldCharType="separate"/>
    </w:r>
    <w:r>
      <w:t>2</w:t>
    </w:r>
    <w:r>
      <w:fldChar w:fldCharType="end"/>
    </w:r>
  </w:p>
  <w:p w14:paraId="20897B7A" w14:textId="77777777" w:rsidR="009E70A1" w:rsidRDefault="009E7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F630" w14:textId="77777777" w:rsidR="009E70A1" w:rsidRDefault="009E70A1" w:rsidP="00477D6B">
    <w:pPr>
      <w:jc w:val="right"/>
    </w:pPr>
    <w:r>
      <w:t>MVT/A/11/1</w:t>
    </w:r>
  </w:p>
  <w:p w14:paraId="4B417ACF" w14:textId="77777777" w:rsidR="009E70A1" w:rsidRDefault="009E70A1" w:rsidP="00477D6B">
    <w:pPr>
      <w:jc w:val="right"/>
    </w:pPr>
    <w:r>
      <w:t xml:space="preserve">page </w:t>
    </w:r>
    <w:r>
      <w:fldChar w:fldCharType="begin"/>
    </w:r>
    <w:r>
      <w:instrText xml:space="preserve"> PAGE  \* MERGEFORMAT </w:instrText>
    </w:r>
    <w:r>
      <w:fldChar w:fldCharType="separate"/>
    </w:r>
    <w:r>
      <w:t>2</w:t>
    </w:r>
    <w:r>
      <w:fldChar w:fldCharType="end"/>
    </w:r>
  </w:p>
  <w:p w14:paraId="2A113C34" w14:textId="77777777" w:rsidR="009E70A1" w:rsidRDefault="009E70A1" w:rsidP="00477D6B">
    <w:pPr>
      <w:jc w:val="right"/>
    </w:pPr>
  </w:p>
  <w:p w14:paraId="723F6B08" w14:textId="77777777" w:rsidR="009E70A1" w:rsidRDefault="009E70A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AF28" w14:textId="77777777" w:rsidR="009E70A1" w:rsidRPr="003E35D7" w:rsidRDefault="009E70A1">
    <w:pPr>
      <w:jc w:val="right"/>
    </w:pPr>
    <w:r>
      <w:t>WO/GA/41/11 Rev.</w:t>
    </w:r>
  </w:p>
  <w:p w14:paraId="54FB7795" w14:textId="77777777" w:rsidR="009E70A1" w:rsidRDefault="009E70A1">
    <w:pPr>
      <w:jc w:val="right"/>
    </w:pPr>
    <w:r>
      <w:t xml:space="preserve">Anexo I, página </w:t>
    </w:r>
    <w:r>
      <w:fldChar w:fldCharType="begin"/>
    </w:r>
    <w:r w:rsidRPr="003E35D7">
      <w:instrText xml:space="preserve"> PAGE  \* MERGEFORMAT </w:instrText>
    </w:r>
    <w:r>
      <w:fldChar w:fldCharType="separate"/>
    </w:r>
    <w:r>
      <w:t>2</w:t>
    </w:r>
    <w:r>
      <w:fldChar w:fldCharType="end"/>
    </w:r>
  </w:p>
  <w:p w14:paraId="4E27781A" w14:textId="77777777" w:rsidR="009E70A1" w:rsidRPr="003E35D7" w:rsidRDefault="009E70A1">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9D81" w14:textId="77777777" w:rsidR="009E70A1" w:rsidRPr="003E35D7" w:rsidRDefault="009E70A1" w:rsidP="00477D6B">
    <w:pPr>
      <w:jc w:val="right"/>
    </w:pPr>
    <w:r>
      <w:t>WO/GA/41/11 Rev.</w:t>
    </w:r>
  </w:p>
  <w:p w14:paraId="65935167" w14:textId="77777777" w:rsidR="009E70A1" w:rsidRDefault="009E70A1" w:rsidP="00477D6B">
    <w:pPr>
      <w:jc w:val="right"/>
    </w:pPr>
    <w:r>
      <w:t xml:space="preserve">Anexo I, página </w:t>
    </w:r>
    <w:r>
      <w:fldChar w:fldCharType="begin"/>
    </w:r>
    <w:r w:rsidRPr="003E35D7">
      <w:instrText xml:space="preserve"> PAGE  \* MERGEFORMAT </w:instrText>
    </w:r>
    <w:r>
      <w:fldChar w:fldCharType="separate"/>
    </w:r>
    <w:r>
      <w:t>2</w:t>
    </w:r>
    <w:r>
      <w:fldChar w:fldCharType="end"/>
    </w:r>
  </w:p>
  <w:p w14:paraId="5FA6B9DA" w14:textId="77777777" w:rsidR="009E70A1" w:rsidRPr="003E35D7" w:rsidRDefault="009E70A1"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7C1B" w14:textId="77777777" w:rsidR="009E70A1" w:rsidRDefault="009E70A1">
    <w:pPr>
      <w:jc w:val="right"/>
    </w:pPr>
    <w:r>
      <w:t>MVT/A/11/1</w:t>
    </w:r>
  </w:p>
  <w:p w14:paraId="6ACBEB20" w14:textId="63ED3E85" w:rsidR="009E70A1" w:rsidRDefault="009E70A1" w:rsidP="009E70A1">
    <w:pPr>
      <w:spacing w:after="480"/>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CBD1" w14:textId="109523F7" w:rsidR="00F84474" w:rsidRDefault="009E70A1" w:rsidP="00477D6B">
    <w:pPr>
      <w:jc w:val="right"/>
    </w:pPr>
    <w:bookmarkStart w:id="8" w:name="Code2"/>
    <w:bookmarkEnd w:id="8"/>
    <w:r>
      <w:t>MVT/A/11/1</w:t>
    </w:r>
  </w:p>
  <w:p w14:paraId="7422BCC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3B04247" w14:textId="77777777" w:rsidR="00F84474" w:rsidRDefault="00F84474" w:rsidP="00477D6B">
    <w:pPr>
      <w:jc w:val="right"/>
    </w:pPr>
  </w:p>
  <w:p w14:paraId="4BEB9BE6" w14:textId="77777777"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35C" w14:textId="77777777" w:rsidR="009E70A1" w:rsidRDefault="009E70A1">
    <w:pPr>
      <w:jc w:val="right"/>
    </w:pPr>
    <w:r>
      <w:t>MVT/A/11/1</w:t>
    </w:r>
  </w:p>
  <w:p w14:paraId="1601B20E" w14:textId="1C04F74E" w:rsidR="009E70A1" w:rsidRDefault="009E70A1" w:rsidP="009E70A1">
    <w:pP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591EAF"/>
    <w:multiLevelType w:val="multilevel"/>
    <w:tmpl w:val="D29C4F8A"/>
    <w:styleLink w:val="Headings"/>
    <w:lvl w:ilvl="0">
      <w:start w:val="1"/>
      <w:numFmt w:val="none"/>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upperRoman"/>
      <w:lvlText w:val="%3."/>
      <w:lvlJc w:val="left"/>
      <w:pPr>
        <w:tabs>
          <w:tab w:val="num" w:pos="567"/>
        </w:tabs>
        <w:ind w:left="567" w:hanging="567"/>
      </w:pPr>
      <w:rPr>
        <w:rFonts w:hint="default"/>
      </w:rPr>
    </w:lvl>
    <w:lvl w:ilvl="3">
      <w:start w:val="1"/>
      <w:numFmt w:val="upperLetter"/>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none"/>
      <w:lvlRestart w:val="0"/>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8F68C1"/>
    <w:multiLevelType w:val="multilevel"/>
    <w:tmpl w:val="638A0484"/>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69471794"/>
    <w:multiLevelType w:val="hybridMultilevel"/>
    <w:tmpl w:val="9A30C42E"/>
    <w:lvl w:ilvl="0" w:tplc="C908F6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7249">
    <w:abstractNumId w:val="2"/>
  </w:num>
  <w:num w:numId="2" w16cid:durableId="736319168">
    <w:abstractNumId w:val="4"/>
  </w:num>
  <w:num w:numId="3" w16cid:durableId="858349302">
    <w:abstractNumId w:val="0"/>
  </w:num>
  <w:num w:numId="4" w16cid:durableId="628128631">
    <w:abstractNumId w:val="6"/>
  </w:num>
  <w:num w:numId="5" w16cid:durableId="1385251615">
    <w:abstractNumId w:val="1"/>
  </w:num>
  <w:num w:numId="6" w16cid:durableId="408380439">
    <w:abstractNumId w:val="3"/>
  </w:num>
  <w:num w:numId="7" w16cid:durableId="965820666">
    <w:abstractNumId w:val="7"/>
  </w:num>
  <w:num w:numId="8" w16cid:durableId="1798521853">
    <w:abstractNumId w:val="5"/>
  </w:num>
  <w:num w:numId="9" w16cid:durableId="1389376767">
    <w:abstractNumId w:val="7"/>
    <w:lvlOverride w:ilvl="0">
      <w:lvl w:ilvl="0">
        <w:start w:val="1"/>
        <w:numFmt w:val="none"/>
        <w:pStyle w:val="Preparedby"/>
        <w:lvlText w:val=""/>
        <w:lvlJc w:val="left"/>
        <w:pPr>
          <w:ind w:left="0" w:firstLine="0"/>
        </w:pPr>
        <w:rPr>
          <w:rFonts w:hint="default"/>
        </w:rPr>
      </w:lvl>
    </w:lvlOverride>
    <w:lvlOverride w:ilvl="1">
      <w:lvl w:ilvl="1">
        <w:start w:val="1"/>
        <w:numFmt w:val="decimal"/>
        <w:pStyle w:val="Text"/>
        <w:lvlText w:val="%2."/>
        <w:lvlJc w:val="left"/>
        <w:pPr>
          <w:tabs>
            <w:tab w:val="num" w:pos="567"/>
          </w:tabs>
          <w:ind w:left="0" w:firstLine="0"/>
        </w:pPr>
        <w:rPr>
          <w:rFonts w:hint="default"/>
          <w:i w:val="0"/>
          <w:iCs/>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0" w16cid:durableId="542521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A1"/>
    <w:rsid w:val="00026646"/>
    <w:rsid w:val="00031A57"/>
    <w:rsid w:val="000E3BB3"/>
    <w:rsid w:val="000F5E56"/>
    <w:rsid w:val="00126931"/>
    <w:rsid w:val="001362EE"/>
    <w:rsid w:val="00152CEA"/>
    <w:rsid w:val="001832A6"/>
    <w:rsid w:val="001C30AC"/>
    <w:rsid w:val="001C4DD3"/>
    <w:rsid w:val="001D50D1"/>
    <w:rsid w:val="002634C4"/>
    <w:rsid w:val="002F4E68"/>
    <w:rsid w:val="00307787"/>
    <w:rsid w:val="0030792F"/>
    <w:rsid w:val="00354647"/>
    <w:rsid w:val="00377273"/>
    <w:rsid w:val="003845C1"/>
    <w:rsid w:val="00387287"/>
    <w:rsid w:val="00391FB6"/>
    <w:rsid w:val="003A2090"/>
    <w:rsid w:val="003D41D4"/>
    <w:rsid w:val="00415C34"/>
    <w:rsid w:val="00423BDE"/>
    <w:rsid w:val="00423E3E"/>
    <w:rsid w:val="00427AF4"/>
    <w:rsid w:val="0045231F"/>
    <w:rsid w:val="004647DA"/>
    <w:rsid w:val="00477D6B"/>
    <w:rsid w:val="004A6C37"/>
    <w:rsid w:val="004C37CC"/>
    <w:rsid w:val="004E3E26"/>
    <w:rsid w:val="004E53A5"/>
    <w:rsid w:val="004F0A18"/>
    <w:rsid w:val="004F7418"/>
    <w:rsid w:val="00511D0C"/>
    <w:rsid w:val="0055013B"/>
    <w:rsid w:val="0056224D"/>
    <w:rsid w:val="00571B99"/>
    <w:rsid w:val="0059103E"/>
    <w:rsid w:val="005D64EC"/>
    <w:rsid w:val="005E75F4"/>
    <w:rsid w:val="00605827"/>
    <w:rsid w:val="0064615D"/>
    <w:rsid w:val="00675021"/>
    <w:rsid w:val="00691A47"/>
    <w:rsid w:val="006961C8"/>
    <w:rsid w:val="006A06C6"/>
    <w:rsid w:val="006D4DFA"/>
    <w:rsid w:val="00700B45"/>
    <w:rsid w:val="00705591"/>
    <w:rsid w:val="00771941"/>
    <w:rsid w:val="007E63AC"/>
    <w:rsid w:val="007E663E"/>
    <w:rsid w:val="00815082"/>
    <w:rsid w:val="00843582"/>
    <w:rsid w:val="00860740"/>
    <w:rsid w:val="008B14EA"/>
    <w:rsid w:val="008B2CC1"/>
    <w:rsid w:val="008E051F"/>
    <w:rsid w:val="0090731E"/>
    <w:rsid w:val="0094207C"/>
    <w:rsid w:val="00945CA2"/>
    <w:rsid w:val="009473FD"/>
    <w:rsid w:val="00966A22"/>
    <w:rsid w:val="00972F03"/>
    <w:rsid w:val="00975B37"/>
    <w:rsid w:val="00997567"/>
    <w:rsid w:val="009A0C8B"/>
    <w:rsid w:val="009A399B"/>
    <w:rsid w:val="009B6241"/>
    <w:rsid w:val="009E70A1"/>
    <w:rsid w:val="009F5CC2"/>
    <w:rsid w:val="00A16FC0"/>
    <w:rsid w:val="00A32C9E"/>
    <w:rsid w:val="00A7453D"/>
    <w:rsid w:val="00A8596A"/>
    <w:rsid w:val="00A8682D"/>
    <w:rsid w:val="00A956B8"/>
    <w:rsid w:val="00AB613D"/>
    <w:rsid w:val="00AC0728"/>
    <w:rsid w:val="00B43817"/>
    <w:rsid w:val="00B572C8"/>
    <w:rsid w:val="00B65A0A"/>
    <w:rsid w:val="00B72D36"/>
    <w:rsid w:val="00BA063E"/>
    <w:rsid w:val="00BB18CE"/>
    <w:rsid w:val="00BC4164"/>
    <w:rsid w:val="00BD1AAE"/>
    <w:rsid w:val="00BD2DCC"/>
    <w:rsid w:val="00BE1A8C"/>
    <w:rsid w:val="00BE75E4"/>
    <w:rsid w:val="00C06472"/>
    <w:rsid w:val="00C2379F"/>
    <w:rsid w:val="00C90559"/>
    <w:rsid w:val="00CB3710"/>
    <w:rsid w:val="00CB78CF"/>
    <w:rsid w:val="00D36B79"/>
    <w:rsid w:val="00D40CF0"/>
    <w:rsid w:val="00D56C7C"/>
    <w:rsid w:val="00D71B4D"/>
    <w:rsid w:val="00D90289"/>
    <w:rsid w:val="00D93D55"/>
    <w:rsid w:val="00E22C8F"/>
    <w:rsid w:val="00E45C84"/>
    <w:rsid w:val="00E504E5"/>
    <w:rsid w:val="00E73ABF"/>
    <w:rsid w:val="00E93414"/>
    <w:rsid w:val="00E96EC0"/>
    <w:rsid w:val="00EB7A3E"/>
    <w:rsid w:val="00EC401A"/>
    <w:rsid w:val="00EF530A"/>
    <w:rsid w:val="00EF6622"/>
    <w:rsid w:val="00F225B9"/>
    <w:rsid w:val="00F23FE1"/>
    <w:rsid w:val="00F55408"/>
    <w:rsid w:val="00F558EC"/>
    <w:rsid w:val="00F66152"/>
    <w:rsid w:val="00F80845"/>
    <w:rsid w:val="00F84474"/>
    <w:rsid w:val="00FD72A5"/>
    <w:rsid w:val="00FD7EA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A6C0"/>
  <w15:docId w15:val="{A60FEECE-5D2A-4B74-A21F-C1C52216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next w:val="Normal"/>
    <w:link w:val="Heading5Char"/>
    <w:unhideWhenUsed/>
    <w:qFormat/>
    <w:rsid w:val="009E70A1"/>
    <w:pPr>
      <w:keepNext/>
      <w:keepLines/>
      <w:tabs>
        <w:tab w:val="num" w:pos="567"/>
      </w:tabs>
      <w:spacing w:before="493" w:after="313"/>
      <w:ind w:left="567" w:hanging="567"/>
      <w:outlineLvl w:val="4"/>
    </w:pPr>
    <w:rPr>
      <w:rFonts w:ascii="Arial" w:eastAsiaTheme="majorEastAsia" w:hAnsi="Arial" w:cstheme="majorBidi"/>
      <w:sz w:val="22"/>
      <w:u w:val="single"/>
      <w:lang w:val="es-ES" w:eastAsia="zh-CN"/>
    </w:rPr>
  </w:style>
  <w:style w:type="paragraph" w:styleId="Heading6">
    <w:name w:val="heading 6"/>
    <w:basedOn w:val="Normal"/>
    <w:next w:val="Normal"/>
    <w:link w:val="Heading6Char"/>
    <w:unhideWhenUsed/>
    <w:qFormat/>
    <w:rsid w:val="009E70A1"/>
    <w:pPr>
      <w:keepNext/>
      <w:keepLines/>
      <w:spacing w:before="493" w:after="313"/>
      <w:outlineLvl w:val="5"/>
    </w:pPr>
    <w:rPr>
      <w:rFonts w:eastAsiaTheme="majorEastAsia"/>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9E70A1"/>
    <w:rPr>
      <w:rFonts w:ascii="Arial" w:eastAsiaTheme="majorEastAsia" w:hAnsi="Arial" w:cstheme="majorBidi"/>
      <w:sz w:val="22"/>
      <w:u w:val="single"/>
      <w:lang w:val="es-ES" w:eastAsia="zh-CN"/>
    </w:rPr>
  </w:style>
  <w:style w:type="character" w:customStyle="1" w:styleId="Heading6Char">
    <w:name w:val="Heading 6 Char"/>
    <w:basedOn w:val="DefaultParagraphFont"/>
    <w:link w:val="Heading6"/>
    <w:rsid w:val="009E70A1"/>
    <w:rPr>
      <w:rFonts w:ascii="Arial" w:eastAsiaTheme="majorEastAsia" w:hAnsi="Arial" w:cs="Arial"/>
      <w:i/>
      <w:sz w:val="22"/>
      <w:u w:val="single"/>
      <w:lang w:val="es-ES" w:eastAsia="zh-CN"/>
    </w:rPr>
  </w:style>
  <w:style w:type="character" w:styleId="Hyperlink">
    <w:name w:val="Hyperlink"/>
    <w:basedOn w:val="DefaultParagraphFont"/>
    <w:rsid w:val="009E70A1"/>
    <w:rPr>
      <w:color w:val="auto"/>
      <w:u w:val="none"/>
    </w:rPr>
  </w:style>
  <w:style w:type="numbering" w:customStyle="1" w:styleId="ContinuousNumbering">
    <w:name w:val="ContinuousNumbering"/>
    <w:uiPriority w:val="99"/>
    <w:rsid w:val="009E70A1"/>
    <w:pPr>
      <w:numPr>
        <w:numId w:val="7"/>
      </w:numPr>
    </w:pPr>
  </w:style>
  <w:style w:type="character" w:customStyle="1" w:styleId="FooterChar">
    <w:name w:val="Footer Char"/>
    <w:basedOn w:val="DefaultParagraphFont"/>
    <w:link w:val="Footer"/>
    <w:rsid w:val="009E70A1"/>
    <w:rPr>
      <w:rFonts w:ascii="Arial" w:eastAsia="SimSun" w:hAnsi="Arial" w:cs="Arial"/>
      <w:sz w:val="22"/>
      <w:lang w:val="es-ES" w:eastAsia="zh-CN"/>
    </w:rPr>
  </w:style>
  <w:style w:type="paragraph" w:customStyle="1" w:styleId="TextAbstract">
    <w:name w:val="Text Abstract"/>
    <w:link w:val="TextAbstractChar"/>
    <w:qFormat/>
    <w:rsid w:val="009E70A1"/>
    <w:pPr>
      <w:spacing w:before="253" w:after="253"/>
    </w:pPr>
    <w:rPr>
      <w:rFonts w:ascii="Arial" w:eastAsia="SimSun" w:hAnsi="Arial" w:cs="Arial"/>
      <w:sz w:val="22"/>
      <w:szCs w:val="22"/>
      <w:lang w:val="es-ES" w:eastAsia="zh-CN"/>
    </w:rPr>
  </w:style>
  <w:style w:type="character" w:customStyle="1" w:styleId="TextAbstractChar">
    <w:name w:val="Text Abstract Char"/>
    <w:basedOn w:val="DefaultParagraphFont"/>
    <w:link w:val="TextAbstract"/>
    <w:rsid w:val="009E70A1"/>
    <w:rPr>
      <w:rFonts w:ascii="Arial" w:eastAsia="SimSun" w:hAnsi="Arial" w:cs="Arial"/>
      <w:sz w:val="22"/>
      <w:szCs w:val="22"/>
      <w:lang w:val="es-ES" w:eastAsia="zh-CN"/>
    </w:rPr>
  </w:style>
  <w:style w:type="character" w:customStyle="1" w:styleId="HeaderChar">
    <w:name w:val="Header Char"/>
    <w:basedOn w:val="DefaultParagraphFont"/>
    <w:link w:val="Header"/>
    <w:uiPriority w:val="99"/>
    <w:rsid w:val="009E70A1"/>
    <w:rPr>
      <w:rFonts w:ascii="Arial" w:eastAsia="SimSun" w:hAnsi="Arial" w:cs="Arial"/>
      <w:sz w:val="22"/>
      <w:lang w:val="es-ES" w:eastAsia="zh-CN"/>
    </w:rPr>
  </w:style>
  <w:style w:type="character" w:customStyle="1" w:styleId="Heading1Char">
    <w:name w:val="Heading 1 Char"/>
    <w:basedOn w:val="DefaultParagraphFont"/>
    <w:link w:val="Heading1"/>
    <w:rsid w:val="009E70A1"/>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9E70A1"/>
    <w:rPr>
      <w:rFonts w:ascii="Arial" w:eastAsia="SimSun" w:hAnsi="Arial" w:cs="Arial"/>
      <w:bCs/>
      <w:sz w:val="22"/>
      <w:szCs w:val="26"/>
      <w:u w:val="single"/>
      <w:lang w:val="es-ES" w:eastAsia="zh-CN"/>
    </w:rPr>
  </w:style>
  <w:style w:type="numbering" w:customStyle="1" w:styleId="Headings">
    <w:name w:val="Headings"/>
    <w:uiPriority w:val="99"/>
    <w:rsid w:val="009E70A1"/>
    <w:pPr>
      <w:numPr>
        <w:numId w:val="8"/>
      </w:numPr>
    </w:pPr>
  </w:style>
  <w:style w:type="paragraph" w:customStyle="1" w:styleId="Preparedby">
    <w:name w:val="Prepared by"/>
    <w:next w:val="Normal"/>
    <w:qFormat/>
    <w:rsid w:val="009E70A1"/>
    <w:pPr>
      <w:numPr>
        <w:numId w:val="7"/>
      </w:numPr>
      <w:spacing w:before="252" w:after="756"/>
    </w:pPr>
    <w:rPr>
      <w:rFonts w:ascii="Arial" w:eastAsia="SimSun" w:hAnsi="Arial" w:cs="Arial"/>
      <w:i/>
      <w:sz w:val="22"/>
      <w:lang w:val="es-ES" w:eastAsia="zh-CN"/>
    </w:rPr>
  </w:style>
  <w:style w:type="paragraph" w:customStyle="1" w:styleId="Text">
    <w:name w:val="Text"/>
    <w:basedOn w:val="TextAbstract"/>
    <w:link w:val="TextChar"/>
    <w:qFormat/>
    <w:rsid w:val="009E70A1"/>
    <w:pPr>
      <w:numPr>
        <w:ilvl w:val="1"/>
        <w:numId w:val="7"/>
      </w:numPr>
    </w:pPr>
  </w:style>
  <w:style w:type="character" w:customStyle="1" w:styleId="TextChar">
    <w:name w:val="Text Char"/>
    <w:basedOn w:val="DefaultParagraphFont"/>
    <w:link w:val="Text"/>
    <w:rsid w:val="009E70A1"/>
    <w:rPr>
      <w:rFonts w:ascii="Arial" w:eastAsia="SimSun" w:hAnsi="Arial" w:cs="Arial"/>
      <w:sz w:val="22"/>
      <w:szCs w:val="22"/>
      <w:lang w:val="es-ES" w:eastAsia="zh-CN"/>
    </w:rPr>
  </w:style>
  <w:style w:type="character" w:styleId="FollowedHyperlink">
    <w:name w:val="FollowedHyperlink"/>
    <w:basedOn w:val="DefaultParagraphFont"/>
    <w:semiHidden/>
    <w:unhideWhenUsed/>
    <w:rsid w:val="009E70A1"/>
    <w:rPr>
      <w:color w:val="800080" w:themeColor="followedHyperlink"/>
      <w:u w:val="single"/>
    </w:rPr>
  </w:style>
  <w:style w:type="character" w:styleId="UnresolvedMention">
    <w:name w:val="Unresolved Mention"/>
    <w:basedOn w:val="DefaultParagraphFont"/>
    <w:uiPriority w:val="99"/>
    <w:semiHidden/>
    <w:unhideWhenUsed/>
    <w:rsid w:val="009E7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wipo.int/es/web/marrakesh-treaty/index"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ipo.int/marrakesh_treaty/es/"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DEAADBFP-1499948599-54720</_dlc_DocId>
    <_dlc_DocIdUrl xmlns="afdacc0a-6563-489f-9b51-6fc9acac5c48">
      <Url>https://wipoprod.sharepoint.com/sites/SPS-INT-BFP-DEAAD-AsseAffa/_layouts/15/DocIdRedir.aspx?ID=DEAADBFP-1499948599-54720</Url>
      <Description>DEAADBFP-1499948599-54720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957BD56C-7524-49D8-8EE4-3E683F65BCFB}">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2EF84F1F-A90E-4476-AB4D-7184B6C077E9}">
  <ds:schemaRefs>
    <ds:schemaRef ds:uri="http://schemas.openxmlformats.org/officeDocument/2006/bibliography"/>
  </ds:schemaRefs>
</ds:datastoreItem>
</file>

<file path=customXml/itemProps3.xml><?xml version="1.0" encoding="utf-8"?>
<ds:datastoreItem xmlns:ds="http://schemas.openxmlformats.org/officeDocument/2006/customXml" ds:itemID="{B1423E36-D0E2-49CF-9FF0-D9632620EE51}">
  <ds:schemaRefs>
    <ds:schemaRef ds:uri="http://schemas.microsoft.com/sharepoint/events"/>
  </ds:schemaRefs>
</ds:datastoreItem>
</file>

<file path=customXml/itemProps4.xml><?xml version="1.0" encoding="utf-8"?>
<ds:datastoreItem xmlns:ds="http://schemas.openxmlformats.org/officeDocument/2006/customXml" ds:itemID="{DEF7A73F-9C65-48A2-BF72-B12F0700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2BC8BF-92F2-4F73-8DAC-758085F1730D}">
  <ds:schemaRefs>
    <ds:schemaRef ds:uri="http://schemas.microsoft.com/sharepoint/v3/contenttype/forms"/>
  </ds:schemaRefs>
</ds:datastoreItem>
</file>

<file path=customXml/itemProps6.xml><?xml version="1.0" encoding="utf-8"?>
<ds:datastoreItem xmlns:ds="http://schemas.openxmlformats.org/officeDocument/2006/customXml" ds:itemID="{E76B4EC4-ADBF-4C24-B783-EB86BE9E4F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MVT_A_11 (S).dotm</Template>
  <TotalTime>15</TotalTime>
  <Pages>1</Pages>
  <Words>1448</Words>
  <Characters>8258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MVT/A/11/1</vt:lpstr>
    </vt:vector>
  </TitlesOfParts>
  <Company>WIPO</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MVT/A/11/1</dc:title>
  <dc:subject/>
  <dc:creator>WIPO</dc:creator>
  <cp:keywords/>
  <cp:lastModifiedBy>RUSSO Antonella</cp:lastModifiedBy>
  <cp:revision>12</cp:revision>
  <cp:lastPrinted>2026-05-05T00:21:00Z</cp:lastPrinted>
  <dcterms:created xsi:type="dcterms:W3CDTF">2026-05-03T18:05:00Z</dcterms:created>
  <dcterms:modified xsi:type="dcterms:W3CDTF">2026-05-04T15:25:00Z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0b942f0c-de55-4590-a79c-24f29e372596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2025-02-18T10:24:28Z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a4a06bdb-1919-4f13-9a60-06e556c14e6b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3;#Diplomatic Engagement and Assemblies Affairs Division|c4a5cf71-800f-4e10-aab9-36d8b83eadc2</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7414c3b7-99ec-486f-8be6-2dcef4cc5791</vt:lpwstr>
  </property>
</Properties>
</file>