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B78F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B78F7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B78F7" w:rsidRDefault="006B08A1" w:rsidP="00AB613D">
            <w:r w:rsidRPr="002B78F7">
              <w:rPr>
                <w:noProof/>
                <w:lang w:val="en-US" w:eastAsia="en-US"/>
              </w:rPr>
              <w:drawing>
                <wp:inline distT="0" distB="0" distL="0" distR="0" wp14:anchorId="5E99F130" wp14:editId="52C6B340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B78F7" w:rsidRDefault="00E504E5" w:rsidP="00AB613D">
            <w:pPr>
              <w:jc w:val="right"/>
            </w:pPr>
            <w:r w:rsidRPr="002B78F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B78F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B78F7" w:rsidRDefault="006B08A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78F7">
              <w:rPr>
                <w:rFonts w:ascii="Arial Black" w:hAnsi="Arial Black"/>
                <w:caps/>
                <w:sz w:val="15"/>
              </w:rPr>
              <w:t>MM/A/50/</w:t>
            </w:r>
            <w:bookmarkStart w:id="0" w:name="Code"/>
            <w:bookmarkEnd w:id="0"/>
            <w:r w:rsidR="00E07B47" w:rsidRPr="002B78F7">
              <w:rPr>
                <w:rFonts w:ascii="Arial Black" w:hAnsi="Arial Black"/>
                <w:caps/>
                <w:sz w:val="15"/>
              </w:rPr>
              <w:t>3</w:t>
            </w:r>
            <w:r w:rsidR="008B2CC1" w:rsidRPr="002B78F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2B78F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B78F7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78F7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2B78F7">
              <w:rPr>
                <w:rFonts w:ascii="Arial Black" w:hAnsi="Arial Black"/>
                <w:caps/>
                <w:sz w:val="15"/>
              </w:rPr>
              <w:t xml:space="preserve"> </w:t>
            </w:r>
            <w:r w:rsidRPr="002B78F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07B47" w:rsidRPr="002B78F7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B78F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B78F7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78F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B78F7">
              <w:rPr>
                <w:rFonts w:ascii="Arial Black" w:hAnsi="Arial Black"/>
                <w:caps/>
                <w:sz w:val="15"/>
              </w:rPr>
              <w:t>:</w:t>
            </w:r>
            <w:r w:rsidR="00F84474" w:rsidRPr="002B78F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B78F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07B47" w:rsidRPr="002B78F7">
              <w:rPr>
                <w:rFonts w:ascii="Arial Black" w:hAnsi="Arial Black"/>
                <w:caps/>
                <w:sz w:val="15"/>
              </w:rPr>
              <w:t>4 DE JULIO DE 2016</w:t>
            </w:r>
          </w:p>
        </w:tc>
      </w:tr>
    </w:tbl>
    <w:p w:rsidR="008B2CC1" w:rsidRPr="002B78F7" w:rsidRDefault="008B2CC1" w:rsidP="008B2CC1"/>
    <w:p w:rsidR="008B2CC1" w:rsidRPr="002B78F7" w:rsidRDefault="008B2CC1" w:rsidP="008B2CC1"/>
    <w:p w:rsidR="008B2CC1" w:rsidRPr="002B78F7" w:rsidRDefault="008B2CC1" w:rsidP="008B2CC1"/>
    <w:p w:rsidR="008B2CC1" w:rsidRPr="002B78F7" w:rsidRDefault="008B2CC1" w:rsidP="008B2CC1"/>
    <w:p w:rsidR="008B2CC1" w:rsidRPr="002B78F7" w:rsidRDefault="008B2CC1" w:rsidP="008B2CC1"/>
    <w:p w:rsidR="008B2CC1" w:rsidRPr="002B78F7" w:rsidRDefault="006B08A1" w:rsidP="008B2CC1">
      <w:pPr>
        <w:rPr>
          <w:b/>
          <w:sz w:val="28"/>
          <w:szCs w:val="28"/>
        </w:rPr>
      </w:pPr>
      <w:r w:rsidRPr="002B78F7">
        <w:rPr>
          <w:b/>
          <w:sz w:val="28"/>
          <w:szCs w:val="28"/>
        </w:rPr>
        <w:t>U</w:t>
      </w:r>
      <w:r w:rsidR="00D90289" w:rsidRPr="002B78F7">
        <w:rPr>
          <w:b/>
          <w:sz w:val="28"/>
          <w:szCs w:val="28"/>
        </w:rPr>
        <w:t xml:space="preserve">nión </w:t>
      </w:r>
      <w:r w:rsidR="00D97AFA" w:rsidRPr="002B78F7">
        <w:rPr>
          <w:b/>
          <w:sz w:val="28"/>
          <w:szCs w:val="28"/>
        </w:rPr>
        <w:t>Particular para el Registro I</w:t>
      </w:r>
      <w:r w:rsidRPr="002B78F7">
        <w:rPr>
          <w:b/>
          <w:sz w:val="28"/>
          <w:szCs w:val="28"/>
        </w:rPr>
        <w:t>nternacional de Marcas</w:t>
      </w:r>
      <w:r w:rsidRPr="002B78F7">
        <w:rPr>
          <w:b/>
          <w:sz w:val="28"/>
          <w:szCs w:val="28"/>
        </w:rPr>
        <w:br/>
        <w:t>(Unión de Madrid)</w:t>
      </w:r>
    </w:p>
    <w:p w:rsidR="003845C1" w:rsidRPr="002B78F7" w:rsidRDefault="003845C1" w:rsidP="003845C1"/>
    <w:p w:rsidR="001C4DD3" w:rsidRPr="002B78F7" w:rsidRDefault="001C4DD3" w:rsidP="003845C1"/>
    <w:p w:rsidR="001C4DD3" w:rsidRPr="002B78F7" w:rsidRDefault="001C4DD3" w:rsidP="003845C1">
      <w:pPr>
        <w:rPr>
          <w:b/>
          <w:sz w:val="28"/>
          <w:szCs w:val="28"/>
        </w:rPr>
      </w:pPr>
      <w:r w:rsidRPr="002B78F7">
        <w:rPr>
          <w:b/>
          <w:sz w:val="28"/>
          <w:szCs w:val="28"/>
        </w:rPr>
        <w:t>Asamblea</w:t>
      </w:r>
    </w:p>
    <w:p w:rsidR="001C4DD3" w:rsidRPr="002B78F7" w:rsidRDefault="001C4DD3" w:rsidP="003845C1"/>
    <w:p w:rsidR="003845C1" w:rsidRPr="002B78F7" w:rsidRDefault="003845C1" w:rsidP="003845C1"/>
    <w:p w:rsidR="008B2CC1" w:rsidRPr="002B78F7" w:rsidRDefault="006B08A1" w:rsidP="008B2CC1">
      <w:pPr>
        <w:rPr>
          <w:b/>
          <w:sz w:val="24"/>
          <w:szCs w:val="24"/>
        </w:rPr>
      </w:pPr>
      <w:r w:rsidRPr="002B78F7">
        <w:rPr>
          <w:b/>
          <w:sz w:val="24"/>
          <w:szCs w:val="24"/>
        </w:rPr>
        <w:t>Quincuagésimo perίodo de sesio</w:t>
      </w:r>
      <w:r w:rsidR="009B6241" w:rsidRPr="002B78F7">
        <w:rPr>
          <w:b/>
          <w:sz w:val="24"/>
          <w:szCs w:val="24"/>
        </w:rPr>
        <w:t>n</w:t>
      </w:r>
      <w:r w:rsidRPr="002B78F7">
        <w:rPr>
          <w:b/>
          <w:sz w:val="24"/>
          <w:szCs w:val="24"/>
        </w:rPr>
        <w:t>es (29º extraordinario)</w:t>
      </w:r>
    </w:p>
    <w:p w:rsidR="008B2CC1" w:rsidRPr="00D60EDD" w:rsidRDefault="006B08A1" w:rsidP="008B2CC1">
      <w:pPr>
        <w:rPr>
          <w:b/>
          <w:sz w:val="24"/>
          <w:szCs w:val="24"/>
        </w:rPr>
      </w:pPr>
      <w:r w:rsidRPr="00D60EDD">
        <w:rPr>
          <w:b/>
          <w:sz w:val="24"/>
          <w:szCs w:val="24"/>
        </w:rPr>
        <w:t>Ginebra, 3 a 11 de octubre de 2016</w:t>
      </w:r>
    </w:p>
    <w:p w:rsidR="008B2CC1" w:rsidRPr="00D60EDD" w:rsidRDefault="008B2CC1" w:rsidP="008B2CC1"/>
    <w:p w:rsidR="008B2CC1" w:rsidRPr="00D60EDD" w:rsidRDefault="008B2CC1" w:rsidP="008B2CC1"/>
    <w:p w:rsidR="008B2CC1" w:rsidRPr="00D60EDD" w:rsidRDefault="008B2CC1" w:rsidP="008B2CC1"/>
    <w:p w:rsidR="002B78F7" w:rsidRPr="00FC2486" w:rsidRDefault="002B78F7" w:rsidP="002B78F7">
      <w:pPr>
        <w:rPr>
          <w:caps/>
          <w:sz w:val="24"/>
        </w:rPr>
      </w:pPr>
      <w:bookmarkStart w:id="3" w:name="TitleOfDoc"/>
      <w:bookmarkEnd w:id="3"/>
      <w:r w:rsidRPr="00FC2486">
        <w:rPr>
          <w:caps/>
          <w:sz w:val="24"/>
        </w:rPr>
        <w:t>Prop</w:t>
      </w:r>
      <w:r w:rsidR="00FC2486" w:rsidRPr="00FC2486">
        <w:rPr>
          <w:caps/>
          <w:sz w:val="24"/>
        </w:rPr>
        <w:t>UESTA RELATIVA A LAS ADHESIONES AL ARREGLO DE MADRID</w:t>
      </w:r>
      <w:r w:rsidR="00FC2486">
        <w:rPr>
          <w:caps/>
          <w:sz w:val="24"/>
        </w:rPr>
        <w:t xml:space="preserve"> ÚNICAMENTE</w:t>
      </w:r>
    </w:p>
    <w:p w:rsidR="002B78F7" w:rsidRPr="00FC2486" w:rsidRDefault="002B78F7" w:rsidP="002B78F7"/>
    <w:p w:rsidR="002B78F7" w:rsidRPr="00A75F18" w:rsidRDefault="002B78F7" w:rsidP="002B78F7">
      <w:pPr>
        <w:rPr>
          <w:i/>
        </w:rPr>
      </w:pPr>
      <w:bookmarkStart w:id="4" w:name="Prepared"/>
      <w:bookmarkEnd w:id="4"/>
      <w:r w:rsidRPr="00A75F18">
        <w:rPr>
          <w:i/>
        </w:rPr>
        <w:t>Document</w:t>
      </w:r>
      <w:r w:rsidR="002205E8" w:rsidRPr="00A75F18">
        <w:rPr>
          <w:i/>
        </w:rPr>
        <w:t xml:space="preserve">o </w:t>
      </w:r>
      <w:r w:rsidRPr="00A75F18">
        <w:rPr>
          <w:i/>
        </w:rPr>
        <w:t>prepar</w:t>
      </w:r>
      <w:r w:rsidR="002205E8" w:rsidRPr="00A75F18">
        <w:rPr>
          <w:i/>
        </w:rPr>
        <w:t>ado por la Oficina Internacional</w:t>
      </w:r>
    </w:p>
    <w:p w:rsidR="002B78F7" w:rsidRPr="00A75F18" w:rsidRDefault="002B78F7" w:rsidP="002B78F7"/>
    <w:p w:rsidR="002B78F7" w:rsidRPr="00A75F18" w:rsidRDefault="002B78F7" w:rsidP="002B78F7"/>
    <w:p w:rsidR="002B78F7" w:rsidRPr="00A75F18" w:rsidRDefault="002B78F7" w:rsidP="002B78F7"/>
    <w:p w:rsidR="002B78F7" w:rsidRPr="00A75F18" w:rsidRDefault="002B78F7" w:rsidP="002B78F7"/>
    <w:p w:rsidR="002B78F7" w:rsidRPr="002205E8" w:rsidRDefault="002205E8" w:rsidP="002205E8">
      <w:pPr>
        <w:pStyle w:val="ONUMFS"/>
      </w:pPr>
      <w:r w:rsidRPr="002205E8">
        <w:t xml:space="preserve">El 31 de octubre de </w:t>
      </w:r>
      <w:r w:rsidR="002B78F7" w:rsidRPr="002205E8">
        <w:t xml:space="preserve">2015, </w:t>
      </w:r>
      <w:r w:rsidRPr="002205E8">
        <w:t xml:space="preserve">el Protocolo concerniente al Arreglo de Madrid relativo al Registro Internacional de Marcas (denominado en </w:t>
      </w:r>
      <w:r w:rsidR="006A791D">
        <w:t>lo sucesivo</w:t>
      </w:r>
      <w:r w:rsidRPr="002205E8">
        <w:t xml:space="preserve"> “el Protocolo”)</w:t>
      </w:r>
      <w:r w:rsidR="002B78F7" w:rsidRPr="002205E8">
        <w:t xml:space="preserve"> ent</w:t>
      </w:r>
      <w:r w:rsidRPr="002205E8">
        <w:t>ró en vigor en Argelia, que era el último miembro de la Uni</w:t>
      </w:r>
      <w:r>
        <w:t xml:space="preserve">ón de Madrid </w:t>
      </w:r>
      <w:r w:rsidR="006A791D">
        <w:t xml:space="preserve">que permanecía </w:t>
      </w:r>
      <w:r>
        <w:t xml:space="preserve">obligado </w:t>
      </w:r>
      <w:r w:rsidR="006A791D">
        <w:t>única</w:t>
      </w:r>
      <w:r>
        <w:t>mente por el Arreglo de Madrid relativo al Registro Internacional de Marcas</w:t>
      </w:r>
      <w:r w:rsidR="002B78F7" w:rsidRPr="002205E8">
        <w:t xml:space="preserve"> (</w:t>
      </w:r>
      <w:r>
        <w:t>denominado en lo sucesivo “el Arreglo</w:t>
      </w:r>
      <w:r w:rsidR="002B78F7" w:rsidRPr="002205E8">
        <w:t>”).</w:t>
      </w:r>
    </w:p>
    <w:p w:rsidR="002B78F7" w:rsidRPr="00F659E1" w:rsidRDefault="00D34B35" w:rsidP="00580A4A">
      <w:pPr>
        <w:pStyle w:val="ONUMFS"/>
      </w:pPr>
      <w:r w:rsidRPr="00D34B35">
        <w:t>Dicho acontecimiento fue un hito en la historia del Sistema de Madrid</w:t>
      </w:r>
      <w:r w:rsidR="002B78F7" w:rsidRPr="00D34B35">
        <w:t xml:space="preserve">, </w:t>
      </w:r>
      <w:r w:rsidRPr="00D34B35">
        <w:t>ya que signific</w:t>
      </w:r>
      <w:r>
        <w:t>ó que tod</w:t>
      </w:r>
      <w:r w:rsidR="002B78F7" w:rsidRPr="00D34B35">
        <w:t xml:space="preserve">as </w:t>
      </w:r>
      <w:r>
        <w:t>las Partes Contratantes</w:t>
      </w:r>
      <w:r w:rsidR="006A791D">
        <w:t>, a partir de esa fecha,</w:t>
      </w:r>
      <w:r>
        <w:t xml:space="preserve"> estaban obligadas por el Protocolo</w:t>
      </w:r>
      <w:r w:rsidR="002B78F7" w:rsidRPr="00D34B35">
        <w:t xml:space="preserve">.  </w:t>
      </w:r>
      <w:r w:rsidRPr="00580A4A">
        <w:t xml:space="preserve">En consecuencia, todas las designaciones </w:t>
      </w:r>
      <w:r w:rsidR="00580A4A" w:rsidRPr="00580A4A">
        <w:t>contenidas en los registros internacionales en vigor</w:t>
      </w:r>
      <w:r w:rsidR="002B78F7" w:rsidRPr="00580A4A">
        <w:t xml:space="preserve">, </w:t>
      </w:r>
      <w:r w:rsidR="00580A4A" w:rsidRPr="00580A4A">
        <w:t>as</w:t>
      </w:r>
      <w:r w:rsidR="00580A4A">
        <w:t xml:space="preserve">í como todas las solicitudes internacionales presentadas desde entonces, se rigen </w:t>
      </w:r>
      <w:r w:rsidR="006A791D">
        <w:t xml:space="preserve">solo </w:t>
      </w:r>
      <w:r w:rsidR="00580A4A">
        <w:t>por el Protocolo</w:t>
      </w:r>
      <w:r w:rsidR="002B78F7" w:rsidRPr="00580A4A">
        <w:t xml:space="preserve">.  </w:t>
      </w:r>
      <w:r w:rsidR="00580A4A">
        <w:t xml:space="preserve">Esto se debe </w:t>
      </w:r>
      <w:r w:rsidR="006A791D">
        <w:t>al hecho de que l</w:t>
      </w:r>
      <w:r w:rsidR="00580A4A">
        <w:t xml:space="preserve">as Partes Contratantes están obligadas solo por el Protocolo o </w:t>
      </w:r>
      <w:r w:rsidR="006A791D">
        <w:t>de que</w:t>
      </w:r>
      <w:r w:rsidR="00580A4A">
        <w:t xml:space="preserve">, </w:t>
      </w:r>
      <w:r w:rsidR="006A791D">
        <w:t>conforme a</w:t>
      </w:r>
      <w:r w:rsidR="00580A4A" w:rsidRPr="00580A4A">
        <w:t>l Artículo 9</w:t>
      </w:r>
      <w:r w:rsidR="00580A4A" w:rsidRPr="00D20283">
        <w:rPr>
          <w:i/>
        </w:rPr>
        <w:t>sexies</w:t>
      </w:r>
      <w:r w:rsidR="00C70AEC">
        <w:t>.</w:t>
      </w:r>
      <w:r w:rsidR="00580A4A" w:rsidRPr="00580A4A">
        <w:t>1)a) del Protocolo</w:t>
      </w:r>
      <w:r w:rsidR="002B78F7" w:rsidRPr="00580A4A">
        <w:t xml:space="preserve">, </w:t>
      </w:r>
      <w:r w:rsidR="00580A4A">
        <w:t xml:space="preserve">este tratado se aplica </w:t>
      </w:r>
      <w:r w:rsidR="002B78F7" w:rsidRPr="00580A4A">
        <w:t>“[…]</w:t>
      </w:r>
      <w:r w:rsidR="00580A4A" w:rsidRPr="00580A4A">
        <w:t xml:space="preserve"> e</w:t>
      </w:r>
      <w:r w:rsidR="00580A4A" w:rsidRPr="00580A4A">
        <w:rPr>
          <w:szCs w:val="22"/>
        </w:rPr>
        <w:t>n lo que atañe a las relaciones entre los Estados parte tanto en el presente Protocolo como en el Arreglo de Madrid (Acta de Estocolmo</w:t>
      </w:r>
      <w:r w:rsidR="002B78F7" w:rsidRPr="00580A4A">
        <w:t>)”</w:t>
      </w:r>
      <w:r w:rsidR="00580A4A" w:rsidRPr="00580A4A">
        <w:t>.</w:t>
      </w:r>
      <w:r w:rsidR="002B78F7" w:rsidRPr="00580A4A">
        <w:t xml:space="preserve">  </w:t>
      </w:r>
      <w:r w:rsidR="00F659E1">
        <w:t>En consecuencia, desde entonces el Arreglo es</w:t>
      </w:r>
      <w:r w:rsidR="002B78F7" w:rsidRPr="00F659E1">
        <w:t>,</w:t>
      </w:r>
      <w:r w:rsidR="00CD2451">
        <w:t xml:space="preserve"> de hecho</w:t>
      </w:r>
      <w:r w:rsidR="002B78F7" w:rsidRPr="00F659E1">
        <w:rPr>
          <w:i/>
        </w:rPr>
        <w:t xml:space="preserve">, </w:t>
      </w:r>
      <w:r w:rsidR="00F659E1">
        <w:t>un tratado no aplicable y el Sistema de Madrid es</w:t>
      </w:r>
      <w:r w:rsidR="002B78F7" w:rsidRPr="00F659E1">
        <w:t xml:space="preserve">, </w:t>
      </w:r>
      <w:r w:rsidR="00CD2451">
        <w:t>de hecho</w:t>
      </w:r>
      <w:r w:rsidR="002B78F7" w:rsidRPr="00F659E1">
        <w:t xml:space="preserve">, </w:t>
      </w:r>
      <w:r w:rsidR="00F659E1">
        <w:t>un sistema de tratado único</w:t>
      </w:r>
      <w:r w:rsidR="002B78F7" w:rsidRPr="00F659E1">
        <w:t>.</w:t>
      </w:r>
    </w:p>
    <w:p w:rsidR="002B78F7" w:rsidRPr="00362688" w:rsidRDefault="002B78F7" w:rsidP="00362688">
      <w:pPr>
        <w:pStyle w:val="ONUMFS"/>
        <w:rPr>
          <w:szCs w:val="22"/>
        </w:rPr>
      </w:pPr>
      <w:r w:rsidRPr="00362688">
        <w:rPr>
          <w:szCs w:val="22"/>
        </w:rPr>
        <w:t>Dur</w:t>
      </w:r>
      <w:r w:rsidR="00362688" w:rsidRPr="00362688">
        <w:rPr>
          <w:szCs w:val="22"/>
        </w:rPr>
        <w:t>ante su decimotercera reunión</w:t>
      </w:r>
      <w:r w:rsidRPr="00362688">
        <w:rPr>
          <w:szCs w:val="22"/>
        </w:rPr>
        <w:t xml:space="preserve">, </w:t>
      </w:r>
      <w:r w:rsidR="00362688" w:rsidRPr="00362688">
        <w:rPr>
          <w:szCs w:val="22"/>
        </w:rPr>
        <w:t>en noviembre de 20</w:t>
      </w:r>
      <w:r w:rsidRPr="00362688">
        <w:rPr>
          <w:szCs w:val="22"/>
        </w:rPr>
        <w:t xml:space="preserve">15, </w:t>
      </w:r>
      <w:r w:rsidR="00362688" w:rsidRPr="00362688">
        <w:rPr>
          <w:szCs w:val="22"/>
        </w:rPr>
        <w:t>el Grupo de Trabajo sobre el Desarrollo Jurídico del Sistema de Madrid para el Registro Internacional de Marcas (</w:t>
      </w:r>
      <w:r w:rsidR="004B14E5">
        <w:rPr>
          <w:szCs w:val="22"/>
        </w:rPr>
        <w:t>denominado en lo sucesivo “</w:t>
      </w:r>
      <w:r w:rsidR="00362688" w:rsidRPr="00362688">
        <w:rPr>
          <w:szCs w:val="22"/>
        </w:rPr>
        <w:t xml:space="preserve">el Grupo de Trabajo”) </w:t>
      </w:r>
      <w:r w:rsidR="00CD2451">
        <w:rPr>
          <w:szCs w:val="22"/>
        </w:rPr>
        <w:t>examinó</w:t>
      </w:r>
      <w:r w:rsidR="00362688" w:rsidRPr="00362688">
        <w:rPr>
          <w:szCs w:val="22"/>
        </w:rPr>
        <w:t xml:space="preserve"> la posibilidad </w:t>
      </w:r>
      <w:r w:rsidR="00362688">
        <w:rPr>
          <w:szCs w:val="22"/>
        </w:rPr>
        <w:t xml:space="preserve">de mantener la </w:t>
      </w:r>
      <w:r w:rsidR="00362688">
        <w:rPr>
          <w:szCs w:val="22"/>
        </w:rPr>
        <w:lastRenderedPageBreak/>
        <w:t>situación actual, a saber, el Sistema de Madrid como sistema de tratado único</w:t>
      </w:r>
      <w:r w:rsidR="00E27C5C">
        <w:rPr>
          <w:szCs w:val="22"/>
        </w:rPr>
        <w:t xml:space="preserve"> de hecho,</w:t>
      </w:r>
      <w:r w:rsidR="00362688">
        <w:rPr>
          <w:szCs w:val="22"/>
        </w:rPr>
        <w:t xml:space="preserve"> con el Protocolo como</w:t>
      </w:r>
      <w:r w:rsidR="004B14E5">
        <w:rPr>
          <w:szCs w:val="22"/>
        </w:rPr>
        <w:t xml:space="preserve"> </w:t>
      </w:r>
      <w:r w:rsidR="00362688">
        <w:rPr>
          <w:szCs w:val="22"/>
        </w:rPr>
        <w:t>único tratado aplicable</w:t>
      </w:r>
      <w:r w:rsidRPr="002B78F7">
        <w:rPr>
          <w:rStyle w:val="FootnoteReference"/>
          <w:szCs w:val="22"/>
        </w:rPr>
        <w:footnoteReference w:id="2"/>
      </w:r>
      <w:r w:rsidR="0068240F">
        <w:rPr>
          <w:szCs w:val="22"/>
        </w:rPr>
        <w:t>.</w:t>
      </w:r>
    </w:p>
    <w:p w:rsidR="002B78F7" w:rsidRPr="00362688" w:rsidRDefault="009251F9" w:rsidP="00362688">
      <w:pPr>
        <w:pStyle w:val="ONUMFS"/>
      </w:pPr>
      <w:r w:rsidRPr="003D735D">
        <w:t xml:space="preserve">En reuniones anteriores en </w:t>
      </w:r>
      <w:r w:rsidR="002B78F7" w:rsidRPr="003D735D">
        <w:t xml:space="preserve">2005 </w:t>
      </w:r>
      <w:r w:rsidRPr="003D735D">
        <w:t xml:space="preserve">y </w:t>
      </w:r>
      <w:r w:rsidR="002B78F7" w:rsidRPr="003D735D">
        <w:t xml:space="preserve">2006, </w:t>
      </w:r>
      <w:r w:rsidRPr="003D735D">
        <w:t xml:space="preserve">el Grupo de Trabajo </w:t>
      </w:r>
      <w:r w:rsidR="003D735D">
        <w:t xml:space="preserve">expuso </w:t>
      </w:r>
      <w:r w:rsidR="003D735D" w:rsidRPr="003D735D">
        <w:t>un plan respaldado por la Asamblea de la Uni</w:t>
      </w:r>
      <w:r w:rsidR="003D735D">
        <w:t>ón de Madrid</w:t>
      </w:r>
      <w:r w:rsidR="002B78F7" w:rsidRPr="003D735D">
        <w:t xml:space="preserve"> (</w:t>
      </w:r>
      <w:r w:rsidR="003D735D">
        <w:t xml:space="preserve">denominada en lo sucesivo </w:t>
      </w:r>
      <w:r w:rsidR="002B78F7" w:rsidRPr="003D735D">
        <w:t>“</w:t>
      </w:r>
      <w:r w:rsidR="003D735D">
        <w:t>la Asamblea</w:t>
      </w:r>
      <w:r w:rsidR="002B78F7" w:rsidRPr="003D735D">
        <w:t xml:space="preserve">”) </w:t>
      </w:r>
      <w:r w:rsidR="003D735D">
        <w:t>para consolidar el Sistema de Madrid como un sistema de tratado único</w:t>
      </w:r>
      <w:r w:rsidR="002B78F7" w:rsidRPr="002B78F7">
        <w:rPr>
          <w:rStyle w:val="FootnoteReference"/>
          <w:szCs w:val="22"/>
        </w:rPr>
        <w:footnoteReference w:id="3"/>
      </w:r>
      <w:r w:rsidR="002B78F7" w:rsidRPr="003D735D">
        <w:t xml:space="preserve">.  </w:t>
      </w:r>
      <w:r w:rsidR="003D735D">
        <w:t xml:space="preserve">En esas reuniones, se afirmó que </w:t>
      </w:r>
      <w:r w:rsidR="00362688" w:rsidRPr="00362688">
        <w:rPr>
          <w:szCs w:val="22"/>
        </w:rPr>
        <w:t xml:space="preserve">el Arreglo ya no sería aplicable como parte del procedimiento de registro internacional </w:t>
      </w:r>
      <w:r w:rsidR="00544861">
        <w:rPr>
          <w:szCs w:val="22"/>
        </w:rPr>
        <w:t xml:space="preserve">en el caso de que </w:t>
      </w:r>
      <w:r w:rsidR="00362688" w:rsidRPr="00362688">
        <w:rPr>
          <w:szCs w:val="22"/>
        </w:rPr>
        <w:t>concurrieran tres circunstancias, a saber</w:t>
      </w:r>
      <w:r w:rsidR="002B78F7" w:rsidRPr="00362688">
        <w:t xml:space="preserve">:  </w:t>
      </w:r>
    </w:p>
    <w:p w:rsidR="002B78F7" w:rsidRPr="00362688" w:rsidRDefault="00362688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362688">
        <w:t>que la Asamblea decidiera derogar la cláusula de salvaguardia</w:t>
      </w:r>
      <w:r w:rsidR="002B78F7" w:rsidRPr="00362688">
        <w:t xml:space="preserve">;  </w:t>
      </w:r>
    </w:p>
    <w:p w:rsidR="002B78F7" w:rsidRPr="00362688" w:rsidRDefault="00362688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362688">
        <w:t xml:space="preserve">que las Partes Contratantes obligadas únicamente por el Acuerdo pasaran a </w:t>
      </w:r>
      <w:r>
        <w:t>estar obligadas por el Protocolo</w:t>
      </w:r>
      <w:r w:rsidR="002B78F7" w:rsidRPr="00362688">
        <w:t xml:space="preserve">;  </w:t>
      </w:r>
      <w:r>
        <w:t>y</w:t>
      </w:r>
      <w:r w:rsidR="002B78F7" w:rsidRPr="00362688">
        <w:t>,</w:t>
      </w:r>
    </w:p>
    <w:p w:rsidR="002B78F7" w:rsidRPr="005B1B64" w:rsidRDefault="00362688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5B1B64">
        <w:t>que la Asamblea tomara la decisi</w:t>
      </w:r>
      <w:r w:rsidR="009251F9">
        <w:t>ó</w:t>
      </w:r>
      <w:r w:rsidRPr="005B1B64">
        <w:t xml:space="preserve">n de </w:t>
      </w:r>
      <w:r w:rsidR="002B78F7" w:rsidRPr="005B1B64">
        <w:t>“</w:t>
      </w:r>
      <w:r w:rsidR="003B68A5">
        <w:t>suspender</w:t>
      </w:r>
      <w:r w:rsidR="002B78F7" w:rsidRPr="005B1B64">
        <w:t xml:space="preserve">” </w:t>
      </w:r>
      <w:r w:rsidRPr="005B1B64">
        <w:t>la aplicación del Arreglo, de manera que en el futur</w:t>
      </w:r>
      <w:r w:rsidR="005B1B64">
        <w:t>o</w:t>
      </w:r>
      <w:r w:rsidRPr="005B1B64">
        <w:t xml:space="preserve"> ningún país pudiera </w:t>
      </w:r>
      <w:r w:rsidR="005B1B64" w:rsidRPr="005B1B64">
        <w:t>adherirse al Arreglo</w:t>
      </w:r>
      <w:r w:rsidR="00F5083C">
        <w:t xml:space="preserve"> únicamente</w:t>
      </w:r>
      <w:r w:rsidR="00D20283">
        <w:t xml:space="preserve"> </w:t>
      </w:r>
      <w:r w:rsidR="005B1B64">
        <w:t>y no pudieran presentarse más solicitudes in</w:t>
      </w:r>
      <w:r w:rsidR="003B68A5">
        <w:t>ternacionales en el marco de es</w:t>
      </w:r>
      <w:r w:rsidR="005B1B64">
        <w:t>e tratado</w:t>
      </w:r>
      <w:r w:rsidR="002B78F7" w:rsidRPr="002B78F7">
        <w:rPr>
          <w:vertAlign w:val="superscript"/>
        </w:rPr>
        <w:footnoteReference w:id="4"/>
      </w:r>
      <w:r w:rsidR="002B78F7" w:rsidRPr="005B1B64">
        <w:t xml:space="preserve">.  </w:t>
      </w:r>
    </w:p>
    <w:p w:rsidR="002B78F7" w:rsidRPr="00544861" w:rsidRDefault="009251F9" w:rsidP="009251F9">
      <w:pPr>
        <w:pStyle w:val="ONUMFS"/>
      </w:pPr>
      <w:r w:rsidRPr="009251F9">
        <w:t xml:space="preserve">El primer paso hacia un sistema de tratado único se dio en septiembre de </w:t>
      </w:r>
      <w:r w:rsidR="002B78F7" w:rsidRPr="009251F9">
        <w:t xml:space="preserve">2007, </w:t>
      </w:r>
      <w:r w:rsidRPr="009251F9">
        <w:t>cuando la Asamblea aprob</w:t>
      </w:r>
      <w:r>
        <w:t xml:space="preserve">ó una modificación del párrafo </w:t>
      </w:r>
      <w:r w:rsidR="002B78F7" w:rsidRPr="009251F9">
        <w:t xml:space="preserve">1) </w:t>
      </w:r>
      <w:r>
        <w:t xml:space="preserve">del Artículo </w:t>
      </w:r>
      <w:r w:rsidR="002B78F7" w:rsidRPr="009251F9">
        <w:t>9</w:t>
      </w:r>
      <w:r w:rsidR="002B78F7" w:rsidRPr="009251F9">
        <w:rPr>
          <w:i/>
          <w:iCs/>
        </w:rPr>
        <w:t xml:space="preserve">sexies </w:t>
      </w:r>
      <w:r>
        <w:t xml:space="preserve">del </w:t>
      </w:r>
      <w:r w:rsidR="002B78F7" w:rsidRPr="009251F9">
        <w:t>Protocol</w:t>
      </w:r>
      <w:r>
        <w:t>o</w:t>
      </w:r>
      <w:r w:rsidR="002B78F7" w:rsidRPr="009251F9">
        <w:t xml:space="preserve">, </w:t>
      </w:r>
      <w:r w:rsidR="00544861">
        <w:t>deroga</w:t>
      </w:r>
      <w:r w:rsidR="004B14E5">
        <w:t>ndo</w:t>
      </w:r>
      <w:r w:rsidR="00544861">
        <w:t xml:space="preserve"> la cláusula de salvaguardia</w:t>
      </w:r>
      <w:r w:rsidR="002B78F7" w:rsidRPr="009251F9">
        <w:t xml:space="preserve">.  </w:t>
      </w:r>
      <w:r w:rsidR="00544861" w:rsidRPr="00544861">
        <w:t xml:space="preserve">En un nuevo apartado </w:t>
      </w:r>
      <w:r w:rsidR="002B78F7" w:rsidRPr="00544861">
        <w:t xml:space="preserve">a), </w:t>
      </w:r>
      <w:r w:rsidR="00544861">
        <w:t xml:space="preserve">se estableció </w:t>
      </w:r>
      <w:r w:rsidR="00544861" w:rsidRPr="00544861">
        <w:t>el principio de que s</w:t>
      </w:r>
      <w:r w:rsidR="00032F15">
        <w:t xml:space="preserve">olo </w:t>
      </w:r>
      <w:r w:rsidR="00544861" w:rsidRPr="00544861">
        <w:t xml:space="preserve">el Protocolo se aplicaría en todas las relaciones entre Estados obligados </w:t>
      </w:r>
      <w:r w:rsidR="00544861">
        <w:t>tanto por el Arreglo como por el Protocolo</w:t>
      </w:r>
      <w:r w:rsidR="002B78F7" w:rsidRPr="00544861">
        <w:t xml:space="preserve">.  </w:t>
      </w:r>
      <w:r w:rsidR="00544861">
        <w:t xml:space="preserve">La Asamblea estableció además, en un nuevo apartado </w:t>
      </w:r>
      <w:r w:rsidR="002B78F7" w:rsidRPr="00544861">
        <w:t xml:space="preserve">b), </w:t>
      </w:r>
      <w:r w:rsidR="00544861">
        <w:t xml:space="preserve">que </w:t>
      </w:r>
      <w:r w:rsidR="002B78F7" w:rsidRPr="00544861">
        <w:t xml:space="preserve"> </w:t>
      </w:r>
      <w:r w:rsidRPr="00544861">
        <w:t xml:space="preserve">las declaraciones hechas en virtud de los Artículos 5.2)b) y c) y 8.7) </w:t>
      </w:r>
      <w:r w:rsidR="00544861">
        <w:t>no se aplica</w:t>
      </w:r>
      <w:r w:rsidR="0005566E">
        <w:t>rían</w:t>
      </w:r>
      <w:r w:rsidR="00544861">
        <w:t xml:space="preserve"> a estas relaciones</w:t>
      </w:r>
      <w:r w:rsidR="002B78F7" w:rsidRPr="00544861">
        <w:t xml:space="preserve">.  </w:t>
      </w:r>
    </w:p>
    <w:p w:rsidR="002B78F7" w:rsidRPr="0005566E" w:rsidRDefault="009251F9" w:rsidP="002B78F7">
      <w:pPr>
        <w:pStyle w:val="ONUMFS"/>
      </w:pPr>
      <w:r w:rsidRPr="0005566E">
        <w:t xml:space="preserve">El </w:t>
      </w:r>
      <w:r w:rsidR="0005566E" w:rsidRPr="0005566E">
        <w:t>s</w:t>
      </w:r>
      <w:r w:rsidRPr="0005566E">
        <w:t xml:space="preserve">egundo paso hacia un sistema de tratado único se dio el </w:t>
      </w:r>
      <w:r w:rsidR="002B78F7" w:rsidRPr="0005566E">
        <w:t>31</w:t>
      </w:r>
      <w:r w:rsidRPr="0005566E">
        <w:t xml:space="preserve"> de octubre de</w:t>
      </w:r>
      <w:r w:rsidR="002B78F7" w:rsidRPr="0005566E">
        <w:t xml:space="preserve"> 2015, </w:t>
      </w:r>
      <w:r w:rsidR="0005566E" w:rsidRPr="0005566E">
        <w:t xml:space="preserve">cuando Argelia, </w:t>
      </w:r>
      <w:r w:rsidR="0005566E" w:rsidRPr="002205E8">
        <w:t xml:space="preserve">el último </w:t>
      </w:r>
      <w:r w:rsidR="0005566E">
        <w:t xml:space="preserve">país que </w:t>
      </w:r>
      <w:r w:rsidR="00032F15">
        <w:t>permanecí</w:t>
      </w:r>
      <w:r w:rsidR="0005566E">
        <w:t xml:space="preserve">a obligado </w:t>
      </w:r>
      <w:r w:rsidR="006A791D">
        <w:t>única</w:t>
      </w:r>
      <w:r w:rsidR="0005566E">
        <w:t>mente por el Arreglo</w:t>
      </w:r>
      <w:r w:rsidR="002B78F7" w:rsidRPr="0005566E">
        <w:t xml:space="preserve">, </w:t>
      </w:r>
      <w:r w:rsidR="0005566E">
        <w:t>pas</w:t>
      </w:r>
      <w:r w:rsidR="00032F15">
        <w:t>ó</w:t>
      </w:r>
      <w:r w:rsidR="0005566E">
        <w:t xml:space="preserve"> a estar obligado </w:t>
      </w:r>
      <w:r w:rsidR="00032F15">
        <w:t xml:space="preserve">también </w:t>
      </w:r>
      <w:r w:rsidR="0005566E">
        <w:t>por el Protocolo</w:t>
      </w:r>
      <w:r w:rsidR="002B78F7" w:rsidRPr="0005566E">
        <w:t xml:space="preserve">.  </w:t>
      </w:r>
    </w:p>
    <w:p w:rsidR="002B78F7" w:rsidRPr="00B0425A" w:rsidRDefault="0005566E" w:rsidP="009251F9">
      <w:pPr>
        <w:pStyle w:val="ONUMFS"/>
      </w:pPr>
      <w:r w:rsidRPr="0005566E">
        <w:t xml:space="preserve">En noviembre de </w:t>
      </w:r>
      <w:r w:rsidR="002B78F7" w:rsidRPr="0005566E">
        <w:t xml:space="preserve">2015, </w:t>
      </w:r>
      <w:r w:rsidRPr="0005566E">
        <w:t>el Grupo de Trabajo</w:t>
      </w:r>
      <w:r w:rsidR="002B78F7" w:rsidRPr="0005566E">
        <w:t xml:space="preserve"> </w:t>
      </w:r>
      <w:r w:rsidRPr="0005566E">
        <w:t xml:space="preserve">debatió el tercer y último paso del plan para </w:t>
      </w:r>
      <w:r>
        <w:t xml:space="preserve">preservar el </w:t>
      </w:r>
      <w:r w:rsidRPr="0005566E">
        <w:rPr>
          <w:i/>
        </w:rPr>
        <w:t>statu quo</w:t>
      </w:r>
      <w:r>
        <w:t xml:space="preserve"> del sistema de tratado único</w:t>
      </w:r>
      <w:r w:rsidR="002B78F7" w:rsidRPr="0005566E">
        <w:t xml:space="preserve">.  </w:t>
      </w:r>
      <w:r>
        <w:t xml:space="preserve">El Grupo de Trabajo </w:t>
      </w:r>
      <w:r w:rsidR="002B78F7" w:rsidRPr="00B0425A">
        <w:t>recom</w:t>
      </w:r>
      <w:r>
        <w:t>e</w:t>
      </w:r>
      <w:r w:rsidR="002B78F7" w:rsidRPr="00B0425A">
        <w:t>nd</w:t>
      </w:r>
      <w:r>
        <w:t>ó que la Asamblea, en su próxim</w:t>
      </w:r>
      <w:r w:rsidR="00032F15">
        <w:t xml:space="preserve">o período de sesiones </w:t>
      </w:r>
      <w:r>
        <w:t xml:space="preserve">en </w:t>
      </w:r>
      <w:r w:rsidR="002B78F7" w:rsidRPr="00B0425A">
        <w:t>2016, “</w:t>
      </w:r>
      <w:r w:rsidR="009251F9" w:rsidRPr="00B0425A">
        <w:t xml:space="preserve">tome las medidas necesarias para impedir las adhesiones al Arreglo de Madrid </w:t>
      </w:r>
      <w:r w:rsidR="00032F15">
        <w:t xml:space="preserve">únicamente </w:t>
      </w:r>
      <w:r w:rsidR="009251F9" w:rsidRPr="00B0425A">
        <w:t xml:space="preserve">y pidió que la Oficina Internacional proponga la medida más apropiada a </w:t>
      </w:r>
      <w:r w:rsidR="00032F15">
        <w:t>la</w:t>
      </w:r>
      <w:r w:rsidR="009251F9" w:rsidRPr="00B0425A">
        <w:t xml:space="preserve"> Asamblea</w:t>
      </w:r>
      <w:r w:rsidR="002B78F7" w:rsidRPr="00B0425A">
        <w:t xml:space="preserve">”.  </w:t>
      </w:r>
    </w:p>
    <w:p w:rsidR="002B78F7" w:rsidRPr="0005566E" w:rsidRDefault="0005566E" w:rsidP="002B78F7">
      <w:pPr>
        <w:pStyle w:val="ONUMFS"/>
      </w:pPr>
      <w:r w:rsidRPr="0005566E">
        <w:t xml:space="preserve">El Grupo de Trabajo </w:t>
      </w:r>
      <w:r w:rsidR="00053A3D">
        <w:t>examinó</w:t>
      </w:r>
      <w:r w:rsidRPr="0005566E">
        <w:t xml:space="preserve"> dos posibles medidas para alcanzar los objetivos </w:t>
      </w:r>
      <w:r>
        <w:t>consignados, a saber, que</w:t>
      </w:r>
      <w:r w:rsidR="002B78F7" w:rsidRPr="0005566E">
        <w:t xml:space="preserve">:  </w:t>
      </w:r>
    </w:p>
    <w:p w:rsidR="002B78F7" w:rsidRPr="0063482E" w:rsidRDefault="0005566E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63482E">
        <w:t xml:space="preserve">la Asamblea </w:t>
      </w:r>
      <w:r w:rsidR="00F70DE8">
        <w:t xml:space="preserve">dé instrucciones </w:t>
      </w:r>
      <w:r w:rsidRPr="0063482E">
        <w:t xml:space="preserve">al Director General de la Organización Mundial de la Propiedad Intelectual </w:t>
      </w:r>
      <w:r w:rsidR="002B78F7" w:rsidRPr="0063482E">
        <w:t>(O</w:t>
      </w:r>
      <w:r w:rsidR="0063482E" w:rsidRPr="0063482E">
        <w:t>MPI</w:t>
      </w:r>
      <w:r w:rsidR="002B78F7" w:rsidRPr="0063482E">
        <w:t xml:space="preserve">) </w:t>
      </w:r>
      <w:r w:rsidR="00F70DE8">
        <w:t xml:space="preserve">para </w:t>
      </w:r>
      <w:r w:rsidR="0063482E">
        <w:t>que no acepte nuevas adhesiones al Arreglo únicamente</w:t>
      </w:r>
      <w:r w:rsidR="002B78F7" w:rsidRPr="0063482E">
        <w:t xml:space="preserve">;  </w:t>
      </w:r>
      <w:r w:rsidR="0063482E">
        <w:t>y que</w:t>
      </w:r>
      <w:r w:rsidR="002B78F7" w:rsidRPr="0063482E">
        <w:t xml:space="preserve">, </w:t>
      </w:r>
    </w:p>
    <w:p w:rsidR="002B78F7" w:rsidRPr="0063482E" w:rsidRDefault="0063482E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63482E">
        <w:t xml:space="preserve">la Asamblea decida </w:t>
      </w:r>
      <w:r w:rsidR="002B78F7" w:rsidRPr="0063482E">
        <w:t>“</w:t>
      </w:r>
      <w:r w:rsidR="006A5152">
        <w:t>suspender</w:t>
      </w:r>
      <w:r w:rsidR="002B78F7" w:rsidRPr="0063482E">
        <w:t xml:space="preserve">” </w:t>
      </w:r>
      <w:r w:rsidRPr="0063482E">
        <w:t xml:space="preserve">la aplicación del </w:t>
      </w:r>
      <w:r w:rsidR="002B78F7" w:rsidRPr="0063482E">
        <w:t>Art</w:t>
      </w:r>
      <w:r w:rsidRPr="0063482E">
        <w:t xml:space="preserve">ículo </w:t>
      </w:r>
      <w:r w:rsidR="002B78F7" w:rsidRPr="0063482E">
        <w:t>14</w:t>
      </w:r>
      <w:r w:rsidRPr="0063482E">
        <w:t>.</w:t>
      </w:r>
      <w:r w:rsidR="002B78F7" w:rsidRPr="0063482E">
        <w:t xml:space="preserve">1) </w:t>
      </w:r>
      <w:r>
        <w:t xml:space="preserve">y </w:t>
      </w:r>
      <w:r w:rsidR="002B78F7" w:rsidRPr="0063482E">
        <w:t xml:space="preserve">2)a) </w:t>
      </w:r>
      <w:r>
        <w:t>del Arreglo</w:t>
      </w:r>
      <w:r w:rsidR="002B78F7" w:rsidRPr="0063482E">
        <w:t xml:space="preserve">.  </w:t>
      </w:r>
    </w:p>
    <w:p w:rsidR="002B78F7" w:rsidRPr="0063482E" w:rsidRDefault="0063482E" w:rsidP="002B78F7">
      <w:pPr>
        <w:pStyle w:val="ONUMFS"/>
        <w:rPr>
          <w:lang w:eastAsia="en-US"/>
        </w:rPr>
      </w:pPr>
      <w:r w:rsidRPr="0063482E">
        <w:rPr>
          <w:lang w:eastAsia="en-US"/>
        </w:rPr>
        <w:t>La Oficina Internacional ha considerado con detenimiento la primera opci</w:t>
      </w:r>
      <w:r>
        <w:rPr>
          <w:lang w:eastAsia="en-US"/>
        </w:rPr>
        <w:t xml:space="preserve">ón, </w:t>
      </w:r>
      <w:r w:rsidR="006A5152">
        <w:rPr>
          <w:lang w:eastAsia="en-US"/>
        </w:rPr>
        <w:t xml:space="preserve">a saber, </w:t>
      </w:r>
      <w:r>
        <w:rPr>
          <w:lang w:eastAsia="en-US"/>
        </w:rPr>
        <w:t xml:space="preserve">que la Asamblea </w:t>
      </w:r>
      <w:r w:rsidR="00F70DE8">
        <w:rPr>
          <w:lang w:eastAsia="en-US"/>
        </w:rPr>
        <w:t>dé instrucciones</w:t>
      </w:r>
      <w:r>
        <w:rPr>
          <w:lang w:eastAsia="en-US"/>
        </w:rPr>
        <w:t xml:space="preserve"> al Director General de la OMPI </w:t>
      </w:r>
      <w:r w:rsidR="00F70DE8">
        <w:rPr>
          <w:lang w:eastAsia="en-US"/>
        </w:rPr>
        <w:t xml:space="preserve">para </w:t>
      </w:r>
      <w:r>
        <w:rPr>
          <w:lang w:eastAsia="en-US"/>
        </w:rPr>
        <w:t>que no acepte nuevas adhesiones al Arreglo</w:t>
      </w:r>
      <w:r w:rsidR="00053A3D" w:rsidRPr="00053A3D">
        <w:rPr>
          <w:lang w:eastAsia="en-US"/>
        </w:rPr>
        <w:t xml:space="preserve"> </w:t>
      </w:r>
      <w:r w:rsidR="00053A3D">
        <w:rPr>
          <w:lang w:eastAsia="en-US"/>
        </w:rPr>
        <w:t>únicamente</w:t>
      </w:r>
      <w:r w:rsidR="002B78F7" w:rsidRPr="0063482E">
        <w:rPr>
          <w:lang w:eastAsia="en-US"/>
        </w:rPr>
        <w:t xml:space="preserve">. </w:t>
      </w:r>
      <w:r w:rsidR="00053A3D">
        <w:rPr>
          <w:lang w:eastAsia="en-US"/>
        </w:rPr>
        <w:t xml:space="preserve"> </w:t>
      </w:r>
      <w:r w:rsidRPr="0063482E">
        <w:rPr>
          <w:lang w:eastAsia="en-US"/>
        </w:rPr>
        <w:t xml:space="preserve">La Oficina Internacional considera que, </w:t>
      </w:r>
      <w:r w:rsidR="006A5152">
        <w:rPr>
          <w:lang w:eastAsia="en-US"/>
        </w:rPr>
        <w:t>al tratarse de una cuestión de D</w:t>
      </w:r>
      <w:r w:rsidRPr="0063482E">
        <w:rPr>
          <w:lang w:eastAsia="en-US"/>
        </w:rPr>
        <w:t xml:space="preserve">erecho internacional público, el Director General de la OMPI, en su capacidad de depositario, está obligado a actuar </w:t>
      </w:r>
      <w:r w:rsidR="00032F15">
        <w:rPr>
          <w:lang w:eastAsia="en-US"/>
        </w:rPr>
        <w:t xml:space="preserve">con </w:t>
      </w:r>
      <w:r w:rsidRPr="0063482E">
        <w:rPr>
          <w:lang w:eastAsia="en-US"/>
        </w:rPr>
        <w:t>imparcial</w:t>
      </w:r>
      <w:r w:rsidR="00032F15">
        <w:rPr>
          <w:lang w:eastAsia="en-US"/>
        </w:rPr>
        <w:t>idad</w:t>
      </w:r>
      <w:r w:rsidR="002B78F7" w:rsidRPr="0063482E">
        <w:rPr>
          <w:lang w:eastAsia="en-US"/>
        </w:rPr>
        <w:t xml:space="preserve">; </w:t>
      </w:r>
      <w:r w:rsidR="00D20283">
        <w:rPr>
          <w:lang w:eastAsia="en-US"/>
        </w:rPr>
        <w:t xml:space="preserve"> </w:t>
      </w:r>
      <w:r>
        <w:rPr>
          <w:lang w:eastAsia="en-US"/>
        </w:rPr>
        <w:t xml:space="preserve">en consecuencia, esto no incluiría </w:t>
      </w:r>
      <w:r>
        <w:rPr>
          <w:lang w:eastAsia="en-US"/>
        </w:rPr>
        <w:lastRenderedPageBreak/>
        <w:t xml:space="preserve">normalmente </w:t>
      </w:r>
      <w:r w:rsidR="00F70DE8">
        <w:rPr>
          <w:lang w:eastAsia="en-US"/>
        </w:rPr>
        <w:t xml:space="preserve">el </w:t>
      </w:r>
      <w:bookmarkStart w:id="5" w:name="_GoBack"/>
      <w:bookmarkEnd w:id="5"/>
      <w:r w:rsidR="00F70DE8">
        <w:rPr>
          <w:lang w:eastAsia="en-US"/>
        </w:rPr>
        <w:t>rechazo</w:t>
      </w:r>
      <w:r w:rsidR="00DA3D93">
        <w:rPr>
          <w:lang w:eastAsia="en-US"/>
        </w:rPr>
        <w:t xml:space="preserve"> del depósito de  instrumentos de adhesión, y, por lo tanto, la Oficina Internacional </w:t>
      </w:r>
      <w:r w:rsidR="00CB6D16">
        <w:rPr>
          <w:lang w:eastAsia="en-US"/>
        </w:rPr>
        <w:t>considera que no convendría</w:t>
      </w:r>
      <w:r w:rsidR="00DA3D93">
        <w:rPr>
          <w:lang w:eastAsia="en-US"/>
        </w:rPr>
        <w:t xml:space="preserve"> presentar una propues</w:t>
      </w:r>
      <w:r w:rsidR="00264569">
        <w:rPr>
          <w:lang w:eastAsia="en-US"/>
        </w:rPr>
        <w:t>ta de estas características a</w:t>
      </w:r>
      <w:r w:rsidR="00DA3D93">
        <w:rPr>
          <w:lang w:eastAsia="en-US"/>
        </w:rPr>
        <w:t xml:space="preserve"> la Asamblea</w:t>
      </w:r>
      <w:r w:rsidR="00A75F18">
        <w:rPr>
          <w:lang w:eastAsia="en-US"/>
        </w:rPr>
        <w:t>.</w:t>
      </w:r>
    </w:p>
    <w:p w:rsidR="002B78F7" w:rsidRPr="003B4F9B" w:rsidRDefault="00DA3D93" w:rsidP="002B78F7">
      <w:pPr>
        <w:pStyle w:val="ONUMFS"/>
      </w:pPr>
      <w:r w:rsidRPr="00DA3D93">
        <w:rPr>
          <w:rFonts w:eastAsia="Times New Roman"/>
          <w:lang w:eastAsia="en-US"/>
        </w:rPr>
        <w:t xml:space="preserve">La segunda opción, </w:t>
      </w:r>
      <w:r w:rsidR="006A5152">
        <w:rPr>
          <w:rFonts w:eastAsia="Times New Roman"/>
          <w:lang w:eastAsia="en-US"/>
        </w:rPr>
        <w:t xml:space="preserve">a saber, </w:t>
      </w:r>
      <w:r w:rsidRPr="00DA3D93">
        <w:rPr>
          <w:rFonts w:eastAsia="Times New Roman"/>
          <w:lang w:eastAsia="en-US"/>
        </w:rPr>
        <w:t xml:space="preserve">que la </w:t>
      </w:r>
      <w:r w:rsidR="002B78F7" w:rsidRPr="00DA3D93">
        <w:t>As</w:t>
      </w:r>
      <w:r w:rsidRPr="00DA3D93">
        <w:t xml:space="preserve">amblea decida suspender la aplicación del </w:t>
      </w:r>
      <w:r w:rsidR="002B78F7" w:rsidRPr="00DA3D93">
        <w:t>Art</w:t>
      </w:r>
      <w:r w:rsidRPr="00DA3D93">
        <w:t>ículo</w:t>
      </w:r>
      <w:r w:rsidR="00DE13D2">
        <w:t> </w:t>
      </w:r>
      <w:r w:rsidRPr="00DA3D93">
        <w:t>1</w:t>
      </w:r>
      <w:r w:rsidR="002B78F7" w:rsidRPr="00DA3D93">
        <w:t>4</w:t>
      </w:r>
      <w:r w:rsidRPr="00DA3D93">
        <w:t>.</w:t>
      </w:r>
      <w:r w:rsidR="002B78F7" w:rsidRPr="00DA3D93">
        <w:t xml:space="preserve">1) </w:t>
      </w:r>
      <w:r w:rsidRPr="00DA3D93">
        <w:t xml:space="preserve">y </w:t>
      </w:r>
      <w:r w:rsidR="002B78F7" w:rsidRPr="00DA3D93">
        <w:t xml:space="preserve">2)a) </w:t>
      </w:r>
      <w:r w:rsidRPr="00DA3D93">
        <w:t xml:space="preserve">del Arreglo, contó con el respaldo de </w:t>
      </w:r>
      <w:r w:rsidR="002B0933">
        <w:t>una serie de</w:t>
      </w:r>
      <w:r w:rsidRPr="00DA3D93">
        <w:t xml:space="preserve"> d</w:t>
      </w:r>
      <w:r>
        <w:t>elegaciones durante los debates del Grupo de Trabajo, es</w:t>
      </w:r>
      <w:r w:rsidR="00032F15">
        <w:t xml:space="preserve"> c</w:t>
      </w:r>
      <w:r>
        <w:t>onform</w:t>
      </w:r>
      <w:r w:rsidR="00032F15">
        <w:t>e</w:t>
      </w:r>
      <w:r>
        <w:t xml:space="preserve"> con el </w:t>
      </w:r>
      <w:r w:rsidR="006A5152">
        <w:t>D</w:t>
      </w:r>
      <w:r>
        <w:t>erecho internacional público y tiene numerosos precedentes en la OMPI</w:t>
      </w:r>
      <w:r w:rsidR="002B78F7" w:rsidRPr="00DA3D93">
        <w:t xml:space="preserve">.  </w:t>
      </w:r>
      <w:r w:rsidR="003B4F9B" w:rsidRPr="003B4F9B">
        <w:t xml:space="preserve">Además, esta opción se expuso </w:t>
      </w:r>
      <w:r w:rsidR="008A6CF2">
        <w:t>con claridad</w:t>
      </w:r>
      <w:r w:rsidR="003B4F9B" w:rsidRPr="003B4F9B">
        <w:t xml:space="preserve"> en el plan </w:t>
      </w:r>
      <w:r w:rsidR="006A5152">
        <w:t>que se ha mencionado anteriormente,</w:t>
      </w:r>
      <w:r w:rsidR="006A5152" w:rsidRPr="003B4F9B">
        <w:t xml:space="preserve"> </w:t>
      </w:r>
      <w:r w:rsidR="003B4F9B" w:rsidRPr="003B4F9B">
        <w:t xml:space="preserve">propuesto por el Grupo de Trabajo y </w:t>
      </w:r>
      <w:r w:rsidR="003B4F9B">
        <w:t>refrendado por la Asamblea</w:t>
      </w:r>
      <w:r w:rsidR="002B78F7" w:rsidRPr="003B4F9B">
        <w:t xml:space="preserve">.  </w:t>
      </w:r>
      <w:r w:rsidR="003B4F9B" w:rsidRPr="003B4F9B">
        <w:t>Con arreglo a esta opción, la Asamblea tomaría la decisi</w:t>
      </w:r>
      <w:r w:rsidR="003B4F9B">
        <w:t>ó</w:t>
      </w:r>
      <w:r w:rsidR="003B4F9B" w:rsidRPr="003B4F9B">
        <w:t xml:space="preserve">n de suspender la aplicación del </w:t>
      </w:r>
      <w:r w:rsidR="002B78F7" w:rsidRPr="003B4F9B">
        <w:rPr>
          <w:rFonts w:eastAsia="Times New Roman"/>
          <w:lang w:eastAsia="en-US"/>
        </w:rPr>
        <w:t>Art</w:t>
      </w:r>
      <w:r w:rsidR="003B4F9B" w:rsidRPr="003B4F9B">
        <w:rPr>
          <w:rFonts w:eastAsia="Times New Roman"/>
          <w:lang w:eastAsia="en-US"/>
        </w:rPr>
        <w:t xml:space="preserve">ículo </w:t>
      </w:r>
      <w:r w:rsidR="002B78F7" w:rsidRPr="003B4F9B">
        <w:rPr>
          <w:rFonts w:eastAsia="Times New Roman"/>
          <w:lang w:eastAsia="en-US"/>
        </w:rPr>
        <w:t>14</w:t>
      </w:r>
      <w:r w:rsidR="003B4F9B" w:rsidRPr="003B4F9B">
        <w:rPr>
          <w:rFonts w:eastAsia="Times New Roman"/>
          <w:lang w:eastAsia="en-US"/>
        </w:rPr>
        <w:t>.</w:t>
      </w:r>
      <w:r w:rsidR="002B78F7" w:rsidRPr="003B4F9B">
        <w:rPr>
          <w:rFonts w:eastAsia="Times New Roman"/>
          <w:lang w:eastAsia="en-US"/>
        </w:rPr>
        <w:t xml:space="preserve">1) </w:t>
      </w:r>
      <w:r w:rsidR="003B4F9B">
        <w:rPr>
          <w:rFonts w:eastAsia="Times New Roman"/>
          <w:lang w:eastAsia="en-US"/>
        </w:rPr>
        <w:t xml:space="preserve">y </w:t>
      </w:r>
      <w:r w:rsidR="002B78F7" w:rsidRPr="003B4F9B">
        <w:rPr>
          <w:rFonts w:eastAsia="Times New Roman"/>
          <w:lang w:eastAsia="en-US"/>
        </w:rPr>
        <w:t xml:space="preserve">2)a), </w:t>
      </w:r>
      <w:r w:rsidR="003B4F9B">
        <w:rPr>
          <w:rFonts w:eastAsia="Times New Roman"/>
          <w:lang w:eastAsia="en-US"/>
        </w:rPr>
        <w:t>desde la fecha de esa decisión, con los efectos siguientes</w:t>
      </w:r>
      <w:r w:rsidR="002B78F7" w:rsidRPr="003B4F9B">
        <w:t xml:space="preserve">:  </w:t>
      </w:r>
    </w:p>
    <w:p w:rsidR="002B78F7" w:rsidRPr="00B0425A" w:rsidRDefault="00B0425A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B0425A">
        <w:t>las nuevas Partes Contratantes no pod</w:t>
      </w:r>
      <w:r w:rsidR="003B4F9B">
        <w:t>r</w:t>
      </w:r>
      <w:r w:rsidRPr="00B0425A">
        <w:t xml:space="preserve">ían ratificar o adherirse al Arreglo </w:t>
      </w:r>
      <w:r w:rsidR="00032F15">
        <w:t>únicamente</w:t>
      </w:r>
      <w:r w:rsidR="008A6CF2">
        <w:t xml:space="preserve">, pero podrían ratificar </w:t>
      </w:r>
      <w:r w:rsidRPr="00B0425A">
        <w:t>o adherirse simultáneamente al A</w:t>
      </w:r>
      <w:r>
        <w:t xml:space="preserve">rreglo </w:t>
      </w:r>
      <w:r w:rsidRPr="00B0425A">
        <w:t>y al Protocolo</w:t>
      </w:r>
      <w:r w:rsidR="002B78F7" w:rsidRPr="00B0425A">
        <w:t xml:space="preserve">;  </w:t>
      </w:r>
    </w:p>
    <w:p w:rsidR="002B78F7" w:rsidRPr="00B0425A" w:rsidRDefault="00B0425A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B0425A">
        <w:t>los países que son Partes Contratantes del Protocolo pod</w:t>
      </w:r>
      <w:r w:rsidR="003B4F9B">
        <w:t>r</w:t>
      </w:r>
      <w:r w:rsidRPr="00B0425A">
        <w:t>ían adherir</w:t>
      </w:r>
      <w:r>
        <w:t>s</w:t>
      </w:r>
      <w:r w:rsidRPr="00B0425A">
        <w:t xml:space="preserve">e al </w:t>
      </w:r>
      <w:r>
        <w:t>Arreglo</w:t>
      </w:r>
      <w:r w:rsidR="002B78F7" w:rsidRPr="00B0425A">
        <w:t xml:space="preserve">;  </w:t>
      </w:r>
    </w:p>
    <w:p w:rsidR="002B78F7" w:rsidRPr="00B0425A" w:rsidRDefault="00B0425A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B0425A">
        <w:t>ya no pod</w:t>
      </w:r>
      <w:r w:rsidR="003B4F9B">
        <w:t>r</w:t>
      </w:r>
      <w:r w:rsidRPr="00B0425A">
        <w:t>ían presentar</w:t>
      </w:r>
      <w:r>
        <w:t>se</w:t>
      </w:r>
      <w:r w:rsidRPr="00B0425A">
        <w:t xml:space="preserve"> </w:t>
      </w:r>
      <w:r>
        <w:t xml:space="preserve">más </w:t>
      </w:r>
      <w:r w:rsidRPr="00B0425A">
        <w:t xml:space="preserve">solicitudes internacionales </w:t>
      </w:r>
      <w:r>
        <w:t xml:space="preserve">en el marco </w:t>
      </w:r>
      <w:r w:rsidRPr="00B0425A">
        <w:t>del Arreglo</w:t>
      </w:r>
      <w:r w:rsidR="002B78F7" w:rsidRPr="00B0425A">
        <w:t xml:space="preserve">;  </w:t>
      </w:r>
    </w:p>
    <w:p w:rsidR="002B78F7" w:rsidRPr="00B0425A" w:rsidRDefault="002B78F7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B0425A">
        <w:t>no</w:t>
      </w:r>
      <w:r w:rsidR="00B0425A" w:rsidRPr="00B0425A">
        <w:t xml:space="preserve"> se efectuaría ninguna actividad en virtud del Arreglo, incluida la presentación de desi</w:t>
      </w:r>
      <w:r w:rsidR="00B0425A">
        <w:t>g</w:t>
      </w:r>
      <w:r w:rsidR="00B0425A" w:rsidRPr="00B0425A">
        <w:t>naciones posteriores</w:t>
      </w:r>
      <w:r w:rsidRPr="00B0425A">
        <w:t xml:space="preserve">;  </w:t>
      </w:r>
    </w:p>
    <w:p w:rsidR="002B78F7" w:rsidRPr="001A392C" w:rsidRDefault="00B0425A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1A392C">
        <w:t xml:space="preserve">el </w:t>
      </w:r>
      <w:r w:rsidR="002B78F7" w:rsidRPr="001A392C">
        <w:t>Art</w:t>
      </w:r>
      <w:r w:rsidRPr="001A392C">
        <w:t xml:space="preserve">ículo </w:t>
      </w:r>
      <w:r w:rsidR="002B78F7" w:rsidRPr="001A392C">
        <w:t>9</w:t>
      </w:r>
      <w:r w:rsidR="002B78F7" w:rsidRPr="001A392C">
        <w:rPr>
          <w:i/>
          <w:iCs/>
        </w:rPr>
        <w:t>sexies</w:t>
      </w:r>
      <w:r w:rsidR="00C209C2">
        <w:rPr>
          <w:i/>
          <w:iCs/>
        </w:rPr>
        <w:t>.</w:t>
      </w:r>
      <w:r w:rsidR="002B78F7" w:rsidRPr="001A392C">
        <w:t xml:space="preserve">1)b) </w:t>
      </w:r>
      <w:r w:rsidRPr="001A392C">
        <w:t xml:space="preserve">del Protocolo se seguiría aplicando </w:t>
      </w:r>
      <w:r w:rsidR="001A392C" w:rsidRPr="001A392C">
        <w:t xml:space="preserve">en las relaciones entre las Partes Contratantes obligadas tanto por el Arreglo como por el </w:t>
      </w:r>
      <w:r w:rsidR="002B78F7" w:rsidRPr="001A392C">
        <w:t>Protocol</w:t>
      </w:r>
      <w:r w:rsidR="001A392C">
        <w:t>o</w:t>
      </w:r>
      <w:r w:rsidR="002B78F7" w:rsidRPr="001A392C">
        <w:t xml:space="preserve">;  </w:t>
      </w:r>
      <w:r w:rsidR="001A392C">
        <w:t>y</w:t>
      </w:r>
      <w:r w:rsidR="002B78F7" w:rsidRPr="001A392C">
        <w:t>,</w:t>
      </w:r>
    </w:p>
    <w:p w:rsidR="002B78F7" w:rsidRPr="004627EA" w:rsidRDefault="003B4F9B" w:rsidP="002B78F7">
      <w:pPr>
        <w:pStyle w:val="ONUMFS"/>
        <w:numPr>
          <w:ilvl w:val="2"/>
          <w:numId w:val="6"/>
        </w:numPr>
        <w:tabs>
          <w:tab w:val="clear" w:pos="1701"/>
        </w:tabs>
        <w:ind w:left="567"/>
      </w:pPr>
      <w:r w:rsidRPr="004627EA">
        <w:t>la Asamblea po</w:t>
      </w:r>
      <w:r w:rsidR="00C209C2">
        <w:t>dría seguir encargándose de todo</w:t>
      </w:r>
      <w:r w:rsidRPr="004627EA">
        <w:t>s l</w:t>
      </w:r>
      <w:r w:rsidR="004627EA" w:rsidRPr="004627EA">
        <w:t xml:space="preserve">os asuntos </w:t>
      </w:r>
      <w:r w:rsidR="006A791D">
        <w:t xml:space="preserve">concernientes </w:t>
      </w:r>
      <w:r w:rsidR="004627EA" w:rsidRPr="004627EA">
        <w:t>a la aplicación del Arreglo y podría volver a considerar, en cualquier momento</w:t>
      </w:r>
      <w:r w:rsidR="008A6CF2">
        <w:t xml:space="preserve"> posterior</w:t>
      </w:r>
      <w:r w:rsidR="004627EA" w:rsidRPr="004627EA">
        <w:t>, su decisi</w:t>
      </w:r>
      <w:r w:rsidR="004627EA">
        <w:t>ó</w:t>
      </w:r>
      <w:r w:rsidR="004627EA" w:rsidRPr="004627EA">
        <w:t xml:space="preserve">n de suspender la aplicación del </w:t>
      </w:r>
      <w:r w:rsidR="002B78F7" w:rsidRPr="004627EA">
        <w:t>Art</w:t>
      </w:r>
      <w:r w:rsidR="004627EA">
        <w:t>í</w:t>
      </w:r>
      <w:r w:rsidR="002B78F7" w:rsidRPr="004627EA">
        <w:t>c</w:t>
      </w:r>
      <w:r w:rsidR="004627EA">
        <w:t xml:space="preserve">ulo </w:t>
      </w:r>
      <w:r w:rsidR="002B78F7" w:rsidRPr="004627EA">
        <w:t>14</w:t>
      </w:r>
      <w:r w:rsidR="004627EA">
        <w:t>.</w:t>
      </w:r>
      <w:r w:rsidR="002B78F7" w:rsidRPr="004627EA">
        <w:t xml:space="preserve">1) </w:t>
      </w:r>
      <w:r w:rsidR="004627EA">
        <w:t xml:space="preserve">y </w:t>
      </w:r>
      <w:r w:rsidR="002B78F7" w:rsidRPr="004627EA">
        <w:t>2)</w:t>
      </w:r>
      <w:r w:rsidR="004627EA">
        <w:t xml:space="preserve"> </w:t>
      </w:r>
      <w:r w:rsidR="002B78F7" w:rsidRPr="004627EA">
        <w:t xml:space="preserve">a) </w:t>
      </w:r>
      <w:r w:rsidR="004627EA">
        <w:t>del Arreglo</w:t>
      </w:r>
      <w:r w:rsidR="002B78F7" w:rsidRPr="004627EA">
        <w:t xml:space="preserve">.  </w:t>
      </w:r>
    </w:p>
    <w:p w:rsidR="002B78F7" w:rsidRPr="001A392C" w:rsidRDefault="004627EA" w:rsidP="002B78F7">
      <w:pPr>
        <w:pStyle w:val="ONUMFS"/>
      </w:pPr>
      <w:r w:rsidRPr="004627EA">
        <w:t>El Grupo de Trabajo solicitó a la Of</w:t>
      </w:r>
      <w:r w:rsidR="00C209C2">
        <w:t>icina Internacional que propusiera</w:t>
      </w:r>
      <w:r w:rsidRPr="004627EA">
        <w:t xml:space="preserve"> </w:t>
      </w:r>
      <w:r>
        <w:t>a la Asamblea la medida más apropiada</w:t>
      </w:r>
      <w:r w:rsidR="002B78F7" w:rsidRPr="004627EA">
        <w:t xml:space="preserve">.  </w:t>
      </w:r>
      <w:r>
        <w:t>Tras considerar con detenimiento las dos opciones disponibles</w:t>
      </w:r>
      <w:r w:rsidR="002B78F7" w:rsidRPr="001A392C">
        <w:t xml:space="preserve">, </w:t>
      </w:r>
      <w:r>
        <w:t xml:space="preserve">la Oficina Internacional propone que la Asamblea tome </w:t>
      </w:r>
      <w:r w:rsidR="001A392C" w:rsidRPr="001A392C">
        <w:t>la decisi</w:t>
      </w:r>
      <w:r>
        <w:t>ó</w:t>
      </w:r>
      <w:r w:rsidR="001A392C" w:rsidRPr="001A392C">
        <w:t xml:space="preserve">n de suspender la aplicación del Artículo 14.1) y </w:t>
      </w:r>
      <w:r w:rsidR="002B78F7" w:rsidRPr="001A392C">
        <w:t xml:space="preserve">2)a) </w:t>
      </w:r>
      <w:r w:rsidR="001A392C" w:rsidRPr="001A392C">
        <w:t>del Arreglo</w:t>
      </w:r>
      <w:r w:rsidR="002B78F7" w:rsidRPr="001A392C">
        <w:t xml:space="preserve">, </w:t>
      </w:r>
      <w:r w:rsidR="001A392C" w:rsidRPr="001A392C">
        <w:t xml:space="preserve">como medida más eficaz para </w:t>
      </w:r>
      <w:r w:rsidR="004F28A8">
        <w:t>velar por</w:t>
      </w:r>
      <w:r w:rsidR="001A392C" w:rsidRPr="001A392C">
        <w:t xml:space="preserve"> la consolidación del Sistema de Madrid como un sistema de tratado único</w:t>
      </w:r>
      <w:r w:rsidR="002B78F7" w:rsidRPr="001A392C">
        <w:t xml:space="preserve">.  </w:t>
      </w:r>
    </w:p>
    <w:p w:rsidR="002B78F7" w:rsidRPr="00A75F18" w:rsidRDefault="001A392C" w:rsidP="002B78F7">
      <w:pPr>
        <w:pStyle w:val="ONUMFS"/>
        <w:tabs>
          <w:tab w:val="clear" w:pos="567"/>
        </w:tabs>
        <w:ind w:left="5529"/>
        <w:rPr>
          <w:i/>
        </w:rPr>
      </w:pPr>
      <w:r w:rsidRPr="00A75F18">
        <w:rPr>
          <w:i/>
        </w:rPr>
        <w:t>Se invita a la Asamblea a</w:t>
      </w:r>
      <w:r w:rsidR="002B78F7" w:rsidRPr="00A75F18">
        <w:rPr>
          <w:i/>
        </w:rPr>
        <w:t xml:space="preserve">:  </w:t>
      </w:r>
    </w:p>
    <w:p w:rsidR="002B78F7" w:rsidRPr="00BF27E2" w:rsidRDefault="00BF27E2" w:rsidP="002B78F7">
      <w:pPr>
        <w:pStyle w:val="ONUMFS"/>
        <w:numPr>
          <w:ilvl w:val="2"/>
          <w:numId w:val="6"/>
        </w:numPr>
        <w:ind w:left="6237"/>
        <w:rPr>
          <w:i/>
        </w:rPr>
      </w:pPr>
      <w:r w:rsidRPr="00BF27E2">
        <w:rPr>
          <w:i/>
        </w:rPr>
        <w:t xml:space="preserve">considerar  las proposiciones incluidas en la  </w:t>
      </w:r>
      <w:r w:rsidR="002B78F7" w:rsidRPr="00BF27E2">
        <w:rPr>
          <w:i/>
        </w:rPr>
        <w:t>“Prop</w:t>
      </w:r>
      <w:r w:rsidRPr="00BF27E2">
        <w:rPr>
          <w:i/>
        </w:rPr>
        <w:t xml:space="preserve">uesta relativa </w:t>
      </w:r>
      <w:r>
        <w:rPr>
          <w:i/>
        </w:rPr>
        <w:t>a las A</w:t>
      </w:r>
      <w:r w:rsidR="003D735D">
        <w:rPr>
          <w:i/>
        </w:rPr>
        <w:t>dhesiones al Arreglo de Madrid</w:t>
      </w:r>
      <w:r w:rsidR="00032F15">
        <w:rPr>
          <w:i/>
        </w:rPr>
        <w:t xml:space="preserve"> únicamente</w:t>
      </w:r>
      <w:r w:rsidR="002B78F7" w:rsidRPr="00BF27E2">
        <w:rPr>
          <w:i/>
        </w:rPr>
        <w:t>” (document</w:t>
      </w:r>
      <w:r w:rsidR="003D735D">
        <w:rPr>
          <w:i/>
        </w:rPr>
        <w:t>o</w:t>
      </w:r>
      <w:r w:rsidR="002B78F7" w:rsidRPr="00BF27E2">
        <w:rPr>
          <w:i/>
        </w:rPr>
        <w:t xml:space="preserve"> MM/A/50/3) </w:t>
      </w:r>
      <w:r w:rsidR="003D735D">
        <w:rPr>
          <w:i/>
        </w:rPr>
        <w:t>y</w:t>
      </w:r>
      <w:r w:rsidR="002B78F7" w:rsidRPr="00BF27E2">
        <w:rPr>
          <w:i/>
        </w:rPr>
        <w:t>,</w:t>
      </w:r>
    </w:p>
    <w:p w:rsidR="002B78F7" w:rsidRDefault="00BF27E2" w:rsidP="002B78F7">
      <w:pPr>
        <w:pStyle w:val="ONUMFS"/>
        <w:numPr>
          <w:ilvl w:val="2"/>
          <w:numId w:val="6"/>
        </w:numPr>
        <w:ind w:left="6237"/>
        <w:rPr>
          <w:i/>
        </w:rPr>
      </w:pPr>
      <w:r w:rsidRPr="00BF27E2">
        <w:rPr>
          <w:i/>
        </w:rPr>
        <w:t>tomar la decisi</w:t>
      </w:r>
      <w:r>
        <w:rPr>
          <w:i/>
        </w:rPr>
        <w:t>ó</w:t>
      </w:r>
      <w:r w:rsidRPr="00BF27E2">
        <w:rPr>
          <w:i/>
        </w:rPr>
        <w:t xml:space="preserve">n de suspender la aplicación del Artículo </w:t>
      </w:r>
      <w:r w:rsidR="002B78F7" w:rsidRPr="00BF27E2">
        <w:rPr>
          <w:i/>
        </w:rPr>
        <w:t>14</w:t>
      </w:r>
      <w:r w:rsidRPr="00BF27E2">
        <w:rPr>
          <w:i/>
        </w:rPr>
        <w:t>.</w:t>
      </w:r>
      <w:r w:rsidR="002B78F7" w:rsidRPr="00BF27E2">
        <w:rPr>
          <w:i/>
        </w:rPr>
        <w:t xml:space="preserve">1) </w:t>
      </w:r>
      <w:r w:rsidRPr="00BF27E2">
        <w:rPr>
          <w:i/>
        </w:rPr>
        <w:t>y</w:t>
      </w:r>
      <w:r w:rsidR="002B78F7" w:rsidRPr="00BF27E2">
        <w:rPr>
          <w:i/>
        </w:rPr>
        <w:t xml:space="preserve"> 2)a) </w:t>
      </w:r>
      <w:r w:rsidRPr="00BF27E2">
        <w:rPr>
          <w:i/>
        </w:rPr>
        <w:t xml:space="preserve">del </w:t>
      </w:r>
      <w:r w:rsidRPr="00BF27E2">
        <w:rPr>
          <w:i/>
          <w:szCs w:val="22"/>
        </w:rPr>
        <w:t xml:space="preserve">Arreglo de Madrid </w:t>
      </w:r>
      <w:r w:rsidR="006A791D">
        <w:rPr>
          <w:i/>
          <w:szCs w:val="22"/>
        </w:rPr>
        <w:t xml:space="preserve">concerniente </w:t>
      </w:r>
      <w:r w:rsidRPr="00BF27E2">
        <w:rPr>
          <w:i/>
          <w:szCs w:val="22"/>
        </w:rPr>
        <w:t>al Registro Internacional de Marcas</w:t>
      </w:r>
      <w:r w:rsidR="002B78F7" w:rsidRPr="00BF27E2">
        <w:rPr>
          <w:i/>
        </w:rPr>
        <w:t xml:space="preserve">, </w:t>
      </w:r>
      <w:r w:rsidRPr="00BF27E2">
        <w:rPr>
          <w:i/>
        </w:rPr>
        <w:t>con los efectos especificados en el p</w:t>
      </w:r>
      <w:r>
        <w:rPr>
          <w:i/>
        </w:rPr>
        <w:t xml:space="preserve">árrafo </w:t>
      </w:r>
      <w:r w:rsidR="002B78F7" w:rsidRPr="00BF27E2">
        <w:rPr>
          <w:i/>
        </w:rPr>
        <w:t xml:space="preserve">10 </w:t>
      </w:r>
      <w:r>
        <w:rPr>
          <w:i/>
        </w:rPr>
        <w:t>del documento mencionado anteriormente, a partir de la fecha de dicha decisión</w:t>
      </w:r>
      <w:r w:rsidR="002B78F7" w:rsidRPr="00BF27E2">
        <w:rPr>
          <w:i/>
        </w:rPr>
        <w:t>.</w:t>
      </w:r>
    </w:p>
    <w:p w:rsidR="003700DA" w:rsidRPr="00BF27E2" w:rsidRDefault="003700DA" w:rsidP="003700DA">
      <w:pPr>
        <w:pStyle w:val="ONUMFS"/>
        <w:numPr>
          <w:ilvl w:val="0"/>
          <w:numId w:val="0"/>
        </w:numPr>
      </w:pPr>
    </w:p>
    <w:p w:rsidR="00152CEA" w:rsidRPr="002B78F7" w:rsidRDefault="002B78F7" w:rsidP="002B78F7">
      <w:pPr>
        <w:pStyle w:val="Endofdocument-Annex"/>
        <w:rPr>
          <w:lang w:val="es-ES"/>
        </w:rPr>
      </w:pPr>
      <w:r w:rsidRPr="002B78F7">
        <w:rPr>
          <w:lang w:val="es-ES"/>
        </w:rPr>
        <w:t>[</w:t>
      </w:r>
      <w:r w:rsidR="00BF27E2">
        <w:rPr>
          <w:lang w:val="es-ES"/>
        </w:rPr>
        <w:t>Fin del documento</w:t>
      </w:r>
      <w:r w:rsidRPr="002B78F7">
        <w:rPr>
          <w:lang w:val="es-ES"/>
        </w:rPr>
        <w:t>]</w:t>
      </w:r>
    </w:p>
    <w:sectPr w:rsidR="00152CEA" w:rsidRPr="002B78F7" w:rsidSect="003700DA">
      <w:headerReference w:type="default" r:id="rId9"/>
      <w:pgSz w:w="11907" w:h="16840" w:code="9"/>
      <w:pgMar w:top="567" w:right="1134" w:bottom="130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F1" w:rsidRDefault="00E711F1">
      <w:r>
        <w:separator/>
      </w:r>
    </w:p>
  </w:endnote>
  <w:endnote w:type="continuationSeparator" w:id="0">
    <w:p w:rsidR="00E711F1" w:rsidRPr="009D30E6" w:rsidRDefault="00E711F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711F1" w:rsidRPr="007E663E" w:rsidRDefault="00E711F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711F1" w:rsidRPr="007E663E" w:rsidRDefault="00E711F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F1" w:rsidRDefault="00E711F1">
      <w:r>
        <w:separator/>
      </w:r>
    </w:p>
  </w:footnote>
  <w:footnote w:type="continuationSeparator" w:id="0">
    <w:p w:rsidR="00E711F1" w:rsidRPr="009D30E6" w:rsidRDefault="00E711F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711F1" w:rsidRPr="007E663E" w:rsidRDefault="00E711F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711F1" w:rsidRPr="007E663E" w:rsidRDefault="00E711F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B78F7" w:rsidRPr="00FC2486" w:rsidRDefault="002B78F7" w:rsidP="002B78F7">
      <w:pPr>
        <w:pStyle w:val="FootnoteText"/>
      </w:pPr>
      <w:r>
        <w:rPr>
          <w:rStyle w:val="FootnoteReference"/>
        </w:rPr>
        <w:footnoteRef/>
      </w:r>
      <w:r w:rsidRPr="00FC2486">
        <w:t xml:space="preserve"> </w:t>
      </w:r>
      <w:r w:rsidRPr="00FC2486">
        <w:tab/>
      </w:r>
      <w:r w:rsidR="004627EA" w:rsidRPr="00FC2486">
        <w:t xml:space="preserve">Véase el documento </w:t>
      </w:r>
      <w:r w:rsidRPr="00FC2486">
        <w:t>MM/LD/WG/13/7 “</w:t>
      </w:r>
      <w:r w:rsidR="004627EA" w:rsidRPr="00FC2486">
        <w:t>Examen de la propuesta de suspensió</w:t>
      </w:r>
      <w:r w:rsidR="003620E6">
        <w:t>n de la aplicación del Artículo </w:t>
      </w:r>
      <w:r w:rsidR="004627EA" w:rsidRPr="00FC2486">
        <w:t>14.1)</w:t>
      </w:r>
      <w:r w:rsidR="00FC2486" w:rsidRPr="00FC2486">
        <w:t xml:space="preserve"> y </w:t>
      </w:r>
      <w:r w:rsidRPr="00FC2486">
        <w:rPr>
          <w:bCs/>
        </w:rPr>
        <w:t xml:space="preserve">2)a) </w:t>
      </w:r>
      <w:r w:rsidR="00FC2486" w:rsidRPr="00FC2486">
        <w:rPr>
          <w:bCs/>
        </w:rPr>
        <w:t>del Arreglo de Madrid relativo al Registro Internacional de Marcas</w:t>
      </w:r>
      <w:r w:rsidRPr="00FC2486">
        <w:rPr>
          <w:bCs/>
        </w:rPr>
        <w:t>” (http://www.wipo.int/meetings/e</w:t>
      </w:r>
      <w:r w:rsidR="00FC2486">
        <w:rPr>
          <w:bCs/>
        </w:rPr>
        <w:t>s</w:t>
      </w:r>
      <w:r w:rsidRPr="00FC2486">
        <w:rPr>
          <w:bCs/>
        </w:rPr>
        <w:t xml:space="preserve">/doc_details.jsp?doc_id=316237).  </w:t>
      </w:r>
    </w:p>
  </w:footnote>
  <w:footnote w:id="3">
    <w:p w:rsidR="002B78F7" w:rsidRPr="00D60EDD" w:rsidRDefault="002B78F7" w:rsidP="002B78F7">
      <w:pPr>
        <w:pStyle w:val="FootnoteText"/>
      </w:pPr>
      <w:r>
        <w:rPr>
          <w:rStyle w:val="FootnoteReference"/>
        </w:rPr>
        <w:footnoteRef/>
      </w:r>
      <w:r w:rsidRPr="00D60EDD">
        <w:tab/>
      </w:r>
      <w:r w:rsidR="00FC2486" w:rsidRPr="00D60EDD">
        <w:t>Véase el documento</w:t>
      </w:r>
      <w:r w:rsidRPr="00D60EDD">
        <w:t xml:space="preserve"> MM/A/37/4 “</w:t>
      </w:r>
      <w:r w:rsidR="00FC2486" w:rsidRPr="00D60EDD">
        <w:t>Informe</w:t>
      </w:r>
      <w:r w:rsidRPr="00D60EDD">
        <w:t>” (http://www.wipo.int/meetings/e</w:t>
      </w:r>
      <w:r w:rsidR="00FC2486" w:rsidRPr="00D60EDD">
        <w:t>s</w:t>
      </w:r>
      <w:r w:rsidRPr="00D60EDD">
        <w:t>/</w:t>
      </w:r>
      <w:r w:rsidR="003620E6">
        <w:t>doc_details.jsp?doc_id=72054).</w:t>
      </w:r>
    </w:p>
  </w:footnote>
  <w:footnote w:id="4">
    <w:p w:rsidR="002B78F7" w:rsidRPr="00FC2486" w:rsidRDefault="002B78F7" w:rsidP="002B78F7">
      <w:pPr>
        <w:pStyle w:val="FootnoteText"/>
      </w:pPr>
      <w:r>
        <w:rPr>
          <w:rStyle w:val="FootnoteReference"/>
        </w:rPr>
        <w:footnoteRef/>
      </w:r>
      <w:r w:rsidRPr="00FC2486">
        <w:t xml:space="preserve"> </w:t>
      </w:r>
      <w:r w:rsidRPr="00FC2486">
        <w:tab/>
      </w:r>
      <w:r w:rsidR="00FC2486" w:rsidRPr="00FC2486">
        <w:t xml:space="preserve">Véase el párrafo </w:t>
      </w:r>
      <w:r w:rsidRPr="00FC2486">
        <w:t>112</w:t>
      </w:r>
      <w:r w:rsidR="00FC2486" w:rsidRPr="00FC2486">
        <w:t xml:space="preserve"> del </w:t>
      </w:r>
      <w:r w:rsidRPr="00FC2486">
        <w:t>document</w:t>
      </w:r>
      <w:r w:rsidR="00FC2486" w:rsidRPr="00FC2486">
        <w:t>o</w:t>
      </w:r>
      <w:r w:rsidRPr="00FC2486">
        <w:t> MM/LD/WG/1/2 “</w:t>
      </w:r>
      <w:r w:rsidRPr="00FC2486">
        <w:rPr>
          <w:bCs/>
        </w:rPr>
        <w:t>Revi</w:t>
      </w:r>
      <w:r w:rsidR="0046059E">
        <w:rPr>
          <w:bCs/>
        </w:rPr>
        <w:t>sión del p</w:t>
      </w:r>
      <w:r w:rsidR="00FC2486" w:rsidRPr="00FC2486">
        <w:rPr>
          <w:bCs/>
        </w:rPr>
        <w:t xml:space="preserve">rocedimiento de </w:t>
      </w:r>
      <w:r w:rsidR="0046059E">
        <w:rPr>
          <w:bCs/>
        </w:rPr>
        <w:t>d</w:t>
      </w:r>
      <w:r w:rsidR="00FC2486" w:rsidRPr="00FC2486">
        <w:rPr>
          <w:bCs/>
        </w:rPr>
        <w:t xml:space="preserve">enegación y de la </w:t>
      </w:r>
      <w:r w:rsidR="0046059E">
        <w:rPr>
          <w:bCs/>
        </w:rPr>
        <w:t>c</w:t>
      </w:r>
      <w:r w:rsidR="00FC2486" w:rsidRPr="00FC2486">
        <w:rPr>
          <w:bCs/>
        </w:rPr>
        <w:t xml:space="preserve">láusula de </w:t>
      </w:r>
      <w:r w:rsidR="0046059E">
        <w:rPr>
          <w:bCs/>
        </w:rPr>
        <w:t>s</w:t>
      </w:r>
      <w:r w:rsidR="00FC2486" w:rsidRPr="00FC2486">
        <w:rPr>
          <w:bCs/>
        </w:rPr>
        <w:t xml:space="preserve">alvaguardia del Protocolo de Madrid, y </w:t>
      </w:r>
      <w:r w:rsidR="0046059E">
        <w:rPr>
          <w:bCs/>
        </w:rPr>
        <w:t>p</w:t>
      </w:r>
      <w:r w:rsidR="00FC2486" w:rsidRPr="00FC2486">
        <w:rPr>
          <w:bCs/>
        </w:rPr>
        <w:t xml:space="preserve">osibles </w:t>
      </w:r>
      <w:r w:rsidR="0046059E">
        <w:rPr>
          <w:bCs/>
        </w:rPr>
        <w:t>m</w:t>
      </w:r>
      <w:r w:rsidR="00FC2486">
        <w:rPr>
          <w:bCs/>
        </w:rPr>
        <w:t>odificaciones al Reglamento Común</w:t>
      </w:r>
      <w:r w:rsidRPr="00FC2486">
        <w:rPr>
          <w:bCs/>
        </w:rPr>
        <w:t>” (http://www.wipo.int/meetings/e</w:t>
      </w:r>
      <w:r w:rsidR="00FC2486">
        <w:rPr>
          <w:bCs/>
        </w:rPr>
        <w:t>s</w:t>
      </w:r>
      <w:r w:rsidRPr="00FC2486">
        <w:rPr>
          <w:bCs/>
        </w:rPr>
        <w:t>/</w:t>
      </w:r>
      <w:r w:rsidR="00615CB8">
        <w:rPr>
          <w:bCs/>
        </w:rPr>
        <w:t>doc_details.jsp?doc_id=43173).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E07B47" w:rsidP="00477D6B">
    <w:pPr>
      <w:jc w:val="right"/>
    </w:pPr>
    <w:bookmarkStart w:id="6" w:name="Code2"/>
    <w:bookmarkEnd w:id="6"/>
    <w:r>
      <w:t>MM/A/50/3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026F4">
      <w:rPr>
        <w:noProof/>
      </w:rPr>
      <w:t>3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EC4C6F"/>
    <w:multiLevelType w:val="multilevel"/>
    <w:tmpl w:val="02B418F0"/>
    <w:lvl w:ilvl="0">
      <w:start w:val="1"/>
      <w:numFmt w:val="lowerRoman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FB19A2"/>
    <w:multiLevelType w:val="multilevel"/>
    <w:tmpl w:val="A3EC2FF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  <w:lang w:val="es-E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156E7F"/>
    <w:multiLevelType w:val="hybridMultilevel"/>
    <w:tmpl w:val="9CECA864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00B06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F330BF"/>
    <w:multiLevelType w:val="multilevel"/>
    <w:tmpl w:val="83CCB31E"/>
    <w:lvl w:ilvl="0">
      <w:start w:val="1"/>
      <w:numFmt w:val="lowerRoman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51F86504"/>
    <w:multiLevelType w:val="multilevel"/>
    <w:tmpl w:val="62025374"/>
    <w:lvl w:ilvl="0">
      <w:start w:val="1"/>
      <w:numFmt w:val="lowerRoman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7"/>
    <w:rsid w:val="00032F15"/>
    <w:rsid w:val="00053A3D"/>
    <w:rsid w:val="0005566E"/>
    <w:rsid w:val="000E3BB3"/>
    <w:rsid w:val="000F5E56"/>
    <w:rsid w:val="001362EE"/>
    <w:rsid w:val="00152CEA"/>
    <w:rsid w:val="001832A6"/>
    <w:rsid w:val="001A392C"/>
    <w:rsid w:val="001C4DD3"/>
    <w:rsid w:val="002205E8"/>
    <w:rsid w:val="002634C4"/>
    <w:rsid w:val="00264569"/>
    <w:rsid w:val="002B0933"/>
    <w:rsid w:val="002B78F7"/>
    <w:rsid w:val="002F4E68"/>
    <w:rsid w:val="003026F4"/>
    <w:rsid w:val="00354647"/>
    <w:rsid w:val="003620E6"/>
    <w:rsid w:val="00362688"/>
    <w:rsid w:val="00365E6B"/>
    <w:rsid w:val="003700DA"/>
    <w:rsid w:val="00377273"/>
    <w:rsid w:val="003845C1"/>
    <w:rsid w:val="00387287"/>
    <w:rsid w:val="003B4F9B"/>
    <w:rsid w:val="003B68A5"/>
    <w:rsid w:val="003D41D4"/>
    <w:rsid w:val="003D735D"/>
    <w:rsid w:val="00423E3E"/>
    <w:rsid w:val="00427AF4"/>
    <w:rsid w:val="0044535B"/>
    <w:rsid w:val="0045231F"/>
    <w:rsid w:val="0046059E"/>
    <w:rsid w:val="004627EA"/>
    <w:rsid w:val="004647DA"/>
    <w:rsid w:val="00477D6B"/>
    <w:rsid w:val="004A6C37"/>
    <w:rsid w:val="004B14E5"/>
    <w:rsid w:val="004F28A8"/>
    <w:rsid w:val="00544861"/>
    <w:rsid w:val="0055013B"/>
    <w:rsid w:val="0056224D"/>
    <w:rsid w:val="00571B99"/>
    <w:rsid w:val="00580A4A"/>
    <w:rsid w:val="005B1B64"/>
    <w:rsid w:val="005E06A6"/>
    <w:rsid w:val="00605827"/>
    <w:rsid w:val="00615CB8"/>
    <w:rsid w:val="0063482E"/>
    <w:rsid w:val="00675021"/>
    <w:rsid w:val="0068240F"/>
    <w:rsid w:val="006A06C6"/>
    <w:rsid w:val="006A5152"/>
    <w:rsid w:val="006A791D"/>
    <w:rsid w:val="006B08A1"/>
    <w:rsid w:val="00774542"/>
    <w:rsid w:val="007E663E"/>
    <w:rsid w:val="00815082"/>
    <w:rsid w:val="008A6CF2"/>
    <w:rsid w:val="008B2CC1"/>
    <w:rsid w:val="008B7CCD"/>
    <w:rsid w:val="0090731E"/>
    <w:rsid w:val="009251F9"/>
    <w:rsid w:val="00966A22"/>
    <w:rsid w:val="00972F03"/>
    <w:rsid w:val="009A0C8B"/>
    <w:rsid w:val="009B6241"/>
    <w:rsid w:val="009E06E8"/>
    <w:rsid w:val="00A16FC0"/>
    <w:rsid w:val="00A32C9E"/>
    <w:rsid w:val="00A7453D"/>
    <w:rsid w:val="00A75F18"/>
    <w:rsid w:val="00AB613D"/>
    <w:rsid w:val="00B0425A"/>
    <w:rsid w:val="00B65A0A"/>
    <w:rsid w:val="00B72D36"/>
    <w:rsid w:val="00BC4164"/>
    <w:rsid w:val="00BD2DCC"/>
    <w:rsid w:val="00BE1A8C"/>
    <w:rsid w:val="00BE3453"/>
    <w:rsid w:val="00BF27E2"/>
    <w:rsid w:val="00C209C2"/>
    <w:rsid w:val="00C70AEC"/>
    <w:rsid w:val="00C823D7"/>
    <w:rsid w:val="00C90559"/>
    <w:rsid w:val="00CB6D16"/>
    <w:rsid w:val="00CD2451"/>
    <w:rsid w:val="00CE15D5"/>
    <w:rsid w:val="00D20283"/>
    <w:rsid w:val="00D34B35"/>
    <w:rsid w:val="00D40CF0"/>
    <w:rsid w:val="00D56C7C"/>
    <w:rsid w:val="00D60EDD"/>
    <w:rsid w:val="00D71B4D"/>
    <w:rsid w:val="00D90289"/>
    <w:rsid w:val="00D93D55"/>
    <w:rsid w:val="00D97AFA"/>
    <w:rsid w:val="00DA3D93"/>
    <w:rsid w:val="00DA6405"/>
    <w:rsid w:val="00DE13D2"/>
    <w:rsid w:val="00E07B47"/>
    <w:rsid w:val="00E27C5C"/>
    <w:rsid w:val="00E45C84"/>
    <w:rsid w:val="00E504E5"/>
    <w:rsid w:val="00E711F1"/>
    <w:rsid w:val="00EB7A3E"/>
    <w:rsid w:val="00EC401A"/>
    <w:rsid w:val="00EF530A"/>
    <w:rsid w:val="00EF6622"/>
    <w:rsid w:val="00F5083C"/>
    <w:rsid w:val="00F55408"/>
    <w:rsid w:val="00F659E1"/>
    <w:rsid w:val="00F66152"/>
    <w:rsid w:val="00F70DE8"/>
    <w:rsid w:val="00F80845"/>
    <w:rsid w:val="00F84474"/>
    <w:rsid w:val="00FC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B0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B08A1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2B78F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2B78F7"/>
    <w:rPr>
      <w:rFonts w:ascii="Arial" w:eastAsia="SimSun" w:hAnsi="Arial" w:cs="Arial"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B0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B08A1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2B78F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2B78F7"/>
    <w:rPr>
      <w:rFonts w:ascii="Arial" w:eastAsia="SimSun" w:hAnsi="Arial" w:cs="Arial"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A 50 (S).dotm</Template>
  <TotalTime>0</TotalTime>
  <Pages>3</Pages>
  <Words>1193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MM/A/50/3</vt:lpstr>
    </vt:vector>
  </TitlesOfParts>
  <Company>WIPO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MM/A/50/3</dc:title>
  <dc:creator>PUCHOL BOGANI Fernando</dc:creator>
  <dc:description>FP - 9.6.2013
JC (QC) - 11.6.2016</dc:description>
  <cp:lastModifiedBy>DORE Marie-Pierre</cp:lastModifiedBy>
  <cp:revision>2</cp:revision>
  <cp:lastPrinted>2016-06-20T13:41:00Z</cp:lastPrinted>
  <dcterms:created xsi:type="dcterms:W3CDTF">2016-06-20T13:58:00Z</dcterms:created>
  <dcterms:modified xsi:type="dcterms:W3CDTF">2016-06-20T13:58:00Z</dcterms:modified>
</cp:coreProperties>
</file>