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504E5" w:rsidRPr="00F71EB3" w:rsidTr="00A7453D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F71EB3" w:rsidRDefault="00E504E5" w:rsidP="00AB613D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F71EB3" w:rsidRDefault="008501C7" w:rsidP="00AB613D">
            <w:r w:rsidRPr="00F71EB3">
              <w:rPr>
                <w:noProof/>
                <w:lang w:val="en-US" w:eastAsia="en-US"/>
              </w:rPr>
              <w:drawing>
                <wp:inline distT="0" distB="0" distL="0" distR="0" wp14:anchorId="6F82F594" wp14:editId="0E1412CC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F71EB3" w:rsidRDefault="00E504E5" w:rsidP="00AB613D">
            <w:pPr>
              <w:jc w:val="right"/>
            </w:pPr>
            <w:r w:rsidRPr="00F71EB3">
              <w:rPr>
                <w:b/>
                <w:sz w:val="40"/>
                <w:szCs w:val="40"/>
              </w:rPr>
              <w:t>S</w:t>
            </w:r>
          </w:p>
        </w:tc>
      </w:tr>
      <w:tr w:rsidR="008B2CC1" w:rsidRPr="00F71EB3" w:rsidTr="00AB613D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F71EB3" w:rsidRDefault="0009278B" w:rsidP="00AB613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F71EB3">
              <w:rPr>
                <w:rFonts w:ascii="Arial Black" w:hAnsi="Arial Black"/>
                <w:caps/>
                <w:sz w:val="15"/>
              </w:rPr>
              <w:t>MM/A/49</w:t>
            </w:r>
            <w:r w:rsidR="00FD4179" w:rsidRPr="00F71EB3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="00A80483" w:rsidRPr="00F71EB3">
              <w:rPr>
                <w:rFonts w:ascii="Arial Black" w:hAnsi="Arial Black"/>
                <w:caps/>
                <w:sz w:val="15"/>
              </w:rPr>
              <w:t>2</w:t>
            </w:r>
            <w:r w:rsidR="008B2CC1" w:rsidRPr="00F71EB3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F71EB3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F71EB3" w:rsidRDefault="008B2CC1" w:rsidP="00AB613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F71EB3">
              <w:rPr>
                <w:rFonts w:ascii="Arial Black" w:hAnsi="Arial Black"/>
                <w:caps/>
                <w:sz w:val="15"/>
              </w:rPr>
              <w:t>ORIGINAL:</w:t>
            </w:r>
            <w:r w:rsidR="00F84474" w:rsidRPr="00F71EB3">
              <w:rPr>
                <w:rFonts w:ascii="Arial Black" w:hAnsi="Arial Black"/>
                <w:caps/>
                <w:sz w:val="15"/>
              </w:rPr>
              <w:t xml:space="preserve"> </w:t>
            </w:r>
            <w:r w:rsidRPr="00F71EB3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="00A80483" w:rsidRPr="00F71EB3">
              <w:rPr>
                <w:rFonts w:ascii="Arial Black" w:hAnsi="Arial Black"/>
                <w:caps/>
                <w:sz w:val="15"/>
              </w:rPr>
              <w:t>INGLÉS</w:t>
            </w:r>
          </w:p>
        </w:tc>
      </w:tr>
      <w:tr w:rsidR="008B2CC1" w:rsidRPr="00F71EB3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F71EB3" w:rsidRDefault="00675021" w:rsidP="0009278B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F71EB3">
              <w:rPr>
                <w:rFonts w:ascii="Arial Black" w:hAnsi="Arial Black"/>
                <w:caps/>
                <w:sz w:val="15"/>
              </w:rPr>
              <w:t>fecha</w:t>
            </w:r>
            <w:r w:rsidR="008B2CC1" w:rsidRPr="00F71EB3">
              <w:rPr>
                <w:rFonts w:ascii="Arial Black" w:hAnsi="Arial Black"/>
                <w:caps/>
                <w:sz w:val="15"/>
              </w:rPr>
              <w:t>:</w:t>
            </w:r>
            <w:r w:rsidR="00F84474" w:rsidRPr="00F71EB3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F71EB3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09278B" w:rsidRPr="00F71EB3">
              <w:rPr>
                <w:rFonts w:ascii="Arial Black" w:hAnsi="Arial Black"/>
                <w:caps/>
                <w:sz w:val="15"/>
              </w:rPr>
              <w:t xml:space="preserve">7 </w:t>
            </w:r>
            <w:r w:rsidR="00A80483" w:rsidRPr="00F71EB3">
              <w:rPr>
                <w:rFonts w:ascii="Arial Black" w:hAnsi="Arial Black"/>
                <w:caps/>
                <w:sz w:val="15"/>
              </w:rPr>
              <w:t xml:space="preserve"> DE JU</w:t>
            </w:r>
            <w:r w:rsidR="0009278B" w:rsidRPr="00F71EB3">
              <w:rPr>
                <w:rFonts w:ascii="Arial Black" w:hAnsi="Arial Black"/>
                <w:caps/>
                <w:sz w:val="15"/>
              </w:rPr>
              <w:t>L</w:t>
            </w:r>
            <w:r w:rsidR="00A80483" w:rsidRPr="00F71EB3">
              <w:rPr>
                <w:rFonts w:ascii="Arial Black" w:hAnsi="Arial Black"/>
                <w:caps/>
                <w:sz w:val="15"/>
              </w:rPr>
              <w:t>IO DE 201</w:t>
            </w:r>
            <w:r w:rsidR="0009278B" w:rsidRPr="00F71EB3">
              <w:rPr>
                <w:rFonts w:ascii="Arial Black" w:hAnsi="Arial Black"/>
                <w:caps/>
                <w:sz w:val="15"/>
              </w:rPr>
              <w:t>5</w:t>
            </w:r>
          </w:p>
        </w:tc>
      </w:tr>
    </w:tbl>
    <w:p w:rsidR="008B2CC1" w:rsidRPr="00F71EB3" w:rsidRDefault="008B2CC1" w:rsidP="008B2CC1"/>
    <w:p w:rsidR="008B2CC1" w:rsidRPr="00F71EB3" w:rsidRDefault="008B2CC1" w:rsidP="008B2CC1"/>
    <w:p w:rsidR="008B2CC1" w:rsidRPr="00F71EB3" w:rsidRDefault="008B2CC1" w:rsidP="008B2CC1"/>
    <w:p w:rsidR="008B2CC1" w:rsidRPr="00F71EB3" w:rsidRDefault="008B2CC1" w:rsidP="008B2CC1"/>
    <w:p w:rsidR="008B2CC1" w:rsidRPr="00F71EB3" w:rsidRDefault="008B2CC1" w:rsidP="008B2CC1"/>
    <w:p w:rsidR="008B2CC1" w:rsidRPr="00F71EB3" w:rsidRDefault="00FD4179" w:rsidP="008B2CC1">
      <w:pPr>
        <w:rPr>
          <w:b/>
          <w:sz w:val="28"/>
          <w:szCs w:val="28"/>
        </w:rPr>
      </w:pPr>
      <w:r w:rsidRPr="00F71EB3">
        <w:rPr>
          <w:b/>
          <w:sz w:val="28"/>
          <w:szCs w:val="28"/>
        </w:rPr>
        <w:t>Unión Particular para el Registro Internacional de Marcas</w:t>
      </w:r>
      <w:r w:rsidRPr="00F71EB3">
        <w:rPr>
          <w:b/>
          <w:sz w:val="28"/>
          <w:szCs w:val="28"/>
        </w:rPr>
        <w:br/>
        <w:t>(Unión de Madrid)</w:t>
      </w:r>
    </w:p>
    <w:p w:rsidR="003845C1" w:rsidRPr="00F71EB3" w:rsidRDefault="003845C1" w:rsidP="003845C1"/>
    <w:p w:rsidR="001C4DD3" w:rsidRPr="00F71EB3" w:rsidRDefault="001C4DD3" w:rsidP="003845C1"/>
    <w:p w:rsidR="001C4DD3" w:rsidRPr="00F71EB3" w:rsidRDefault="001C4DD3" w:rsidP="003845C1">
      <w:pPr>
        <w:rPr>
          <w:b/>
          <w:sz w:val="28"/>
          <w:szCs w:val="28"/>
        </w:rPr>
      </w:pPr>
      <w:r w:rsidRPr="00F71EB3">
        <w:rPr>
          <w:b/>
          <w:sz w:val="28"/>
          <w:szCs w:val="28"/>
        </w:rPr>
        <w:t>Asamblea</w:t>
      </w:r>
    </w:p>
    <w:p w:rsidR="001C4DD3" w:rsidRPr="00F71EB3" w:rsidRDefault="001C4DD3" w:rsidP="003845C1"/>
    <w:p w:rsidR="003845C1" w:rsidRPr="00F71EB3" w:rsidRDefault="003845C1" w:rsidP="003845C1"/>
    <w:p w:rsidR="00B42B03" w:rsidRPr="00F71EB3" w:rsidRDefault="00B42B03" w:rsidP="00B42B03">
      <w:pPr>
        <w:rPr>
          <w:b/>
          <w:sz w:val="24"/>
          <w:szCs w:val="24"/>
        </w:rPr>
      </w:pPr>
      <w:r w:rsidRPr="00F71EB3">
        <w:rPr>
          <w:b/>
          <w:sz w:val="24"/>
          <w:szCs w:val="24"/>
        </w:rPr>
        <w:t>Cuadragésimo noveno período de sesiones (21º ordinario)</w:t>
      </w:r>
    </w:p>
    <w:p w:rsidR="00B42B03" w:rsidRPr="00F71EB3" w:rsidRDefault="00B42B03" w:rsidP="00B42B03">
      <w:pPr>
        <w:rPr>
          <w:b/>
          <w:sz w:val="24"/>
          <w:szCs w:val="24"/>
        </w:rPr>
      </w:pPr>
      <w:r w:rsidRPr="00F71EB3">
        <w:rPr>
          <w:b/>
          <w:sz w:val="24"/>
          <w:szCs w:val="24"/>
        </w:rPr>
        <w:t>Ginebra, 5 a 14 de octubre de 2015</w:t>
      </w:r>
    </w:p>
    <w:p w:rsidR="008B2CC1" w:rsidRPr="00F71EB3" w:rsidRDefault="008B2CC1" w:rsidP="008B2CC1"/>
    <w:p w:rsidR="008B2CC1" w:rsidRPr="00F71EB3" w:rsidRDefault="008B2CC1" w:rsidP="008B2CC1"/>
    <w:p w:rsidR="008B2CC1" w:rsidRPr="00F71EB3" w:rsidRDefault="008B2CC1" w:rsidP="008B2CC1"/>
    <w:p w:rsidR="009556BA" w:rsidRPr="00F71EB3" w:rsidRDefault="009556BA" w:rsidP="009556BA">
      <w:pPr>
        <w:rPr>
          <w:caps/>
          <w:sz w:val="24"/>
        </w:rPr>
      </w:pPr>
      <w:bookmarkStart w:id="3" w:name="TitleOfDoc"/>
      <w:bookmarkEnd w:id="3"/>
      <w:r w:rsidRPr="00F71EB3">
        <w:rPr>
          <w:caps/>
          <w:szCs w:val="22"/>
        </w:rPr>
        <w:t>Informe sobre la marcha</w:t>
      </w:r>
      <w:r w:rsidRPr="00F71EB3">
        <w:rPr>
          <w:caps/>
          <w:sz w:val="24"/>
        </w:rPr>
        <w:t xml:space="preserve"> </w:t>
      </w:r>
      <w:r w:rsidRPr="00F71EB3">
        <w:t>DE LAS ACTIVIDADES RELATIVAS A LA BASE DE DATOS SOBRE PRODUCTOS Y SERVICIOS DEL SISTEMA DE MADRID</w:t>
      </w:r>
    </w:p>
    <w:p w:rsidR="009556BA" w:rsidRPr="00F71EB3" w:rsidRDefault="009556BA" w:rsidP="009556BA"/>
    <w:p w:rsidR="009556BA" w:rsidRPr="00F71EB3" w:rsidRDefault="009556BA" w:rsidP="009556BA">
      <w:pPr>
        <w:rPr>
          <w:i/>
        </w:rPr>
      </w:pPr>
      <w:bookmarkStart w:id="4" w:name="Prepared"/>
      <w:bookmarkEnd w:id="4"/>
      <w:r w:rsidRPr="00F71EB3">
        <w:rPr>
          <w:i/>
        </w:rPr>
        <w:t>preparado por la Oficina Internacional</w:t>
      </w:r>
    </w:p>
    <w:p w:rsidR="009556BA" w:rsidRPr="00F71EB3" w:rsidRDefault="009556BA" w:rsidP="009556BA"/>
    <w:p w:rsidR="009556BA" w:rsidRPr="00F71EB3" w:rsidRDefault="009556BA" w:rsidP="009556BA"/>
    <w:p w:rsidR="009556BA" w:rsidRPr="00F71EB3" w:rsidRDefault="009556BA" w:rsidP="009556BA"/>
    <w:p w:rsidR="009556BA" w:rsidRPr="00F71EB3" w:rsidRDefault="009556BA" w:rsidP="009556BA">
      <w:pPr>
        <w:pStyle w:val="Heading1"/>
      </w:pPr>
      <w:r w:rsidRPr="00F71EB3">
        <w:rPr>
          <w:caps w:val="0"/>
        </w:rPr>
        <w:t>INTRODUCCIÓN</w:t>
      </w:r>
    </w:p>
    <w:p w:rsidR="009556BA" w:rsidRPr="00F71EB3" w:rsidRDefault="009556BA" w:rsidP="009556BA"/>
    <w:p w:rsidR="009556BA" w:rsidRPr="00F71EB3" w:rsidRDefault="009556BA" w:rsidP="009556BA">
      <w:r w:rsidRPr="00F71EB3">
        <w:fldChar w:fldCharType="begin"/>
      </w:r>
      <w:r w:rsidRPr="00F71EB3">
        <w:instrText xml:space="preserve"> AUTONUM  </w:instrText>
      </w:r>
      <w:r w:rsidRPr="00F71EB3">
        <w:fldChar w:fldCharType="end"/>
      </w:r>
      <w:r w:rsidRPr="00F71EB3">
        <w:tab/>
        <w:t>El presente documento tiene por fin</w:t>
      </w:r>
      <w:r w:rsidR="00C914B7" w:rsidRPr="00F71EB3">
        <w:t>alidad</w:t>
      </w:r>
      <w:r w:rsidRPr="00F71EB3">
        <w:t xml:space="preserve"> presentar un informe sobre la marcha de las actividades relativas a la creación de la Base de datos de indicaciones válidas de productos y servicios a los fines</w:t>
      </w:r>
      <w:r w:rsidR="00361B10" w:rsidRPr="00F71EB3">
        <w:t xml:space="preserve"> de los procedimientos del S</w:t>
      </w:r>
      <w:r w:rsidRPr="00F71EB3">
        <w:t xml:space="preserve">istema de Madrid (denominada en adelante “Base de datos sobre productos y servicios del </w:t>
      </w:r>
      <w:r w:rsidR="00361B10" w:rsidRPr="00F71EB3">
        <w:t>S</w:t>
      </w:r>
      <w:r w:rsidRPr="00F71EB3">
        <w:t>istema de Madrid” o “</w:t>
      </w:r>
      <w:r w:rsidR="000856F8">
        <w:t>Base de Datos MGS</w:t>
      </w:r>
      <w:r w:rsidRPr="00F71EB3">
        <w:t>” por sus siglas en inglés).</w:t>
      </w:r>
    </w:p>
    <w:p w:rsidR="009556BA" w:rsidRPr="00F71EB3" w:rsidRDefault="009556BA" w:rsidP="009556BA">
      <w:pPr>
        <w:tabs>
          <w:tab w:val="num" w:pos="440"/>
        </w:tabs>
      </w:pPr>
    </w:p>
    <w:p w:rsidR="009556BA" w:rsidRPr="00F71EB3" w:rsidRDefault="009556BA" w:rsidP="009556BA">
      <w:r w:rsidRPr="00F71EB3">
        <w:fldChar w:fldCharType="begin"/>
      </w:r>
      <w:r w:rsidRPr="00F71EB3">
        <w:instrText xml:space="preserve"> AUTONUM  </w:instrText>
      </w:r>
      <w:r w:rsidRPr="00F71EB3">
        <w:fldChar w:fldCharType="end"/>
      </w:r>
      <w:r w:rsidRPr="00F71EB3">
        <w:tab/>
        <w:t xml:space="preserve">En septiembre de 2009, la Asamblea de la Unión de Madrid aprobó un proyecto de dos años encaminado a crear la </w:t>
      </w:r>
      <w:r w:rsidR="000856F8">
        <w:t>Base de Datos MGS</w:t>
      </w:r>
      <w:r w:rsidRPr="00F71EB3">
        <w:t>, tal como se describe en el documento MM/A/42/3, y se asignó un importe de 1,2 millones de francos suizos del Fondo de Reserva de la Unión de Madrid a los fines de su ejecución durante el bienio 2010</w:t>
      </w:r>
      <w:r w:rsidRPr="00F71EB3">
        <w:noBreakHyphen/>
        <w:t xml:space="preserve">2011 (véase el párrafo 28 del documento MM/A/42/4).  </w:t>
      </w:r>
      <w:r w:rsidR="00A55456" w:rsidRPr="00F71EB3">
        <w:t>S</w:t>
      </w:r>
      <w:r w:rsidR="001113D8" w:rsidRPr="00F71EB3">
        <w:t xml:space="preserve">e han presentado </w:t>
      </w:r>
      <w:r w:rsidRPr="00F71EB3">
        <w:t xml:space="preserve">a la Asamblea de la Unión de Madrid </w:t>
      </w:r>
      <w:r w:rsidR="00A55456" w:rsidRPr="00F71EB3">
        <w:t>seis</w:t>
      </w:r>
      <w:r w:rsidR="00361B10" w:rsidRPr="00F71EB3">
        <w:t xml:space="preserve"> </w:t>
      </w:r>
      <w:r w:rsidRPr="00F71EB3">
        <w:t>informes sobre la marcha de las actividades (véanse los documentos MM/A/42/</w:t>
      </w:r>
      <w:r w:rsidR="00A55456" w:rsidRPr="00F71EB3">
        <w:t>3</w:t>
      </w:r>
      <w:r w:rsidRPr="00F71EB3">
        <w:t>,  MM/A/43/2, MM/A/44/</w:t>
      </w:r>
      <w:r w:rsidR="00A55456" w:rsidRPr="00F71EB3">
        <w:t>3</w:t>
      </w:r>
      <w:r w:rsidR="00B37859" w:rsidRPr="00F71EB3">
        <w:t xml:space="preserve">, </w:t>
      </w:r>
      <w:r w:rsidRPr="00F71EB3">
        <w:t>MM/A/45/2</w:t>
      </w:r>
      <w:r w:rsidR="00A55456" w:rsidRPr="00F71EB3">
        <w:t xml:space="preserve">, </w:t>
      </w:r>
      <w:r w:rsidR="00361B10" w:rsidRPr="00F71EB3">
        <w:t>MM/A/46/2</w:t>
      </w:r>
      <w:r w:rsidR="00702134">
        <w:t xml:space="preserve"> Rev.</w:t>
      </w:r>
      <w:r w:rsidR="00A55456" w:rsidRPr="00F71EB3">
        <w:t xml:space="preserve"> y MM/A/48/2</w:t>
      </w:r>
      <w:r w:rsidRPr="00F71EB3">
        <w:t>).</w:t>
      </w:r>
    </w:p>
    <w:p w:rsidR="009556BA" w:rsidRPr="00F71EB3" w:rsidRDefault="009556BA" w:rsidP="009556BA"/>
    <w:p w:rsidR="009556BA" w:rsidRPr="00F71EB3" w:rsidRDefault="009556BA" w:rsidP="009556BA">
      <w:r w:rsidRPr="00F71EB3">
        <w:fldChar w:fldCharType="begin"/>
      </w:r>
      <w:r w:rsidRPr="00F71EB3">
        <w:instrText xml:space="preserve"> AUTONUM  </w:instrText>
      </w:r>
      <w:r w:rsidRPr="00F71EB3">
        <w:fldChar w:fldCharType="end"/>
      </w:r>
      <w:r w:rsidRPr="00F71EB3">
        <w:tab/>
      </w:r>
      <w:r w:rsidR="001113D8" w:rsidRPr="00F71EB3">
        <w:t xml:space="preserve">Dado que el proyecto de la </w:t>
      </w:r>
      <w:r w:rsidR="000856F8">
        <w:t>Base de Datos MGS</w:t>
      </w:r>
      <w:r w:rsidR="001113D8" w:rsidRPr="00F71EB3">
        <w:t xml:space="preserve"> entró en funcionamiento e</w:t>
      </w:r>
      <w:r w:rsidRPr="00F71EB3">
        <w:t xml:space="preserve">l 1 de enero de 2012, el apoyo </w:t>
      </w:r>
      <w:r w:rsidR="001113D8" w:rsidRPr="00F71EB3">
        <w:t xml:space="preserve">operativo necesario </w:t>
      </w:r>
      <w:r w:rsidRPr="00F71EB3">
        <w:t xml:space="preserve">se </w:t>
      </w:r>
      <w:r w:rsidR="001113D8" w:rsidRPr="00F71EB3">
        <w:t>ha financiado desde</w:t>
      </w:r>
      <w:r w:rsidR="00361B10" w:rsidRPr="00F71EB3">
        <w:t xml:space="preserve"> entonces </w:t>
      </w:r>
      <w:r w:rsidRPr="00F71EB3">
        <w:t>con cargo al presupuesto ordinario.</w:t>
      </w:r>
    </w:p>
    <w:p w:rsidR="009556BA" w:rsidRPr="00F71EB3" w:rsidRDefault="009556BA" w:rsidP="009556BA">
      <w:pPr>
        <w:tabs>
          <w:tab w:val="num" w:pos="440"/>
        </w:tabs>
      </w:pPr>
    </w:p>
    <w:p w:rsidR="009556BA" w:rsidRPr="00F71EB3" w:rsidRDefault="009556BA" w:rsidP="009556BA">
      <w:r w:rsidRPr="00F71EB3">
        <w:lastRenderedPageBreak/>
        <w:fldChar w:fldCharType="begin"/>
      </w:r>
      <w:r w:rsidRPr="00F71EB3">
        <w:instrText xml:space="preserve"> AUTONUM  </w:instrText>
      </w:r>
      <w:r w:rsidRPr="00F71EB3">
        <w:fldChar w:fldCharType="end"/>
      </w:r>
      <w:r w:rsidRPr="00F71EB3">
        <w:tab/>
        <w:t xml:space="preserve">En el presente documento se reseñan los </w:t>
      </w:r>
      <w:r w:rsidR="00596C64" w:rsidRPr="00F71EB3">
        <w:t>avances</w:t>
      </w:r>
      <w:r w:rsidRPr="00F71EB3">
        <w:t xml:space="preserve"> realizados en </w:t>
      </w:r>
      <w:r w:rsidR="007353A9" w:rsidRPr="00F71EB3">
        <w:t xml:space="preserve">relación con </w:t>
      </w:r>
      <w:r w:rsidRPr="00F71EB3">
        <w:t xml:space="preserve">la </w:t>
      </w:r>
      <w:r w:rsidR="000856F8">
        <w:t>Base de Datos MGS</w:t>
      </w:r>
      <w:r w:rsidRPr="00F71EB3">
        <w:t xml:space="preserve"> desde </w:t>
      </w:r>
      <w:r w:rsidR="001113D8" w:rsidRPr="00F71EB3">
        <w:t xml:space="preserve">que se presentara </w:t>
      </w:r>
      <w:r w:rsidR="00A55456" w:rsidRPr="00F71EB3">
        <w:t xml:space="preserve">el </w:t>
      </w:r>
      <w:r w:rsidRPr="00F71EB3">
        <w:t xml:space="preserve">último informe </w:t>
      </w:r>
      <w:r w:rsidR="00A55456" w:rsidRPr="00F71EB3">
        <w:t xml:space="preserve">al respecto </w:t>
      </w:r>
      <w:r w:rsidRPr="00F71EB3">
        <w:t>(documento MM/A/4</w:t>
      </w:r>
      <w:r w:rsidR="00A55456" w:rsidRPr="00F71EB3">
        <w:t>8</w:t>
      </w:r>
      <w:r w:rsidRPr="00F71EB3">
        <w:t>/2),</w:t>
      </w:r>
      <w:r w:rsidR="00361B10" w:rsidRPr="00F71EB3">
        <w:t xml:space="preserve"> es decir, entre el 1 de junio de 201</w:t>
      </w:r>
      <w:r w:rsidR="00A55456" w:rsidRPr="00F71EB3">
        <w:t>4</w:t>
      </w:r>
      <w:r w:rsidR="00361B10" w:rsidRPr="00F71EB3">
        <w:t xml:space="preserve"> y el 30 de mayo de 201</w:t>
      </w:r>
      <w:r w:rsidR="00A55456" w:rsidRPr="00F71EB3">
        <w:t>5</w:t>
      </w:r>
      <w:r w:rsidRPr="00F71EB3">
        <w:t>.</w:t>
      </w:r>
    </w:p>
    <w:p w:rsidR="009556BA" w:rsidRPr="00F71EB3" w:rsidRDefault="009556BA" w:rsidP="009556BA"/>
    <w:p w:rsidR="009556BA" w:rsidRPr="00F71EB3" w:rsidRDefault="009556BA" w:rsidP="009556BA">
      <w:pPr>
        <w:pStyle w:val="Heading2"/>
        <w:spacing w:before="0" w:after="0"/>
      </w:pPr>
    </w:p>
    <w:p w:rsidR="00B42B03" w:rsidRPr="00F71EB3" w:rsidRDefault="00B42B03" w:rsidP="00B42B03">
      <w:pPr>
        <w:pStyle w:val="Heading2"/>
        <w:spacing w:before="0" w:after="0"/>
        <w:rPr>
          <w:b/>
        </w:rPr>
      </w:pPr>
      <w:r w:rsidRPr="00F71EB3">
        <w:rPr>
          <w:b/>
        </w:rPr>
        <w:t>RESULT</w:t>
      </w:r>
      <w:r w:rsidR="00DA35C6" w:rsidRPr="00F71EB3">
        <w:rPr>
          <w:b/>
        </w:rPr>
        <w:t>ADOS OBTENIDOS</w:t>
      </w:r>
    </w:p>
    <w:p w:rsidR="00B42B03" w:rsidRPr="00F71EB3" w:rsidRDefault="00B42B03" w:rsidP="00B42B03"/>
    <w:p w:rsidR="00B42B03" w:rsidRPr="00F71EB3" w:rsidRDefault="00B42B03" w:rsidP="00B42B03">
      <w:r w:rsidRPr="00F71EB3">
        <w:fldChar w:fldCharType="begin"/>
      </w:r>
      <w:r w:rsidRPr="00F71EB3">
        <w:instrText xml:space="preserve"> AUTONUM  </w:instrText>
      </w:r>
      <w:r w:rsidRPr="00F71EB3">
        <w:fldChar w:fldCharType="end"/>
      </w:r>
      <w:r w:rsidRPr="00F71EB3">
        <w:tab/>
      </w:r>
      <w:r w:rsidR="006A3F24" w:rsidRPr="00F71EB3">
        <w:t xml:space="preserve">Se recuerda que </w:t>
      </w:r>
      <w:r w:rsidR="001113D8" w:rsidRPr="00F71EB3">
        <w:t xml:space="preserve">el Gestor de productos y servicios de Madrid (MGS) </w:t>
      </w:r>
      <w:r w:rsidR="006A3F24" w:rsidRPr="00F71EB3">
        <w:t xml:space="preserve">se puso </w:t>
      </w:r>
      <w:r w:rsidR="001113D8" w:rsidRPr="00F71EB3">
        <w:t xml:space="preserve">a disposición del público el 1 de junio de 2014 </w:t>
      </w:r>
      <w:r w:rsidR="00DA35C6" w:rsidRPr="00F71EB3">
        <w:t>en el s</w:t>
      </w:r>
      <w:r w:rsidR="007353A9" w:rsidRPr="00F71EB3">
        <w:t xml:space="preserve">itio </w:t>
      </w:r>
      <w:r w:rsidR="006A3F24" w:rsidRPr="00F71EB3">
        <w:t>w</w:t>
      </w:r>
      <w:r w:rsidR="007353A9" w:rsidRPr="00F71EB3">
        <w:t>eb de la Organización Mundial de la Propiedad Intelectual (OMPI)</w:t>
      </w:r>
      <w:r w:rsidRPr="00F71EB3">
        <w:t xml:space="preserve"> </w:t>
      </w:r>
      <w:r w:rsidR="001113D8" w:rsidRPr="00F71EB3">
        <w:t>y que consta de los</w:t>
      </w:r>
      <w:r w:rsidR="006A3F24" w:rsidRPr="00F71EB3">
        <w:t xml:space="preserve"> </w:t>
      </w:r>
      <w:r w:rsidR="00DA35C6" w:rsidRPr="00F71EB3">
        <w:t>siguientes</w:t>
      </w:r>
      <w:r w:rsidR="001113D8" w:rsidRPr="00F71EB3">
        <w:t xml:space="preserve"> elementos</w:t>
      </w:r>
      <w:r w:rsidRPr="00F71EB3">
        <w:t>:</w:t>
      </w:r>
    </w:p>
    <w:p w:rsidR="00B42B03" w:rsidRPr="00F71EB3" w:rsidRDefault="00B42B03" w:rsidP="00B42B03"/>
    <w:p w:rsidR="00B42B03" w:rsidRPr="00F71EB3" w:rsidRDefault="007353A9" w:rsidP="00F84178">
      <w:pPr>
        <w:numPr>
          <w:ilvl w:val="0"/>
          <w:numId w:val="8"/>
        </w:numPr>
        <w:tabs>
          <w:tab w:val="left" w:pos="550"/>
        </w:tabs>
        <w:ind w:left="1134" w:hanging="579"/>
      </w:pPr>
      <w:r w:rsidRPr="00F71EB3">
        <w:t xml:space="preserve">Interfaces en </w:t>
      </w:r>
      <w:r w:rsidR="001113D8" w:rsidRPr="00F71EB3">
        <w:t xml:space="preserve">los </w:t>
      </w:r>
      <w:r w:rsidRPr="00F71EB3">
        <w:t>16 id</w:t>
      </w:r>
      <w:r w:rsidR="00DA35C6" w:rsidRPr="00F71EB3">
        <w:t>i</w:t>
      </w:r>
      <w:r w:rsidRPr="00F71EB3">
        <w:t>omas</w:t>
      </w:r>
      <w:r w:rsidR="001113D8" w:rsidRPr="00F71EB3">
        <w:t xml:space="preserve"> siguientes:</w:t>
      </w:r>
      <w:r w:rsidRPr="00F71EB3">
        <w:t xml:space="preserve"> </w:t>
      </w:r>
      <w:r w:rsidR="00D34BA5" w:rsidRPr="00F71EB3">
        <w:t>árabe, chino, neerlandés</w:t>
      </w:r>
      <w:r w:rsidR="00DA35C6" w:rsidRPr="00F71EB3">
        <w:t>, inglés, francés, alemán, hebreo, italiano, japonés, coreano, noruego, portugués, ruso, serbio, español y turco</w:t>
      </w:r>
      <w:r w:rsidR="00B42B03" w:rsidRPr="00F71EB3">
        <w:t xml:space="preserve">;  </w:t>
      </w:r>
      <w:r w:rsidR="00DA35C6" w:rsidRPr="00F71EB3">
        <w:t>y</w:t>
      </w:r>
    </w:p>
    <w:p w:rsidR="00DA35C6" w:rsidRPr="00F71EB3" w:rsidRDefault="00DA35C6" w:rsidP="00F84178">
      <w:pPr>
        <w:tabs>
          <w:tab w:val="left" w:pos="550"/>
        </w:tabs>
        <w:ind w:left="1134" w:hanging="579"/>
      </w:pPr>
    </w:p>
    <w:p w:rsidR="00090C8F" w:rsidRPr="00090C8F" w:rsidRDefault="001113D8" w:rsidP="00F84178">
      <w:pPr>
        <w:numPr>
          <w:ilvl w:val="0"/>
          <w:numId w:val="8"/>
        </w:numPr>
        <w:tabs>
          <w:tab w:val="left" w:pos="550"/>
        </w:tabs>
        <w:ind w:left="1134" w:hanging="579"/>
        <w:rPr>
          <w:szCs w:val="22"/>
        </w:rPr>
      </w:pPr>
      <w:r w:rsidRPr="00F71EB3">
        <w:t xml:space="preserve">Una función, exclusiva del MGS, </w:t>
      </w:r>
      <w:r w:rsidRPr="00F71EB3">
        <w:rPr>
          <w:szCs w:val="22"/>
        </w:rPr>
        <w:t xml:space="preserve">denominada “Verificar </w:t>
      </w:r>
      <w:r w:rsidR="000060E2">
        <w:rPr>
          <w:szCs w:val="22"/>
        </w:rPr>
        <w:t>aceptación por la</w:t>
      </w:r>
      <w:r w:rsidRPr="00F71EB3">
        <w:rPr>
          <w:szCs w:val="22"/>
        </w:rPr>
        <w:t xml:space="preserve"> Parte Contratante designada (PCd)” en la que participan </w:t>
      </w:r>
      <w:r w:rsidR="00D34BA5" w:rsidRPr="00F71EB3">
        <w:t>1</w:t>
      </w:r>
      <w:r w:rsidR="00B42B03" w:rsidRPr="00F71EB3">
        <w:t xml:space="preserve">9 </w:t>
      </w:r>
      <w:r w:rsidR="007353A9" w:rsidRPr="00F71EB3">
        <w:t>oficinas nacionales o regionales</w:t>
      </w:r>
      <w:r w:rsidR="00B42B03" w:rsidRPr="00F71EB3">
        <w:t xml:space="preserve"> </w:t>
      </w:r>
      <w:r w:rsidR="007353A9" w:rsidRPr="00F71EB3">
        <w:t xml:space="preserve">de P.I. </w:t>
      </w:r>
      <w:r w:rsidR="00D34BA5" w:rsidRPr="00F71EB3">
        <w:rPr>
          <w:szCs w:val="22"/>
        </w:rPr>
        <w:t xml:space="preserve">y que </w:t>
      </w:r>
      <w:r w:rsidR="00DA35C6" w:rsidRPr="00F71EB3">
        <w:rPr>
          <w:szCs w:val="22"/>
        </w:rPr>
        <w:t>con</w:t>
      </w:r>
      <w:r w:rsidR="008E3B99" w:rsidRPr="00F71EB3">
        <w:rPr>
          <w:szCs w:val="22"/>
        </w:rPr>
        <w:t>tiene</w:t>
      </w:r>
      <w:r w:rsidR="00DA35C6" w:rsidRPr="00F71EB3">
        <w:rPr>
          <w:szCs w:val="22"/>
        </w:rPr>
        <w:t xml:space="preserve"> información</w:t>
      </w:r>
      <w:r w:rsidR="00D130CF" w:rsidRPr="00F71EB3">
        <w:rPr>
          <w:szCs w:val="22"/>
        </w:rPr>
        <w:t xml:space="preserve"> sobre la aceptación</w:t>
      </w:r>
      <w:r w:rsidR="00DA35C6" w:rsidRPr="00F71EB3">
        <w:rPr>
          <w:szCs w:val="22"/>
        </w:rPr>
        <w:t xml:space="preserve">, al menos parcial, </w:t>
      </w:r>
      <w:r w:rsidR="006A3F24" w:rsidRPr="00F71EB3">
        <w:rPr>
          <w:szCs w:val="22"/>
        </w:rPr>
        <w:t>facilitada a</w:t>
      </w:r>
      <w:r w:rsidR="00DA35C6" w:rsidRPr="00F71EB3">
        <w:rPr>
          <w:szCs w:val="22"/>
        </w:rPr>
        <w:t xml:space="preserve"> la OMPI </w:t>
      </w:r>
      <w:r w:rsidR="000073A6" w:rsidRPr="00F71EB3">
        <w:rPr>
          <w:szCs w:val="22"/>
        </w:rPr>
        <w:t xml:space="preserve">principalmente </w:t>
      </w:r>
      <w:r w:rsidR="00DA35C6" w:rsidRPr="00F71EB3">
        <w:rPr>
          <w:szCs w:val="22"/>
        </w:rPr>
        <w:t xml:space="preserve">por las </w:t>
      </w:r>
      <w:r w:rsidR="006A3F24" w:rsidRPr="00F71EB3">
        <w:rPr>
          <w:szCs w:val="22"/>
        </w:rPr>
        <w:t xml:space="preserve">oficinas </w:t>
      </w:r>
      <w:r w:rsidR="00DA35C6" w:rsidRPr="00F71EB3">
        <w:rPr>
          <w:szCs w:val="22"/>
        </w:rPr>
        <w:t xml:space="preserve">de </w:t>
      </w:r>
      <w:r w:rsidR="00090C8F" w:rsidRPr="00090C8F">
        <w:rPr>
          <w:szCs w:val="22"/>
        </w:rPr>
        <w:t>Alemania, Austria, Belarús, Benelux, China, Estados Unidos de América, Federación de Rusia, Israel, Italia, Japón, Noruega, Portugal, República de Corea, Serbia, Singapur, Suiza, Turquía, Ucrania, Unión Europea.</w:t>
      </w:r>
    </w:p>
    <w:p w:rsidR="00B42B03" w:rsidRPr="00F71EB3" w:rsidRDefault="00B42B03" w:rsidP="00B42B03"/>
    <w:p w:rsidR="00B42B03" w:rsidRPr="00F71EB3" w:rsidRDefault="00B42B03" w:rsidP="00B42B03">
      <w:r w:rsidRPr="00F71EB3">
        <w:fldChar w:fldCharType="begin"/>
      </w:r>
      <w:r w:rsidRPr="00F71EB3">
        <w:instrText xml:space="preserve"> AUTONUM  </w:instrText>
      </w:r>
      <w:r w:rsidRPr="00F71EB3">
        <w:fldChar w:fldCharType="end"/>
      </w:r>
      <w:r w:rsidRPr="00F71EB3">
        <w:tab/>
      </w:r>
      <w:r w:rsidR="00DA35C6" w:rsidRPr="00F71EB3">
        <w:t xml:space="preserve">El 1 de enero de </w:t>
      </w:r>
      <w:r w:rsidRPr="00F71EB3">
        <w:t xml:space="preserve">2015, </w:t>
      </w:r>
      <w:r w:rsidR="006A3F24" w:rsidRPr="00F71EB3">
        <w:t xml:space="preserve">la </w:t>
      </w:r>
      <w:r w:rsidR="000856F8">
        <w:t>Base de Datos MGS</w:t>
      </w:r>
      <w:r w:rsidR="006A3F24" w:rsidRPr="00F71EB3">
        <w:t xml:space="preserve"> se puso en con</w:t>
      </w:r>
      <w:r w:rsidR="000073A6" w:rsidRPr="00F71EB3">
        <w:t>formidad</w:t>
      </w:r>
      <w:r w:rsidR="00477B81">
        <w:t xml:space="preserve"> con la versión de </w:t>
      </w:r>
      <w:r w:rsidR="006A3F24" w:rsidRPr="00F71EB3">
        <w:t>2015 de la décima edición de la Clasificación de Niza.  Las actualizaciones se integraron en los 16 idiomas que estaban disponibles en línea</w:t>
      </w:r>
      <w:r w:rsidR="001113D8" w:rsidRPr="00F71EB3">
        <w:t xml:space="preserve"> en esa fecha</w:t>
      </w:r>
      <w:r w:rsidR="006A3F24" w:rsidRPr="00F71EB3">
        <w:t>.</w:t>
      </w:r>
    </w:p>
    <w:p w:rsidR="00B42B03" w:rsidRPr="00F71EB3" w:rsidRDefault="00B42B03" w:rsidP="00B42B03"/>
    <w:p w:rsidR="00B42B03" w:rsidRPr="00F71EB3" w:rsidRDefault="00B42B03" w:rsidP="00B42B03"/>
    <w:p w:rsidR="00B42B03" w:rsidRPr="00F71EB3" w:rsidRDefault="00B42B03" w:rsidP="00B42B03">
      <w:r w:rsidRPr="00F71EB3">
        <w:t>COOPERA</w:t>
      </w:r>
      <w:r w:rsidR="006A3F24" w:rsidRPr="00F71EB3">
        <w:t>CIÓN</w:t>
      </w:r>
    </w:p>
    <w:p w:rsidR="00B42B03" w:rsidRPr="00F71EB3" w:rsidRDefault="00B42B03" w:rsidP="00B42B03"/>
    <w:p w:rsidR="00B42B03" w:rsidRPr="00F71EB3" w:rsidRDefault="00B42B03" w:rsidP="00B42B03">
      <w:r w:rsidRPr="00F71EB3">
        <w:fldChar w:fldCharType="begin"/>
      </w:r>
      <w:r w:rsidRPr="00F71EB3">
        <w:instrText xml:space="preserve"> AUTONUM  </w:instrText>
      </w:r>
      <w:r w:rsidRPr="00F71EB3">
        <w:fldChar w:fldCharType="end"/>
      </w:r>
      <w:r w:rsidRPr="00F71EB3">
        <w:tab/>
      </w:r>
      <w:r w:rsidR="006A3F24" w:rsidRPr="00F71EB3">
        <w:t xml:space="preserve">En enero de </w:t>
      </w:r>
      <w:r w:rsidRPr="00F71EB3">
        <w:t xml:space="preserve">2015, </w:t>
      </w:r>
      <w:r w:rsidR="00681B11" w:rsidRPr="00F71EB3">
        <w:t>México</w:t>
      </w:r>
      <w:r w:rsidRPr="00F71EB3">
        <w:t xml:space="preserve"> </w:t>
      </w:r>
      <w:r w:rsidR="000073A6" w:rsidRPr="00F71EB3">
        <w:t xml:space="preserve">se </w:t>
      </w:r>
      <w:r w:rsidR="00F6199E" w:rsidRPr="00F71EB3">
        <w:t>añadió a</w:t>
      </w:r>
      <w:r w:rsidR="006A3F24" w:rsidRPr="00F71EB3">
        <w:t xml:space="preserve"> la lista de </w:t>
      </w:r>
      <w:r w:rsidR="00681B11" w:rsidRPr="00F71EB3">
        <w:t>países</w:t>
      </w:r>
      <w:r w:rsidR="006A3F24" w:rsidRPr="00F71EB3">
        <w:t xml:space="preserve"> que </w:t>
      </w:r>
      <w:r w:rsidR="00681B11" w:rsidRPr="00F71EB3">
        <w:t>participan</w:t>
      </w:r>
      <w:r w:rsidR="006A3F24" w:rsidRPr="00F71EB3">
        <w:t xml:space="preserve"> en </w:t>
      </w:r>
      <w:r w:rsidR="00681B11" w:rsidRPr="00F71EB3">
        <w:t xml:space="preserve">la función </w:t>
      </w:r>
      <w:r w:rsidR="009F6B5E" w:rsidRPr="00F71EB3">
        <w:rPr>
          <w:bCs/>
          <w:szCs w:val="22"/>
        </w:rPr>
        <w:t xml:space="preserve">“Verificar </w:t>
      </w:r>
      <w:r w:rsidR="000060E2">
        <w:rPr>
          <w:bCs/>
          <w:szCs w:val="22"/>
        </w:rPr>
        <w:t>aceptación por la</w:t>
      </w:r>
      <w:r w:rsidR="009F6B5E" w:rsidRPr="00F71EB3">
        <w:rPr>
          <w:bCs/>
          <w:szCs w:val="22"/>
        </w:rPr>
        <w:t xml:space="preserve"> Parte Contratante designada (PCd)”</w:t>
      </w:r>
      <w:r w:rsidR="000073A6" w:rsidRPr="00F71EB3">
        <w:rPr>
          <w:bCs/>
          <w:szCs w:val="22"/>
        </w:rPr>
        <w:t>,</w:t>
      </w:r>
      <w:r w:rsidR="00681B11" w:rsidRPr="00F71EB3">
        <w:rPr>
          <w:bCs/>
          <w:szCs w:val="22"/>
        </w:rPr>
        <w:t xml:space="preserve"> </w:t>
      </w:r>
      <w:r w:rsidR="000073A6" w:rsidRPr="00F71EB3">
        <w:rPr>
          <w:bCs/>
          <w:szCs w:val="22"/>
        </w:rPr>
        <w:t>tras</w:t>
      </w:r>
      <w:r w:rsidR="00681B11" w:rsidRPr="00F71EB3">
        <w:rPr>
          <w:bCs/>
          <w:szCs w:val="22"/>
        </w:rPr>
        <w:t xml:space="preserve"> la cooperación que se </w:t>
      </w:r>
      <w:r w:rsidR="000073A6" w:rsidRPr="00F71EB3">
        <w:rPr>
          <w:bCs/>
          <w:szCs w:val="22"/>
        </w:rPr>
        <w:t>estableció</w:t>
      </w:r>
      <w:r w:rsidR="00681B11" w:rsidRPr="00F71EB3">
        <w:rPr>
          <w:bCs/>
          <w:szCs w:val="22"/>
        </w:rPr>
        <w:t xml:space="preserve"> con el </w:t>
      </w:r>
      <w:r w:rsidR="00681B11" w:rsidRPr="00F71EB3">
        <w:t>Instituto Mexicano de la Propiedad Industrial (IMPI)</w:t>
      </w:r>
      <w:r w:rsidRPr="00F71EB3">
        <w:t xml:space="preserve">. </w:t>
      </w:r>
    </w:p>
    <w:p w:rsidR="00B42B03" w:rsidRPr="00F71EB3" w:rsidRDefault="00B42B03" w:rsidP="00B42B03"/>
    <w:p w:rsidR="00B42B03" w:rsidRPr="00F71EB3" w:rsidRDefault="00B42B03" w:rsidP="00B42B03">
      <w:r w:rsidRPr="00F71EB3">
        <w:fldChar w:fldCharType="begin"/>
      </w:r>
      <w:r w:rsidRPr="00F71EB3">
        <w:instrText xml:space="preserve"> AUTONUM  </w:instrText>
      </w:r>
      <w:r w:rsidRPr="00F71EB3">
        <w:fldChar w:fldCharType="end"/>
      </w:r>
      <w:r w:rsidRPr="00F71EB3">
        <w:tab/>
      </w:r>
      <w:r w:rsidR="00681B11" w:rsidRPr="00F71EB3">
        <w:t xml:space="preserve">En febrero de </w:t>
      </w:r>
      <w:r w:rsidRPr="00F71EB3">
        <w:t xml:space="preserve">2015, </w:t>
      </w:r>
      <w:r w:rsidR="00681B11" w:rsidRPr="00F71EB3">
        <w:t xml:space="preserve">gracias a la </w:t>
      </w:r>
      <w:r w:rsidR="00AB5E02" w:rsidRPr="00F71EB3">
        <w:t>cooperación</w:t>
      </w:r>
      <w:r w:rsidR="00681B11" w:rsidRPr="00F71EB3">
        <w:t xml:space="preserve"> </w:t>
      </w:r>
      <w:r w:rsidR="000073A6" w:rsidRPr="00F71EB3">
        <w:t>entablada</w:t>
      </w:r>
      <w:r w:rsidR="00681B11" w:rsidRPr="00F71EB3">
        <w:t xml:space="preserve"> con el </w:t>
      </w:r>
      <w:r w:rsidR="00681B11" w:rsidRPr="00F71EB3">
        <w:rPr>
          <w:szCs w:val="22"/>
        </w:rPr>
        <w:t xml:space="preserve">Servicio Estatal de Propiedad Intelectual de Ucrania </w:t>
      </w:r>
      <w:r w:rsidRPr="00F71EB3">
        <w:rPr>
          <w:szCs w:val="22"/>
        </w:rPr>
        <w:t xml:space="preserve">(SIPS), </w:t>
      </w:r>
      <w:r w:rsidR="00AB5E02" w:rsidRPr="00F71EB3">
        <w:rPr>
          <w:szCs w:val="22"/>
        </w:rPr>
        <w:t xml:space="preserve">se </w:t>
      </w:r>
      <w:r w:rsidR="00F6199E" w:rsidRPr="00F71EB3">
        <w:rPr>
          <w:szCs w:val="22"/>
        </w:rPr>
        <w:t>activó en</w:t>
      </w:r>
      <w:r w:rsidR="009F2234" w:rsidRPr="00F71EB3">
        <w:rPr>
          <w:szCs w:val="22"/>
        </w:rPr>
        <w:t xml:space="preserve"> la MGS </w:t>
      </w:r>
      <w:r w:rsidR="00AB5E02" w:rsidRPr="00F71EB3">
        <w:rPr>
          <w:szCs w:val="22"/>
        </w:rPr>
        <w:t xml:space="preserve">la interfaz en </w:t>
      </w:r>
      <w:r w:rsidR="00D130CF" w:rsidRPr="00F71EB3">
        <w:rPr>
          <w:szCs w:val="22"/>
        </w:rPr>
        <w:t>u</w:t>
      </w:r>
      <w:r w:rsidR="00AB5E02" w:rsidRPr="00F71EB3">
        <w:rPr>
          <w:szCs w:val="22"/>
        </w:rPr>
        <w:t>crani</w:t>
      </w:r>
      <w:r w:rsidR="00A559EF" w:rsidRPr="00F71EB3">
        <w:rPr>
          <w:szCs w:val="22"/>
        </w:rPr>
        <w:t>ano</w:t>
      </w:r>
      <w:r w:rsidR="00AB5E02" w:rsidRPr="00F71EB3">
        <w:t xml:space="preserve">, </w:t>
      </w:r>
      <w:r w:rsidR="00F6199E" w:rsidRPr="00F71EB3">
        <w:t>que pasó</w:t>
      </w:r>
      <w:r w:rsidR="009F2234" w:rsidRPr="00F71EB3">
        <w:t xml:space="preserve"> </w:t>
      </w:r>
      <w:r w:rsidR="00AB5E02" w:rsidRPr="00F71EB3">
        <w:t>a ser el decimoséptimo idioma disponible en línea.  De momento, la interfaz en ucrani</w:t>
      </w:r>
      <w:r w:rsidR="00A559EF" w:rsidRPr="00F71EB3">
        <w:t>an</w:t>
      </w:r>
      <w:r w:rsidR="00AB5E02" w:rsidRPr="00F71EB3">
        <w:t xml:space="preserve">o </w:t>
      </w:r>
      <w:r w:rsidR="009F2234" w:rsidRPr="00F71EB3">
        <w:t>solo</w:t>
      </w:r>
      <w:r w:rsidR="00AB5E02" w:rsidRPr="00F71EB3">
        <w:t xml:space="preserve"> da acceso a la traducción al ucrani</w:t>
      </w:r>
      <w:r w:rsidR="00A559EF" w:rsidRPr="00F71EB3">
        <w:t>ano</w:t>
      </w:r>
      <w:r w:rsidR="00AB5E02" w:rsidRPr="00F71EB3">
        <w:t xml:space="preserve"> de la lista alfabética de l</w:t>
      </w:r>
      <w:r w:rsidR="00F6199E" w:rsidRPr="00F71EB3">
        <w:t xml:space="preserve">a Clasificación </w:t>
      </w:r>
      <w:r w:rsidR="00AB5E02" w:rsidRPr="00F71EB3">
        <w:t xml:space="preserve">de Niza, </w:t>
      </w:r>
      <w:r w:rsidR="00F6199E" w:rsidRPr="00F71EB3">
        <w:t>aunque</w:t>
      </w:r>
      <w:r w:rsidR="00AB5E02" w:rsidRPr="00F71EB3">
        <w:t xml:space="preserve"> el </w:t>
      </w:r>
      <w:r w:rsidRPr="00F71EB3">
        <w:t xml:space="preserve">SIPS </w:t>
      </w:r>
      <w:r w:rsidR="00AB5E02" w:rsidRPr="00F71EB3">
        <w:t xml:space="preserve">manifestó su disponibilidad </w:t>
      </w:r>
      <w:r w:rsidR="00F6199E" w:rsidRPr="00F71EB3">
        <w:t>para traducir</w:t>
      </w:r>
      <w:r w:rsidR="00AB5E02" w:rsidRPr="00F71EB3">
        <w:t xml:space="preserve"> el resto de la </w:t>
      </w:r>
      <w:r w:rsidR="000856F8">
        <w:t>Base de Datos MGS</w:t>
      </w:r>
      <w:r w:rsidRPr="00F71EB3">
        <w:t xml:space="preserve"> </w:t>
      </w:r>
      <w:r w:rsidR="00C341E0" w:rsidRPr="00F71EB3">
        <w:t>a fin de</w:t>
      </w:r>
      <w:r w:rsidR="00F6199E" w:rsidRPr="00F71EB3">
        <w:t xml:space="preserve"> </w:t>
      </w:r>
      <w:r w:rsidR="009F2234" w:rsidRPr="00F71EB3">
        <w:t>que resultara más útil para</w:t>
      </w:r>
      <w:r w:rsidR="00AB5E02" w:rsidRPr="00F71EB3">
        <w:t xml:space="preserve"> los solicitantes de Ucrania</w:t>
      </w:r>
      <w:r w:rsidRPr="00F71EB3">
        <w:t>.</w:t>
      </w:r>
    </w:p>
    <w:p w:rsidR="00B42B03" w:rsidRPr="00F71EB3" w:rsidRDefault="00B42B03" w:rsidP="00B42B03"/>
    <w:p w:rsidR="00B42B03" w:rsidRPr="00F71EB3" w:rsidRDefault="00B42B03" w:rsidP="00B42B03">
      <w:r w:rsidRPr="00F71EB3">
        <w:rPr>
          <w:szCs w:val="22"/>
        </w:rPr>
        <w:fldChar w:fldCharType="begin"/>
      </w:r>
      <w:r w:rsidRPr="00F71EB3">
        <w:rPr>
          <w:szCs w:val="22"/>
        </w:rPr>
        <w:instrText xml:space="preserve"> AUTONUM  </w:instrText>
      </w:r>
      <w:r w:rsidRPr="00F71EB3">
        <w:rPr>
          <w:szCs w:val="22"/>
        </w:rPr>
        <w:fldChar w:fldCharType="end"/>
      </w:r>
      <w:r w:rsidRPr="00F71EB3">
        <w:rPr>
          <w:szCs w:val="22"/>
        </w:rPr>
        <w:tab/>
      </w:r>
      <w:r w:rsidR="00AB5E02" w:rsidRPr="00F71EB3">
        <w:rPr>
          <w:szCs w:val="22"/>
        </w:rPr>
        <w:t xml:space="preserve">En marzo de </w:t>
      </w:r>
      <w:r w:rsidRPr="00F71EB3">
        <w:rPr>
          <w:szCs w:val="22"/>
        </w:rPr>
        <w:t xml:space="preserve">2015, </w:t>
      </w:r>
      <w:r w:rsidR="00F43B86" w:rsidRPr="00F71EB3">
        <w:rPr>
          <w:szCs w:val="22"/>
        </w:rPr>
        <w:t>la</w:t>
      </w:r>
      <w:r w:rsidRPr="00F71EB3">
        <w:rPr>
          <w:szCs w:val="22"/>
        </w:rPr>
        <w:t xml:space="preserve"> </w:t>
      </w:r>
      <w:r w:rsidR="00F43B86" w:rsidRPr="00F71EB3">
        <w:rPr>
          <w:szCs w:val="22"/>
        </w:rPr>
        <w:t>Oficina de Propiedad Intelectual de Serbia</w:t>
      </w:r>
      <w:r w:rsidR="00090C8F">
        <w:rPr>
          <w:szCs w:val="22"/>
        </w:rPr>
        <w:t xml:space="preserve"> </w:t>
      </w:r>
      <w:r w:rsidR="00F43B86" w:rsidRPr="00F71EB3">
        <w:rPr>
          <w:szCs w:val="22"/>
        </w:rPr>
        <w:t xml:space="preserve">comenzó a traducir y a verificar la aceptación del resto de la </w:t>
      </w:r>
      <w:r w:rsidR="000856F8">
        <w:rPr>
          <w:szCs w:val="22"/>
        </w:rPr>
        <w:t>Base de Datos MGS</w:t>
      </w:r>
      <w:r w:rsidR="009F2234" w:rsidRPr="00F71EB3">
        <w:rPr>
          <w:szCs w:val="22"/>
        </w:rPr>
        <w:t>,</w:t>
      </w:r>
      <w:r w:rsidR="00F43B86" w:rsidRPr="00F71EB3">
        <w:rPr>
          <w:szCs w:val="22"/>
        </w:rPr>
        <w:t xml:space="preserve"> </w:t>
      </w:r>
      <w:r w:rsidR="009F2234" w:rsidRPr="00F71EB3">
        <w:rPr>
          <w:szCs w:val="22"/>
        </w:rPr>
        <w:t>tras</w:t>
      </w:r>
      <w:r w:rsidR="00F43B86" w:rsidRPr="00F71EB3">
        <w:rPr>
          <w:szCs w:val="22"/>
        </w:rPr>
        <w:t xml:space="preserve"> la puesta en marcha de la</w:t>
      </w:r>
      <w:r w:rsidR="00F43B86" w:rsidRPr="00F71EB3">
        <w:t xml:space="preserve"> </w:t>
      </w:r>
      <w:r w:rsidR="00F43B86" w:rsidRPr="00F71EB3">
        <w:rPr>
          <w:szCs w:val="22"/>
        </w:rPr>
        <w:t xml:space="preserve">interfaz en idioma serbio en la </w:t>
      </w:r>
      <w:r w:rsidRPr="00F71EB3">
        <w:rPr>
          <w:szCs w:val="22"/>
        </w:rPr>
        <w:t xml:space="preserve">MGS </w:t>
      </w:r>
      <w:r w:rsidR="00995678" w:rsidRPr="00F71EB3">
        <w:rPr>
          <w:szCs w:val="22"/>
        </w:rPr>
        <w:t xml:space="preserve">el año pasado, </w:t>
      </w:r>
      <w:r w:rsidR="00F43B86" w:rsidRPr="00F71EB3">
        <w:rPr>
          <w:szCs w:val="22"/>
        </w:rPr>
        <w:t xml:space="preserve">que inicialmente solo incluía la </w:t>
      </w:r>
      <w:r w:rsidR="009F6B5E" w:rsidRPr="00F71EB3">
        <w:rPr>
          <w:szCs w:val="22"/>
        </w:rPr>
        <w:t>lista alfabética de la Clasificación de Niza</w:t>
      </w:r>
      <w:r w:rsidRPr="00F71EB3">
        <w:rPr>
          <w:szCs w:val="22"/>
        </w:rPr>
        <w:t>.</w:t>
      </w:r>
    </w:p>
    <w:p w:rsidR="00B42B03" w:rsidRPr="00F71EB3" w:rsidRDefault="00B42B03" w:rsidP="00B42B03"/>
    <w:p w:rsidR="00B42B03" w:rsidRPr="00F71EB3" w:rsidRDefault="00B42B03" w:rsidP="00B42B03">
      <w:r w:rsidRPr="00F71EB3">
        <w:fldChar w:fldCharType="begin"/>
      </w:r>
      <w:r w:rsidRPr="00F71EB3">
        <w:instrText xml:space="preserve"> AUTONUM  </w:instrText>
      </w:r>
      <w:r w:rsidRPr="00F71EB3">
        <w:fldChar w:fldCharType="end"/>
      </w:r>
      <w:r w:rsidRPr="00F71EB3">
        <w:tab/>
      </w:r>
      <w:r w:rsidR="00AB5E02" w:rsidRPr="00F71EB3">
        <w:t xml:space="preserve">En abril de </w:t>
      </w:r>
      <w:r w:rsidRPr="00F71EB3">
        <w:t xml:space="preserve">2015, </w:t>
      </w:r>
      <w:r w:rsidR="00F43B86" w:rsidRPr="00F71EB3">
        <w:t>se entablaron contactos con vari</w:t>
      </w:r>
      <w:r w:rsidR="00995678" w:rsidRPr="00F71EB3">
        <w:t>a</w:t>
      </w:r>
      <w:r w:rsidR="00F43B86" w:rsidRPr="00F71EB3">
        <w:t xml:space="preserve">s oficinas nacionales europeas y no europeas con miras a aumentar la lista de </w:t>
      </w:r>
      <w:r w:rsidR="009D4BAE" w:rsidRPr="00F71EB3">
        <w:t>Partes Contratantes designadas</w:t>
      </w:r>
      <w:r w:rsidR="00F43B86" w:rsidRPr="00F71EB3">
        <w:t xml:space="preserve"> </w:t>
      </w:r>
      <w:r w:rsidR="00F6199E" w:rsidRPr="00F71EB3">
        <w:rPr>
          <w:bCs/>
        </w:rPr>
        <w:t xml:space="preserve">(PCd) </w:t>
      </w:r>
      <w:r w:rsidR="00F43B86" w:rsidRPr="00F71EB3">
        <w:t>disponibles en la</w:t>
      </w:r>
      <w:r w:rsidR="007776FA" w:rsidRPr="00F71EB3">
        <w:t xml:space="preserve"> </w:t>
      </w:r>
      <w:r w:rsidR="000856F8">
        <w:t>Base de Datos MGS</w:t>
      </w:r>
      <w:r w:rsidR="00F43B86" w:rsidRPr="00F71EB3">
        <w:t>.  Sigue</w:t>
      </w:r>
      <w:r w:rsidR="000060E2">
        <w:t xml:space="preserve"> pendiente la incorporación de nuev</w:t>
      </w:r>
      <w:r w:rsidR="00F43B86" w:rsidRPr="00F71EB3">
        <w:t xml:space="preserve">as </w:t>
      </w:r>
      <w:r w:rsidR="009F6B5E" w:rsidRPr="00F71EB3">
        <w:t>Partes Contratantes</w:t>
      </w:r>
      <w:r w:rsidR="00F43B86" w:rsidRPr="00F71EB3">
        <w:t xml:space="preserve"> </w:t>
      </w:r>
      <w:r w:rsidR="000060E2">
        <w:t>en</w:t>
      </w:r>
      <w:r w:rsidR="00F43B86" w:rsidRPr="00F71EB3">
        <w:t xml:space="preserve"> la función </w:t>
      </w:r>
      <w:r w:rsidR="009F6B5E" w:rsidRPr="00F71EB3">
        <w:rPr>
          <w:bCs/>
          <w:szCs w:val="22"/>
        </w:rPr>
        <w:t xml:space="preserve">“Verificar </w:t>
      </w:r>
      <w:r w:rsidR="000060E2">
        <w:rPr>
          <w:bCs/>
          <w:szCs w:val="22"/>
        </w:rPr>
        <w:t>aceptación por la</w:t>
      </w:r>
      <w:r w:rsidR="009F6B5E" w:rsidRPr="00F71EB3">
        <w:rPr>
          <w:bCs/>
          <w:szCs w:val="22"/>
        </w:rPr>
        <w:t xml:space="preserve"> Parte Contratante designada (PCd)”</w:t>
      </w:r>
      <w:r w:rsidR="00F43B86" w:rsidRPr="00F71EB3">
        <w:rPr>
          <w:bCs/>
          <w:szCs w:val="22"/>
        </w:rPr>
        <w:t xml:space="preserve">, </w:t>
      </w:r>
      <w:r w:rsidR="000060E2">
        <w:rPr>
          <w:bCs/>
          <w:szCs w:val="22"/>
        </w:rPr>
        <w:t>lo cual</w:t>
      </w:r>
      <w:r w:rsidR="00F43B86" w:rsidRPr="00F71EB3">
        <w:rPr>
          <w:bCs/>
          <w:szCs w:val="22"/>
        </w:rPr>
        <w:t xml:space="preserve"> aumentará el volumen de información valiosa a que tendrán acceso los solicitantes de registro de marcas </w:t>
      </w:r>
      <w:r w:rsidR="00C341E0" w:rsidRPr="00F71EB3">
        <w:rPr>
          <w:bCs/>
          <w:szCs w:val="22"/>
        </w:rPr>
        <w:t>en</w:t>
      </w:r>
      <w:r w:rsidR="000060E2">
        <w:rPr>
          <w:bCs/>
          <w:szCs w:val="22"/>
        </w:rPr>
        <w:t> </w:t>
      </w:r>
      <w:r w:rsidRPr="00F71EB3">
        <w:rPr>
          <w:szCs w:val="22"/>
        </w:rPr>
        <w:t>2015.</w:t>
      </w:r>
    </w:p>
    <w:p w:rsidR="00B42B03" w:rsidRPr="00F71EB3" w:rsidRDefault="00B42B03" w:rsidP="00B42B03"/>
    <w:p w:rsidR="00B42B03" w:rsidRPr="00F71EB3" w:rsidRDefault="00B42B03" w:rsidP="00B42B03">
      <w:r w:rsidRPr="00F71EB3">
        <w:fldChar w:fldCharType="begin"/>
      </w:r>
      <w:r w:rsidRPr="00F71EB3">
        <w:instrText xml:space="preserve"> AUTONUM  </w:instrText>
      </w:r>
      <w:r w:rsidRPr="00F71EB3">
        <w:fldChar w:fldCharType="end"/>
      </w:r>
      <w:r w:rsidRPr="00F71EB3">
        <w:tab/>
      </w:r>
      <w:r w:rsidR="00AB5E02" w:rsidRPr="00F71EB3">
        <w:t xml:space="preserve">Desde enero de 2015, la </w:t>
      </w:r>
      <w:r w:rsidR="009F6B5E" w:rsidRPr="00F71EB3">
        <w:t>Oficina Japonesa de Patentes (JPO)</w:t>
      </w:r>
      <w:r w:rsidR="00F43B86" w:rsidRPr="00F71EB3">
        <w:t xml:space="preserve"> ha facilitado a la OMPI </w:t>
      </w:r>
      <w:r w:rsidR="00497F8B" w:rsidRPr="00F71EB3">
        <w:t>códigos especiales denominados “</w:t>
      </w:r>
      <w:r w:rsidR="00F43B86" w:rsidRPr="00F71EB3">
        <w:t>códigos de grupos similares</w:t>
      </w:r>
      <w:r w:rsidR="00497F8B" w:rsidRPr="00F71EB3">
        <w:t xml:space="preserve">” para </w:t>
      </w:r>
      <w:r w:rsidR="00995678" w:rsidRPr="00F71EB3">
        <w:t>gran</w:t>
      </w:r>
      <w:r w:rsidR="00497F8B" w:rsidRPr="00F71EB3">
        <w:t xml:space="preserve"> parte de la </w:t>
      </w:r>
      <w:r w:rsidR="000856F8">
        <w:t>Base de Datos MGS</w:t>
      </w:r>
      <w:r w:rsidRPr="00F71EB3">
        <w:t xml:space="preserve">.  </w:t>
      </w:r>
      <w:r w:rsidR="00497F8B" w:rsidRPr="00F71EB3">
        <w:t xml:space="preserve">La </w:t>
      </w:r>
      <w:r w:rsidR="009F6B5E" w:rsidRPr="00F71EB3">
        <w:t xml:space="preserve">Oficina </w:t>
      </w:r>
      <w:r w:rsidR="000060E2">
        <w:t>Surc</w:t>
      </w:r>
      <w:r w:rsidR="009F6B5E" w:rsidRPr="00F71EB3">
        <w:t>oreana de Propiedad Intelectual (KIPO)</w:t>
      </w:r>
      <w:r w:rsidR="00497F8B" w:rsidRPr="00F71EB3">
        <w:t xml:space="preserve"> </w:t>
      </w:r>
      <w:r w:rsidR="006D5C9C" w:rsidRPr="00F71EB3">
        <w:t>también</w:t>
      </w:r>
      <w:r w:rsidR="00497F8B" w:rsidRPr="00F71EB3">
        <w:t xml:space="preserve"> comenzó a comunicar los </w:t>
      </w:r>
      <w:r w:rsidRPr="00F71EB3">
        <w:t>"</w:t>
      </w:r>
      <w:r w:rsidR="00497F8B" w:rsidRPr="00F71EB3">
        <w:t>códigos de grupos similares</w:t>
      </w:r>
      <w:r w:rsidR="008D6E44" w:rsidRPr="00F71EB3">
        <w:t xml:space="preserve">" </w:t>
      </w:r>
      <w:r w:rsidR="00497F8B" w:rsidRPr="00F71EB3">
        <w:t>que se utilizan en la República de Corea</w:t>
      </w:r>
      <w:r w:rsidRPr="00F71EB3">
        <w:t xml:space="preserve">.  </w:t>
      </w:r>
      <w:r w:rsidR="00497F8B" w:rsidRPr="00F71EB3">
        <w:t xml:space="preserve">Esos </w:t>
      </w:r>
      <w:r w:rsidR="00497F8B" w:rsidRPr="00F71EB3">
        <w:lastRenderedPageBreak/>
        <w:t xml:space="preserve">códigos japoneses y coreanos </w:t>
      </w:r>
      <w:r w:rsidR="00F6199E" w:rsidRPr="00F71EB3">
        <w:t>representan</w:t>
      </w:r>
      <w:r w:rsidR="00497F8B" w:rsidRPr="00F71EB3">
        <w:t xml:space="preserve"> dos</w:t>
      </w:r>
      <w:r w:rsidR="008D6E44" w:rsidRPr="00F71EB3">
        <w:t xml:space="preserve"> </w:t>
      </w:r>
      <w:r w:rsidR="00497F8B" w:rsidRPr="00F71EB3">
        <w:t xml:space="preserve">taxonomías </w:t>
      </w:r>
      <w:r w:rsidR="008D6E44" w:rsidRPr="00F71EB3">
        <w:t>distintas</w:t>
      </w:r>
      <w:r w:rsidR="00A559EF" w:rsidRPr="00F71EB3">
        <w:t>,</w:t>
      </w:r>
      <w:r w:rsidR="008D6E44" w:rsidRPr="00F71EB3">
        <w:t xml:space="preserve"> </w:t>
      </w:r>
      <w:r w:rsidR="00A559EF" w:rsidRPr="00F71EB3">
        <w:t>muy detalladas,</w:t>
      </w:r>
      <w:r w:rsidR="00497F8B" w:rsidRPr="00F71EB3">
        <w:t xml:space="preserve"> </w:t>
      </w:r>
      <w:r w:rsidR="008D6E44" w:rsidRPr="00F71EB3">
        <w:t>que se asocian con</w:t>
      </w:r>
      <w:r w:rsidR="00497F8B" w:rsidRPr="00F71EB3">
        <w:t xml:space="preserve"> grupos de productos o servicios considerados similares unos a otros en el examen de marcas</w:t>
      </w:r>
      <w:r w:rsidR="00517AD4" w:rsidRPr="00F71EB3">
        <w:t>.  En el Japón y en la República de Corea s</w:t>
      </w:r>
      <w:r w:rsidR="00497F8B" w:rsidRPr="00F71EB3">
        <w:t xml:space="preserve">e </w:t>
      </w:r>
      <w:r w:rsidR="00F6199E" w:rsidRPr="00F71EB3">
        <w:t>alienta</w:t>
      </w:r>
      <w:r w:rsidR="00497F8B" w:rsidRPr="00F71EB3">
        <w:t xml:space="preserve"> a los solicitantes de registro de marca</w:t>
      </w:r>
      <w:r w:rsidR="00F6199E" w:rsidRPr="00F71EB3">
        <w:t>s</w:t>
      </w:r>
      <w:r w:rsidR="00497F8B" w:rsidRPr="00F71EB3">
        <w:t xml:space="preserve"> a </w:t>
      </w:r>
      <w:r w:rsidR="00517AD4" w:rsidRPr="00F71EB3">
        <w:t xml:space="preserve">que se remitan </w:t>
      </w:r>
      <w:r w:rsidR="00497F8B" w:rsidRPr="00F71EB3">
        <w:t xml:space="preserve">a esos códigos antes de presentar una solicitud de registro de </w:t>
      </w:r>
      <w:r w:rsidR="00F6199E" w:rsidRPr="00F71EB3">
        <w:t xml:space="preserve">una </w:t>
      </w:r>
      <w:r w:rsidR="00497F8B" w:rsidRPr="00F71EB3">
        <w:t xml:space="preserve">marca </w:t>
      </w:r>
      <w:r w:rsidR="00F6199E" w:rsidRPr="00F71EB3">
        <w:t>a fin de</w:t>
      </w:r>
      <w:r w:rsidR="00497F8B" w:rsidRPr="00F71EB3">
        <w:t xml:space="preserve"> determinar la existencia de marcas similares registradas.  Esos códigos estarán disponibles en la </w:t>
      </w:r>
      <w:r w:rsidR="000856F8">
        <w:t>Base de Datos MGS</w:t>
      </w:r>
      <w:r w:rsidR="00497F8B" w:rsidRPr="00F71EB3">
        <w:t xml:space="preserve"> durante </w:t>
      </w:r>
      <w:r w:rsidRPr="00F71EB3">
        <w:t>2015.</w:t>
      </w:r>
    </w:p>
    <w:p w:rsidR="00B42B03" w:rsidRPr="00F71EB3" w:rsidRDefault="00B42B03" w:rsidP="00B42B03"/>
    <w:p w:rsidR="00B42B03" w:rsidRPr="00F71EB3" w:rsidRDefault="00B42B03" w:rsidP="00B42B03">
      <w:pPr>
        <w:pStyle w:val="ListParagraph"/>
        <w:ind w:hanging="720"/>
        <w:rPr>
          <w:lang w:val="es-ES"/>
        </w:rPr>
      </w:pPr>
    </w:p>
    <w:p w:rsidR="00B42B03" w:rsidRPr="00F71EB3" w:rsidRDefault="00B42B03" w:rsidP="00B42B03">
      <w:pPr>
        <w:pStyle w:val="ListParagraph"/>
        <w:ind w:hanging="720"/>
        <w:rPr>
          <w:lang w:val="es-ES"/>
        </w:rPr>
      </w:pPr>
      <w:r w:rsidRPr="00F71EB3">
        <w:rPr>
          <w:lang w:val="es-ES"/>
        </w:rPr>
        <w:t>CONTEN</w:t>
      </w:r>
      <w:r w:rsidR="006D5C9C" w:rsidRPr="00F71EB3">
        <w:rPr>
          <w:lang w:val="es-ES"/>
        </w:rPr>
        <w:t xml:space="preserve">IDO DE LA </w:t>
      </w:r>
      <w:r w:rsidR="000856F8">
        <w:rPr>
          <w:lang w:val="es-ES"/>
        </w:rPr>
        <w:t>BASE DE DATOS MGS</w:t>
      </w:r>
    </w:p>
    <w:p w:rsidR="00B42B03" w:rsidRPr="00F71EB3" w:rsidRDefault="00B42B03" w:rsidP="00B42B03"/>
    <w:p w:rsidR="00B42B03" w:rsidRPr="00F71EB3" w:rsidRDefault="00B42B03" w:rsidP="00B42B03">
      <w:r w:rsidRPr="00F71EB3">
        <w:fldChar w:fldCharType="begin"/>
      </w:r>
      <w:r w:rsidRPr="00F71EB3">
        <w:instrText xml:space="preserve"> AUTONUM  </w:instrText>
      </w:r>
      <w:r w:rsidRPr="00F71EB3">
        <w:fldChar w:fldCharType="end"/>
      </w:r>
      <w:r w:rsidRPr="00F71EB3">
        <w:tab/>
      </w:r>
      <w:r w:rsidR="006D5C9C" w:rsidRPr="00F71EB3">
        <w:t xml:space="preserve">Se </w:t>
      </w:r>
      <w:r w:rsidR="00344F8F" w:rsidRPr="00F71EB3">
        <w:t>recuerda</w:t>
      </w:r>
      <w:r w:rsidR="00517AD4" w:rsidRPr="00F71EB3">
        <w:t xml:space="preserve"> que</w:t>
      </w:r>
      <w:r w:rsidR="007D2C03">
        <w:t xml:space="preserve"> el enriquecimiento de la </w:t>
      </w:r>
      <w:r w:rsidR="000856F8">
        <w:t>Base de Datos MGS</w:t>
      </w:r>
      <w:r w:rsidR="007D2C03">
        <w:t>, la cual contiene</w:t>
      </w:r>
      <w:r w:rsidR="00F6199E" w:rsidRPr="00F71EB3">
        <w:t xml:space="preserve"> traducciones a idiomas distintos de los idiomas oficiales del Sistema de Madrid </w:t>
      </w:r>
      <w:r w:rsidR="007D2C03">
        <w:t>e</w:t>
      </w:r>
      <w:r w:rsidR="00F6199E" w:rsidRPr="00F71EB3">
        <w:t xml:space="preserve"> información sobre la aceptación</w:t>
      </w:r>
      <w:r w:rsidR="007D2C03">
        <w:t>, depende del avance que vayan logrando</w:t>
      </w:r>
      <w:r w:rsidR="00B36929" w:rsidRPr="00F71EB3">
        <w:t xml:space="preserve"> </w:t>
      </w:r>
      <w:r w:rsidR="007D2C03">
        <w:t>las Oficinas nacionales cooperantes</w:t>
      </w:r>
      <w:r w:rsidR="00B36929" w:rsidRPr="00F71EB3">
        <w:t xml:space="preserve"> </w:t>
      </w:r>
      <w:r w:rsidR="00344F8F" w:rsidRPr="00F71EB3">
        <w:t>en el proceso de traducción y/o d</w:t>
      </w:r>
      <w:r w:rsidR="007D2C03">
        <w:t>e verificación de la aceptación</w:t>
      </w:r>
      <w:r w:rsidR="00344F8F" w:rsidRPr="00F71EB3">
        <w:t>.</w:t>
      </w:r>
    </w:p>
    <w:p w:rsidR="00B42B03" w:rsidRPr="00F71EB3" w:rsidRDefault="00B42B03" w:rsidP="00B42B03"/>
    <w:p w:rsidR="00B42B03" w:rsidRPr="00F71EB3" w:rsidRDefault="00B42B03" w:rsidP="00B42B03">
      <w:r w:rsidRPr="00F71EB3">
        <w:fldChar w:fldCharType="begin"/>
      </w:r>
      <w:r w:rsidRPr="00F71EB3">
        <w:instrText xml:space="preserve"> AUTONUM  </w:instrText>
      </w:r>
      <w:r w:rsidRPr="00F71EB3">
        <w:fldChar w:fldCharType="end"/>
      </w:r>
      <w:r w:rsidRPr="00F71EB3">
        <w:tab/>
      </w:r>
      <w:r w:rsidR="00344F8F" w:rsidRPr="00F71EB3">
        <w:t xml:space="preserve">En el Anexo I se presenta el contenido de la </w:t>
      </w:r>
      <w:r w:rsidR="000856F8">
        <w:t>Base de Datos MGS</w:t>
      </w:r>
      <w:r w:rsidR="00344F8F" w:rsidRPr="00F71EB3">
        <w:t xml:space="preserve"> en </w:t>
      </w:r>
      <w:r w:rsidR="00187137" w:rsidRPr="00F71EB3">
        <w:t>lo que atañe a</w:t>
      </w:r>
      <w:r w:rsidR="00344F8F" w:rsidRPr="00F71EB3">
        <w:t xml:space="preserve">l volumen de datos por idioma, </w:t>
      </w:r>
      <w:r w:rsidR="00187137" w:rsidRPr="00F71EB3">
        <w:t>que fue</w:t>
      </w:r>
      <w:r w:rsidR="00344F8F" w:rsidRPr="00F71EB3">
        <w:t xml:space="preserve"> publicado en mayo de 2015 en el sitio web de la OMPI.</w:t>
      </w:r>
    </w:p>
    <w:p w:rsidR="00B42B03" w:rsidRPr="00F71EB3" w:rsidRDefault="00B42B03" w:rsidP="00B42B03"/>
    <w:p w:rsidR="00B42B03" w:rsidRPr="00F71EB3" w:rsidRDefault="00B42B03" w:rsidP="00B42B03">
      <w:r w:rsidRPr="00F71EB3">
        <w:fldChar w:fldCharType="begin"/>
      </w:r>
      <w:r w:rsidRPr="00F71EB3">
        <w:instrText xml:space="preserve"> AUTONUM  </w:instrText>
      </w:r>
      <w:r w:rsidRPr="00F71EB3">
        <w:fldChar w:fldCharType="end"/>
      </w:r>
      <w:r w:rsidRPr="00F71EB3">
        <w:tab/>
      </w:r>
      <w:r w:rsidR="00344F8F" w:rsidRPr="00F71EB3">
        <w:t>En el Anexo II se ofrece un</w:t>
      </w:r>
      <w:r w:rsidR="00187137" w:rsidRPr="00F71EB3">
        <w:t xml:space="preserve">a representación gráfica del </w:t>
      </w:r>
      <w:r w:rsidR="00344F8F" w:rsidRPr="00F71EB3">
        <w:t xml:space="preserve">volumen relativo de </w:t>
      </w:r>
      <w:r w:rsidR="00187137" w:rsidRPr="00F71EB3">
        <w:t xml:space="preserve">la traducción </w:t>
      </w:r>
      <w:r w:rsidR="00344F8F" w:rsidRPr="00F71EB3">
        <w:t xml:space="preserve">a los diversos idiomas de </w:t>
      </w:r>
      <w:r w:rsidR="007776FA" w:rsidRPr="00F71EB3">
        <w:t xml:space="preserve">la </w:t>
      </w:r>
      <w:r w:rsidR="000856F8">
        <w:t>Base de Datos MGS</w:t>
      </w:r>
      <w:r w:rsidRPr="00F71EB3">
        <w:t>.</w:t>
      </w:r>
    </w:p>
    <w:p w:rsidR="00B42B03" w:rsidRPr="00F71EB3" w:rsidRDefault="00B42B03" w:rsidP="00B42B03">
      <w:pPr>
        <w:pStyle w:val="ListParagraph"/>
        <w:ind w:hanging="720"/>
        <w:rPr>
          <w:lang w:val="es-ES"/>
        </w:rPr>
      </w:pPr>
    </w:p>
    <w:p w:rsidR="00B42B03" w:rsidRPr="00F71EB3" w:rsidRDefault="00B42B03" w:rsidP="00B42B03">
      <w:r w:rsidRPr="00F71EB3">
        <w:fldChar w:fldCharType="begin"/>
      </w:r>
      <w:r w:rsidRPr="00F71EB3">
        <w:instrText xml:space="preserve"> AUTONUM  </w:instrText>
      </w:r>
      <w:r w:rsidRPr="00F71EB3">
        <w:fldChar w:fldCharType="end"/>
      </w:r>
      <w:r w:rsidRPr="00F71EB3">
        <w:tab/>
      </w:r>
      <w:r w:rsidR="00344F8F" w:rsidRPr="00F71EB3">
        <w:t xml:space="preserve">En el Anexo III se </w:t>
      </w:r>
      <w:r w:rsidR="00187137" w:rsidRPr="00F71EB3">
        <w:t xml:space="preserve">presenta </w:t>
      </w:r>
      <w:r w:rsidR="00344F8F" w:rsidRPr="00F71EB3">
        <w:t xml:space="preserve">el </w:t>
      </w:r>
      <w:r w:rsidR="00A970F7">
        <w:t>porcentaje de c</w:t>
      </w:r>
      <w:r w:rsidR="00344F8F" w:rsidRPr="00F71EB3">
        <w:t>ontenido</w:t>
      </w:r>
      <w:r w:rsidR="00B36929" w:rsidRPr="00F71EB3">
        <w:t xml:space="preserve"> </w:t>
      </w:r>
      <w:r w:rsidR="00344F8F" w:rsidRPr="00F71EB3">
        <w:t xml:space="preserve">de la </w:t>
      </w:r>
      <w:r w:rsidR="000856F8">
        <w:t>Base de Datos MGS</w:t>
      </w:r>
      <w:r w:rsidR="00344F8F" w:rsidRPr="00F71EB3">
        <w:t xml:space="preserve"> </w:t>
      </w:r>
      <w:r w:rsidR="00A970F7">
        <w:t>que es aceptado</w:t>
      </w:r>
      <w:r w:rsidR="00344F8F" w:rsidRPr="00F71EB3">
        <w:t xml:space="preserve"> por las Partes Contratantes</w:t>
      </w:r>
      <w:r w:rsidR="00B36929" w:rsidRPr="00F71EB3">
        <w:t>,</w:t>
      </w:r>
      <w:r w:rsidR="00344F8F" w:rsidRPr="00F71EB3">
        <w:t xml:space="preserve"> según lo</w:t>
      </w:r>
      <w:r w:rsidR="00187137" w:rsidRPr="00F71EB3">
        <w:t xml:space="preserve">s datos que </w:t>
      </w:r>
      <w:r w:rsidR="00C341E0" w:rsidRPr="00F71EB3">
        <w:t>figuran</w:t>
      </w:r>
      <w:r w:rsidR="00187137" w:rsidRPr="00F71EB3">
        <w:t xml:space="preserve"> en la </w:t>
      </w:r>
      <w:r w:rsidR="00344F8F" w:rsidRPr="00F71EB3">
        <w:t xml:space="preserve">función “Verificar </w:t>
      </w:r>
      <w:r w:rsidR="000060E2">
        <w:t>aceptación por la</w:t>
      </w:r>
      <w:r w:rsidR="00344F8F" w:rsidRPr="00F71EB3">
        <w:t xml:space="preserve"> Parte Contratante designada</w:t>
      </w:r>
      <w:r w:rsidR="00B36929" w:rsidRPr="00F71EB3">
        <w:t xml:space="preserve"> (PCd)</w:t>
      </w:r>
      <w:r w:rsidR="00344F8F" w:rsidRPr="00F71EB3">
        <w:t>”.</w:t>
      </w:r>
      <w:r w:rsidR="00344F8F" w:rsidRPr="00F71EB3">
        <w:rPr>
          <w:highlight w:val="red"/>
        </w:rPr>
        <w:t xml:space="preserve"> </w:t>
      </w:r>
    </w:p>
    <w:p w:rsidR="00B42B03" w:rsidRPr="00F71EB3" w:rsidRDefault="00B42B03" w:rsidP="00B42B03">
      <w:pPr>
        <w:pStyle w:val="ListParagraph"/>
        <w:ind w:hanging="720"/>
        <w:rPr>
          <w:lang w:val="es-ES"/>
        </w:rPr>
      </w:pPr>
    </w:p>
    <w:p w:rsidR="00B42B03" w:rsidRPr="00F71EB3" w:rsidRDefault="00B42B03" w:rsidP="00B42B03">
      <w:pPr>
        <w:tabs>
          <w:tab w:val="left" w:pos="550"/>
        </w:tabs>
        <w:ind w:left="915" w:hanging="915"/>
      </w:pPr>
    </w:p>
    <w:p w:rsidR="00B42B03" w:rsidRPr="00F71EB3" w:rsidRDefault="00B36929" w:rsidP="00B42B03">
      <w:pPr>
        <w:tabs>
          <w:tab w:val="left" w:pos="550"/>
        </w:tabs>
      </w:pPr>
      <w:r w:rsidRPr="00F71EB3">
        <w:t xml:space="preserve">FUNCIÓN EXCLUSIVA DE LA OMPI: </w:t>
      </w:r>
      <w:r w:rsidR="009F6B5E" w:rsidRPr="00F71EB3">
        <w:t xml:space="preserve">“VERIFICAR </w:t>
      </w:r>
      <w:r w:rsidR="000060E2">
        <w:t>ACEPTACIÓN POR LA</w:t>
      </w:r>
      <w:r w:rsidR="009F6B5E" w:rsidRPr="00F71EB3">
        <w:t xml:space="preserve"> PARTE CONTRATANTE DESIGNADA (PC</w:t>
      </w:r>
      <w:r w:rsidR="006E40E9">
        <w:t>d</w:t>
      </w:r>
      <w:r w:rsidR="009F6B5E" w:rsidRPr="00F71EB3">
        <w:t xml:space="preserve">)” </w:t>
      </w:r>
    </w:p>
    <w:p w:rsidR="00B42B03" w:rsidRPr="00F71EB3" w:rsidRDefault="00B42B03" w:rsidP="00B42B03">
      <w:pPr>
        <w:tabs>
          <w:tab w:val="left" w:pos="550"/>
        </w:tabs>
      </w:pPr>
    </w:p>
    <w:p w:rsidR="008E3B99" w:rsidRPr="00F71EB3" w:rsidRDefault="00B42B03" w:rsidP="008E3B99">
      <w:pPr>
        <w:tabs>
          <w:tab w:val="left" w:pos="540"/>
        </w:tabs>
        <w:rPr>
          <w:szCs w:val="22"/>
        </w:rPr>
      </w:pPr>
      <w:r w:rsidRPr="00F71EB3">
        <w:fldChar w:fldCharType="begin"/>
      </w:r>
      <w:r w:rsidRPr="00F71EB3">
        <w:instrText xml:space="preserve"> AUTONUM  </w:instrText>
      </w:r>
      <w:r w:rsidRPr="00F71EB3">
        <w:fldChar w:fldCharType="end"/>
      </w:r>
      <w:r w:rsidRPr="00F71EB3">
        <w:tab/>
      </w:r>
      <w:r w:rsidR="008E3B99" w:rsidRPr="00F71EB3">
        <w:t xml:space="preserve">Se recuerda que la información relativa a la aceptación de </w:t>
      </w:r>
      <w:r w:rsidR="00187137" w:rsidRPr="00F71EB3">
        <w:t xml:space="preserve">los </w:t>
      </w:r>
      <w:r w:rsidR="008E3B99" w:rsidRPr="00F71EB3">
        <w:t>términos que describen productos o servicios</w:t>
      </w:r>
      <w:r w:rsidRPr="00F71EB3">
        <w:rPr>
          <w:szCs w:val="22"/>
        </w:rPr>
        <w:t xml:space="preserve"> (</w:t>
      </w:r>
      <w:r w:rsidR="008E3B99" w:rsidRPr="00F71EB3">
        <w:rPr>
          <w:szCs w:val="22"/>
        </w:rPr>
        <w:t xml:space="preserve">en </w:t>
      </w:r>
      <w:r w:rsidR="00B36929" w:rsidRPr="00F71EB3">
        <w:rPr>
          <w:szCs w:val="22"/>
        </w:rPr>
        <w:t>adelante</w:t>
      </w:r>
      <w:r w:rsidR="008E3B99" w:rsidRPr="00F71EB3">
        <w:rPr>
          <w:szCs w:val="22"/>
        </w:rPr>
        <w:t>, “los términos”</w:t>
      </w:r>
      <w:r w:rsidRPr="00F71EB3">
        <w:rPr>
          <w:szCs w:val="22"/>
        </w:rPr>
        <w:t xml:space="preserve">) </w:t>
      </w:r>
      <w:r w:rsidR="008E3B99" w:rsidRPr="00F71EB3">
        <w:rPr>
          <w:szCs w:val="22"/>
        </w:rPr>
        <w:t xml:space="preserve">que </w:t>
      </w:r>
      <w:r w:rsidR="00C341E0" w:rsidRPr="00F71EB3">
        <w:rPr>
          <w:szCs w:val="22"/>
        </w:rPr>
        <w:t xml:space="preserve">figura </w:t>
      </w:r>
      <w:r w:rsidR="008E3B99" w:rsidRPr="00F71EB3">
        <w:rPr>
          <w:szCs w:val="22"/>
        </w:rPr>
        <w:t>en la función exclusiv</w:t>
      </w:r>
      <w:r w:rsidR="00B36929" w:rsidRPr="00F71EB3">
        <w:rPr>
          <w:szCs w:val="22"/>
        </w:rPr>
        <w:t>a</w:t>
      </w:r>
      <w:r w:rsidR="008E3B99" w:rsidRPr="00F71EB3">
        <w:rPr>
          <w:szCs w:val="22"/>
        </w:rPr>
        <w:t xml:space="preserve"> de la OMPI</w:t>
      </w:r>
      <w:r w:rsidR="00B969B9" w:rsidRPr="00F71EB3">
        <w:rPr>
          <w:szCs w:val="22"/>
        </w:rPr>
        <w:t>:</w:t>
      </w:r>
      <w:r w:rsidR="008E3B99" w:rsidRPr="00F71EB3">
        <w:rPr>
          <w:szCs w:val="22"/>
        </w:rPr>
        <w:t xml:space="preserve"> </w:t>
      </w:r>
      <w:r w:rsidR="009F6B5E" w:rsidRPr="00F71EB3">
        <w:rPr>
          <w:szCs w:val="22"/>
        </w:rPr>
        <w:t xml:space="preserve"> </w:t>
      </w:r>
      <w:r w:rsidR="009F6B5E" w:rsidRPr="00F71EB3">
        <w:rPr>
          <w:bCs/>
          <w:szCs w:val="22"/>
        </w:rPr>
        <w:t xml:space="preserve">“Verificar </w:t>
      </w:r>
      <w:r w:rsidR="000060E2">
        <w:rPr>
          <w:bCs/>
          <w:szCs w:val="22"/>
        </w:rPr>
        <w:t>aceptación por la</w:t>
      </w:r>
      <w:r w:rsidR="009F6B5E" w:rsidRPr="00F71EB3">
        <w:rPr>
          <w:bCs/>
          <w:szCs w:val="22"/>
        </w:rPr>
        <w:t xml:space="preserve"> Parte Contratante designada</w:t>
      </w:r>
      <w:r w:rsidR="00B36929" w:rsidRPr="00F71EB3">
        <w:rPr>
          <w:bCs/>
          <w:szCs w:val="22"/>
        </w:rPr>
        <w:t xml:space="preserve"> (PCd)”,</w:t>
      </w:r>
      <w:r w:rsidR="008E3B99" w:rsidRPr="00F71EB3">
        <w:rPr>
          <w:bCs/>
          <w:szCs w:val="22"/>
        </w:rPr>
        <w:t xml:space="preserve"> permite a los solicitantes de</w:t>
      </w:r>
      <w:r w:rsidR="00B36929" w:rsidRPr="00F71EB3">
        <w:rPr>
          <w:bCs/>
          <w:szCs w:val="22"/>
        </w:rPr>
        <w:t xml:space="preserve">l </w:t>
      </w:r>
      <w:r w:rsidR="008E3B99" w:rsidRPr="00F71EB3">
        <w:rPr>
          <w:bCs/>
          <w:szCs w:val="22"/>
        </w:rPr>
        <w:t xml:space="preserve">registro de </w:t>
      </w:r>
      <w:r w:rsidR="00B36929" w:rsidRPr="00F71EB3">
        <w:rPr>
          <w:bCs/>
          <w:szCs w:val="22"/>
        </w:rPr>
        <w:t xml:space="preserve">una </w:t>
      </w:r>
      <w:r w:rsidR="008E3B99" w:rsidRPr="00F71EB3">
        <w:rPr>
          <w:bCs/>
          <w:szCs w:val="22"/>
        </w:rPr>
        <w:t xml:space="preserve">marca </w:t>
      </w:r>
      <w:r w:rsidR="00B969B9" w:rsidRPr="00F71EB3">
        <w:rPr>
          <w:bCs/>
          <w:szCs w:val="22"/>
        </w:rPr>
        <w:t xml:space="preserve">no solo </w:t>
      </w:r>
      <w:r w:rsidR="003D2007" w:rsidRPr="00F71EB3">
        <w:rPr>
          <w:bCs/>
          <w:szCs w:val="22"/>
        </w:rPr>
        <w:t>saber</w:t>
      </w:r>
      <w:r w:rsidR="00B969B9" w:rsidRPr="00F71EB3">
        <w:rPr>
          <w:bCs/>
          <w:szCs w:val="22"/>
        </w:rPr>
        <w:t xml:space="preserve"> que</w:t>
      </w:r>
      <w:r w:rsidR="008E3B99" w:rsidRPr="00F71EB3">
        <w:rPr>
          <w:bCs/>
          <w:szCs w:val="22"/>
        </w:rPr>
        <w:t xml:space="preserve"> </w:t>
      </w:r>
      <w:r w:rsidR="00B969B9" w:rsidRPr="00F71EB3">
        <w:rPr>
          <w:bCs/>
          <w:szCs w:val="22"/>
        </w:rPr>
        <w:t>los</w:t>
      </w:r>
      <w:r w:rsidRPr="00F71EB3">
        <w:rPr>
          <w:szCs w:val="22"/>
        </w:rPr>
        <w:t xml:space="preserve"> </w:t>
      </w:r>
      <w:r w:rsidR="008E3B99" w:rsidRPr="00F71EB3">
        <w:rPr>
          <w:szCs w:val="22"/>
        </w:rPr>
        <w:t>término</w:t>
      </w:r>
      <w:r w:rsidR="00B969B9" w:rsidRPr="00F71EB3">
        <w:rPr>
          <w:szCs w:val="22"/>
        </w:rPr>
        <w:t>s</w:t>
      </w:r>
      <w:r w:rsidR="008E3B99" w:rsidRPr="00F71EB3">
        <w:rPr>
          <w:szCs w:val="22"/>
        </w:rPr>
        <w:t xml:space="preserve"> aceptado</w:t>
      </w:r>
      <w:r w:rsidR="00B969B9" w:rsidRPr="00F71EB3">
        <w:rPr>
          <w:szCs w:val="22"/>
        </w:rPr>
        <w:t>s</w:t>
      </w:r>
      <w:r w:rsidR="008E3B99" w:rsidRPr="00F71EB3">
        <w:rPr>
          <w:szCs w:val="22"/>
        </w:rPr>
        <w:t xml:space="preserve"> por la Oficina Internacional será</w:t>
      </w:r>
      <w:r w:rsidR="00B969B9" w:rsidRPr="00F71EB3">
        <w:rPr>
          <w:szCs w:val="22"/>
        </w:rPr>
        <w:t>n</w:t>
      </w:r>
      <w:r w:rsidR="008E3B99" w:rsidRPr="00F71EB3">
        <w:rPr>
          <w:szCs w:val="22"/>
        </w:rPr>
        <w:t xml:space="preserve"> aceptado</w:t>
      </w:r>
      <w:r w:rsidR="00B969B9" w:rsidRPr="00F71EB3">
        <w:rPr>
          <w:szCs w:val="22"/>
        </w:rPr>
        <w:t>s</w:t>
      </w:r>
      <w:r w:rsidR="008E3B99" w:rsidRPr="00F71EB3">
        <w:rPr>
          <w:szCs w:val="22"/>
        </w:rPr>
        <w:t xml:space="preserve"> en </w:t>
      </w:r>
      <w:r w:rsidR="00B969B9" w:rsidRPr="00F71EB3">
        <w:rPr>
          <w:szCs w:val="22"/>
        </w:rPr>
        <w:t>las</w:t>
      </w:r>
      <w:r w:rsidR="008E3B99" w:rsidRPr="00F71EB3">
        <w:rPr>
          <w:szCs w:val="22"/>
        </w:rPr>
        <w:t xml:space="preserve"> </w:t>
      </w:r>
      <w:r w:rsidR="009F6B5E" w:rsidRPr="00F71EB3">
        <w:rPr>
          <w:szCs w:val="22"/>
        </w:rPr>
        <w:t>Parte</w:t>
      </w:r>
      <w:r w:rsidR="00B969B9" w:rsidRPr="00F71EB3">
        <w:rPr>
          <w:szCs w:val="22"/>
        </w:rPr>
        <w:t>s</w:t>
      </w:r>
      <w:r w:rsidR="009F6B5E" w:rsidRPr="00F71EB3">
        <w:rPr>
          <w:szCs w:val="22"/>
        </w:rPr>
        <w:t xml:space="preserve"> Contratante</w:t>
      </w:r>
      <w:r w:rsidR="00B969B9" w:rsidRPr="00F71EB3">
        <w:rPr>
          <w:szCs w:val="22"/>
        </w:rPr>
        <w:t>s</w:t>
      </w:r>
      <w:r w:rsidR="009F6B5E" w:rsidRPr="00F71EB3">
        <w:rPr>
          <w:szCs w:val="22"/>
        </w:rPr>
        <w:t xml:space="preserve"> </w:t>
      </w:r>
      <w:r w:rsidRPr="00F71EB3">
        <w:rPr>
          <w:szCs w:val="22"/>
        </w:rPr>
        <w:t>designa</w:t>
      </w:r>
      <w:r w:rsidR="009F6B5E" w:rsidRPr="00F71EB3">
        <w:rPr>
          <w:szCs w:val="22"/>
        </w:rPr>
        <w:t>da</w:t>
      </w:r>
      <w:r w:rsidR="00B969B9" w:rsidRPr="00F71EB3">
        <w:rPr>
          <w:szCs w:val="22"/>
        </w:rPr>
        <w:t>s</w:t>
      </w:r>
      <w:r w:rsidRPr="00F71EB3">
        <w:rPr>
          <w:szCs w:val="22"/>
        </w:rPr>
        <w:t xml:space="preserve"> </w:t>
      </w:r>
      <w:r w:rsidR="008E3B99" w:rsidRPr="00F71EB3">
        <w:rPr>
          <w:szCs w:val="22"/>
        </w:rPr>
        <w:t xml:space="preserve">sino también, y más importante aún, </w:t>
      </w:r>
      <w:r w:rsidR="003D2007" w:rsidRPr="00F71EB3">
        <w:rPr>
          <w:szCs w:val="22"/>
        </w:rPr>
        <w:t xml:space="preserve">que determinadas </w:t>
      </w:r>
      <w:r w:rsidR="009F6B5E" w:rsidRPr="00F71EB3">
        <w:rPr>
          <w:szCs w:val="22"/>
        </w:rPr>
        <w:t xml:space="preserve">Partes Contratantes </w:t>
      </w:r>
      <w:r w:rsidR="00B969B9" w:rsidRPr="00F71EB3">
        <w:rPr>
          <w:szCs w:val="22"/>
        </w:rPr>
        <w:t xml:space="preserve">rechazan algunos términos </w:t>
      </w:r>
      <w:r w:rsidR="008E3B99" w:rsidRPr="00F71EB3">
        <w:rPr>
          <w:szCs w:val="22"/>
        </w:rPr>
        <w:t>y</w:t>
      </w:r>
      <w:r w:rsidRPr="00F71EB3">
        <w:rPr>
          <w:szCs w:val="22"/>
        </w:rPr>
        <w:t xml:space="preserve"> </w:t>
      </w:r>
      <w:r w:rsidR="00B969B9" w:rsidRPr="00F71EB3">
        <w:rPr>
          <w:szCs w:val="22"/>
        </w:rPr>
        <w:t xml:space="preserve">que su uso puede dar lugar a </w:t>
      </w:r>
      <w:r w:rsidR="003608BA" w:rsidRPr="00F71EB3">
        <w:rPr>
          <w:szCs w:val="22"/>
        </w:rPr>
        <w:t xml:space="preserve">la emisión de una </w:t>
      </w:r>
      <w:r w:rsidR="008E3B99" w:rsidRPr="00F71EB3">
        <w:rPr>
          <w:szCs w:val="22"/>
        </w:rPr>
        <w:t>denegación provisional</w:t>
      </w:r>
      <w:r w:rsidR="003608BA" w:rsidRPr="00F71EB3">
        <w:rPr>
          <w:szCs w:val="22"/>
        </w:rPr>
        <w:t xml:space="preserve"> por dichas Partes Contratantes</w:t>
      </w:r>
      <w:r w:rsidR="008E3B99" w:rsidRPr="00F71EB3">
        <w:rPr>
          <w:szCs w:val="22"/>
        </w:rPr>
        <w:t>.</w:t>
      </w:r>
    </w:p>
    <w:p w:rsidR="00B42B03" w:rsidRPr="00F71EB3" w:rsidRDefault="008E3B99" w:rsidP="00B42B03">
      <w:pPr>
        <w:tabs>
          <w:tab w:val="left" w:pos="540"/>
        </w:tabs>
        <w:rPr>
          <w:szCs w:val="22"/>
        </w:rPr>
      </w:pPr>
      <w:r w:rsidRPr="00F71EB3">
        <w:rPr>
          <w:szCs w:val="22"/>
        </w:rPr>
        <w:t xml:space="preserve"> </w:t>
      </w:r>
    </w:p>
    <w:p w:rsidR="00B42B03" w:rsidRPr="00F71EB3" w:rsidRDefault="00B42B03" w:rsidP="00B42B03">
      <w:pPr>
        <w:tabs>
          <w:tab w:val="left" w:pos="540"/>
        </w:tabs>
        <w:rPr>
          <w:szCs w:val="22"/>
        </w:rPr>
      </w:pPr>
      <w:r w:rsidRPr="00F71EB3">
        <w:rPr>
          <w:szCs w:val="22"/>
        </w:rPr>
        <w:fldChar w:fldCharType="begin"/>
      </w:r>
      <w:r w:rsidRPr="00F71EB3">
        <w:rPr>
          <w:szCs w:val="22"/>
        </w:rPr>
        <w:instrText xml:space="preserve"> AUTONUM  </w:instrText>
      </w:r>
      <w:r w:rsidRPr="00F71EB3">
        <w:rPr>
          <w:szCs w:val="22"/>
        </w:rPr>
        <w:fldChar w:fldCharType="end"/>
      </w:r>
      <w:r w:rsidRPr="00F71EB3">
        <w:rPr>
          <w:szCs w:val="22"/>
        </w:rPr>
        <w:tab/>
      </w:r>
      <w:r w:rsidR="008F687F" w:rsidRPr="00F71EB3">
        <w:rPr>
          <w:szCs w:val="22"/>
        </w:rPr>
        <w:t>Cabe señalar que, d</w:t>
      </w:r>
      <w:r w:rsidR="003D2007" w:rsidRPr="00F71EB3">
        <w:rPr>
          <w:szCs w:val="22"/>
        </w:rPr>
        <w:t>ada</w:t>
      </w:r>
      <w:r w:rsidR="008F687F" w:rsidRPr="00F71EB3">
        <w:rPr>
          <w:szCs w:val="22"/>
        </w:rPr>
        <w:t xml:space="preserve"> la cobertura mundial del</w:t>
      </w:r>
      <w:r w:rsidRPr="00F71EB3">
        <w:rPr>
          <w:szCs w:val="22"/>
        </w:rPr>
        <w:t xml:space="preserve"> </w:t>
      </w:r>
      <w:r w:rsidR="009F6B5E" w:rsidRPr="00F71EB3">
        <w:rPr>
          <w:szCs w:val="22"/>
        </w:rPr>
        <w:t>Sistema de Madrid</w:t>
      </w:r>
      <w:r w:rsidR="00420A83" w:rsidRPr="00F71EB3">
        <w:rPr>
          <w:szCs w:val="22"/>
        </w:rPr>
        <w:t xml:space="preserve"> y, aunque el mayor uso de la </w:t>
      </w:r>
      <w:r w:rsidR="000856F8">
        <w:rPr>
          <w:szCs w:val="22"/>
        </w:rPr>
        <w:t>Base de Datos MGS</w:t>
      </w:r>
      <w:r w:rsidRPr="00F71EB3">
        <w:rPr>
          <w:szCs w:val="22"/>
        </w:rPr>
        <w:t xml:space="preserve"> </w:t>
      </w:r>
      <w:r w:rsidR="00420A83" w:rsidRPr="00F71EB3">
        <w:rPr>
          <w:szCs w:val="22"/>
        </w:rPr>
        <w:t xml:space="preserve">debería facilitar, </w:t>
      </w:r>
      <w:r w:rsidR="003D2007" w:rsidRPr="00F71EB3">
        <w:rPr>
          <w:szCs w:val="22"/>
        </w:rPr>
        <w:t>con el tiempo</w:t>
      </w:r>
      <w:r w:rsidR="00420A83" w:rsidRPr="00F71EB3">
        <w:rPr>
          <w:szCs w:val="22"/>
        </w:rPr>
        <w:t>, la armonización de</w:t>
      </w:r>
      <w:r w:rsidR="003D2007" w:rsidRPr="00F71EB3">
        <w:rPr>
          <w:szCs w:val="22"/>
        </w:rPr>
        <w:t xml:space="preserve"> las prácticas de clasificación </w:t>
      </w:r>
      <w:r w:rsidR="00420A83" w:rsidRPr="00F71EB3">
        <w:rPr>
          <w:szCs w:val="22"/>
        </w:rPr>
        <w:t xml:space="preserve">de las marcas entre los Estados miembros, </w:t>
      </w:r>
      <w:r w:rsidR="00BA1F9B" w:rsidRPr="00F71EB3">
        <w:rPr>
          <w:szCs w:val="22"/>
        </w:rPr>
        <w:t>hay</w:t>
      </w:r>
      <w:r w:rsidR="00420A83" w:rsidRPr="00F71EB3">
        <w:rPr>
          <w:szCs w:val="22"/>
        </w:rPr>
        <w:t xml:space="preserve"> </w:t>
      </w:r>
      <w:r w:rsidR="00BA1F9B" w:rsidRPr="00F71EB3">
        <w:rPr>
          <w:szCs w:val="22"/>
        </w:rPr>
        <w:t>razones</w:t>
      </w:r>
      <w:r w:rsidR="00420A83" w:rsidRPr="00F71EB3">
        <w:rPr>
          <w:szCs w:val="22"/>
        </w:rPr>
        <w:t xml:space="preserve"> por l</w:t>
      </w:r>
      <w:r w:rsidR="00BA1F9B" w:rsidRPr="00F71EB3">
        <w:rPr>
          <w:szCs w:val="22"/>
        </w:rPr>
        <w:t>a</w:t>
      </w:r>
      <w:r w:rsidR="00420A83" w:rsidRPr="00F71EB3">
        <w:rPr>
          <w:szCs w:val="22"/>
        </w:rPr>
        <w:t xml:space="preserve">s que algunos términos </w:t>
      </w:r>
      <w:r w:rsidR="003D2007" w:rsidRPr="00F71EB3">
        <w:rPr>
          <w:szCs w:val="22"/>
        </w:rPr>
        <w:t>no son</w:t>
      </w:r>
      <w:r w:rsidR="00420A83" w:rsidRPr="00F71EB3">
        <w:rPr>
          <w:szCs w:val="22"/>
        </w:rPr>
        <w:t xml:space="preserve"> aceptados en todas las</w:t>
      </w:r>
      <w:r w:rsidRPr="00F71EB3">
        <w:rPr>
          <w:szCs w:val="22"/>
        </w:rPr>
        <w:t xml:space="preserve"> </w:t>
      </w:r>
      <w:r w:rsidR="009D4BAE" w:rsidRPr="00F71EB3">
        <w:rPr>
          <w:szCs w:val="22"/>
        </w:rPr>
        <w:t>Partes Contratantes designadas</w:t>
      </w:r>
      <w:r w:rsidR="007776FA" w:rsidRPr="00F71EB3">
        <w:rPr>
          <w:szCs w:val="22"/>
        </w:rPr>
        <w:t xml:space="preserve"> </w:t>
      </w:r>
      <w:r w:rsidR="00420A83" w:rsidRPr="00F71EB3">
        <w:rPr>
          <w:szCs w:val="22"/>
        </w:rPr>
        <w:t xml:space="preserve">del </w:t>
      </w:r>
      <w:r w:rsidR="009F6B5E" w:rsidRPr="00F71EB3">
        <w:rPr>
          <w:szCs w:val="22"/>
        </w:rPr>
        <w:t>Sistema de Madrid</w:t>
      </w:r>
      <w:r w:rsidRPr="00F71EB3">
        <w:rPr>
          <w:szCs w:val="22"/>
        </w:rPr>
        <w:t xml:space="preserve">, </w:t>
      </w:r>
      <w:r w:rsidR="00BA1F9B" w:rsidRPr="00F71EB3">
        <w:rPr>
          <w:szCs w:val="22"/>
        </w:rPr>
        <w:t>entre las cuales están l</w:t>
      </w:r>
      <w:r w:rsidR="00D55D0C" w:rsidRPr="00F71EB3">
        <w:rPr>
          <w:szCs w:val="22"/>
        </w:rPr>
        <w:t xml:space="preserve">as exigencias de especificidad </w:t>
      </w:r>
      <w:r w:rsidR="00420A83" w:rsidRPr="00F71EB3">
        <w:rPr>
          <w:szCs w:val="22"/>
        </w:rPr>
        <w:t xml:space="preserve">de las palabras </w:t>
      </w:r>
      <w:r w:rsidR="00D55D0C" w:rsidRPr="00F71EB3">
        <w:rPr>
          <w:szCs w:val="22"/>
        </w:rPr>
        <w:t xml:space="preserve">utilizadas </w:t>
      </w:r>
      <w:r w:rsidR="00420A83" w:rsidRPr="00F71EB3">
        <w:rPr>
          <w:szCs w:val="22"/>
        </w:rPr>
        <w:t xml:space="preserve">para describir los productos y servicios en algunas jurisdicciones </w:t>
      </w:r>
      <w:r w:rsidR="00BA1F9B" w:rsidRPr="00F71EB3">
        <w:rPr>
          <w:szCs w:val="22"/>
        </w:rPr>
        <w:t>y</w:t>
      </w:r>
      <w:r w:rsidR="00420A83" w:rsidRPr="00F71EB3">
        <w:rPr>
          <w:szCs w:val="22"/>
        </w:rPr>
        <w:t xml:space="preserve"> la existencia de leyes nacionales</w:t>
      </w:r>
      <w:r w:rsidR="00B969B9" w:rsidRPr="00F71EB3">
        <w:rPr>
          <w:szCs w:val="22"/>
        </w:rPr>
        <w:t xml:space="preserve"> especiales</w:t>
      </w:r>
      <w:r w:rsidR="00420A83" w:rsidRPr="00F71EB3">
        <w:rPr>
          <w:szCs w:val="22"/>
        </w:rPr>
        <w:t xml:space="preserve"> o </w:t>
      </w:r>
      <w:r w:rsidR="00D55D0C" w:rsidRPr="00F71EB3">
        <w:rPr>
          <w:szCs w:val="22"/>
        </w:rPr>
        <w:t xml:space="preserve">de </w:t>
      </w:r>
      <w:r w:rsidR="00420A83" w:rsidRPr="00F71EB3">
        <w:rPr>
          <w:szCs w:val="22"/>
        </w:rPr>
        <w:t>acuerdos bilater</w:t>
      </w:r>
      <w:r w:rsidR="00BA1F9B" w:rsidRPr="00F71EB3">
        <w:rPr>
          <w:szCs w:val="22"/>
        </w:rPr>
        <w:t>ales entre países que les impide</w:t>
      </w:r>
      <w:r w:rsidR="00420A83" w:rsidRPr="00F71EB3">
        <w:rPr>
          <w:szCs w:val="22"/>
        </w:rPr>
        <w:t>n proteger determinados productos</w:t>
      </w:r>
      <w:r w:rsidRPr="00F71EB3">
        <w:rPr>
          <w:szCs w:val="22"/>
        </w:rPr>
        <w:t>.</w:t>
      </w:r>
    </w:p>
    <w:p w:rsidR="00B42B03" w:rsidRPr="00477B81" w:rsidRDefault="00B42B03" w:rsidP="00477B81">
      <w:pPr>
        <w:rPr>
          <w:szCs w:val="22"/>
        </w:rPr>
      </w:pPr>
    </w:p>
    <w:p w:rsidR="00B42B03" w:rsidRPr="00F71EB3" w:rsidRDefault="00B42B03" w:rsidP="00B42B03">
      <w:pPr>
        <w:tabs>
          <w:tab w:val="left" w:pos="540"/>
        </w:tabs>
        <w:rPr>
          <w:szCs w:val="22"/>
        </w:rPr>
      </w:pPr>
      <w:r w:rsidRPr="00F71EB3">
        <w:rPr>
          <w:szCs w:val="22"/>
        </w:rPr>
        <w:fldChar w:fldCharType="begin"/>
      </w:r>
      <w:r w:rsidRPr="00F71EB3">
        <w:rPr>
          <w:szCs w:val="22"/>
        </w:rPr>
        <w:instrText xml:space="preserve"> AUTONUM  </w:instrText>
      </w:r>
      <w:r w:rsidRPr="00F71EB3">
        <w:rPr>
          <w:szCs w:val="22"/>
        </w:rPr>
        <w:fldChar w:fldCharType="end"/>
      </w:r>
      <w:r w:rsidR="00420A83" w:rsidRPr="00F71EB3">
        <w:rPr>
          <w:szCs w:val="22"/>
        </w:rPr>
        <w:tab/>
        <w:t xml:space="preserve">La importancia de </w:t>
      </w:r>
      <w:r w:rsidR="00D55D0C" w:rsidRPr="00F71EB3">
        <w:rPr>
          <w:szCs w:val="22"/>
        </w:rPr>
        <w:t xml:space="preserve">presentar </w:t>
      </w:r>
      <w:r w:rsidR="00420A83" w:rsidRPr="00F71EB3">
        <w:rPr>
          <w:szCs w:val="22"/>
        </w:rPr>
        <w:t>información sob</w:t>
      </w:r>
      <w:r w:rsidR="00D55D0C" w:rsidRPr="00F71EB3">
        <w:rPr>
          <w:szCs w:val="22"/>
        </w:rPr>
        <w:t xml:space="preserve">re los términos rechazados </w:t>
      </w:r>
      <w:r w:rsidR="00B969B9" w:rsidRPr="00F71EB3">
        <w:rPr>
          <w:szCs w:val="22"/>
        </w:rPr>
        <w:t xml:space="preserve">se hizo patente </w:t>
      </w:r>
      <w:r w:rsidR="00D55D0C" w:rsidRPr="00F71EB3">
        <w:rPr>
          <w:szCs w:val="22"/>
        </w:rPr>
        <w:t>tras</w:t>
      </w:r>
      <w:r w:rsidR="00420A83" w:rsidRPr="00F71EB3">
        <w:rPr>
          <w:szCs w:val="22"/>
        </w:rPr>
        <w:t xml:space="preserve"> la labor de armonización </w:t>
      </w:r>
      <w:r w:rsidR="002313C7" w:rsidRPr="00F71EB3">
        <w:rPr>
          <w:szCs w:val="22"/>
        </w:rPr>
        <w:t xml:space="preserve">realizada </w:t>
      </w:r>
      <w:r w:rsidR="00420A83" w:rsidRPr="00F71EB3">
        <w:rPr>
          <w:szCs w:val="22"/>
        </w:rPr>
        <w:t>entre oficinas europeas sobre la acepta</w:t>
      </w:r>
      <w:r w:rsidR="002313C7" w:rsidRPr="00F71EB3">
        <w:rPr>
          <w:szCs w:val="22"/>
        </w:rPr>
        <w:t>bilidad</w:t>
      </w:r>
      <w:r w:rsidR="00420A83" w:rsidRPr="00F71EB3">
        <w:rPr>
          <w:szCs w:val="22"/>
        </w:rPr>
        <w:t xml:space="preserve"> de las “indicaciones generales” de los títulos de </w:t>
      </w:r>
      <w:r w:rsidR="002313C7" w:rsidRPr="00F71EB3">
        <w:rPr>
          <w:szCs w:val="22"/>
        </w:rPr>
        <w:t>c</w:t>
      </w:r>
      <w:r w:rsidR="00420A83" w:rsidRPr="00F71EB3">
        <w:rPr>
          <w:szCs w:val="22"/>
        </w:rPr>
        <w:t>lases de la Clasificación de Niza</w:t>
      </w:r>
      <w:r w:rsidRPr="00F71EB3">
        <w:rPr>
          <w:szCs w:val="22"/>
        </w:rPr>
        <w:t xml:space="preserve">.  </w:t>
      </w:r>
      <w:r w:rsidR="00420A83" w:rsidRPr="00F71EB3">
        <w:rPr>
          <w:szCs w:val="22"/>
        </w:rPr>
        <w:t xml:space="preserve">La </w:t>
      </w:r>
      <w:r w:rsidR="000856F8">
        <w:rPr>
          <w:szCs w:val="22"/>
        </w:rPr>
        <w:t>Base de Datos MGS</w:t>
      </w:r>
      <w:r w:rsidRPr="00F71EB3">
        <w:rPr>
          <w:szCs w:val="22"/>
        </w:rPr>
        <w:t xml:space="preserve"> </w:t>
      </w:r>
      <w:r w:rsidR="00420A83" w:rsidRPr="00F71EB3">
        <w:rPr>
          <w:szCs w:val="22"/>
        </w:rPr>
        <w:t xml:space="preserve">es la única herramienta </w:t>
      </w:r>
      <w:r w:rsidR="002313C7" w:rsidRPr="00F71EB3">
        <w:rPr>
          <w:szCs w:val="22"/>
        </w:rPr>
        <w:t>que</w:t>
      </w:r>
      <w:r w:rsidR="00B969B9" w:rsidRPr="00F71EB3">
        <w:rPr>
          <w:szCs w:val="22"/>
        </w:rPr>
        <w:t>, al mostrar</w:t>
      </w:r>
      <w:r w:rsidR="002313C7" w:rsidRPr="00F71EB3">
        <w:rPr>
          <w:szCs w:val="22"/>
        </w:rPr>
        <w:t xml:space="preserve"> los rechazos </w:t>
      </w:r>
      <w:r w:rsidR="00420A83" w:rsidRPr="00F71EB3">
        <w:rPr>
          <w:szCs w:val="22"/>
        </w:rPr>
        <w:t>de 11 de esas “indicaciones generales”</w:t>
      </w:r>
      <w:r w:rsidR="009915A5" w:rsidRPr="00F71EB3">
        <w:rPr>
          <w:szCs w:val="22"/>
        </w:rPr>
        <w:t>,</w:t>
      </w:r>
      <w:r w:rsidR="00420A83" w:rsidRPr="00F71EB3">
        <w:rPr>
          <w:szCs w:val="22"/>
        </w:rPr>
        <w:t xml:space="preserve"> </w:t>
      </w:r>
      <w:r w:rsidR="0030374B" w:rsidRPr="00F71EB3">
        <w:rPr>
          <w:szCs w:val="22"/>
        </w:rPr>
        <w:t>informa</w:t>
      </w:r>
      <w:r w:rsidR="00420A83" w:rsidRPr="00F71EB3">
        <w:rPr>
          <w:szCs w:val="22"/>
        </w:rPr>
        <w:t xml:space="preserve"> </w:t>
      </w:r>
      <w:r w:rsidR="00ED3FFE" w:rsidRPr="00F71EB3">
        <w:rPr>
          <w:szCs w:val="22"/>
        </w:rPr>
        <w:t xml:space="preserve">a los solicitantes </w:t>
      </w:r>
      <w:r w:rsidR="002313C7" w:rsidRPr="00F71EB3">
        <w:rPr>
          <w:szCs w:val="22"/>
        </w:rPr>
        <w:t xml:space="preserve">de </w:t>
      </w:r>
      <w:r w:rsidR="00ED3FFE" w:rsidRPr="00F71EB3">
        <w:rPr>
          <w:szCs w:val="22"/>
        </w:rPr>
        <w:t xml:space="preserve">que </w:t>
      </w:r>
      <w:r w:rsidR="0030374B" w:rsidRPr="00F71EB3">
        <w:rPr>
          <w:szCs w:val="22"/>
        </w:rPr>
        <w:t xml:space="preserve">el uso de </w:t>
      </w:r>
      <w:r w:rsidR="00ED3FFE" w:rsidRPr="00F71EB3">
        <w:rPr>
          <w:szCs w:val="22"/>
        </w:rPr>
        <w:t>es</w:t>
      </w:r>
      <w:r w:rsidR="0030374B" w:rsidRPr="00F71EB3">
        <w:rPr>
          <w:szCs w:val="22"/>
        </w:rPr>
        <w:t>os términos podría</w:t>
      </w:r>
      <w:r w:rsidR="00ED3FFE" w:rsidRPr="00F71EB3">
        <w:rPr>
          <w:szCs w:val="22"/>
        </w:rPr>
        <w:t xml:space="preserve"> dar lugar a </w:t>
      </w:r>
      <w:r w:rsidR="0030374B" w:rsidRPr="00F71EB3">
        <w:rPr>
          <w:szCs w:val="22"/>
        </w:rPr>
        <w:t>la emisión de una denegación provisional (por insuficiente especificidad) por las</w:t>
      </w:r>
      <w:r w:rsidR="002313C7" w:rsidRPr="00F71EB3">
        <w:rPr>
          <w:szCs w:val="22"/>
        </w:rPr>
        <w:t xml:space="preserve"> Parte</w:t>
      </w:r>
      <w:r w:rsidR="0030374B" w:rsidRPr="00F71EB3">
        <w:rPr>
          <w:szCs w:val="22"/>
        </w:rPr>
        <w:t>s</w:t>
      </w:r>
      <w:r w:rsidR="002313C7" w:rsidRPr="00F71EB3">
        <w:rPr>
          <w:szCs w:val="22"/>
        </w:rPr>
        <w:t xml:space="preserve"> Contratante</w:t>
      </w:r>
      <w:r w:rsidR="0030374B" w:rsidRPr="00F71EB3">
        <w:rPr>
          <w:szCs w:val="22"/>
        </w:rPr>
        <w:t>s</w:t>
      </w:r>
      <w:r w:rsidR="002313C7" w:rsidRPr="00F71EB3">
        <w:rPr>
          <w:szCs w:val="22"/>
        </w:rPr>
        <w:t xml:space="preserve"> designada</w:t>
      </w:r>
      <w:r w:rsidR="0030374B" w:rsidRPr="00F71EB3">
        <w:rPr>
          <w:szCs w:val="22"/>
        </w:rPr>
        <w:t>s</w:t>
      </w:r>
      <w:r w:rsidR="002313C7" w:rsidRPr="00F71EB3">
        <w:rPr>
          <w:bCs/>
          <w:szCs w:val="22"/>
        </w:rPr>
        <w:t xml:space="preserve"> </w:t>
      </w:r>
      <w:r w:rsidR="002313C7" w:rsidRPr="00F71EB3">
        <w:rPr>
          <w:szCs w:val="22"/>
        </w:rPr>
        <w:t>europea</w:t>
      </w:r>
      <w:r w:rsidR="0030374B" w:rsidRPr="00F71EB3">
        <w:rPr>
          <w:szCs w:val="22"/>
        </w:rPr>
        <w:t>s.</w:t>
      </w:r>
      <w:r w:rsidR="002313C7" w:rsidRPr="00F71EB3">
        <w:rPr>
          <w:szCs w:val="22"/>
        </w:rPr>
        <w:t xml:space="preserve"> </w:t>
      </w:r>
    </w:p>
    <w:p w:rsidR="00B42B03" w:rsidRPr="00477B81" w:rsidRDefault="00B42B03" w:rsidP="00477B81">
      <w:pPr>
        <w:rPr>
          <w:szCs w:val="22"/>
        </w:rPr>
      </w:pPr>
    </w:p>
    <w:p w:rsidR="00B42B03" w:rsidRPr="00F71EB3" w:rsidRDefault="00B42B03" w:rsidP="00B42B03">
      <w:pPr>
        <w:tabs>
          <w:tab w:val="left" w:pos="540"/>
        </w:tabs>
        <w:rPr>
          <w:szCs w:val="22"/>
        </w:rPr>
      </w:pPr>
      <w:r w:rsidRPr="00F71EB3">
        <w:rPr>
          <w:szCs w:val="22"/>
        </w:rPr>
        <w:fldChar w:fldCharType="begin"/>
      </w:r>
      <w:r w:rsidRPr="00F71EB3">
        <w:rPr>
          <w:szCs w:val="22"/>
        </w:rPr>
        <w:instrText xml:space="preserve"> AUTONUM  </w:instrText>
      </w:r>
      <w:r w:rsidRPr="00F71EB3">
        <w:rPr>
          <w:szCs w:val="22"/>
        </w:rPr>
        <w:fldChar w:fldCharType="end"/>
      </w:r>
      <w:r w:rsidRPr="00F71EB3">
        <w:rPr>
          <w:szCs w:val="22"/>
        </w:rPr>
        <w:tab/>
      </w:r>
      <w:r w:rsidR="00ED3FFE" w:rsidRPr="00F71EB3">
        <w:rPr>
          <w:szCs w:val="22"/>
        </w:rPr>
        <w:t xml:space="preserve">Por razones distintas, </w:t>
      </w:r>
      <w:r w:rsidR="00C47982" w:rsidRPr="00F71EB3">
        <w:rPr>
          <w:szCs w:val="22"/>
        </w:rPr>
        <w:t>un</w:t>
      </w:r>
      <w:r w:rsidR="00ED3FFE" w:rsidRPr="00F71EB3">
        <w:rPr>
          <w:szCs w:val="22"/>
        </w:rPr>
        <w:t xml:space="preserve"> </w:t>
      </w:r>
      <w:r w:rsidR="007776FA" w:rsidRPr="00F71EB3">
        <w:rPr>
          <w:szCs w:val="22"/>
        </w:rPr>
        <w:t>término</w:t>
      </w:r>
      <w:r w:rsidR="00ED3FFE" w:rsidRPr="00F71EB3">
        <w:rPr>
          <w:szCs w:val="22"/>
        </w:rPr>
        <w:t xml:space="preserve"> como </w:t>
      </w:r>
      <w:r w:rsidRPr="00F71EB3">
        <w:rPr>
          <w:szCs w:val="22"/>
        </w:rPr>
        <w:t xml:space="preserve">"amontillado", </w:t>
      </w:r>
      <w:r w:rsidR="00ED3FFE" w:rsidRPr="00F71EB3">
        <w:rPr>
          <w:szCs w:val="22"/>
        </w:rPr>
        <w:t xml:space="preserve">que designa una famosa </w:t>
      </w:r>
      <w:r w:rsidR="007776FA" w:rsidRPr="00F71EB3">
        <w:rPr>
          <w:szCs w:val="22"/>
        </w:rPr>
        <w:t>especialidad</w:t>
      </w:r>
      <w:r w:rsidR="00C47982" w:rsidRPr="00F71EB3">
        <w:rPr>
          <w:szCs w:val="22"/>
        </w:rPr>
        <w:t xml:space="preserve"> </w:t>
      </w:r>
      <w:r w:rsidR="00ED3FFE" w:rsidRPr="00F71EB3">
        <w:rPr>
          <w:szCs w:val="22"/>
        </w:rPr>
        <w:t>española</w:t>
      </w:r>
      <w:r w:rsidRPr="00F71EB3">
        <w:rPr>
          <w:szCs w:val="22"/>
        </w:rPr>
        <w:t xml:space="preserve">, </w:t>
      </w:r>
      <w:r w:rsidR="007776FA" w:rsidRPr="00F71EB3">
        <w:rPr>
          <w:szCs w:val="22"/>
        </w:rPr>
        <w:t xml:space="preserve">no podría integrarse en una base de datos armonizada como la </w:t>
      </w:r>
      <w:r w:rsidR="00A970F7" w:rsidRPr="00F71EB3">
        <w:rPr>
          <w:szCs w:val="22"/>
        </w:rPr>
        <w:t xml:space="preserve">Base </w:t>
      </w:r>
      <w:r w:rsidR="00A970F7" w:rsidRPr="00F71EB3">
        <w:rPr>
          <w:szCs w:val="22"/>
        </w:rPr>
        <w:lastRenderedPageBreak/>
        <w:t xml:space="preserve">Armonizada </w:t>
      </w:r>
      <w:r w:rsidR="007776FA" w:rsidRPr="00F71EB3">
        <w:rPr>
          <w:szCs w:val="22"/>
        </w:rPr>
        <w:t xml:space="preserve">de </w:t>
      </w:r>
      <w:r w:rsidR="00A970F7" w:rsidRPr="00F71EB3">
        <w:rPr>
          <w:szCs w:val="22"/>
        </w:rPr>
        <w:t xml:space="preserve">Datos </w:t>
      </w:r>
      <w:r w:rsidR="00A970F7">
        <w:rPr>
          <w:szCs w:val="22"/>
        </w:rPr>
        <w:t>de la OAMI</w:t>
      </w:r>
      <w:r w:rsidR="00A970F7" w:rsidRPr="00F71EB3">
        <w:rPr>
          <w:szCs w:val="22"/>
        </w:rPr>
        <w:t xml:space="preserve"> </w:t>
      </w:r>
      <w:r w:rsidR="007776FA" w:rsidRPr="00F71EB3">
        <w:rPr>
          <w:szCs w:val="22"/>
        </w:rPr>
        <w:t>porque ese término no se aceptaría en la</w:t>
      </w:r>
      <w:r w:rsidR="00C47982" w:rsidRPr="00F71EB3">
        <w:rPr>
          <w:szCs w:val="22"/>
        </w:rPr>
        <w:t>s</w:t>
      </w:r>
      <w:r w:rsidR="007776FA" w:rsidRPr="00F71EB3">
        <w:rPr>
          <w:szCs w:val="22"/>
        </w:rPr>
        <w:t xml:space="preserve"> lista</w:t>
      </w:r>
      <w:r w:rsidR="00C47982" w:rsidRPr="00F71EB3">
        <w:rPr>
          <w:szCs w:val="22"/>
        </w:rPr>
        <w:t>s</w:t>
      </w:r>
      <w:r w:rsidR="007776FA" w:rsidRPr="00F71EB3">
        <w:rPr>
          <w:szCs w:val="22"/>
        </w:rPr>
        <w:t xml:space="preserve"> de productos </w:t>
      </w:r>
      <w:r w:rsidR="00C47982" w:rsidRPr="00F71EB3">
        <w:rPr>
          <w:szCs w:val="22"/>
        </w:rPr>
        <w:t xml:space="preserve">que son objeto de una solicitud de registro de marca </w:t>
      </w:r>
      <w:r w:rsidR="007776FA" w:rsidRPr="00F71EB3">
        <w:rPr>
          <w:szCs w:val="22"/>
        </w:rPr>
        <w:t xml:space="preserve">presentada en España.  </w:t>
      </w:r>
      <w:r w:rsidR="00C47982" w:rsidRPr="00F71EB3">
        <w:rPr>
          <w:szCs w:val="22"/>
        </w:rPr>
        <w:t>Gracias a</w:t>
      </w:r>
      <w:r w:rsidR="007776FA" w:rsidRPr="00F71EB3">
        <w:rPr>
          <w:szCs w:val="22"/>
        </w:rPr>
        <w:t xml:space="preserve"> la </w:t>
      </w:r>
      <w:r w:rsidR="000856F8">
        <w:rPr>
          <w:szCs w:val="22"/>
        </w:rPr>
        <w:t>Base de Datos MGS</w:t>
      </w:r>
      <w:r w:rsidRPr="00F71EB3">
        <w:rPr>
          <w:szCs w:val="22"/>
        </w:rPr>
        <w:t xml:space="preserve">, </w:t>
      </w:r>
      <w:r w:rsidR="007776FA" w:rsidRPr="00F71EB3">
        <w:rPr>
          <w:szCs w:val="22"/>
        </w:rPr>
        <w:t xml:space="preserve">los solicitantes pueden saber qué países aceptarían ese término y </w:t>
      </w:r>
      <w:r w:rsidR="00DF45E0" w:rsidRPr="00F71EB3">
        <w:rPr>
          <w:szCs w:val="22"/>
        </w:rPr>
        <w:t xml:space="preserve">qué países </w:t>
      </w:r>
      <w:r w:rsidR="007776FA" w:rsidRPr="00F71EB3">
        <w:rPr>
          <w:szCs w:val="22"/>
        </w:rPr>
        <w:t>lo rechazarían</w:t>
      </w:r>
      <w:r w:rsidRPr="00F71EB3">
        <w:rPr>
          <w:szCs w:val="22"/>
        </w:rPr>
        <w:t>.</w:t>
      </w:r>
    </w:p>
    <w:p w:rsidR="00B42B03" w:rsidRPr="00F71EB3" w:rsidRDefault="00B42B03" w:rsidP="00B42B03">
      <w:pPr>
        <w:rPr>
          <w:szCs w:val="22"/>
        </w:rPr>
      </w:pPr>
    </w:p>
    <w:p w:rsidR="00477B81" w:rsidRDefault="00B42B03" w:rsidP="00B42B03">
      <w:pPr>
        <w:tabs>
          <w:tab w:val="left" w:pos="540"/>
        </w:tabs>
        <w:rPr>
          <w:szCs w:val="22"/>
        </w:rPr>
      </w:pPr>
      <w:r w:rsidRPr="00F71EB3">
        <w:rPr>
          <w:szCs w:val="22"/>
        </w:rPr>
        <w:fldChar w:fldCharType="begin"/>
      </w:r>
      <w:r w:rsidRPr="00F71EB3">
        <w:rPr>
          <w:szCs w:val="22"/>
        </w:rPr>
        <w:instrText xml:space="preserve"> AUTONUM  </w:instrText>
      </w:r>
      <w:r w:rsidRPr="00F71EB3">
        <w:rPr>
          <w:szCs w:val="22"/>
        </w:rPr>
        <w:fldChar w:fldCharType="end"/>
      </w:r>
      <w:r w:rsidRPr="00F71EB3">
        <w:rPr>
          <w:szCs w:val="22"/>
        </w:rPr>
        <w:tab/>
      </w:r>
      <w:r w:rsidR="007776FA" w:rsidRPr="00F71EB3">
        <w:rPr>
          <w:szCs w:val="22"/>
        </w:rPr>
        <w:t xml:space="preserve">En el Anexo IV se exponen algunos ejemplos de </w:t>
      </w:r>
      <w:r w:rsidR="0030374B" w:rsidRPr="00F71EB3">
        <w:rPr>
          <w:szCs w:val="22"/>
        </w:rPr>
        <w:t xml:space="preserve">los </w:t>
      </w:r>
      <w:r w:rsidR="007776FA" w:rsidRPr="00F71EB3">
        <w:rPr>
          <w:szCs w:val="22"/>
        </w:rPr>
        <w:t xml:space="preserve">términos que </w:t>
      </w:r>
      <w:r w:rsidR="00DF45E0" w:rsidRPr="00F71EB3">
        <w:rPr>
          <w:szCs w:val="22"/>
        </w:rPr>
        <w:t>son rechazados</w:t>
      </w:r>
      <w:r w:rsidR="007776FA" w:rsidRPr="00F71EB3">
        <w:rPr>
          <w:szCs w:val="22"/>
        </w:rPr>
        <w:t xml:space="preserve"> a</w:t>
      </w:r>
      <w:r w:rsidR="00DF45E0" w:rsidRPr="00F71EB3">
        <w:rPr>
          <w:szCs w:val="22"/>
        </w:rPr>
        <w:t>ctualmente por diversas razones</w:t>
      </w:r>
      <w:r w:rsidR="007776FA" w:rsidRPr="00F71EB3">
        <w:rPr>
          <w:szCs w:val="22"/>
        </w:rPr>
        <w:t xml:space="preserve"> por algunas de las principales </w:t>
      </w:r>
      <w:r w:rsidR="009D4BAE" w:rsidRPr="00F71EB3">
        <w:rPr>
          <w:szCs w:val="22"/>
        </w:rPr>
        <w:t>Partes Contratantes designadas</w:t>
      </w:r>
      <w:r w:rsidR="007776FA" w:rsidRPr="00F71EB3">
        <w:rPr>
          <w:szCs w:val="22"/>
        </w:rPr>
        <w:t xml:space="preserve"> </w:t>
      </w:r>
      <w:r w:rsidR="00DF45E0" w:rsidRPr="00F71EB3">
        <w:rPr>
          <w:bCs/>
          <w:szCs w:val="22"/>
        </w:rPr>
        <w:t xml:space="preserve">(PCd) </w:t>
      </w:r>
      <w:r w:rsidR="007776FA" w:rsidRPr="00F71EB3">
        <w:rPr>
          <w:szCs w:val="22"/>
        </w:rPr>
        <w:t xml:space="preserve">en las clases </w:t>
      </w:r>
      <w:r w:rsidRPr="00F71EB3">
        <w:rPr>
          <w:szCs w:val="22"/>
        </w:rPr>
        <w:t xml:space="preserve">7, 33 </w:t>
      </w:r>
      <w:r w:rsidR="007776FA" w:rsidRPr="00F71EB3">
        <w:rPr>
          <w:szCs w:val="22"/>
        </w:rPr>
        <w:t>y</w:t>
      </w:r>
      <w:r w:rsidRPr="00F71EB3">
        <w:rPr>
          <w:szCs w:val="22"/>
        </w:rPr>
        <w:t xml:space="preserve"> 45.</w:t>
      </w:r>
    </w:p>
    <w:p w:rsidR="00477B81" w:rsidRDefault="00477B81" w:rsidP="00B42B03">
      <w:pPr>
        <w:tabs>
          <w:tab w:val="left" w:pos="540"/>
        </w:tabs>
        <w:rPr>
          <w:szCs w:val="22"/>
        </w:rPr>
      </w:pPr>
    </w:p>
    <w:p w:rsidR="00B42B03" w:rsidRPr="00F71EB3" w:rsidRDefault="00B42B03" w:rsidP="00B42B03">
      <w:pPr>
        <w:tabs>
          <w:tab w:val="left" w:pos="540"/>
        </w:tabs>
      </w:pPr>
    </w:p>
    <w:p w:rsidR="00B42B03" w:rsidRPr="00F71EB3" w:rsidRDefault="00A2342A" w:rsidP="00B42B03">
      <w:pPr>
        <w:pStyle w:val="ListParagraph"/>
        <w:ind w:hanging="720"/>
        <w:rPr>
          <w:lang w:val="es-ES"/>
        </w:rPr>
      </w:pPr>
      <w:r w:rsidRPr="00F71EB3">
        <w:rPr>
          <w:lang w:val="es-ES"/>
        </w:rPr>
        <w:t xml:space="preserve">ACTUALIZACIONES DE LA </w:t>
      </w:r>
      <w:r w:rsidR="000856F8">
        <w:rPr>
          <w:lang w:val="es-ES"/>
        </w:rPr>
        <w:t>BASE DE DATOS MGS</w:t>
      </w:r>
    </w:p>
    <w:p w:rsidR="00B42B03" w:rsidRPr="00F71EB3" w:rsidRDefault="00B42B03" w:rsidP="00B42B03"/>
    <w:p w:rsidR="00B42B03" w:rsidRPr="00F71EB3" w:rsidRDefault="00B42B03" w:rsidP="00B42B03">
      <w:r w:rsidRPr="00F71EB3">
        <w:fldChar w:fldCharType="begin"/>
      </w:r>
      <w:r w:rsidRPr="00F71EB3">
        <w:instrText xml:space="preserve"> AUTONUM  </w:instrText>
      </w:r>
      <w:r w:rsidRPr="00F71EB3">
        <w:fldChar w:fldCharType="end"/>
      </w:r>
      <w:r w:rsidRPr="00F71EB3">
        <w:tab/>
      </w:r>
      <w:r w:rsidR="00BA1F9B" w:rsidRPr="00F71EB3">
        <w:t>Cabe recordar que</w:t>
      </w:r>
      <w:r w:rsidR="00A2342A" w:rsidRPr="00F71EB3">
        <w:t xml:space="preserve"> la información </w:t>
      </w:r>
      <w:r w:rsidR="00BA1F9B" w:rsidRPr="00F71EB3">
        <w:t>relativa a</w:t>
      </w:r>
      <w:r w:rsidR="00A2342A" w:rsidRPr="00F71EB3">
        <w:t xml:space="preserve"> la aceptación respecto de las Partes Contratantes que participan en la </w:t>
      </w:r>
      <w:r w:rsidR="000856F8">
        <w:rPr>
          <w:szCs w:val="22"/>
        </w:rPr>
        <w:t>Base de Datos MGS</w:t>
      </w:r>
      <w:r w:rsidR="00A2342A" w:rsidRPr="00F71EB3">
        <w:rPr>
          <w:szCs w:val="22"/>
        </w:rPr>
        <w:t xml:space="preserve"> </w:t>
      </w:r>
      <w:r w:rsidR="00DF45E0" w:rsidRPr="00F71EB3">
        <w:rPr>
          <w:szCs w:val="22"/>
        </w:rPr>
        <w:t xml:space="preserve">procede de las siguientes </w:t>
      </w:r>
      <w:r w:rsidR="00A2342A" w:rsidRPr="00F71EB3">
        <w:t>fuentes:</w:t>
      </w:r>
    </w:p>
    <w:p w:rsidR="00B42B03" w:rsidRPr="00F71EB3" w:rsidRDefault="00B42B03" w:rsidP="00B42B03"/>
    <w:p w:rsidR="00B42B03" w:rsidRPr="00F71EB3" w:rsidRDefault="00B42B03" w:rsidP="00DF45E0">
      <w:pPr>
        <w:ind w:left="1134" w:hanging="584"/>
      </w:pPr>
      <w:r w:rsidRPr="00F71EB3">
        <w:t>–</w:t>
      </w:r>
      <w:r w:rsidRPr="00F71EB3">
        <w:tab/>
      </w:r>
      <w:r w:rsidR="0086375F" w:rsidRPr="00F71EB3">
        <w:t xml:space="preserve">la información relativa a la aceptación </w:t>
      </w:r>
      <w:r w:rsidR="0030374B" w:rsidRPr="00F71EB3">
        <w:t xml:space="preserve">facilitada </w:t>
      </w:r>
      <w:r w:rsidR="0086375F" w:rsidRPr="00F71EB3">
        <w:t xml:space="preserve">directamente por las Oficinas nacionales que </w:t>
      </w:r>
      <w:r w:rsidR="0030374B" w:rsidRPr="00F71EB3">
        <w:t>han traducido</w:t>
      </w:r>
      <w:r w:rsidR="0086375F" w:rsidRPr="00F71EB3">
        <w:t xml:space="preserve"> la base de datos y </w:t>
      </w:r>
      <w:r w:rsidR="0030374B" w:rsidRPr="00F71EB3">
        <w:t>que han verificado</w:t>
      </w:r>
      <w:r w:rsidR="0086375F" w:rsidRPr="00F71EB3">
        <w:t xml:space="preserve"> la aceptación o </w:t>
      </w:r>
      <w:r w:rsidR="00DF45E0" w:rsidRPr="00F71EB3">
        <w:t xml:space="preserve">el </w:t>
      </w:r>
      <w:r w:rsidR="0086375F" w:rsidRPr="00F71EB3">
        <w:t>rechazo de su contenido en inglés;</w:t>
      </w:r>
    </w:p>
    <w:p w:rsidR="00B42B03" w:rsidRPr="00F71EB3" w:rsidRDefault="00B42B03" w:rsidP="00B42B03"/>
    <w:p w:rsidR="009F6B5E" w:rsidRPr="00F71EB3" w:rsidRDefault="0086375F" w:rsidP="00492F3B">
      <w:pPr>
        <w:tabs>
          <w:tab w:val="left" w:pos="1134"/>
          <w:tab w:val="left" w:pos="1843"/>
        </w:tabs>
        <w:ind w:left="1134" w:hanging="567"/>
      </w:pPr>
      <w:r w:rsidRPr="00F71EB3">
        <w:t>–</w:t>
      </w:r>
      <w:r w:rsidRPr="00F71EB3">
        <w:tab/>
        <w:t>la lista armonizada de productos y servicios TM5 - ID a la que contribuyen cinco Oficinas: la JPO, la KIPO, la Oficina de Armonización del Mercado Interior (Marcas, dibujos y modelos) (OAMI),  la Administración Estatal de Industria y Comercio de la República Popular China (SAIC) y la Oficina de Patentes y Marcas de los Estados Unidos (USPTO)</w:t>
      </w:r>
      <w:r w:rsidR="009F6B5E" w:rsidRPr="00F71EB3">
        <w:t>;</w:t>
      </w:r>
    </w:p>
    <w:p w:rsidR="00B42B03" w:rsidRPr="00F71EB3" w:rsidRDefault="00B42B03" w:rsidP="00B42B03"/>
    <w:p w:rsidR="0086375F" w:rsidRPr="00F71EB3" w:rsidRDefault="00B42B03" w:rsidP="0086375F">
      <w:pPr>
        <w:ind w:left="1134" w:hanging="584"/>
      </w:pPr>
      <w:r w:rsidRPr="00F71EB3">
        <w:t>–</w:t>
      </w:r>
      <w:r w:rsidRPr="00F71EB3">
        <w:tab/>
      </w:r>
      <w:r w:rsidR="0086375F" w:rsidRPr="00F71EB3">
        <w:t xml:space="preserve">el </w:t>
      </w:r>
      <w:r w:rsidR="000856F8" w:rsidRPr="00F71EB3">
        <w:t xml:space="preserve">Manual </w:t>
      </w:r>
      <w:r w:rsidR="0086375F" w:rsidRPr="00F71EB3">
        <w:t>de la USPTO de identificaciones válidas de productos y servicios;</w:t>
      </w:r>
    </w:p>
    <w:p w:rsidR="0086375F" w:rsidRPr="00F71EB3" w:rsidRDefault="0086375F" w:rsidP="00477B81"/>
    <w:p w:rsidR="00B42B03" w:rsidRPr="00F71EB3" w:rsidRDefault="00B42B03" w:rsidP="0086375F">
      <w:pPr>
        <w:ind w:left="1134" w:hanging="584"/>
      </w:pPr>
      <w:r w:rsidRPr="00F71EB3">
        <w:t>–</w:t>
      </w:r>
      <w:r w:rsidRPr="00F71EB3">
        <w:tab/>
      </w:r>
      <w:r w:rsidR="0086375F" w:rsidRPr="00F71EB3">
        <w:t xml:space="preserve">la </w:t>
      </w:r>
      <w:r w:rsidR="000856F8" w:rsidRPr="00F71EB3">
        <w:t xml:space="preserve">Base Armonizada </w:t>
      </w:r>
      <w:r w:rsidR="0086375F" w:rsidRPr="00F71EB3">
        <w:t xml:space="preserve">de </w:t>
      </w:r>
      <w:r w:rsidR="000856F8" w:rsidRPr="00F71EB3">
        <w:t xml:space="preserve">Datos </w:t>
      </w:r>
      <w:r w:rsidR="0086375F" w:rsidRPr="00F71EB3">
        <w:t>publicada en la herramienta de clasificación</w:t>
      </w:r>
      <w:r w:rsidR="0050212C" w:rsidRPr="00F71EB3">
        <w:t xml:space="preserve"> </w:t>
      </w:r>
      <w:r w:rsidR="00492F3B" w:rsidRPr="00F71EB3">
        <w:rPr>
          <w:i/>
        </w:rPr>
        <w:t>TMclass</w:t>
      </w:r>
      <w:r w:rsidR="00492F3B" w:rsidRPr="00F71EB3">
        <w:t xml:space="preserve"> de la OAMI</w:t>
      </w:r>
      <w:r w:rsidRPr="00F71EB3">
        <w:t xml:space="preserve">;  </w:t>
      </w:r>
      <w:r w:rsidR="00492F3B" w:rsidRPr="00F71EB3">
        <w:t>y</w:t>
      </w:r>
    </w:p>
    <w:p w:rsidR="00B42B03" w:rsidRPr="00F71EB3" w:rsidRDefault="00B42B03" w:rsidP="00B42B03"/>
    <w:p w:rsidR="00B42B03" w:rsidRPr="00F71EB3" w:rsidRDefault="00B42B03" w:rsidP="00492F3B">
      <w:pPr>
        <w:ind w:firstLine="550"/>
      </w:pPr>
      <w:r w:rsidRPr="00F71EB3">
        <w:t>–</w:t>
      </w:r>
      <w:r w:rsidRPr="00F71EB3">
        <w:tab/>
      </w:r>
      <w:r w:rsidR="00492F3B" w:rsidRPr="00F71EB3">
        <w:t>la</w:t>
      </w:r>
      <w:r w:rsidR="0086375F" w:rsidRPr="00F71EB3">
        <w:t xml:space="preserve"> lista</w:t>
      </w:r>
      <w:r w:rsidR="00DF45E0" w:rsidRPr="00F71EB3">
        <w:t xml:space="preserve"> de la KIPO de identificaciones </w:t>
      </w:r>
      <w:r w:rsidR="0086375F" w:rsidRPr="00F71EB3">
        <w:t>válidas de productos y servicios</w:t>
      </w:r>
      <w:r w:rsidRPr="00F71EB3">
        <w:t>.</w:t>
      </w:r>
    </w:p>
    <w:p w:rsidR="00B42B03" w:rsidRPr="00F71EB3" w:rsidRDefault="00B42B03" w:rsidP="00B42B03"/>
    <w:p w:rsidR="00B42B03" w:rsidRPr="00F71EB3" w:rsidRDefault="00B42B03" w:rsidP="00B42B03">
      <w:r w:rsidRPr="00F71EB3">
        <w:fldChar w:fldCharType="begin"/>
      </w:r>
      <w:r w:rsidRPr="00F71EB3">
        <w:instrText xml:space="preserve"> AUTONUM  </w:instrText>
      </w:r>
      <w:r w:rsidRPr="00F71EB3">
        <w:fldChar w:fldCharType="end"/>
      </w:r>
      <w:r w:rsidRPr="00F71EB3">
        <w:tab/>
      </w:r>
      <w:r w:rsidR="0030374B" w:rsidRPr="00F71EB3">
        <w:t>En el marco de la</w:t>
      </w:r>
      <w:r w:rsidR="00BA1F9B" w:rsidRPr="00F71EB3">
        <w:t xml:space="preserve">s actividades relativas a la </w:t>
      </w:r>
      <w:r w:rsidR="000856F8">
        <w:t>Base de Datos MGS</w:t>
      </w:r>
      <w:r w:rsidR="00BA1F9B" w:rsidRPr="00F71EB3">
        <w:t>,</w:t>
      </w:r>
      <w:r w:rsidR="00492F3B" w:rsidRPr="00F71EB3">
        <w:t xml:space="preserve"> </w:t>
      </w:r>
      <w:r w:rsidR="0030374B" w:rsidRPr="00F71EB3">
        <w:t>se publica</w:t>
      </w:r>
      <w:r w:rsidR="00DF45E0" w:rsidRPr="00F71EB3">
        <w:t xml:space="preserve"> </w:t>
      </w:r>
      <w:r w:rsidR="00A751B7" w:rsidRPr="00F71EB3">
        <w:t xml:space="preserve">en línea </w:t>
      </w:r>
      <w:r w:rsidR="00492F3B" w:rsidRPr="00F71EB3">
        <w:t>un</w:t>
      </w:r>
      <w:r w:rsidR="0030374B" w:rsidRPr="00F71EB3">
        <w:t xml:space="preserve">a </w:t>
      </w:r>
      <w:r w:rsidR="00492F3B" w:rsidRPr="00F71EB3">
        <w:t xml:space="preserve">actualización </w:t>
      </w:r>
      <w:r w:rsidR="00A751B7" w:rsidRPr="00F71EB3">
        <w:t xml:space="preserve">mensual </w:t>
      </w:r>
      <w:r w:rsidR="00DF45E0" w:rsidRPr="00F71EB3">
        <w:t>destinada a</w:t>
      </w:r>
      <w:r w:rsidR="00492F3B" w:rsidRPr="00F71EB3">
        <w:t xml:space="preserve"> los usuarios que tiene por objeto reflejar de la manera más precisa posible</w:t>
      </w:r>
      <w:r w:rsidRPr="00F71EB3">
        <w:t>:</w:t>
      </w:r>
    </w:p>
    <w:p w:rsidR="00B42B03" w:rsidRPr="00F71EB3" w:rsidRDefault="00B42B03" w:rsidP="00B42B03"/>
    <w:p w:rsidR="00B42B03" w:rsidRPr="00F71EB3" w:rsidRDefault="00492F3B" w:rsidP="00F84178">
      <w:pPr>
        <w:numPr>
          <w:ilvl w:val="0"/>
          <w:numId w:val="10"/>
        </w:numPr>
        <w:ind w:left="1134" w:hanging="594"/>
      </w:pPr>
      <w:r w:rsidRPr="00F71EB3">
        <w:t>los cambi</w:t>
      </w:r>
      <w:r w:rsidR="0030374B" w:rsidRPr="00F71EB3">
        <w:t xml:space="preserve">os en las traducciones o en la </w:t>
      </w:r>
      <w:r w:rsidRPr="00F71EB3">
        <w:t xml:space="preserve">aceptación </w:t>
      </w:r>
      <w:r w:rsidR="00DF45E0" w:rsidRPr="00F71EB3">
        <w:t>solicitados</w:t>
      </w:r>
      <w:r w:rsidRPr="00F71EB3">
        <w:t xml:space="preserve"> directamente por las oficinas nacionales; y</w:t>
      </w:r>
    </w:p>
    <w:p w:rsidR="00B42B03" w:rsidRPr="00F71EB3" w:rsidRDefault="00B42B03" w:rsidP="00F84178">
      <w:pPr>
        <w:ind w:left="1134" w:hanging="594"/>
      </w:pPr>
    </w:p>
    <w:p w:rsidR="00B42B03" w:rsidRPr="00F71EB3" w:rsidRDefault="00492F3B" w:rsidP="00F84178">
      <w:pPr>
        <w:numPr>
          <w:ilvl w:val="0"/>
          <w:numId w:val="10"/>
        </w:numPr>
        <w:ind w:left="1134" w:hanging="594"/>
      </w:pPr>
      <w:r w:rsidRPr="00F71EB3">
        <w:t xml:space="preserve">los cambios en la aceptación </w:t>
      </w:r>
      <w:r w:rsidR="00A751B7" w:rsidRPr="00F71EB3">
        <w:t xml:space="preserve">extraídos </w:t>
      </w:r>
      <w:r w:rsidRPr="00F71EB3">
        <w:t>de las bases de datos mencionadas en el párrafo anterior</w:t>
      </w:r>
      <w:r w:rsidR="00A012CF" w:rsidRPr="00F71EB3">
        <w:t xml:space="preserve">, de las que </w:t>
      </w:r>
      <w:r w:rsidRPr="00F71EB3">
        <w:t>se pueden obtener actualizaciones mensuales</w:t>
      </w:r>
      <w:r w:rsidR="00A751B7" w:rsidRPr="00F71EB3">
        <w:t xml:space="preserve"> (</w:t>
      </w:r>
      <w:r w:rsidR="00A012CF" w:rsidRPr="00F71EB3">
        <w:t xml:space="preserve">por ejemplo, </w:t>
      </w:r>
      <w:r w:rsidRPr="00F71EB3">
        <w:t xml:space="preserve">la lista armonizada TM5 ID y el </w:t>
      </w:r>
      <w:r w:rsidR="000856F8" w:rsidRPr="00F71EB3">
        <w:t xml:space="preserve">Manual </w:t>
      </w:r>
      <w:r w:rsidRPr="00F71EB3">
        <w:t>de la USPTO de identificaciones válidas de productos y servicios</w:t>
      </w:r>
      <w:r w:rsidR="00A751B7" w:rsidRPr="00F71EB3">
        <w:t>)</w:t>
      </w:r>
      <w:r w:rsidR="00B42B03" w:rsidRPr="00F71EB3">
        <w:t>.</w:t>
      </w:r>
    </w:p>
    <w:p w:rsidR="00B42B03" w:rsidRPr="00F71EB3" w:rsidRDefault="00B42B03" w:rsidP="00B42B03"/>
    <w:p w:rsidR="00B42B03" w:rsidRPr="00F71EB3" w:rsidRDefault="00B42B03" w:rsidP="00B42B03"/>
    <w:p w:rsidR="00B42B03" w:rsidRPr="00F71EB3" w:rsidRDefault="00492F3B" w:rsidP="00B42B03">
      <w:pPr>
        <w:rPr>
          <w:b/>
        </w:rPr>
      </w:pPr>
      <w:r w:rsidRPr="00F71EB3">
        <w:rPr>
          <w:b/>
        </w:rPr>
        <w:t xml:space="preserve">NUEVAS APORTACIONES A LA </w:t>
      </w:r>
      <w:r w:rsidR="000856F8">
        <w:rPr>
          <w:b/>
        </w:rPr>
        <w:t>BASE DE DATOS MGS</w:t>
      </w:r>
    </w:p>
    <w:p w:rsidR="00492F3B" w:rsidRPr="00F71EB3" w:rsidRDefault="00492F3B" w:rsidP="00B42B03">
      <w:pPr>
        <w:rPr>
          <w:b/>
        </w:rPr>
      </w:pPr>
    </w:p>
    <w:p w:rsidR="00492F3B" w:rsidRPr="00F71EB3" w:rsidRDefault="00492F3B" w:rsidP="00B42B03">
      <w:pPr>
        <w:tabs>
          <w:tab w:val="num" w:pos="0"/>
        </w:tabs>
      </w:pPr>
      <w:r w:rsidRPr="00F71EB3">
        <w:t>VERIFICACIÓN DE LA ACEPTACIÓN POR LAS OFICINAS NACIONALES</w:t>
      </w:r>
    </w:p>
    <w:p w:rsidR="00B42B03" w:rsidRPr="00F71EB3" w:rsidRDefault="00B42B03" w:rsidP="00B42B03">
      <w:pPr>
        <w:tabs>
          <w:tab w:val="num" w:pos="0"/>
        </w:tabs>
      </w:pPr>
    </w:p>
    <w:p w:rsidR="00B42B03" w:rsidRPr="00F71EB3" w:rsidRDefault="00B42B03" w:rsidP="00492F3B">
      <w:r w:rsidRPr="00F71EB3">
        <w:fldChar w:fldCharType="begin"/>
      </w:r>
      <w:r w:rsidRPr="00F71EB3">
        <w:instrText xml:space="preserve"> AUTONUM  </w:instrText>
      </w:r>
      <w:r w:rsidRPr="00F71EB3">
        <w:fldChar w:fldCharType="end"/>
      </w:r>
      <w:r w:rsidRPr="00F71EB3">
        <w:tab/>
      </w:r>
      <w:r w:rsidR="00A012CF" w:rsidRPr="00F71EB3">
        <w:t>Se reforzará l</w:t>
      </w:r>
      <w:r w:rsidR="00492F3B" w:rsidRPr="00F71EB3">
        <w:t xml:space="preserve">a cooperación entre la Oficina Internacional y las Partes Contratantes en </w:t>
      </w:r>
      <w:r w:rsidR="00B40CC1" w:rsidRPr="00F71EB3">
        <w:t xml:space="preserve">el Sistema de Madrid </w:t>
      </w:r>
      <w:r w:rsidR="00A012CF" w:rsidRPr="00F71EB3">
        <w:t xml:space="preserve">interesadas </w:t>
      </w:r>
      <w:r w:rsidR="00A751B7" w:rsidRPr="00F71EB3">
        <w:t xml:space="preserve">con el fin de </w:t>
      </w:r>
      <w:r w:rsidR="00A012CF" w:rsidRPr="00F71EB3">
        <w:t>aumentar</w:t>
      </w:r>
      <w:r w:rsidR="00492F3B" w:rsidRPr="00F71EB3">
        <w:t xml:space="preserve"> la cantidad de información</w:t>
      </w:r>
      <w:r w:rsidR="000856F8">
        <w:t xml:space="preserve"> disponible en la Base de Datos MGS</w:t>
      </w:r>
      <w:r w:rsidR="00492F3B" w:rsidRPr="00F71EB3">
        <w:t xml:space="preserve"> relativa a la aceptación</w:t>
      </w:r>
      <w:r w:rsidR="00A751B7" w:rsidRPr="00F71EB3">
        <w:t xml:space="preserve"> y</w:t>
      </w:r>
      <w:r w:rsidR="00A012CF" w:rsidRPr="00F71EB3">
        <w:t xml:space="preserve"> asegurar que</w:t>
      </w:r>
      <w:r w:rsidR="00B40CC1" w:rsidRPr="00F71EB3">
        <w:t xml:space="preserve"> los </w:t>
      </w:r>
      <w:r w:rsidR="00492F3B" w:rsidRPr="00F71EB3">
        <w:t>solicitantes de registro de marca</w:t>
      </w:r>
      <w:r w:rsidR="000856F8">
        <w:t>s</w:t>
      </w:r>
      <w:r w:rsidR="00492F3B" w:rsidRPr="00F71EB3">
        <w:t xml:space="preserve"> </w:t>
      </w:r>
      <w:r w:rsidR="00B40CC1" w:rsidRPr="00F71EB3">
        <w:t xml:space="preserve">dispongan de la información necesaria para la </w:t>
      </w:r>
      <w:r w:rsidR="00492F3B" w:rsidRPr="00F71EB3">
        <w:t>presentación de solicitudes internacionales</w:t>
      </w:r>
      <w:r w:rsidR="00B40CC1" w:rsidRPr="00F71EB3">
        <w:t>, es decir</w:t>
      </w:r>
      <w:r w:rsidR="00A012CF" w:rsidRPr="00F71EB3">
        <w:t>,</w:t>
      </w:r>
      <w:r w:rsidR="00B40CC1" w:rsidRPr="00F71EB3">
        <w:t xml:space="preserve"> información que les permita saber </w:t>
      </w:r>
      <w:r w:rsidR="00492F3B" w:rsidRPr="00F71EB3">
        <w:t>de antemano si determinad</w:t>
      </w:r>
      <w:r w:rsidR="00B40CC1" w:rsidRPr="00F71EB3">
        <w:t>os términos</w:t>
      </w:r>
      <w:r w:rsidR="00A012CF" w:rsidRPr="00F71EB3">
        <w:t xml:space="preserve"> en sus listas podrían </w:t>
      </w:r>
      <w:r w:rsidR="00492F3B" w:rsidRPr="00F71EB3">
        <w:t>luga</w:t>
      </w:r>
      <w:r w:rsidR="000856F8">
        <w:t xml:space="preserve">r a una denegación provisional </w:t>
      </w:r>
      <w:r w:rsidR="00492F3B" w:rsidRPr="00F71EB3">
        <w:t>e</w:t>
      </w:r>
      <w:r w:rsidR="000856F8">
        <w:t>n</w:t>
      </w:r>
      <w:r w:rsidR="00492F3B" w:rsidRPr="00F71EB3">
        <w:t xml:space="preserve"> los países que </w:t>
      </w:r>
      <w:r w:rsidR="000856F8">
        <w:t xml:space="preserve">han </w:t>
      </w:r>
      <w:r w:rsidR="00492F3B" w:rsidRPr="00F71EB3">
        <w:t>designa</w:t>
      </w:r>
      <w:r w:rsidR="000856F8">
        <w:t>do</w:t>
      </w:r>
      <w:r w:rsidR="00492F3B" w:rsidRPr="00F71EB3">
        <w:t>.</w:t>
      </w:r>
    </w:p>
    <w:p w:rsidR="00B42B03" w:rsidRPr="00F71EB3" w:rsidRDefault="00B42B03" w:rsidP="00B42B03">
      <w:pPr>
        <w:tabs>
          <w:tab w:val="num" w:pos="0"/>
        </w:tabs>
      </w:pPr>
    </w:p>
    <w:p w:rsidR="00B42B03" w:rsidRPr="00F71EB3" w:rsidRDefault="00B40CC1" w:rsidP="007D2C03">
      <w:pPr>
        <w:keepNext/>
        <w:keepLines/>
        <w:tabs>
          <w:tab w:val="num" w:pos="0"/>
        </w:tabs>
        <w:rPr>
          <w:bCs/>
          <w:highlight w:val="red"/>
        </w:rPr>
      </w:pPr>
      <w:r w:rsidRPr="00F71EB3">
        <w:rPr>
          <w:bCs/>
        </w:rPr>
        <w:lastRenderedPageBreak/>
        <w:t>INTEGRACIÓN DE NUEVAS INDICACIONES DE PRODUCTOS Y SERVICIOS</w:t>
      </w:r>
    </w:p>
    <w:p w:rsidR="00B42B03" w:rsidRPr="00F71EB3" w:rsidRDefault="00B42B03" w:rsidP="007D2C03">
      <w:pPr>
        <w:keepNext/>
        <w:keepLines/>
        <w:tabs>
          <w:tab w:val="num" w:pos="0"/>
        </w:tabs>
      </w:pPr>
    </w:p>
    <w:p w:rsidR="00B42B03" w:rsidRPr="00F71EB3" w:rsidRDefault="00B42B03" w:rsidP="007D2C03">
      <w:pPr>
        <w:keepNext/>
        <w:keepLines/>
      </w:pPr>
      <w:r w:rsidRPr="00F71EB3">
        <w:fldChar w:fldCharType="begin"/>
      </w:r>
      <w:r w:rsidRPr="00F71EB3">
        <w:instrText xml:space="preserve"> AUTONUM  </w:instrText>
      </w:r>
      <w:r w:rsidRPr="00F71EB3">
        <w:fldChar w:fldCharType="end"/>
      </w:r>
      <w:r w:rsidRPr="00F71EB3">
        <w:tab/>
      </w:r>
      <w:r w:rsidR="00B40CC1" w:rsidRPr="00F71EB3">
        <w:t xml:space="preserve">Con el fin de que la </w:t>
      </w:r>
      <w:r w:rsidR="000856F8">
        <w:t>Base de Datos MGS</w:t>
      </w:r>
      <w:r w:rsidR="00B40CC1" w:rsidRPr="00F71EB3">
        <w:t xml:space="preserve"> sea lo más pertinente posible para los solicitantes de registro de marca</w:t>
      </w:r>
      <w:r w:rsidR="00A751B7" w:rsidRPr="00F71EB3">
        <w:t>s</w:t>
      </w:r>
      <w:r w:rsidR="00B40CC1" w:rsidRPr="00F71EB3">
        <w:t xml:space="preserve"> en el plano internacional así como en el nacional, </w:t>
      </w:r>
      <w:r w:rsidR="00A012CF" w:rsidRPr="00F71EB3">
        <w:t xml:space="preserve">se seguirán integrando en </w:t>
      </w:r>
      <w:r w:rsidR="00B40CC1" w:rsidRPr="00F71EB3">
        <w:t>dicha base de datos nuevas indicaciones de productos y servic</w:t>
      </w:r>
      <w:r w:rsidR="00A751B7" w:rsidRPr="00F71EB3">
        <w:t>ios extraídas de diversas</w:t>
      </w:r>
      <w:r w:rsidR="00B40CC1" w:rsidRPr="00F71EB3">
        <w:t xml:space="preserve"> fuentes, como por ejemplo: </w:t>
      </w:r>
    </w:p>
    <w:p w:rsidR="00B40CC1" w:rsidRPr="00F71EB3" w:rsidRDefault="00B40CC1" w:rsidP="00B42B03"/>
    <w:p w:rsidR="00B42B03" w:rsidRPr="00F71EB3" w:rsidRDefault="00B40CC1" w:rsidP="00F84178">
      <w:pPr>
        <w:numPr>
          <w:ilvl w:val="0"/>
          <w:numId w:val="8"/>
        </w:numPr>
        <w:ind w:left="1134" w:hanging="579"/>
      </w:pPr>
      <w:r w:rsidRPr="00F71EB3">
        <w:t xml:space="preserve">los </w:t>
      </w:r>
      <w:r w:rsidR="00244ABA" w:rsidRPr="00F71EB3">
        <w:t>términos</w:t>
      </w:r>
      <w:r w:rsidRPr="00F71EB3">
        <w:t xml:space="preserve"> </w:t>
      </w:r>
      <w:r w:rsidR="00A751B7" w:rsidRPr="00F71EB3">
        <w:t>que aparecen</w:t>
      </w:r>
      <w:r w:rsidRPr="00F71EB3">
        <w:t xml:space="preserve"> con frecuencia </w:t>
      </w:r>
      <w:r w:rsidR="00A751B7" w:rsidRPr="00F71EB3">
        <w:t>y que se extraen</w:t>
      </w:r>
      <w:r w:rsidRPr="00F71EB3">
        <w:t xml:space="preserve"> </w:t>
      </w:r>
      <w:r w:rsidR="00244ABA" w:rsidRPr="00F71EB3">
        <w:t>periódicamente</w:t>
      </w:r>
      <w:r w:rsidRPr="00F71EB3">
        <w:t xml:space="preserve"> de las </w:t>
      </w:r>
      <w:r w:rsidR="00244ABA" w:rsidRPr="00F71EB3">
        <w:t>solicitudes</w:t>
      </w:r>
      <w:r w:rsidRPr="00F71EB3">
        <w:t xml:space="preserve"> internacionales recibidas </w:t>
      </w:r>
      <w:r w:rsidR="00A751B7" w:rsidRPr="00F71EB3">
        <w:t>por</w:t>
      </w:r>
      <w:r w:rsidRPr="00F71EB3">
        <w:t xml:space="preserve"> la Oficina Internacional</w:t>
      </w:r>
      <w:r w:rsidR="00A751B7" w:rsidRPr="00F71EB3">
        <w:t>,</w:t>
      </w:r>
      <w:r w:rsidRPr="00F71EB3">
        <w:t xml:space="preserve"> </w:t>
      </w:r>
      <w:r w:rsidR="00244ABA" w:rsidRPr="00F71EB3">
        <w:t>así</w:t>
      </w:r>
      <w:r w:rsidRPr="00F71EB3">
        <w:t xml:space="preserve"> como del Registro Internacional de Marcas</w:t>
      </w:r>
      <w:r w:rsidR="00B42B03" w:rsidRPr="00F71EB3">
        <w:t>;</w:t>
      </w:r>
    </w:p>
    <w:p w:rsidR="00B42B03" w:rsidRPr="00F71EB3" w:rsidRDefault="00B42B03" w:rsidP="00F84178">
      <w:pPr>
        <w:ind w:left="1134" w:hanging="579"/>
      </w:pPr>
    </w:p>
    <w:p w:rsidR="00B42B03" w:rsidRPr="00F71EB3" w:rsidRDefault="00B40CC1" w:rsidP="00F84178">
      <w:pPr>
        <w:numPr>
          <w:ilvl w:val="0"/>
          <w:numId w:val="8"/>
        </w:numPr>
        <w:ind w:left="1134" w:hanging="579"/>
      </w:pPr>
      <w:r w:rsidRPr="00F71EB3">
        <w:t>la lista armonizada TM5 ID de indicaciones de productos y servicios</w:t>
      </w:r>
      <w:r w:rsidR="00A751B7" w:rsidRPr="00F71EB3">
        <w:t>,</w:t>
      </w:r>
      <w:r w:rsidRPr="00F71EB3">
        <w:t xml:space="preserve"> </w:t>
      </w:r>
      <w:r w:rsidR="00A751B7" w:rsidRPr="00F71EB3">
        <w:t xml:space="preserve">en inglés, </w:t>
      </w:r>
      <w:r w:rsidRPr="00F71EB3">
        <w:t xml:space="preserve">resultante de la cooperación entre la JPO, la KIPO, la OAMI, la SAIC y la USPTO; </w:t>
      </w:r>
    </w:p>
    <w:p w:rsidR="00B42B03" w:rsidRPr="00F71EB3" w:rsidRDefault="00B42B03" w:rsidP="00F84178">
      <w:pPr>
        <w:ind w:left="1134" w:hanging="579"/>
      </w:pPr>
    </w:p>
    <w:p w:rsidR="00B42B03" w:rsidRPr="00F71EB3" w:rsidRDefault="00B40CC1" w:rsidP="00F84178">
      <w:pPr>
        <w:numPr>
          <w:ilvl w:val="0"/>
          <w:numId w:val="8"/>
        </w:numPr>
        <w:ind w:left="1134" w:hanging="579"/>
      </w:pPr>
      <w:r w:rsidRPr="00F71EB3">
        <w:t xml:space="preserve">las listas nacionales de productos y servicios recibidas de las Oficinas nacionales de P.I. </w:t>
      </w:r>
      <w:r w:rsidR="00244ABA" w:rsidRPr="00F71EB3">
        <w:t>como las que ya han facilitado los siguientes países</w:t>
      </w:r>
      <w:r w:rsidRPr="00F71EB3">
        <w:t xml:space="preserve">: </w:t>
      </w:r>
      <w:r w:rsidR="000856F8">
        <w:t xml:space="preserve"> </w:t>
      </w:r>
      <w:r w:rsidRPr="00F71EB3">
        <w:t>Alemania, China, Japón, República de Corea</w:t>
      </w:r>
      <w:r w:rsidR="00244ABA" w:rsidRPr="00F71EB3">
        <w:t xml:space="preserve"> y</w:t>
      </w:r>
      <w:r w:rsidRPr="00F71EB3">
        <w:t xml:space="preserve"> Suiza</w:t>
      </w:r>
      <w:r w:rsidR="00B42B03" w:rsidRPr="00F71EB3">
        <w:t xml:space="preserve">; </w:t>
      </w:r>
      <w:r w:rsidR="00244ABA" w:rsidRPr="00F71EB3">
        <w:t>y</w:t>
      </w:r>
    </w:p>
    <w:p w:rsidR="00B42B03" w:rsidRPr="00F71EB3" w:rsidRDefault="00B42B03" w:rsidP="00F84178">
      <w:pPr>
        <w:ind w:left="1134" w:hanging="579"/>
      </w:pPr>
    </w:p>
    <w:p w:rsidR="00B42B03" w:rsidRPr="00F71EB3" w:rsidRDefault="00244ABA" w:rsidP="00F84178">
      <w:pPr>
        <w:numPr>
          <w:ilvl w:val="0"/>
          <w:numId w:val="8"/>
        </w:numPr>
        <w:ind w:left="1134" w:hanging="579"/>
      </w:pPr>
      <w:r w:rsidRPr="00F71EB3">
        <w:t xml:space="preserve">los registros nacionales de marcas de los países que cooperan con la OMPI en el proyecto de Base Mundial de Datos sobre Marcas, </w:t>
      </w:r>
      <w:r w:rsidR="00A751B7" w:rsidRPr="00F71EB3">
        <w:t xml:space="preserve">de los que se extraen </w:t>
      </w:r>
      <w:r w:rsidRPr="00F71EB3">
        <w:t xml:space="preserve">los términos </w:t>
      </w:r>
      <w:r w:rsidR="00A751B7" w:rsidRPr="00F71EB3">
        <w:t xml:space="preserve">frecuentes </w:t>
      </w:r>
      <w:r w:rsidRPr="00F71EB3">
        <w:t xml:space="preserve">que no </w:t>
      </w:r>
      <w:r w:rsidR="00A751B7" w:rsidRPr="00F71EB3">
        <w:t>figuran aún</w:t>
      </w:r>
      <w:r w:rsidRPr="00F71EB3">
        <w:t xml:space="preserve"> en la </w:t>
      </w:r>
      <w:r w:rsidR="000856F8">
        <w:t>Base de Datos MGS</w:t>
      </w:r>
      <w:r w:rsidRPr="00F71EB3">
        <w:t xml:space="preserve"> </w:t>
      </w:r>
      <w:r w:rsidR="00BA1F9B" w:rsidRPr="00F71EB3">
        <w:t>para</w:t>
      </w:r>
      <w:r w:rsidR="00A751B7" w:rsidRPr="00F71EB3">
        <w:t xml:space="preserve"> </w:t>
      </w:r>
      <w:r w:rsidR="00BA1F9B" w:rsidRPr="00F71EB3">
        <w:t xml:space="preserve">su </w:t>
      </w:r>
      <w:r w:rsidR="00A751B7" w:rsidRPr="00F71EB3">
        <w:t>exam</w:t>
      </w:r>
      <w:r w:rsidR="00BA1F9B" w:rsidRPr="00F71EB3">
        <w:t xml:space="preserve">en y eventual </w:t>
      </w:r>
      <w:r w:rsidR="00A751B7" w:rsidRPr="00F71EB3">
        <w:t>incorporación</w:t>
      </w:r>
      <w:r w:rsidRPr="00F71EB3">
        <w:t xml:space="preserve">.  Hasta la fecha, los términos frecuentes se han extraído de los registros nacionales de Australia, Canadá, </w:t>
      </w:r>
      <w:r w:rsidR="00060724" w:rsidRPr="00F71EB3">
        <w:t xml:space="preserve">Estados Unidos de América, </w:t>
      </w:r>
      <w:r w:rsidRPr="00F71EB3">
        <w:t>Federa</w:t>
      </w:r>
      <w:r w:rsidR="00060724" w:rsidRPr="00F71EB3">
        <w:t>ción de Rusia, Israel, Singapur y</w:t>
      </w:r>
      <w:r w:rsidRPr="00F71EB3">
        <w:t xml:space="preserve"> Suiza.</w:t>
      </w:r>
    </w:p>
    <w:p w:rsidR="00B42B03" w:rsidRPr="00F71EB3" w:rsidRDefault="00B42B03" w:rsidP="00B42B03"/>
    <w:p w:rsidR="00B42B03" w:rsidRPr="00F71EB3" w:rsidRDefault="00B42B03" w:rsidP="00B42B03">
      <w:pPr>
        <w:tabs>
          <w:tab w:val="num" w:pos="0"/>
        </w:tabs>
      </w:pPr>
    </w:p>
    <w:p w:rsidR="00B42B03" w:rsidRPr="00F71EB3" w:rsidRDefault="00244ABA" w:rsidP="00B42B03">
      <w:pPr>
        <w:rPr>
          <w:b/>
        </w:rPr>
      </w:pPr>
      <w:r w:rsidRPr="00F71EB3">
        <w:rPr>
          <w:b/>
        </w:rPr>
        <w:t>PRESUPUESTO</w:t>
      </w:r>
    </w:p>
    <w:p w:rsidR="00B42B03" w:rsidRPr="00F71EB3" w:rsidRDefault="00B42B03" w:rsidP="00B42B03">
      <w:pPr>
        <w:tabs>
          <w:tab w:val="num" w:pos="0"/>
        </w:tabs>
      </w:pPr>
    </w:p>
    <w:p w:rsidR="00B42B03" w:rsidRPr="00F71EB3" w:rsidRDefault="00B42B03" w:rsidP="00244ABA">
      <w:r w:rsidRPr="00F71EB3">
        <w:fldChar w:fldCharType="begin"/>
      </w:r>
      <w:r w:rsidRPr="00F71EB3">
        <w:instrText xml:space="preserve"> AUTONUM  </w:instrText>
      </w:r>
      <w:r w:rsidRPr="00F71EB3">
        <w:fldChar w:fldCharType="end"/>
      </w:r>
      <w:r w:rsidRPr="00F71EB3">
        <w:tab/>
      </w:r>
      <w:r w:rsidR="00244ABA" w:rsidRPr="00F71EB3">
        <w:t>E</w:t>
      </w:r>
      <w:r w:rsidRPr="00F71EB3">
        <w:t xml:space="preserve">n 2014, </w:t>
      </w:r>
      <w:r w:rsidR="00244ABA" w:rsidRPr="00F71EB3">
        <w:t>la Asamblea de la Unión de Madrid aprobó el uso de los fondos restantes del proyecto a final de 2014 para prestar asistenci</w:t>
      </w:r>
      <w:r w:rsidR="00FF6341" w:rsidRPr="00F71EB3">
        <w:t xml:space="preserve">a a algunas Oficinas nacionales </w:t>
      </w:r>
      <w:r w:rsidR="00244ABA" w:rsidRPr="00F71EB3">
        <w:t xml:space="preserve">en la traducción de la </w:t>
      </w:r>
      <w:r w:rsidR="000856F8">
        <w:t>Base de Datos MGS</w:t>
      </w:r>
      <w:r w:rsidR="00244ABA" w:rsidRPr="00F71EB3">
        <w:t xml:space="preserve"> a sus idiomas nacionales (véase el párrafo 26 del documento MM/A/48/2).</w:t>
      </w:r>
    </w:p>
    <w:p w:rsidR="00B42B03" w:rsidRPr="00F71EB3" w:rsidRDefault="00B42B03" w:rsidP="00B42B03"/>
    <w:p w:rsidR="00B42B03" w:rsidRPr="00F71EB3" w:rsidRDefault="00B42B03" w:rsidP="00B42B03">
      <w:r w:rsidRPr="00F71EB3">
        <w:fldChar w:fldCharType="begin"/>
      </w:r>
      <w:r w:rsidRPr="00F71EB3">
        <w:instrText xml:space="preserve"> AUTONUM  </w:instrText>
      </w:r>
      <w:r w:rsidRPr="00F71EB3">
        <w:fldChar w:fldCharType="end"/>
      </w:r>
      <w:r w:rsidRPr="00F71EB3">
        <w:tab/>
      </w:r>
      <w:r w:rsidR="00244ABA" w:rsidRPr="00F71EB3">
        <w:t xml:space="preserve">En el cuadro del Anexo V figura el desglose de la </w:t>
      </w:r>
      <w:r w:rsidR="00FF6341" w:rsidRPr="00F71EB3">
        <w:t xml:space="preserve">dotación </w:t>
      </w:r>
      <w:r w:rsidR="00244ABA" w:rsidRPr="00F71EB3">
        <w:t xml:space="preserve">inicial (232.000 francos suizos) </w:t>
      </w:r>
      <w:r w:rsidR="00FF6341" w:rsidRPr="00F71EB3">
        <w:t>asignada</w:t>
      </w:r>
      <w:r w:rsidR="00244ABA" w:rsidRPr="00F71EB3">
        <w:t xml:space="preserve"> por la OMPI para la traducción de la </w:t>
      </w:r>
      <w:r w:rsidR="000856F8">
        <w:t>Base de Datos MGS</w:t>
      </w:r>
      <w:r w:rsidR="00244ABA" w:rsidRPr="00F71EB3">
        <w:t xml:space="preserve"> y los pagos efectivos realizados al 30 de mayo de 2015, correspondientes al trabajo de traducción realizado por aquellas Oficinas que en un principio fueron seleccionadas para recibir ayuda financiera o habían solicitado dicha ayuda.  En concreto, en la columna “</w:t>
      </w:r>
      <w:r w:rsidR="002A0D79" w:rsidRPr="00F71EB3">
        <w:t>re</w:t>
      </w:r>
      <w:r w:rsidR="00A559EF" w:rsidRPr="00F71EB3">
        <w:t>utilización en</w:t>
      </w:r>
      <w:r w:rsidR="00244ABA" w:rsidRPr="00F71EB3">
        <w:t xml:space="preserve"> 2015” de dicho cuadro se da cuenta de los fondos </w:t>
      </w:r>
      <w:r w:rsidR="00FF6341" w:rsidRPr="00F71EB3">
        <w:t xml:space="preserve">aún </w:t>
      </w:r>
      <w:r w:rsidR="00244ABA" w:rsidRPr="00F71EB3">
        <w:t>disponibles</w:t>
      </w:r>
      <w:r w:rsidR="00FF6341" w:rsidRPr="00F71EB3">
        <w:t xml:space="preserve"> para que cada </w:t>
      </w:r>
      <w:r w:rsidR="00244ABA" w:rsidRPr="00F71EB3">
        <w:t>Oficina participante</w:t>
      </w:r>
      <w:r w:rsidR="00FF6341" w:rsidRPr="00F71EB3">
        <w:t xml:space="preserve"> siga</w:t>
      </w:r>
      <w:r w:rsidR="00244ABA" w:rsidRPr="00F71EB3">
        <w:t xml:space="preserve"> adelante con la traducción de la </w:t>
      </w:r>
      <w:r w:rsidR="000856F8">
        <w:t>Base de Datos MGS</w:t>
      </w:r>
      <w:r w:rsidR="00244ABA" w:rsidRPr="00F71EB3">
        <w:t>.</w:t>
      </w:r>
    </w:p>
    <w:p w:rsidR="00B42B03" w:rsidRPr="00F71EB3" w:rsidRDefault="00B42B03" w:rsidP="00B42B03"/>
    <w:p w:rsidR="00B42B03" w:rsidRPr="00F71EB3" w:rsidRDefault="00B42B03" w:rsidP="00B42B03">
      <w:r w:rsidRPr="00F71EB3">
        <w:fldChar w:fldCharType="begin"/>
      </w:r>
      <w:r w:rsidRPr="00F71EB3">
        <w:instrText xml:space="preserve"> AUTONUM  </w:instrText>
      </w:r>
      <w:r w:rsidRPr="00F71EB3">
        <w:fldChar w:fldCharType="end"/>
      </w:r>
      <w:r w:rsidRPr="00F71EB3">
        <w:tab/>
      </w:r>
      <w:r w:rsidR="002A0D79" w:rsidRPr="00F71EB3">
        <w:t xml:space="preserve">En mayo de 2015, seguía estando disponible un </w:t>
      </w:r>
      <w:r w:rsidR="00FF6341" w:rsidRPr="00F71EB3">
        <w:t xml:space="preserve">importe </w:t>
      </w:r>
      <w:r w:rsidR="002A0D79" w:rsidRPr="00F71EB3">
        <w:t xml:space="preserve">total de 107.763 francos suizos para financiar la traducción de la </w:t>
      </w:r>
      <w:r w:rsidR="000856F8">
        <w:t>Base de Datos MGS</w:t>
      </w:r>
      <w:r w:rsidR="002A0D79" w:rsidRPr="00F71EB3">
        <w:t xml:space="preserve"> a los siete idiomas respecto de los que se ha firmado un Memorando de entendimiento entre la OMPI y la Oficina nacional correspondiente.</w:t>
      </w:r>
    </w:p>
    <w:p w:rsidR="00B42B03" w:rsidRPr="00F71EB3" w:rsidRDefault="00B42B03" w:rsidP="00B42B03"/>
    <w:p w:rsidR="00681B11" w:rsidRPr="00F71EB3" w:rsidRDefault="00B42B03" w:rsidP="00681B11">
      <w:pPr>
        <w:ind w:left="5500"/>
        <w:rPr>
          <w:i/>
        </w:rPr>
      </w:pPr>
      <w:r w:rsidRPr="00F71EB3">
        <w:rPr>
          <w:i/>
        </w:rPr>
        <w:fldChar w:fldCharType="begin"/>
      </w:r>
      <w:r w:rsidRPr="00F71EB3">
        <w:rPr>
          <w:i/>
        </w:rPr>
        <w:instrText xml:space="preserve"> AUTONUM  </w:instrText>
      </w:r>
      <w:r w:rsidRPr="00F71EB3">
        <w:rPr>
          <w:i/>
        </w:rPr>
        <w:fldChar w:fldCharType="end"/>
      </w:r>
      <w:r w:rsidRPr="00F71EB3">
        <w:rPr>
          <w:i/>
        </w:rPr>
        <w:tab/>
      </w:r>
      <w:r w:rsidR="00681B11" w:rsidRPr="00F71EB3">
        <w:rPr>
          <w:i/>
        </w:rPr>
        <w:t>Se invita a la Asamblea a:</w:t>
      </w:r>
    </w:p>
    <w:p w:rsidR="00681B11" w:rsidRPr="00477B81" w:rsidRDefault="00681B11" w:rsidP="00477B81">
      <w:pPr>
        <w:ind w:left="5500"/>
        <w:rPr>
          <w:i/>
        </w:rPr>
      </w:pPr>
    </w:p>
    <w:p w:rsidR="00B42B03" w:rsidRPr="00F71EB3" w:rsidRDefault="002378A2" w:rsidP="00F84178">
      <w:pPr>
        <w:pStyle w:val="ListParagraph"/>
        <w:numPr>
          <w:ilvl w:val="0"/>
          <w:numId w:val="7"/>
        </w:numPr>
        <w:tabs>
          <w:tab w:val="left" w:pos="6804"/>
        </w:tabs>
        <w:ind w:left="6237" w:firstLine="0"/>
        <w:rPr>
          <w:i/>
          <w:lang w:val="es-ES"/>
        </w:rPr>
      </w:pPr>
      <w:r>
        <w:rPr>
          <w:i/>
          <w:lang w:val="es-ES"/>
        </w:rPr>
        <w:t xml:space="preserve">tomar nota </w:t>
      </w:r>
      <w:r w:rsidRPr="00226FF0">
        <w:rPr>
          <w:i/>
          <w:lang w:val="es-ES"/>
        </w:rPr>
        <w:t>del “I</w:t>
      </w:r>
      <w:r w:rsidR="00681B11" w:rsidRPr="00226FF0">
        <w:rPr>
          <w:i/>
          <w:lang w:val="es-ES"/>
        </w:rPr>
        <w:t>nforme sobre la marcha de las actividades relativas a la Base de datos sobre productos y servicios del Sistema de Madrid</w:t>
      </w:r>
      <w:r w:rsidRPr="00226FF0">
        <w:rPr>
          <w:i/>
          <w:lang w:val="es-ES"/>
        </w:rPr>
        <w:t>”</w:t>
      </w:r>
      <w:r w:rsidR="00681B11" w:rsidRPr="00226FF0">
        <w:rPr>
          <w:i/>
          <w:lang w:val="es-ES"/>
        </w:rPr>
        <w:t xml:space="preserve"> (documento</w:t>
      </w:r>
      <w:r w:rsidR="00681B11" w:rsidRPr="00F71EB3">
        <w:rPr>
          <w:i/>
          <w:lang w:val="es-ES"/>
        </w:rPr>
        <w:t xml:space="preserve"> MM/A/49/2), incluido el párrafo</w:t>
      </w:r>
      <w:r>
        <w:rPr>
          <w:i/>
          <w:lang w:val="es-ES"/>
        </w:rPr>
        <w:t> </w:t>
      </w:r>
      <w:r w:rsidR="00681B11" w:rsidRPr="00F71EB3">
        <w:rPr>
          <w:i/>
          <w:lang w:val="es-ES"/>
        </w:rPr>
        <w:t xml:space="preserve">27 relativo a los fondos restantes del proyecto; y </w:t>
      </w:r>
    </w:p>
    <w:p w:rsidR="00B42B03" w:rsidRPr="00F71EB3" w:rsidRDefault="00681B11" w:rsidP="00F84178">
      <w:pPr>
        <w:pStyle w:val="ListParagraph"/>
        <w:numPr>
          <w:ilvl w:val="0"/>
          <w:numId w:val="7"/>
        </w:numPr>
        <w:tabs>
          <w:tab w:val="clear" w:pos="4032"/>
          <w:tab w:val="num" w:pos="6804"/>
        </w:tabs>
        <w:ind w:left="6237" w:firstLine="0"/>
        <w:rPr>
          <w:i/>
          <w:lang w:val="es-ES"/>
        </w:rPr>
      </w:pPr>
      <w:bookmarkStart w:id="5" w:name="_GoBack"/>
      <w:bookmarkEnd w:id="5"/>
      <w:r w:rsidRPr="00F71EB3">
        <w:rPr>
          <w:i/>
          <w:lang w:val="es-ES"/>
        </w:rPr>
        <w:lastRenderedPageBreak/>
        <w:t xml:space="preserve">pedir a la Oficina Internacional que presente a la Asamblea en 2016 un nuevo informe sobre la marcha de las actividades relativas a la Base de datos sobre productos y servicios del Sistema de Madrid, incluido el uso de los fondos restantes del proyecto.  </w:t>
      </w:r>
    </w:p>
    <w:p w:rsidR="00B42B03" w:rsidRPr="00F71EB3" w:rsidRDefault="00B42B03" w:rsidP="00B42B03"/>
    <w:p w:rsidR="00B42B03" w:rsidRPr="00F71EB3" w:rsidRDefault="00B42B03" w:rsidP="00B42B03"/>
    <w:p w:rsidR="00B42B03" w:rsidRPr="00F71EB3" w:rsidRDefault="00B42B03" w:rsidP="00B42B03"/>
    <w:p w:rsidR="00B42B03" w:rsidRPr="00F71EB3" w:rsidRDefault="00B42B03" w:rsidP="00B42B03">
      <w:pPr>
        <w:ind w:left="5533"/>
        <w:rPr>
          <w:szCs w:val="22"/>
        </w:rPr>
      </w:pPr>
      <w:r w:rsidRPr="00F71EB3">
        <w:t>[</w:t>
      </w:r>
      <w:r w:rsidR="00681B11" w:rsidRPr="00F71EB3">
        <w:t>Siguen los Anexos</w:t>
      </w:r>
      <w:r w:rsidRPr="00F71EB3">
        <w:rPr>
          <w:szCs w:val="22"/>
        </w:rPr>
        <w:t>]</w:t>
      </w:r>
    </w:p>
    <w:p w:rsidR="00B42B03" w:rsidRPr="00F71EB3" w:rsidRDefault="00B42B03" w:rsidP="00B42B03">
      <w:pPr>
        <w:ind w:left="5533"/>
        <w:rPr>
          <w:szCs w:val="22"/>
        </w:rPr>
      </w:pPr>
    </w:p>
    <w:p w:rsidR="00B42B03" w:rsidRPr="00F71EB3" w:rsidRDefault="00B42B03" w:rsidP="00B42B03">
      <w:pPr>
        <w:ind w:left="5533"/>
        <w:rPr>
          <w:sz w:val="26"/>
        </w:rPr>
        <w:sectPr w:rsidR="00B42B03" w:rsidRPr="00F71EB3" w:rsidSect="009D4BAE">
          <w:headerReference w:type="default" r:id="rId9"/>
          <w:endnotePr>
            <w:numFmt w:val="decimal"/>
          </w:endnotePr>
          <w:pgSz w:w="11907" w:h="16840" w:code="9"/>
          <w:pgMar w:top="567" w:right="1134" w:bottom="1077" w:left="1418" w:header="510" w:footer="1021" w:gutter="0"/>
          <w:pgNumType w:start="1"/>
          <w:cols w:space="720"/>
          <w:titlePg/>
          <w:docGrid w:linePitch="299"/>
        </w:sectPr>
      </w:pPr>
    </w:p>
    <w:p w:rsidR="00B42B03" w:rsidRPr="00F71EB3" w:rsidRDefault="00B42B03" w:rsidP="00B42B03"/>
    <w:p w:rsidR="00B42B03" w:rsidRPr="00F71EB3" w:rsidRDefault="000856F8" w:rsidP="00B42B03">
      <w:pPr>
        <w:jc w:val="center"/>
        <w:rPr>
          <w:b/>
        </w:rPr>
      </w:pPr>
      <w:r>
        <w:rPr>
          <w:b/>
        </w:rPr>
        <w:t>Base de Datos MGS</w:t>
      </w:r>
    </w:p>
    <w:p w:rsidR="00B42B03" w:rsidRPr="00F71EB3" w:rsidRDefault="00B42B03" w:rsidP="00B42B03">
      <w:pPr>
        <w:jc w:val="center"/>
        <w:rPr>
          <w:b/>
        </w:rPr>
      </w:pPr>
    </w:p>
    <w:p w:rsidR="00B42B03" w:rsidRPr="00F71EB3" w:rsidRDefault="002A0D79" w:rsidP="00B42B03">
      <w:pPr>
        <w:jc w:val="center"/>
        <w:rPr>
          <w:b/>
        </w:rPr>
      </w:pPr>
      <w:r w:rsidRPr="00F71EB3">
        <w:rPr>
          <w:b/>
        </w:rPr>
        <w:t xml:space="preserve">Número de términos </w:t>
      </w:r>
      <w:r w:rsidR="00A60E62" w:rsidRPr="00F71EB3">
        <w:rPr>
          <w:b/>
        </w:rPr>
        <w:t xml:space="preserve">aceptables para la Oficina Internacional </w:t>
      </w:r>
      <w:r w:rsidRPr="00F71EB3">
        <w:rPr>
          <w:b/>
        </w:rPr>
        <w:t xml:space="preserve"> </w:t>
      </w:r>
    </w:p>
    <w:p w:rsidR="00B42B03" w:rsidRPr="00F71EB3" w:rsidRDefault="00B42B03" w:rsidP="00B42B03"/>
    <w:tbl>
      <w:tblPr>
        <w:tblW w:w="8480" w:type="dxa"/>
        <w:tblInd w:w="93" w:type="dxa"/>
        <w:tblLook w:val="04A0" w:firstRow="1" w:lastRow="0" w:firstColumn="1" w:lastColumn="0" w:noHBand="0" w:noVBand="1"/>
      </w:tblPr>
      <w:tblGrid>
        <w:gridCol w:w="584"/>
        <w:gridCol w:w="283"/>
        <w:gridCol w:w="1864"/>
        <w:gridCol w:w="2300"/>
        <w:gridCol w:w="2300"/>
        <w:gridCol w:w="1260"/>
      </w:tblGrid>
      <w:tr w:rsidR="00B42B03" w:rsidRPr="00F71EB3" w:rsidTr="009D4BAE">
        <w:trPr>
          <w:trHeight w:val="1125"/>
        </w:trPr>
        <w:tc>
          <w:tcPr>
            <w:tcW w:w="2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D79" w:rsidRPr="00F71EB3" w:rsidRDefault="000856F8" w:rsidP="002A0D79">
            <w:pPr>
              <w:jc w:val="center"/>
              <w:rPr>
                <w:rFonts w:eastAsia="Times New Roman"/>
                <w:b/>
                <w:bCs/>
                <w:sz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lang w:eastAsia="en-US"/>
              </w:rPr>
              <w:t>Base de Datos MGS</w:t>
            </w:r>
          </w:p>
          <w:p w:rsidR="00B42B03" w:rsidRPr="00F71EB3" w:rsidRDefault="00B42B03" w:rsidP="009D4BAE">
            <w:pPr>
              <w:jc w:val="center"/>
              <w:rPr>
                <w:rFonts w:eastAsia="Times New Roman"/>
                <w:b/>
                <w:bCs/>
                <w:sz w:val="20"/>
                <w:lang w:eastAsia="en-US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B03" w:rsidRPr="00F71EB3" w:rsidRDefault="00B42B03" w:rsidP="009D4BAE">
            <w:pPr>
              <w:jc w:val="center"/>
              <w:rPr>
                <w:rFonts w:eastAsia="Times New Roman"/>
                <w:b/>
                <w:bCs/>
                <w:sz w:val="20"/>
                <w:lang w:eastAsia="en-US"/>
              </w:rPr>
            </w:pPr>
            <w:r w:rsidRPr="00F71EB3">
              <w:rPr>
                <w:rFonts w:eastAsia="Times New Roman"/>
                <w:b/>
                <w:bCs/>
                <w:sz w:val="20"/>
                <w:lang w:eastAsia="en-US"/>
              </w:rPr>
              <w:t>May</w:t>
            </w:r>
            <w:r w:rsidR="002A0D79" w:rsidRPr="00F71EB3">
              <w:rPr>
                <w:rFonts w:eastAsia="Times New Roman"/>
                <w:b/>
                <w:bCs/>
                <w:sz w:val="20"/>
                <w:lang w:eastAsia="en-US"/>
              </w:rPr>
              <w:t>o de</w:t>
            </w:r>
            <w:r w:rsidRPr="00F71EB3">
              <w:rPr>
                <w:rFonts w:eastAsia="Times New Roman"/>
                <w:b/>
                <w:bCs/>
                <w:sz w:val="20"/>
                <w:lang w:eastAsia="en-US"/>
              </w:rPr>
              <w:t xml:space="preserve"> 2014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B03" w:rsidRPr="00F71EB3" w:rsidRDefault="00B42B03" w:rsidP="009D4BAE">
            <w:pPr>
              <w:jc w:val="center"/>
              <w:rPr>
                <w:rFonts w:eastAsia="Times New Roman"/>
                <w:b/>
                <w:bCs/>
                <w:sz w:val="20"/>
                <w:lang w:eastAsia="en-US"/>
              </w:rPr>
            </w:pPr>
            <w:r w:rsidRPr="00F71EB3">
              <w:rPr>
                <w:rFonts w:eastAsia="Times New Roman"/>
                <w:b/>
                <w:bCs/>
                <w:sz w:val="20"/>
                <w:lang w:eastAsia="en-US"/>
              </w:rPr>
              <w:t>May</w:t>
            </w:r>
            <w:r w:rsidR="002A0D79" w:rsidRPr="00F71EB3">
              <w:rPr>
                <w:rFonts w:eastAsia="Times New Roman"/>
                <w:b/>
                <w:bCs/>
                <w:sz w:val="20"/>
                <w:lang w:eastAsia="en-US"/>
              </w:rPr>
              <w:t>o de</w:t>
            </w:r>
            <w:r w:rsidRPr="00F71EB3">
              <w:rPr>
                <w:rFonts w:eastAsia="Times New Roman"/>
                <w:b/>
                <w:bCs/>
                <w:sz w:val="20"/>
                <w:lang w:eastAsia="en-US"/>
              </w:rPr>
              <w:t xml:space="preserve"> 2015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B03" w:rsidRPr="00F71EB3" w:rsidRDefault="002A0D79" w:rsidP="002A0D79">
            <w:pPr>
              <w:jc w:val="center"/>
              <w:rPr>
                <w:rFonts w:eastAsia="Times New Roman"/>
                <w:b/>
                <w:bCs/>
                <w:sz w:val="20"/>
                <w:lang w:eastAsia="en-US"/>
              </w:rPr>
            </w:pPr>
            <w:r w:rsidRPr="00F71EB3">
              <w:rPr>
                <w:rFonts w:eastAsia="Times New Roman"/>
                <w:b/>
                <w:bCs/>
                <w:sz w:val="20"/>
                <w:lang w:eastAsia="en-US"/>
              </w:rPr>
              <w:t>Aumento</w:t>
            </w:r>
          </w:p>
        </w:tc>
      </w:tr>
      <w:tr w:rsidR="00B42B03" w:rsidRPr="00F71EB3" w:rsidTr="009D4BAE">
        <w:trPr>
          <w:trHeight w:val="55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2B03" w:rsidRPr="00F71EB3" w:rsidRDefault="00B42B03" w:rsidP="009D4BAE">
            <w:pPr>
              <w:rPr>
                <w:rFonts w:eastAsia="Times New Roman"/>
                <w:b/>
                <w:bCs/>
                <w:sz w:val="20"/>
                <w:lang w:eastAsia="en-US"/>
              </w:rPr>
            </w:pPr>
            <w:r w:rsidRPr="00F71EB3">
              <w:rPr>
                <w:rFonts w:eastAsia="Times New Roman"/>
                <w:b/>
                <w:bCs/>
                <w:sz w:val="20"/>
                <w:lang w:eastAsia="en-US"/>
              </w:rPr>
              <w:t>EN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2B03" w:rsidRPr="00F71EB3" w:rsidRDefault="00B42B03" w:rsidP="009D4BAE">
            <w:pPr>
              <w:rPr>
                <w:rFonts w:eastAsia="Times New Roman"/>
                <w:b/>
                <w:bCs/>
                <w:sz w:val="20"/>
                <w:lang w:eastAsia="en-US"/>
              </w:rPr>
            </w:pPr>
            <w:r w:rsidRPr="00F71EB3">
              <w:rPr>
                <w:rFonts w:eastAsia="Times New Roman"/>
                <w:b/>
                <w:bCs/>
                <w:sz w:val="20"/>
                <w:lang w:eastAsia="en-US"/>
              </w:rPr>
              <w:t>-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B03" w:rsidRPr="00F71EB3" w:rsidRDefault="002A0D79" w:rsidP="002A0D79">
            <w:pPr>
              <w:rPr>
                <w:rFonts w:eastAsia="Times New Roman"/>
                <w:b/>
                <w:bCs/>
                <w:sz w:val="20"/>
                <w:lang w:eastAsia="en-US"/>
              </w:rPr>
            </w:pPr>
            <w:r w:rsidRPr="00F71EB3">
              <w:rPr>
                <w:rFonts w:eastAsia="Times New Roman"/>
                <w:b/>
                <w:bCs/>
                <w:sz w:val="20"/>
                <w:lang w:eastAsia="en-US"/>
              </w:rPr>
              <w:t>Inglés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B03" w:rsidRPr="00F71EB3" w:rsidRDefault="00B42B03" w:rsidP="009D4BAE">
            <w:pPr>
              <w:jc w:val="center"/>
              <w:rPr>
                <w:rFonts w:eastAsia="Times New Roman"/>
                <w:b/>
                <w:bCs/>
                <w:sz w:val="20"/>
                <w:lang w:eastAsia="en-US"/>
              </w:rPr>
            </w:pPr>
            <w:r w:rsidRPr="00F71EB3">
              <w:rPr>
                <w:rFonts w:eastAsia="Times New Roman"/>
                <w:b/>
                <w:bCs/>
                <w:sz w:val="20"/>
                <w:lang w:eastAsia="en-US"/>
              </w:rPr>
              <w:t>51</w:t>
            </w:r>
            <w:r w:rsidR="002A0D79" w:rsidRPr="00F71EB3">
              <w:rPr>
                <w:rFonts w:eastAsia="Times New Roman"/>
                <w:b/>
                <w:bCs/>
                <w:sz w:val="20"/>
                <w:lang w:eastAsia="en-US"/>
              </w:rPr>
              <w:t>.</w:t>
            </w:r>
            <w:r w:rsidRPr="00F71EB3">
              <w:rPr>
                <w:rFonts w:eastAsia="Times New Roman"/>
                <w:b/>
                <w:bCs/>
                <w:sz w:val="20"/>
                <w:lang w:eastAsia="en-US"/>
              </w:rPr>
              <w:t>944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B03" w:rsidRPr="00F71EB3" w:rsidRDefault="00B42B03" w:rsidP="009D4BAE">
            <w:pPr>
              <w:jc w:val="center"/>
              <w:rPr>
                <w:rFonts w:eastAsia="Times New Roman"/>
                <w:b/>
                <w:bCs/>
                <w:sz w:val="20"/>
                <w:lang w:eastAsia="en-US"/>
              </w:rPr>
            </w:pPr>
            <w:r w:rsidRPr="00F71EB3">
              <w:rPr>
                <w:rFonts w:eastAsia="Times New Roman"/>
                <w:b/>
                <w:bCs/>
                <w:sz w:val="20"/>
                <w:lang w:eastAsia="en-US"/>
              </w:rPr>
              <w:t>67</w:t>
            </w:r>
            <w:r w:rsidR="002A0D79" w:rsidRPr="00F71EB3">
              <w:rPr>
                <w:rFonts w:eastAsia="Times New Roman"/>
                <w:b/>
                <w:bCs/>
                <w:sz w:val="20"/>
                <w:lang w:eastAsia="en-US"/>
              </w:rPr>
              <w:t>.</w:t>
            </w:r>
            <w:r w:rsidRPr="00F71EB3">
              <w:rPr>
                <w:rFonts w:eastAsia="Times New Roman"/>
                <w:b/>
                <w:bCs/>
                <w:sz w:val="20"/>
                <w:lang w:eastAsia="en-US"/>
              </w:rPr>
              <w:t>050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B03" w:rsidRPr="00F71EB3" w:rsidRDefault="00B42B03" w:rsidP="009D4BAE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F71EB3">
              <w:rPr>
                <w:rFonts w:eastAsia="Times New Roman"/>
                <w:sz w:val="20"/>
                <w:lang w:eastAsia="en-US"/>
              </w:rPr>
              <w:t>29%</w:t>
            </w:r>
          </w:p>
        </w:tc>
      </w:tr>
      <w:tr w:rsidR="00B42B03" w:rsidRPr="00F71EB3" w:rsidTr="009D4BAE">
        <w:trPr>
          <w:trHeight w:val="55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2B03" w:rsidRPr="00F71EB3" w:rsidRDefault="00B42B03" w:rsidP="009D4BAE">
            <w:pPr>
              <w:rPr>
                <w:rFonts w:eastAsia="Times New Roman"/>
                <w:b/>
                <w:bCs/>
                <w:sz w:val="20"/>
                <w:lang w:eastAsia="en-US"/>
              </w:rPr>
            </w:pPr>
            <w:r w:rsidRPr="00F71EB3">
              <w:rPr>
                <w:rFonts w:eastAsia="Times New Roman"/>
                <w:b/>
                <w:bCs/>
                <w:sz w:val="20"/>
                <w:lang w:eastAsia="en-US"/>
              </w:rPr>
              <w:t>ES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2B03" w:rsidRPr="00F71EB3" w:rsidRDefault="00B42B03" w:rsidP="009D4BAE">
            <w:pPr>
              <w:rPr>
                <w:rFonts w:eastAsia="Times New Roman"/>
                <w:b/>
                <w:bCs/>
                <w:sz w:val="20"/>
                <w:lang w:eastAsia="en-US"/>
              </w:rPr>
            </w:pPr>
            <w:r w:rsidRPr="00F71EB3">
              <w:rPr>
                <w:rFonts w:eastAsia="Times New Roman"/>
                <w:b/>
                <w:bCs/>
                <w:sz w:val="20"/>
                <w:lang w:eastAsia="en-US"/>
              </w:rPr>
              <w:t>-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B03" w:rsidRPr="00F71EB3" w:rsidRDefault="002A0D79" w:rsidP="002A0D79">
            <w:pPr>
              <w:rPr>
                <w:rFonts w:eastAsia="Times New Roman"/>
                <w:b/>
                <w:bCs/>
                <w:sz w:val="20"/>
                <w:lang w:eastAsia="en-US"/>
              </w:rPr>
            </w:pPr>
            <w:r w:rsidRPr="00F71EB3">
              <w:rPr>
                <w:rFonts w:eastAsia="Times New Roman"/>
                <w:b/>
                <w:bCs/>
                <w:sz w:val="20"/>
                <w:lang w:eastAsia="en-US"/>
              </w:rPr>
              <w:t>Español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B03" w:rsidRPr="00F71EB3" w:rsidRDefault="00B42B03" w:rsidP="009D4BAE">
            <w:pPr>
              <w:jc w:val="center"/>
              <w:rPr>
                <w:rFonts w:eastAsia="Times New Roman"/>
                <w:b/>
                <w:bCs/>
                <w:sz w:val="20"/>
                <w:lang w:eastAsia="en-US"/>
              </w:rPr>
            </w:pPr>
            <w:r w:rsidRPr="00F71EB3">
              <w:rPr>
                <w:rFonts w:eastAsia="Times New Roman"/>
                <w:b/>
                <w:bCs/>
                <w:sz w:val="20"/>
                <w:lang w:eastAsia="en-US"/>
              </w:rPr>
              <w:t>34</w:t>
            </w:r>
            <w:r w:rsidR="002A0D79" w:rsidRPr="00F71EB3">
              <w:rPr>
                <w:rFonts w:eastAsia="Times New Roman"/>
                <w:b/>
                <w:bCs/>
                <w:sz w:val="20"/>
                <w:lang w:eastAsia="en-US"/>
              </w:rPr>
              <w:t>.</w:t>
            </w:r>
            <w:r w:rsidRPr="00F71EB3">
              <w:rPr>
                <w:rFonts w:eastAsia="Times New Roman"/>
                <w:b/>
                <w:bCs/>
                <w:sz w:val="20"/>
                <w:lang w:eastAsia="en-US"/>
              </w:rPr>
              <w:t>377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B03" w:rsidRPr="00F71EB3" w:rsidRDefault="00B42B03" w:rsidP="009D4BAE">
            <w:pPr>
              <w:jc w:val="center"/>
              <w:rPr>
                <w:rFonts w:eastAsia="Times New Roman"/>
                <w:b/>
                <w:bCs/>
                <w:sz w:val="20"/>
                <w:lang w:eastAsia="en-US"/>
              </w:rPr>
            </w:pPr>
            <w:r w:rsidRPr="00F71EB3">
              <w:rPr>
                <w:rFonts w:eastAsia="Times New Roman"/>
                <w:b/>
                <w:bCs/>
                <w:sz w:val="20"/>
                <w:lang w:eastAsia="en-US"/>
              </w:rPr>
              <w:t>38</w:t>
            </w:r>
            <w:r w:rsidR="002A0D79" w:rsidRPr="00F71EB3">
              <w:rPr>
                <w:rFonts w:eastAsia="Times New Roman"/>
                <w:b/>
                <w:bCs/>
                <w:sz w:val="20"/>
                <w:lang w:eastAsia="en-US"/>
              </w:rPr>
              <w:t>.</w:t>
            </w:r>
            <w:r w:rsidRPr="00F71EB3">
              <w:rPr>
                <w:rFonts w:eastAsia="Times New Roman"/>
                <w:b/>
                <w:bCs/>
                <w:sz w:val="20"/>
                <w:lang w:eastAsia="en-US"/>
              </w:rPr>
              <w:t>870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B03" w:rsidRPr="00F71EB3" w:rsidRDefault="00B42B03" w:rsidP="009D4BAE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F71EB3">
              <w:rPr>
                <w:rFonts w:eastAsia="Times New Roman"/>
                <w:sz w:val="20"/>
                <w:lang w:eastAsia="en-US"/>
              </w:rPr>
              <w:t>13%</w:t>
            </w:r>
          </w:p>
        </w:tc>
      </w:tr>
      <w:tr w:rsidR="00B42B03" w:rsidRPr="00F71EB3" w:rsidTr="009D4BAE">
        <w:trPr>
          <w:trHeight w:val="55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2B03" w:rsidRPr="00F71EB3" w:rsidRDefault="00B42B03" w:rsidP="009D4BAE">
            <w:pPr>
              <w:rPr>
                <w:rFonts w:eastAsia="Times New Roman"/>
                <w:b/>
                <w:bCs/>
                <w:sz w:val="20"/>
                <w:lang w:eastAsia="en-US"/>
              </w:rPr>
            </w:pPr>
            <w:r w:rsidRPr="00F71EB3">
              <w:rPr>
                <w:rFonts w:eastAsia="Times New Roman"/>
                <w:b/>
                <w:bCs/>
                <w:sz w:val="20"/>
                <w:lang w:eastAsia="en-US"/>
              </w:rPr>
              <w:t>FR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2B03" w:rsidRPr="00F71EB3" w:rsidRDefault="00B42B03" w:rsidP="009D4BAE">
            <w:pPr>
              <w:rPr>
                <w:rFonts w:eastAsia="Times New Roman"/>
                <w:b/>
                <w:bCs/>
                <w:sz w:val="20"/>
                <w:lang w:eastAsia="en-US"/>
              </w:rPr>
            </w:pPr>
            <w:r w:rsidRPr="00F71EB3">
              <w:rPr>
                <w:rFonts w:eastAsia="Times New Roman"/>
                <w:b/>
                <w:bCs/>
                <w:sz w:val="20"/>
                <w:lang w:eastAsia="en-US"/>
              </w:rPr>
              <w:t>-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B03" w:rsidRPr="00F71EB3" w:rsidRDefault="002A0D79" w:rsidP="009D4BAE">
            <w:pPr>
              <w:rPr>
                <w:rFonts w:eastAsia="Times New Roman"/>
                <w:b/>
                <w:bCs/>
                <w:sz w:val="20"/>
                <w:lang w:eastAsia="en-US"/>
              </w:rPr>
            </w:pPr>
            <w:r w:rsidRPr="00F71EB3">
              <w:rPr>
                <w:rFonts w:eastAsia="Times New Roman"/>
                <w:b/>
                <w:bCs/>
                <w:sz w:val="20"/>
                <w:lang w:eastAsia="en-US"/>
              </w:rPr>
              <w:t>Francés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B03" w:rsidRPr="00F71EB3" w:rsidRDefault="00B42B03" w:rsidP="009D4BAE">
            <w:pPr>
              <w:jc w:val="center"/>
              <w:rPr>
                <w:rFonts w:eastAsia="Times New Roman"/>
                <w:b/>
                <w:bCs/>
                <w:sz w:val="20"/>
                <w:lang w:eastAsia="en-US"/>
              </w:rPr>
            </w:pPr>
            <w:r w:rsidRPr="00F71EB3">
              <w:rPr>
                <w:rFonts w:eastAsia="Times New Roman"/>
                <w:b/>
                <w:bCs/>
                <w:sz w:val="20"/>
                <w:lang w:eastAsia="en-US"/>
              </w:rPr>
              <w:t>34</w:t>
            </w:r>
            <w:r w:rsidR="002A0D79" w:rsidRPr="00F71EB3">
              <w:rPr>
                <w:rFonts w:eastAsia="Times New Roman"/>
                <w:b/>
                <w:bCs/>
                <w:sz w:val="20"/>
                <w:lang w:eastAsia="en-US"/>
              </w:rPr>
              <w:t>.</w:t>
            </w:r>
            <w:r w:rsidRPr="00F71EB3">
              <w:rPr>
                <w:rFonts w:eastAsia="Times New Roman"/>
                <w:b/>
                <w:bCs/>
                <w:sz w:val="20"/>
                <w:lang w:eastAsia="en-US"/>
              </w:rPr>
              <w:t>512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B03" w:rsidRPr="00F71EB3" w:rsidRDefault="00B42B03" w:rsidP="009D4BAE">
            <w:pPr>
              <w:jc w:val="center"/>
              <w:rPr>
                <w:rFonts w:eastAsia="Times New Roman"/>
                <w:b/>
                <w:bCs/>
                <w:sz w:val="20"/>
                <w:lang w:eastAsia="en-US"/>
              </w:rPr>
            </w:pPr>
            <w:r w:rsidRPr="00F71EB3">
              <w:rPr>
                <w:rFonts w:eastAsia="Times New Roman"/>
                <w:b/>
                <w:bCs/>
                <w:sz w:val="20"/>
                <w:lang w:eastAsia="en-US"/>
              </w:rPr>
              <w:t>39</w:t>
            </w:r>
            <w:r w:rsidR="002A0D79" w:rsidRPr="00F71EB3">
              <w:rPr>
                <w:rFonts w:eastAsia="Times New Roman"/>
                <w:b/>
                <w:bCs/>
                <w:sz w:val="20"/>
                <w:lang w:eastAsia="en-US"/>
              </w:rPr>
              <w:t>.</w:t>
            </w:r>
            <w:r w:rsidRPr="00F71EB3">
              <w:rPr>
                <w:rFonts w:eastAsia="Times New Roman"/>
                <w:b/>
                <w:bCs/>
                <w:sz w:val="20"/>
                <w:lang w:eastAsia="en-US"/>
              </w:rPr>
              <w:t>073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B03" w:rsidRPr="00F71EB3" w:rsidRDefault="00B42B03" w:rsidP="009D4BAE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F71EB3">
              <w:rPr>
                <w:rFonts w:eastAsia="Times New Roman"/>
                <w:sz w:val="20"/>
                <w:lang w:eastAsia="en-US"/>
              </w:rPr>
              <w:t>13%</w:t>
            </w:r>
          </w:p>
        </w:tc>
      </w:tr>
      <w:tr w:rsidR="00B42B03" w:rsidRPr="00F71EB3" w:rsidTr="009D4BAE">
        <w:trPr>
          <w:trHeight w:val="55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2B03" w:rsidRPr="00F71EB3" w:rsidRDefault="00B42B03" w:rsidP="009D4BAE">
            <w:pPr>
              <w:rPr>
                <w:rFonts w:eastAsia="Times New Roman"/>
                <w:sz w:val="20"/>
                <w:lang w:eastAsia="en-US"/>
              </w:rPr>
            </w:pPr>
            <w:r w:rsidRPr="00F71EB3">
              <w:rPr>
                <w:rFonts w:eastAsia="Times New Roman"/>
                <w:sz w:val="20"/>
                <w:lang w:eastAsia="en-US"/>
              </w:rPr>
              <w:t>AR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2B03" w:rsidRPr="00F71EB3" w:rsidRDefault="00B42B03" w:rsidP="009D4BAE">
            <w:pPr>
              <w:rPr>
                <w:rFonts w:eastAsia="Times New Roman"/>
                <w:sz w:val="20"/>
                <w:lang w:eastAsia="en-US"/>
              </w:rPr>
            </w:pPr>
            <w:r w:rsidRPr="00F71EB3">
              <w:rPr>
                <w:rFonts w:eastAsia="Times New Roman"/>
                <w:sz w:val="20"/>
                <w:lang w:eastAsia="en-US"/>
              </w:rPr>
              <w:t>-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B03" w:rsidRPr="00F71EB3" w:rsidRDefault="002A0D79" w:rsidP="009D4BAE">
            <w:pPr>
              <w:rPr>
                <w:rFonts w:eastAsia="Times New Roman"/>
                <w:sz w:val="20"/>
                <w:lang w:eastAsia="en-US"/>
              </w:rPr>
            </w:pPr>
            <w:r w:rsidRPr="00F71EB3">
              <w:rPr>
                <w:rFonts w:eastAsia="Times New Roman"/>
                <w:sz w:val="20"/>
                <w:lang w:eastAsia="en-US"/>
              </w:rPr>
              <w:t>Árabe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B03" w:rsidRPr="00F71EB3" w:rsidRDefault="00B42B03" w:rsidP="009D4BAE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F71EB3">
              <w:rPr>
                <w:rFonts w:eastAsia="Times New Roman"/>
                <w:sz w:val="20"/>
                <w:lang w:eastAsia="en-US"/>
              </w:rPr>
              <w:t>24</w:t>
            </w:r>
            <w:r w:rsidR="002A0D79" w:rsidRPr="00F71EB3">
              <w:rPr>
                <w:rFonts w:eastAsia="Times New Roman"/>
                <w:sz w:val="20"/>
                <w:lang w:eastAsia="en-US"/>
              </w:rPr>
              <w:t>.</w:t>
            </w:r>
            <w:r w:rsidRPr="00F71EB3">
              <w:rPr>
                <w:rFonts w:eastAsia="Times New Roman"/>
                <w:sz w:val="20"/>
                <w:lang w:eastAsia="en-US"/>
              </w:rPr>
              <w:t>287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B03" w:rsidRPr="00F71EB3" w:rsidRDefault="00B42B03" w:rsidP="009D4BAE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F71EB3">
              <w:rPr>
                <w:rFonts w:eastAsia="Times New Roman"/>
                <w:sz w:val="20"/>
                <w:lang w:eastAsia="en-US"/>
              </w:rPr>
              <w:t>24</w:t>
            </w:r>
            <w:r w:rsidR="002A0D79" w:rsidRPr="00F71EB3">
              <w:rPr>
                <w:rFonts w:eastAsia="Times New Roman"/>
                <w:sz w:val="20"/>
                <w:lang w:eastAsia="en-US"/>
              </w:rPr>
              <w:t>.</w:t>
            </w:r>
            <w:r w:rsidRPr="00F71EB3">
              <w:rPr>
                <w:rFonts w:eastAsia="Times New Roman"/>
                <w:sz w:val="20"/>
                <w:lang w:eastAsia="en-US"/>
              </w:rPr>
              <w:t>824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B03" w:rsidRPr="00F71EB3" w:rsidRDefault="00B42B03" w:rsidP="009D4BAE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F71EB3">
              <w:rPr>
                <w:rFonts w:eastAsia="Times New Roman"/>
                <w:sz w:val="20"/>
                <w:lang w:eastAsia="en-US"/>
              </w:rPr>
              <w:t>2%</w:t>
            </w:r>
          </w:p>
        </w:tc>
      </w:tr>
      <w:tr w:rsidR="00B42B03" w:rsidRPr="00F71EB3" w:rsidTr="009D4BAE">
        <w:trPr>
          <w:trHeight w:val="55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2B03" w:rsidRPr="00F71EB3" w:rsidRDefault="00B42B03" w:rsidP="009D4BAE">
            <w:pPr>
              <w:rPr>
                <w:rFonts w:eastAsia="Times New Roman"/>
                <w:sz w:val="20"/>
                <w:lang w:eastAsia="en-US"/>
              </w:rPr>
            </w:pPr>
            <w:r w:rsidRPr="00F71EB3">
              <w:rPr>
                <w:rFonts w:eastAsia="Times New Roman"/>
                <w:sz w:val="20"/>
                <w:lang w:eastAsia="en-US"/>
              </w:rPr>
              <w:t>DE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2B03" w:rsidRPr="00F71EB3" w:rsidRDefault="00B42B03" w:rsidP="009D4BAE">
            <w:pPr>
              <w:rPr>
                <w:rFonts w:eastAsia="Times New Roman"/>
                <w:sz w:val="20"/>
                <w:lang w:eastAsia="en-US"/>
              </w:rPr>
            </w:pPr>
            <w:r w:rsidRPr="00F71EB3">
              <w:rPr>
                <w:rFonts w:eastAsia="Times New Roman"/>
                <w:sz w:val="20"/>
                <w:lang w:eastAsia="en-US"/>
              </w:rPr>
              <w:t>-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B03" w:rsidRPr="00F71EB3" w:rsidRDefault="002A0D79" w:rsidP="009D4BAE">
            <w:pPr>
              <w:rPr>
                <w:rFonts w:eastAsia="Times New Roman"/>
                <w:sz w:val="20"/>
                <w:lang w:eastAsia="en-US"/>
              </w:rPr>
            </w:pPr>
            <w:r w:rsidRPr="00F71EB3">
              <w:rPr>
                <w:rFonts w:eastAsia="Times New Roman"/>
                <w:sz w:val="20"/>
                <w:lang w:eastAsia="en-US"/>
              </w:rPr>
              <w:t>Alemá</w:t>
            </w:r>
            <w:r w:rsidR="00B42B03" w:rsidRPr="00F71EB3">
              <w:rPr>
                <w:rFonts w:eastAsia="Times New Roman"/>
                <w:sz w:val="20"/>
                <w:lang w:eastAsia="en-US"/>
              </w:rPr>
              <w:t>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B03" w:rsidRPr="00F71EB3" w:rsidRDefault="00B42B03" w:rsidP="009D4BAE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F71EB3">
              <w:rPr>
                <w:rFonts w:eastAsia="Times New Roman"/>
                <w:sz w:val="20"/>
                <w:lang w:eastAsia="en-US"/>
              </w:rPr>
              <w:t>25</w:t>
            </w:r>
            <w:r w:rsidR="002A0D79" w:rsidRPr="00F71EB3">
              <w:rPr>
                <w:rFonts w:eastAsia="Times New Roman"/>
                <w:sz w:val="20"/>
                <w:lang w:eastAsia="en-US"/>
              </w:rPr>
              <w:t>.</w:t>
            </w:r>
            <w:r w:rsidRPr="00F71EB3">
              <w:rPr>
                <w:rFonts w:eastAsia="Times New Roman"/>
                <w:sz w:val="20"/>
                <w:lang w:eastAsia="en-US"/>
              </w:rPr>
              <w:t>939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B03" w:rsidRPr="00F71EB3" w:rsidRDefault="00B42B03" w:rsidP="009D4BAE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F71EB3">
              <w:rPr>
                <w:rFonts w:eastAsia="Times New Roman"/>
                <w:sz w:val="20"/>
                <w:lang w:eastAsia="en-US"/>
              </w:rPr>
              <w:t>26</w:t>
            </w:r>
            <w:r w:rsidR="002A0D79" w:rsidRPr="00F71EB3">
              <w:rPr>
                <w:rFonts w:eastAsia="Times New Roman"/>
                <w:sz w:val="20"/>
                <w:lang w:eastAsia="en-US"/>
              </w:rPr>
              <w:t>.</w:t>
            </w:r>
            <w:r w:rsidRPr="00F71EB3">
              <w:rPr>
                <w:rFonts w:eastAsia="Times New Roman"/>
                <w:sz w:val="20"/>
                <w:lang w:eastAsia="en-US"/>
              </w:rPr>
              <w:t>419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B03" w:rsidRPr="00F71EB3" w:rsidRDefault="00B42B03" w:rsidP="009D4BAE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F71EB3">
              <w:rPr>
                <w:rFonts w:eastAsia="Times New Roman"/>
                <w:sz w:val="20"/>
                <w:lang w:eastAsia="en-US"/>
              </w:rPr>
              <w:t>2%</w:t>
            </w:r>
          </w:p>
        </w:tc>
      </w:tr>
      <w:tr w:rsidR="00B42B03" w:rsidRPr="00F71EB3" w:rsidTr="009D4BAE">
        <w:trPr>
          <w:trHeight w:val="55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2B03" w:rsidRPr="00F71EB3" w:rsidRDefault="00B42B03" w:rsidP="009D4BAE">
            <w:pPr>
              <w:rPr>
                <w:rFonts w:eastAsia="Times New Roman"/>
                <w:sz w:val="20"/>
                <w:lang w:eastAsia="en-US"/>
              </w:rPr>
            </w:pPr>
            <w:r w:rsidRPr="00F71EB3">
              <w:rPr>
                <w:rFonts w:eastAsia="Times New Roman"/>
                <w:sz w:val="20"/>
                <w:lang w:eastAsia="en-US"/>
              </w:rPr>
              <w:t>HE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2B03" w:rsidRPr="00F71EB3" w:rsidRDefault="00B42B03" w:rsidP="009D4BAE">
            <w:pPr>
              <w:rPr>
                <w:rFonts w:eastAsia="Times New Roman"/>
                <w:sz w:val="20"/>
                <w:lang w:eastAsia="en-US"/>
              </w:rPr>
            </w:pPr>
            <w:r w:rsidRPr="00F71EB3">
              <w:rPr>
                <w:rFonts w:eastAsia="Times New Roman"/>
                <w:sz w:val="20"/>
                <w:lang w:eastAsia="en-US"/>
              </w:rPr>
              <w:t>-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B03" w:rsidRPr="00F71EB3" w:rsidRDefault="002A0D79" w:rsidP="002A0D79">
            <w:pPr>
              <w:rPr>
                <w:rFonts w:eastAsia="Times New Roman"/>
                <w:sz w:val="20"/>
                <w:lang w:eastAsia="en-US"/>
              </w:rPr>
            </w:pPr>
            <w:r w:rsidRPr="00F71EB3">
              <w:rPr>
                <w:rFonts w:eastAsia="Times New Roman"/>
                <w:sz w:val="20"/>
                <w:lang w:eastAsia="en-US"/>
              </w:rPr>
              <w:t>Hebreo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B03" w:rsidRPr="00F71EB3" w:rsidRDefault="00B42B03" w:rsidP="009D4BAE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F71EB3">
              <w:rPr>
                <w:rFonts w:eastAsia="Times New Roman"/>
                <w:sz w:val="20"/>
                <w:lang w:eastAsia="en-US"/>
              </w:rPr>
              <w:t>29</w:t>
            </w:r>
            <w:r w:rsidR="002A0D79" w:rsidRPr="00F71EB3">
              <w:rPr>
                <w:rFonts w:eastAsia="Times New Roman"/>
                <w:sz w:val="20"/>
                <w:lang w:eastAsia="en-US"/>
              </w:rPr>
              <w:t>.</w:t>
            </w:r>
            <w:r w:rsidRPr="00F71EB3">
              <w:rPr>
                <w:rFonts w:eastAsia="Times New Roman"/>
                <w:sz w:val="20"/>
                <w:lang w:eastAsia="en-US"/>
              </w:rPr>
              <w:t>335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B03" w:rsidRPr="00F71EB3" w:rsidRDefault="00B42B03" w:rsidP="009D4BAE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F71EB3">
              <w:rPr>
                <w:rFonts w:eastAsia="Times New Roman"/>
                <w:sz w:val="20"/>
                <w:lang w:eastAsia="en-US"/>
              </w:rPr>
              <w:t>29</w:t>
            </w:r>
            <w:r w:rsidR="002A0D79" w:rsidRPr="00F71EB3">
              <w:rPr>
                <w:rFonts w:eastAsia="Times New Roman"/>
                <w:sz w:val="20"/>
                <w:lang w:eastAsia="en-US"/>
              </w:rPr>
              <w:t>.</w:t>
            </w:r>
            <w:r w:rsidRPr="00F71EB3">
              <w:rPr>
                <w:rFonts w:eastAsia="Times New Roman"/>
                <w:sz w:val="20"/>
                <w:lang w:eastAsia="en-US"/>
              </w:rPr>
              <w:t>863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B03" w:rsidRPr="00F71EB3" w:rsidRDefault="00B42B03" w:rsidP="009D4BAE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F71EB3">
              <w:rPr>
                <w:rFonts w:eastAsia="Times New Roman"/>
                <w:sz w:val="20"/>
                <w:lang w:eastAsia="en-US"/>
              </w:rPr>
              <w:t>2%</w:t>
            </w:r>
          </w:p>
        </w:tc>
      </w:tr>
      <w:tr w:rsidR="00B42B03" w:rsidRPr="00F71EB3" w:rsidTr="009D4BAE">
        <w:trPr>
          <w:trHeight w:val="55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2B03" w:rsidRPr="00F71EB3" w:rsidRDefault="00B42B03" w:rsidP="009D4BAE">
            <w:pPr>
              <w:rPr>
                <w:rFonts w:eastAsia="Times New Roman"/>
                <w:sz w:val="20"/>
                <w:lang w:eastAsia="en-US"/>
              </w:rPr>
            </w:pPr>
            <w:r w:rsidRPr="00F71EB3">
              <w:rPr>
                <w:rFonts w:eastAsia="Times New Roman"/>
                <w:sz w:val="20"/>
                <w:lang w:eastAsia="en-US"/>
              </w:rPr>
              <w:t>IT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2B03" w:rsidRPr="00F71EB3" w:rsidRDefault="00B42B03" w:rsidP="009D4BAE">
            <w:pPr>
              <w:rPr>
                <w:rFonts w:eastAsia="Times New Roman"/>
                <w:sz w:val="20"/>
                <w:lang w:eastAsia="en-US"/>
              </w:rPr>
            </w:pPr>
            <w:r w:rsidRPr="00F71EB3">
              <w:rPr>
                <w:rFonts w:eastAsia="Times New Roman"/>
                <w:sz w:val="20"/>
                <w:lang w:eastAsia="en-US"/>
              </w:rPr>
              <w:t>-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B03" w:rsidRPr="00F71EB3" w:rsidRDefault="00B42B03" w:rsidP="009D4BAE">
            <w:pPr>
              <w:rPr>
                <w:rFonts w:eastAsia="Times New Roman"/>
                <w:sz w:val="20"/>
                <w:lang w:eastAsia="en-US"/>
              </w:rPr>
            </w:pPr>
            <w:r w:rsidRPr="00F71EB3">
              <w:rPr>
                <w:rFonts w:eastAsia="Times New Roman"/>
                <w:sz w:val="20"/>
                <w:lang w:eastAsia="en-US"/>
              </w:rPr>
              <w:t>Italian</w:t>
            </w:r>
            <w:r w:rsidR="002A0D79" w:rsidRPr="00F71EB3">
              <w:rPr>
                <w:rFonts w:eastAsia="Times New Roman"/>
                <w:sz w:val="20"/>
                <w:lang w:eastAsia="en-US"/>
              </w:rPr>
              <w:t>o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B03" w:rsidRPr="00F71EB3" w:rsidRDefault="00B42B03" w:rsidP="009D4BAE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F71EB3">
              <w:rPr>
                <w:rFonts w:eastAsia="Times New Roman"/>
                <w:sz w:val="20"/>
                <w:lang w:eastAsia="en-US"/>
              </w:rPr>
              <w:t>29</w:t>
            </w:r>
            <w:r w:rsidR="002A0D79" w:rsidRPr="00F71EB3">
              <w:rPr>
                <w:rFonts w:eastAsia="Times New Roman"/>
                <w:sz w:val="20"/>
                <w:lang w:eastAsia="en-US"/>
              </w:rPr>
              <w:t>.</w:t>
            </w:r>
            <w:r w:rsidRPr="00F71EB3">
              <w:rPr>
                <w:rFonts w:eastAsia="Times New Roman"/>
                <w:sz w:val="20"/>
                <w:lang w:eastAsia="en-US"/>
              </w:rPr>
              <w:t>508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B03" w:rsidRPr="00F71EB3" w:rsidRDefault="00B42B03" w:rsidP="009D4BAE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F71EB3">
              <w:rPr>
                <w:rFonts w:eastAsia="Times New Roman"/>
                <w:sz w:val="20"/>
                <w:lang w:eastAsia="en-US"/>
              </w:rPr>
              <w:t>31</w:t>
            </w:r>
            <w:r w:rsidR="002A0D79" w:rsidRPr="00F71EB3">
              <w:rPr>
                <w:rFonts w:eastAsia="Times New Roman"/>
                <w:sz w:val="20"/>
                <w:lang w:eastAsia="en-US"/>
              </w:rPr>
              <w:t>.</w:t>
            </w:r>
            <w:r w:rsidRPr="00F71EB3">
              <w:rPr>
                <w:rFonts w:eastAsia="Times New Roman"/>
                <w:sz w:val="20"/>
                <w:lang w:eastAsia="en-US"/>
              </w:rPr>
              <w:t>014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B03" w:rsidRPr="00F71EB3" w:rsidRDefault="00B42B03" w:rsidP="009D4BAE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F71EB3">
              <w:rPr>
                <w:rFonts w:eastAsia="Times New Roman"/>
                <w:sz w:val="20"/>
                <w:lang w:eastAsia="en-US"/>
              </w:rPr>
              <w:t>5%</w:t>
            </w:r>
          </w:p>
        </w:tc>
      </w:tr>
      <w:tr w:rsidR="00B42B03" w:rsidRPr="00F71EB3" w:rsidTr="009D4BAE">
        <w:trPr>
          <w:trHeight w:val="55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2B03" w:rsidRPr="00F71EB3" w:rsidRDefault="00B42B03" w:rsidP="009D4BAE">
            <w:pPr>
              <w:rPr>
                <w:rFonts w:eastAsia="Times New Roman"/>
                <w:sz w:val="20"/>
                <w:lang w:eastAsia="en-US"/>
              </w:rPr>
            </w:pPr>
            <w:r w:rsidRPr="00F71EB3">
              <w:rPr>
                <w:rFonts w:eastAsia="Times New Roman"/>
                <w:sz w:val="20"/>
                <w:lang w:eastAsia="en-US"/>
              </w:rPr>
              <w:t>JP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2B03" w:rsidRPr="00F71EB3" w:rsidRDefault="00B42B03" w:rsidP="009D4BAE">
            <w:pPr>
              <w:rPr>
                <w:rFonts w:eastAsia="Times New Roman"/>
                <w:sz w:val="20"/>
                <w:lang w:eastAsia="en-US"/>
              </w:rPr>
            </w:pPr>
            <w:r w:rsidRPr="00F71EB3">
              <w:rPr>
                <w:rFonts w:eastAsia="Times New Roman"/>
                <w:sz w:val="20"/>
                <w:lang w:eastAsia="en-US"/>
              </w:rPr>
              <w:t>-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B03" w:rsidRPr="00F71EB3" w:rsidRDefault="002A0D79" w:rsidP="002A0D79">
            <w:pPr>
              <w:rPr>
                <w:rFonts w:eastAsia="Times New Roman"/>
                <w:sz w:val="20"/>
                <w:lang w:eastAsia="en-US"/>
              </w:rPr>
            </w:pPr>
            <w:r w:rsidRPr="00F71EB3">
              <w:rPr>
                <w:rFonts w:eastAsia="Times New Roman"/>
                <w:sz w:val="20"/>
                <w:lang w:eastAsia="en-US"/>
              </w:rPr>
              <w:t>Japonés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B03" w:rsidRPr="00F71EB3" w:rsidRDefault="00B42B03" w:rsidP="009D4BAE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F71EB3">
              <w:rPr>
                <w:rFonts w:eastAsia="Times New Roman"/>
                <w:sz w:val="20"/>
                <w:lang w:eastAsia="en-US"/>
              </w:rPr>
              <w:t>23</w:t>
            </w:r>
            <w:r w:rsidR="002A0D79" w:rsidRPr="00F71EB3">
              <w:rPr>
                <w:rFonts w:eastAsia="Times New Roman"/>
                <w:sz w:val="20"/>
                <w:lang w:eastAsia="en-US"/>
              </w:rPr>
              <w:t>.</w:t>
            </w:r>
            <w:r w:rsidRPr="00F71EB3">
              <w:rPr>
                <w:rFonts w:eastAsia="Times New Roman"/>
                <w:sz w:val="20"/>
                <w:lang w:eastAsia="en-US"/>
              </w:rPr>
              <w:t>090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B03" w:rsidRPr="00F71EB3" w:rsidRDefault="00B42B03" w:rsidP="009D4BAE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F71EB3">
              <w:rPr>
                <w:rFonts w:eastAsia="Times New Roman"/>
                <w:sz w:val="20"/>
                <w:lang w:eastAsia="en-US"/>
              </w:rPr>
              <w:t>28</w:t>
            </w:r>
            <w:r w:rsidR="002A0D79" w:rsidRPr="00F71EB3">
              <w:rPr>
                <w:rFonts w:eastAsia="Times New Roman"/>
                <w:sz w:val="20"/>
                <w:lang w:eastAsia="en-US"/>
              </w:rPr>
              <w:t>.</w:t>
            </w:r>
            <w:r w:rsidRPr="00F71EB3">
              <w:rPr>
                <w:rFonts w:eastAsia="Times New Roman"/>
                <w:sz w:val="20"/>
                <w:lang w:eastAsia="en-US"/>
              </w:rPr>
              <w:t>045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B03" w:rsidRPr="00F71EB3" w:rsidRDefault="00B42B03" w:rsidP="009D4BAE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F71EB3">
              <w:rPr>
                <w:rFonts w:eastAsia="Times New Roman"/>
                <w:sz w:val="20"/>
                <w:lang w:eastAsia="en-US"/>
              </w:rPr>
              <w:t>21%</w:t>
            </w:r>
          </w:p>
        </w:tc>
      </w:tr>
      <w:tr w:rsidR="00B42B03" w:rsidRPr="00F71EB3" w:rsidTr="009D4BAE">
        <w:trPr>
          <w:trHeight w:val="55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2B03" w:rsidRPr="00F71EB3" w:rsidRDefault="00B42B03" w:rsidP="009D4BAE">
            <w:pPr>
              <w:rPr>
                <w:rFonts w:eastAsia="Times New Roman"/>
                <w:sz w:val="20"/>
                <w:lang w:eastAsia="en-US"/>
              </w:rPr>
            </w:pPr>
            <w:r w:rsidRPr="00F71EB3">
              <w:rPr>
                <w:rFonts w:eastAsia="Times New Roman"/>
                <w:sz w:val="20"/>
                <w:lang w:eastAsia="en-US"/>
              </w:rPr>
              <w:t>KR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2B03" w:rsidRPr="00F71EB3" w:rsidRDefault="00B42B03" w:rsidP="009D4BAE">
            <w:pPr>
              <w:rPr>
                <w:rFonts w:eastAsia="Times New Roman"/>
                <w:sz w:val="20"/>
                <w:lang w:eastAsia="en-US"/>
              </w:rPr>
            </w:pPr>
            <w:r w:rsidRPr="00F71EB3">
              <w:rPr>
                <w:rFonts w:eastAsia="Times New Roman"/>
                <w:sz w:val="20"/>
                <w:lang w:eastAsia="en-US"/>
              </w:rPr>
              <w:t>-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B03" w:rsidRPr="00F71EB3" w:rsidRDefault="002A0D79" w:rsidP="009D4BAE">
            <w:pPr>
              <w:rPr>
                <w:rFonts w:eastAsia="Times New Roman"/>
                <w:sz w:val="20"/>
                <w:lang w:eastAsia="en-US"/>
              </w:rPr>
            </w:pPr>
            <w:r w:rsidRPr="00F71EB3">
              <w:rPr>
                <w:rFonts w:eastAsia="Times New Roman"/>
                <w:sz w:val="20"/>
                <w:lang w:eastAsia="en-US"/>
              </w:rPr>
              <w:t>C</w:t>
            </w:r>
            <w:r w:rsidR="00B42B03" w:rsidRPr="00F71EB3">
              <w:rPr>
                <w:rFonts w:eastAsia="Times New Roman"/>
                <w:sz w:val="20"/>
                <w:lang w:eastAsia="en-US"/>
              </w:rPr>
              <w:t>orean</w:t>
            </w:r>
            <w:r w:rsidRPr="00F71EB3">
              <w:rPr>
                <w:rFonts w:eastAsia="Times New Roman"/>
                <w:sz w:val="20"/>
                <w:lang w:eastAsia="en-US"/>
              </w:rPr>
              <w:t>o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B03" w:rsidRPr="00F71EB3" w:rsidRDefault="00B42B03" w:rsidP="009D4BAE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F71EB3">
              <w:rPr>
                <w:rFonts w:eastAsia="Times New Roman"/>
                <w:sz w:val="20"/>
                <w:lang w:eastAsia="en-US"/>
              </w:rPr>
              <w:t>11</w:t>
            </w:r>
            <w:r w:rsidR="002A0D79" w:rsidRPr="00F71EB3">
              <w:rPr>
                <w:rFonts w:eastAsia="Times New Roman"/>
                <w:sz w:val="20"/>
                <w:lang w:eastAsia="en-US"/>
              </w:rPr>
              <w:t>.</w:t>
            </w:r>
            <w:r w:rsidRPr="00F71EB3">
              <w:rPr>
                <w:rFonts w:eastAsia="Times New Roman"/>
                <w:sz w:val="20"/>
                <w:lang w:eastAsia="en-US"/>
              </w:rPr>
              <w:t>587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B03" w:rsidRPr="00F71EB3" w:rsidRDefault="00B42B03" w:rsidP="009D4BAE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F71EB3">
              <w:rPr>
                <w:rFonts w:eastAsia="Times New Roman"/>
                <w:sz w:val="20"/>
                <w:lang w:eastAsia="en-US"/>
              </w:rPr>
              <w:t>13</w:t>
            </w:r>
            <w:r w:rsidR="002A0D79" w:rsidRPr="00F71EB3">
              <w:rPr>
                <w:rFonts w:eastAsia="Times New Roman"/>
                <w:sz w:val="20"/>
                <w:lang w:eastAsia="en-US"/>
              </w:rPr>
              <w:t>.</w:t>
            </w:r>
            <w:r w:rsidRPr="00F71EB3">
              <w:rPr>
                <w:rFonts w:eastAsia="Times New Roman"/>
                <w:sz w:val="20"/>
                <w:lang w:eastAsia="en-US"/>
              </w:rPr>
              <w:t>315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B03" w:rsidRPr="00F71EB3" w:rsidRDefault="00B42B03" w:rsidP="009D4BAE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F71EB3">
              <w:rPr>
                <w:rFonts w:eastAsia="Times New Roman"/>
                <w:sz w:val="20"/>
                <w:lang w:eastAsia="en-US"/>
              </w:rPr>
              <w:t>15%</w:t>
            </w:r>
          </w:p>
        </w:tc>
      </w:tr>
      <w:tr w:rsidR="00B42B03" w:rsidRPr="00F71EB3" w:rsidTr="009D4BAE">
        <w:trPr>
          <w:trHeight w:val="55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2B03" w:rsidRPr="00F71EB3" w:rsidRDefault="00B42B03" w:rsidP="009D4BAE">
            <w:pPr>
              <w:rPr>
                <w:rFonts w:eastAsia="Times New Roman"/>
                <w:sz w:val="20"/>
                <w:lang w:eastAsia="en-US"/>
              </w:rPr>
            </w:pPr>
            <w:r w:rsidRPr="00F71EB3">
              <w:rPr>
                <w:rFonts w:eastAsia="Times New Roman"/>
                <w:sz w:val="20"/>
                <w:lang w:eastAsia="en-US"/>
              </w:rPr>
              <w:t>NL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2B03" w:rsidRPr="00F71EB3" w:rsidRDefault="00B42B03" w:rsidP="009D4BAE">
            <w:pPr>
              <w:rPr>
                <w:rFonts w:eastAsia="Times New Roman"/>
                <w:sz w:val="20"/>
                <w:lang w:eastAsia="en-US"/>
              </w:rPr>
            </w:pPr>
            <w:r w:rsidRPr="00F71EB3">
              <w:rPr>
                <w:rFonts w:eastAsia="Times New Roman"/>
                <w:sz w:val="20"/>
                <w:lang w:eastAsia="en-US"/>
              </w:rPr>
              <w:t>-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B03" w:rsidRPr="00F71EB3" w:rsidRDefault="008D689E" w:rsidP="008D689E">
            <w:pPr>
              <w:rPr>
                <w:rFonts w:eastAsia="Times New Roman"/>
                <w:sz w:val="20"/>
                <w:lang w:eastAsia="en-US"/>
              </w:rPr>
            </w:pPr>
            <w:r>
              <w:rPr>
                <w:rFonts w:eastAsia="Times New Roman"/>
                <w:sz w:val="20"/>
                <w:lang w:eastAsia="en-US"/>
              </w:rPr>
              <w:t>Neerlan</w:t>
            </w:r>
            <w:r w:rsidR="002A0D79" w:rsidRPr="00F71EB3">
              <w:rPr>
                <w:rFonts w:eastAsia="Times New Roman"/>
                <w:sz w:val="20"/>
                <w:lang w:eastAsia="en-US"/>
              </w:rPr>
              <w:t>dés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B03" w:rsidRPr="00F71EB3" w:rsidRDefault="00B42B03" w:rsidP="009D4BAE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F71EB3">
              <w:rPr>
                <w:rFonts w:eastAsia="Times New Roman"/>
                <w:sz w:val="20"/>
                <w:lang w:eastAsia="en-US"/>
              </w:rPr>
              <w:t>23</w:t>
            </w:r>
            <w:r w:rsidR="002A0D79" w:rsidRPr="00F71EB3">
              <w:rPr>
                <w:rFonts w:eastAsia="Times New Roman"/>
                <w:sz w:val="20"/>
                <w:lang w:eastAsia="en-US"/>
              </w:rPr>
              <w:t>.</w:t>
            </w:r>
            <w:r w:rsidRPr="00F71EB3">
              <w:rPr>
                <w:rFonts w:eastAsia="Times New Roman"/>
                <w:sz w:val="20"/>
                <w:lang w:eastAsia="en-US"/>
              </w:rPr>
              <w:t>717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B03" w:rsidRPr="00F71EB3" w:rsidRDefault="00B42B03" w:rsidP="009D4BAE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F71EB3">
              <w:rPr>
                <w:rFonts w:eastAsia="Times New Roman"/>
                <w:sz w:val="20"/>
                <w:lang w:eastAsia="en-US"/>
              </w:rPr>
              <w:t>25</w:t>
            </w:r>
            <w:r w:rsidR="002A0D79" w:rsidRPr="00F71EB3">
              <w:rPr>
                <w:rFonts w:eastAsia="Times New Roman"/>
                <w:sz w:val="20"/>
                <w:lang w:eastAsia="en-US"/>
              </w:rPr>
              <w:t>.</w:t>
            </w:r>
            <w:r w:rsidRPr="00F71EB3">
              <w:rPr>
                <w:rFonts w:eastAsia="Times New Roman"/>
                <w:sz w:val="20"/>
                <w:lang w:eastAsia="en-US"/>
              </w:rPr>
              <w:t>880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B03" w:rsidRPr="00F71EB3" w:rsidRDefault="00B42B03" w:rsidP="009D4BAE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F71EB3">
              <w:rPr>
                <w:rFonts w:eastAsia="Times New Roman"/>
                <w:sz w:val="20"/>
                <w:lang w:eastAsia="en-US"/>
              </w:rPr>
              <w:t>9%</w:t>
            </w:r>
          </w:p>
        </w:tc>
      </w:tr>
      <w:tr w:rsidR="00B42B03" w:rsidRPr="00F71EB3" w:rsidTr="009D4BAE">
        <w:trPr>
          <w:trHeight w:val="55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2B03" w:rsidRPr="00F71EB3" w:rsidRDefault="00B42B03" w:rsidP="009D4BAE">
            <w:pPr>
              <w:rPr>
                <w:rFonts w:eastAsia="Times New Roman"/>
                <w:sz w:val="20"/>
                <w:lang w:eastAsia="en-US"/>
              </w:rPr>
            </w:pPr>
            <w:r w:rsidRPr="00F71EB3">
              <w:rPr>
                <w:rFonts w:eastAsia="Times New Roman"/>
                <w:sz w:val="20"/>
                <w:lang w:eastAsia="en-US"/>
              </w:rPr>
              <w:t>NO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2B03" w:rsidRPr="00F71EB3" w:rsidRDefault="00B42B03" w:rsidP="009D4BAE">
            <w:pPr>
              <w:rPr>
                <w:rFonts w:eastAsia="Times New Roman"/>
                <w:sz w:val="20"/>
                <w:lang w:eastAsia="en-US"/>
              </w:rPr>
            </w:pPr>
            <w:r w:rsidRPr="00F71EB3">
              <w:rPr>
                <w:rFonts w:eastAsia="Times New Roman"/>
                <w:sz w:val="20"/>
                <w:lang w:eastAsia="en-US"/>
              </w:rPr>
              <w:t>-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B03" w:rsidRPr="00F71EB3" w:rsidRDefault="002A0D79" w:rsidP="002A0D79">
            <w:pPr>
              <w:rPr>
                <w:rFonts w:eastAsia="Times New Roman"/>
                <w:sz w:val="20"/>
                <w:lang w:eastAsia="en-US"/>
              </w:rPr>
            </w:pPr>
            <w:r w:rsidRPr="00F71EB3">
              <w:rPr>
                <w:rFonts w:eastAsia="Times New Roman"/>
                <w:sz w:val="20"/>
                <w:lang w:eastAsia="en-US"/>
              </w:rPr>
              <w:t>Noruego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B03" w:rsidRPr="00F71EB3" w:rsidRDefault="00B42B03" w:rsidP="009D4BAE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F71EB3">
              <w:rPr>
                <w:rFonts w:eastAsia="Times New Roman"/>
                <w:sz w:val="20"/>
                <w:lang w:eastAsia="en-US"/>
              </w:rPr>
              <w:t>30</w:t>
            </w:r>
            <w:r w:rsidR="002A0D79" w:rsidRPr="00F71EB3">
              <w:rPr>
                <w:rFonts w:eastAsia="Times New Roman"/>
                <w:sz w:val="20"/>
                <w:lang w:eastAsia="en-US"/>
              </w:rPr>
              <w:t>.</w:t>
            </w:r>
            <w:r w:rsidRPr="00F71EB3">
              <w:rPr>
                <w:rFonts w:eastAsia="Times New Roman"/>
                <w:sz w:val="20"/>
                <w:lang w:eastAsia="en-US"/>
              </w:rPr>
              <w:t>225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B03" w:rsidRPr="00F71EB3" w:rsidRDefault="00B42B03" w:rsidP="009D4BAE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F71EB3">
              <w:rPr>
                <w:rFonts w:eastAsia="Times New Roman"/>
                <w:sz w:val="20"/>
                <w:lang w:eastAsia="en-US"/>
              </w:rPr>
              <w:t>32</w:t>
            </w:r>
            <w:r w:rsidR="002A0D79" w:rsidRPr="00F71EB3">
              <w:rPr>
                <w:rFonts w:eastAsia="Times New Roman"/>
                <w:sz w:val="20"/>
                <w:lang w:eastAsia="en-US"/>
              </w:rPr>
              <w:t>.</w:t>
            </w:r>
            <w:r w:rsidRPr="00F71EB3">
              <w:rPr>
                <w:rFonts w:eastAsia="Times New Roman"/>
                <w:sz w:val="20"/>
                <w:lang w:eastAsia="en-US"/>
              </w:rPr>
              <w:t>193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B03" w:rsidRPr="00F71EB3" w:rsidRDefault="00B42B03" w:rsidP="009D4BAE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F71EB3">
              <w:rPr>
                <w:rFonts w:eastAsia="Times New Roman"/>
                <w:sz w:val="20"/>
                <w:lang w:eastAsia="en-US"/>
              </w:rPr>
              <w:t>7%</w:t>
            </w:r>
          </w:p>
        </w:tc>
      </w:tr>
      <w:tr w:rsidR="00B42B03" w:rsidRPr="00F71EB3" w:rsidTr="009D4BAE">
        <w:trPr>
          <w:trHeight w:val="55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2B03" w:rsidRPr="00F71EB3" w:rsidRDefault="00B42B03" w:rsidP="009D4BAE">
            <w:pPr>
              <w:rPr>
                <w:rFonts w:eastAsia="Times New Roman"/>
                <w:sz w:val="20"/>
                <w:lang w:eastAsia="en-US"/>
              </w:rPr>
            </w:pPr>
            <w:r w:rsidRPr="00F71EB3">
              <w:rPr>
                <w:rFonts w:eastAsia="Times New Roman"/>
                <w:sz w:val="20"/>
                <w:lang w:eastAsia="en-US"/>
              </w:rPr>
              <w:t>PT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2B03" w:rsidRPr="00F71EB3" w:rsidRDefault="00B42B03" w:rsidP="009D4BAE">
            <w:pPr>
              <w:rPr>
                <w:rFonts w:eastAsia="Times New Roman"/>
                <w:sz w:val="20"/>
                <w:lang w:eastAsia="en-US"/>
              </w:rPr>
            </w:pPr>
            <w:r w:rsidRPr="00F71EB3">
              <w:rPr>
                <w:rFonts w:eastAsia="Times New Roman"/>
                <w:sz w:val="20"/>
                <w:lang w:eastAsia="en-US"/>
              </w:rPr>
              <w:t>-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B03" w:rsidRPr="00F71EB3" w:rsidRDefault="00B42B03" w:rsidP="002A0D79">
            <w:pPr>
              <w:rPr>
                <w:rFonts w:eastAsia="Times New Roman"/>
                <w:sz w:val="20"/>
                <w:lang w:eastAsia="en-US"/>
              </w:rPr>
            </w:pPr>
            <w:r w:rsidRPr="00F71EB3">
              <w:rPr>
                <w:rFonts w:eastAsia="Times New Roman"/>
                <w:sz w:val="20"/>
                <w:lang w:eastAsia="en-US"/>
              </w:rPr>
              <w:t>Portug</w:t>
            </w:r>
            <w:r w:rsidR="002A0D79" w:rsidRPr="00F71EB3">
              <w:rPr>
                <w:rFonts w:eastAsia="Times New Roman"/>
                <w:sz w:val="20"/>
                <w:lang w:eastAsia="en-US"/>
              </w:rPr>
              <w:t>ués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B03" w:rsidRPr="00F71EB3" w:rsidRDefault="00B42B03" w:rsidP="009D4BAE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F71EB3">
              <w:rPr>
                <w:rFonts w:eastAsia="Times New Roman"/>
                <w:sz w:val="20"/>
                <w:lang w:eastAsia="en-US"/>
              </w:rPr>
              <w:t>27</w:t>
            </w:r>
            <w:r w:rsidR="002A0D79" w:rsidRPr="00F71EB3">
              <w:rPr>
                <w:rFonts w:eastAsia="Times New Roman"/>
                <w:sz w:val="20"/>
                <w:lang w:eastAsia="en-US"/>
              </w:rPr>
              <w:t>.</w:t>
            </w:r>
            <w:r w:rsidRPr="00F71EB3">
              <w:rPr>
                <w:rFonts w:eastAsia="Times New Roman"/>
                <w:sz w:val="20"/>
                <w:lang w:eastAsia="en-US"/>
              </w:rPr>
              <w:t>888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B03" w:rsidRPr="00F71EB3" w:rsidRDefault="00B42B03" w:rsidP="009D4BAE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F71EB3">
              <w:rPr>
                <w:rFonts w:eastAsia="Times New Roman"/>
                <w:sz w:val="20"/>
                <w:lang w:eastAsia="en-US"/>
              </w:rPr>
              <w:t>33</w:t>
            </w:r>
            <w:r w:rsidR="002A0D79" w:rsidRPr="00F71EB3">
              <w:rPr>
                <w:rFonts w:eastAsia="Times New Roman"/>
                <w:sz w:val="20"/>
                <w:lang w:eastAsia="en-US"/>
              </w:rPr>
              <w:t>.</w:t>
            </w:r>
            <w:r w:rsidRPr="00F71EB3">
              <w:rPr>
                <w:rFonts w:eastAsia="Times New Roman"/>
                <w:sz w:val="20"/>
                <w:lang w:eastAsia="en-US"/>
              </w:rPr>
              <w:t>172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B03" w:rsidRPr="00F71EB3" w:rsidRDefault="00B42B03" w:rsidP="009D4BAE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F71EB3">
              <w:rPr>
                <w:rFonts w:eastAsia="Times New Roman"/>
                <w:sz w:val="20"/>
                <w:lang w:eastAsia="en-US"/>
              </w:rPr>
              <w:t>19%</w:t>
            </w:r>
          </w:p>
        </w:tc>
      </w:tr>
      <w:tr w:rsidR="00B42B03" w:rsidRPr="00F71EB3" w:rsidTr="009D4BAE">
        <w:trPr>
          <w:trHeight w:val="55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2B03" w:rsidRPr="00F71EB3" w:rsidRDefault="00B42B03" w:rsidP="009D4BAE">
            <w:pPr>
              <w:rPr>
                <w:rFonts w:eastAsia="Times New Roman"/>
                <w:sz w:val="20"/>
                <w:lang w:eastAsia="en-US"/>
              </w:rPr>
            </w:pPr>
            <w:r w:rsidRPr="00F71EB3">
              <w:rPr>
                <w:rFonts w:eastAsia="Times New Roman"/>
                <w:sz w:val="20"/>
                <w:lang w:eastAsia="en-US"/>
              </w:rPr>
              <w:t>RU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2B03" w:rsidRPr="00F71EB3" w:rsidRDefault="00B42B03" w:rsidP="009D4BAE">
            <w:pPr>
              <w:rPr>
                <w:rFonts w:eastAsia="Times New Roman"/>
                <w:sz w:val="20"/>
                <w:lang w:eastAsia="en-US"/>
              </w:rPr>
            </w:pPr>
            <w:r w:rsidRPr="00F71EB3">
              <w:rPr>
                <w:rFonts w:eastAsia="Times New Roman"/>
                <w:sz w:val="20"/>
                <w:lang w:eastAsia="en-US"/>
              </w:rPr>
              <w:t>-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B03" w:rsidRPr="00F71EB3" w:rsidRDefault="00B42B03" w:rsidP="002A0D79">
            <w:pPr>
              <w:rPr>
                <w:rFonts w:eastAsia="Times New Roman"/>
                <w:sz w:val="20"/>
                <w:lang w:eastAsia="en-US"/>
              </w:rPr>
            </w:pPr>
            <w:r w:rsidRPr="00F71EB3">
              <w:rPr>
                <w:rFonts w:eastAsia="Times New Roman"/>
                <w:sz w:val="20"/>
                <w:lang w:eastAsia="en-US"/>
              </w:rPr>
              <w:t>Rus</w:t>
            </w:r>
            <w:r w:rsidR="002A0D79" w:rsidRPr="00F71EB3">
              <w:rPr>
                <w:rFonts w:eastAsia="Times New Roman"/>
                <w:sz w:val="20"/>
                <w:lang w:eastAsia="en-US"/>
              </w:rPr>
              <w:t>o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B03" w:rsidRPr="00F71EB3" w:rsidRDefault="00B42B03" w:rsidP="009D4BAE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F71EB3">
              <w:rPr>
                <w:rFonts w:eastAsia="Times New Roman"/>
                <w:sz w:val="20"/>
                <w:lang w:eastAsia="en-US"/>
              </w:rPr>
              <w:t>26</w:t>
            </w:r>
            <w:r w:rsidR="002A0D79" w:rsidRPr="00F71EB3">
              <w:rPr>
                <w:rFonts w:eastAsia="Times New Roman"/>
                <w:sz w:val="20"/>
                <w:lang w:eastAsia="en-US"/>
              </w:rPr>
              <w:t>.</w:t>
            </w:r>
            <w:r w:rsidRPr="00F71EB3">
              <w:rPr>
                <w:rFonts w:eastAsia="Times New Roman"/>
                <w:sz w:val="20"/>
                <w:lang w:eastAsia="en-US"/>
              </w:rPr>
              <w:t>884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B03" w:rsidRPr="00F71EB3" w:rsidRDefault="00B42B03" w:rsidP="009D4BAE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F71EB3">
              <w:rPr>
                <w:rFonts w:eastAsia="Times New Roman"/>
                <w:sz w:val="20"/>
                <w:lang w:eastAsia="en-US"/>
              </w:rPr>
              <w:t>32</w:t>
            </w:r>
            <w:r w:rsidR="002A0D79" w:rsidRPr="00F71EB3">
              <w:rPr>
                <w:rFonts w:eastAsia="Times New Roman"/>
                <w:sz w:val="20"/>
                <w:lang w:eastAsia="en-US"/>
              </w:rPr>
              <w:t>.</w:t>
            </w:r>
            <w:r w:rsidRPr="00F71EB3">
              <w:rPr>
                <w:rFonts w:eastAsia="Times New Roman"/>
                <w:sz w:val="20"/>
                <w:lang w:eastAsia="en-US"/>
              </w:rPr>
              <w:t>539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B03" w:rsidRPr="00F71EB3" w:rsidRDefault="00B42B03" w:rsidP="009D4BAE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F71EB3">
              <w:rPr>
                <w:rFonts w:eastAsia="Times New Roman"/>
                <w:sz w:val="20"/>
                <w:lang w:eastAsia="en-US"/>
              </w:rPr>
              <w:t>21%</w:t>
            </w:r>
          </w:p>
        </w:tc>
      </w:tr>
      <w:tr w:rsidR="00B42B03" w:rsidRPr="00F71EB3" w:rsidTr="009D4BAE">
        <w:trPr>
          <w:trHeight w:val="55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2B03" w:rsidRPr="00F71EB3" w:rsidRDefault="00B42B03" w:rsidP="009D4BAE">
            <w:pPr>
              <w:rPr>
                <w:rFonts w:eastAsia="Times New Roman"/>
                <w:sz w:val="20"/>
                <w:lang w:eastAsia="en-US"/>
              </w:rPr>
            </w:pPr>
            <w:r w:rsidRPr="00F71EB3">
              <w:rPr>
                <w:rFonts w:eastAsia="Times New Roman"/>
                <w:sz w:val="20"/>
                <w:lang w:eastAsia="en-US"/>
              </w:rPr>
              <w:t>SR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2B03" w:rsidRPr="00F71EB3" w:rsidRDefault="00B42B03" w:rsidP="009D4BAE">
            <w:pPr>
              <w:rPr>
                <w:rFonts w:eastAsia="Times New Roman"/>
                <w:sz w:val="20"/>
                <w:lang w:eastAsia="en-US"/>
              </w:rPr>
            </w:pPr>
            <w:r w:rsidRPr="00F71EB3">
              <w:rPr>
                <w:rFonts w:eastAsia="Times New Roman"/>
                <w:sz w:val="20"/>
                <w:lang w:eastAsia="en-US"/>
              </w:rPr>
              <w:t>-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B03" w:rsidRPr="00F71EB3" w:rsidRDefault="00B42B03" w:rsidP="002A0D79">
            <w:pPr>
              <w:rPr>
                <w:rFonts w:eastAsia="Times New Roman"/>
                <w:sz w:val="20"/>
                <w:lang w:eastAsia="en-US"/>
              </w:rPr>
            </w:pPr>
            <w:r w:rsidRPr="00F71EB3">
              <w:rPr>
                <w:rFonts w:eastAsia="Times New Roman"/>
                <w:sz w:val="20"/>
                <w:lang w:eastAsia="en-US"/>
              </w:rPr>
              <w:t>Serbi</w:t>
            </w:r>
            <w:r w:rsidR="002A0D79" w:rsidRPr="00F71EB3">
              <w:rPr>
                <w:rFonts w:eastAsia="Times New Roman"/>
                <w:sz w:val="20"/>
                <w:lang w:eastAsia="en-US"/>
              </w:rPr>
              <w:t>o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B03" w:rsidRPr="00F71EB3" w:rsidRDefault="00B42B03" w:rsidP="009D4BAE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F71EB3">
              <w:rPr>
                <w:rFonts w:eastAsia="Times New Roman"/>
                <w:sz w:val="20"/>
                <w:lang w:eastAsia="en-US"/>
              </w:rPr>
              <w:t>8</w:t>
            </w:r>
            <w:r w:rsidR="002A0D79" w:rsidRPr="00F71EB3">
              <w:rPr>
                <w:rFonts w:eastAsia="Times New Roman"/>
                <w:sz w:val="20"/>
                <w:lang w:eastAsia="en-US"/>
              </w:rPr>
              <w:t>.</w:t>
            </w:r>
            <w:r w:rsidRPr="00F71EB3">
              <w:rPr>
                <w:rFonts w:eastAsia="Times New Roman"/>
                <w:sz w:val="20"/>
                <w:lang w:eastAsia="en-US"/>
              </w:rPr>
              <w:t>778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B03" w:rsidRPr="00F71EB3" w:rsidRDefault="00B42B03" w:rsidP="009D4BAE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F71EB3">
              <w:rPr>
                <w:rFonts w:eastAsia="Times New Roman"/>
                <w:sz w:val="20"/>
                <w:lang w:eastAsia="en-US"/>
              </w:rPr>
              <w:t>8</w:t>
            </w:r>
            <w:r w:rsidR="002A0D79" w:rsidRPr="00F71EB3">
              <w:rPr>
                <w:rFonts w:eastAsia="Times New Roman"/>
                <w:sz w:val="20"/>
                <w:lang w:eastAsia="en-US"/>
              </w:rPr>
              <w:t>.</w:t>
            </w:r>
            <w:r w:rsidRPr="00F71EB3">
              <w:rPr>
                <w:rFonts w:eastAsia="Times New Roman"/>
                <w:sz w:val="20"/>
                <w:lang w:eastAsia="en-US"/>
              </w:rPr>
              <w:t>875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B03" w:rsidRPr="00F71EB3" w:rsidRDefault="00B42B03" w:rsidP="009D4BAE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F71EB3">
              <w:rPr>
                <w:rFonts w:eastAsia="Times New Roman"/>
                <w:sz w:val="20"/>
                <w:lang w:eastAsia="en-US"/>
              </w:rPr>
              <w:t>1%</w:t>
            </w:r>
          </w:p>
        </w:tc>
      </w:tr>
      <w:tr w:rsidR="00B42B03" w:rsidRPr="00F71EB3" w:rsidTr="009D4BAE">
        <w:trPr>
          <w:trHeight w:val="55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2B03" w:rsidRPr="00F71EB3" w:rsidRDefault="00B42B03" w:rsidP="009D4BAE">
            <w:pPr>
              <w:rPr>
                <w:rFonts w:eastAsia="Times New Roman"/>
                <w:sz w:val="20"/>
                <w:lang w:eastAsia="en-US"/>
              </w:rPr>
            </w:pPr>
            <w:r w:rsidRPr="00F71EB3">
              <w:rPr>
                <w:rFonts w:eastAsia="Times New Roman"/>
                <w:sz w:val="20"/>
                <w:lang w:eastAsia="en-US"/>
              </w:rPr>
              <w:t>TR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2B03" w:rsidRPr="00F71EB3" w:rsidRDefault="00B42B03" w:rsidP="009D4BAE">
            <w:pPr>
              <w:rPr>
                <w:rFonts w:eastAsia="Times New Roman"/>
                <w:sz w:val="20"/>
                <w:lang w:eastAsia="en-US"/>
              </w:rPr>
            </w:pPr>
            <w:r w:rsidRPr="00F71EB3">
              <w:rPr>
                <w:rFonts w:eastAsia="Times New Roman"/>
                <w:sz w:val="20"/>
                <w:lang w:eastAsia="en-US"/>
              </w:rPr>
              <w:t>-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B03" w:rsidRPr="00F71EB3" w:rsidRDefault="00B42B03" w:rsidP="002A0D79">
            <w:pPr>
              <w:rPr>
                <w:rFonts w:eastAsia="Times New Roman"/>
                <w:sz w:val="20"/>
                <w:lang w:eastAsia="en-US"/>
              </w:rPr>
            </w:pPr>
            <w:r w:rsidRPr="00F71EB3">
              <w:rPr>
                <w:rFonts w:eastAsia="Times New Roman"/>
                <w:sz w:val="20"/>
                <w:lang w:eastAsia="en-US"/>
              </w:rPr>
              <w:t>Tur</w:t>
            </w:r>
            <w:r w:rsidR="002A0D79" w:rsidRPr="00F71EB3">
              <w:rPr>
                <w:rFonts w:eastAsia="Times New Roman"/>
                <w:sz w:val="20"/>
                <w:lang w:eastAsia="en-US"/>
              </w:rPr>
              <w:t>co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B03" w:rsidRPr="00F71EB3" w:rsidRDefault="00B42B03" w:rsidP="009D4BAE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F71EB3">
              <w:rPr>
                <w:rFonts w:eastAsia="Times New Roman"/>
                <w:sz w:val="20"/>
                <w:lang w:eastAsia="en-US"/>
              </w:rPr>
              <w:t>9</w:t>
            </w:r>
            <w:r w:rsidR="002A0D79" w:rsidRPr="00F71EB3">
              <w:rPr>
                <w:rFonts w:eastAsia="Times New Roman"/>
                <w:sz w:val="20"/>
                <w:lang w:eastAsia="en-US"/>
              </w:rPr>
              <w:t>.</w:t>
            </w:r>
            <w:r w:rsidRPr="00F71EB3">
              <w:rPr>
                <w:rFonts w:eastAsia="Times New Roman"/>
                <w:sz w:val="20"/>
                <w:lang w:eastAsia="en-US"/>
              </w:rPr>
              <w:t>498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B03" w:rsidRPr="00F71EB3" w:rsidRDefault="00B42B03" w:rsidP="009D4BAE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F71EB3">
              <w:rPr>
                <w:rFonts w:eastAsia="Times New Roman"/>
                <w:sz w:val="20"/>
                <w:lang w:eastAsia="en-US"/>
              </w:rPr>
              <w:t>9</w:t>
            </w:r>
            <w:r w:rsidR="002A0D79" w:rsidRPr="00F71EB3">
              <w:rPr>
                <w:rFonts w:eastAsia="Times New Roman"/>
                <w:sz w:val="20"/>
                <w:lang w:eastAsia="en-US"/>
              </w:rPr>
              <w:t>.</w:t>
            </w:r>
            <w:r w:rsidRPr="00F71EB3">
              <w:rPr>
                <w:rFonts w:eastAsia="Times New Roman"/>
                <w:sz w:val="20"/>
                <w:lang w:eastAsia="en-US"/>
              </w:rPr>
              <w:t>695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B03" w:rsidRPr="00F71EB3" w:rsidRDefault="00B42B03" w:rsidP="009D4BAE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F71EB3">
              <w:rPr>
                <w:rFonts w:eastAsia="Times New Roman"/>
                <w:sz w:val="20"/>
                <w:lang w:eastAsia="en-US"/>
              </w:rPr>
              <w:t>2%</w:t>
            </w:r>
          </w:p>
        </w:tc>
      </w:tr>
      <w:tr w:rsidR="00B42B03" w:rsidRPr="00F71EB3" w:rsidTr="009D4BAE">
        <w:trPr>
          <w:trHeight w:val="55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2B03" w:rsidRPr="00F71EB3" w:rsidRDefault="00B42B03" w:rsidP="009D4BAE">
            <w:pPr>
              <w:rPr>
                <w:rFonts w:eastAsia="Times New Roman"/>
                <w:sz w:val="20"/>
                <w:lang w:eastAsia="en-US"/>
              </w:rPr>
            </w:pPr>
            <w:r w:rsidRPr="00F71EB3">
              <w:rPr>
                <w:rFonts w:eastAsia="Times New Roman"/>
                <w:sz w:val="20"/>
                <w:lang w:eastAsia="en-US"/>
              </w:rPr>
              <w:t>UK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2B03" w:rsidRPr="00F71EB3" w:rsidRDefault="00B42B03" w:rsidP="009D4BAE">
            <w:pPr>
              <w:rPr>
                <w:rFonts w:eastAsia="Times New Roman"/>
                <w:sz w:val="20"/>
                <w:lang w:eastAsia="en-US"/>
              </w:rPr>
            </w:pPr>
            <w:r w:rsidRPr="00F71EB3">
              <w:rPr>
                <w:rFonts w:eastAsia="Times New Roman"/>
                <w:sz w:val="20"/>
                <w:lang w:eastAsia="en-US"/>
              </w:rPr>
              <w:t>-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B03" w:rsidRPr="00F71EB3" w:rsidRDefault="00B42B03" w:rsidP="00A60E62">
            <w:pPr>
              <w:rPr>
                <w:rFonts w:eastAsia="Times New Roman"/>
                <w:sz w:val="20"/>
                <w:lang w:eastAsia="en-US"/>
              </w:rPr>
            </w:pPr>
            <w:r w:rsidRPr="00F71EB3">
              <w:rPr>
                <w:rFonts w:eastAsia="Times New Roman"/>
                <w:sz w:val="20"/>
                <w:lang w:eastAsia="en-US"/>
              </w:rPr>
              <w:t>U</w:t>
            </w:r>
            <w:r w:rsidR="002A0D79" w:rsidRPr="00F71EB3">
              <w:rPr>
                <w:rFonts w:eastAsia="Times New Roman"/>
                <w:sz w:val="20"/>
                <w:lang w:eastAsia="en-US"/>
              </w:rPr>
              <w:t>crani</w:t>
            </w:r>
            <w:r w:rsidR="00A559EF" w:rsidRPr="00F71EB3">
              <w:rPr>
                <w:rFonts w:eastAsia="Times New Roman"/>
                <w:sz w:val="20"/>
                <w:lang w:eastAsia="en-US"/>
              </w:rPr>
              <w:t>an</w:t>
            </w:r>
            <w:r w:rsidR="002A0D79" w:rsidRPr="00F71EB3">
              <w:rPr>
                <w:rFonts w:eastAsia="Times New Roman"/>
                <w:sz w:val="20"/>
                <w:lang w:eastAsia="en-US"/>
              </w:rPr>
              <w:t>o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B03" w:rsidRPr="00F71EB3" w:rsidRDefault="00B42B03" w:rsidP="009D4BAE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F71EB3">
              <w:rPr>
                <w:rFonts w:eastAsia="Times New Roman"/>
                <w:sz w:val="20"/>
                <w:lang w:eastAsia="en-US"/>
              </w:rPr>
              <w:t>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B03" w:rsidRPr="00F71EB3" w:rsidRDefault="00B42B03" w:rsidP="009D4BAE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F71EB3">
              <w:rPr>
                <w:rFonts w:eastAsia="Times New Roman"/>
                <w:sz w:val="20"/>
                <w:lang w:eastAsia="en-US"/>
              </w:rPr>
              <w:t>8</w:t>
            </w:r>
            <w:r w:rsidR="002A0D79" w:rsidRPr="00F71EB3">
              <w:rPr>
                <w:rFonts w:eastAsia="Times New Roman"/>
                <w:sz w:val="20"/>
                <w:lang w:eastAsia="en-US"/>
              </w:rPr>
              <w:t>.</w:t>
            </w:r>
            <w:r w:rsidRPr="00F71EB3">
              <w:rPr>
                <w:rFonts w:eastAsia="Times New Roman"/>
                <w:sz w:val="20"/>
                <w:lang w:eastAsia="en-US"/>
              </w:rPr>
              <w:t>509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B03" w:rsidRPr="00F71EB3" w:rsidRDefault="00B42B03" w:rsidP="009D4BAE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F71EB3">
              <w:rPr>
                <w:rFonts w:eastAsia="Times New Roman"/>
                <w:sz w:val="20"/>
                <w:lang w:eastAsia="en-US"/>
              </w:rPr>
              <w:t>100%</w:t>
            </w:r>
          </w:p>
        </w:tc>
      </w:tr>
      <w:tr w:rsidR="00B42B03" w:rsidRPr="00F71EB3" w:rsidTr="009D4BAE">
        <w:trPr>
          <w:trHeight w:val="52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2B03" w:rsidRPr="00F71EB3" w:rsidRDefault="00B42B03" w:rsidP="009D4BAE">
            <w:pPr>
              <w:rPr>
                <w:rFonts w:eastAsia="Times New Roman"/>
                <w:sz w:val="20"/>
                <w:lang w:eastAsia="en-US"/>
              </w:rPr>
            </w:pPr>
            <w:r w:rsidRPr="00F71EB3">
              <w:rPr>
                <w:rFonts w:eastAsia="Times New Roman"/>
                <w:sz w:val="20"/>
                <w:lang w:eastAsia="en-US"/>
              </w:rPr>
              <w:t>ZH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2B03" w:rsidRPr="00F71EB3" w:rsidRDefault="00B42B03" w:rsidP="009D4BAE">
            <w:pPr>
              <w:rPr>
                <w:rFonts w:eastAsia="Times New Roman"/>
                <w:sz w:val="20"/>
                <w:lang w:eastAsia="en-US"/>
              </w:rPr>
            </w:pPr>
            <w:r w:rsidRPr="00F71EB3">
              <w:rPr>
                <w:rFonts w:eastAsia="Times New Roman"/>
                <w:sz w:val="20"/>
                <w:lang w:eastAsia="en-US"/>
              </w:rPr>
              <w:t>-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B03" w:rsidRPr="00F71EB3" w:rsidRDefault="002A0D79" w:rsidP="009D4BAE">
            <w:pPr>
              <w:rPr>
                <w:rFonts w:eastAsia="Times New Roman"/>
                <w:sz w:val="20"/>
                <w:lang w:eastAsia="en-US"/>
              </w:rPr>
            </w:pPr>
            <w:r w:rsidRPr="00F71EB3">
              <w:rPr>
                <w:rFonts w:eastAsia="Times New Roman"/>
                <w:sz w:val="20"/>
                <w:lang w:eastAsia="en-US"/>
              </w:rPr>
              <w:t>Chino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B03" w:rsidRPr="00F71EB3" w:rsidRDefault="00B42B03" w:rsidP="009D4BAE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F71EB3">
              <w:rPr>
                <w:rFonts w:eastAsia="Times New Roman"/>
                <w:sz w:val="20"/>
                <w:lang w:eastAsia="en-US"/>
              </w:rPr>
              <w:t>19</w:t>
            </w:r>
            <w:r w:rsidR="002A0D79" w:rsidRPr="00F71EB3">
              <w:rPr>
                <w:rFonts w:eastAsia="Times New Roman"/>
                <w:sz w:val="20"/>
                <w:lang w:eastAsia="en-US"/>
              </w:rPr>
              <w:t>.</w:t>
            </w:r>
            <w:r w:rsidRPr="00F71EB3">
              <w:rPr>
                <w:rFonts w:eastAsia="Times New Roman"/>
                <w:sz w:val="20"/>
                <w:lang w:eastAsia="en-US"/>
              </w:rPr>
              <w:t>062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B03" w:rsidRPr="00F71EB3" w:rsidRDefault="00B42B03" w:rsidP="009D4BAE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F71EB3">
              <w:rPr>
                <w:rFonts w:eastAsia="Times New Roman"/>
                <w:sz w:val="20"/>
                <w:lang w:eastAsia="en-US"/>
              </w:rPr>
              <w:t>33</w:t>
            </w:r>
            <w:r w:rsidR="002A0D79" w:rsidRPr="00F71EB3">
              <w:rPr>
                <w:rFonts w:eastAsia="Times New Roman"/>
                <w:sz w:val="20"/>
                <w:lang w:eastAsia="en-US"/>
              </w:rPr>
              <w:t>.</w:t>
            </w:r>
            <w:r w:rsidRPr="00F71EB3">
              <w:rPr>
                <w:rFonts w:eastAsia="Times New Roman"/>
                <w:sz w:val="20"/>
                <w:lang w:eastAsia="en-US"/>
              </w:rPr>
              <w:t>698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B03" w:rsidRPr="00F71EB3" w:rsidRDefault="00B42B03" w:rsidP="009D4BAE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F71EB3">
              <w:rPr>
                <w:rFonts w:eastAsia="Times New Roman"/>
                <w:sz w:val="20"/>
                <w:lang w:eastAsia="en-US"/>
              </w:rPr>
              <w:t>77%</w:t>
            </w:r>
          </w:p>
        </w:tc>
      </w:tr>
      <w:tr w:rsidR="00B42B03" w:rsidRPr="00F71EB3" w:rsidTr="009D4BAE">
        <w:trPr>
          <w:trHeight w:val="495"/>
        </w:trPr>
        <w:tc>
          <w:tcPr>
            <w:tcW w:w="2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B03" w:rsidRPr="00F71EB3" w:rsidRDefault="00B42B03" w:rsidP="009D4BAE">
            <w:pPr>
              <w:rPr>
                <w:rFonts w:eastAsia="Times New Roman"/>
                <w:sz w:val="20"/>
                <w:lang w:eastAsia="en-US"/>
              </w:rPr>
            </w:pPr>
            <w:r w:rsidRPr="00F71EB3">
              <w:rPr>
                <w:rFonts w:eastAsia="Times New Roman"/>
                <w:sz w:val="20"/>
                <w:lang w:eastAsia="en-US"/>
              </w:rPr>
              <w:t>TOTAL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B03" w:rsidRPr="00F71EB3" w:rsidRDefault="00B42B03" w:rsidP="009D4BAE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F71EB3">
              <w:rPr>
                <w:rFonts w:eastAsia="Times New Roman"/>
                <w:sz w:val="20"/>
                <w:lang w:eastAsia="en-US"/>
              </w:rPr>
              <w:t>410</w:t>
            </w:r>
            <w:r w:rsidR="002A0D79" w:rsidRPr="00F71EB3">
              <w:rPr>
                <w:rFonts w:eastAsia="Times New Roman"/>
                <w:sz w:val="20"/>
                <w:lang w:eastAsia="en-US"/>
              </w:rPr>
              <w:t>.</w:t>
            </w:r>
            <w:r w:rsidRPr="00F71EB3">
              <w:rPr>
                <w:rFonts w:eastAsia="Times New Roman"/>
                <w:sz w:val="20"/>
                <w:lang w:eastAsia="en-US"/>
              </w:rPr>
              <w:t>631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B03" w:rsidRPr="00F71EB3" w:rsidRDefault="00B42B03" w:rsidP="009D4BAE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F71EB3">
              <w:rPr>
                <w:rFonts w:eastAsia="Times New Roman"/>
                <w:sz w:val="20"/>
                <w:lang w:eastAsia="en-US"/>
              </w:rPr>
              <w:t>483</w:t>
            </w:r>
            <w:r w:rsidR="002A0D79" w:rsidRPr="00F71EB3">
              <w:rPr>
                <w:rFonts w:eastAsia="Times New Roman"/>
                <w:sz w:val="20"/>
                <w:lang w:eastAsia="en-US"/>
              </w:rPr>
              <w:t>.</w:t>
            </w:r>
            <w:r w:rsidRPr="00F71EB3">
              <w:rPr>
                <w:rFonts w:eastAsia="Times New Roman"/>
                <w:sz w:val="20"/>
                <w:lang w:eastAsia="en-US"/>
              </w:rPr>
              <w:t>034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B03" w:rsidRPr="00F71EB3" w:rsidRDefault="00B42B03" w:rsidP="009D4BAE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F71EB3">
              <w:rPr>
                <w:rFonts w:eastAsia="Times New Roman"/>
                <w:sz w:val="20"/>
                <w:lang w:eastAsia="en-US"/>
              </w:rPr>
              <w:t>18%</w:t>
            </w:r>
          </w:p>
        </w:tc>
      </w:tr>
    </w:tbl>
    <w:p w:rsidR="00B42B03" w:rsidRPr="00F71EB3" w:rsidRDefault="00B42B03" w:rsidP="00B42B03"/>
    <w:p w:rsidR="00B42B03" w:rsidRPr="00F71EB3" w:rsidRDefault="00B42B03" w:rsidP="00B42B03"/>
    <w:p w:rsidR="00B42B03" w:rsidRPr="00F71EB3" w:rsidRDefault="00B42B03" w:rsidP="00B42B03"/>
    <w:p w:rsidR="00B42B03" w:rsidRPr="00F71EB3" w:rsidRDefault="00B42B03" w:rsidP="00B42B03">
      <w:pPr>
        <w:ind w:left="5533"/>
        <w:rPr>
          <w:i/>
        </w:rPr>
      </w:pPr>
      <w:r w:rsidRPr="00F71EB3">
        <w:t>[</w:t>
      </w:r>
      <w:r w:rsidR="002A0D79" w:rsidRPr="00F71EB3">
        <w:t xml:space="preserve">Sigue el </w:t>
      </w:r>
      <w:r w:rsidRPr="00F71EB3">
        <w:t>An</w:t>
      </w:r>
      <w:r w:rsidR="002A0D79" w:rsidRPr="00F71EB3">
        <w:t xml:space="preserve">exo </w:t>
      </w:r>
      <w:r w:rsidRPr="00F71EB3">
        <w:t>II]</w:t>
      </w:r>
    </w:p>
    <w:p w:rsidR="00B42B03" w:rsidRPr="00F71EB3" w:rsidRDefault="00B42B03" w:rsidP="00B42B03">
      <w:pPr>
        <w:sectPr w:rsidR="00B42B03" w:rsidRPr="00F71EB3" w:rsidSect="009D4BAE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endnotePr>
            <w:numFmt w:val="decimal"/>
          </w:endnotePr>
          <w:pgSz w:w="11907" w:h="16840" w:code="9"/>
          <w:pgMar w:top="567" w:right="1134" w:bottom="1078" w:left="1418" w:header="510" w:footer="1021" w:gutter="0"/>
          <w:cols w:space="720"/>
          <w:titlePg/>
          <w:docGrid w:linePitch="299"/>
        </w:sectPr>
      </w:pPr>
    </w:p>
    <w:p w:rsidR="00B42B03" w:rsidRPr="00F71EB3" w:rsidRDefault="00B42B03" w:rsidP="00B42B03">
      <w:pPr>
        <w:sectPr w:rsidR="00B42B03" w:rsidRPr="00F71EB3" w:rsidSect="009D4BAE">
          <w:headerReference w:type="first" r:id="rId15"/>
          <w:endnotePr>
            <w:numFmt w:val="decimal"/>
          </w:endnotePr>
          <w:pgSz w:w="11907" w:h="16840" w:code="9"/>
          <w:pgMar w:top="567" w:right="1134" w:bottom="1078" w:left="1418" w:header="510" w:footer="1021" w:gutter="0"/>
          <w:cols w:space="720"/>
          <w:titlePg/>
          <w:docGrid w:linePitch="299"/>
        </w:sectPr>
      </w:pPr>
    </w:p>
    <w:p w:rsidR="00B42B03" w:rsidRPr="00F71EB3" w:rsidRDefault="00B42B03" w:rsidP="00B42B03">
      <w:pPr>
        <w:ind w:left="5533"/>
      </w:pPr>
    </w:p>
    <w:p w:rsidR="00B42B03" w:rsidRPr="00F71EB3" w:rsidRDefault="00B42B03" w:rsidP="00B42B03">
      <w:pPr>
        <w:ind w:left="5533"/>
      </w:pPr>
    </w:p>
    <w:p w:rsidR="00B42B03" w:rsidRPr="00F71EB3" w:rsidRDefault="00295BC7" w:rsidP="00E213A6">
      <w:pPr>
        <w:jc w:val="center"/>
      </w:pPr>
      <w:r w:rsidRPr="00295BC7">
        <w:rPr>
          <w:noProof/>
          <w:lang w:val="en-US" w:eastAsia="en-US"/>
        </w:rPr>
        <w:drawing>
          <wp:inline distT="0" distB="0" distL="0" distR="0" wp14:anchorId="329FC724" wp14:editId="36A77A8F">
            <wp:extent cx="7378576" cy="5932592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380393" cy="5934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2B03" w:rsidRDefault="00B42B03" w:rsidP="00B42B03">
      <w:pPr>
        <w:ind w:left="5533"/>
      </w:pPr>
    </w:p>
    <w:p w:rsidR="00E213A6" w:rsidRPr="00F71EB3" w:rsidRDefault="00E213A6" w:rsidP="00B42B03">
      <w:pPr>
        <w:ind w:left="5533"/>
      </w:pPr>
    </w:p>
    <w:p w:rsidR="00B42B03" w:rsidRPr="00F71EB3" w:rsidRDefault="00B42B03" w:rsidP="00B42B03">
      <w:pPr>
        <w:ind w:left="5533"/>
        <w:rPr>
          <w:i/>
        </w:rPr>
      </w:pPr>
      <w:r w:rsidRPr="00F71EB3">
        <w:t>[</w:t>
      </w:r>
      <w:r w:rsidR="002A0D79" w:rsidRPr="00F71EB3">
        <w:t>Sigue el Anexo</w:t>
      </w:r>
      <w:r w:rsidRPr="00F71EB3">
        <w:t xml:space="preserve"> III]</w:t>
      </w:r>
    </w:p>
    <w:p w:rsidR="00B42B03" w:rsidRPr="00F71EB3" w:rsidRDefault="00B42B03" w:rsidP="00B42B03"/>
    <w:p w:rsidR="00B42B03" w:rsidRPr="00F71EB3" w:rsidRDefault="00B42B03" w:rsidP="00B42B03">
      <w:pPr>
        <w:sectPr w:rsidR="00B42B03" w:rsidRPr="00F71EB3" w:rsidSect="009D4BAE">
          <w:headerReference w:type="default" r:id="rId17"/>
          <w:endnotePr>
            <w:numFmt w:val="decimal"/>
          </w:endnotePr>
          <w:type w:val="continuous"/>
          <w:pgSz w:w="11907" w:h="16840" w:code="9"/>
          <w:pgMar w:top="567" w:right="1134" w:bottom="1077" w:left="1418" w:header="510" w:footer="1021" w:gutter="0"/>
          <w:cols w:space="720"/>
          <w:titlePg/>
          <w:docGrid w:linePitch="299"/>
        </w:sectPr>
      </w:pPr>
    </w:p>
    <w:p w:rsidR="00B42B03" w:rsidRPr="00F71EB3" w:rsidRDefault="00B42B03" w:rsidP="00B42B03">
      <w:pPr>
        <w:ind w:left="567" w:hanging="567"/>
      </w:pPr>
    </w:p>
    <w:p w:rsidR="00B42B03" w:rsidRPr="00F71EB3" w:rsidRDefault="00B42B03" w:rsidP="00B42B03"/>
    <w:p w:rsidR="00B42B03" w:rsidRPr="00F71EB3" w:rsidRDefault="00295BC7" w:rsidP="00FC6577">
      <w:pPr>
        <w:jc w:val="center"/>
      </w:pPr>
      <w:r w:rsidRPr="00295BC7">
        <w:rPr>
          <w:noProof/>
          <w:lang w:val="en-US" w:eastAsia="en-US"/>
        </w:rPr>
        <w:drawing>
          <wp:inline distT="0" distB="0" distL="0" distR="0" wp14:anchorId="01E3109A" wp14:editId="7F009492">
            <wp:extent cx="7304317" cy="5961036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324610" cy="5977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2B03" w:rsidRPr="00F71EB3" w:rsidRDefault="00B42B03" w:rsidP="00B42B03"/>
    <w:p w:rsidR="00B42B03" w:rsidRPr="00F71EB3" w:rsidRDefault="00B42B03" w:rsidP="001806C7">
      <w:pPr>
        <w:ind w:left="5533"/>
        <w:jc w:val="both"/>
      </w:pPr>
    </w:p>
    <w:p w:rsidR="00B42B03" w:rsidRPr="00F71EB3" w:rsidRDefault="00B42B03" w:rsidP="00B42B03">
      <w:pPr>
        <w:ind w:left="5533"/>
      </w:pPr>
      <w:r w:rsidRPr="00F71EB3">
        <w:t>[</w:t>
      </w:r>
      <w:r w:rsidR="002A0D79" w:rsidRPr="00F71EB3">
        <w:t xml:space="preserve">Sigue el Anexo </w:t>
      </w:r>
      <w:r w:rsidRPr="00F71EB3">
        <w:t>IV]</w:t>
      </w:r>
    </w:p>
    <w:p w:rsidR="00B42B03" w:rsidRPr="00F71EB3" w:rsidRDefault="00B42B03" w:rsidP="00B42B03"/>
    <w:p w:rsidR="00B42B03" w:rsidRPr="00F71EB3" w:rsidRDefault="00B42B03" w:rsidP="00B42B03">
      <w:pPr>
        <w:sectPr w:rsidR="00B42B03" w:rsidRPr="00F71EB3" w:rsidSect="00295BC7">
          <w:headerReference w:type="first" r:id="rId19"/>
          <w:endnotePr>
            <w:numFmt w:val="decimal"/>
          </w:endnotePr>
          <w:pgSz w:w="11907" w:h="16840" w:code="9"/>
          <w:pgMar w:top="567" w:right="1134" w:bottom="1077" w:left="1276" w:header="510" w:footer="1021" w:gutter="0"/>
          <w:cols w:space="720"/>
          <w:titlePg/>
          <w:docGrid w:linePitch="299"/>
        </w:sectPr>
      </w:pPr>
    </w:p>
    <w:p w:rsidR="00B42B03" w:rsidRPr="00F71EB3" w:rsidRDefault="00B42B03" w:rsidP="00B42B03"/>
    <w:p w:rsidR="00B42B03" w:rsidRPr="00F71EB3" w:rsidRDefault="00B42B03" w:rsidP="00B42B03"/>
    <w:p w:rsidR="00B42B03" w:rsidRPr="00F71EB3" w:rsidRDefault="00B42B03" w:rsidP="00B42B03"/>
    <w:p w:rsidR="00B42B03" w:rsidRPr="00F71EB3" w:rsidRDefault="00B42B03" w:rsidP="00B42B03">
      <w:pPr>
        <w:jc w:val="center"/>
        <w:rPr>
          <w:b/>
          <w:sz w:val="28"/>
          <w:szCs w:val="28"/>
        </w:rPr>
      </w:pPr>
      <w:r w:rsidRPr="00F71EB3">
        <w:rPr>
          <w:b/>
          <w:sz w:val="28"/>
          <w:szCs w:val="28"/>
        </w:rPr>
        <w:t>E</w:t>
      </w:r>
      <w:r w:rsidR="002A0D79" w:rsidRPr="00F71EB3">
        <w:rPr>
          <w:b/>
          <w:sz w:val="28"/>
          <w:szCs w:val="28"/>
        </w:rPr>
        <w:t>jemplos de té</w:t>
      </w:r>
      <w:r w:rsidR="009D4BAE" w:rsidRPr="00F71EB3">
        <w:rPr>
          <w:b/>
          <w:sz w:val="28"/>
          <w:szCs w:val="28"/>
        </w:rPr>
        <w:t>rminos rechazados por divers</w:t>
      </w:r>
      <w:r w:rsidR="002A0D79" w:rsidRPr="00F71EB3">
        <w:rPr>
          <w:b/>
          <w:sz w:val="28"/>
          <w:szCs w:val="28"/>
        </w:rPr>
        <w:t>as razones</w:t>
      </w:r>
      <w:r w:rsidR="009D4BAE" w:rsidRPr="00F71EB3">
        <w:rPr>
          <w:b/>
          <w:sz w:val="28"/>
          <w:szCs w:val="28"/>
        </w:rPr>
        <w:t xml:space="preserve"> </w:t>
      </w:r>
    </w:p>
    <w:p w:rsidR="00B42B03" w:rsidRPr="00F71EB3" w:rsidRDefault="002A0D79" w:rsidP="00B42B03">
      <w:pPr>
        <w:jc w:val="center"/>
        <w:rPr>
          <w:b/>
          <w:sz w:val="28"/>
          <w:szCs w:val="28"/>
        </w:rPr>
      </w:pPr>
      <w:r w:rsidRPr="00F71EB3">
        <w:rPr>
          <w:b/>
          <w:sz w:val="28"/>
          <w:szCs w:val="28"/>
        </w:rPr>
        <w:t xml:space="preserve">por algunas de las </w:t>
      </w:r>
      <w:r w:rsidR="009D4BAE" w:rsidRPr="00F71EB3">
        <w:rPr>
          <w:b/>
          <w:sz w:val="28"/>
          <w:szCs w:val="28"/>
        </w:rPr>
        <w:t>Parte</w:t>
      </w:r>
      <w:r w:rsidRPr="00F71EB3">
        <w:rPr>
          <w:b/>
          <w:sz w:val="28"/>
          <w:szCs w:val="28"/>
        </w:rPr>
        <w:t>s</w:t>
      </w:r>
      <w:r w:rsidR="009D4BAE" w:rsidRPr="00F71EB3">
        <w:rPr>
          <w:b/>
          <w:sz w:val="28"/>
          <w:szCs w:val="28"/>
        </w:rPr>
        <w:t xml:space="preserve"> Contratante</w:t>
      </w:r>
      <w:r w:rsidRPr="00F71EB3">
        <w:rPr>
          <w:b/>
          <w:sz w:val="28"/>
          <w:szCs w:val="28"/>
        </w:rPr>
        <w:t>s</w:t>
      </w:r>
      <w:r w:rsidR="009D4BAE" w:rsidRPr="00F71EB3">
        <w:rPr>
          <w:b/>
          <w:sz w:val="28"/>
          <w:szCs w:val="28"/>
        </w:rPr>
        <w:t xml:space="preserve"> designada</w:t>
      </w:r>
      <w:r w:rsidRPr="00F71EB3">
        <w:rPr>
          <w:b/>
          <w:sz w:val="28"/>
          <w:szCs w:val="28"/>
        </w:rPr>
        <w:t>s</w:t>
      </w:r>
      <w:r w:rsidR="00A60E62" w:rsidRPr="00F71EB3">
        <w:rPr>
          <w:b/>
          <w:sz w:val="28"/>
          <w:szCs w:val="28"/>
        </w:rPr>
        <w:t xml:space="preserve"> con mayor frecuencia</w:t>
      </w:r>
    </w:p>
    <w:p w:rsidR="00B42B03" w:rsidRPr="00F71EB3" w:rsidRDefault="00B42B03" w:rsidP="00B42B03"/>
    <w:p w:rsidR="00B42B03" w:rsidRPr="00F71EB3" w:rsidRDefault="00B42B03" w:rsidP="00B42B03"/>
    <w:p w:rsidR="00B42B03" w:rsidRPr="00F71EB3" w:rsidRDefault="00B42B03" w:rsidP="00B42B03"/>
    <w:p w:rsidR="00B42B03" w:rsidRPr="00F71EB3" w:rsidRDefault="00B42B03" w:rsidP="00B42B03">
      <w:r w:rsidRPr="00F71EB3">
        <w:rPr>
          <w:noProof/>
          <w:lang w:val="en-US" w:eastAsia="en-US"/>
        </w:rPr>
        <w:drawing>
          <wp:inline distT="0" distB="0" distL="0" distR="0" wp14:anchorId="4D882325" wp14:editId="7AB9274B">
            <wp:extent cx="5936615" cy="2245360"/>
            <wp:effectExtent l="0" t="0" r="6985" b="254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224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2B03" w:rsidRPr="00F71EB3" w:rsidRDefault="00B42B03" w:rsidP="00B42B03"/>
    <w:p w:rsidR="00B42B03" w:rsidRPr="00F71EB3" w:rsidRDefault="00B42B03" w:rsidP="00B42B03">
      <w:r w:rsidRPr="00F71EB3">
        <w:rPr>
          <w:noProof/>
          <w:lang w:val="en-US" w:eastAsia="en-US"/>
        </w:rPr>
        <w:drawing>
          <wp:inline distT="0" distB="0" distL="0" distR="0" wp14:anchorId="2C2554D2" wp14:editId="2F33B769">
            <wp:extent cx="5943600" cy="2258695"/>
            <wp:effectExtent l="0" t="0" r="0" b="825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58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2B03" w:rsidRPr="00F71EB3" w:rsidRDefault="00B42B03" w:rsidP="00B42B03"/>
    <w:p w:rsidR="00B42B03" w:rsidRPr="00F71EB3" w:rsidRDefault="00B42B03" w:rsidP="00B42B03"/>
    <w:p w:rsidR="00B42B03" w:rsidRPr="00F71EB3" w:rsidRDefault="00B42B03" w:rsidP="00B42B03">
      <w:r w:rsidRPr="00F71EB3">
        <w:rPr>
          <w:noProof/>
          <w:lang w:val="en-US" w:eastAsia="en-US"/>
        </w:rPr>
        <w:drawing>
          <wp:inline distT="0" distB="0" distL="0" distR="0" wp14:anchorId="6E0FF6AE" wp14:editId="7577729C">
            <wp:extent cx="5943600" cy="1992630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9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2B03" w:rsidRPr="00F71EB3" w:rsidRDefault="00B42B03" w:rsidP="00477B81">
      <w:pPr>
        <w:pStyle w:val="Endofdocument-Annex"/>
      </w:pPr>
      <w:r w:rsidRPr="00F71EB3">
        <w:t>[</w:t>
      </w:r>
      <w:r w:rsidR="009D4BAE" w:rsidRPr="00F71EB3">
        <w:t>Sigue el Anexo V</w:t>
      </w:r>
      <w:r w:rsidRPr="00F71EB3">
        <w:t>]</w:t>
      </w:r>
    </w:p>
    <w:p w:rsidR="00B42B03" w:rsidRPr="00F71EB3" w:rsidRDefault="00B42B03" w:rsidP="00B42B03"/>
    <w:p w:rsidR="00B42B03" w:rsidRPr="00F71EB3" w:rsidRDefault="00B42B03" w:rsidP="00B42B03"/>
    <w:p w:rsidR="00B42B03" w:rsidRPr="00F71EB3" w:rsidRDefault="008D689E" w:rsidP="00B42B03">
      <w:r w:rsidRPr="008D689E">
        <w:rPr>
          <w:noProof/>
          <w:lang w:val="en-US" w:eastAsia="en-US"/>
        </w:rPr>
        <w:lastRenderedPageBreak/>
        <w:drawing>
          <wp:inline distT="0" distB="0" distL="0" distR="0" wp14:anchorId="4A58F299" wp14:editId="515FC726">
            <wp:extent cx="7158273" cy="5714992"/>
            <wp:effectExtent l="0" t="2223" r="2858" b="2857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169962" cy="5724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2B03" w:rsidRPr="00F71EB3" w:rsidRDefault="00B42B03" w:rsidP="00B42B03"/>
    <w:p w:rsidR="00B42B03" w:rsidRPr="00F71EB3" w:rsidRDefault="00B42B03" w:rsidP="00B42B03"/>
    <w:p w:rsidR="00B42B03" w:rsidRPr="00F71EB3" w:rsidRDefault="00B42B03" w:rsidP="00B42B03"/>
    <w:p w:rsidR="00152CEA" w:rsidRPr="00F71EB3" w:rsidRDefault="00B42B03" w:rsidP="00B42B03">
      <w:pPr>
        <w:ind w:left="5533"/>
      </w:pPr>
      <w:r w:rsidRPr="00F71EB3">
        <w:t>[</w:t>
      </w:r>
      <w:r w:rsidR="009D4BAE" w:rsidRPr="00F71EB3">
        <w:t>Fin del Anexo V y del documento]</w:t>
      </w:r>
    </w:p>
    <w:sectPr w:rsidR="00152CEA" w:rsidRPr="00F71EB3" w:rsidSect="00B42B03">
      <w:headerReference w:type="default" r:id="rId24"/>
      <w:headerReference w:type="first" r:id="rId25"/>
      <w:endnotePr>
        <w:numFmt w:val="decimal"/>
      </w:endnotePr>
      <w:pgSz w:w="11907" w:h="16840" w:code="9"/>
      <w:pgMar w:top="567" w:right="1134" w:bottom="1077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EA2" w:rsidRDefault="00017EA2">
      <w:r>
        <w:separator/>
      </w:r>
    </w:p>
  </w:endnote>
  <w:endnote w:type="continuationSeparator" w:id="0">
    <w:p w:rsidR="00017EA2" w:rsidRPr="009D30E6" w:rsidRDefault="00017EA2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017EA2" w:rsidRPr="007E663E" w:rsidRDefault="00017EA2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017EA2" w:rsidRPr="007E663E" w:rsidRDefault="00017EA2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724" w:rsidRDefault="00060724" w:rsidP="009D4BA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F21B9">
      <w:rPr>
        <w:rStyle w:val="PageNumber"/>
        <w:noProof/>
      </w:rPr>
      <w:t>1</w:t>
    </w:r>
    <w:r>
      <w:rPr>
        <w:rStyle w:val="PageNumber"/>
      </w:rPr>
      <w:fldChar w:fldCharType="end"/>
    </w:r>
  </w:p>
  <w:p w:rsidR="00060724" w:rsidRDefault="00060724" w:rsidP="009D4BA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724" w:rsidRDefault="00060724" w:rsidP="009D4BA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EA2" w:rsidRDefault="00017EA2">
      <w:r>
        <w:separator/>
      </w:r>
    </w:p>
  </w:footnote>
  <w:footnote w:type="continuationSeparator" w:id="0">
    <w:p w:rsidR="00017EA2" w:rsidRPr="009D30E6" w:rsidRDefault="00017EA2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017EA2" w:rsidRPr="007E663E" w:rsidRDefault="00017EA2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017EA2" w:rsidRPr="007E663E" w:rsidRDefault="00017EA2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724" w:rsidRPr="000856F8" w:rsidRDefault="00060724" w:rsidP="009D4BAE">
    <w:pPr>
      <w:pStyle w:val="Header"/>
      <w:jc w:val="right"/>
    </w:pPr>
    <w:r w:rsidRPr="000856F8">
      <w:t>MM/A/49/2</w:t>
    </w:r>
  </w:p>
  <w:p w:rsidR="00060724" w:rsidRPr="000856F8" w:rsidRDefault="00060724" w:rsidP="009D4BAE">
    <w:pPr>
      <w:pStyle w:val="Header"/>
      <w:jc w:val="right"/>
    </w:pPr>
    <w:r w:rsidRPr="000856F8">
      <w:t xml:space="preserve">página </w:t>
    </w:r>
    <w:r w:rsidRPr="000856F8">
      <w:rPr>
        <w:rStyle w:val="PageNumber"/>
      </w:rPr>
      <w:fldChar w:fldCharType="begin"/>
    </w:r>
    <w:r w:rsidRPr="000856F8">
      <w:rPr>
        <w:rStyle w:val="PageNumber"/>
      </w:rPr>
      <w:instrText xml:space="preserve"> PAGE </w:instrText>
    </w:r>
    <w:r w:rsidRPr="000856F8">
      <w:rPr>
        <w:rStyle w:val="PageNumber"/>
      </w:rPr>
      <w:fldChar w:fldCharType="separate"/>
    </w:r>
    <w:r w:rsidR="00F84178">
      <w:rPr>
        <w:rStyle w:val="PageNumber"/>
        <w:noProof/>
      </w:rPr>
      <w:t>6</w:t>
    </w:r>
    <w:r w:rsidRPr="000856F8">
      <w:rPr>
        <w:rStyle w:val="PageNumber"/>
      </w:rPr>
      <w:fldChar w:fldCharType="end"/>
    </w:r>
  </w:p>
  <w:p w:rsidR="00060724" w:rsidRPr="000856F8" w:rsidRDefault="00060724" w:rsidP="009D4BAE">
    <w:pPr>
      <w:pStyle w:val="Header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724" w:rsidRDefault="00060724" w:rsidP="009D4BA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F21B9">
      <w:rPr>
        <w:rStyle w:val="PageNumber"/>
        <w:noProof/>
      </w:rPr>
      <w:t>1</w:t>
    </w:r>
    <w:r>
      <w:rPr>
        <w:rStyle w:val="PageNumber"/>
      </w:rPr>
      <w:fldChar w:fldCharType="end"/>
    </w:r>
  </w:p>
  <w:p w:rsidR="00060724" w:rsidRDefault="00060724" w:rsidP="009D4BAE">
    <w:pPr>
      <w:pStyle w:val="Header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724" w:rsidRDefault="00060724" w:rsidP="009D4BAE">
    <w:pPr>
      <w:pStyle w:val="Header"/>
      <w:framePr w:wrap="around" w:vAnchor="text" w:hAnchor="margin" w:xAlign="right" w:y="1"/>
      <w:jc w:val="right"/>
      <w:rPr>
        <w:rStyle w:val="PageNumber"/>
      </w:rPr>
    </w:pPr>
    <w:r>
      <w:rPr>
        <w:rStyle w:val="PageNumber"/>
      </w:rPr>
      <w:t>MM/A/46/2</w:t>
    </w:r>
  </w:p>
  <w:p w:rsidR="00060724" w:rsidRDefault="00060724" w:rsidP="009D4BAE">
    <w:pPr>
      <w:pStyle w:val="Header"/>
      <w:framePr w:wrap="around" w:vAnchor="text" w:hAnchor="margin" w:xAlign="right" w:y="1"/>
      <w:jc w:val="right"/>
      <w:rPr>
        <w:rStyle w:val="PageNumber"/>
      </w:rPr>
    </w:pP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F21B9">
      <w:rPr>
        <w:rStyle w:val="PageNumber"/>
        <w:noProof/>
      </w:rPr>
      <w:t>1</w:t>
    </w:r>
    <w:r>
      <w:rPr>
        <w:rStyle w:val="PageNumber"/>
      </w:rPr>
      <w:fldChar w:fldCharType="end"/>
    </w:r>
  </w:p>
  <w:p w:rsidR="00060724" w:rsidRDefault="00060724" w:rsidP="009D4BAE">
    <w:pPr>
      <w:pStyle w:val="Header"/>
      <w:ind w:right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724" w:rsidRDefault="00060724" w:rsidP="009D4BAE">
    <w:pPr>
      <w:pStyle w:val="Header"/>
      <w:jc w:val="right"/>
    </w:pPr>
    <w:r>
      <w:t>MM/A/49/2</w:t>
    </w:r>
  </w:p>
  <w:p w:rsidR="00060724" w:rsidRDefault="00060724" w:rsidP="009D4BAE">
    <w:pPr>
      <w:pStyle w:val="Header"/>
      <w:jc w:val="right"/>
    </w:pPr>
    <w:r>
      <w:t>ANEXO I</w:t>
    </w:r>
  </w:p>
  <w:p w:rsidR="00060724" w:rsidRDefault="00060724" w:rsidP="009D4BAE">
    <w:pPr>
      <w:pStyle w:val="Header"/>
      <w:jc w:val="right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724" w:rsidRDefault="00060724" w:rsidP="009D4BAE">
    <w:pPr>
      <w:pStyle w:val="Header"/>
      <w:jc w:val="right"/>
    </w:pPr>
    <w:r>
      <w:t>MM/A/49/2</w:t>
    </w:r>
  </w:p>
  <w:p w:rsidR="00060724" w:rsidRDefault="00060724" w:rsidP="009D4BAE">
    <w:pPr>
      <w:pStyle w:val="Header"/>
      <w:jc w:val="right"/>
    </w:pPr>
    <w:r>
      <w:t>ANEXO II</w:t>
    </w:r>
  </w:p>
  <w:p w:rsidR="00060724" w:rsidRDefault="00060724" w:rsidP="009D4BAE">
    <w:pPr>
      <w:pStyle w:val="Header"/>
      <w:jc w:val="right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724" w:rsidRDefault="00060724" w:rsidP="009D4BAE">
    <w:pPr>
      <w:pStyle w:val="Header"/>
      <w:jc w:val="right"/>
    </w:pPr>
    <w:r>
      <w:t>MM/A/49/2</w:t>
    </w:r>
  </w:p>
  <w:p w:rsidR="00060724" w:rsidRDefault="00060724" w:rsidP="009D4BAE">
    <w:pPr>
      <w:pStyle w:val="Header"/>
      <w:jc w:val="right"/>
    </w:pPr>
    <w:r>
      <w:t>ANNEX V</w:t>
    </w:r>
  </w:p>
  <w:p w:rsidR="00060724" w:rsidRPr="00E557F4" w:rsidRDefault="00060724" w:rsidP="009D4BAE">
    <w:pPr>
      <w:pStyle w:val="Header"/>
      <w:jc w:val="right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724" w:rsidRDefault="00060724" w:rsidP="009D4BAE">
    <w:pPr>
      <w:pStyle w:val="Header"/>
      <w:jc w:val="right"/>
    </w:pPr>
    <w:r>
      <w:t>MM/A/49/2</w:t>
    </w:r>
  </w:p>
  <w:p w:rsidR="00060724" w:rsidRDefault="00060724" w:rsidP="009D4BAE">
    <w:pPr>
      <w:pStyle w:val="Header"/>
      <w:jc w:val="right"/>
    </w:pPr>
    <w:r>
      <w:t>ANEXO III</w:t>
    </w:r>
  </w:p>
  <w:p w:rsidR="00060724" w:rsidRDefault="00060724" w:rsidP="009D4BAE">
    <w:pPr>
      <w:pStyle w:val="Header"/>
      <w:jc w:val="right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724" w:rsidRDefault="00060724" w:rsidP="009D4BAE">
    <w:pPr>
      <w:pStyle w:val="Header"/>
      <w:jc w:val="right"/>
    </w:pPr>
    <w:r>
      <w:t>MM/A/49/2</w:t>
    </w:r>
  </w:p>
  <w:p w:rsidR="00060724" w:rsidRDefault="00060724" w:rsidP="009D4BAE">
    <w:pPr>
      <w:pStyle w:val="Header"/>
      <w:jc w:val="right"/>
    </w:pPr>
    <w:r>
      <w:t>ANEXO V</w:t>
    </w:r>
  </w:p>
  <w:p w:rsidR="00060724" w:rsidRPr="00E557F4" w:rsidRDefault="00060724" w:rsidP="009D4BAE">
    <w:pPr>
      <w:pStyle w:val="Header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724" w:rsidRDefault="00060724" w:rsidP="00BD0073">
    <w:pPr>
      <w:pStyle w:val="Header"/>
      <w:jc w:val="right"/>
    </w:pPr>
    <w:r>
      <w:t>MM/A/48/2</w:t>
    </w:r>
  </w:p>
  <w:p w:rsidR="00060724" w:rsidRDefault="00060724" w:rsidP="00BD0073">
    <w:pPr>
      <w:pStyle w:val="Header"/>
      <w:jc w:val="right"/>
    </w:pPr>
    <w:r>
      <w:t>ANEXO IV</w:t>
    </w:r>
  </w:p>
  <w:p w:rsidR="00060724" w:rsidRDefault="00060724" w:rsidP="00BD007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C06F39"/>
    <w:multiLevelType w:val="hybridMultilevel"/>
    <w:tmpl w:val="9E2455FA"/>
    <w:lvl w:ilvl="0" w:tplc="1E74ACB8">
      <w:start w:val="1"/>
      <w:numFmt w:val="lowerRoman"/>
      <w:lvlText w:val="%1)"/>
      <w:lvlJc w:val="left"/>
      <w:pPr>
        <w:tabs>
          <w:tab w:val="num" w:pos="4032"/>
        </w:tabs>
        <w:ind w:left="4032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4392"/>
        </w:tabs>
        <w:ind w:left="4392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5112"/>
        </w:tabs>
        <w:ind w:left="5112" w:hanging="180"/>
      </w:pPr>
    </w:lvl>
    <w:lvl w:ilvl="3" w:tplc="0409000F">
      <w:start w:val="1"/>
      <w:numFmt w:val="decimal"/>
      <w:lvlText w:val="%4."/>
      <w:lvlJc w:val="left"/>
      <w:pPr>
        <w:tabs>
          <w:tab w:val="num" w:pos="5832"/>
        </w:tabs>
        <w:ind w:left="5832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6552"/>
        </w:tabs>
        <w:ind w:left="6552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7272"/>
        </w:tabs>
        <w:ind w:left="7272" w:hanging="180"/>
      </w:pPr>
    </w:lvl>
    <w:lvl w:ilvl="6" w:tplc="0409000F">
      <w:start w:val="1"/>
      <w:numFmt w:val="decimal"/>
      <w:lvlText w:val="%7."/>
      <w:lvlJc w:val="left"/>
      <w:pPr>
        <w:tabs>
          <w:tab w:val="num" w:pos="7992"/>
        </w:tabs>
        <w:ind w:left="7992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8712"/>
        </w:tabs>
        <w:ind w:left="8712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9432"/>
        </w:tabs>
        <w:ind w:left="9432" w:hanging="180"/>
      </w:pPr>
    </w:lvl>
  </w:abstractNum>
  <w:abstractNum w:abstractNumId="2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0CA4195A"/>
    <w:multiLevelType w:val="hybridMultilevel"/>
    <w:tmpl w:val="BE565BAA"/>
    <w:lvl w:ilvl="0" w:tplc="E29642CA">
      <w:start w:val="26"/>
      <w:numFmt w:val="bullet"/>
      <w:lvlText w:val="-"/>
      <w:lvlJc w:val="left"/>
      <w:pPr>
        <w:ind w:left="91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4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ED34CF4"/>
    <w:multiLevelType w:val="hybridMultilevel"/>
    <w:tmpl w:val="159EB0F2"/>
    <w:lvl w:ilvl="0" w:tplc="62CA501E">
      <w:start w:val="2"/>
      <w:numFmt w:val="bullet"/>
      <w:lvlText w:val="-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>
    <w:nsid w:val="348F7D1C"/>
    <w:multiLevelType w:val="hybridMultilevel"/>
    <w:tmpl w:val="B0007A5E"/>
    <w:lvl w:ilvl="0" w:tplc="2BDE526E">
      <w:numFmt w:val="bullet"/>
      <w:lvlText w:val="–"/>
      <w:lvlJc w:val="left"/>
      <w:pPr>
        <w:ind w:left="915" w:hanging="36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8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7066C03"/>
    <w:multiLevelType w:val="hybridMultilevel"/>
    <w:tmpl w:val="AFCA8564"/>
    <w:lvl w:ilvl="0" w:tplc="72BE553C">
      <w:start w:val="3"/>
      <w:numFmt w:val="bullet"/>
      <w:lvlText w:val="–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9"/>
  </w:num>
  <w:num w:numId="5">
    <w:abstractNumId w:val="2"/>
  </w:num>
  <w:num w:numId="6">
    <w:abstractNumId w:val="6"/>
  </w:num>
  <w:num w:numId="7">
    <w:abstractNumId w:val="1"/>
  </w:num>
  <w:num w:numId="8">
    <w:abstractNumId w:val="7"/>
  </w:num>
  <w:num w:numId="9">
    <w:abstractNumId w:val="3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empty"/>
    <w:docVar w:name="TermBaseURL" w:val="empty"/>
    <w:docVar w:name="TextBases" w:val="transmlp.wipo.int\TextBase TMs\Administrative\Meetings|transmlp.wipo.int\TextBase TMs\Administrative\Other|transmlp.wipo.int\TextBase TMs\Administrative\Publications|transmlp.wipo.int\TextBase TMs\Budget and Finance\Meetings|transmlp.wipo.int\TextBase TMs\Budget and Finance\Other|transmlp.wipo.int\TextBase TMs\Budget and Finance\Publications|transmlp.wipo.int\TextBase TMs\Copyright\Meetings|transmlp.wipo.int\TextBase TMs\Copyright\Other|transmlp.wipo.int\TextBase TMs\Copyright\Publications|transmlp.wipo.int\TextBase TMs\IP in General\Academy|transmlp.wipo.int\TextBase TMs\IP in General\Arbitration and Mediation|transmlp.wipo.int\TextBase TMs\IP in General\Meetings|transmlp.wipo.int\TextBase TMs\IP in General\Other|transmlp.wipo.int\TextBase TMs\IP in General\Press Room|transmlp.wipo.int\TextBase TMs\IP in General\Publications|transmlp.wipo.int\TextBase TMs\IP in General\SpeechDG2014|transmlp.wipo.int\TextBase TMs\Patents\Meetings|transmlp.wipo.int\TextBase TMs\Patents\Other|transmlp.wipo.int\TextBase TMs\Patents\Publications|transmlp.wipo.int\TextBase TMs\Trademarks\Meetings|transmlp.wipo.int\TextBase TMs\Trademarks\Other|transmlp.wipo.int\TextBase TMs\Trademarks\Publications|transmlp.wipo.int\TextBase TMs\Treaties\Model Laws|transmlp.wipo.int\TextBase TMs\Treaties\Other Laws and Agreements|transmlp.wipo.int\TextBase TMs\Treaties\WIPO-administered|transmlp.wipo.int\TextBase TMs\UPOV\Meetings|transmlp.wipo.int\TextBase TMs\UPOV\Other|transmlp.wipo.int\TextBase TMs\UPOV\Publications|transmlp.wipo.int\TextBase TMs\UPOV\Technical Guidelines|transmlp.wipo.int\TextBase TMs\WorkspaceETS\Test|transmlp.wipo.int\TextBase TMs\WorkspaceRTS\Job 35339|transmlp.wipo.int\TextBase TMs\WorkspaceSTS\EN-ES\Administrative\Meetings|transmlp.wipo.int\TextBase TMs\WorkspaceSTS\EN-ES\Administrative\Organigrama|transmlp.wipo.int\TextBase TMs\WorkspaceSTS\EN-ES\Administrative\Other|transmlp.wipo.int\TextBase TMs\WorkspaceSTS\EN-ES\Administrative\Publications|transmlp.wipo.int\TextBase TMs\WorkspaceSTS\EN-ES\Budget and Finance\Meetings|transmlp.wipo.int\TextBase TMs\WorkspaceSTS\EN-ES\Budget and Finance\Other|transmlp.wipo.int\TextBase TMs\WorkspaceSTS\EN-ES\Budget and Finance\Política de inversiones|transmlp.wipo.int\TextBase TMs\WorkspaceSTS\EN-ES\Budget and Finance\Publications|transmlp.wipo.int\TextBase TMs\WorkspaceSTS\EN-ES\Copyright\Meetings|transmlp.wipo.int\TextBase TMs\WorkspaceSTS\EN-ES\Copyright\Other|transmlp.wipo.int\TextBase TMs\WorkspaceSTS\EN-ES\Copyright\Publications|transmlp.wipo.int\TextBase TMs\WorkspaceSTS\EN-ES\Glossaries\EN-ES|transmlp.wipo.int\TextBase TMs\WorkspaceSTS\EN-ES\Glossaries\Países|transmlp.wipo.int\TextBase TMs\WorkspaceSTS\EN-ES\IP in General\Academy|transmlp.wipo.int\TextBase TMs\WorkspaceSTS\EN-ES\IP in General\Arbitration and Mediation|transmlp.wipo.int\TextBase TMs\WorkspaceSTS\EN-ES\IP in General\Meetings|transmlp.wipo.int\TextBase TMs\WorkspaceSTS\EN-ES\IP in General\Other|transmlp.wipo.int\TextBase TMs\WorkspaceSTS\EN-ES\IP in General\Press Room|transmlp.wipo.int\TextBase TMs\WorkspaceSTS\EN-ES\IP in General\Publications|transmlp.wipo.int\TextBase TMs\WorkspaceSTS\EN-ES\Patents\Meetings|transmlp.wipo.int\TextBase TMs\WorkspaceSTS\EN-ES\Patents\Other|transmlp.wipo.int\TextBase TMs\WorkspaceSTS\EN-ES\Patents\Publications|transmlp.wipo.int\TextBase TMs\WorkspaceSTS\EN-ES\Trademarks\Documentos conferencia diplomática 2015|transmlp.wipo.int\TextBase TMs\WorkspaceSTS\EN-ES\Trademarks\Meetings|transmlp.wipo.int\TextBase TMs\WorkspaceSTS\EN-ES\Trademarks\Other|transmlp.wipo.int\TextBase TMs\WorkspaceSTS\EN-ES\Trademarks\Publications|transmlp.wipo.int\TextBase TMs\WorkspaceSTS\EN-ES\Treaties\Model Laws|transmlp.wipo.int\TextBase TMs\WorkspaceSTS\EN-ES\Treaties\Other Laws and Agreements|transmlp.wipo.int\TextBase TMs\WorkspaceSTS\EN-ES\Treaties\WIPO-administered|transmlp.wipo.int\TextBase TMs\WorkspaceSTS\EN-ES\UPOV\Meetings|transmlp.wipo.int\TextBase TMs\WorkspaceSTS\EN-ES\UPOV\Other|transmlp.wipo.int\TextBase TMs\WorkspaceSTS\EN-ES\UPOV\Publications|transmlp.wipo.int\TextBase TMs\WorkspaceSTS\EN-ES\UPOV\Technical Guidelines|transmlp.wipo.int\TextBase TMs\WorkspaceSTS\EN-ES\UPOV\TGP_7"/>
    <w:docVar w:name="TextBaseURL" w:val="empty"/>
    <w:docVar w:name="UILng" w:val="en"/>
  </w:docVars>
  <w:rsids>
    <w:rsidRoot w:val="00A80483"/>
    <w:rsid w:val="000060E2"/>
    <w:rsid w:val="000073A6"/>
    <w:rsid w:val="00017EA2"/>
    <w:rsid w:val="0003249F"/>
    <w:rsid w:val="00041733"/>
    <w:rsid w:val="00060724"/>
    <w:rsid w:val="000856F8"/>
    <w:rsid w:val="00086960"/>
    <w:rsid w:val="00090C8F"/>
    <w:rsid w:val="0009278B"/>
    <w:rsid w:val="000C051B"/>
    <w:rsid w:val="000D093B"/>
    <w:rsid w:val="000E3BB3"/>
    <w:rsid w:val="000F4C33"/>
    <w:rsid w:val="000F5E56"/>
    <w:rsid w:val="001065F1"/>
    <w:rsid w:val="001113D8"/>
    <w:rsid w:val="00116985"/>
    <w:rsid w:val="001334BE"/>
    <w:rsid w:val="001362EE"/>
    <w:rsid w:val="0014289D"/>
    <w:rsid w:val="001514EA"/>
    <w:rsid w:val="00152CEA"/>
    <w:rsid w:val="00173E47"/>
    <w:rsid w:val="001806C7"/>
    <w:rsid w:val="001832A6"/>
    <w:rsid w:val="00187137"/>
    <w:rsid w:val="001A3CDF"/>
    <w:rsid w:val="001C4DD3"/>
    <w:rsid w:val="002101D8"/>
    <w:rsid w:val="002249D0"/>
    <w:rsid w:val="00226FD0"/>
    <w:rsid w:val="00226FF0"/>
    <w:rsid w:val="002306D4"/>
    <w:rsid w:val="002313C7"/>
    <w:rsid w:val="002378A2"/>
    <w:rsid w:val="00244ABA"/>
    <w:rsid w:val="00245149"/>
    <w:rsid w:val="002634C4"/>
    <w:rsid w:val="0028576C"/>
    <w:rsid w:val="00294D93"/>
    <w:rsid w:val="00295BC7"/>
    <w:rsid w:val="002A0D79"/>
    <w:rsid w:val="002F1F2E"/>
    <w:rsid w:val="002F4E68"/>
    <w:rsid w:val="00300CB4"/>
    <w:rsid w:val="00303724"/>
    <w:rsid w:val="0030374B"/>
    <w:rsid w:val="003045D2"/>
    <w:rsid w:val="00344F8F"/>
    <w:rsid w:val="00347543"/>
    <w:rsid w:val="00354647"/>
    <w:rsid w:val="003567D6"/>
    <w:rsid w:val="003608BA"/>
    <w:rsid w:val="00361B10"/>
    <w:rsid w:val="00373F16"/>
    <w:rsid w:val="00377273"/>
    <w:rsid w:val="003845C1"/>
    <w:rsid w:val="00387287"/>
    <w:rsid w:val="003A6AFF"/>
    <w:rsid w:val="003C112F"/>
    <w:rsid w:val="003D2007"/>
    <w:rsid w:val="003D41D4"/>
    <w:rsid w:val="00420A83"/>
    <w:rsid w:val="00423E3E"/>
    <w:rsid w:val="00427AF4"/>
    <w:rsid w:val="00431B6B"/>
    <w:rsid w:val="0045231F"/>
    <w:rsid w:val="00455E34"/>
    <w:rsid w:val="004577E8"/>
    <w:rsid w:val="004647DA"/>
    <w:rsid w:val="00477B81"/>
    <w:rsid w:val="00477D6B"/>
    <w:rsid w:val="00492F3B"/>
    <w:rsid w:val="00497F8B"/>
    <w:rsid w:val="004A6C37"/>
    <w:rsid w:val="004B30F9"/>
    <w:rsid w:val="004C3C83"/>
    <w:rsid w:val="004C3EBD"/>
    <w:rsid w:val="004C788D"/>
    <w:rsid w:val="004D3764"/>
    <w:rsid w:val="0050212C"/>
    <w:rsid w:val="00505D6D"/>
    <w:rsid w:val="00517AD4"/>
    <w:rsid w:val="0055013B"/>
    <w:rsid w:val="0056224D"/>
    <w:rsid w:val="00571B99"/>
    <w:rsid w:val="00596C64"/>
    <w:rsid w:val="00597F93"/>
    <w:rsid w:val="005A59D8"/>
    <w:rsid w:val="005B271F"/>
    <w:rsid w:val="00605827"/>
    <w:rsid w:val="00625019"/>
    <w:rsid w:val="00644C16"/>
    <w:rsid w:val="00666A40"/>
    <w:rsid w:val="00675021"/>
    <w:rsid w:val="00681B11"/>
    <w:rsid w:val="006A06C6"/>
    <w:rsid w:val="006A3F24"/>
    <w:rsid w:val="006D5C9C"/>
    <w:rsid w:val="006E1116"/>
    <w:rsid w:val="006E40E9"/>
    <w:rsid w:val="006E52F4"/>
    <w:rsid w:val="006E5D61"/>
    <w:rsid w:val="006F21B9"/>
    <w:rsid w:val="00702134"/>
    <w:rsid w:val="00704B8D"/>
    <w:rsid w:val="007353A9"/>
    <w:rsid w:val="00742EE3"/>
    <w:rsid w:val="007776FA"/>
    <w:rsid w:val="0079298B"/>
    <w:rsid w:val="007B12EF"/>
    <w:rsid w:val="007D2C03"/>
    <w:rsid w:val="007E663E"/>
    <w:rsid w:val="007E7396"/>
    <w:rsid w:val="007F2A7E"/>
    <w:rsid w:val="007F5A3A"/>
    <w:rsid w:val="008126DF"/>
    <w:rsid w:val="00815082"/>
    <w:rsid w:val="00844B04"/>
    <w:rsid w:val="008501C7"/>
    <w:rsid w:val="0086375F"/>
    <w:rsid w:val="0087552E"/>
    <w:rsid w:val="008A45E6"/>
    <w:rsid w:val="008A533E"/>
    <w:rsid w:val="008B2CC1"/>
    <w:rsid w:val="008C60F9"/>
    <w:rsid w:val="008D3072"/>
    <w:rsid w:val="008D689E"/>
    <w:rsid w:val="008D6E44"/>
    <w:rsid w:val="008E2882"/>
    <w:rsid w:val="008E3B99"/>
    <w:rsid w:val="008F43C9"/>
    <w:rsid w:val="008F687F"/>
    <w:rsid w:val="0090731E"/>
    <w:rsid w:val="00946049"/>
    <w:rsid w:val="009556BA"/>
    <w:rsid w:val="00966A22"/>
    <w:rsid w:val="00972F03"/>
    <w:rsid w:val="009915A5"/>
    <w:rsid w:val="00995678"/>
    <w:rsid w:val="009A0C8B"/>
    <w:rsid w:val="009B6241"/>
    <w:rsid w:val="009D4BAE"/>
    <w:rsid w:val="009E29BA"/>
    <w:rsid w:val="009F0E76"/>
    <w:rsid w:val="009F2234"/>
    <w:rsid w:val="009F6B5E"/>
    <w:rsid w:val="00A012CF"/>
    <w:rsid w:val="00A143EF"/>
    <w:rsid w:val="00A16FC0"/>
    <w:rsid w:val="00A2342A"/>
    <w:rsid w:val="00A32C9E"/>
    <w:rsid w:val="00A4722A"/>
    <w:rsid w:val="00A55456"/>
    <w:rsid w:val="00A559EF"/>
    <w:rsid w:val="00A60E62"/>
    <w:rsid w:val="00A702D8"/>
    <w:rsid w:val="00A7234E"/>
    <w:rsid w:val="00A7453D"/>
    <w:rsid w:val="00A751B7"/>
    <w:rsid w:val="00A80483"/>
    <w:rsid w:val="00A82474"/>
    <w:rsid w:val="00A970F7"/>
    <w:rsid w:val="00AB5E02"/>
    <w:rsid w:val="00AB613D"/>
    <w:rsid w:val="00AF70CE"/>
    <w:rsid w:val="00B36929"/>
    <w:rsid w:val="00B3715E"/>
    <w:rsid w:val="00B37859"/>
    <w:rsid w:val="00B40CC1"/>
    <w:rsid w:val="00B42B03"/>
    <w:rsid w:val="00B5608D"/>
    <w:rsid w:val="00B65A0A"/>
    <w:rsid w:val="00B72D36"/>
    <w:rsid w:val="00B969B9"/>
    <w:rsid w:val="00BA1F9B"/>
    <w:rsid w:val="00BB4D27"/>
    <w:rsid w:val="00BC4164"/>
    <w:rsid w:val="00BD0073"/>
    <w:rsid w:val="00BD2DCC"/>
    <w:rsid w:val="00BE1A8C"/>
    <w:rsid w:val="00C12F80"/>
    <w:rsid w:val="00C341E0"/>
    <w:rsid w:val="00C47982"/>
    <w:rsid w:val="00C5143A"/>
    <w:rsid w:val="00C52E01"/>
    <w:rsid w:val="00C60F66"/>
    <w:rsid w:val="00C6423A"/>
    <w:rsid w:val="00C75295"/>
    <w:rsid w:val="00C7726D"/>
    <w:rsid w:val="00C90559"/>
    <w:rsid w:val="00C914B7"/>
    <w:rsid w:val="00CA5184"/>
    <w:rsid w:val="00CD21EE"/>
    <w:rsid w:val="00D00D63"/>
    <w:rsid w:val="00D130CF"/>
    <w:rsid w:val="00D14CD4"/>
    <w:rsid w:val="00D34BA5"/>
    <w:rsid w:val="00D40CF0"/>
    <w:rsid w:val="00D55D0C"/>
    <w:rsid w:val="00D56C7C"/>
    <w:rsid w:val="00D71B4D"/>
    <w:rsid w:val="00D8504A"/>
    <w:rsid w:val="00D90289"/>
    <w:rsid w:val="00D93D55"/>
    <w:rsid w:val="00DA35C6"/>
    <w:rsid w:val="00DC23B5"/>
    <w:rsid w:val="00DC6CE0"/>
    <w:rsid w:val="00DF45E0"/>
    <w:rsid w:val="00E023DB"/>
    <w:rsid w:val="00E141CD"/>
    <w:rsid w:val="00E16A1D"/>
    <w:rsid w:val="00E213A6"/>
    <w:rsid w:val="00E45268"/>
    <w:rsid w:val="00E45C84"/>
    <w:rsid w:val="00E504E5"/>
    <w:rsid w:val="00E612C9"/>
    <w:rsid w:val="00EB3FE8"/>
    <w:rsid w:val="00EB4C3C"/>
    <w:rsid w:val="00EB7A3E"/>
    <w:rsid w:val="00EC401A"/>
    <w:rsid w:val="00ED3FFE"/>
    <w:rsid w:val="00EF530A"/>
    <w:rsid w:val="00EF6622"/>
    <w:rsid w:val="00F26960"/>
    <w:rsid w:val="00F42DDE"/>
    <w:rsid w:val="00F43B86"/>
    <w:rsid w:val="00F55408"/>
    <w:rsid w:val="00F61154"/>
    <w:rsid w:val="00F6199E"/>
    <w:rsid w:val="00F66152"/>
    <w:rsid w:val="00F71EB3"/>
    <w:rsid w:val="00F80845"/>
    <w:rsid w:val="00F84178"/>
    <w:rsid w:val="00F84474"/>
    <w:rsid w:val="00F9069B"/>
    <w:rsid w:val="00FC6577"/>
    <w:rsid w:val="00FD0B30"/>
    <w:rsid w:val="00FD4179"/>
    <w:rsid w:val="00FF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069B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BalloonText">
    <w:name w:val="Balloon Text"/>
    <w:basedOn w:val="Normal"/>
    <w:link w:val="BalloonTextChar"/>
    <w:rsid w:val="008501C7"/>
    <w:rPr>
      <w:rFonts w:ascii="Tahoma" w:hAnsi="Tahoma" w:cs="Tahoma"/>
      <w:sz w:val="16"/>
      <w:szCs w:val="16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8501C7"/>
    <w:rPr>
      <w:rFonts w:ascii="Tahoma" w:eastAsia="SimSun" w:hAnsi="Tahoma" w:cs="Tahoma"/>
      <w:sz w:val="16"/>
      <w:szCs w:val="16"/>
      <w:lang w:val="es-ES" w:eastAsia="zh-CN"/>
    </w:rPr>
  </w:style>
  <w:style w:type="character" w:styleId="PageNumber">
    <w:name w:val="page number"/>
    <w:basedOn w:val="DefaultParagraphFont"/>
    <w:rsid w:val="009556BA"/>
  </w:style>
  <w:style w:type="paragraph" w:styleId="ListParagraph">
    <w:name w:val="List Paragraph"/>
    <w:basedOn w:val="Normal"/>
    <w:uiPriority w:val="34"/>
    <w:qFormat/>
    <w:rsid w:val="009556BA"/>
    <w:pPr>
      <w:ind w:left="720"/>
    </w:pPr>
    <w:rPr>
      <w:lang w:val="en-US"/>
    </w:rPr>
  </w:style>
  <w:style w:type="character" w:styleId="CommentReference">
    <w:name w:val="annotation reference"/>
    <w:basedOn w:val="DefaultParagraphFont"/>
    <w:rsid w:val="009F223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9F2234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9F2234"/>
    <w:rPr>
      <w:rFonts w:ascii="Arial" w:eastAsia="SimSun" w:hAnsi="Arial" w:cs="Arial"/>
      <w:sz w:val="18"/>
      <w:lang w:val="es-ES" w:eastAsia="zh-CN"/>
    </w:rPr>
  </w:style>
  <w:style w:type="character" w:customStyle="1" w:styleId="CommentSubjectChar">
    <w:name w:val="Comment Subject Char"/>
    <w:basedOn w:val="CommentTextChar"/>
    <w:link w:val="CommentSubject"/>
    <w:rsid w:val="009F2234"/>
    <w:rPr>
      <w:rFonts w:ascii="Arial" w:eastAsia="SimSun" w:hAnsi="Arial" w:cs="Arial"/>
      <w:b/>
      <w:bCs/>
      <w:sz w:val="18"/>
      <w:lang w:val="es-ES" w:eastAsia="zh-CN"/>
    </w:rPr>
  </w:style>
  <w:style w:type="character" w:styleId="Hyperlink">
    <w:name w:val="Hyperlink"/>
    <w:basedOn w:val="DefaultParagraphFont"/>
    <w:rsid w:val="009F223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069B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BalloonText">
    <w:name w:val="Balloon Text"/>
    <w:basedOn w:val="Normal"/>
    <w:link w:val="BalloonTextChar"/>
    <w:rsid w:val="008501C7"/>
    <w:rPr>
      <w:rFonts w:ascii="Tahoma" w:hAnsi="Tahoma" w:cs="Tahoma"/>
      <w:sz w:val="16"/>
      <w:szCs w:val="16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8501C7"/>
    <w:rPr>
      <w:rFonts w:ascii="Tahoma" w:eastAsia="SimSun" w:hAnsi="Tahoma" w:cs="Tahoma"/>
      <w:sz w:val="16"/>
      <w:szCs w:val="16"/>
      <w:lang w:val="es-ES" w:eastAsia="zh-CN"/>
    </w:rPr>
  </w:style>
  <w:style w:type="character" w:styleId="PageNumber">
    <w:name w:val="page number"/>
    <w:basedOn w:val="DefaultParagraphFont"/>
    <w:rsid w:val="009556BA"/>
  </w:style>
  <w:style w:type="paragraph" w:styleId="ListParagraph">
    <w:name w:val="List Paragraph"/>
    <w:basedOn w:val="Normal"/>
    <w:uiPriority w:val="34"/>
    <w:qFormat/>
    <w:rsid w:val="009556BA"/>
    <w:pPr>
      <w:ind w:left="720"/>
    </w:pPr>
    <w:rPr>
      <w:lang w:val="en-US"/>
    </w:rPr>
  </w:style>
  <w:style w:type="character" w:styleId="CommentReference">
    <w:name w:val="annotation reference"/>
    <w:basedOn w:val="DefaultParagraphFont"/>
    <w:rsid w:val="009F223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9F2234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9F2234"/>
    <w:rPr>
      <w:rFonts w:ascii="Arial" w:eastAsia="SimSun" w:hAnsi="Arial" w:cs="Arial"/>
      <w:sz w:val="18"/>
      <w:lang w:val="es-ES" w:eastAsia="zh-CN"/>
    </w:rPr>
  </w:style>
  <w:style w:type="character" w:customStyle="1" w:styleId="CommentSubjectChar">
    <w:name w:val="Comment Subject Char"/>
    <w:basedOn w:val="CommentTextChar"/>
    <w:link w:val="CommentSubject"/>
    <w:rsid w:val="009F2234"/>
    <w:rPr>
      <w:rFonts w:ascii="Arial" w:eastAsia="SimSun" w:hAnsi="Arial" w:cs="Arial"/>
      <w:b/>
      <w:bCs/>
      <w:sz w:val="18"/>
      <w:lang w:val="es-ES" w:eastAsia="zh-CN"/>
    </w:rPr>
  </w:style>
  <w:style w:type="character" w:styleId="Hyperlink">
    <w:name w:val="Hyperlink"/>
    <w:basedOn w:val="DefaultParagraphFont"/>
    <w:rsid w:val="009F22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image" Target="media/image3.emf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image" Target="media/image5.png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6.xml"/><Relationship Id="rId25" Type="http://schemas.openxmlformats.org/officeDocument/2006/relationships/header" Target="header9.xml"/><Relationship Id="rId2" Type="http://schemas.openxmlformats.org/officeDocument/2006/relationships/styles" Target="styles.xml"/><Relationship Id="rId16" Type="http://schemas.openxmlformats.org/officeDocument/2006/relationships/image" Target="media/image2.emf"/><Relationship Id="rId20" Type="http://schemas.openxmlformats.org/officeDocument/2006/relationships/image" Target="media/image4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header" Target="header8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image" Target="media/image7.emf"/><Relationship Id="rId10" Type="http://schemas.openxmlformats.org/officeDocument/2006/relationships/header" Target="header2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Relationship Id="rId22" Type="http://schemas.openxmlformats.org/officeDocument/2006/relationships/image" Target="media/image6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2529</Words>
  <Characters>13123</Characters>
  <Application>Microsoft Office Word</Application>
  <DocSecurity>0</DocSecurity>
  <Lines>109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MM/A/49/2</vt:lpstr>
    </vt:vector>
  </TitlesOfParts>
  <Company>WIPO</Company>
  <LinksUpToDate>false</LinksUpToDate>
  <CharactersWithSpaces>15621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MM/A/49/2</dc:title>
  <dc:creator>BOU LLORET Amparo</dc:creator>
  <dc:description>MM - 23/6/2015</dc:description>
  <cp:lastModifiedBy>MARIN-CUDRAZ DAVI Nicoletta</cp:lastModifiedBy>
  <cp:revision>4</cp:revision>
  <cp:lastPrinted>2015-06-25T12:17:00Z</cp:lastPrinted>
  <dcterms:created xsi:type="dcterms:W3CDTF">2015-06-26T14:33:00Z</dcterms:created>
  <dcterms:modified xsi:type="dcterms:W3CDTF">2015-07-02T08:29:00Z</dcterms:modified>
</cp:coreProperties>
</file>