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0D093B" w:rsidTr="00A7453D">
        <w:tc>
          <w:tcPr>
            <w:tcW w:w="4513" w:type="dxa"/>
            <w:tcBorders>
              <w:bottom w:val="single" w:sz="4" w:space="0" w:color="auto"/>
            </w:tcBorders>
            <w:tcMar>
              <w:bottom w:w="170" w:type="dxa"/>
            </w:tcMar>
          </w:tcPr>
          <w:p w:rsidR="00E504E5" w:rsidRPr="000D093B" w:rsidRDefault="00E504E5" w:rsidP="00AB613D">
            <w:pPr>
              <w:rPr>
                <w:lang w:val="es-ES_tradnl"/>
              </w:rPr>
            </w:pPr>
          </w:p>
        </w:tc>
        <w:tc>
          <w:tcPr>
            <w:tcW w:w="4337" w:type="dxa"/>
            <w:tcBorders>
              <w:bottom w:val="single" w:sz="4" w:space="0" w:color="auto"/>
            </w:tcBorders>
            <w:tcMar>
              <w:left w:w="0" w:type="dxa"/>
              <w:right w:w="0" w:type="dxa"/>
            </w:tcMar>
          </w:tcPr>
          <w:p w:rsidR="00E504E5" w:rsidRPr="000D093B" w:rsidRDefault="008501C7" w:rsidP="00AB613D">
            <w:pPr>
              <w:rPr>
                <w:lang w:val="es-ES_tradnl"/>
              </w:rPr>
            </w:pPr>
            <w:r w:rsidRPr="000D093B">
              <w:rPr>
                <w:noProof/>
                <w:lang w:val="en-US" w:eastAsia="en-US"/>
              </w:rPr>
              <w:drawing>
                <wp:inline distT="0" distB="0" distL="0" distR="0" wp14:anchorId="7DD35145" wp14:editId="2EE1C8B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0D093B" w:rsidRDefault="00E504E5" w:rsidP="00AB613D">
            <w:pPr>
              <w:jc w:val="right"/>
              <w:rPr>
                <w:lang w:val="es-ES_tradnl"/>
              </w:rPr>
            </w:pPr>
            <w:r w:rsidRPr="000D093B">
              <w:rPr>
                <w:b/>
                <w:sz w:val="40"/>
                <w:szCs w:val="40"/>
                <w:lang w:val="es-ES_tradnl"/>
              </w:rPr>
              <w:t>S</w:t>
            </w:r>
          </w:p>
        </w:tc>
      </w:tr>
      <w:tr w:rsidR="008B2CC1" w:rsidRPr="000D093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0D093B" w:rsidRDefault="00FD4179" w:rsidP="00AB613D">
            <w:pPr>
              <w:jc w:val="right"/>
              <w:rPr>
                <w:rFonts w:ascii="Arial Black" w:hAnsi="Arial Black"/>
                <w:caps/>
                <w:sz w:val="15"/>
                <w:lang w:val="es-ES_tradnl"/>
              </w:rPr>
            </w:pPr>
            <w:r w:rsidRPr="000D093B">
              <w:rPr>
                <w:rFonts w:ascii="Arial Black" w:hAnsi="Arial Black"/>
                <w:caps/>
                <w:sz w:val="15"/>
                <w:lang w:val="es-ES_tradnl"/>
              </w:rPr>
              <w:t>MM/A/48/</w:t>
            </w:r>
            <w:bookmarkStart w:id="0" w:name="Code"/>
            <w:bookmarkEnd w:id="0"/>
            <w:r w:rsidR="00A80483" w:rsidRPr="000D093B">
              <w:rPr>
                <w:rFonts w:ascii="Arial Black" w:hAnsi="Arial Black"/>
                <w:caps/>
                <w:sz w:val="15"/>
                <w:lang w:val="es-ES_tradnl"/>
              </w:rPr>
              <w:t>2</w:t>
            </w:r>
            <w:r w:rsidR="008B2CC1" w:rsidRPr="000D093B">
              <w:rPr>
                <w:rFonts w:ascii="Arial Black" w:hAnsi="Arial Black"/>
                <w:caps/>
                <w:sz w:val="15"/>
                <w:lang w:val="es-ES_tradnl"/>
              </w:rPr>
              <w:t xml:space="preserve">   </w:t>
            </w:r>
          </w:p>
        </w:tc>
      </w:tr>
      <w:tr w:rsidR="008B2CC1" w:rsidRPr="000D093B" w:rsidTr="00AB613D">
        <w:trPr>
          <w:trHeight w:hRule="exact" w:val="170"/>
        </w:trPr>
        <w:tc>
          <w:tcPr>
            <w:tcW w:w="9356" w:type="dxa"/>
            <w:gridSpan w:val="3"/>
            <w:noWrap/>
            <w:tcMar>
              <w:left w:w="0" w:type="dxa"/>
              <w:right w:w="0" w:type="dxa"/>
            </w:tcMar>
            <w:vAlign w:val="bottom"/>
          </w:tcPr>
          <w:p w:rsidR="008B2CC1" w:rsidRPr="000D093B" w:rsidRDefault="008B2CC1" w:rsidP="00AB613D">
            <w:pPr>
              <w:jc w:val="right"/>
              <w:rPr>
                <w:rFonts w:ascii="Arial Black" w:hAnsi="Arial Black"/>
                <w:caps/>
                <w:sz w:val="15"/>
                <w:lang w:val="es-ES_tradnl"/>
              </w:rPr>
            </w:pPr>
            <w:r w:rsidRPr="000D093B">
              <w:rPr>
                <w:rFonts w:ascii="Arial Black" w:hAnsi="Arial Black"/>
                <w:caps/>
                <w:sz w:val="15"/>
                <w:lang w:val="es-ES_tradnl"/>
              </w:rPr>
              <w:t>ORIGINAL:</w:t>
            </w:r>
            <w:r w:rsidR="00F84474" w:rsidRPr="000D093B">
              <w:rPr>
                <w:rFonts w:ascii="Arial Black" w:hAnsi="Arial Black"/>
                <w:caps/>
                <w:sz w:val="15"/>
                <w:lang w:val="es-ES_tradnl"/>
              </w:rPr>
              <w:t xml:space="preserve"> </w:t>
            </w:r>
            <w:r w:rsidRPr="000D093B">
              <w:rPr>
                <w:rFonts w:ascii="Arial Black" w:hAnsi="Arial Black"/>
                <w:caps/>
                <w:sz w:val="15"/>
                <w:lang w:val="es-ES_tradnl"/>
              </w:rPr>
              <w:t xml:space="preserve"> </w:t>
            </w:r>
            <w:bookmarkStart w:id="1" w:name="Original"/>
            <w:bookmarkEnd w:id="1"/>
            <w:r w:rsidR="00A80483" w:rsidRPr="000D093B">
              <w:rPr>
                <w:rFonts w:ascii="Arial Black" w:hAnsi="Arial Black"/>
                <w:caps/>
                <w:sz w:val="15"/>
                <w:lang w:val="es-ES_tradnl"/>
              </w:rPr>
              <w:t>INGLÉS</w:t>
            </w:r>
          </w:p>
        </w:tc>
      </w:tr>
      <w:tr w:rsidR="008B2CC1" w:rsidRPr="000D093B" w:rsidTr="00AB613D">
        <w:trPr>
          <w:trHeight w:hRule="exact" w:val="198"/>
        </w:trPr>
        <w:tc>
          <w:tcPr>
            <w:tcW w:w="9356" w:type="dxa"/>
            <w:gridSpan w:val="3"/>
            <w:tcMar>
              <w:left w:w="0" w:type="dxa"/>
              <w:right w:w="0" w:type="dxa"/>
            </w:tcMar>
            <w:vAlign w:val="bottom"/>
          </w:tcPr>
          <w:p w:rsidR="008B2CC1" w:rsidRPr="000D093B" w:rsidRDefault="00675021" w:rsidP="00AB613D">
            <w:pPr>
              <w:jc w:val="right"/>
              <w:rPr>
                <w:rFonts w:ascii="Arial Black" w:hAnsi="Arial Black"/>
                <w:caps/>
                <w:sz w:val="15"/>
                <w:lang w:val="es-ES_tradnl"/>
              </w:rPr>
            </w:pPr>
            <w:r w:rsidRPr="000D093B">
              <w:rPr>
                <w:rFonts w:ascii="Arial Black" w:hAnsi="Arial Black"/>
                <w:caps/>
                <w:sz w:val="15"/>
                <w:lang w:val="es-ES_tradnl"/>
              </w:rPr>
              <w:t>fecha</w:t>
            </w:r>
            <w:r w:rsidR="008B2CC1" w:rsidRPr="000D093B">
              <w:rPr>
                <w:rFonts w:ascii="Arial Black" w:hAnsi="Arial Black"/>
                <w:caps/>
                <w:sz w:val="15"/>
                <w:lang w:val="es-ES_tradnl"/>
              </w:rPr>
              <w:t>:</w:t>
            </w:r>
            <w:r w:rsidR="00F84474" w:rsidRPr="000D093B">
              <w:rPr>
                <w:rFonts w:ascii="Arial Black" w:hAnsi="Arial Black"/>
                <w:caps/>
                <w:sz w:val="15"/>
                <w:lang w:val="es-ES_tradnl"/>
              </w:rPr>
              <w:t xml:space="preserve"> </w:t>
            </w:r>
            <w:r w:rsidR="008B2CC1" w:rsidRPr="000D093B">
              <w:rPr>
                <w:rFonts w:ascii="Arial Black" w:hAnsi="Arial Black"/>
                <w:caps/>
                <w:sz w:val="15"/>
                <w:lang w:val="es-ES_tradnl"/>
              </w:rPr>
              <w:t xml:space="preserve"> </w:t>
            </w:r>
            <w:bookmarkStart w:id="2" w:name="Date"/>
            <w:bookmarkEnd w:id="2"/>
            <w:r w:rsidR="009556BA" w:rsidRPr="000D093B">
              <w:rPr>
                <w:rFonts w:ascii="Arial Black" w:hAnsi="Arial Black"/>
                <w:caps/>
                <w:sz w:val="15"/>
                <w:lang w:val="es-ES_tradnl"/>
              </w:rPr>
              <w:t>23</w:t>
            </w:r>
            <w:r w:rsidR="00A80483" w:rsidRPr="000D093B">
              <w:rPr>
                <w:rFonts w:ascii="Arial Black" w:hAnsi="Arial Black"/>
                <w:caps/>
                <w:sz w:val="15"/>
                <w:lang w:val="es-ES_tradnl"/>
              </w:rPr>
              <w:t xml:space="preserve"> DE JUNIO DE 2014</w:t>
            </w:r>
          </w:p>
        </w:tc>
      </w:tr>
    </w:tbl>
    <w:p w:rsidR="008B2CC1" w:rsidRPr="000D093B" w:rsidRDefault="008B2CC1" w:rsidP="008B2CC1">
      <w:pPr>
        <w:rPr>
          <w:lang w:val="es-ES_tradnl"/>
        </w:rPr>
      </w:pPr>
    </w:p>
    <w:p w:rsidR="008B2CC1" w:rsidRPr="000D093B" w:rsidRDefault="008B2CC1" w:rsidP="008B2CC1">
      <w:pPr>
        <w:rPr>
          <w:lang w:val="es-ES_tradnl"/>
        </w:rPr>
      </w:pPr>
    </w:p>
    <w:p w:rsidR="008B2CC1" w:rsidRPr="000D093B" w:rsidRDefault="008B2CC1" w:rsidP="008B2CC1">
      <w:pPr>
        <w:rPr>
          <w:lang w:val="es-ES_tradnl"/>
        </w:rPr>
      </w:pPr>
    </w:p>
    <w:p w:rsidR="008B2CC1" w:rsidRPr="000D093B" w:rsidRDefault="008B2CC1" w:rsidP="008B2CC1">
      <w:pPr>
        <w:rPr>
          <w:lang w:val="es-ES_tradnl"/>
        </w:rPr>
      </w:pPr>
    </w:p>
    <w:p w:rsidR="008B2CC1" w:rsidRPr="000D093B" w:rsidRDefault="008B2CC1" w:rsidP="008B2CC1">
      <w:pPr>
        <w:rPr>
          <w:lang w:val="es-ES_tradnl"/>
        </w:rPr>
      </w:pPr>
    </w:p>
    <w:p w:rsidR="008B2CC1" w:rsidRPr="000D093B" w:rsidRDefault="00FD4179" w:rsidP="008B2CC1">
      <w:pPr>
        <w:rPr>
          <w:b/>
          <w:sz w:val="28"/>
          <w:szCs w:val="28"/>
          <w:lang w:val="es-ES_tradnl"/>
        </w:rPr>
      </w:pPr>
      <w:r w:rsidRPr="000D093B">
        <w:rPr>
          <w:b/>
          <w:sz w:val="28"/>
          <w:szCs w:val="28"/>
          <w:lang w:val="es-ES_tradnl"/>
        </w:rPr>
        <w:t>Unión Particular para el Registro Internacional de Marcas</w:t>
      </w:r>
      <w:r w:rsidRPr="000D093B">
        <w:rPr>
          <w:b/>
          <w:sz w:val="28"/>
          <w:szCs w:val="28"/>
          <w:lang w:val="es-ES_tradnl"/>
        </w:rPr>
        <w:br/>
        <w:t>(Unión de Madrid)</w:t>
      </w:r>
    </w:p>
    <w:p w:rsidR="003845C1" w:rsidRPr="000D093B" w:rsidRDefault="003845C1" w:rsidP="003845C1">
      <w:pPr>
        <w:rPr>
          <w:lang w:val="es-ES_tradnl"/>
        </w:rPr>
      </w:pPr>
    </w:p>
    <w:p w:rsidR="001C4DD3" w:rsidRPr="000D093B" w:rsidRDefault="001C4DD3" w:rsidP="003845C1">
      <w:pPr>
        <w:rPr>
          <w:lang w:val="es-ES_tradnl"/>
        </w:rPr>
      </w:pPr>
    </w:p>
    <w:p w:rsidR="001C4DD3" w:rsidRPr="000D093B" w:rsidRDefault="001C4DD3" w:rsidP="003845C1">
      <w:pPr>
        <w:rPr>
          <w:b/>
          <w:sz w:val="28"/>
          <w:szCs w:val="28"/>
          <w:lang w:val="es-ES_tradnl"/>
        </w:rPr>
      </w:pPr>
      <w:r w:rsidRPr="000D093B">
        <w:rPr>
          <w:b/>
          <w:sz w:val="28"/>
          <w:szCs w:val="28"/>
          <w:lang w:val="es-ES_tradnl"/>
        </w:rPr>
        <w:t>Asamblea</w:t>
      </w:r>
    </w:p>
    <w:p w:rsidR="001C4DD3" w:rsidRPr="000D093B" w:rsidRDefault="001C4DD3" w:rsidP="003845C1">
      <w:pPr>
        <w:rPr>
          <w:lang w:val="es-ES_tradnl"/>
        </w:rPr>
      </w:pPr>
    </w:p>
    <w:p w:rsidR="003845C1" w:rsidRPr="000D093B" w:rsidRDefault="003845C1" w:rsidP="003845C1">
      <w:pPr>
        <w:rPr>
          <w:lang w:val="es-ES_tradnl"/>
        </w:rPr>
      </w:pPr>
    </w:p>
    <w:p w:rsidR="008B2CC1" w:rsidRPr="000D093B" w:rsidRDefault="00FD4179" w:rsidP="008B2CC1">
      <w:pPr>
        <w:rPr>
          <w:b/>
          <w:sz w:val="24"/>
          <w:szCs w:val="24"/>
          <w:lang w:val="es-ES_tradnl"/>
        </w:rPr>
      </w:pPr>
      <w:r w:rsidRPr="000D093B">
        <w:rPr>
          <w:b/>
          <w:sz w:val="24"/>
          <w:szCs w:val="24"/>
          <w:lang w:val="es-ES_tradnl"/>
        </w:rPr>
        <w:t>Cuadragésimo octavo período de sesiones (28</w:t>
      </w:r>
      <w:r w:rsidRPr="000D093B">
        <w:rPr>
          <w:b/>
          <w:sz w:val="24"/>
          <w:szCs w:val="24"/>
          <w:vertAlign w:val="superscript"/>
          <w:lang w:val="es-ES_tradnl"/>
        </w:rPr>
        <w:t>°</w:t>
      </w:r>
      <w:r w:rsidRPr="000D093B">
        <w:rPr>
          <w:b/>
          <w:sz w:val="24"/>
          <w:szCs w:val="24"/>
          <w:lang w:val="es-ES_tradnl"/>
        </w:rPr>
        <w:t xml:space="preserve"> extraordinario)</w:t>
      </w:r>
    </w:p>
    <w:p w:rsidR="008B2CC1" w:rsidRPr="000D093B" w:rsidRDefault="00FD4179" w:rsidP="008B2CC1">
      <w:pPr>
        <w:rPr>
          <w:b/>
          <w:sz w:val="24"/>
          <w:szCs w:val="24"/>
          <w:lang w:val="es-ES_tradnl"/>
        </w:rPr>
      </w:pPr>
      <w:r w:rsidRPr="000D093B">
        <w:rPr>
          <w:b/>
          <w:sz w:val="24"/>
          <w:szCs w:val="24"/>
          <w:lang w:val="es-ES_tradnl"/>
        </w:rPr>
        <w:t>Ginebra, 22 a 30 de septiembre 2014</w:t>
      </w:r>
    </w:p>
    <w:p w:rsidR="008B2CC1" w:rsidRPr="000D093B" w:rsidRDefault="008B2CC1" w:rsidP="008B2CC1">
      <w:pPr>
        <w:rPr>
          <w:lang w:val="es-ES_tradnl"/>
        </w:rPr>
      </w:pPr>
    </w:p>
    <w:p w:rsidR="008B2CC1" w:rsidRPr="000D093B" w:rsidRDefault="008B2CC1" w:rsidP="008B2CC1">
      <w:pPr>
        <w:rPr>
          <w:lang w:val="es-ES_tradnl"/>
        </w:rPr>
      </w:pPr>
    </w:p>
    <w:p w:rsidR="008B2CC1" w:rsidRPr="000D093B" w:rsidRDefault="008B2CC1" w:rsidP="008B2CC1">
      <w:pPr>
        <w:rPr>
          <w:lang w:val="es-ES_tradnl"/>
        </w:rPr>
      </w:pPr>
    </w:p>
    <w:p w:rsidR="009556BA" w:rsidRPr="000D093B" w:rsidRDefault="009556BA" w:rsidP="009556BA">
      <w:pPr>
        <w:rPr>
          <w:caps/>
          <w:sz w:val="24"/>
          <w:lang w:val="es-ES_tradnl"/>
        </w:rPr>
      </w:pPr>
      <w:bookmarkStart w:id="3" w:name="TitleOfDoc"/>
      <w:bookmarkEnd w:id="3"/>
      <w:r w:rsidRPr="000D093B">
        <w:rPr>
          <w:caps/>
          <w:szCs w:val="22"/>
          <w:lang w:val="es-ES_tradnl"/>
        </w:rPr>
        <w:t>Informe sobre la marcha</w:t>
      </w:r>
      <w:r w:rsidRPr="000D093B">
        <w:rPr>
          <w:caps/>
          <w:sz w:val="24"/>
          <w:lang w:val="es-ES_tradnl"/>
        </w:rPr>
        <w:t xml:space="preserve"> </w:t>
      </w:r>
      <w:r w:rsidRPr="000D093B">
        <w:rPr>
          <w:lang w:val="es-ES_tradnl"/>
        </w:rPr>
        <w:t>DE LAS ACTIVIDADES RELATIVAS A LA BASE DE DATOS SOBRE PRODUCTOS Y SERVICIOS DEL SISTEMA DE MADRID</w:t>
      </w:r>
    </w:p>
    <w:p w:rsidR="009556BA" w:rsidRPr="000D093B" w:rsidRDefault="009556BA" w:rsidP="009556BA">
      <w:pPr>
        <w:rPr>
          <w:lang w:val="es-ES_tradnl"/>
        </w:rPr>
      </w:pPr>
    </w:p>
    <w:p w:rsidR="009556BA" w:rsidRPr="000D093B" w:rsidRDefault="009556BA" w:rsidP="009556BA">
      <w:pPr>
        <w:rPr>
          <w:i/>
          <w:lang w:val="es-ES_tradnl"/>
        </w:rPr>
      </w:pPr>
      <w:bookmarkStart w:id="4" w:name="Prepared"/>
      <w:bookmarkEnd w:id="4"/>
      <w:r w:rsidRPr="000D093B">
        <w:rPr>
          <w:i/>
          <w:lang w:val="es-ES_tradnl"/>
        </w:rPr>
        <w:t>preparado por la Oficina Internacional</w:t>
      </w:r>
    </w:p>
    <w:p w:rsidR="009556BA" w:rsidRPr="000D093B" w:rsidRDefault="009556BA" w:rsidP="009556BA">
      <w:pPr>
        <w:rPr>
          <w:lang w:val="es-ES_tradnl"/>
        </w:rPr>
      </w:pPr>
    </w:p>
    <w:p w:rsidR="009556BA" w:rsidRPr="000D093B" w:rsidRDefault="009556BA" w:rsidP="009556BA">
      <w:pPr>
        <w:rPr>
          <w:lang w:val="es-ES_tradnl"/>
        </w:rPr>
      </w:pPr>
    </w:p>
    <w:p w:rsidR="009556BA" w:rsidRPr="000D093B" w:rsidRDefault="009556BA" w:rsidP="009556BA">
      <w:pPr>
        <w:rPr>
          <w:lang w:val="es-ES_tradnl"/>
        </w:rPr>
      </w:pPr>
    </w:p>
    <w:p w:rsidR="009556BA" w:rsidRPr="000D093B" w:rsidRDefault="009556BA" w:rsidP="009556BA">
      <w:pPr>
        <w:pStyle w:val="Heading1"/>
        <w:rPr>
          <w:lang w:val="es-ES_tradnl"/>
        </w:rPr>
      </w:pPr>
      <w:r w:rsidRPr="000D093B">
        <w:rPr>
          <w:caps w:val="0"/>
          <w:lang w:val="es-ES_tradnl"/>
        </w:rPr>
        <w:t>INTRODUCCIÓN</w:t>
      </w:r>
    </w:p>
    <w:p w:rsidR="009556BA" w:rsidRPr="000D093B" w:rsidRDefault="009556BA" w:rsidP="009556BA">
      <w:pPr>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t>El presente documento tiene por fin presentar un informe sobre la marcha de las actividades relativas a la creación de la Base de datos de indicaciones válidas de productos y servicios a los fines</w:t>
      </w:r>
      <w:r w:rsidR="00361B10" w:rsidRPr="000D093B">
        <w:rPr>
          <w:lang w:val="es-ES_tradnl"/>
        </w:rPr>
        <w:t xml:space="preserve"> de los procedimientos del S</w:t>
      </w:r>
      <w:r w:rsidRPr="000D093B">
        <w:rPr>
          <w:lang w:val="es-ES_tradnl"/>
        </w:rPr>
        <w:t xml:space="preserve">istema de Madrid (denominada en adelante “Base de datos sobre productos y servicios del </w:t>
      </w:r>
      <w:r w:rsidR="00361B10" w:rsidRPr="000D093B">
        <w:rPr>
          <w:lang w:val="es-ES_tradnl"/>
        </w:rPr>
        <w:t>S</w:t>
      </w:r>
      <w:r w:rsidRPr="000D093B">
        <w:rPr>
          <w:lang w:val="es-ES_tradnl"/>
        </w:rPr>
        <w:t>istema de Madrid” o “Base de datos MGS” por sus siglas en inglés).</w:t>
      </w:r>
    </w:p>
    <w:p w:rsidR="009556BA" w:rsidRPr="000D093B" w:rsidRDefault="009556BA" w:rsidP="009556BA">
      <w:pPr>
        <w:tabs>
          <w:tab w:val="num" w:pos="440"/>
        </w:tabs>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t>En septiembre de 2009, la Asamblea de la Unión de Madrid aprobó un proyecto de dos años encaminado a crear la Base de datos MGS, tal como se describe en el documento MM/A/42/3, y se asignó un importe de 1,2 millones de francos suizos del Fondo de Reserva de la Unión de Madrid a los fines de su ejecución durante el bienio 2010</w:t>
      </w:r>
      <w:r w:rsidRPr="000D093B">
        <w:rPr>
          <w:lang w:val="es-ES_tradnl"/>
        </w:rPr>
        <w:noBreakHyphen/>
        <w:t xml:space="preserve">2011 (véase el párrafo 28 del documento MM/A/42/4).  Cabe recordar que ya se han presentado a la Asamblea de la Unión de Madrid </w:t>
      </w:r>
      <w:r w:rsidR="00361B10" w:rsidRPr="000D093B">
        <w:rPr>
          <w:lang w:val="es-ES_tradnl"/>
        </w:rPr>
        <w:t xml:space="preserve">cinco </w:t>
      </w:r>
      <w:r w:rsidRPr="000D093B">
        <w:rPr>
          <w:lang w:val="es-ES_tradnl"/>
        </w:rPr>
        <w:t>informes sobre la marcha de las actividades (véanse los documentos MM/A/42/2,  MM/A/43/2, MM/A/44/2</w:t>
      </w:r>
      <w:r w:rsidR="00B37859">
        <w:rPr>
          <w:lang w:val="es-ES_tradnl"/>
        </w:rPr>
        <w:t>,</w:t>
      </w:r>
      <w:r w:rsidRPr="000D093B">
        <w:rPr>
          <w:lang w:val="es-ES_tradnl"/>
        </w:rPr>
        <w:t xml:space="preserve"> MM/A/45/2</w:t>
      </w:r>
      <w:r w:rsidR="00361B10" w:rsidRPr="000D093B">
        <w:rPr>
          <w:lang w:val="es-ES_tradnl"/>
        </w:rPr>
        <w:t xml:space="preserve"> y MM/A/46/2</w:t>
      </w:r>
      <w:r w:rsidRPr="000D093B">
        <w:rPr>
          <w:lang w:val="es-ES_tradnl"/>
        </w:rPr>
        <w:t>).</w:t>
      </w:r>
    </w:p>
    <w:p w:rsidR="009556BA" w:rsidRPr="000D093B" w:rsidRDefault="009556BA" w:rsidP="009556BA">
      <w:pPr>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t xml:space="preserve">El 1 de enero de 2012 </w:t>
      </w:r>
      <w:r w:rsidR="00596C64">
        <w:rPr>
          <w:lang w:val="es-ES_tradnl"/>
        </w:rPr>
        <w:t xml:space="preserve">finalizó </w:t>
      </w:r>
      <w:r w:rsidRPr="000D093B">
        <w:rPr>
          <w:lang w:val="es-ES_tradnl"/>
        </w:rPr>
        <w:t xml:space="preserve">la fase de proyecto de la Base de datos MGS, que pasó a entrar en funcionamiento, lo cual supuso que el apoyo para el funcionamiento se financiase </w:t>
      </w:r>
      <w:r w:rsidR="00361B10" w:rsidRPr="000D093B">
        <w:rPr>
          <w:lang w:val="es-ES_tradnl"/>
        </w:rPr>
        <w:t xml:space="preserve">a partir de entonces </w:t>
      </w:r>
      <w:r w:rsidRPr="000D093B">
        <w:rPr>
          <w:lang w:val="es-ES_tradnl"/>
        </w:rPr>
        <w:t>con cargo al presupuesto ordinario.</w:t>
      </w:r>
    </w:p>
    <w:p w:rsidR="009556BA" w:rsidRPr="000D093B" w:rsidRDefault="009556BA" w:rsidP="009556BA">
      <w:pPr>
        <w:tabs>
          <w:tab w:val="num" w:pos="440"/>
        </w:tabs>
        <w:rPr>
          <w:lang w:val="es-ES_tradnl"/>
        </w:rPr>
      </w:pPr>
    </w:p>
    <w:p w:rsidR="009556BA" w:rsidRPr="000D093B" w:rsidRDefault="009556BA" w:rsidP="009556BA">
      <w:pPr>
        <w:rPr>
          <w:lang w:val="es-ES_tradnl"/>
        </w:rPr>
      </w:pPr>
      <w:r w:rsidRPr="000D093B">
        <w:rPr>
          <w:lang w:val="es-ES_tradnl"/>
        </w:rPr>
        <w:lastRenderedPageBreak/>
        <w:fldChar w:fldCharType="begin"/>
      </w:r>
      <w:r w:rsidRPr="000D093B">
        <w:rPr>
          <w:lang w:val="es-ES_tradnl"/>
        </w:rPr>
        <w:instrText xml:space="preserve"> AUTONUM  </w:instrText>
      </w:r>
      <w:r w:rsidRPr="000D093B">
        <w:rPr>
          <w:lang w:val="es-ES_tradnl"/>
        </w:rPr>
        <w:fldChar w:fldCharType="end"/>
      </w:r>
      <w:r w:rsidRPr="000D093B">
        <w:rPr>
          <w:lang w:val="es-ES_tradnl"/>
        </w:rPr>
        <w:tab/>
        <w:t xml:space="preserve">En el presente documento se reseñan los </w:t>
      </w:r>
      <w:r w:rsidR="00596C64">
        <w:rPr>
          <w:lang w:val="es-ES_tradnl"/>
        </w:rPr>
        <w:t>avances</w:t>
      </w:r>
      <w:r w:rsidRPr="000D093B">
        <w:rPr>
          <w:lang w:val="es-ES_tradnl"/>
        </w:rPr>
        <w:t xml:space="preserve"> realizados en lo tocante a la Base de datos MGS desde que se presentara el último informe (véase el documento MM/A/4</w:t>
      </w:r>
      <w:r w:rsidR="00361B10" w:rsidRPr="000D093B">
        <w:rPr>
          <w:lang w:val="es-ES_tradnl"/>
        </w:rPr>
        <w:t>6</w:t>
      </w:r>
      <w:r w:rsidRPr="000D093B">
        <w:rPr>
          <w:lang w:val="es-ES_tradnl"/>
        </w:rPr>
        <w:t>/2</w:t>
      </w:r>
      <w:r w:rsidR="00361B10" w:rsidRPr="000D093B">
        <w:rPr>
          <w:lang w:val="es-ES_tradnl"/>
        </w:rPr>
        <w:t xml:space="preserve"> Rev.</w:t>
      </w:r>
      <w:r w:rsidRPr="000D093B">
        <w:rPr>
          <w:lang w:val="es-ES_tradnl"/>
        </w:rPr>
        <w:t>),</w:t>
      </w:r>
      <w:r w:rsidR="00361B10" w:rsidRPr="000D093B">
        <w:rPr>
          <w:lang w:val="es-ES_tradnl"/>
        </w:rPr>
        <w:t xml:space="preserve"> es decir, entre el 1 de junio de 2013 y el 30 de mayo de 2014</w:t>
      </w:r>
      <w:r w:rsidRPr="000D093B">
        <w:rPr>
          <w:lang w:val="es-ES_tradnl"/>
        </w:rPr>
        <w:t>.</w:t>
      </w:r>
    </w:p>
    <w:p w:rsidR="009556BA" w:rsidRPr="000D093B" w:rsidRDefault="009556BA" w:rsidP="009556BA">
      <w:pPr>
        <w:rPr>
          <w:lang w:val="es-ES_tradnl"/>
        </w:rPr>
      </w:pPr>
    </w:p>
    <w:p w:rsidR="009556BA" w:rsidRPr="00C5143A" w:rsidRDefault="009556BA" w:rsidP="009556BA">
      <w:pPr>
        <w:pStyle w:val="Heading2"/>
        <w:spacing w:before="0" w:after="0"/>
        <w:rPr>
          <w:lang w:val="es-ES_tradnl"/>
        </w:rPr>
      </w:pPr>
    </w:p>
    <w:p w:rsidR="009556BA" w:rsidRPr="000D093B" w:rsidRDefault="009556BA" w:rsidP="009556BA">
      <w:pPr>
        <w:pStyle w:val="Heading2"/>
        <w:spacing w:before="0" w:after="0"/>
        <w:rPr>
          <w:b/>
          <w:lang w:val="es-ES_tradnl"/>
        </w:rPr>
      </w:pPr>
      <w:r w:rsidRPr="000D093B">
        <w:rPr>
          <w:b/>
          <w:lang w:val="es-ES_tradnl"/>
        </w:rPr>
        <w:t>RESULT</w:t>
      </w:r>
      <w:r w:rsidR="000D093B" w:rsidRPr="000D093B">
        <w:rPr>
          <w:b/>
          <w:lang w:val="es-ES_tradnl"/>
        </w:rPr>
        <w:t>ADO</w:t>
      </w:r>
      <w:r w:rsidRPr="000D093B">
        <w:rPr>
          <w:b/>
          <w:lang w:val="es-ES_tradnl"/>
        </w:rPr>
        <w:t xml:space="preserve">S </w:t>
      </w:r>
      <w:r w:rsidR="000D093B" w:rsidRPr="000D093B">
        <w:rPr>
          <w:b/>
          <w:lang w:val="es-ES_tradnl"/>
        </w:rPr>
        <w:t xml:space="preserve">OBTENIDOS </w:t>
      </w:r>
    </w:p>
    <w:p w:rsidR="009556BA" w:rsidRPr="000D093B" w:rsidRDefault="009556BA" w:rsidP="009556BA">
      <w:pPr>
        <w:rPr>
          <w:lang w:val="es-ES_tradnl"/>
        </w:rPr>
      </w:pPr>
    </w:p>
    <w:p w:rsidR="000D093B" w:rsidRPr="000D093B" w:rsidRDefault="009556BA" w:rsidP="009556BA">
      <w:pPr>
        <w:rPr>
          <w:szCs w:val="22"/>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0D093B" w:rsidRPr="000D093B">
        <w:rPr>
          <w:lang w:val="es-ES_tradnl"/>
        </w:rPr>
        <w:t xml:space="preserve">Se recuerda que el 1 de mayo de </w:t>
      </w:r>
      <w:r w:rsidRPr="000D093B">
        <w:rPr>
          <w:lang w:val="es-ES_tradnl"/>
        </w:rPr>
        <w:t>2013,</w:t>
      </w:r>
      <w:r w:rsidRPr="000D093B">
        <w:rPr>
          <w:szCs w:val="22"/>
          <w:lang w:val="es-ES_tradnl"/>
        </w:rPr>
        <w:t xml:space="preserve"> </w:t>
      </w:r>
      <w:r w:rsidR="000D093B" w:rsidRPr="000D093B">
        <w:rPr>
          <w:szCs w:val="22"/>
          <w:lang w:val="es-ES_tradnl"/>
        </w:rPr>
        <w:t>se</w:t>
      </w:r>
      <w:r w:rsidR="00596C64">
        <w:rPr>
          <w:szCs w:val="22"/>
          <w:lang w:val="es-ES_tradnl"/>
        </w:rPr>
        <w:t xml:space="preserve"> puso en marcha una nueva versió</w:t>
      </w:r>
      <w:r w:rsidR="000D093B" w:rsidRPr="000D093B">
        <w:rPr>
          <w:szCs w:val="22"/>
          <w:lang w:val="es-ES_tradnl"/>
        </w:rPr>
        <w:t xml:space="preserve">n del Gestor de Productos y Servicios de Madrid (MSG) en el sitio web de la </w:t>
      </w:r>
      <w:r w:rsidR="00373F16">
        <w:rPr>
          <w:lang w:val="es-ES_tradnl"/>
        </w:rPr>
        <w:t>Organización Mundial de la Propiedad Intelectual</w:t>
      </w:r>
      <w:r w:rsidR="00373F16" w:rsidRPr="000D093B">
        <w:rPr>
          <w:szCs w:val="22"/>
          <w:lang w:val="es-ES_tradnl"/>
        </w:rPr>
        <w:t xml:space="preserve"> </w:t>
      </w:r>
      <w:r w:rsidR="00373F16">
        <w:rPr>
          <w:szCs w:val="22"/>
          <w:lang w:val="es-ES_tradnl"/>
        </w:rPr>
        <w:t>(</w:t>
      </w:r>
      <w:r w:rsidR="000D093B" w:rsidRPr="000D093B">
        <w:rPr>
          <w:szCs w:val="22"/>
          <w:lang w:val="es-ES_tradnl"/>
        </w:rPr>
        <w:t>OMPI</w:t>
      </w:r>
      <w:r w:rsidR="00373F16">
        <w:rPr>
          <w:szCs w:val="22"/>
          <w:lang w:val="es-ES_tradnl"/>
        </w:rPr>
        <w:t>)</w:t>
      </w:r>
      <w:r w:rsidR="000D093B" w:rsidRPr="000D093B">
        <w:rPr>
          <w:szCs w:val="22"/>
          <w:lang w:val="es-ES_tradnl"/>
        </w:rPr>
        <w:t xml:space="preserve"> con las funciones siguientes:</w:t>
      </w:r>
    </w:p>
    <w:p w:rsidR="000D093B" w:rsidRPr="000D093B" w:rsidRDefault="000D093B" w:rsidP="009556BA">
      <w:pPr>
        <w:rPr>
          <w:szCs w:val="22"/>
          <w:lang w:val="es-ES_tradnl"/>
        </w:rPr>
      </w:pPr>
    </w:p>
    <w:p w:rsidR="009556BA" w:rsidRPr="000D093B" w:rsidRDefault="000C051B" w:rsidP="00394C7D">
      <w:pPr>
        <w:numPr>
          <w:ilvl w:val="0"/>
          <w:numId w:val="8"/>
        </w:numPr>
        <w:tabs>
          <w:tab w:val="left" w:pos="550"/>
        </w:tabs>
        <w:ind w:left="1134" w:hanging="579"/>
        <w:rPr>
          <w:lang w:val="es-ES_tradnl"/>
        </w:rPr>
      </w:pPr>
      <w:r>
        <w:rPr>
          <w:lang w:val="es-ES_tradnl"/>
        </w:rPr>
        <w:t>la incorporación de</w:t>
      </w:r>
      <w:r w:rsidR="000D093B" w:rsidRPr="000D093B">
        <w:rPr>
          <w:lang w:val="es-ES_tradnl"/>
        </w:rPr>
        <w:t xml:space="preserve"> interfaces en cinco nuevos idiomas, a saber, chino simplificado, chino tradicional, japonés, noruego y turco</w:t>
      </w:r>
      <w:r w:rsidR="009556BA" w:rsidRPr="000D093B">
        <w:rPr>
          <w:lang w:val="es-ES_tradnl"/>
        </w:rPr>
        <w:t>;</w:t>
      </w:r>
    </w:p>
    <w:p w:rsidR="009556BA" w:rsidRPr="000D093B" w:rsidRDefault="009556BA" w:rsidP="00394C7D">
      <w:pPr>
        <w:tabs>
          <w:tab w:val="left" w:pos="550"/>
        </w:tabs>
        <w:ind w:left="1134" w:hanging="579"/>
        <w:rPr>
          <w:lang w:val="es-ES_tradnl"/>
        </w:rPr>
      </w:pPr>
    </w:p>
    <w:p w:rsidR="000D093B" w:rsidRDefault="000D093B" w:rsidP="00394C7D">
      <w:pPr>
        <w:numPr>
          <w:ilvl w:val="0"/>
          <w:numId w:val="8"/>
        </w:numPr>
        <w:tabs>
          <w:tab w:val="left" w:pos="550"/>
        </w:tabs>
        <w:ind w:left="1134" w:hanging="579"/>
        <w:rPr>
          <w:lang w:val="es-ES_tradnl"/>
        </w:rPr>
      </w:pPr>
      <w:r w:rsidRPr="000D093B">
        <w:rPr>
          <w:lang w:val="es-ES_tradnl"/>
        </w:rPr>
        <w:t xml:space="preserve">una </w:t>
      </w:r>
      <w:r w:rsidR="00303724">
        <w:rPr>
          <w:lang w:val="es-ES_tradnl"/>
        </w:rPr>
        <w:t>funció</w:t>
      </w:r>
      <w:r w:rsidRPr="000D093B">
        <w:rPr>
          <w:lang w:val="es-ES_tradnl"/>
        </w:rPr>
        <w:t xml:space="preserve">n de traducción ampliada mediante la cual se puede traducir desde cualquiera de los 15 idiomas disponibles </w:t>
      </w:r>
      <w:r w:rsidR="002101D8">
        <w:rPr>
          <w:lang w:val="es-ES_tradnl"/>
        </w:rPr>
        <w:t xml:space="preserve">y hacia todos ellos </w:t>
      </w:r>
      <w:r w:rsidRPr="000D093B">
        <w:rPr>
          <w:lang w:val="es-ES_tradnl"/>
        </w:rPr>
        <w:t>(siempre y cuando las Oficinas pertinentes proporcionen las traducciones a los idiomas de destino)</w:t>
      </w:r>
      <w:r w:rsidR="009556BA" w:rsidRPr="000D093B">
        <w:rPr>
          <w:szCs w:val="22"/>
          <w:lang w:val="es-ES_tradnl"/>
        </w:rPr>
        <w:t>;</w:t>
      </w:r>
    </w:p>
    <w:p w:rsidR="000D093B" w:rsidRDefault="000D093B" w:rsidP="00394C7D">
      <w:pPr>
        <w:pStyle w:val="ListParagraph"/>
        <w:ind w:left="1134" w:hanging="579"/>
        <w:rPr>
          <w:szCs w:val="22"/>
          <w:lang w:val="es-ES_tradnl"/>
        </w:rPr>
      </w:pPr>
    </w:p>
    <w:p w:rsidR="009556BA" w:rsidRPr="000D093B" w:rsidRDefault="000D093B" w:rsidP="00394C7D">
      <w:pPr>
        <w:numPr>
          <w:ilvl w:val="0"/>
          <w:numId w:val="8"/>
        </w:numPr>
        <w:tabs>
          <w:tab w:val="left" w:pos="550"/>
        </w:tabs>
        <w:ind w:left="1134" w:hanging="579"/>
        <w:rPr>
          <w:lang w:val="es-ES_tradnl"/>
        </w:rPr>
      </w:pPr>
      <w:r>
        <w:rPr>
          <w:szCs w:val="22"/>
          <w:lang w:val="es-ES_tradnl"/>
        </w:rPr>
        <w:t>u</w:t>
      </w:r>
      <w:r w:rsidRPr="000D093B">
        <w:rPr>
          <w:szCs w:val="22"/>
          <w:lang w:val="es-ES_tradnl"/>
        </w:rPr>
        <w:t xml:space="preserve">na nueva función denominada “Verificar aceptación de la Parte Contratante designada (PCd)” que muestra </w:t>
      </w:r>
      <w:r w:rsidR="00B3715E">
        <w:rPr>
          <w:szCs w:val="22"/>
          <w:lang w:val="es-ES_tradnl"/>
        </w:rPr>
        <w:t xml:space="preserve">información relativa a </w:t>
      </w:r>
      <w:r w:rsidRPr="000D093B">
        <w:rPr>
          <w:szCs w:val="22"/>
          <w:lang w:val="es-ES_tradnl"/>
        </w:rPr>
        <w:t>la aceptación de indicaciones por las Partes Contratantes part</w:t>
      </w:r>
      <w:r w:rsidR="002101D8">
        <w:rPr>
          <w:szCs w:val="22"/>
          <w:lang w:val="es-ES_tradnl"/>
        </w:rPr>
        <w:t xml:space="preserve">icipantes en </w:t>
      </w:r>
      <w:r w:rsidRPr="000D093B">
        <w:rPr>
          <w:szCs w:val="22"/>
          <w:lang w:val="es-ES_tradnl"/>
        </w:rPr>
        <w:t>l</w:t>
      </w:r>
      <w:r w:rsidR="002101D8">
        <w:rPr>
          <w:szCs w:val="22"/>
          <w:lang w:val="es-ES_tradnl"/>
        </w:rPr>
        <w:t>a</w:t>
      </w:r>
      <w:r w:rsidRPr="000D093B">
        <w:rPr>
          <w:szCs w:val="22"/>
          <w:lang w:val="es-ES_tradnl"/>
        </w:rPr>
        <w:t xml:space="preserve"> MGS.  La información suministrada permite al solicitante de registro de marca saber si algunas indicaciones aceptadas por la Oficina Internacional son rechazadas por dete</w:t>
      </w:r>
      <w:r w:rsidR="004C3C83">
        <w:rPr>
          <w:szCs w:val="22"/>
          <w:lang w:val="es-ES_tradnl"/>
        </w:rPr>
        <w:t>rminada Parte Contratante y daría</w:t>
      </w:r>
      <w:r w:rsidRPr="000D093B">
        <w:rPr>
          <w:szCs w:val="22"/>
          <w:lang w:val="es-ES_tradnl"/>
        </w:rPr>
        <w:t>n lugar a que dicha Parte Contratante emit</w:t>
      </w:r>
      <w:r w:rsidR="004C3C83">
        <w:rPr>
          <w:szCs w:val="22"/>
          <w:lang w:val="es-ES_tradnl"/>
        </w:rPr>
        <w:t>ier</w:t>
      </w:r>
      <w:r w:rsidRPr="000D093B">
        <w:rPr>
          <w:szCs w:val="22"/>
          <w:lang w:val="es-ES_tradnl"/>
        </w:rPr>
        <w:t>a una denegación provisional.</w:t>
      </w:r>
    </w:p>
    <w:p w:rsidR="009556BA" w:rsidRPr="000D093B" w:rsidRDefault="009556BA" w:rsidP="009556BA">
      <w:pPr>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4C3EBD">
        <w:rPr>
          <w:lang w:val="es-ES_tradnl"/>
        </w:rPr>
        <w:t>Se recuerda además que las traducciones integradas en</w:t>
      </w:r>
      <w:r w:rsidR="002101D8">
        <w:rPr>
          <w:lang w:val="es-ES_tradnl"/>
        </w:rPr>
        <w:t xml:space="preserve"> la</w:t>
      </w:r>
      <w:r w:rsidR="004C3EBD">
        <w:rPr>
          <w:lang w:val="es-ES_tradnl"/>
        </w:rPr>
        <w:t xml:space="preserve"> MGS en idiomas distintos de los tres idiomas de trabajo del Sistema de Madrid así como la información relativa a la aceptación se obtienen por medio de la cooperación con las Oficinas nacionales.  A ese respecto, la Oficina Internacional </w:t>
      </w:r>
      <w:r w:rsidR="007E7396">
        <w:rPr>
          <w:lang w:val="es-ES_tradnl"/>
        </w:rPr>
        <w:t xml:space="preserve">también </w:t>
      </w:r>
      <w:r w:rsidR="004C3EBD">
        <w:rPr>
          <w:lang w:val="es-ES_tradnl"/>
        </w:rPr>
        <w:t xml:space="preserve">estableció </w:t>
      </w:r>
      <w:r w:rsidR="007E7396">
        <w:rPr>
          <w:lang w:val="es-ES_tradnl"/>
        </w:rPr>
        <w:t xml:space="preserve">la </w:t>
      </w:r>
      <w:r w:rsidR="004C3EBD">
        <w:rPr>
          <w:lang w:val="es-ES_tradnl"/>
        </w:rPr>
        <w:t>cooperación respecto de</w:t>
      </w:r>
      <w:r w:rsidR="002101D8">
        <w:rPr>
          <w:lang w:val="es-ES_tradnl"/>
        </w:rPr>
        <w:t xml:space="preserve"> </w:t>
      </w:r>
      <w:r w:rsidR="004C3EBD">
        <w:rPr>
          <w:lang w:val="es-ES_tradnl"/>
        </w:rPr>
        <w:t>l</w:t>
      </w:r>
      <w:r w:rsidR="002101D8">
        <w:rPr>
          <w:lang w:val="es-ES_tradnl"/>
        </w:rPr>
        <w:t>a</w:t>
      </w:r>
      <w:r w:rsidR="004C3EBD">
        <w:rPr>
          <w:lang w:val="es-ES_tradnl"/>
        </w:rPr>
        <w:t xml:space="preserve"> MGS con </w:t>
      </w:r>
      <w:r w:rsidR="00E612C9">
        <w:rPr>
          <w:lang w:val="es-ES_tradnl"/>
        </w:rPr>
        <w:t>las Oficinas nacionales que ha</w:t>
      </w:r>
      <w:r w:rsidR="004C3EBD">
        <w:rPr>
          <w:lang w:val="es-ES_tradnl"/>
        </w:rPr>
        <w:t xml:space="preserve">n pedido la integración </w:t>
      </w:r>
      <w:r w:rsidR="00373F16">
        <w:rPr>
          <w:lang w:val="es-ES_tradnl"/>
        </w:rPr>
        <w:t xml:space="preserve">desde el </w:t>
      </w:r>
      <w:r w:rsidR="004C3EBD">
        <w:rPr>
          <w:lang w:val="es-ES_tradnl"/>
        </w:rPr>
        <w:t xml:space="preserve">1 de mayo de </w:t>
      </w:r>
      <w:r w:rsidRPr="000D093B">
        <w:rPr>
          <w:lang w:val="es-ES_tradnl"/>
        </w:rPr>
        <w:t xml:space="preserve">2013, </w:t>
      </w:r>
      <w:r w:rsidR="004C3EBD">
        <w:rPr>
          <w:lang w:val="es-ES_tradnl"/>
        </w:rPr>
        <w:t>concretamente</w:t>
      </w:r>
      <w:r w:rsidRPr="000D093B">
        <w:rPr>
          <w:lang w:val="es-ES_tradnl"/>
        </w:rPr>
        <w:t>:</w:t>
      </w:r>
    </w:p>
    <w:p w:rsidR="009556BA" w:rsidRPr="000D093B" w:rsidRDefault="009556BA" w:rsidP="009556BA">
      <w:pPr>
        <w:rPr>
          <w:lang w:val="es-ES_tradnl"/>
        </w:rPr>
      </w:pPr>
    </w:p>
    <w:p w:rsidR="009556BA" w:rsidRPr="000D093B" w:rsidRDefault="004C3EBD" w:rsidP="00394C7D">
      <w:pPr>
        <w:numPr>
          <w:ilvl w:val="0"/>
          <w:numId w:val="8"/>
        </w:numPr>
        <w:ind w:left="1134" w:hanging="579"/>
        <w:rPr>
          <w:lang w:val="es-ES_tradnl"/>
        </w:rPr>
      </w:pPr>
      <w:r>
        <w:rPr>
          <w:szCs w:val="22"/>
          <w:lang w:val="es-ES_tradnl"/>
        </w:rPr>
        <w:t xml:space="preserve">la Oficina de Propiedad </w:t>
      </w:r>
      <w:r w:rsidR="009556BA" w:rsidRPr="000D093B">
        <w:rPr>
          <w:szCs w:val="22"/>
          <w:lang w:val="es-ES_tradnl"/>
        </w:rPr>
        <w:t xml:space="preserve">Intelectual </w:t>
      </w:r>
      <w:r>
        <w:rPr>
          <w:szCs w:val="22"/>
          <w:lang w:val="es-ES_tradnl"/>
        </w:rPr>
        <w:t>de la Repú</w:t>
      </w:r>
      <w:r w:rsidR="009556BA" w:rsidRPr="000D093B">
        <w:rPr>
          <w:szCs w:val="22"/>
          <w:lang w:val="es-ES_tradnl"/>
        </w:rPr>
        <w:t>blic</w:t>
      </w:r>
      <w:r>
        <w:rPr>
          <w:szCs w:val="22"/>
          <w:lang w:val="es-ES_tradnl"/>
        </w:rPr>
        <w:t>a</w:t>
      </w:r>
      <w:r w:rsidR="009556BA" w:rsidRPr="000D093B">
        <w:rPr>
          <w:szCs w:val="22"/>
          <w:lang w:val="es-ES_tradnl"/>
        </w:rPr>
        <w:t xml:space="preserve"> </w:t>
      </w:r>
      <w:r>
        <w:rPr>
          <w:szCs w:val="22"/>
          <w:lang w:val="es-ES_tradnl"/>
        </w:rPr>
        <w:t>de</w:t>
      </w:r>
      <w:r w:rsidR="009556BA" w:rsidRPr="000D093B">
        <w:rPr>
          <w:szCs w:val="22"/>
          <w:lang w:val="es-ES_tradnl"/>
        </w:rPr>
        <w:t xml:space="preserve"> Serbia (IPO),</w:t>
      </w:r>
    </w:p>
    <w:p w:rsidR="009556BA" w:rsidRPr="000D093B" w:rsidRDefault="00B3715E" w:rsidP="00394C7D">
      <w:pPr>
        <w:numPr>
          <w:ilvl w:val="0"/>
          <w:numId w:val="8"/>
        </w:numPr>
        <w:ind w:left="1134" w:hanging="579"/>
        <w:rPr>
          <w:lang w:val="es-ES_tradnl"/>
        </w:rPr>
      </w:pPr>
      <w:r>
        <w:rPr>
          <w:szCs w:val="22"/>
          <w:lang w:val="es-ES_tradnl"/>
        </w:rPr>
        <w:t xml:space="preserve">el </w:t>
      </w:r>
      <w:r w:rsidR="0003249F" w:rsidRPr="0003249F">
        <w:rPr>
          <w:szCs w:val="22"/>
          <w:lang w:val="es-ES_tradnl"/>
        </w:rPr>
        <w:t xml:space="preserve">Servicio Estatal de Propiedad Intelectual de Ucrania </w:t>
      </w:r>
      <w:r w:rsidR="009556BA" w:rsidRPr="000D093B">
        <w:rPr>
          <w:szCs w:val="22"/>
          <w:lang w:val="es-ES_tradnl"/>
        </w:rPr>
        <w:t xml:space="preserve">(SIPS), </w:t>
      </w:r>
      <w:r w:rsidR="0003249F">
        <w:rPr>
          <w:szCs w:val="22"/>
          <w:lang w:val="es-ES_tradnl"/>
        </w:rPr>
        <w:t>y</w:t>
      </w:r>
    </w:p>
    <w:p w:rsidR="009556BA" w:rsidRPr="000D093B" w:rsidRDefault="0003249F" w:rsidP="00394C7D">
      <w:pPr>
        <w:numPr>
          <w:ilvl w:val="0"/>
          <w:numId w:val="8"/>
        </w:numPr>
        <w:ind w:left="1134" w:hanging="579"/>
        <w:rPr>
          <w:lang w:val="es-ES_tradnl"/>
        </w:rPr>
      </w:pPr>
      <w:r>
        <w:rPr>
          <w:lang w:val="es-ES_tradnl"/>
        </w:rPr>
        <w:t>el</w:t>
      </w:r>
      <w:r w:rsidR="009556BA" w:rsidRPr="000D093B">
        <w:rPr>
          <w:lang w:val="es-ES_tradnl"/>
        </w:rPr>
        <w:t xml:space="preserve"> </w:t>
      </w:r>
      <w:r>
        <w:rPr>
          <w:lang w:val="es-ES_tradnl"/>
        </w:rPr>
        <w:t>Instituto Mexicano de la Propiedad Industrial</w:t>
      </w:r>
      <w:r w:rsidR="009556BA" w:rsidRPr="000D093B">
        <w:rPr>
          <w:lang w:val="es-ES_tradnl"/>
        </w:rPr>
        <w:t xml:space="preserve"> (IMPI).</w:t>
      </w:r>
    </w:p>
    <w:p w:rsidR="009556BA" w:rsidRPr="000D093B" w:rsidRDefault="009556BA" w:rsidP="00C5143A">
      <w:pPr>
        <w:rPr>
          <w:lang w:val="es-ES_tradnl"/>
        </w:rPr>
      </w:pPr>
    </w:p>
    <w:p w:rsidR="009E29BA"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9E29BA">
        <w:rPr>
          <w:lang w:val="es-ES_tradnl"/>
        </w:rPr>
        <w:t xml:space="preserve">Para comprender más adecuadamente las cifras </w:t>
      </w:r>
      <w:r w:rsidR="00300CB4">
        <w:rPr>
          <w:lang w:val="es-ES_tradnl"/>
        </w:rPr>
        <w:t xml:space="preserve">de </w:t>
      </w:r>
      <w:r w:rsidR="009E29BA">
        <w:rPr>
          <w:lang w:val="es-ES_tradnl"/>
        </w:rPr>
        <w:t>los Anexos I y II que se mencionan más adelante (véanse los párrafos</w:t>
      </w:r>
      <w:r w:rsidRPr="000D093B">
        <w:rPr>
          <w:lang w:val="es-ES_tradnl"/>
        </w:rPr>
        <w:t xml:space="preserve"> 9 </w:t>
      </w:r>
      <w:r w:rsidR="009E29BA">
        <w:rPr>
          <w:lang w:val="es-ES_tradnl"/>
        </w:rPr>
        <w:t xml:space="preserve">y </w:t>
      </w:r>
      <w:r w:rsidRPr="000D093B">
        <w:rPr>
          <w:lang w:val="es-ES_tradnl"/>
        </w:rPr>
        <w:t xml:space="preserve">10), </w:t>
      </w:r>
      <w:r w:rsidR="009E29BA">
        <w:rPr>
          <w:lang w:val="es-ES_tradnl"/>
        </w:rPr>
        <w:t>se recuerda asimismo que la Base d</w:t>
      </w:r>
      <w:r w:rsidR="00596C64">
        <w:rPr>
          <w:lang w:val="es-ES_tradnl"/>
        </w:rPr>
        <w:t>e datos MGS está estructurada d</w:t>
      </w:r>
      <w:r w:rsidR="009E29BA">
        <w:rPr>
          <w:lang w:val="es-ES_tradnl"/>
        </w:rPr>
        <w:t>e</w:t>
      </w:r>
      <w:r w:rsidR="00596C64">
        <w:rPr>
          <w:lang w:val="es-ES_tradnl"/>
        </w:rPr>
        <w:t xml:space="preserve"> </w:t>
      </w:r>
      <w:r w:rsidR="009E29BA">
        <w:rPr>
          <w:lang w:val="es-ES_tradnl"/>
        </w:rPr>
        <w:t>la misma manera que la Lista alfabética de productos y servicios de la Clasificación de Niza, en la que las indicaciones sinónimas se agrupan en “conceptos” que tienen cada uno un número de identificación individual.  Agrupar en conceptos las indicaciones de productos y servicios tiene tres ventajas:</w:t>
      </w:r>
    </w:p>
    <w:p w:rsidR="009556BA" w:rsidRPr="000D093B" w:rsidRDefault="009556BA" w:rsidP="009556BA">
      <w:pPr>
        <w:rPr>
          <w:lang w:val="es-ES_tradnl"/>
        </w:rPr>
      </w:pPr>
    </w:p>
    <w:p w:rsidR="009556BA" w:rsidRPr="009E29BA" w:rsidRDefault="009E29BA" w:rsidP="00394C7D">
      <w:pPr>
        <w:numPr>
          <w:ilvl w:val="0"/>
          <w:numId w:val="8"/>
        </w:numPr>
        <w:ind w:left="1134" w:hanging="579"/>
        <w:rPr>
          <w:lang w:val="es-ES_tradnl"/>
        </w:rPr>
      </w:pPr>
      <w:r>
        <w:rPr>
          <w:lang w:val="es-ES_tradnl"/>
        </w:rPr>
        <w:t>las Oficinas nacionales que efectúan traducciones a sus idiomas nacionales no están obligadas a proporcionar más de una traducción por concepto, lo que reduce considerablemente el volumen de trabajo de traducción</w:t>
      </w:r>
      <w:r w:rsidR="009556BA" w:rsidRPr="009E29BA">
        <w:rPr>
          <w:lang w:val="es-ES_tradnl"/>
        </w:rPr>
        <w:t>;</w:t>
      </w:r>
    </w:p>
    <w:p w:rsidR="009556BA" w:rsidRPr="000D093B" w:rsidRDefault="009556BA" w:rsidP="00394C7D">
      <w:pPr>
        <w:ind w:left="1134" w:hanging="579"/>
        <w:rPr>
          <w:lang w:val="es-ES_tradnl"/>
        </w:rPr>
      </w:pPr>
    </w:p>
    <w:p w:rsidR="009556BA" w:rsidRPr="000D093B" w:rsidRDefault="009E29BA" w:rsidP="00394C7D">
      <w:pPr>
        <w:numPr>
          <w:ilvl w:val="0"/>
          <w:numId w:val="8"/>
        </w:numPr>
        <w:ind w:left="1134" w:hanging="579"/>
        <w:rPr>
          <w:lang w:val="es-ES_tradnl"/>
        </w:rPr>
      </w:pPr>
      <w:r>
        <w:rPr>
          <w:lang w:val="es-ES_tradnl"/>
        </w:rPr>
        <w:t>se reduce así el número de duplicados en traducción dado que todos los idiomas no pueden reflejar exactamente los matices existentes en inglés (el idioma central de la base de datos);  y</w:t>
      </w:r>
    </w:p>
    <w:p w:rsidR="009556BA" w:rsidRPr="000D093B" w:rsidRDefault="009556BA" w:rsidP="00394C7D">
      <w:pPr>
        <w:ind w:left="1134" w:hanging="579"/>
        <w:rPr>
          <w:lang w:val="es-ES_tradnl"/>
        </w:rPr>
      </w:pPr>
    </w:p>
    <w:p w:rsidR="009556BA" w:rsidRPr="000D093B" w:rsidRDefault="009E29BA" w:rsidP="00394C7D">
      <w:pPr>
        <w:numPr>
          <w:ilvl w:val="0"/>
          <w:numId w:val="8"/>
        </w:numPr>
        <w:ind w:left="1134" w:hanging="579"/>
        <w:rPr>
          <w:lang w:val="es-ES_tradnl"/>
        </w:rPr>
      </w:pPr>
      <w:r>
        <w:rPr>
          <w:lang w:val="es-ES_tradnl"/>
        </w:rPr>
        <w:t xml:space="preserve">el </w:t>
      </w:r>
      <w:r w:rsidR="009556BA" w:rsidRPr="000D093B">
        <w:rPr>
          <w:lang w:val="es-ES_tradnl"/>
        </w:rPr>
        <w:t xml:space="preserve">MGS </w:t>
      </w:r>
      <w:r>
        <w:rPr>
          <w:lang w:val="es-ES_tradnl"/>
        </w:rPr>
        <w:t>alerta a los usuarios cuando seleccionan indicaciones anónimas de los resultados de la Búsqueda</w:t>
      </w:r>
      <w:r w:rsidR="009556BA" w:rsidRPr="000D093B">
        <w:rPr>
          <w:lang w:val="es-ES_tradnl"/>
        </w:rPr>
        <w:t xml:space="preserve">. </w:t>
      </w:r>
    </w:p>
    <w:p w:rsidR="009556BA" w:rsidRPr="000D093B" w:rsidRDefault="009556BA" w:rsidP="00C5143A">
      <w:pPr>
        <w:rPr>
          <w:lang w:val="es-ES_tradnl"/>
        </w:rPr>
      </w:pPr>
    </w:p>
    <w:p w:rsidR="009556BA" w:rsidRPr="000D093B" w:rsidRDefault="00245149" w:rsidP="00C5143A">
      <w:pPr>
        <w:keepNext/>
        <w:ind w:left="570" w:hanging="570"/>
        <w:rPr>
          <w:lang w:val="es-ES_tradnl"/>
        </w:rPr>
      </w:pPr>
      <w:r>
        <w:rPr>
          <w:lang w:val="es-ES_tradnl"/>
        </w:rPr>
        <w:lastRenderedPageBreak/>
        <w:t>DIVERSIDAD LINGUÍSTICA</w:t>
      </w:r>
    </w:p>
    <w:p w:rsidR="009556BA" w:rsidRPr="000D093B" w:rsidRDefault="009556BA" w:rsidP="00C5143A">
      <w:pPr>
        <w:keepNext/>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946049">
        <w:rPr>
          <w:lang w:val="es-ES_tradnl"/>
        </w:rPr>
        <w:t>Se han preparado nuevas interfaces de idiomas en cooperación con las respectivas Oficinas nacionales</w:t>
      </w:r>
      <w:r w:rsidRPr="000D093B">
        <w:rPr>
          <w:lang w:val="es-ES_tradnl"/>
        </w:rPr>
        <w:t>:</w:t>
      </w:r>
    </w:p>
    <w:p w:rsidR="009556BA" w:rsidRPr="000D093B" w:rsidRDefault="009556BA" w:rsidP="009556BA">
      <w:pPr>
        <w:rPr>
          <w:lang w:val="es-ES_tradnl"/>
        </w:rPr>
      </w:pPr>
    </w:p>
    <w:p w:rsidR="009556BA" w:rsidRPr="000D093B" w:rsidRDefault="00946049" w:rsidP="00394C7D">
      <w:pPr>
        <w:numPr>
          <w:ilvl w:val="0"/>
          <w:numId w:val="8"/>
        </w:numPr>
        <w:ind w:left="1134" w:hanging="579"/>
        <w:rPr>
          <w:lang w:val="es-ES_tradnl"/>
        </w:rPr>
      </w:pPr>
      <w:r>
        <w:rPr>
          <w:lang w:val="es-ES_tradnl"/>
        </w:rPr>
        <w:t xml:space="preserve">la interfaz en idioma serbio se publicó en marzo de </w:t>
      </w:r>
      <w:r w:rsidR="009556BA" w:rsidRPr="000D093B">
        <w:rPr>
          <w:lang w:val="es-ES_tradnl"/>
        </w:rPr>
        <w:t>2014,</w:t>
      </w:r>
    </w:p>
    <w:p w:rsidR="009556BA" w:rsidRPr="000D093B" w:rsidRDefault="00946049" w:rsidP="00394C7D">
      <w:pPr>
        <w:numPr>
          <w:ilvl w:val="0"/>
          <w:numId w:val="8"/>
        </w:numPr>
        <w:ind w:left="1134" w:hanging="579"/>
        <w:rPr>
          <w:lang w:val="es-ES_tradnl"/>
        </w:rPr>
      </w:pPr>
      <w:r>
        <w:rPr>
          <w:lang w:val="es-ES_tradnl"/>
        </w:rPr>
        <w:t xml:space="preserve">la interfaz en idioma coreano se publicó en mayo de </w:t>
      </w:r>
      <w:r w:rsidR="009556BA" w:rsidRPr="000D093B">
        <w:rPr>
          <w:lang w:val="es-ES_tradnl"/>
        </w:rPr>
        <w:t>2014,</w:t>
      </w:r>
    </w:p>
    <w:p w:rsidR="009556BA" w:rsidRPr="000D093B" w:rsidRDefault="00946049" w:rsidP="00394C7D">
      <w:pPr>
        <w:numPr>
          <w:ilvl w:val="0"/>
          <w:numId w:val="8"/>
        </w:numPr>
        <w:ind w:left="1134" w:hanging="579"/>
        <w:rPr>
          <w:lang w:val="es-ES_tradnl"/>
        </w:rPr>
      </w:pPr>
      <w:r>
        <w:rPr>
          <w:lang w:val="es-ES_tradnl"/>
        </w:rPr>
        <w:t xml:space="preserve">la interfaz en idioma </w:t>
      </w:r>
      <w:r w:rsidR="00116985">
        <w:rPr>
          <w:lang w:val="es-ES_tradnl"/>
        </w:rPr>
        <w:t xml:space="preserve">ucraniano se comenzó a elaborar en mayo de </w:t>
      </w:r>
      <w:r w:rsidR="009556BA" w:rsidRPr="000D093B">
        <w:rPr>
          <w:lang w:val="es-ES_tradnl"/>
        </w:rPr>
        <w:t>2014.</w:t>
      </w:r>
    </w:p>
    <w:p w:rsidR="009556BA" w:rsidRPr="000D093B" w:rsidRDefault="009556BA" w:rsidP="009556BA">
      <w:pPr>
        <w:pStyle w:val="ListParagraph"/>
        <w:ind w:left="0"/>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A143EF">
        <w:rPr>
          <w:lang w:val="es-ES_tradnl"/>
        </w:rPr>
        <w:t>En el Anexo I se presenta el contenido de la Base de datos MGS en función del volumen de datos por idioma, según lo publicado en mayo de 2014 en el sitio web de la</w:t>
      </w:r>
      <w:r w:rsidR="00373F16">
        <w:rPr>
          <w:lang w:val="es-ES_tradnl"/>
        </w:rPr>
        <w:t xml:space="preserve"> OMPI</w:t>
      </w:r>
      <w:r w:rsidR="00A143EF">
        <w:rPr>
          <w:lang w:val="es-ES_tradnl"/>
        </w:rPr>
        <w:t>.</w:t>
      </w:r>
    </w:p>
    <w:p w:rsidR="009556BA" w:rsidRPr="000D093B" w:rsidRDefault="009556BA" w:rsidP="009556BA">
      <w:pPr>
        <w:rPr>
          <w:lang w:val="es-ES_tradnl"/>
        </w:rPr>
      </w:pPr>
    </w:p>
    <w:p w:rsidR="00C75295"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BB4D27">
        <w:rPr>
          <w:lang w:val="es-ES_tradnl"/>
        </w:rPr>
        <w:t>En el Anexo II se ofrece un panorama general de</w:t>
      </w:r>
      <w:r w:rsidR="00C75295">
        <w:rPr>
          <w:lang w:val="es-ES_tradnl"/>
        </w:rPr>
        <w:t>l volumen relativo de datos traducidos en lo que atañe a los conceptos traducidos a los idiomas de la MGS.  Cabe observar que el proceso de traducción a idiomas distintos de los idiomas oficiales del Sistema de Madrid depende de los avances en el proceso de traducción realizados por las Oficinas nacionales cooperantes.</w:t>
      </w:r>
    </w:p>
    <w:p w:rsidR="009556BA" w:rsidRPr="000D093B" w:rsidRDefault="009556BA" w:rsidP="009556BA">
      <w:pPr>
        <w:tabs>
          <w:tab w:val="num" w:pos="0"/>
        </w:tabs>
        <w:rPr>
          <w:lang w:val="es-ES_tradnl"/>
        </w:rPr>
      </w:pPr>
    </w:p>
    <w:p w:rsidR="009556BA" w:rsidRPr="000D093B" w:rsidRDefault="009556BA" w:rsidP="009556BA">
      <w:pPr>
        <w:rPr>
          <w:lang w:val="es-ES_tradnl"/>
        </w:rPr>
      </w:pPr>
    </w:p>
    <w:p w:rsidR="009556BA" w:rsidRPr="000D093B" w:rsidRDefault="00C75295" w:rsidP="009556BA">
      <w:pPr>
        <w:rPr>
          <w:lang w:val="es-ES_tradnl"/>
        </w:rPr>
      </w:pPr>
      <w:r>
        <w:rPr>
          <w:lang w:val="es-ES_tradnl"/>
        </w:rPr>
        <w:t>VERIFICACIÓN DE LA ACEPTACIÓN DE LA BASE DE DATOS MGS</w:t>
      </w:r>
    </w:p>
    <w:p w:rsidR="009556BA" w:rsidRPr="000D093B" w:rsidRDefault="009556BA" w:rsidP="009556BA">
      <w:pPr>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347543">
        <w:rPr>
          <w:lang w:val="es-ES_tradnl"/>
        </w:rPr>
        <w:t>En el Anexo III se ofrece un panorama general del volumen relativo de la Base de datos MGS en lo que atañe a la aceptación por las Partes Contratantes según lo expuesto en la función “Verificar aceptación de la Parte Contratante designada (PCd)”.  Desde el 1 de mayo de 2013, ha aumentado a 19 el número de países seleccionables en esta función, al haberse añadido los tres nuevos países participantes siguientes</w:t>
      </w:r>
      <w:r w:rsidRPr="000D093B">
        <w:rPr>
          <w:lang w:val="es-ES_tradnl"/>
        </w:rPr>
        <w:t xml:space="preserve">: </w:t>
      </w:r>
    </w:p>
    <w:p w:rsidR="009556BA" w:rsidRPr="000D093B" w:rsidRDefault="009556BA" w:rsidP="009556BA">
      <w:pPr>
        <w:rPr>
          <w:lang w:val="es-ES_tradnl"/>
        </w:rPr>
      </w:pPr>
    </w:p>
    <w:p w:rsidR="009556BA" w:rsidRPr="000D093B" w:rsidRDefault="00347543" w:rsidP="00394C7D">
      <w:pPr>
        <w:numPr>
          <w:ilvl w:val="0"/>
          <w:numId w:val="8"/>
        </w:numPr>
        <w:ind w:left="1134" w:hanging="579"/>
        <w:rPr>
          <w:lang w:val="es-ES_tradnl"/>
        </w:rPr>
      </w:pPr>
      <w:r>
        <w:rPr>
          <w:lang w:val="es-ES_tradnl"/>
        </w:rPr>
        <w:t>Belarú</w:t>
      </w:r>
      <w:r w:rsidR="009556BA" w:rsidRPr="000D093B">
        <w:rPr>
          <w:lang w:val="es-ES_tradnl"/>
        </w:rPr>
        <w:t xml:space="preserve">s, </w:t>
      </w:r>
    </w:p>
    <w:p w:rsidR="009556BA" w:rsidRPr="00C82F5E" w:rsidRDefault="00A4722A" w:rsidP="00394C7D">
      <w:pPr>
        <w:numPr>
          <w:ilvl w:val="0"/>
          <w:numId w:val="8"/>
        </w:numPr>
        <w:ind w:left="1134" w:hanging="579"/>
        <w:rPr>
          <w:lang w:val="es-ES_tradnl"/>
        </w:rPr>
      </w:pPr>
      <w:r w:rsidRPr="00C82F5E">
        <w:rPr>
          <w:lang w:val="es-ES_tradnl"/>
        </w:rPr>
        <w:t>Serbia</w:t>
      </w:r>
      <w:r w:rsidR="009556BA" w:rsidRPr="00C82F5E">
        <w:rPr>
          <w:lang w:val="es-ES_tradnl"/>
        </w:rPr>
        <w:t xml:space="preserve"> </w:t>
      </w:r>
      <w:r w:rsidR="00300CB4" w:rsidRPr="00C82F5E">
        <w:rPr>
          <w:lang w:val="es-ES_tradnl"/>
        </w:rPr>
        <w:t>y</w:t>
      </w:r>
    </w:p>
    <w:p w:rsidR="009556BA" w:rsidRPr="000D093B" w:rsidRDefault="00347543" w:rsidP="00394C7D">
      <w:pPr>
        <w:numPr>
          <w:ilvl w:val="0"/>
          <w:numId w:val="8"/>
        </w:numPr>
        <w:ind w:left="1134" w:hanging="579"/>
        <w:rPr>
          <w:lang w:val="es-ES_tradnl"/>
        </w:rPr>
      </w:pPr>
      <w:r>
        <w:rPr>
          <w:lang w:val="es-ES_tradnl"/>
        </w:rPr>
        <w:t>Ucrania</w:t>
      </w:r>
      <w:r w:rsidR="009556BA" w:rsidRPr="000D093B">
        <w:rPr>
          <w:lang w:val="es-ES_tradnl"/>
        </w:rPr>
        <w:t>.</w:t>
      </w:r>
    </w:p>
    <w:p w:rsidR="009556BA" w:rsidRPr="00C5143A" w:rsidRDefault="009556BA" w:rsidP="00C5143A">
      <w:pPr>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00F61154">
        <w:rPr>
          <w:lang w:val="es-ES_tradnl"/>
        </w:rPr>
        <w:tab/>
        <w:t xml:space="preserve">Cabe observar que la </w:t>
      </w:r>
      <w:r w:rsidR="00A82474">
        <w:rPr>
          <w:lang w:val="es-ES_tradnl"/>
        </w:rPr>
        <w:t>información sobre</w:t>
      </w:r>
      <w:r w:rsidR="00F61154">
        <w:rPr>
          <w:lang w:val="es-ES_tradnl"/>
        </w:rPr>
        <w:t xml:space="preserve"> la aceptación respecto de cada una de las 19 Partes Contratantes participantes se ha determinado a partir de varias fuentes</w:t>
      </w:r>
      <w:r w:rsidRPr="000D093B">
        <w:rPr>
          <w:szCs w:val="22"/>
          <w:lang w:val="es-ES_tradnl"/>
        </w:rPr>
        <w:t>:</w:t>
      </w:r>
    </w:p>
    <w:p w:rsidR="009556BA" w:rsidRPr="000D093B" w:rsidRDefault="009556BA" w:rsidP="009556BA">
      <w:pPr>
        <w:rPr>
          <w:lang w:val="es-ES_tradnl"/>
        </w:rPr>
      </w:pPr>
    </w:p>
    <w:p w:rsidR="00F61154" w:rsidRPr="006E52F4" w:rsidRDefault="009556BA" w:rsidP="00D00D63">
      <w:pPr>
        <w:ind w:left="1170" w:hanging="620"/>
        <w:rPr>
          <w:lang w:val="es-ES_tradnl"/>
        </w:rPr>
      </w:pPr>
      <w:r w:rsidRPr="000D093B">
        <w:rPr>
          <w:lang w:val="es-ES_tradnl"/>
        </w:rPr>
        <w:t>–</w:t>
      </w:r>
      <w:r w:rsidRPr="000D093B">
        <w:rPr>
          <w:lang w:val="es-ES_tradnl"/>
        </w:rPr>
        <w:tab/>
      </w:r>
      <w:r w:rsidR="00F61154" w:rsidRPr="006E52F4">
        <w:rPr>
          <w:lang w:val="es-ES_tradnl"/>
        </w:rPr>
        <w:t xml:space="preserve">información relativa a la </w:t>
      </w:r>
      <w:r w:rsidR="00A82474">
        <w:rPr>
          <w:lang w:val="es-ES_tradnl"/>
        </w:rPr>
        <w:t xml:space="preserve">aceptación </w:t>
      </w:r>
      <w:r w:rsidR="00F61154" w:rsidRPr="006E52F4">
        <w:rPr>
          <w:lang w:val="es-ES_tradnl"/>
        </w:rPr>
        <w:t>enviada directamente por las Oficinas nacionales que tradujeron la base de datos y verificaron la aceptación o rechazo de cada uno de los conceptos en inglés;</w:t>
      </w:r>
    </w:p>
    <w:p w:rsidR="00F61154" w:rsidRPr="000D093B" w:rsidRDefault="00F61154" w:rsidP="009556BA">
      <w:pPr>
        <w:ind w:left="360"/>
        <w:rPr>
          <w:lang w:val="es-ES_tradnl"/>
        </w:rPr>
      </w:pPr>
    </w:p>
    <w:p w:rsidR="00D00D63" w:rsidRDefault="009556BA" w:rsidP="00D00D63">
      <w:pPr>
        <w:ind w:left="1170" w:hanging="620"/>
        <w:rPr>
          <w:lang w:val="es-ES_tradnl"/>
        </w:rPr>
      </w:pPr>
      <w:r w:rsidRPr="000D093B">
        <w:rPr>
          <w:lang w:val="es-ES_tradnl"/>
        </w:rPr>
        <w:t>–</w:t>
      </w:r>
      <w:r w:rsidRPr="000D093B">
        <w:rPr>
          <w:lang w:val="es-ES_tradnl"/>
        </w:rPr>
        <w:tab/>
      </w:r>
      <w:r w:rsidR="00D00D63">
        <w:rPr>
          <w:lang w:val="es-ES_tradnl"/>
        </w:rPr>
        <w:t xml:space="preserve">la lista armonizada de productos y servicios </w:t>
      </w:r>
      <w:r w:rsidRPr="000D093B">
        <w:rPr>
          <w:lang w:val="es-ES_tradnl"/>
        </w:rPr>
        <w:t xml:space="preserve">TM5 - ID </w:t>
      </w:r>
      <w:r w:rsidR="00D00D63">
        <w:rPr>
          <w:lang w:val="es-ES_tradnl"/>
        </w:rPr>
        <w:t xml:space="preserve">a la que contribuyen actualmente cuatro Oficinas: </w:t>
      </w:r>
      <w:r w:rsidR="00D00D63" w:rsidRPr="00D00D63">
        <w:rPr>
          <w:lang w:val="es-ES_tradnl"/>
        </w:rPr>
        <w:t>la Oficina Japonesa de Patentes</w:t>
      </w:r>
      <w:r w:rsidR="00D00D63">
        <w:rPr>
          <w:lang w:val="es-ES_tradnl"/>
        </w:rPr>
        <w:t xml:space="preserve"> </w:t>
      </w:r>
      <w:r w:rsidR="00D00D63" w:rsidRPr="00D00D63">
        <w:rPr>
          <w:lang w:val="es-ES_tradnl"/>
        </w:rPr>
        <w:t>(JPO), la Oficina Coreana de Propiedad Intelectual (KIPO)</w:t>
      </w:r>
      <w:r w:rsidR="00D00D63">
        <w:rPr>
          <w:lang w:val="es-ES_tradnl"/>
        </w:rPr>
        <w:t xml:space="preserve">, </w:t>
      </w:r>
      <w:r w:rsidR="00D00D63" w:rsidRPr="00D00D63">
        <w:rPr>
          <w:lang w:val="es-ES_tradnl"/>
        </w:rPr>
        <w:t>la Oficina</w:t>
      </w:r>
      <w:r w:rsidR="00D00D63">
        <w:rPr>
          <w:lang w:val="es-ES_tradnl"/>
        </w:rPr>
        <w:t xml:space="preserve"> </w:t>
      </w:r>
      <w:r w:rsidR="00D00D63" w:rsidRPr="00D00D63">
        <w:rPr>
          <w:lang w:val="es-ES_tradnl"/>
        </w:rPr>
        <w:t>de Armonización del Mercado Interior</w:t>
      </w:r>
      <w:r w:rsidR="00D00D63">
        <w:rPr>
          <w:lang w:val="es-ES_tradnl"/>
        </w:rPr>
        <w:t xml:space="preserve"> </w:t>
      </w:r>
      <w:r w:rsidR="00D00D63" w:rsidRPr="00D00D63">
        <w:rPr>
          <w:lang w:val="es-ES_tradnl"/>
        </w:rPr>
        <w:t>(Marcas, dibujos y modelos)</w:t>
      </w:r>
      <w:r w:rsidR="00D00D63">
        <w:rPr>
          <w:lang w:val="es-ES_tradnl"/>
        </w:rPr>
        <w:t xml:space="preserve"> </w:t>
      </w:r>
      <w:r w:rsidR="00D00D63" w:rsidRPr="00D00D63">
        <w:rPr>
          <w:lang w:val="es-ES_tradnl"/>
        </w:rPr>
        <w:t>(OAMI)</w:t>
      </w:r>
      <w:r w:rsidR="00D00D63">
        <w:rPr>
          <w:lang w:val="es-ES_tradnl"/>
        </w:rPr>
        <w:t xml:space="preserve"> </w:t>
      </w:r>
      <w:r w:rsidR="00D00D63" w:rsidRPr="00D00D63">
        <w:rPr>
          <w:lang w:val="es-ES_tradnl"/>
        </w:rPr>
        <w:t>y</w:t>
      </w:r>
      <w:r w:rsidR="00D00D63">
        <w:rPr>
          <w:lang w:val="es-ES_tradnl"/>
        </w:rPr>
        <w:t xml:space="preserve"> </w:t>
      </w:r>
      <w:r w:rsidR="00D00D63" w:rsidRPr="00D00D63">
        <w:rPr>
          <w:lang w:val="es-ES_tradnl"/>
        </w:rPr>
        <w:t>la</w:t>
      </w:r>
      <w:r w:rsidR="00D00D63">
        <w:rPr>
          <w:lang w:val="es-ES_tradnl"/>
        </w:rPr>
        <w:t xml:space="preserve"> </w:t>
      </w:r>
      <w:r w:rsidR="00D00D63" w:rsidRPr="00D00D63">
        <w:rPr>
          <w:lang w:val="es-ES_tradnl"/>
        </w:rPr>
        <w:t>Oficina de Patentes y Marcas de los Estados</w:t>
      </w:r>
      <w:r w:rsidR="00D00D63">
        <w:rPr>
          <w:lang w:val="es-ES_tradnl"/>
        </w:rPr>
        <w:t xml:space="preserve"> </w:t>
      </w:r>
      <w:r w:rsidR="00D00D63" w:rsidRPr="00D00D63">
        <w:rPr>
          <w:lang w:val="es-ES_tradnl"/>
        </w:rPr>
        <w:t>Unidos (USPTO)</w:t>
      </w:r>
      <w:r w:rsidR="00D00D63">
        <w:rPr>
          <w:lang w:val="es-ES_tradnl"/>
        </w:rPr>
        <w:t>;</w:t>
      </w:r>
    </w:p>
    <w:p w:rsidR="00D00D63" w:rsidRDefault="00D00D63" w:rsidP="00D00D63">
      <w:pPr>
        <w:ind w:left="550"/>
        <w:rPr>
          <w:lang w:val="es-ES_tradnl"/>
        </w:rPr>
      </w:pPr>
    </w:p>
    <w:p w:rsidR="009556BA" w:rsidRPr="000D093B" w:rsidRDefault="009556BA" w:rsidP="009556BA">
      <w:pPr>
        <w:ind w:firstLine="550"/>
        <w:rPr>
          <w:lang w:val="es-ES_tradnl"/>
        </w:rPr>
      </w:pPr>
      <w:r w:rsidRPr="000D093B">
        <w:rPr>
          <w:lang w:val="es-ES_tradnl"/>
        </w:rPr>
        <w:t>–</w:t>
      </w:r>
      <w:r w:rsidRPr="000D093B">
        <w:rPr>
          <w:lang w:val="es-ES_tradnl"/>
        </w:rPr>
        <w:tab/>
      </w:r>
      <w:r w:rsidR="00B5608D">
        <w:rPr>
          <w:lang w:val="es-ES_tradnl"/>
        </w:rPr>
        <w:t xml:space="preserve">la lista de la </w:t>
      </w:r>
      <w:r w:rsidRPr="000D093B">
        <w:rPr>
          <w:lang w:val="es-ES_tradnl"/>
        </w:rPr>
        <w:t>KIPO</w:t>
      </w:r>
      <w:r w:rsidR="00B5608D">
        <w:rPr>
          <w:lang w:val="es-ES_tradnl"/>
        </w:rPr>
        <w:t xml:space="preserve"> de identificaciones </w:t>
      </w:r>
      <w:r w:rsidR="00F26960">
        <w:rPr>
          <w:lang w:val="es-ES_tradnl"/>
        </w:rPr>
        <w:t>válidas</w:t>
      </w:r>
      <w:r w:rsidR="00B5608D">
        <w:rPr>
          <w:lang w:val="es-ES_tradnl"/>
        </w:rPr>
        <w:t xml:space="preserve"> de productos y servicios;  y</w:t>
      </w:r>
    </w:p>
    <w:p w:rsidR="009556BA" w:rsidRPr="000D093B" w:rsidRDefault="009556BA" w:rsidP="009556BA">
      <w:pPr>
        <w:rPr>
          <w:lang w:val="es-ES_tradnl"/>
        </w:rPr>
      </w:pPr>
    </w:p>
    <w:p w:rsidR="009556BA" w:rsidRPr="000D093B" w:rsidRDefault="009556BA" w:rsidP="00B5608D">
      <w:pPr>
        <w:ind w:left="1134" w:hanging="584"/>
        <w:rPr>
          <w:lang w:val="es-ES_tradnl"/>
        </w:rPr>
      </w:pPr>
      <w:r w:rsidRPr="00B5608D">
        <w:rPr>
          <w:lang w:val="es-ES_tradnl"/>
        </w:rPr>
        <w:t>–</w:t>
      </w:r>
      <w:r w:rsidRPr="00B5608D">
        <w:rPr>
          <w:lang w:val="es-ES_tradnl"/>
        </w:rPr>
        <w:tab/>
      </w:r>
      <w:r w:rsidR="00B5608D" w:rsidRPr="00B5608D">
        <w:rPr>
          <w:lang w:val="es-ES_tradnl"/>
        </w:rPr>
        <w:t xml:space="preserve">el manual </w:t>
      </w:r>
      <w:r w:rsidR="00A82474" w:rsidRPr="00B5608D">
        <w:rPr>
          <w:lang w:val="es-ES_tradnl"/>
        </w:rPr>
        <w:t xml:space="preserve">de la USPTO </w:t>
      </w:r>
      <w:r w:rsidR="00B5608D" w:rsidRPr="00B5608D">
        <w:rPr>
          <w:lang w:val="es-ES_tradnl"/>
        </w:rPr>
        <w:t xml:space="preserve">de </w:t>
      </w:r>
      <w:r w:rsidR="00A82474">
        <w:rPr>
          <w:lang w:val="es-ES_tradnl"/>
        </w:rPr>
        <w:t>identificaciones</w:t>
      </w:r>
      <w:r w:rsidR="00B5608D" w:rsidRPr="00B5608D">
        <w:rPr>
          <w:lang w:val="es-ES_tradnl"/>
        </w:rPr>
        <w:t xml:space="preserve"> válida</w:t>
      </w:r>
      <w:r w:rsidR="00A82474">
        <w:rPr>
          <w:lang w:val="es-ES_tradnl"/>
        </w:rPr>
        <w:t>s</w:t>
      </w:r>
      <w:r w:rsidR="00B5608D" w:rsidRPr="00B5608D">
        <w:rPr>
          <w:lang w:val="es-ES_tradnl"/>
        </w:rPr>
        <w:t xml:space="preserve"> de productos y servicios.</w:t>
      </w:r>
    </w:p>
    <w:p w:rsidR="009556BA" w:rsidRPr="000D093B" w:rsidRDefault="009556BA" w:rsidP="009556BA">
      <w:pPr>
        <w:ind w:left="1134" w:hanging="1134"/>
        <w:rPr>
          <w:lang w:val="es-ES_tradnl"/>
        </w:rPr>
      </w:pPr>
    </w:p>
    <w:p w:rsidR="009556BA" w:rsidRPr="000D093B" w:rsidRDefault="009556BA" w:rsidP="009556BA">
      <w:pPr>
        <w:ind w:left="1134" w:hanging="1134"/>
        <w:rPr>
          <w:lang w:val="es-ES_tradnl"/>
        </w:rPr>
      </w:pPr>
    </w:p>
    <w:p w:rsidR="009556BA" w:rsidRPr="000D093B" w:rsidRDefault="00E023DB" w:rsidP="009556BA">
      <w:pPr>
        <w:rPr>
          <w:lang w:val="es-ES_tradnl"/>
        </w:rPr>
      </w:pPr>
      <w:r>
        <w:rPr>
          <w:lang w:val="es-ES_tradnl"/>
        </w:rPr>
        <w:t>OTROS</w:t>
      </w:r>
      <w:r w:rsidR="009556BA" w:rsidRPr="000D093B">
        <w:rPr>
          <w:lang w:val="es-ES_tradnl"/>
        </w:rPr>
        <w:t xml:space="preserve"> RESULT</w:t>
      </w:r>
      <w:r>
        <w:rPr>
          <w:lang w:val="es-ES_tradnl"/>
        </w:rPr>
        <w:t>ADO</w:t>
      </w:r>
      <w:r w:rsidR="009556BA" w:rsidRPr="000D093B">
        <w:rPr>
          <w:lang w:val="es-ES_tradnl"/>
        </w:rPr>
        <w:t xml:space="preserve">S </w:t>
      </w:r>
      <w:r>
        <w:rPr>
          <w:lang w:val="es-ES_tradnl"/>
        </w:rPr>
        <w:t xml:space="preserve">DEL PRIMER SEMESTRE DE </w:t>
      </w:r>
      <w:r w:rsidR="009556BA" w:rsidRPr="000D093B">
        <w:rPr>
          <w:lang w:val="es-ES_tradnl"/>
        </w:rPr>
        <w:t>2014</w:t>
      </w:r>
    </w:p>
    <w:p w:rsidR="009556BA" w:rsidRPr="000D093B" w:rsidRDefault="009556BA" w:rsidP="009556BA">
      <w:pPr>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AF70CE">
        <w:rPr>
          <w:lang w:val="es-ES_tradnl"/>
        </w:rPr>
        <w:t xml:space="preserve">El 1 de enero de 2014, la Base de datos MGS se puso en </w:t>
      </w:r>
      <w:r w:rsidR="006E5D61">
        <w:rPr>
          <w:lang w:val="es-ES_tradnl"/>
        </w:rPr>
        <w:t>concordancia</w:t>
      </w:r>
      <w:r w:rsidR="00C5143A">
        <w:rPr>
          <w:lang w:val="es-ES_tradnl"/>
        </w:rPr>
        <w:t xml:space="preserve"> con la versión de </w:t>
      </w:r>
      <w:r w:rsidR="00AF70CE">
        <w:rPr>
          <w:lang w:val="es-ES_tradnl"/>
        </w:rPr>
        <w:t>2014 de la décima edición de la Clasificación de Niza.  Las actua</w:t>
      </w:r>
      <w:r w:rsidR="00C5143A">
        <w:rPr>
          <w:lang w:val="es-ES_tradnl"/>
        </w:rPr>
        <w:t xml:space="preserve">lizaciones se integraron en los </w:t>
      </w:r>
      <w:r w:rsidR="00AF70CE">
        <w:rPr>
          <w:lang w:val="es-ES_tradnl"/>
        </w:rPr>
        <w:t>14 idiomas que estaban disponibles en línea.</w:t>
      </w:r>
    </w:p>
    <w:p w:rsidR="009556BA" w:rsidRPr="000D093B" w:rsidRDefault="009556BA" w:rsidP="00C5143A">
      <w:pPr>
        <w:rPr>
          <w:lang w:val="es-ES_tradnl"/>
        </w:rPr>
      </w:pPr>
    </w:p>
    <w:p w:rsidR="009556BA" w:rsidRPr="000D093B" w:rsidRDefault="009556BA" w:rsidP="009556BA">
      <w:pPr>
        <w:rPr>
          <w:lang w:val="es-ES_tradnl"/>
        </w:rPr>
      </w:pPr>
      <w:r w:rsidRPr="000D093B">
        <w:rPr>
          <w:lang w:val="es-ES_tradnl"/>
        </w:rPr>
        <w:lastRenderedPageBreak/>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AF70CE">
        <w:rPr>
          <w:lang w:val="es-ES_tradnl"/>
        </w:rPr>
        <w:t xml:space="preserve">Con el fin de </w:t>
      </w:r>
      <w:r w:rsidR="00C7726D">
        <w:rPr>
          <w:lang w:val="es-ES_tradnl"/>
        </w:rPr>
        <w:t>tener en cuenta</w:t>
      </w:r>
      <w:r w:rsidR="00A702D8">
        <w:rPr>
          <w:lang w:val="es-ES_tradnl"/>
        </w:rPr>
        <w:t xml:space="preserve"> la armonización europea en relación con la aceptación de las “indicaciones generales” extraídas de </w:t>
      </w:r>
      <w:r w:rsidR="001A3CDF">
        <w:rPr>
          <w:lang w:val="es-ES_tradnl"/>
        </w:rPr>
        <w:t xml:space="preserve">los títulos de las clases de la Clasificación de Niza, todos los países participantes en la Base de datos MGS </w:t>
      </w:r>
      <w:r w:rsidR="004B30F9">
        <w:rPr>
          <w:lang w:val="es-ES_tradnl"/>
        </w:rPr>
        <w:t xml:space="preserve">acordaron proporcionar su posición </w:t>
      </w:r>
      <w:r w:rsidR="000F4C33">
        <w:rPr>
          <w:lang w:val="es-ES_tradnl"/>
        </w:rPr>
        <w:t xml:space="preserve">respecto </w:t>
      </w:r>
      <w:r w:rsidR="004B30F9">
        <w:rPr>
          <w:lang w:val="es-ES_tradnl"/>
        </w:rPr>
        <w:t xml:space="preserve">de </w:t>
      </w:r>
      <w:r w:rsidR="000F4C33">
        <w:rPr>
          <w:lang w:val="es-ES_tradnl"/>
        </w:rPr>
        <w:t xml:space="preserve">la </w:t>
      </w:r>
      <w:r w:rsidR="004B30F9">
        <w:rPr>
          <w:lang w:val="es-ES_tradnl"/>
        </w:rPr>
        <w:t>aceptación de manera que la MGS pudiera ofrecer información útil sobre esas indicaciones a partir de enero de 2014.</w:t>
      </w:r>
      <w:r w:rsidRPr="000D093B">
        <w:rPr>
          <w:lang w:val="es-ES_tradnl"/>
        </w:rPr>
        <w:t xml:space="preserve"> </w:t>
      </w:r>
    </w:p>
    <w:p w:rsidR="009556BA" w:rsidRPr="000D093B" w:rsidRDefault="009556BA" w:rsidP="00C5143A">
      <w:pPr>
        <w:tabs>
          <w:tab w:val="left" w:pos="1965"/>
        </w:tabs>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0F4C33">
        <w:rPr>
          <w:lang w:val="es-ES_tradnl"/>
        </w:rPr>
        <w:t xml:space="preserve">A partir de abril de </w:t>
      </w:r>
      <w:r w:rsidRPr="000D093B">
        <w:rPr>
          <w:lang w:val="es-ES_tradnl"/>
        </w:rPr>
        <w:t xml:space="preserve">2014, </w:t>
      </w:r>
      <w:r w:rsidR="000F4C33">
        <w:rPr>
          <w:lang w:val="es-ES_tradnl"/>
        </w:rPr>
        <w:t>se amplió la func</w:t>
      </w:r>
      <w:r w:rsidR="006E5D61">
        <w:rPr>
          <w:lang w:val="es-ES_tradnl"/>
        </w:rPr>
        <w:t xml:space="preserve">ión “Verificar aceptación </w:t>
      </w:r>
      <w:r w:rsidR="000F4C33">
        <w:rPr>
          <w:lang w:val="es-ES_tradnl"/>
        </w:rPr>
        <w:t xml:space="preserve">OMPI” mediante el uso de numerosas descripciones de productos y servicios que se consideran aceptables para el examen funcional de las solicitudes internacionales en la Oficina Internacional (es decir, aceptables para “uso interno”) pero que no se invita a seleccionar en las funciones de consulta y búsqueda de la Base de datos MGS.  Al añadirse </w:t>
      </w:r>
      <w:r w:rsidR="006E5D61">
        <w:rPr>
          <w:lang w:val="es-ES_tradnl"/>
        </w:rPr>
        <w:t xml:space="preserve">progresivamente </w:t>
      </w:r>
      <w:r w:rsidR="000F4C33">
        <w:rPr>
          <w:lang w:val="es-ES_tradnl"/>
        </w:rPr>
        <w:t xml:space="preserve">más descripciones de “uso interno”, la MGS estará </w:t>
      </w:r>
      <w:r w:rsidR="006E5D61">
        <w:rPr>
          <w:lang w:val="es-ES_tradnl"/>
        </w:rPr>
        <w:t>armonizada en mayor medida</w:t>
      </w:r>
      <w:r w:rsidR="000F4C33">
        <w:rPr>
          <w:lang w:val="es-ES_tradnl"/>
        </w:rPr>
        <w:t xml:space="preserve"> con la política de examen en materia de clasificación del Registro de Madrid</w:t>
      </w:r>
      <w:r w:rsidRPr="000D093B">
        <w:rPr>
          <w:lang w:val="es-ES_tradnl"/>
        </w:rPr>
        <w:t>.</w:t>
      </w:r>
    </w:p>
    <w:p w:rsidR="009556BA" w:rsidRPr="000D093B" w:rsidRDefault="009556BA" w:rsidP="009556BA">
      <w:pPr>
        <w:pStyle w:val="ListParagraph"/>
        <w:ind w:left="0"/>
        <w:rPr>
          <w:lang w:val="es-ES_tradnl"/>
        </w:rPr>
      </w:pPr>
    </w:p>
    <w:p w:rsidR="000F4C33"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0F4C33">
        <w:rPr>
          <w:lang w:val="es-ES_tradnl"/>
        </w:rPr>
        <w:t xml:space="preserve">Tras los debates mantenidos con la JPO y la KIPO, se está </w:t>
      </w:r>
      <w:r w:rsidR="00EB3FE8">
        <w:rPr>
          <w:lang w:val="es-ES_tradnl"/>
        </w:rPr>
        <w:t>poniendo a punto</w:t>
      </w:r>
      <w:r w:rsidR="000F4C33">
        <w:rPr>
          <w:lang w:val="es-ES_tradnl"/>
        </w:rPr>
        <w:t xml:space="preserve"> la manera de mostrar en </w:t>
      </w:r>
      <w:r w:rsidR="003045D2">
        <w:rPr>
          <w:lang w:val="es-ES_tradnl"/>
        </w:rPr>
        <w:t>e</w:t>
      </w:r>
      <w:r w:rsidR="000F4C33">
        <w:rPr>
          <w:lang w:val="es-ES_tradnl"/>
        </w:rPr>
        <w:t xml:space="preserve">l MGS los códigos de grupos similares usados respectivamente en el Japón y la República de Corea.  Estos códigos están vinculados a grupos de productos o servicios considerados similares unos a otros en el examen de marcas </w:t>
      </w:r>
      <w:r w:rsidR="00D14CD4">
        <w:rPr>
          <w:lang w:val="es-ES_tradnl"/>
        </w:rPr>
        <w:t>y se organizan en una estructura jerárquica adaptada a búsquedas de similitud en las respectivas bases de datos nacionales de marcas.  Se insta a los solicitantes de registros de marca en el Japón y la República de Corea a remitirse a esos códigos antes de presentar una solicitud de registro de marca con el fin de buscar si existen marcas similares registradas.</w:t>
      </w:r>
    </w:p>
    <w:p w:rsidR="000F4C33" w:rsidRDefault="000F4C33" w:rsidP="009556BA">
      <w:pPr>
        <w:rPr>
          <w:lang w:val="es-ES_tradnl"/>
        </w:rPr>
      </w:pPr>
    </w:p>
    <w:p w:rsidR="00D14CD4" w:rsidRPr="00C5143A" w:rsidRDefault="00D14CD4" w:rsidP="009556BA">
      <w:pPr>
        <w:tabs>
          <w:tab w:val="num" w:pos="0"/>
        </w:tabs>
        <w:rPr>
          <w:bCs/>
          <w:szCs w:val="22"/>
          <w:lang w:val="es-ES_tradnl"/>
        </w:rPr>
      </w:pPr>
    </w:p>
    <w:p w:rsidR="009556BA" w:rsidRPr="000D093B" w:rsidRDefault="00E023DB" w:rsidP="009556BA">
      <w:pPr>
        <w:tabs>
          <w:tab w:val="num" w:pos="0"/>
        </w:tabs>
        <w:rPr>
          <w:b/>
          <w:bCs/>
          <w:szCs w:val="22"/>
          <w:lang w:val="es-ES_tradnl"/>
        </w:rPr>
      </w:pPr>
      <w:r>
        <w:rPr>
          <w:b/>
          <w:bCs/>
          <w:szCs w:val="22"/>
          <w:lang w:val="es-ES_tradnl"/>
        </w:rPr>
        <w:t>NUEVAS APORTACIONES A LA BASE DE DATOS MGS</w:t>
      </w:r>
    </w:p>
    <w:p w:rsidR="009556BA" w:rsidRPr="000D093B" w:rsidRDefault="009556BA" w:rsidP="009556BA">
      <w:pPr>
        <w:tabs>
          <w:tab w:val="num" w:pos="0"/>
        </w:tabs>
        <w:rPr>
          <w:lang w:val="es-ES_tradnl"/>
        </w:rPr>
      </w:pPr>
    </w:p>
    <w:p w:rsidR="009556BA" w:rsidRPr="000D093B" w:rsidRDefault="00E023DB" w:rsidP="009556BA">
      <w:pPr>
        <w:tabs>
          <w:tab w:val="num" w:pos="0"/>
        </w:tabs>
        <w:rPr>
          <w:lang w:val="es-ES_tradnl"/>
        </w:rPr>
      </w:pPr>
      <w:r>
        <w:rPr>
          <w:lang w:val="es-ES_tradnl"/>
        </w:rPr>
        <w:t xml:space="preserve">VERIFICACIÓN DE LA ACEPTACIÓN POR LAS OFICINAS NACIONALES </w:t>
      </w:r>
    </w:p>
    <w:p w:rsidR="009556BA" w:rsidRPr="000D093B" w:rsidRDefault="009556BA" w:rsidP="009556BA">
      <w:pPr>
        <w:tabs>
          <w:tab w:val="num" w:pos="0"/>
        </w:tabs>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3567D6">
        <w:rPr>
          <w:lang w:val="es-ES_tradnl"/>
        </w:rPr>
        <w:t>En el Anexo IV se indica la lista de Partes Contratantes del Sistema de Madrid clasificadas según el número de denegaciones provisionales emitidas en 2013.</w:t>
      </w:r>
    </w:p>
    <w:p w:rsidR="009556BA" w:rsidRPr="000D093B" w:rsidRDefault="009556BA" w:rsidP="009556BA">
      <w:pPr>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3567D6">
        <w:rPr>
          <w:lang w:val="es-ES_tradnl"/>
        </w:rPr>
        <w:t xml:space="preserve">La cooperación entre la Oficina Internacional y las Partes Contratantes en la lista mencionada anteriormente, con el fin de incrementar la cantidad de información relativa a la aceptación disponible para las indicaciones en la Base de datos MGS proporcionará a los solicitantes de registros de marca que usen el Sistema de Madrid información muy útil a los fines de la presentación de solicitudes internacionales.  En concreto, los solicitantes de registros de marca que usen la MGS para compilar y verificar la aceptación de </w:t>
      </w:r>
      <w:r w:rsidR="00303724">
        <w:rPr>
          <w:lang w:val="es-ES_tradnl"/>
        </w:rPr>
        <w:t>una lista de productos y servicios sabrán de antemano s</w:t>
      </w:r>
      <w:r w:rsidR="0028576C">
        <w:rPr>
          <w:lang w:val="es-ES_tradnl"/>
        </w:rPr>
        <w:t>i determinadas indicaciones daría</w:t>
      </w:r>
      <w:r w:rsidR="00303724">
        <w:rPr>
          <w:lang w:val="es-ES_tradnl"/>
        </w:rPr>
        <w:t>n lugar a una denegación provisional de los países que designan</w:t>
      </w:r>
      <w:r w:rsidRPr="000D093B">
        <w:rPr>
          <w:lang w:val="es-ES_tradnl"/>
        </w:rPr>
        <w:t>.</w:t>
      </w:r>
    </w:p>
    <w:p w:rsidR="009556BA" w:rsidRPr="000D093B" w:rsidRDefault="009556BA" w:rsidP="009556BA">
      <w:pPr>
        <w:rPr>
          <w:lang w:val="es-ES_tradnl"/>
        </w:rPr>
      </w:pPr>
    </w:p>
    <w:p w:rsidR="009556BA"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303724">
        <w:rPr>
          <w:lang w:val="es-ES_tradnl"/>
        </w:rPr>
        <w:t>Durante el primer semestre de 2014</w:t>
      </w:r>
      <w:r w:rsidRPr="000D093B">
        <w:rPr>
          <w:lang w:val="es-ES_tradnl"/>
        </w:rPr>
        <w:t xml:space="preserve">, </w:t>
      </w:r>
      <w:r w:rsidR="00303724">
        <w:rPr>
          <w:lang w:val="es-ES_tradnl"/>
        </w:rPr>
        <w:t xml:space="preserve">la </w:t>
      </w:r>
      <w:r w:rsidRPr="000D093B">
        <w:rPr>
          <w:lang w:val="es-ES_tradnl"/>
        </w:rPr>
        <w:t xml:space="preserve">USPTO </w:t>
      </w:r>
      <w:r w:rsidR="0014289D">
        <w:rPr>
          <w:lang w:val="es-ES_tradnl"/>
        </w:rPr>
        <w:t xml:space="preserve">finalizó el examen de la Lista alfabética de productos y servicios de la Clasificación de Niza de modo que se pudiera publicar en la MGS el rechazo de los Estados Unidos de América a un 30% de las indicaciones de Niza.  Dada la importancia que tiene la Lista alfabética de Niza para los solicitantes de registros de marca, y aun cuando dicha Lista representa únicamente una cuarta parte de la Base de datos MGS, la publicación de esas indicaciones rechazadas en esa base de datos proporciona información útil destinada a limitar el número de denegaciones provisionales emitidas por la </w:t>
      </w:r>
      <w:r w:rsidRPr="000D093B">
        <w:rPr>
          <w:lang w:val="es-ES_tradnl"/>
        </w:rPr>
        <w:t xml:space="preserve">USPTO.  </w:t>
      </w:r>
      <w:r w:rsidR="0014289D">
        <w:rPr>
          <w:lang w:val="es-ES_tradnl"/>
        </w:rPr>
        <w:t xml:space="preserve">La </w:t>
      </w:r>
      <w:r w:rsidRPr="000D093B">
        <w:rPr>
          <w:lang w:val="es-ES_tradnl"/>
        </w:rPr>
        <w:t xml:space="preserve">USPTO </w:t>
      </w:r>
      <w:r w:rsidR="0014289D">
        <w:rPr>
          <w:lang w:val="es-ES_tradnl"/>
        </w:rPr>
        <w:t>acordó además verificar la aceptación de otras partes de la Base de datos MGS que son más pertinentes para las designaciones de los</w:t>
      </w:r>
      <w:r w:rsidR="004758DE">
        <w:rPr>
          <w:lang w:val="es-ES_tradnl"/>
        </w:rPr>
        <w:t xml:space="preserve"> Estados Unidos de América</w:t>
      </w:r>
      <w:r w:rsidR="0014289D">
        <w:rPr>
          <w:lang w:val="es-ES_tradnl"/>
        </w:rPr>
        <w:t xml:space="preserve">. </w:t>
      </w:r>
    </w:p>
    <w:p w:rsidR="0014289D" w:rsidRPr="000D093B" w:rsidRDefault="0014289D" w:rsidP="009556BA">
      <w:pPr>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14289D">
        <w:rPr>
          <w:lang w:val="es-ES_tradnl"/>
        </w:rPr>
        <w:t>E</w:t>
      </w:r>
      <w:r w:rsidRPr="000D093B">
        <w:rPr>
          <w:lang w:val="es-ES_tradnl"/>
        </w:rPr>
        <w:t xml:space="preserve">n </w:t>
      </w:r>
      <w:r w:rsidR="0014289D">
        <w:rPr>
          <w:lang w:val="es-ES_tradnl"/>
        </w:rPr>
        <w:t xml:space="preserve">febrero de </w:t>
      </w:r>
      <w:r w:rsidRPr="000D093B">
        <w:rPr>
          <w:lang w:val="es-ES_tradnl"/>
        </w:rPr>
        <w:t xml:space="preserve">2013, </w:t>
      </w:r>
      <w:r w:rsidR="0014289D">
        <w:rPr>
          <w:lang w:val="es-ES_tradnl"/>
        </w:rPr>
        <w:t>México se adhirió al Protocolo de Madrid y al f</w:t>
      </w:r>
      <w:r w:rsidR="00A7234E">
        <w:rPr>
          <w:lang w:val="es-ES_tradnl"/>
        </w:rPr>
        <w:t xml:space="preserve">inal del año, ya figuraba en </w:t>
      </w:r>
      <w:r w:rsidR="0014289D">
        <w:rPr>
          <w:lang w:val="es-ES_tradnl"/>
        </w:rPr>
        <w:t>16ª posición por número de designaciones en las solicitudes internacionales.  Por ese motivo, el Instituto Mexicano de la Propiedad Industrial (IMPI) pidió cooperar con la Oficina Internacional a fin de verificar la aceptación de los productos y servicios propuestos e</w:t>
      </w:r>
      <w:r w:rsidR="00CD21EE">
        <w:rPr>
          <w:lang w:val="es-ES_tradnl"/>
        </w:rPr>
        <w:t>n la MGS de manera que se limitara</w:t>
      </w:r>
      <w:r w:rsidR="0014289D">
        <w:rPr>
          <w:lang w:val="es-ES_tradnl"/>
        </w:rPr>
        <w:t xml:space="preserve"> el número de denegaciones provisionales que </w:t>
      </w:r>
      <w:r w:rsidR="00CD21EE">
        <w:rPr>
          <w:lang w:val="es-ES_tradnl"/>
        </w:rPr>
        <w:t>hubiera</w:t>
      </w:r>
      <w:r w:rsidR="0014289D">
        <w:rPr>
          <w:lang w:val="es-ES_tradnl"/>
        </w:rPr>
        <w:t xml:space="preserve"> de emitir el </w:t>
      </w:r>
      <w:r w:rsidRPr="000D093B">
        <w:rPr>
          <w:lang w:val="es-ES_tradnl"/>
        </w:rPr>
        <w:t xml:space="preserve">IMPI. </w:t>
      </w:r>
    </w:p>
    <w:p w:rsidR="009556BA" w:rsidRPr="000D093B" w:rsidRDefault="009556BA" w:rsidP="0014289D">
      <w:pPr>
        <w:rPr>
          <w:lang w:val="es-ES_tradnl"/>
        </w:rPr>
      </w:pPr>
      <w:r w:rsidRPr="000D093B">
        <w:rPr>
          <w:lang w:val="es-ES_tradnl"/>
        </w:rPr>
        <w:lastRenderedPageBreak/>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14289D">
        <w:rPr>
          <w:lang w:val="es-ES_tradnl"/>
        </w:rPr>
        <w:t xml:space="preserve">Además, la República de Corea y Serbia </w:t>
      </w:r>
      <w:r w:rsidR="00596C64">
        <w:rPr>
          <w:lang w:val="es-ES_tradnl"/>
        </w:rPr>
        <w:t>seguirán</w:t>
      </w:r>
      <w:r w:rsidR="0014289D">
        <w:rPr>
          <w:lang w:val="es-ES_tradnl"/>
        </w:rPr>
        <w:t xml:space="preserve"> verificando la aceptación de la Base de datos MGS de manera paralela al proceso de traducción que han </w:t>
      </w:r>
      <w:r w:rsidR="00A7234E">
        <w:rPr>
          <w:lang w:val="es-ES_tradnl"/>
        </w:rPr>
        <w:t>emprendido</w:t>
      </w:r>
      <w:r w:rsidR="0014289D">
        <w:rPr>
          <w:lang w:val="es-ES_tradnl"/>
        </w:rPr>
        <w:t>.</w:t>
      </w:r>
    </w:p>
    <w:p w:rsidR="009556BA" w:rsidRPr="000D093B" w:rsidRDefault="009556BA" w:rsidP="009556BA">
      <w:pPr>
        <w:pStyle w:val="ListParagraph"/>
        <w:ind w:left="0"/>
        <w:rPr>
          <w:lang w:val="es-ES_tradnl"/>
        </w:rPr>
      </w:pPr>
    </w:p>
    <w:p w:rsidR="009556BA" w:rsidRPr="000D093B" w:rsidRDefault="009556BA" w:rsidP="009556BA">
      <w:pPr>
        <w:pStyle w:val="ListParagraph"/>
        <w:ind w:left="0"/>
        <w:rPr>
          <w:lang w:val="es-ES_tradnl"/>
        </w:rPr>
      </w:pPr>
    </w:p>
    <w:p w:rsidR="009556BA" w:rsidRPr="000D093B" w:rsidRDefault="00F9069B" w:rsidP="009556BA">
      <w:pPr>
        <w:tabs>
          <w:tab w:val="num" w:pos="0"/>
        </w:tabs>
        <w:rPr>
          <w:bCs/>
          <w:lang w:val="es-ES_tradnl"/>
        </w:rPr>
      </w:pPr>
      <w:r>
        <w:rPr>
          <w:bCs/>
          <w:lang w:val="es-ES_tradnl"/>
        </w:rPr>
        <w:t>INTEGRACIÓ</w:t>
      </w:r>
      <w:r w:rsidR="009556BA" w:rsidRPr="000D093B">
        <w:rPr>
          <w:bCs/>
          <w:lang w:val="es-ES_tradnl"/>
        </w:rPr>
        <w:t xml:space="preserve">N </w:t>
      </w:r>
      <w:r>
        <w:rPr>
          <w:bCs/>
          <w:lang w:val="es-ES_tradnl"/>
        </w:rPr>
        <w:t xml:space="preserve">DE NUEVAS INDICACIONES DE PRODUCTOS Y SERVICIOS </w:t>
      </w:r>
    </w:p>
    <w:p w:rsidR="009556BA" w:rsidRPr="000D093B" w:rsidRDefault="009556BA" w:rsidP="009556BA">
      <w:pPr>
        <w:tabs>
          <w:tab w:val="num" w:pos="0"/>
        </w:tabs>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505D6D">
        <w:rPr>
          <w:lang w:val="es-ES_tradnl"/>
        </w:rPr>
        <w:t xml:space="preserve">Con el fin de que la </w:t>
      </w:r>
      <w:r w:rsidR="008C60F9">
        <w:rPr>
          <w:lang w:val="es-ES_tradnl"/>
        </w:rPr>
        <w:t xml:space="preserve">Base de datos </w:t>
      </w:r>
      <w:r w:rsidR="00505D6D">
        <w:rPr>
          <w:lang w:val="es-ES_tradnl"/>
        </w:rPr>
        <w:t xml:space="preserve">MGS sea lo más pertinente posible para los solicitantes de registros de marca en el plano internacional así como en el nacional, </w:t>
      </w:r>
      <w:r w:rsidR="008C60F9">
        <w:rPr>
          <w:lang w:val="es-ES_tradnl"/>
        </w:rPr>
        <w:t xml:space="preserve">dicha base de </w:t>
      </w:r>
      <w:r w:rsidR="00505D6D">
        <w:rPr>
          <w:lang w:val="es-ES_tradnl"/>
        </w:rPr>
        <w:t>datos seguirá alimentándose de nuevas indicaciones de productos y servicios extraídas de varias fuentes que se examinarán detenidamente antes de la integración.  Las fuentes principales que se han de considerar en 2014 son</w:t>
      </w:r>
      <w:r w:rsidRPr="000D093B">
        <w:rPr>
          <w:lang w:val="es-ES_tradnl"/>
        </w:rPr>
        <w:t>:</w:t>
      </w:r>
    </w:p>
    <w:p w:rsidR="009556BA" w:rsidRPr="000D093B" w:rsidRDefault="009556BA" w:rsidP="009556BA">
      <w:pPr>
        <w:rPr>
          <w:lang w:val="es-ES_tradnl"/>
        </w:rPr>
      </w:pPr>
    </w:p>
    <w:p w:rsidR="009556BA" w:rsidRPr="00505D6D" w:rsidRDefault="00505D6D" w:rsidP="00394C7D">
      <w:pPr>
        <w:numPr>
          <w:ilvl w:val="0"/>
          <w:numId w:val="8"/>
        </w:numPr>
        <w:ind w:left="1134" w:hanging="579"/>
        <w:rPr>
          <w:lang w:val="es-ES_tradnl"/>
        </w:rPr>
      </w:pPr>
      <w:r w:rsidRPr="00505D6D">
        <w:rPr>
          <w:lang w:val="es-ES_tradnl"/>
        </w:rPr>
        <w:t>el Registro Internacional de Marcas</w:t>
      </w:r>
      <w:r w:rsidR="008C60F9">
        <w:rPr>
          <w:lang w:val="es-ES_tradnl"/>
        </w:rPr>
        <w:t>,</w:t>
      </w:r>
      <w:r w:rsidRPr="00505D6D">
        <w:rPr>
          <w:lang w:val="es-ES_tradnl"/>
        </w:rPr>
        <w:t xml:space="preserve"> del que se pueden extraer periódicamente las indicaciones usadas frecuentemente</w:t>
      </w:r>
      <w:r w:rsidR="009556BA" w:rsidRPr="00505D6D">
        <w:rPr>
          <w:lang w:val="es-ES_tradnl"/>
        </w:rPr>
        <w:t>;</w:t>
      </w:r>
    </w:p>
    <w:p w:rsidR="009556BA" w:rsidRPr="000D093B" w:rsidRDefault="009556BA" w:rsidP="00394C7D">
      <w:pPr>
        <w:ind w:left="1134" w:hanging="579"/>
        <w:rPr>
          <w:lang w:val="es-ES_tradnl"/>
        </w:rPr>
      </w:pPr>
    </w:p>
    <w:p w:rsidR="009556BA" w:rsidRPr="00505D6D" w:rsidRDefault="00505D6D" w:rsidP="00394C7D">
      <w:pPr>
        <w:numPr>
          <w:ilvl w:val="0"/>
          <w:numId w:val="8"/>
        </w:numPr>
        <w:ind w:left="1134" w:hanging="579"/>
        <w:rPr>
          <w:lang w:val="es-ES_tradnl"/>
        </w:rPr>
      </w:pPr>
      <w:r w:rsidRPr="00505D6D">
        <w:rPr>
          <w:lang w:val="es-ES_tradnl"/>
        </w:rPr>
        <w:t xml:space="preserve">la lista armonizada </w:t>
      </w:r>
      <w:r w:rsidR="009556BA" w:rsidRPr="00505D6D">
        <w:rPr>
          <w:lang w:val="es-ES_tradnl"/>
        </w:rPr>
        <w:t>TM5 ID</w:t>
      </w:r>
      <w:r w:rsidRPr="00505D6D">
        <w:rPr>
          <w:lang w:val="es-ES_tradnl"/>
        </w:rPr>
        <w:t xml:space="preserve"> de indicaciones en inglés de productos y servicios resultante de la cooperación entre la </w:t>
      </w:r>
      <w:r w:rsidR="009556BA" w:rsidRPr="00505D6D">
        <w:rPr>
          <w:lang w:val="es-ES_tradnl"/>
        </w:rPr>
        <w:t xml:space="preserve">JPO, </w:t>
      </w:r>
      <w:r>
        <w:rPr>
          <w:lang w:val="es-ES_tradnl"/>
        </w:rPr>
        <w:t xml:space="preserve">la </w:t>
      </w:r>
      <w:r w:rsidR="009556BA" w:rsidRPr="00505D6D">
        <w:rPr>
          <w:lang w:val="es-ES_tradnl"/>
        </w:rPr>
        <w:t xml:space="preserve">KIPO, </w:t>
      </w:r>
      <w:r>
        <w:rPr>
          <w:lang w:val="es-ES_tradnl"/>
        </w:rPr>
        <w:t xml:space="preserve">la </w:t>
      </w:r>
      <w:r w:rsidR="009556BA" w:rsidRPr="00505D6D">
        <w:rPr>
          <w:lang w:val="es-ES_tradnl"/>
        </w:rPr>
        <w:t>O</w:t>
      </w:r>
      <w:r>
        <w:rPr>
          <w:lang w:val="es-ES_tradnl"/>
        </w:rPr>
        <w:t>A</w:t>
      </w:r>
      <w:r w:rsidR="009556BA" w:rsidRPr="00505D6D">
        <w:rPr>
          <w:lang w:val="es-ES_tradnl"/>
        </w:rPr>
        <w:t>M</w:t>
      </w:r>
      <w:r>
        <w:rPr>
          <w:lang w:val="es-ES_tradnl"/>
        </w:rPr>
        <w:t>I</w:t>
      </w:r>
      <w:r w:rsidR="009556BA" w:rsidRPr="00505D6D">
        <w:rPr>
          <w:lang w:val="es-ES_tradnl"/>
        </w:rPr>
        <w:t xml:space="preserve"> </w:t>
      </w:r>
      <w:r>
        <w:rPr>
          <w:lang w:val="es-ES_tradnl"/>
        </w:rPr>
        <w:t xml:space="preserve">y la </w:t>
      </w:r>
      <w:r w:rsidR="009556BA" w:rsidRPr="00505D6D">
        <w:rPr>
          <w:lang w:val="es-ES_tradnl"/>
        </w:rPr>
        <w:t>USPTO;</w:t>
      </w:r>
    </w:p>
    <w:p w:rsidR="009556BA" w:rsidRPr="000D093B" w:rsidRDefault="009556BA" w:rsidP="00394C7D">
      <w:pPr>
        <w:ind w:left="1134" w:hanging="579"/>
        <w:rPr>
          <w:lang w:val="es-ES_tradnl"/>
        </w:rPr>
      </w:pPr>
    </w:p>
    <w:p w:rsidR="009556BA" w:rsidRPr="00505D6D" w:rsidRDefault="00505D6D" w:rsidP="00394C7D">
      <w:pPr>
        <w:numPr>
          <w:ilvl w:val="0"/>
          <w:numId w:val="8"/>
        </w:numPr>
        <w:ind w:left="1134" w:hanging="579"/>
        <w:rPr>
          <w:lang w:val="es-ES_tradnl"/>
        </w:rPr>
      </w:pPr>
      <w:r w:rsidRPr="00505D6D">
        <w:rPr>
          <w:lang w:val="es-ES_tradnl"/>
        </w:rPr>
        <w:t xml:space="preserve">las listas nacionales de productos y servicios recibidas de las Oficinas nacionales de los países siguientes: </w:t>
      </w:r>
      <w:r w:rsidR="009556BA" w:rsidRPr="00505D6D">
        <w:rPr>
          <w:lang w:val="es-ES_tradnl"/>
        </w:rPr>
        <w:t xml:space="preserve"> </w:t>
      </w:r>
      <w:r>
        <w:rPr>
          <w:lang w:val="es-ES_tradnl"/>
        </w:rPr>
        <w:t xml:space="preserve">Alemania, </w:t>
      </w:r>
      <w:r w:rsidR="009556BA" w:rsidRPr="00505D6D">
        <w:rPr>
          <w:lang w:val="es-ES_tradnl"/>
        </w:rPr>
        <w:t xml:space="preserve">China, </w:t>
      </w:r>
      <w:r>
        <w:rPr>
          <w:lang w:val="es-ES_tradnl"/>
        </w:rPr>
        <w:t>Japón, Repú</w:t>
      </w:r>
      <w:r w:rsidR="009556BA" w:rsidRPr="00505D6D">
        <w:rPr>
          <w:lang w:val="es-ES_tradnl"/>
        </w:rPr>
        <w:t>blic</w:t>
      </w:r>
      <w:r>
        <w:rPr>
          <w:lang w:val="es-ES_tradnl"/>
        </w:rPr>
        <w:t>a</w:t>
      </w:r>
      <w:r w:rsidR="009556BA" w:rsidRPr="00505D6D">
        <w:rPr>
          <w:lang w:val="es-ES_tradnl"/>
        </w:rPr>
        <w:t xml:space="preserve"> </w:t>
      </w:r>
      <w:r>
        <w:rPr>
          <w:lang w:val="es-ES_tradnl"/>
        </w:rPr>
        <w:t>de C</w:t>
      </w:r>
      <w:r w:rsidR="009556BA" w:rsidRPr="00505D6D">
        <w:rPr>
          <w:lang w:val="es-ES_tradnl"/>
        </w:rPr>
        <w:t xml:space="preserve">orea, </w:t>
      </w:r>
      <w:r>
        <w:rPr>
          <w:lang w:val="es-ES_tradnl"/>
        </w:rPr>
        <w:t>Suiza</w:t>
      </w:r>
      <w:r w:rsidR="009556BA" w:rsidRPr="00505D6D">
        <w:rPr>
          <w:lang w:val="es-ES_tradnl"/>
        </w:rPr>
        <w:t>, as</w:t>
      </w:r>
      <w:r>
        <w:rPr>
          <w:lang w:val="es-ES_tradnl"/>
        </w:rPr>
        <w:t xml:space="preserve">í como del Grupo de la </w:t>
      </w:r>
      <w:r w:rsidR="009556BA" w:rsidRPr="00505D6D">
        <w:rPr>
          <w:lang w:val="es-ES_tradnl"/>
        </w:rPr>
        <w:t>ASEAN;</w:t>
      </w:r>
    </w:p>
    <w:p w:rsidR="009556BA" w:rsidRPr="000D093B" w:rsidRDefault="009556BA" w:rsidP="00394C7D">
      <w:pPr>
        <w:ind w:left="1134" w:hanging="579"/>
        <w:rPr>
          <w:lang w:val="es-ES_tradnl"/>
        </w:rPr>
      </w:pPr>
    </w:p>
    <w:p w:rsidR="009556BA" w:rsidRPr="000D093B" w:rsidRDefault="00505D6D" w:rsidP="00394C7D">
      <w:pPr>
        <w:numPr>
          <w:ilvl w:val="0"/>
          <w:numId w:val="8"/>
        </w:numPr>
        <w:ind w:left="1134" w:hanging="579"/>
        <w:rPr>
          <w:lang w:val="es-ES_tradnl"/>
        </w:rPr>
      </w:pPr>
      <w:r w:rsidRPr="00505D6D">
        <w:rPr>
          <w:lang w:val="es-ES_tradnl"/>
        </w:rPr>
        <w:t>los registros de marcas de los países que cooperan con la OMPI en el proyecto de Base Mundial de Datos</w:t>
      </w:r>
      <w:bookmarkStart w:id="5" w:name="_GoBack"/>
      <w:bookmarkEnd w:id="5"/>
      <w:r w:rsidRPr="00505D6D">
        <w:rPr>
          <w:lang w:val="es-ES_tradnl"/>
        </w:rPr>
        <w:t xml:space="preserve"> sobre Marcas, y en cuyo marco se examinarán las indicaciones usadas frecuentemente que no estén todavía presentes en la MGS a fin de poder integrarlas.  Hasta la fecha, las indicaciones frecuentes se han extraído de los registros nacionales de </w:t>
      </w:r>
      <w:r w:rsidR="009556BA" w:rsidRPr="000D093B">
        <w:rPr>
          <w:lang w:val="es-ES_tradnl"/>
        </w:rPr>
        <w:t xml:space="preserve">Australia, </w:t>
      </w:r>
      <w:r>
        <w:rPr>
          <w:lang w:val="es-ES_tradnl"/>
        </w:rPr>
        <w:t xml:space="preserve">la Federación de Rusia, </w:t>
      </w:r>
      <w:r w:rsidR="009556BA" w:rsidRPr="000D093B">
        <w:rPr>
          <w:lang w:val="es-ES_tradnl"/>
        </w:rPr>
        <w:t xml:space="preserve">Israel, </w:t>
      </w:r>
      <w:r>
        <w:rPr>
          <w:lang w:val="es-ES_tradnl"/>
        </w:rPr>
        <w:t>Singapur</w:t>
      </w:r>
      <w:r w:rsidR="009556BA" w:rsidRPr="000D093B">
        <w:rPr>
          <w:lang w:val="es-ES_tradnl"/>
        </w:rPr>
        <w:t xml:space="preserve">, </w:t>
      </w:r>
      <w:r>
        <w:rPr>
          <w:lang w:val="es-ES_tradnl"/>
        </w:rPr>
        <w:t>Suiza</w:t>
      </w:r>
      <w:r w:rsidR="009556BA" w:rsidRPr="000D093B">
        <w:rPr>
          <w:lang w:val="es-ES_tradnl"/>
        </w:rPr>
        <w:t xml:space="preserve"> </w:t>
      </w:r>
      <w:r>
        <w:rPr>
          <w:lang w:val="es-ES_tradnl"/>
        </w:rPr>
        <w:t>y los Estados Unidos de América</w:t>
      </w:r>
      <w:r w:rsidR="009556BA" w:rsidRPr="000D093B">
        <w:rPr>
          <w:lang w:val="es-ES_tradnl"/>
        </w:rPr>
        <w:t>.</w:t>
      </w:r>
    </w:p>
    <w:p w:rsidR="009556BA" w:rsidRPr="000D093B" w:rsidRDefault="009556BA" w:rsidP="009556BA">
      <w:pPr>
        <w:rPr>
          <w:lang w:val="es-ES_tradnl"/>
        </w:rPr>
      </w:pPr>
    </w:p>
    <w:p w:rsidR="009556BA" w:rsidRPr="000D093B" w:rsidRDefault="009556BA" w:rsidP="009556BA">
      <w:pPr>
        <w:tabs>
          <w:tab w:val="num" w:pos="0"/>
        </w:tabs>
        <w:rPr>
          <w:lang w:val="es-ES_tradnl"/>
        </w:rPr>
      </w:pPr>
    </w:p>
    <w:p w:rsidR="009556BA" w:rsidRPr="000D093B" w:rsidRDefault="00F9069B" w:rsidP="009556BA">
      <w:pPr>
        <w:rPr>
          <w:b/>
          <w:lang w:val="es-ES_tradnl"/>
        </w:rPr>
      </w:pPr>
      <w:r>
        <w:rPr>
          <w:b/>
          <w:lang w:val="es-ES_tradnl"/>
        </w:rPr>
        <w:t>EL USO DE LA MGS EN CIFRAS</w:t>
      </w:r>
    </w:p>
    <w:p w:rsidR="009556BA" w:rsidRPr="000D093B" w:rsidRDefault="009556BA" w:rsidP="009556BA">
      <w:pPr>
        <w:rPr>
          <w:lang w:val="es-ES_tradnl"/>
        </w:rPr>
      </w:pPr>
    </w:p>
    <w:p w:rsidR="009556BA" w:rsidRPr="000D093B" w:rsidRDefault="009556BA" w:rsidP="008126DF">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8126DF">
        <w:rPr>
          <w:lang w:val="es-ES_tradnl"/>
        </w:rPr>
        <w:t xml:space="preserve">Algunas cifras son representativas del creciente interés público por la </w:t>
      </w:r>
      <w:r w:rsidRPr="000D093B">
        <w:rPr>
          <w:lang w:val="es-ES_tradnl"/>
        </w:rPr>
        <w:t>MGS:</w:t>
      </w:r>
    </w:p>
    <w:p w:rsidR="009556BA" w:rsidRPr="000D093B" w:rsidRDefault="009556BA" w:rsidP="009556BA">
      <w:pPr>
        <w:rPr>
          <w:lang w:val="es-ES_tradnl"/>
        </w:rPr>
      </w:pPr>
    </w:p>
    <w:p w:rsidR="009556BA" w:rsidRPr="008126DF" w:rsidRDefault="008126DF" w:rsidP="00394C7D">
      <w:pPr>
        <w:numPr>
          <w:ilvl w:val="0"/>
          <w:numId w:val="8"/>
        </w:numPr>
        <w:ind w:left="1134" w:hanging="579"/>
        <w:rPr>
          <w:lang w:val="es-ES_tradnl"/>
        </w:rPr>
      </w:pPr>
      <w:r w:rsidRPr="008126DF">
        <w:rPr>
          <w:lang w:val="es-ES_tradnl"/>
        </w:rPr>
        <w:t xml:space="preserve">a partir de su puesta en marcha en 2011 y hasta marzo de </w:t>
      </w:r>
      <w:r w:rsidR="009556BA" w:rsidRPr="008126DF">
        <w:rPr>
          <w:lang w:val="es-ES_tradnl"/>
        </w:rPr>
        <w:t xml:space="preserve">2014, </w:t>
      </w:r>
      <w:r w:rsidRPr="008126DF">
        <w:rPr>
          <w:lang w:val="es-ES_tradnl"/>
        </w:rPr>
        <w:t xml:space="preserve">el número de visitas a la MGS se ha incrementado en un </w:t>
      </w:r>
      <w:r w:rsidR="009556BA" w:rsidRPr="008126DF">
        <w:rPr>
          <w:lang w:val="es-ES_tradnl"/>
        </w:rPr>
        <w:t>245%;</w:t>
      </w:r>
    </w:p>
    <w:p w:rsidR="009556BA" w:rsidRPr="000D093B" w:rsidRDefault="009556BA" w:rsidP="00394C7D">
      <w:pPr>
        <w:ind w:left="1134" w:hanging="579"/>
        <w:rPr>
          <w:lang w:val="es-ES_tradnl"/>
        </w:rPr>
      </w:pPr>
    </w:p>
    <w:p w:rsidR="009556BA" w:rsidRPr="008126DF" w:rsidRDefault="008126DF" w:rsidP="00394C7D">
      <w:pPr>
        <w:numPr>
          <w:ilvl w:val="0"/>
          <w:numId w:val="8"/>
        </w:numPr>
        <w:ind w:left="1134" w:hanging="579"/>
        <w:rPr>
          <w:lang w:val="es-ES_tradnl"/>
        </w:rPr>
      </w:pPr>
      <w:r w:rsidRPr="008126DF">
        <w:rPr>
          <w:lang w:val="es-ES_tradnl"/>
        </w:rPr>
        <w:t>el número de visitas se duplicó en enero de 2012 cuando se hicieron disponibles siete idiomas nacionales además de los tres idiomas de presentación del Sistema de Madrid</w:t>
      </w:r>
      <w:r w:rsidR="009556BA" w:rsidRPr="008126DF">
        <w:rPr>
          <w:lang w:val="es-ES_tradnl"/>
        </w:rPr>
        <w:t>;</w:t>
      </w:r>
    </w:p>
    <w:p w:rsidR="009556BA" w:rsidRPr="000D093B" w:rsidRDefault="009556BA" w:rsidP="00394C7D">
      <w:pPr>
        <w:ind w:left="1134" w:hanging="579"/>
        <w:rPr>
          <w:lang w:val="es-ES_tradnl"/>
        </w:rPr>
      </w:pPr>
    </w:p>
    <w:p w:rsidR="009556BA" w:rsidRPr="008126DF" w:rsidRDefault="008126DF" w:rsidP="00394C7D">
      <w:pPr>
        <w:numPr>
          <w:ilvl w:val="0"/>
          <w:numId w:val="8"/>
        </w:numPr>
        <w:ind w:left="1134" w:hanging="579"/>
        <w:rPr>
          <w:lang w:val="es-ES_tradnl"/>
        </w:rPr>
      </w:pPr>
      <w:r w:rsidRPr="008126DF">
        <w:rPr>
          <w:lang w:val="es-ES_tradnl"/>
        </w:rPr>
        <w:t>e</w:t>
      </w:r>
      <w:r w:rsidR="009556BA" w:rsidRPr="008126DF">
        <w:rPr>
          <w:lang w:val="es-ES_tradnl"/>
        </w:rPr>
        <w:t xml:space="preserve">n </w:t>
      </w:r>
      <w:r w:rsidRPr="008126DF">
        <w:rPr>
          <w:lang w:val="es-ES_tradnl"/>
        </w:rPr>
        <w:t xml:space="preserve">marzo de </w:t>
      </w:r>
      <w:r w:rsidR="009556BA" w:rsidRPr="008126DF">
        <w:rPr>
          <w:lang w:val="es-ES_tradnl"/>
        </w:rPr>
        <w:t xml:space="preserve">2014, </w:t>
      </w:r>
      <w:r w:rsidRPr="008126DF">
        <w:rPr>
          <w:lang w:val="es-ES_tradnl"/>
        </w:rPr>
        <w:t>las funciones principales (buscar, validar, consultar, traducir, exportar, importar) generaron unas 10.000 visitas de páginas diarias</w:t>
      </w:r>
      <w:r w:rsidR="009556BA" w:rsidRPr="008126DF">
        <w:rPr>
          <w:lang w:val="es-ES_tradnl"/>
        </w:rPr>
        <w:t>;</w:t>
      </w:r>
    </w:p>
    <w:p w:rsidR="009556BA" w:rsidRPr="000D093B" w:rsidRDefault="009556BA" w:rsidP="00394C7D">
      <w:pPr>
        <w:ind w:left="1134" w:hanging="579"/>
        <w:rPr>
          <w:lang w:val="es-ES_tradnl"/>
        </w:rPr>
      </w:pPr>
    </w:p>
    <w:p w:rsidR="009556BA" w:rsidRPr="008126DF" w:rsidRDefault="008126DF" w:rsidP="00394C7D">
      <w:pPr>
        <w:numPr>
          <w:ilvl w:val="0"/>
          <w:numId w:val="8"/>
        </w:numPr>
        <w:ind w:left="1134" w:hanging="579"/>
        <w:rPr>
          <w:lang w:val="es-ES_tradnl"/>
        </w:rPr>
      </w:pPr>
      <w:r w:rsidRPr="008126DF">
        <w:rPr>
          <w:lang w:val="es-ES_tradnl"/>
        </w:rPr>
        <w:t>la función más popular es la función de búsqueda (88% de visitas de páginas)</w:t>
      </w:r>
      <w:r w:rsidR="009556BA" w:rsidRPr="008126DF">
        <w:rPr>
          <w:lang w:val="es-ES_tradnl"/>
        </w:rPr>
        <w:t>;</w:t>
      </w:r>
    </w:p>
    <w:p w:rsidR="009556BA" w:rsidRPr="000D093B" w:rsidRDefault="009556BA" w:rsidP="00394C7D">
      <w:pPr>
        <w:ind w:left="1134" w:hanging="579"/>
        <w:rPr>
          <w:lang w:val="es-ES_tradnl"/>
        </w:rPr>
      </w:pPr>
    </w:p>
    <w:p w:rsidR="009556BA" w:rsidRPr="008126DF" w:rsidRDefault="008126DF" w:rsidP="00394C7D">
      <w:pPr>
        <w:numPr>
          <w:ilvl w:val="0"/>
          <w:numId w:val="8"/>
        </w:numPr>
        <w:ind w:left="1134" w:hanging="579"/>
        <w:rPr>
          <w:lang w:val="es-ES_tradnl"/>
        </w:rPr>
      </w:pPr>
      <w:r w:rsidRPr="008126DF">
        <w:rPr>
          <w:lang w:val="es-ES_tradnl"/>
        </w:rPr>
        <w:t>los idiomas utilizados más frecuentemente en la función de búsqueda son los siguientes:  inglés, español, francés y ruso</w:t>
      </w:r>
      <w:r w:rsidR="009556BA" w:rsidRPr="008126DF">
        <w:rPr>
          <w:lang w:val="es-ES_tradnl"/>
        </w:rPr>
        <w:t>;</w:t>
      </w:r>
    </w:p>
    <w:p w:rsidR="009556BA" w:rsidRPr="000D093B" w:rsidRDefault="009556BA" w:rsidP="00394C7D">
      <w:pPr>
        <w:ind w:left="1134" w:hanging="579"/>
        <w:rPr>
          <w:lang w:val="es-ES_tradnl"/>
        </w:rPr>
      </w:pPr>
    </w:p>
    <w:p w:rsidR="009556BA" w:rsidRPr="008126DF" w:rsidRDefault="008126DF" w:rsidP="00394C7D">
      <w:pPr>
        <w:numPr>
          <w:ilvl w:val="0"/>
          <w:numId w:val="8"/>
        </w:numPr>
        <w:ind w:left="1134" w:hanging="579"/>
        <w:rPr>
          <w:lang w:val="es-ES_tradnl"/>
        </w:rPr>
      </w:pPr>
      <w:r w:rsidRPr="008126DF">
        <w:rPr>
          <w:lang w:val="es-ES_tradnl"/>
        </w:rPr>
        <w:t>algunos países que se han adherido recientemente al Sistema de Madrid (por ejemplo,</w:t>
      </w:r>
      <w:r w:rsidR="009556BA" w:rsidRPr="008126DF">
        <w:rPr>
          <w:lang w:val="es-ES_tradnl"/>
        </w:rPr>
        <w:t xml:space="preserve"> Colombia, </w:t>
      </w:r>
      <w:r w:rsidRPr="008126DF">
        <w:rPr>
          <w:lang w:val="es-ES_tradnl"/>
        </w:rPr>
        <w:t xml:space="preserve">la </w:t>
      </w:r>
      <w:r w:rsidR="009556BA" w:rsidRPr="008126DF">
        <w:rPr>
          <w:lang w:val="es-ES_tradnl"/>
        </w:rPr>
        <w:t xml:space="preserve">India </w:t>
      </w:r>
      <w:r w:rsidRPr="008126DF">
        <w:rPr>
          <w:lang w:val="es-ES_tradnl"/>
        </w:rPr>
        <w:t>y Mé</w:t>
      </w:r>
      <w:r w:rsidR="009556BA" w:rsidRPr="008126DF">
        <w:rPr>
          <w:lang w:val="es-ES_tradnl"/>
        </w:rPr>
        <w:t xml:space="preserve">xico) </w:t>
      </w:r>
      <w:r w:rsidRPr="008126DF">
        <w:rPr>
          <w:lang w:val="es-ES_tradnl"/>
        </w:rPr>
        <w:t>así como países que aún no son miembros del Sistema de Madrid</w:t>
      </w:r>
      <w:r>
        <w:rPr>
          <w:lang w:val="es-ES_tradnl"/>
        </w:rPr>
        <w:t xml:space="preserve"> (Chile, Perú</w:t>
      </w:r>
      <w:r w:rsidR="009556BA" w:rsidRPr="008126DF">
        <w:rPr>
          <w:lang w:val="es-ES_tradnl"/>
        </w:rPr>
        <w:t xml:space="preserve">, </w:t>
      </w:r>
      <w:r>
        <w:rPr>
          <w:lang w:val="es-ES_tradnl"/>
        </w:rPr>
        <w:t xml:space="preserve">la </w:t>
      </w:r>
      <w:r w:rsidR="009556BA" w:rsidRPr="008126DF">
        <w:rPr>
          <w:lang w:val="es-ES_tradnl"/>
        </w:rPr>
        <w:t xml:space="preserve">Argentina, Indonesia </w:t>
      </w:r>
      <w:r>
        <w:rPr>
          <w:lang w:val="es-ES_tradnl"/>
        </w:rPr>
        <w:t xml:space="preserve">y </w:t>
      </w:r>
      <w:r w:rsidR="009556BA" w:rsidRPr="008126DF">
        <w:rPr>
          <w:lang w:val="es-ES_tradnl"/>
        </w:rPr>
        <w:t xml:space="preserve">Malasia) </w:t>
      </w:r>
      <w:r>
        <w:rPr>
          <w:lang w:val="es-ES_tradnl"/>
        </w:rPr>
        <w:t xml:space="preserve">ya figuran entre los principales usuarios de la </w:t>
      </w:r>
      <w:r w:rsidR="009556BA" w:rsidRPr="008126DF">
        <w:rPr>
          <w:lang w:val="es-ES_tradnl"/>
        </w:rPr>
        <w:t>MGS.</w:t>
      </w:r>
    </w:p>
    <w:p w:rsidR="009556BA" w:rsidRPr="000D093B" w:rsidRDefault="009556BA" w:rsidP="001334BE">
      <w:pPr>
        <w:rPr>
          <w:lang w:val="es-ES_tradnl"/>
        </w:rPr>
      </w:pPr>
    </w:p>
    <w:p w:rsidR="009556BA" w:rsidRPr="000D093B" w:rsidRDefault="00F9069B" w:rsidP="00C5143A">
      <w:pPr>
        <w:keepNext/>
        <w:rPr>
          <w:b/>
          <w:lang w:val="es-ES_tradnl"/>
        </w:rPr>
      </w:pPr>
      <w:r>
        <w:rPr>
          <w:b/>
          <w:lang w:val="es-ES_tradnl"/>
        </w:rPr>
        <w:lastRenderedPageBreak/>
        <w:t>PRESUPUESTO</w:t>
      </w:r>
    </w:p>
    <w:p w:rsidR="009556BA" w:rsidRPr="000D093B" w:rsidRDefault="009556BA" w:rsidP="00C5143A">
      <w:pPr>
        <w:keepNext/>
        <w:tabs>
          <w:tab w:val="num" w:pos="0"/>
        </w:tabs>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DC6CE0">
        <w:rPr>
          <w:lang w:val="es-ES_tradnl"/>
        </w:rPr>
        <w:t>E</w:t>
      </w:r>
      <w:r w:rsidRPr="000D093B">
        <w:rPr>
          <w:lang w:val="es-ES_tradnl"/>
        </w:rPr>
        <w:t xml:space="preserve">n 2013, </w:t>
      </w:r>
      <w:r w:rsidR="00DC6CE0">
        <w:rPr>
          <w:lang w:val="es-ES_tradnl"/>
        </w:rPr>
        <w:t>la Asamblea de la Unión de Madrid aprobó el uso de los fondos restantes del proyecto a final de 2013 para prestar asistencia a algunas Oficina</w:t>
      </w:r>
      <w:r w:rsidR="008C60F9">
        <w:rPr>
          <w:lang w:val="es-ES_tradnl"/>
        </w:rPr>
        <w:t>s</w:t>
      </w:r>
      <w:r w:rsidR="00DC6CE0">
        <w:rPr>
          <w:lang w:val="es-ES_tradnl"/>
        </w:rPr>
        <w:t xml:space="preserve"> nacionales en la traducción de la Base de datos MGS a sus idiomas nacionales (véase el párrafo 33 del documento </w:t>
      </w:r>
      <w:r w:rsidRPr="000D093B">
        <w:rPr>
          <w:lang w:val="es-ES_tradnl"/>
        </w:rPr>
        <w:t>MM/A/46/2).</w:t>
      </w:r>
    </w:p>
    <w:p w:rsidR="009556BA" w:rsidRPr="000D093B" w:rsidRDefault="009556BA" w:rsidP="009556BA">
      <w:pPr>
        <w:rPr>
          <w:lang w:val="es-ES_tradnl"/>
        </w:rPr>
      </w:pPr>
    </w:p>
    <w:p w:rsidR="00DC6CE0" w:rsidRPr="000D093B" w:rsidRDefault="009556BA" w:rsidP="001065F1">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Pr="000D093B">
        <w:rPr>
          <w:lang w:val="es-ES_tradnl"/>
        </w:rPr>
        <w:tab/>
      </w:r>
      <w:r w:rsidR="00DC6CE0" w:rsidRPr="00DC6CE0">
        <w:rPr>
          <w:lang w:val="es-ES_tradnl"/>
        </w:rPr>
        <w:t xml:space="preserve">En el cuadro del Anexo </w:t>
      </w:r>
      <w:r w:rsidR="001065F1">
        <w:rPr>
          <w:lang w:val="es-ES_tradnl"/>
        </w:rPr>
        <w:t>V figura el desglose de</w:t>
      </w:r>
      <w:r w:rsidR="00DC6CE0" w:rsidRPr="00DC6CE0">
        <w:rPr>
          <w:lang w:val="es-ES_tradnl"/>
        </w:rPr>
        <w:t xml:space="preserve"> </w:t>
      </w:r>
      <w:r w:rsidR="001065F1">
        <w:rPr>
          <w:lang w:val="es-ES_tradnl"/>
        </w:rPr>
        <w:t xml:space="preserve">la asignación inicial (232.000 francos suizos) puesta a disposición por la OMPI para </w:t>
      </w:r>
      <w:r w:rsidR="00DC6CE0" w:rsidRPr="00DC6CE0">
        <w:rPr>
          <w:lang w:val="es-ES_tradnl"/>
        </w:rPr>
        <w:t xml:space="preserve">la traducción de la Base de datos MGS y los pagos efectivos </w:t>
      </w:r>
      <w:r w:rsidR="001065F1">
        <w:rPr>
          <w:lang w:val="es-ES_tradnl"/>
        </w:rPr>
        <w:t>realizados al 30 de mayo de 2014</w:t>
      </w:r>
      <w:r w:rsidR="00DC6CE0" w:rsidRPr="00DC6CE0">
        <w:rPr>
          <w:lang w:val="es-ES_tradnl"/>
        </w:rPr>
        <w:t xml:space="preserve">, correspondientes al trabajo de traducción realizado por aquellas Oficinas que </w:t>
      </w:r>
      <w:r w:rsidR="004D3764" w:rsidRPr="00DC6CE0">
        <w:rPr>
          <w:lang w:val="es-ES_tradnl"/>
        </w:rPr>
        <w:t xml:space="preserve">en un principio </w:t>
      </w:r>
      <w:r w:rsidR="00DC6CE0" w:rsidRPr="00DC6CE0">
        <w:rPr>
          <w:lang w:val="es-ES_tradnl"/>
        </w:rPr>
        <w:t xml:space="preserve">fueron seleccionadas </w:t>
      </w:r>
      <w:r w:rsidR="001065F1">
        <w:rPr>
          <w:lang w:val="es-ES_tradnl"/>
        </w:rPr>
        <w:t xml:space="preserve">para recibir </w:t>
      </w:r>
      <w:r w:rsidR="00DC6CE0" w:rsidRPr="00DC6CE0">
        <w:rPr>
          <w:lang w:val="es-ES_tradnl"/>
        </w:rPr>
        <w:t>ayuda financiera</w:t>
      </w:r>
      <w:r w:rsidR="004D3764">
        <w:rPr>
          <w:lang w:val="es-ES_tradnl"/>
        </w:rPr>
        <w:t xml:space="preserve"> o habían solicitado dicha ayuda</w:t>
      </w:r>
      <w:r w:rsidR="00DC6CE0" w:rsidRPr="00DC6CE0">
        <w:rPr>
          <w:lang w:val="es-ES_tradnl"/>
        </w:rPr>
        <w:t xml:space="preserve">. </w:t>
      </w:r>
      <w:r w:rsidR="004D3764">
        <w:rPr>
          <w:lang w:val="es-ES_tradnl"/>
        </w:rPr>
        <w:t xml:space="preserve"> </w:t>
      </w:r>
      <w:r w:rsidR="00DC6CE0" w:rsidRPr="00DC6CE0">
        <w:rPr>
          <w:lang w:val="es-ES_tradnl"/>
        </w:rPr>
        <w:t xml:space="preserve">En concreto, en la columna “Saldo” de dicho cuadro se da cuenta de los fondos disponibles, por Oficina participante, para seguir adelante con la traducción de la Base </w:t>
      </w:r>
      <w:r w:rsidR="004D3764">
        <w:rPr>
          <w:lang w:val="es-ES_tradnl"/>
        </w:rPr>
        <w:t xml:space="preserve">de datos </w:t>
      </w:r>
      <w:r w:rsidR="00DC6CE0" w:rsidRPr="00DC6CE0">
        <w:rPr>
          <w:lang w:val="es-ES_tradnl"/>
        </w:rPr>
        <w:t>MGS.</w:t>
      </w:r>
    </w:p>
    <w:p w:rsidR="009556BA" w:rsidRPr="000D093B" w:rsidRDefault="009556BA" w:rsidP="009556BA">
      <w:pPr>
        <w:rPr>
          <w:lang w:val="es-ES_tradnl"/>
        </w:rPr>
      </w:pPr>
    </w:p>
    <w:p w:rsidR="009556BA" w:rsidRPr="000D093B" w:rsidRDefault="009556BA" w:rsidP="009556BA">
      <w:pPr>
        <w:rPr>
          <w:lang w:val="es-ES_tradnl"/>
        </w:rPr>
      </w:pPr>
      <w:r w:rsidRPr="000D093B">
        <w:rPr>
          <w:lang w:val="es-ES_tradnl"/>
        </w:rPr>
        <w:fldChar w:fldCharType="begin"/>
      </w:r>
      <w:r w:rsidRPr="000D093B">
        <w:rPr>
          <w:lang w:val="es-ES_tradnl"/>
        </w:rPr>
        <w:instrText xml:space="preserve"> AUTONUM  </w:instrText>
      </w:r>
      <w:r w:rsidRPr="000D093B">
        <w:rPr>
          <w:lang w:val="es-ES_tradnl"/>
        </w:rPr>
        <w:fldChar w:fldCharType="end"/>
      </w:r>
      <w:r w:rsidR="004D3764">
        <w:rPr>
          <w:lang w:val="es-ES_tradnl"/>
        </w:rPr>
        <w:tab/>
        <w:t xml:space="preserve">En mayo de </w:t>
      </w:r>
      <w:r w:rsidRPr="000D093B">
        <w:rPr>
          <w:lang w:val="es-ES_tradnl"/>
        </w:rPr>
        <w:t xml:space="preserve">2014, </w:t>
      </w:r>
      <w:r w:rsidR="004D3764">
        <w:rPr>
          <w:lang w:val="es-ES_tradnl"/>
        </w:rPr>
        <w:t xml:space="preserve">seguía estando disponible un total de </w:t>
      </w:r>
      <w:r w:rsidRPr="000D093B">
        <w:rPr>
          <w:lang w:val="es-ES_tradnl"/>
        </w:rPr>
        <w:t>117</w:t>
      </w:r>
      <w:r w:rsidR="004D3764">
        <w:rPr>
          <w:lang w:val="es-ES_tradnl"/>
        </w:rPr>
        <w:t>.</w:t>
      </w:r>
      <w:r w:rsidRPr="000D093B">
        <w:rPr>
          <w:lang w:val="es-ES_tradnl"/>
        </w:rPr>
        <w:t xml:space="preserve">343 </w:t>
      </w:r>
      <w:r w:rsidR="004D3764">
        <w:rPr>
          <w:lang w:val="es-ES_tradnl"/>
        </w:rPr>
        <w:t>francos suizos para financiar la traducción de la Base de datos MGS a los siete idiomas respecto de los que se ha firmado un Memorando de entendimiento entre la OMPI y la Oficina nacional correspondiente</w:t>
      </w:r>
      <w:r w:rsidRPr="000D093B">
        <w:rPr>
          <w:lang w:val="es-ES_tradnl"/>
        </w:rPr>
        <w:t>.</w:t>
      </w:r>
    </w:p>
    <w:p w:rsidR="009556BA" w:rsidRPr="000D093B" w:rsidRDefault="009556BA" w:rsidP="009556BA">
      <w:pPr>
        <w:rPr>
          <w:lang w:val="es-ES_tradnl"/>
        </w:rPr>
      </w:pPr>
    </w:p>
    <w:p w:rsidR="009556BA" w:rsidRPr="000D093B" w:rsidRDefault="009556BA" w:rsidP="009556BA">
      <w:pPr>
        <w:ind w:left="5500"/>
        <w:rPr>
          <w:i/>
          <w:lang w:val="es-ES_tradnl"/>
        </w:rPr>
      </w:pPr>
      <w:r w:rsidRPr="000D093B">
        <w:rPr>
          <w:i/>
          <w:lang w:val="es-ES_tradnl"/>
        </w:rPr>
        <w:fldChar w:fldCharType="begin"/>
      </w:r>
      <w:r w:rsidRPr="000D093B">
        <w:rPr>
          <w:i/>
          <w:lang w:val="es-ES_tradnl"/>
        </w:rPr>
        <w:instrText xml:space="preserve"> AUTONUM  </w:instrText>
      </w:r>
      <w:r w:rsidRPr="000D093B">
        <w:rPr>
          <w:i/>
          <w:lang w:val="es-ES_tradnl"/>
        </w:rPr>
        <w:fldChar w:fldCharType="end"/>
      </w:r>
      <w:r w:rsidRPr="000D093B">
        <w:rPr>
          <w:i/>
          <w:lang w:val="es-ES_tradnl"/>
        </w:rPr>
        <w:tab/>
      </w:r>
      <w:r w:rsidR="00F9069B">
        <w:rPr>
          <w:i/>
          <w:lang w:val="es-ES_tradnl"/>
        </w:rPr>
        <w:t>Se invita a la A</w:t>
      </w:r>
      <w:r w:rsidRPr="000D093B">
        <w:rPr>
          <w:i/>
          <w:lang w:val="es-ES_tradnl"/>
        </w:rPr>
        <w:t>s</w:t>
      </w:r>
      <w:r w:rsidR="00F9069B">
        <w:rPr>
          <w:i/>
          <w:lang w:val="es-ES_tradnl"/>
        </w:rPr>
        <w:t>a</w:t>
      </w:r>
      <w:r w:rsidRPr="000D093B">
        <w:rPr>
          <w:i/>
          <w:lang w:val="es-ES_tradnl"/>
        </w:rPr>
        <w:t>mbl</w:t>
      </w:r>
      <w:r w:rsidR="00F9069B">
        <w:rPr>
          <w:i/>
          <w:lang w:val="es-ES_tradnl"/>
        </w:rPr>
        <w:t>ea a</w:t>
      </w:r>
      <w:r w:rsidRPr="000D093B">
        <w:rPr>
          <w:i/>
          <w:lang w:val="es-ES_tradnl"/>
        </w:rPr>
        <w:t>:</w:t>
      </w:r>
    </w:p>
    <w:p w:rsidR="009556BA" w:rsidRPr="00C5143A" w:rsidRDefault="009556BA" w:rsidP="009556BA">
      <w:pPr>
        <w:ind w:left="5500"/>
        <w:rPr>
          <w:lang w:val="es-ES_tradnl"/>
        </w:rPr>
      </w:pPr>
    </w:p>
    <w:p w:rsidR="009556BA" w:rsidRPr="00F9069B" w:rsidRDefault="00F9069B" w:rsidP="00F9069B">
      <w:pPr>
        <w:numPr>
          <w:ilvl w:val="0"/>
          <w:numId w:val="7"/>
        </w:numPr>
        <w:tabs>
          <w:tab w:val="num" w:pos="6270"/>
        </w:tabs>
        <w:ind w:left="6300" w:firstLine="0"/>
        <w:rPr>
          <w:i/>
          <w:lang w:val="es-ES_tradnl"/>
        </w:rPr>
      </w:pPr>
      <w:r w:rsidRPr="00F9069B">
        <w:rPr>
          <w:i/>
          <w:lang w:val="es-ES_tradnl"/>
        </w:rPr>
        <w:t>tomar nota</w:t>
      </w:r>
      <w:r w:rsidR="009556BA" w:rsidRPr="00F9069B">
        <w:rPr>
          <w:i/>
          <w:lang w:val="es-ES_tradnl"/>
        </w:rPr>
        <w:t xml:space="preserve"> </w:t>
      </w:r>
      <w:r w:rsidRPr="00F9069B">
        <w:rPr>
          <w:i/>
          <w:lang w:val="es-ES_tradnl"/>
        </w:rPr>
        <w:t xml:space="preserve">del informe sobre la marcha de </w:t>
      </w:r>
      <w:r>
        <w:rPr>
          <w:i/>
          <w:lang w:val="es-ES_tradnl"/>
        </w:rPr>
        <w:t>las actividades relativas a la B</w:t>
      </w:r>
      <w:r w:rsidRPr="00F9069B">
        <w:rPr>
          <w:i/>
          <w:lang w:val="es-ES_tradnl"/>
        </w:rPr>
        <w:t>ase de datos sobre productos y servicios del Sistema de Madrid</w:t>
      </w:r>
      <w:r w:rsidR="009556BA" w:rsidRPr="00F9069B">
        <w:rPr>
          <w:i/>
          <w:lang w:val="es-ES_tradnl"/>
        </w:rPr>
        <w:t xml:space="preserve"> (document</w:t>
      </w:r>
      <w:r>
        <w:rPr>
          <w:i/>
          <w:lang w:val="es-ES_tradnl"/>
        </w:rPr>
        <w:t>o</w:t>
      </w:r>
      <w:r w:rsidR="009556BA" w:rsidRPr="00F9069B">
        <w:rPr>
          <w:i/>
          <w:lang w:val="es-ES_tradnl"/>
        </w:rPr>
        <w:t xml:space="preserve"> MM/A/48/2), </w:t>
      </w:r>
      <w:r w:rsidR="00DF4729">
        <w:rPr>
          <w:i/>
          <w:lang w:val="es-ES_tradnl"/>
        </w:rPr>
        <w:t>incluido el párrafo </w:t>
      </w:r>
      <w:r w:rsidR="009556BA" w:rsidRPr="00F9069B">
        <w:rPr>
          <w:i/>
          <w:lang w:val="es-ES_tradnl"/>
        </w:rPr>
        <w:t xml:space="preserve">26 </w:t>
      </w:r>
      <w:r>
        <w:rPr>
          <w:i/>
          <w:lang w:val="es-ES_tradnl"/>
        </w:rPr>
        <w:t xml:space="preserve">relativo a los fondos restantes del proyecto; </w:t>
      </w:r>
      <w:r w:rsidR="00AB01CC">
        <w:rPr>
          <w:i/>
          <w:lang w:val="es-ES_tradnl"/>
        </w:rPr>
        <w:t xml:space="preserve"> </w:t>
      </w:r>
      <w:r>
        <w:rPr>
          <w:i/>
          <w:lang w:val="es-ES_tradnl"/>
        </w:rPr>
        <w:t>y</w:t>
      </w:r>
    </w:p>
    <w:p w:rsidR="009556BA" w:rsidRPr="000D093B" w:rsidRDefault="009556BA" w:rsidP="009556BA">
      <w:pPr>
        <w:rPr>
          <w:i/>
          <w:lang w:val="es-ES_tradnl"/>
        </w:rPr>
      </w:pPr>
    </w:p>
    <w:p w:rsidR="009556BA" w:rsidRPr="00F9069B" w:rsidRDefault="00F9069B" w:rsidP="00F9069B">
      <w:pPr>
        <w:numPr>
          <w:ilvl w:val="0"/>
          <w:numId w:val="7"/>
        </w:numPr>
        <w:tabs>
          <w:tab w:val="num" w:pos="6270"/>
        </w:tabs>
        <w:ind w:left="6237" w:firstLine="0"/>
        <w:rPr>
          <w:i/>
          <w:lang w:val="es-ES_tradnl"/>
        </w:rPr>
      </w:pPr>
      <w:r w:rsidRPr="00F9069B">
        <w:rPr>
          <w:i/>
          <w:lang w:val="es-ES_tradnl"/>
        </w:rPr>
        <w:t>pedir a la Oficin</w:t>
      </w:r>
      <w:r w:rsidR="00C5143A">
        <w:rPr>
          <w:i/>
          <w:lang w:val="es-ES_tradnl"/>
        </w:rPr>
        <w:t>a Internacional que presente en </w:t>
      </w:r>
      <w:r w:rsidRPr="00F9069B">
        <w:rPr>
          <w:i/>
          <w:lang w:val="es-ES_tradnl"/>
        </w:rPr>
        <w:t>2015 a la Asamblea de la Unión de Madrid un nuevo informe sobre la marcha de las actividades relativas a la Base de datos sobre productos y servicios del Sistema de Madrid</w:t>
      </w:r>
      <w:r>
        <w:rPr>
          <w:i/>
          <w:lang w:val="es-ES_tradnl"/>
        </w:rPr>
        <w:t>,</w:t>
      </w:r>
      <w:r w:rsidRPr="00F9069B">
        <w:rPr>
          <w:i/>
          <w:lang w:val="es-ES_tradnl"/>
        </w:rPr>
        <w:t xml:space="preserve"> incluido el </w:t>
      </w:r>
      <w:r w:rsidR="00373F16">
        <w:rPr>
          <w:i/>
          <w:lang w:val="es-ES_tradnl"/>
        </w:rPr>
        <w:t xml:space="preserve">uso de </w:t>
      </w:r>
      <w:r w:rsidRPr="00F9069B">
        <w:rPr>
          <w:i/>
          <w:lang w:val="es-ES_tradnl"/>
        </w:rPr>
        <w:t>los fondos restantes del proyecto</w:t>
      </w:r>
      <w:r w:rsidR="009556BA" w:rsidRPr="00F9069B">
        <w:rPr>
          <w:i/>
          <w:lang w:val="es-ES_tradnl"/>
        </w:rPr>
        <w:t>.</w:t>
      </w:r>
    </w:p>
    <w:p w:rsidR="009556BA" w:rsidRPr="000D093B" w:rsidRDefault="009556BA" w:rsidP="009556BA">
      <w:pPr>
        <w:rPr>
          <w:lang w:val="es-ES_tradnl"/>
        </w:rPr>
      </w:pPr>
    </w:p>
    <w:p w:rsidR="009556BA" w:rsidRPr="000D093B" w:rsidRDefault="009556BA" w:rsidP="009556BA">
      <w:pPr>
        <w:rPr>
          <w:lang w:val="es-ES_tradnl"/>
        </w:rPr>
      </w:pPr>
    </w:p>
    <w:p w:rsidR="009556BA" w:rsidRPr="000D093B" w:rsidRDefault="009556BA" w:rsidP="009556BA">
      <w:pPr>
        <w:rPr>
          <w:lang w:val="es-ES_tradnl"/>
        </w:rPr>
      </w:pPr>
    </w:p>
    <w:p w:rsidR="009556BA" w:rsidRPr="000D093B" w:rsidRDefault="009556BA" w:rsidP="009556BA">
      <w:pPr>
        <w:ind w:left="5533"/>
        <w:rPr>
          <w:lang w:val="es-ES_tradnl"/>
        </w:rPr>
      </w:pPr>
      <w:r w:rsidRPr="000D093B">
        <w:rPr>
          <w:lang w:val="es-ES_tradnl"/>
        </w:rPr>
        <w:t>[</w:t>
      </w:r>
      <w:r w:rsidR="004C788D" w:rsidRPr="000D093B">
        <w:rPr>
          <w:lang w:val="es-ES_tradnl"/>
        </w:rPr>
        <w:t>Siguen los Anexos</w:t>
      </w:r>
      <w:r w:rsidRPr="000D093B">
        <w:rPr>
          <w:lang w:val="es-ES_tradnl"/>
        </w:rPr>
        <w:t>]</w:t>
      </w:r>
    </w:p>
    <w:p w:rsidR="009556BA" w:rsidRPr="000D093B" w:rsidRDefault="009556BA" w:rsidP="009556BA">
      <w:pPr>
        <w:ind w:left="5533"/>
        <w:rPr>
          <w:lang w:val="es-ES_tradnl"/>
        </w:rPr>
      </w:pPr>
    </w:p>
    <w:p w:rsidR="009556BA" w:rsidRPr="000D093B" w:rsidRDefault="009556BA" w:rsidP="009556BA">
      <w:pPr>
        <w:ind w:left="5533"/>
        <w:rPr>
          <w:lang w:val="es-ES_tradnl"/>
        </w:rPr>
        <w:sectPr w:rsidR="009556BA" w:rsidRPr="000D093B" w:rsidSect="00BD0073">
          <w:headerReference w:type="default" r:id="rId9"/>
          <w:endnotePr>
            <w:numFmt w:val="decimal"/>
          </w:endnotePr>
          <w:pgSz w:w="11907" w:h="16840" w:code="9"/>
          <w:pgMar w:top="567" w:right="1134" w:bottom="1077" w:left="1418" w:header="510" w:footer="1021" w:gutter="0"/>
          <w:pgNumType w:start="1"/>
          <w:cols w:space="720"/>
          <w:titlePg/>
          <w:docGrid w:linePitch="299"/>
        </w:sectPr>
      </w:pPr>
    </w:p>
    <w:p w:rsidR="009556BA" w:rsidRPr="000D093B" w:rsidRDefault="009556BA" w:rsidP="009556BA">
      <w:pPr>
        <w:rPr>
          <w:lang w:val="es-ES_tradnl"/>
        </w:rPr>
      </w:pPr>
    </w:p>
    <w:p w:rsidR="009556BA" w:rsidRPr="000D093B" w:rsidRDefault="009556BA" w:rsidP="009556BA">
      <w:pPr>
        <w:rPr>
          <w:sz w:val="24"/>
          <w:szCs w:val="24"/>
          <w:lang w:val="es-ES_tradnl"/>
        </w:rPr>
      </w:pPr>
    </w:p>
    <w:p w:rsidR="009556BA" w:rsidRPr="000D093B" w:rsidRDefault="00086960" w:rsidP="009556BA">
      <w:pPr>
        <w:jc w:val="center"/>
        <w:rPr>
          <w:b/>
          <w:sz w:val="24"/>
          <w:szCs w:val="24"/>
          <w:lang w:val="es-ES_tradnl"/>
        </w:rPr>
      </w:pPr>
      <w:r>
        <w:rPr>
          <w:b/>
          <w:sz w:val="24"/>
          <w:szCs w:val="24"/>
          <w:lang w:val="es-ES_tradnl"/>
        </w:rPr>
        <w:t xml:space="preserve">Contenido de la Base de datos </w:t>
      </w:r>
      <w:r w:rsidR="009556BA" w:rsidRPr="000D093B">
        <w:rPr>
          <w:b/>
          <w:sz w:val="24"/>
          <w:szCs w:val="24"/>
          <w:lang w:val="es-ES_tradnl"/>
        </w:rPr>
        <w:t xml:space="preserve">MGS </w:t>
      </w:r>
    </w:p>
    <w:p w:rsidR="009556BA" w:rsidRPr="000D093B" w:rsidRDefault="009556BA" w:rsidP="009556BA">
      <w:pPr>
        <w:jc w:val="center"/>
        <w:rPr>
          <w:b/>
          <w:sz w:val="24"/>
          <w:szCs w:val="24"/>
          <w:lang w:val="es-ES_tradnl"/>
        </w:rPr>
      </w:pPr>
      <w:r w:rsidRPr="000D093B">
        <w:rPr>
          <w:b/>
          <w:sz w:val="24"/>
          <w:szCs w:val="24"/>
          <w:lang w:val="es-ES_tradnl"/>
        </w:rPr>
        <w:t>May</w:t>
      </w:r>
      <w:r w:rsidR="00086960">
        <w:rPr>
          <w:b/>
          <w:sz w:val="24"/>
          <w:szCs w:val="24"/>
          <w:lang w:val="es-ES_tradnl"/>
        </w:rPr>
        <w:t>o de</w:t>
      </w:r>
      <w:r w:rsidRPr="000D093B">
        <w:rPr>
          <w:b/>
          <w:sz w:val="24"/>
          <w:szCs w:val="24"/>
          <w:lang w:val="es-ES_tradnl"/>
        </w:rPr>
        <w:t xml:space="preserve"> 2014</w:t>
      </w:r>
    </w:p>
    <w:p w:rsidR="009556BA" w:rsidRPr="000D093B" w:rsidRDefault="009556BA" w:rsidP="009556BA">
      <w:pPr>
        <w:rPr>
          <w:lang w:val="es-ES_tradnl"/>
        </w:rPr>
      </w:pPr>
    </w:p>
    <w:p w:rsidR="009556BA" w:rsidRPr="000D093B" w:rsidRDefault="009556BA" w:rsidP="009556BA">
      <w:pPr>
        <w:rPr>
          <w:lang w:val="es-ES_tradnl"/>
        </w:rPr>
      </w:pPr>
    </w:p>
    <w:tbl>
      <w:tblPr>
        <w:tblW w:w="8640" w:type="dxa"/>
        <w:tblInd w:w="378" w:type="dxa"/>
        <w:tblLook w:val="04A0" w:firstRow="1" w:lastRow="0" w:firstColumn="1" w:lastColumn="0" w:noHBand="0" w:noVBand="1"/>
      </w:tblPr>
      <w:tblGrid>
        <w:gridCol w:w="516"/>
        <w:gridCol w:w="283"/>
        <w:gridCol w:w="1864"/>
        <w:gridCol w:w="1580"/>
        <w:gridCol w:w="4614"/>
      </w:tblGrid>
      <w:tr w:rsidR="009556BA" w:rsidRPr="000D093B" w:rsidTr="00BD0073">
        <w:trPr>
          <w:trHeight w:val="765"/>
        </w:trPr>
        <w:tc>
          <w:tcPr>
            <w:tcW w:w="244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556BA" w:rsidRPr="000D093B" w:rsidRDefault="009556BA" w:rsidP="00BD0073">
            <w:pPr>
              <w:jc w:val="center"/>
              <w:rPr>
                <w:rFonts w:eastAsia="Times New Roman"/>
                <w:b/>
                <w:bCs/>
                <w:sz w:val="20"/>
                <w:lang w:val="es-ES_tradnl" w:eastAsia="en-US"/>
              </w:rPr>
            </w:pPr>
            <w:r w:rsidRPr="000D093B">
              <w:rPr>
                <w:rFonts w:eastAsia="Times New Roman"/>
                <w:b/>
                <w:bCs/>
                <w:sz w:val="20"/>
                <w:lang w:val="es-ES_tradnl" w:eastAsia="en-US"/>
              </w:rPr>
              <w:t>MGS</w:t>
            </w:r>
          </w:p>
        </w:tc>
        <w:tc>
          <w:tcPr>
            <w:tcW w:w="15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556BA" w:rsidRPr="000D093B" w:rsidRDefault="009556BA" w:rsidP="00BD0073">
            <w:pPr>
              <w:jc w:val="center"/>
              <w:rPr>
                <w:rFonts w:eastAsia="Times New Roman"/>
                <w:b/>
                <w:bCs/>
                <w:sz w:val="20"/>
                <w:lang w:val="es-ES_tradnl" w:eastAsia="en-US"/>
              </w:rPr>
            </w:pPr>
            <w:r w:rsidRPr="000D093B">
              <w:rPr>
                <w:rFonts w:eastAsia="Times New Roman"/>
                <w:b/>
                <w:bCs/>
                <w:sz w:val="20"/>
                <w:lang w:val="es-ES_tradnl" w:eastAsia="en-US"/>
              </w:rPr>
              <w:t>Concept</w:t>
            </w:r>
            <w:r w:rsidR="00086960">
              <w:rPr>
                <w:rFonts w:eastAsia="Times New Roman"/>
                <w:b/>
                <w:bCs/>
                <w:sz w:val="20"/>
                <w:lang w:val="es-ES_tradnl" w:eastAsia="en-US"/>
              </w:rPr>
              <w:t>o</w:t>
            </w:r>
            <w:r w:rsidRPr="000D093B">
              <w:rPr>
                <w:rFonts w:eastAsia="Times New Roman"/>
                <w:b/>
                <w:bCs/>
                <w:sz w:val="20"/>
                <w:lang w:val="es-ES_tradnl" w:eastAsia="en-US"/>
              </w:rPr>
              <w:t>s</w:t>
            </w:r>
          </w:p>
        </w:tc>
        <w:tc>
          <w:tcPr>
            <w:tcW w:w="4614" w:type="dxa"/>
            <w:tcBorders>
              <w:top w:val="single" w:sz="4" w:space="0" w:color="auto"/>
              <w:left w:val="nil"/>
              <w:bottom w:val="single" w:sz="4" w:space="0" w:color="auto"/>
              <w:right w:val="single" w:sz="4" w:space="0" w:color="auto"/>
            </w:tcBorders>
            <w:shd w:val="clear" w:color="auto" w:fill="auto"/>
            <w:vAlign w:val="center"/>
            <w:hideMark/>
          </w:tcPr>
          <w:p w:rsidR="009556BA" w:rsidRPr="000D093B" w:rsidRDefault="00086960" w:rsidP="00704B8D">
            <w:pPr>
              <w:jc w:val="center"/>
              <w:rPr>
                <w:rFonts w:eastAsia="Times New Roman"/>
                <w:b/>
                <w:bCs/>
                <w:sz w:val="20"/>
                <w:lang w:val="es-ES_tradnl" w:eastAsia="en-US"/>
              </w:rPr>
            </w:pPr>
            <w:r>
              <w:rPr>
                <w:rFonts w:eastAsia="Times New Roman"/>
                <w:b/>
                <w:bCs/>
                <w:sz w:val="20"/>
                <w:lang w:val="es-ES_tradnl" w:eastAsia="en-US"/>
              </w:rPr>
              <w:t>Indicac</w:t>
            </w:r>
            <w:r w:rsidR="009556BA" w:rsidRPr="000D093B">
              <w:rPr>
                <w:rFonts w:eastAsia="Times New Roman"/>
                <w:b/>
                <w:bCs/>
                <w:sz w:val="20"/>
                <w:lang w:val="es-ES_tradnl" w:eastAsia="en-US"/>
              </w:rPr>
              <w:t>ion</w:t>
            </w:r>
            <w:r>
              <w:rPr>
                <w:rFonts w:eastAsia="Times New Roman"/>
                <w:b/>
                <w:bCs/>
                <w:sz w:val="20"/>
                <w:lang w:val="es-ES_tradnl" w:eastAsia="en-US"/>
              </w:rPr>
              <w:t>e</w:t>
            </w:r>
            <w:r w:rsidR="009556BA" w:rsidRPr="000D093B">
              <w:rPr>
                <w:rFonts w:eastAsia="Times New Roman"/>
                <w:b/>
                <w:bCs/>
                <w:sz w:val="20"/>
                <w:lang w:val="es-ES_tradnl" w:eastAsia="en-US"/>
              </w:rPr>
              <w:t xml:space="preserve">s </w:t>
            </w:r>
            <w:r>
              <w:rPr>
                <w:rFonts w:eastAsia="Times New Roman"/>
                <w:b/>
                <w:bCs/>
                <w:sz w:val="20"/>
                <w:lang w:val="es-ES_tradnl" w:eastAsia="en-US"/>
              </w:rPr>
              <w:t>de</w:t>
            </w:r>
            <w:r w:rsidR="009556BA" w:rsidRPr="000D093B">
              <w:rPr>
                <w:rFonts w:eastAsia="Times New Roman"/>
                <w:b/>
                <w:bCs/>
                <w:sz w:val="20"/>
                <w:lang w:val="es-ES_tradnl" w:eastAsia="en-US"/>
              </w:rPr>
              <w:t xml:space="preserve"> </w:t>
            </w:r>
            <w:r>
              <w:rPr>
                <w:rFonts w:eastAsia="Times New Roman"/>
                <w:b/>
                <w:bCs/>
                <w:sz w:val="20"/>
                <w:lang w:val="es-ES_tradnl" w:eastAsia="en-US"/>
              </w:rPr>
              <w:t>productos y servicio</w:t>
            </w:r>
            <w:r w:rsidR="009556BA" w:rsidRPr="000D093B">
              <w:rPr>
                <w:rFonts w:eastAsia="Times New Roman"/>
                <w:b/>
                <w:bCs/>
                <w:sz w:val="20"/>
                <w:lang w:val="es-ES_tradnl" w:eastAsia="en-US"/>
              </w:rPr>
              <w:t>s</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b/>
                <w:bCs/>
                <w:sz w:val="20"/>
                <w:lang w:val="es-ES_tradnl" w:eastAsia="en-US"/>
              </w:rPr>
            </w:pPr>
            <w:r w:rsidRPr="000D093B">
              <w:rPr>
                <w:rFonts w:eastAsia="Times New Roman"/>
                <w:b/>
                <w:bCs/>
                <w:sz w:val="20"/>
                <w:lang w:val="es-ES_tradnl" w:eastAsia="en-US"/>
              </w:rPr>
              <w:t>EN</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b/>
                <w:bCs/>
                <w:sz w:val="20"/>
                <w:lang w:val="es-ES_tradnl" w:eastAsia="en-US"/>
              </w:rPr>
            </w:pPr>
            <w:r w:rsidRPr="000D093B">
              <w:rPr>
                <w:rFonts w:eastAsia="Times New Roman"/>
                <w:b/>
                <w:bCs/>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086960" w:rsidP="00BD0073">
            <w:pPr>
              <w:rPr>
                <w:rFonts w:eastAsia="Times New Roman"/>
                <w:b/>
                <w:bCs/>
                <w:sz w:val="20"/>
                <w:lang w:val="es-ES_tradnl" w:eastAsia="en-US"/>
              </w:rPr>
            </w:pPr>
            <w:r>
              <w:rPr>
                <w:rFonts w:eastAsia="Times New Roman"/>
                <w:b/>
                <w:bCs/>
                <w:sz w:val="20"/>
                <w:lang w:val="es-ES_tradnl" w:eastAsia="en-US"/>
              </w:rPr>
              <w:t>Inglés</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b/>
                <w:bCs/>
                <w:sz w:val="20"/>
                <w:lang w:val="es-ES_tradnl" w:eastAsia="en-US"/>
              </w:rPr>
            </w:pPr>
            <w:r w:rsidRPr="000D093B">
              <w:rPr>
                <w:rFonts w:eastAsia="Times New Roman"/>
                <w:b/>
                <w:bCs/>
                <w:sz w:val="20"/>
                <w:lang w:val="es-ES_tradnl" w:eastAsia="en-US"/>
              </w:rPr>
              <w:t>34</w:t>
            </w:r>
            <w:r w:rsidR="00644C16">
              <w:rPr>
                <w:rFonts w:eastAsia="Times New Roman"/>
                <w:b/>
                <w:bCs/>
                <w:sz w:val="20"/>
                <w:lang w:val="es-ES_tradnl" w:eastAsia="en-US"/>
              </w:rPr>
              <w:t>.</w:t>
            </w:r>
            <w:r w:rsidRPr="000D093B">
              <w:rPr>
                <w:rFonts w:eastAsia="Times New Roman"/>
                <w:b/>
                <w:bCs/>
                <w:sz w:val="20"/>
                <w:lang w:val="es-ES_tradnl" w:eastAsia="en-US"/>
              </w:rPr>
              <w:t>018</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b/>
                <w:bCs/>
                <w:sz w:val="20"/>
                <w:lang w:val="es-ES_tradnl" w:eastAsia="en-US"/>
              </w:rPr>
            </w:pPr>
            <w:r w:rsidRPr="000D093B">
              <w:rPr>
                <w:rFonts w:eastAsia="Times New Roman"/>
                <w:b/>
                <w:bCs/>
                <w:sz w:val="20"/>
                <w:lang w:val="es-ES_tradnl" w:eastAsia="en-US"/>
              </w:rPr>
              <w:t>51</w:t>
            </w:r>
            <w:r w:rsidR="00644C16">
              <w:rPr>
                <w:rFonts w:eastAsia="Times New Roman"/>
                <w:b/>
                <w:bCs/>
                <w:sz w:val="20"/>
                <w:lang w:val="es-ES_tradnl" w:eastAsia="en-US"/>
              </w:rPr>
              <w:t>.</w:t>
            </w:r>
            <w:r w:rsidRPr="000D093B">
              <w:rPr>
                <w:rFonts w:eastAsia="Times New Roman"/>
                <w:b/>
                <w:bCs/>
                <w:sz w:val="20"/>
                <w:lang w:val="es-ES_tradnl" w:eastAsia="en-US"/>
              </w:rPr>
              <w:t>944</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b/>
                <w:bCs/>
                <w:sz w:val="20"/>
                <w:lang w:val="es-ES_tradnl" w:eastAsia="en-US"/>
              </w:rPr>
            </w:pPr>
            <w:r w:rsidRPr="000D093B">
              <w:rPr>
                <w:rFonts w:eastAsia="Times New Roman"/>
                <w:b/>
                <w:bCs/>
                <w:sz w:val="20"/>
                <w:lang w:val="es-ES_tradnl" w:eastAsia="en-US"/>
              </w:rPr>
              <w:t>ES</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b/>
                <w:bCs/>
                <w:sz w:val="20"/>
                <w:lang w:val="es-ES_tradnl" w:eastAsia="en-US"/>
              </w:rPr>
            </w:pPr>
            <w:r w:rsidRPr="000D093B">
              <w:rPr>
                <w:rFonts w:eastAsia="Times New Roman"/>
                <w:b/>
                <w:bCs/>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086960" w:rsidP="00BD0073">
            <w:pPr>
              <w:rPr>
                <w:rFonts w:eastAsia="Times New Roman"/>
                <w:b/>
                <w:bCs/>
                <w:sz w:val="20"/>
                <w:lang w:val="es-ES_tradnl" w:eastAsia="en-US"/>
              </w:rPr>
            </w:pPr>
            <w:r>
              <w:rPr>
                <w:rFonts w:eastAsia="Times New Roman"/>
                <w:b/>
                <w:bCs/>
                <w:sz w:val="20"/>
                <w:lang w:val="es-ES_tradnl" w:eastAsia="en-US"/>
              </w:rPr>
              <w:t>Español</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b/>
                <w:bCs/>
                <w:sz w:val="20"/>
                <w:lang w:val="es-ES_tradnl" w:eastAsia="en-US"/>
              </w:rPr>
            </w:pPr>
            <w:r w:rsidRPr="000D093B">
              <w:rPr>
                <w:rFonts w:eastAsia="Times New Roman"/>
                <w:b/>
                <w:bCs/>
                <w:sz w:val="20"/>
                <w:lang w:val="es-ES_tradnl" w:eastAsia="en-US"/>
              </w:rPr>
              <w:t>27</w:t>
            </w:r>
            <w:r w:rsidR="00644C16">
              <w:rPr>
                <w:rFonts w:eastAsia="Times New Roman"/>
                <w:b/>
                <w:bCs/>
                <w:sz w:val="20"/>
                <w:lang w:val="es-ES_tradnl" w:eastAsia="en-US"/>
              </w:rPr>
              <w:t>.</w:t>
            </w:r>
            <w:r w:rsidRPr="000D093B">
              <w:rPr>
                <w:rFonts w:eastAsia="Times New Roman"/>
                <w:b/>
                <w:bCs/>
                <w:sz w:val="20"/>
                <w:lang w:val="es-ES_tradnl" w:eastAsia="en-US"/>
              </w:rPr>
              <w:t>477</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b/>
                <w:bCs/>
                <w:sz w:val="20"/>
                <w:lang w:val="es-ES_tradnl" w:eastAsia="en-US"/>
              </w:rPr>
            </w:pPr>
            <w:r w:rsidRPr="000D093B">
              <w:rPr>
                <w:rFonts w:eastAsia="Times New Roman"/>
                <w:b/>
                <w:bCs/>
                <w:sz w:val="20"/>
                <w:lang w:val="es-ES_tradnl" w:eastAsia="en-US"/>
              </w:rPr>
              <w:t>34</w:t>
            </w:r>
            <w:r w:rsidR="00644C16">
              <w:rPr>
                <w:rFonts w:eastAsia="Times New Roman"/>
                <w:b/>
                <w:bCs/>
                <w:sz w:val="20"/>
                <w:lang w:val="es-ES_tradnl" w:eastAsia="en-US"/>
              </w:rPr>
              <w:t>.</w:t>
            </w:r>
            <w:r w:rsidRPr="000D093B">
              <w:rPr>
                <w:rFonts w:eastAsia="Times New Roman"/>
                <w:b/>
                <w:bCs/>
                <w:sz w:val="20"/>
                <w:lang w:val="es-ES_tradnl" w:eastAsia="en-US"/>
              </w:rPr>
              <w:t>377</w:t>
            </w:r>
          </w:p>
        </w:tc>
      </w:tr>
      <w:tr w:rsidR="009556BA" w:rsidRPr="000D093B" w:rsidTr="00BD0073">
        <w:trPr>
          <w:trHeight w:val="555"/>
        </w:trPr>
        <w:tc>
          <w:tcPr>
            <w:tcW w:w="299" w:type="dxa"/>
            <w:tcBorders>
              <w:top w:val="nil"/>
              <w:left w:val="single" w:sz="4" w:space="0" w:color="auto"/>
              <w:bottom w:val="single" w:sz="8" w:space="0" w:color="auto"/>
              <w:right w:val="nil"/>
            </w:tcBorders>
            <w:shd w:val="clear" w:color="auto" w:fill="auto"/>
            <w:noWrap/>
            <w:vAlign w:val="bottom"/>
            <w:hideMark/>
          </w:tcPr>
          <w:p w:rsidR="009556BA" w:rsidRPr="000D093B" w:rsidRDefault="009556BA" w:rsidP="00BD0073">
            <w:pPr>
              <w:rPr>
                <w:rFonts w:eastAsia="Times New Roman"/>
                <w:b/>
                <w:bCs/>
                <w:sz w:val="20"/>
                <w:lang w:val="es-ES_tradnl" w:eastAsia="en-US"/>
              </w:rPr>
            </w:pPr>
            <w:r w:rsidRPr="000D093B">
              <w:rPr>
                <w:rFonts w:eastAsia="Times New Roman"/>
                <w:b/>
                <w:bCs/>
                <w:sz w:val="20"/>
                <w:lang w:val="es-ES_tradnl" w:eastAsia="en-US"/>
              </w:rPr>
              <w:t>FR</w:t>
            </w:r>
          </w:p>
        </w:tc>
        <w:tc>
          <w:tcPr>
            <w:tcW w:w="283" w:type="dxa"/>
            <w:tcBorders>
              <w:top w:val="nil"/>
              <w:left w:val="nil"/>
              <w:bottom w:val="single" w:sz="8" w:space="0" w:color="auto"/>
              <w:right w:val="nil"/>
            </w:tcBorders>
            <w:shd w:val="clear" w:color="auto" w:fill="auto"/>
            <w:noWrap/>
            <w:vAlign w:val="bottom"/>
            <w:hideMark/>
          </w:tcPr>
          <w:p w:rsidR="009556BA" w:rsidRPr="000D093B" w:rsidRDefault="009556BA" w:rsidP="00BD0073">
            <w:pPr>
              <w:rPr>
                <w:rFonts w:eastAsia="Times New Roman"/>
                <w:b/>
                <w:bCs/>
                <w:sz w:val="20"/>
                <w:lang w:val="es-ES_tradnl" w:eastAsia="en-US"/>
              </w:rPr>
            </w:pPr>
            <w:r w:rsidRPr="000D093B">
              <w:rPr>
                <w:rFonts w:eastAsia="Times New Roman"/>
                <w:b/>
                <w:bCs/>
                <w:sz w:val="20"/>
                <w:lang w:val="es-ES_tradnl" w:eastAsia="en-US"/>
              </w:rPr>
              <w:t>-</w:t>
            </w:r>
          </w:p>
        </w:tc>
        <w:tc>
          <w:tcPr>
            <w:tcW w:w="1864" w:type="dxa"/>
            <w:tcBorders>
              <w:top w:val="nil"/>
              <w:left w:val="nil"/>
              <w:bottom w:val="single" w:sz="8" w:space="0" w:color="auto"/>
              <w:right w:val="single" w:sz="4" w:space="0" w:color="auto"/>
            </w:tcBorders>
            <w:shd w:val="clear" w:color="auto" w:fill="auto"/>
            <w:noWrap/>
            <w:vAlign w:val="bottom"/>
            <w:hideMark/>
          </w:tcPr>
          <w:p w:rsidR="009556BA" w:rsidRPr="000D093B" w:rsidRDefault="00086960" w:rsidP="00BD0073">
            <w:pPr>
              <w:rPr>
                <w:rFonts w:eastAsia="Times New Roman"/>
                <w:b/>
                <w:bCs/>
                <w:sz w:val="20"/>
                <w:lang w:val="es-ES_tradnl" w:eastAsia="en-US"/>
              </w:rPr>
            </w:pPr>
            <w:r>
              <w:rPr>
                <w:rFonts w:eastAsia="Times New Roman"/>
                <w:b/>
                <w:bCs/>
                <w:sz w:val="20"/>
                <w:lang w:val="es-ES_tradnl" w:eastAsia="en-US"/>
              </w:rPr>
              <w:t>Francés</w:t>
            </w:r>
          </w:p>
        </w:tc>
        <w:tc>
          <w:tcPr>
            <w:tcW w:w="1580" w:type="dxa"/>
            <w:tcBorders>
              <w:top w:val="nil"/>
              <w:left w:val="single" w:sz="8" w:space="0" w:color="auto"/>
              <w:bottom w:val="single" w:sz="8"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b/>
                <w:bCs/>
                <w:sz w:val="20"/>
                <w:lang w:val="es-ES_tradnl" w:eastAsia="en-US"/>
              </w:rPr>
            </w:pPr>
            <w:r w:rsidRPr="000D093B">
              <w:rPr>
                <w:rFonts w:eastAsia="Times New Roman"/>
                <w:b/>
                <w:bCs/>
                <w:sz w:val="20"/>
                <w:lang w:val="es-ES_tradnl" w:eastAsia="en-US"/>
              </w:rPr>
              <w:t>27</w:t>
            </w:r>
            <w:r w:rsidR="00644C16">
              <w:rPr>
                <w:rFonts w:eastAsia="Times New Roman"/>
                <w:b/>
                <w:bCs/>
                <w:sz w:val="20"/>
                <w:lang w:val="es-ES_tradnl" w:eastAsia="en-US"/>
              </w:rPr>
              <w:t>.</w:t>
            </w:r>
            <w:r w:rsidRPr="000D093B">
              <w:rPr>
                <w:rFonts w:eastAsia="Times New Roman"/>
                <w:b/>
                <w:bCs/>
                <w:sz w:val="20"/>
                <w:lang w:val="es-ES_tradnl" w:eastAsia="en-US"/>
              </w:rPr>
              <w:t>322</w:t>
            </w:r>
          </w:p>
        </w:tc>
        <w:tc>
          <w:tcPr>
            <w:tcW w:w="4614" w:type="dxa"/>
            <w:tcBorders>
              <w:top w:val="nil"/>
              <w:left w:val="nil"/>
              <w:bottom w:val="single" w:sz="8"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b/>
                <w:bCs/>
                <w:sz w:val="20"/>
                <w:lang w:val="es-ES_tradnl" w:eastAsia="en-US"/>
              </w:rPr>
            </w:pPr>
            <w:r w:rsidRPr="000D093B">
              <w:rPr>
                <w:rFonts w:eastAsia="Times New Roman"/>
                <w:b/>
                <w:bCs/>
                <w:sz w:val="20"/>
                <w:lang w:val="es-ES_tradnl" w:eastAsia="en-US"/>
              </w:rPr>
              <w:t>34</w:t>
            </w:r>
            <w:r w:rsidR="00644C16">
              <w:rPr>
                <w:rFonts w:eastAsia="Times New Roman"/>
                <w:b/>
                <w:bCs/>
                <w:sz w:val="20"/>
                <w:lang w:val="es-ES_tradnl" w:eastAsia="en-US"/>
              </w:rPr>
              <w:t>.</w:t>
            </w:r>
            <w:r w:rsidRPr="000D093B">
              <w:rPr>
                <w:rFonts w:eastAsia="Times New Roman"/>
                <w:b/>
                <w:bCs/>
                <w:sz w:val="20"/>
                <w:lang w:val="es-ES_tradnl" w:eastAsia="en-US"/>
              </w:rPr>
              <w:t>512</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AR</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086960" w:rsidP="00BD0073">
            <w:pPr>
              <w:rPr>
                <w:rFonts w:eastAsia="Times New Roman"/>
                <w:sz w:val="20"/>
                <w:lang w:val="es-ES_tradnl" w:eastAsia="en-US"/>
              </w:rPr>
            </w:pPr>
            <w:r>
              <w:rPr>
                <w:rFonts w:eastAsia="Times New Roman"/>
                <w:sz w:val="20"/>
                <w:lang w:val="es-ES_tradnl" w:eastAsia="en-US"/>
              </w:rPr>
              <w:t>Árabe</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18</w:t>
            </w:r>
            <w:r w:rsidR="00644C16">
              <w:rPr>
                <w:rFonts w:eastAsia="Times New Roman"/>
                <w:sz w:val="20"/>
                <w:lang w:val="es-ES_tradnl" w:eastAsia="en-US"/>
              </w:rPr>
              <w:t>.</w:t>
            </w:r>
            <w:r w:rsidRPr="000D093B">
              <w:rPr>
                <w:rFonts w:eastAsia="Times New Roman"/>
                <w:sz w:val="20"/>
                <w:lang w:val="es-ES_tradnl" w:eastAsia="en-US"/>
              </w:rPr>
              <w:t>583</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24</w:t>
            </w:r>
            <w:r w:rsidR="00644C16">
              <w:rPr>
                <w:rFonts w:eastAsia="Times New Roman"/>
                <w:sz w:val="20"/>
                <w:lang w:val="es-ES_tradnl" w:eastAsia="en-US"/>
              </w:rPr>
              <w:t>.</w:t>
            </w:r>
            <w:r w:rsidRPr="000D093B">
              <w:rPr>
                <w:rFonts w:eastAsia="Times New Roman"/>
                <w:sz w:val="20"/>
                <w:lang w:val="es-ES_tradnl" w:eastAsia="en-US"/>
              </w:rPr>
              <w:t>287</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DE</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086960" w:rsidP="00BD0073">
            <w:pPr>
              <w:rPr>
                <w:rFonts w:eastAsia="Times New Roman"/>
                <w:sz w:val="20"/>
                <w:lang w:val="es-ES_tradnl" w:eastAsia="en-US"/>
              </w:rPr>
            </w:pPr>
            <w:r>
              <w:rPr>
                <w:rFonts w:eastAsia="Times New Roman"/>
                <w:sz w:val="20"/>
                <w:lang w:val="es-ES_tradnl" w:eastAsia="en-US"/>
              </w:rPr>
              <w:t>Alemán</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24</w:t>
            </w:r>
            <w:r w:rsidR="00644C16">
              <w:rPr>
                <w:rFonts w:eastAsia="Times New Roman"/>
                <w:sz w:val="20"/>
                <w:lang w:val="es-ES_tradnl" w:eastAsia="en-US"/>
              </w:rPr>
              <w:t>.</w:t>
            </w:r>
            <w:r w:rsidRPr="000D093B">
              <w:rPr>
                <w:rFonts w:eastAsia="Times New Roman"/>
                <w:sz w:val="20"/>
                <w:lang w:val="es-ES_tradnl" w:eastAsia="en-US"/>
              </w:rPr>
              <w:t>071</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25</w:t>
            </w:r>
            <w:r w:rsidR="00644C16">
              <w:rPr>
                <w:rFonts w:eastAsia="Times New Roman"/>
                <w:sz w:val="20"/>
                <w:lang w:val="es-ES_tradnl" w:eastAsia="en-US"/>
              </w:rPr>
              <w:t>.</w:t>
            </w:r>
            <w:r w:rsidRPr="000D093B">
              <w:rPr>
                <w:rFonts w:eastAsia="Times New Roman"/>
                <w:sz w:val="20"/>
                <w:lang w:val="es-ES_tradnl" w:eastAsia="en-US"/>
              </w:rPr>
              <w:t>939</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HE</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086960" w:rsidP="00BD0073">
            <w:pPr>
              <w:rPr>
                <w:rFonts w:eastAsia="Times New Roman"/>
                <w:sz w:val="20"/>
                <w:lang w:val="es-ES_tradnl" w:eastAsia="en-US"/>
              </w:rPr>
            </w:pPr>
            <w:r>
              <w:rPr>
                <w:rFonts w:eastAsia="Times New Roman"/>
                <w:sz w:val="20"/>
                <w:lang w:val="es-ES_tradnl" w:eastAsia="en-US"/>
              </w:rPr>
              <w:t>Hebreo</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28</w:t>
            </w:r>
            <w:r w:rsidR="00644C16">
              <w:rPr>
                <w:rFonts w:eastAsia="Times New Roman"/>
                <w:sz w:val="20"/>
                <w:lang w:val="es-ES_tradnl" w:eastAsia="en-US"/>
              </w:rPr>
              <w:t>.</w:t>
            </w:r>
            <w:r w:rsidRPr="000D093B">
              <w:rPr>
                <w:rFonts w:eastAsia="Times New Roman"/>
                <w:sz w:val="20"/>
                <w:lang w:val="es-ES_tradnl" w:eastAsia="en-US"/>
              </w:rPr>
              <w:t>091</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29</w:t>
            </w:r>
            <w:r w:rsidR="00644C16">
              <w:rPr>
                <w:rFonts w:eastAsia="Times New Roman"/>
                <w:sz w:val="20"/>
                <w:lang w:val="es-ES_tradnl" w:eastAsia="en-US"/>
              </w:rPr>
              <w:t>.</w:t>
            </w:r>
            <w:r w:rsidRPr="000D093B">
              <w:rPr>
                <w:rFonts w:eastAsia="Times New Roman"/>
                <w:sz w:val="20"/>
                <w:lang w:val="es-ES_tradnl" w:eastAsia="en-US"/>
              </w:rPr>
              <w:t>335</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IT</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Italian</w:t>
            </w:r>
            <w:r w:rsidR="00086960">
              <w:rPr>
                <w:rFonts w:eastAsia="Times New Roman"/>
                <w:sz w:val="20"/>
                <w:lang w:val="es-ES_tradnl" w:eastAsia="en-US"/>
              </w:rPr>
              <w:t>o</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26</w:t>
            </w:r>
            <w:r w:rsidR="00644C16">
              <w:rPr>
                <w:rFonts w:eastAsia="Times New Roman"/>
                <w:sz w:val="20"/>
                <w:lang w:val="es-ES_tradnl" w:eastAsia="en-US"/>
              </w:rPr>
              <w:t>.</w:t>
            </w:r>
            <w:r w:rsidRPr="000D093B">
              <w:rPr>
                <w:rFonts w:eastAsia="Times New Roman"/>
                <w:sz w:val="20"/>
                <w:lang w:val="es-ES_tradnl" w:eastAsia="en-US"/>
              </w:rPr>
              <w:t>766</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29</w:t>
            </w:r>
            <w:r w:rsidR="00644C16">
              <w:rPr>
                <w:rFonts w:eastAsia="Times New Roman"/>
                <w:sz w:val="20"/>
                <w:lang w:val="es-ES_tradnl" w:eastAsia="en-US"/>
              </w:rPr>
              <w:t>.</w:t>
            </w:r>
            <w:r w:rsidRPr="000D093B">
              <w:rPr>
                <w:rFonts w:eastAsia="Times New Roman"/>
                <w:sz w:val="20"/>
                <w:lang w:val="es-ES_tradnl" w:eastAsia="en-US"/>
              </w:rPr>
              <w:t>508</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JP</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086960" w:rsidP="00BD0073">
            <w:pPr>
              <w:rPr>
                <w:rFonts w:eastAsia="Times New Roman"/>
                <w:sz w:val="20"/>
                <w:lang w:val="es-ES_tradnl" w:eastAsia="en-US"/>
              </w:rPr>
            </w:pPr>
            <w:r>
              <w:rPr>
                <w:rFonts w:eastAsia="Times New Roman"/>
                <w:sz w:val="20"/>
                <w:lang w:val="es-ES_tradnl" w:eastAsia="en-US"/>
              </w:rPr>
              <w:t>Japonés</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22</w:t>
            </w:r>
            <w:r w:rsidR="00644C16">
              <w:rPr>
                <w:rFonts w:eastAsia="Times New Roman"/>
                <w:sz w:val="20"/>
                <w:lang w:val="es-ES_tradnl" w:eastAsia="en-US"/>
              </w:rPr>
              <w:t>.</w:t>
            </w:r>
            <w:r w:rsidRPr="000D093B">
              <w:rPr>
                <w:rFonts w:eastAsia="Times New Roman"/>
                <w:sz w:val="20"/>
                <w:lang w:val="es-ES_tradnl" w:eastAsia="en-US"/>
              </w:rPr>
              <w:t>631</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23</w:t>
            </w:r>
            <w:r w:rsidR="00644C16">
              <w:rPr>
                <w:rFonts w:eastAsia="Times New Roman"/>
                <w:sz w:val="20"/>
                <w:lang w:val="es-ES_tradnl" w:eastAsia="en-US"/>
              </w:rPr>
              <w:t>.</w:t>
            </w:r>
            <w:r w:rsidRPr="000D093B">
              <w:rPr>
                <w:rFonts w:eastAsia="Times New Roman"/>
                <w:sz w:val="20"/>
                <w:lang w:val="es-ES_tradnl" w:eastAsia="en-US"/>
              </w:rPr>
              <w:t>090</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 xml:space="preserve">KR </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086960" w:rsidP="00086960">
            <w:pPr>
              <w:rPr>
                <w:rFonts w:eastAsia="Times New Roman"/>
                <w:sz w:val="20"/>
                <w:lang w:val="es-ES_tradnl" w:eastAsia="en-US"/>
              </w:rPr>
            </w:pPr>
            <w:r>
              <w:rPr>
                <w:rFonts w:eastAsia="Times New Roman"/>
                <w:sz w:val="20"/>
                <w:lang w:val="es-ES_tradnl" w:eastAsia="en-US"/>
              </w:rPr>
              <w:t>C</w:t>
            </w:r>
            <w:r w:rsidR="009556BA" w:rsidRPr="000D093B">
              <w:rPr>
                <w:rFonts w:eastAsia="Times New Roman"/>
                <w:sz w:val="20"/>
                <w:lang w:val="es-ES_tradnl" w:eastAsia="en-US"/>
              </w:rPr>
              <w:t>orean</w:t>
            </w:r>
            <w:r>
              <w:rPr>
                <w:rFonts w:eastAsia="Times New Roman"/>
                <w:sz w:val="20"/>
                <w:lang w:val="es-ES_tradnl" w:eastAsia="en-US"/>
              </w:rPr>
              <w:t>o</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10</w:t>
            </w:r>
            <w:r w:rsidR="00644C16">
              <w:rPr>
                <w:rFonts w:eastAsia="Times New Roman"/>
                <w:sz w:val="20"/>
                <w:lang w:val="es-ES_tradnl" w:eastAsia="en-US"/>
              </w:rPr>
              <w:t>.</w:t>
            </w:r>
            <w:r w:rsidRPr="000D093B">
              <w:rPr>
                <w:rFonts w:eastAsia="Times New Roman"/>
                <w:sz w:val="20"/>
                <w:lang w:val="es-ES_tradnl" w:eastAsia="en-US"/>
              </w:rPr>
              <w:t>572</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11</w:t>
            </w:r>
            <w:r w:rsidR="00644C16">
              <w:rPr>
                <w:rFonts w:eastAsia="Times New Roman"/>
                <w:sz w:val="20"/>
                <w:lang w:val="es-ES_tradnl" w:eastAsia="en-US"/>
              </w:rPr>
              <w:t>.</w:t>
            </w:r>
            <w:r w:rsidRPr="000D093B">
              <w:rPr>
                <w:rFonts w:eastAsia="Times New Roman"/>
                <w:sz w:val="20"/>
                <w:lang w:val="es-ES_tradnl" w:eastAsia="en-US"/>
              </w:rPr>
              <w:t>587</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NL</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7B12EF" w:rsidP="00BD0073">
            <w:pPr>
              <w:rPr>
                <w:rFonts w:eastAsia="Times New Roman"/>
                <w:sz w:val="20"/>
                <w:lang w:val="es-ES_tradnl" w:eastAsia="en-US"/>
              </w:rPr>
            </w:pPr>
            <w:r>
              <w:rPr>
                <w:rFonts w:eastAsia="Times New Roman"/>
                <w:sz w:val="20"/>
                <w:lang w:val="es-ES_tradnl" w:eastAsia="en-US"/>
              </w:rPr>
              <w:t>Neerlandés</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22</w:t>
            </w:r>
            <w:r w:rsidR="00644C16">
              <w:rPr>
                <w:rFonts w:eastAsia="Times New Roman"/>
                <w:sz w:val="20"/>
                <w:lang w:val="es-ES_tradnl" w:eastAsia="en-US"/>
              </w:rPr>
              <w:t>.</w:t>
            </w:r>
            <w:r w:rsidRPr="000D093B">
              <w:rPr>
                <w:rFonts w:eastAsia="Times New Roman"/>
                <w:sz w:val="20"/>
                <w:lang w:val="es-ES_tradnl" w:eastAsia="en-US"/>
              </w:rPr>
              <w:t>477</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23</w:t>
            </w:r>
            <w:r w:rsidR="00644C16">
              <w:rPr>
                <w:rFonts w:eastAsia="Times New Roman"/>
                <w:sz w:val="20"/>
                <w:lang w:val="es-ES_tradnl" w:eastAsia="en-US"/>
              </w:rPr>
              <w:t>.</w:t>
            </w:r>
            <w:r w:rsidRPr="000D093B">
              <w:rPr>
                <w:rFonts w:eastAsia="Times New Roman"/>
                <w:sz w:val="20"/>
                <w:lang w:val="es-ES_tradnl" w:eastAsia="en-US"/>
              </w:rPr>
              <w:t>717</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NO</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086960" w:rsidP="00BD0073">
            <w:pPr>
              <w:rPr>
                <w:rFonts w:eastAsia="Times New Roman"/>
                <w:sz w:val="20"/>
                <w:lang w:val="es-ES_tradnl" w:eastAsia="en-US"/>
              </w:rPr>
            </w:pPr>
            <w:r>
              <w:rPr>
                <w:rFonts w:eastAsia="Times New Roman"/>
                <w:sz w:val="20"/>
                <w:lang w:val="es-ES_tradnl" w:eastAsia="en-US"/>
              </w:rPr>
              <w:t>Noruego</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24</w:t>
            </w:r>
            <w:r w:rsidR="00644C16">
              <w:rPr>
                <w:rFonts w:eastAsia="Times New Roman"/>
                <w:sz w:val="20"/>
                <w:lang w:val="es-ES_tradnl" w:eastAsia="en-US"/>
              </w:rPr>
              <w:t>.</w:t>
            </w:r>
            <w:r w:rsidRPr="000D093B">
              <w:rPr>
                <w:rFonts w:eastAsia="Times New Roman"/>
                <w:sz w:val="20"/>
                <w:lang w:val="es-ES_tradnl" w:eastAsia="en-US"/>
              </w:rPr>
              <w:t>457</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30</w:t>
            </w:r>
            <w:r w:rsidR="00644C16">
              <w:rPr>
                <w:rFonts w:eastAsia="Times New Roman"/>
                <w:sz w:val="20"/>
                <w:lang w:val="es-ES_tradnl" w:eastAsia="en-US"/>
              </w:rPr>
              <w:t>.</w:t>
            </w:r>
            <w:r w:rsidRPr="000D093B">
              <w:rPr>
                <w:rFonts w:eastAsia="Times New Roman"/>
                <w:sz w:val="20"/>
                <w:lang w:val="es-ES_tradnl" w:eastAsia="en-US"/>
              </w:rPr>
              <w:t>225</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PT</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086960" w:rsidP="00BD0073">
            <w:pPr>
              <w:rPr>
                <w:rFonts w:eastAsia="Times New Roman"/>
                <w:sz w:val="20"/>
                <w:lang w:val="es-ES_tradnl" w:eastAsia="en-US"/>
              </w:rPr>
            </w:pPr>
            <w:r>
              <w:rPr>
                <w:rFonts w:eastAsia="Times New Roman"/>
                <w:sz w:val="20"/>
                <w:lang w:val="es-ES_tradnl" w:eastAsia="en-US"/>
              </w:rPr>
              <w:t>Portugués</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26</w:t>
            </w:r>
            <w:r w:rsidR="00644C16">
              <w:rPr>
                <w:rFonts w:eastAsia="Times New Roman"/>
                <w:sz w:val="20"/>
                <w:lang w:val="es-ES_tradnl" w:eastAsia="en-US"/>
              </w:rPr>
              <w:t>.</w:t>
            </w:r>
            <w:r w:rsidRPr="000D093B">
              <w:rPr>
                <w:rFonts w:eastAsia="Times New Roman"/>
                <w:sz w:val="20"/>
                <w:lang w:val="es-ES_tradnl" w:eastAsia="en-US"/>
              </w:rPr>
              <w:t>378</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27</w:t>
            </w:r>
            <w:r w:rsidR="00644C16">
              <w:rPr>
                <w:rFonts w:eastAsia="Times New Roman"/>
                <w:sz w:val="20"/>
                <w:lang w:val="es-ES_tradnl" w:eastAsia="en-US"/>
              </w:rPr>
              <w:t>.</w:t>
            </w:r>
            <w:r w:rsidRPr="000D093B">
              <w:rPr>
                <w:rFonts w:eastAsia="Times New Roman"/>
                <w:sz w:val="20"/>
                <w:lang w:val="es-ES_tradnl" w:eastAsia="en-US"/>
              </w:rPr>
              <w:t>888</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RU</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086960" w:rsidP="00BD0073">
            <w:pPr>
              <w:rPr>
                <w:rFonts w:eastAsia="Times New Roman"/>
                <w:sz w:val="20"/>
                <w:lang w:val="es-ES_tradnl" w:eastAsia="en-US"/>
              </w:rPr>
            </w:pPr>
            <w:r>
              <w:rPr>
                <w:rFonts w:eastAsia="Times New Roman"/>
                <w:sz w:val="20"/>
                <w:lang w:val="es-ES_tradnl" w:eastAsia="en-US"/>
              </w:rPr>
              <w:t>Ruso</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26</w:t>
            </w:r>
            <w:r w:rsidR="00644C16">
              <w:rPr>
                <w:rFonts w:eastAsia="Times New Roman"/>
                <w:sz w:val="20"/>
                <w:lang w:val="es-ES_tradnl" w:eastAsia="en-US"/>
              </w:rPr>
              <w:t>.</w:t>
            </w:r>
            <w:r w:rsidRPr="000D093B">
              <w:rPr>
                <w:rFonts w:eastAsia="Times New Roman"/>
                <w:sz w:val="20"/>
                <w:lang w:val="es-ES_tradnl" w:eastAsia="en-US"/>
              </w:rPr>
              <w:t>559</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26</w:t>
            </w:r>
            <w:r w:rsidR="00644C16">
              <w:rPr>
                <w:rFonts w:eastAsia="Times New Roman"/>
                <w:sz w:val="20"/>
                <w:lang w:val="es-ES_tradnl" w:eastAsia="en-US"/>
              </w:rPr>
              <w:t>.</w:t>
            </w:r>
            <w:r w:rsidRPr="000D093B">
              <w:rPr>
                <w:rFonts w:eastAsia="Times New Roman"/>
                <w:sz w:val="20"/>
                <w:lang w:val="es-ES_tradnl" w:eastAsia="en-US"/>
              </w:rPr>
              <w:t>884</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SR</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086960" w:rsidP="00BD0073">
            <w:pPr>
              <w:rPr>
                <w:rFonts w:eastAsia="Times New Roman"/>
                <w:sz w:val="20"/>
                <w:lang w:val="es-ES_tradnl" w:eastAsia="en-US"/>
              </w:rPr>
            </w:pPr>
            <w:r>
              <w:rPr>
                <w:rFonts w:eastAsia="Times New Roman"/>
                <w:sz w:val="20"/>
                <w:lang w:val="es-ES_tradnl" w:eastAsia="en-US"/>
              </w:rPr>
              <w:t>Serbio</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8</w:t>
            </w:r>
            <w:r w:rsidR="00644C16">
              <w:rPr>
                <w:rFonts w:eastAsia="Times New Roman"/>
                <w:sz w:val="20"/>
                <w:lang w:val="es-ES_tradnl" w:eastAsia="en-US"/>
              </w:rPr>
              <w:t>.</w:t>
            </w:r>
            <w:r w:rsidRPr="000D093B">
              <w:rPr>
                <w:rFonts w:eastAsia="Times New Roman"/>
                <w:sz w:val="20"/>
                <w:lang w:val="es-ES_tradnl" w:eastAsia="en-US"/>
              </w:rPr>
              <w:t>155</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8</w:t>
            </w:r>
            <w:r w:rsidR="00644C16">
              <w:rPr>
                <w:rFonts w:eastAsia="Times New Roman"/>
                <w:sz w:val="20"/>
                <w:lang w:val="es-ES_tradnl" w:eastAsia="en-US"/>
              </w:rPr>
              <w:t>.</w:t>
            </w:r>
            <w:r w:rsidRPr="000D093B">
              <w:rPr>
                <w:rFonts w:eastAsia="Times New Roman"/>
                <w:sz w:val="20"/>
                <w:lang w:val="es-ES_tradnl" w:eastAsia="en-US"/>
              </w:rPr>
              <w:t>778</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TR</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086960" w:rsidP="00BD0073">
            <w:pPr>
              <w:rPr>
                <w:rFonts w:eastAsia="Times New Roman"/>
                <w:sz w:val="20"/>
                <w:lang w:val="es-ES_tradnl" w:eastAsia="en-US"/>
              </w:rPr>
            </w:pPr>
            <w:r>
              <w:rPr>
                <w:rFonts w:eastAsia="Times New Roman"/>
                <w:sz w:val="20"/>
                <w:lang w:val="es-ES_tradnl" w:eastAsia="en-US"/>
              </w:rPr>
              <w:t>Turco</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8</w:t>
            </w:r>
            <w:r w:rsidR="00644C16">
              <w:rPr>
                <w:rFonts w:eastAsia="Times New Roman"/>
                <w:sz w:val="20"/>
                <w:lang w:val="es-ES_tradnl" w:eastAsia="en-US"/>
              </w:rPr>
              <w:t>.</w:t>
            </w:r>
            <w:r w:rsidRPr="000D093B">
              <w:rPr>
                <w:rFonts w:eastAsia="Times New Roman"/>
                <w:sz w:val="20"/>
                <w:lang w:val="es-ES_tradnl" w:eastAsia="en-US"/>
              </w:rPr>
              <w:t>037</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9</w:t>
            </w:r>
            <w:r w:rsidR="00644C16">
              <w:rPr>
                <w:rFonts w:eastAsia="Times New Roman"/>
                <w:sz w:val="20"/>
                <w:lang w:val="es-ES_tradnl" w:eastAsia="en-US"/>
              </w:rPr>
              <w:t>.</w:t>
            </w:r>
            <w:r w:rsidRPr="000D093B">
              <w:rPr>
                <w:rFonts w:eastAsia="Times New Roman"/>
                <w:sz w:val="20"/>
                <w:lang w:val="es-ES_tradnl" w:eastAsia="en-US"/>
              </w:rPr>
              <w:t>498</w:t>
            </w:r>
          </w:p>
        </w:tc>
      </w:tr>
      <w:tr w:rsidR="009556BA" w:rsidRPr="000D093B" w:rsidTr="00BD0073">
        <w:trPr>
          <w:trHeight w:val="555"/>
        </w:trPr>
        <w:tc>
          <w:tcPr>
            <w:tcW w:w="299" w:type="dxa"/>
            <w:tcBorders>
              <w:top w:val="nil"/>
              <w:left w:val="single" w:sz="4" w:space="0" w:color="auto"/>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ZH</w:t>
            </w:r>
          </w:p>
        </w:tc>
        <w:tc>
          <w:tcPr>
            <w:tcW w:w="283" w:type="dxa"/>
            <w:tcBorders>
              <w:top w:val="nil"/>
              <w:left w:val="nil"/>
              <w:bottom w:val="single" w:sz="4" w:space="0" w:color="auto"/>
              <w:right w:val="nil"/>
            </w:tcBorders>
            <w:shd w:val="clear" w:color="auto" w:fill="auto"/>
            <w:noWrap/>
            <w:vAlign w:val="bottom"/>
            <w:hideMark/>
          </w:tcPr>
          <w:p w:rsidR="009556BA" w:rsidRPr="000D093B" w:rsidRDefault="009556BA" w:rsidP="00BD0073">
            <w:pPr>
              <w:rPr>
                <w:rFonts w:eastAsia="Times New Roman"/>
                <w:sz w:val="20"/>
                <w:lang w:val="es-ES_tradnl" w:eastAsia="en-US"/>
              </w:rPr>
            </w:pPr>
            <w:r w:rsidRPr="000D093B">
              <w:rPr>
                <w:rFonts w:eastAsia="Times New Roman"/>
                <w:sz w:val="20"/>
                <w:lang w:val="es-ES_tradnl" w:eastAsia="en-US"/>
              </w:rPr>
              <w:t>-</w:t>
            </w:r>
          </w:p>
        </w:tc>
        <w:tc>
          <w:tcPr>
            <w:tcW w:w="1864" w:type="dxa"/>
            <w:tcBorders>
              <w:top w:val="nil"/>
              <w:left w:val="nil"/>
              <w:bottom w:val="single" w:sz="4" w:space="0" w:color="auto"/>
              <w:right w:val="single" w:sz="4" w:space="0" w:color="auto"/>
            </w:tcBorders>
            <w:shd w:val="clear" w:color="auto" w:fill="auto"/>
            <w:noWrap/>
            <w:vAlign w:val="bottom"/>
            <w:hideMark/>
          </w:tcPr>
          <w:p w:rsidR="009556BA" w:rsidRPr="000D093B" w:rsidRDefault="00086960" w:rsidP="00BD0073">
            <w:pPr>
              <w:rPr>
                <w:rFonts w:eastAsia="Times New Roman"/>
                <w:sz w:val="20"/>
                <w:lang w:val="es-ES_tradnl" w:eastAsia="en-US"/>
              </w:rPr>
            </w:pPr>
            <w:r>
              <w:rPr>
                <w:rFonts w:eastAsia="Times New Roman"/>
                <w:sz w:val="20"/>
                <w:lang w:val="es-ES_tradnl" w:eastAsia="en-US"/>
              </w:rPr>
              <w:t>Chino</w:t>
            </w:r>
          </w:p>
        </w:tc>
        <w:tc>
          <w:tcPr>
            <w:tcW w:w="1580" w:type="dxa"/>
            <w:tcBorders>
              <w:top w:val="nil"/>
              <w:left w:val="single" w:sz="8" w:space="0" w:color="auto"/>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18</w:t>
            </w:r>
            <w:r w:rsidR="00644C16">
              <w:rPr>
                <w:rFonts w:eastAsia="Times New Roman"/>
                <w:sz w:val="20"/>
                <w:lang w:val="es-ES_tradnl" w:eastAsia="en-US"/>
              </w:rPr>
              <w:t>.</w:t>
            </w:r>
            <w:r w:rsidRPr="000D093B">
              <w:rPr>
                <w:rFonts w:eastAsia="Times New Roman"/>
                <w:sz w:val="20"/>
                <w:lang w:val="es-ES_tradnl" w:eastAsia="en-US"/>
              </w:rPr>
              <w:t>499</w:t>
            </w:r>
          </w:p>
        </w:tc>
        <w:tc>
          <w:tcPr>
            <w:tcW w:w="4614" w:type="dxa"/>
            <w:tcBorders>
              <w:top w:val="nil"/>
              <w:left w:val="nil"/>
              <w:bottom w:val="single" w:sz="4" w:space="0" w:color="auto"/>
              <w:right w:val="single" w:sz="4" w:space="0" w:color="auto"/>
            </w:tcBorders>
            <w:shd w:val="clear" w:color="auto" w:fill="auto"/>
            <w:noWrap/>
            <w:vAlign w:val="bottom"/>
            <w:hideMark/>
          </w:tcPr>
          <w:p w:rsidR="009556BA" w:rsidRPr="000D093B" w:rsidRDefault="009556BA" w:rsidP="00BD0073">
            <w:pPr>
              <w:jc w:val="right"/>
              <w:rPr>
                <w:rFonts w:eastAsia="Times New Roman"/>
                <w:sz w:val="20"/>
                <w:lang w:val="es-ES_tradnl" w:eastAsia="en-US"/>
              </w:rPr>
            </w:pPr>
            <w:r w:rsidRPr="000D093B">
              <w:rPr>
                <w:rFonts w:eastAsia="Times New Roman"/>
                <w:sz w:val="20"/>
                <w:lang w:val="es-ES_tradnl" w:eastAsia="en-US"/>
              </w:rPr>
              <w:t>19</w:t>
            </w:r>
            <w:r w:rsidR="00644C16">
              <w:rPr>
                <w:rFonts w:eastAsia="Times New Roman"/>
                <w:sz w:val="20"/>
                <w:lang w:val="es-ES_tradnl" w:eastAsia="en-US"/>
              </w:rPr>
              <w:t>.</w:t>
            </w:r>
            <w:r w:rsidRPr="000D093B">
              <w:rPr>
                <w:rFonts w:eastAsia="Times New Roman"/>
                <w:sz w:val="20"/>
                <w:lang w:val="es-ES_tradnl" w:eastAsia="en-US"/>
              </w:rPr>
              <w:t>062</w:t>
            </w:r>
          </w:p>
        </w:tc>
      </w:tr>
    </w:tbl>
    <w:p w:rsidR="009556BA" w:rsidRPr="000D093B" w:rsidRDefault="009556BA" w:rsidP="009556BA">
      <w:pPr>
        <w:rPr>
          <w:lang w:val="es-ES_tradnl"/>
        </w:rPr>
      </w:pPr>
    </w:p>
    <w:p w:rsidR="009556BA" w:rsidRPr="000D093B" w:rsidRDefault="009556BA" w:rsidP="009556BA">
      <w:pPr>
        <w:rPr>
          <w:lang w:val="es-ES_tradnl"/>
        </w:rPr>
      </w:pPr>
    </w:p>
    <w:p w:rsidR="009556BA" w:rsidRPr="000D093B" w:rsidRDefault="009556BA" w:rsidP="009556BA">
      <w:pPr>
        <w:rPr>
          <w:lang w:val="es-ES_tradnl"/>
        </w:rPr>
      </w:pPr>
    </w:p>
    <w:p w:rsidR="009556BA" w:rsidRPr="000D093B" w:rsidRDefault="009556BA" w:rsidP="009556BA">
      <w:pPr>
        <w:ind w:left="5533"/>
        <w:rPr>
          <w:i/>
          <w:lang w:val="es-ES_tradnl"/>
        </w:rPr>
      </w:pPr>
      <w:r w:rsidRPr="000D093B">
        <w:rPr>
          <w:lang w:val="es-ES_tradnl"/>
        </w:rPr>
        <w:t>[</w:t>
      </w:r>
      <w:r w:rsidR="004C788D" w:rsidRPr="000D093B">
        <w:rPr>
          <w:lang w:val="es-ES_tradnl"/>
        </w:rPr>
        <w:t>Sigue el Anexo II</w:t>
      </w:r>
      <w:r w:rsidRPr="000D093B">
        <w:rPr>
          <w:lang w:val="es-ES_tradnl"/>
        </w:rPr>
        <w:t>]</w:t>
      </w:r>
    </w:p>
    <w:p w:rsidR="009556BA" w:rsidRPr="000D093B" w:rsidRDefault="009556BA" w:rsidP="009556BA">
      <w:pPr>
        <w:rPr>
          <w:lang w:val="es-ES_tradnl"/>
        </w:rPr>
      </w:pPr>
    </w:p>
    <w:p w:rsidR="009556BA" w:rsidRPr="000D093B" w:rsidRDefault="009556BA" w:rsidP="009556BA">
      <w:pPr>
        <w:rPr>
          <w:lang w:val="es-ES_tradnl"/>
        </w:rPr>
        <w:sectPr w:rsidR="009556BA" w:rsidRPr="000D093B" w:rsidSect="00BD0073">
          <w:headerReference w:type="even" r:id="rId10"/>
          <w:headerReference w:type="default" r:id="rId11"/>
          <w:footerReference w:type="even" r:id="rId12"/>
          <w:footerReference w:type="default" r:id="rId13"/>
          <w:headerReference w:type="first" r:id="rId14"/>
          <w:endnotePr>
            <w:numFmt w:val="decimal"/>
          </w:endnotePr>
          <w:pgSz w:w="11907" w:h="16840" w:code="9"/>
          <w:pgMar w:top="567" w:right="1134" w:bottom="1078" w:left="1418" w:header="510" w:footer="1021" w:gutter="0"/>
          <w:cols w:space="720"/>
          <w:titlePg/>
          <w:docGrid w:linePitch="299"/>
        </w:sectPr>
      </w:pPr>
    </w:p>
    <w:p w:rsidR="002306D4" w:rsidRDefault="008F43C9" w:rsidP="002306D4">
      <w:pPr>
        <w:rPr>
          <w:lang w:val="es-ES_tradnl"/>
        </w:rPr>
      </w:pPr>
      <w:r w:rsidRPr="008F43C9">
        <w:rPr>
          <w:noProof/>
          <w:lang w:val="en-US" w:eastAsia="en-US"/>
        </w:rPr>
        <w:lastRenderedPageBreak/>
        <w:drawing>
          <wp:inline distT="0" distB="0" distL="0" distR="0" wp14:anchorId="066C8BEB" wp14:editId="0D407D8E">
            <wp:extent cx="8763990" cy="4939397"/>
            <wp:effectExtent l="7303" t="0" r="6667" b="6668"/>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8763990" cy="4939397"/>
                    </a:xfrm>
                    <a:prstGeom prst="rect">
                      <a:avLst/>
                    </a:prstGeom>
                    <a:noFill/>
                    <a:ln>
                      <a:noFill/>
                    </a:ln>
                  </pic:spPr>
                </pic:pic>
              </a:graphicData>
            </a:graphic>
          </wp:inline>
        </w:drawing>
      </w:r>
      <w:r w:rsidR="009556BA" w:rsidRPr="000D093B">
        <w:rPr>
          <w:lang w:val="es-ES_tradnl"/>
        </w:rPr>
        <w:tab/>
      </w:r>
      <w:r w:rsidR="007B1B4C" w:rsidRPr="007B1B4C">
        <w:rPr>
          <w:noProof/>
          <w:lang w:val="en-US" w:eastAsia="en-US"/>
        </w:rPr>
        <w:drawing>
          <wp:inline distT="0" distB="0" distL="0" distR="0" wp14:anchorId="1FAF43F2" wp14:editId="21CE4FF7">
            <wp:extent cx="8704012" cy="413984"/>
            <wp:effectExtent l="1143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8841029" cy="420501"/>
                    </a:xfrm>
                    <a:prstGeom prst="rect">
                      <a:avLst/>
                    </a:prstGeom>
                    <a:noFill/>
                    <a:ln>
                      <a:noFill/>
                    </a:ln>
                  </pic:spPr>
                </pic:pic>
              </a:graphicData>
            </a:graphic>
          </wp:inline>
        </w:drawing>
      </w:r>
    </w:p>
    <w:p w:rsidR="00294D93" w:rsidRDefault="00294D93" w:rsidP="002306D4"/>
    <w:p w:rsidR="009556BA" w:rsidRPr="000D093B" w:rsidRDefault="009556BA" w:rsidP="009556BA">
      <w:pPr>
        <w:rPr>
          <w:lang w:val="es-ES_tradnl"/>
        </w:rPr>
      </w:pPr>
    </w:p>
    <w:p w:rsidR="009556BA" w:rsidRPr="000D093B" w:rsidRDefault="009556BA" w:rsidP="008F43C9">
      <w:pPr>
        <w:ind w:left="5533"/>
        <w:rPr>
          <w:lang w:val="es-ES_tradnl"/>
        </w:rPr>
      </w:pPr>
      <w:r w:rsidRPr="000D093B">
        <w:rPr>
          <w:lang w:val="es-ES_tradnl"/>
        </w:rPr>
        <w:t>[</w:t>
      </w:r>
      <w:r w:rsidR="004C788D" w:rsidRPr="000D093B">
        <w:rPr>
          <w:lang w:val="es-ES_tradnl"/>
        </w:rPr>
        <w:t>Sigue el Anexo</w:t>
      </w:r>
      <w:r w:rsidRPr="000D093B">
        <w:rPr>
          <w:lang w:val="es-ES_tradnl"/>
        </w:rPr>
        <w:t xml:space="preserve"> III</w:t>
      </w:r>
      <w:r w:rsidR="004C788D" w:rsidRPr="000D093B">
        <w:rPr>
          <w:lang w:val="es-ES_tradnl"/>
        </w:rPr>
        <w:t>]</w:t>
      </w:r>
    </w:p>
    <w:p w:rsidR="009556BA" w:rsidRPr="000D093B" w:rsidRDefault="009556BA" w:rsidP="009556BA">
      <w:pPr>
        <w:rPr>
          <w:lang w:val="es-ES_tradnl"/>
        </w:rPr>
        <w:sectPr w:rsidR="009556BA" w:rsidRPr="000D093B" w:rsidSect="008F43C9">
          <w:headerReference w:type="default" r:id="rId17"/>
          <w:headerReference w:type="first" r:id="rId18"/>
          <w:endnotePr>
            <w:numFmt w:val="decimal"/>
          </w:endnotePr>
          <w:pgSz w:w="11907" w:h="16839" w:code="9"/>
          <w:pgMar w:top="567" w:right="1134" w:bottom="851" w:left="1418" w:header="510" w:footer="1021" w:gutter="0"/>
          <w:cols w:space="720"/>
          <w:titlePg/>
          <w:docGrid w:linePitch="299"/>
        </w:sectPr>
      </w:pPr>
    </w:p>
    <w:p w:rsidR="009556BA" w:rsidRPr="000D093B" w:rsidRDefault="009556BA" w:rsidP="009556BA">
      <w:pPr>
        <w:rPr>
          <w:lang w:val="es-ES_tradnl"/>
        </w:rPr>
      </w:pPr>
    </w:p>
    <w:p w:rsidR="009556BA" w:rsidRPr="000D093B" w:rsidRDefault="009556BA" w:rsidP="009556BA">
      <w:pPr>
        <w:rPr>
          <w:lang w:val="es-ES_tradnl"/>
        </w:rPr>
      </w:pPr>
    </w:p>
    <w:p w:rsidR="009556BA" w:rsidRPr="000D093B" w:rsidRDefault="009556BA" w:rsidP="009556BA">
      <w:pPr>
        <w:rPr>
          <w:lang w:val="es-ES_tradnl"/>
        </w:rPr>
      </w:pPr>
      <w:r w:rsidRPr="000D093B">
        <w:rPr>
          <w:lang w:val="es-ES_tradnl"/>
        </w:rPr>
        <w:tab/>
      </w:r>
      <w:r w:rsidR="008F43C9" w:rsidRPr="008F43C9">
        <w:rPr>
          <w:noProof/>
          <w:lang w:val="en-US" w:eastAsia="en-US"/>
        </w:rPr>
        <w:drawing>
          <wp:inline distT="0" distB="0" distL="0" distR="0" wp14:anchorId="38623A2B" wp14:editId="2B5E49E8">
            <wp:extent cx="6980858" cy="3694145"/>
            <wp:effectExtent l="508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6980858" cy="3694145"/>
                    </a:xfrm>
                    <a:prstGeom prst="rect">
                      <a:avLst/>
                    </a:prstGeom>
                    <a:noFill/>
                    <a:ln>
                      <a:noFill/>
                    </a:ln>
                  </pic:spPr>
                </pic:pic>
              </a:graphicData>
            </a:graphic>
          </wp:inline>
        </w:drawing>
      </w:r>
      <w:r w:rsidR="00294D93" w:rsidRPr="00294D93">
        <w:rPr>
          <w:noProof/>
          <w:lang w:val="en-US" w:eastAsia="en-US"/>
        </w:rPr>
        <w:drawing>
          <wp:inline distT="0" distB="0" distL="0" distR="0" wp14:anchorId="5B460B4B" wp14:editId="292C1710">
            <wp:extent cx="6978291" cy="889686"/>
            <wp:effectExtent l="0" t="381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200000">
                      <a:off x="0" y="0"/>
                      <a:ext cx="6973527" cy="889079"/>
                    </a:xfrm>
                    <a:prstGeom prst="rect">
                      <a:avLst/>
                    </a:prstGeom>
                    <a:noFill/>
                    <a:ln>
                      <a:noFill/>
                    </a:ln>
                  </pic:spPr>
                </pic:pic>
              </a:graphicData>
            </a:graphic>
          </wp:inline>
        </w:drawing>
      </w:r>
    </w:p>
    <w:p w:rsidR="009556BA" w:rsidRPr="000D093B" w:rsidRDefault="009556BA" w:rsidP="009556BA">
      <w:pPr>
        <w:rPr>
          <w:lang w:val="es-ES_tradnl"/>
        </w:rPr>
      </w:pPr>
    </w:p>
    <w:p w:rsidR="009556BA" w:rsidRPr="000D093B" w:rsidRDefault="009556BA" w:rsidP="009556BA">
      <w:pPr>
        <w:rPr>
          <w:lang w:val="es-ES_tradnl"/>
        </w:rPr>
      </w:pPr>
    </w:p>
    <w:p w:rsidR="009556BA" w:rsidRPr="000D093B" w:rsidRDefault="009556BA" w:rsidP="009556BA">
      <w:pPr>
        <w:ind w:left="5533"/>
        <w:rPr>
          <w:lang w:val="es-ES_tradnl"/>
        </w:rPr>
      </w:pPr>
      <w:r w:rsidRPr="000D093B">
        <w:rPr>
          <w:lang w:val="es-ES_tradnl"/>
        </w:rPr>
        <w:t>[</w:t>
      </w:r>
      <w:r w:rsidR="004C788D" w:rsidRPr="000D093B">
        <w:rPr>
          <w:lang w:val="es-ES_tradnl"/>
        </w:rPr>
        <w:t>Sigue el Anexo</w:t>
      </w:r>
      <w:r w:rsidRPr="000D093B">
        <w:rPr>
          <w:lang w:val="es-ES_tradnl"/>
        </w:rPr>
        <w:t xml:space="preserve"> IV]</w:t>
      </w:r>
    </w:p>
    <w:p w:rsidR="009556BA" w:rsidRPr="000D093B" w:rsidRDefault="009556BA" w:rsidP="009556BA">
      <w:pPr>
        <w:rPr>
          <w:lang w:val="es-ES_tradnl"/>
        </w:rPr>
      </w:pPr>
    </w:p>
    <w:p w:rsidR="009556BA" w:rsidRPr="000D093B" w:rsidRDefault="009556BA" w:rsidP="009556BA">
      <w:pPr>
        <w:rPr>
          <w:lang w:val="es-ES_tradnl"/>
        </w:rPr>
        <w:sectPr w:rsidR="009556BA" w:rsidRPr="000D093B" w:rsidSect="008F43C9">
          <w:headerReference w:type="first" r:id="rId21"/>
          <w:endnotePr>
            <w:numFmt w:val="decimal"/>
          </w:endnotePr>
          <w:pgSz w:w="10440" w:h="15120" w:code="7"/>
          <w:pgMar w:top="567" w:right="1134" w:bottom="851" w:left="1418" w:header="510" w:footer="1021" w:gutter="0"/>
          <w:cols w:space="720"/>
          <w:titlePg/>
          <w:docGrid w:linePitch="299"/>
        </w:sectPr>
      </w:pPr>
    </w:p>
    <w:tbl>
      <w:tblPr>
        <w:tblW w:w="8685" w:type="dxa"/>
        <w:tblInd w:w="93" w:type="dxa"/>
        <w:tblLook w:val="04A0" w:firstRow="1" w:lastRow="0" w:firstColumn="1" w:lastColumn="0" w:noHBand="0" w:noVBand="1"/>
      </w:tblPr>
      <w:tblGrid>
        <w:gridCol w:w="575"/>
        <w:gridCol w:w="595"/>
        <w:gridCol w:w="4065"/>
        <w:gridCol w:w="986"/>
        <w:gridCol w:w="986"/>
        <w:gridCol w:w="1478"/>
      </w:tblGrid>
      <w:tr w:rsidR="009556BA" w:rsidRPr="000D093B" w:rsidTr="00BD0073">
        <w:trPr>
          <w:trHeight w:val="472"/>
        </w:trPr>
        <w:tc>
          <w:tcPr>
            <w:tcW w:w="8685" w:type="dxa"/>
            <w:gridSpan w:val="6"/>
            <w:tcBorders>
              <w:top w:val="nil"/>
              <w:left w:val="nil"/>
              <w:bottom w:val="nil"/>
              <w:right w:val="nil"/>
            </w:tcBorders>
            <w:shd w:val="clear" w:color="auto" w:fill="auto"/>
            <w:vAlign w:val="center"/>
            <w:hideMark/>
          </w:tcPr>
          <w:p w:rsidR="009556BA" w:rsidRPr="000D093B" w:rsidRDefault="00DC23B5" w:rsidP="00DC23B5">
            <w:pPr>
              <w:jc w:val="center"/>
              <w:rPr>
                <w:rFonts w:eastAsia="Times New Roman"/>
                <w:b/>
                <w:bCs/>
                <w:color w:val="000000"/>
                <w:sz w:val="24"/>
                <w:szCs w:val="24"/>
                <w:lang w:val="es-ES_tradnl" w:eastAsia="en-US"/>
              </w:rPr>
            </w:pPr>
            <w:r>
              <w:rPr>
                <w:rFonts w:eastAsia="Times New Roman"/>
                <w:b/>
                <w:bCs/>
                <w:color w:val="000000"/>
                <w:sz w:val="24"/>
                <w:szCs w:val="24"/>
                <w:lang w:val="es-ES_tradnl" w:eastAsia="en-US"/>
              </w:rPr>
              <w:lastRenderedPageBreak/>
              <w:t>Denegaciones provisionales por Parte Contratante</w:t>
            </w:r>
            <w:r w:rsidR="009556BA" w:rsidRPr="000D093B">
              <w:rPr>
                <w:rFonts w:eastAsia="Times New Roman"/>
                <w:b/>
                <w:bCs/>
                <w:color w:val="000000"/>
                <w:sz w:val="24"/>
                <w:szCs w:val="24"/>
                <w:lang w:val="es-ES_tradnl" w:eastAsia="en-US"/>
              </w:rPr>
              <w:t xml:space="preserve"> </w:t>
            </w:r>
          </w:p>
        </w:tc>
      </w:tr>
      <w:tr w:rsidR="009556BA" w:rsidRPr="000D093B" w:rsidTr="00BD0073">
        <w:trPr>
          <w:trHeight w:val="472"/>
        </w:trPr>
        <w:tc>
          <w:tcPr>
            <w:tcW w:w="575" w:type="dxa"/>
            <w:tcBorders>
              <w:top w:val="nil"/>
              <w:left w:val="nil"/>
              <w:bottom w:val="nil"/>
              <w:right w:val="nil"/>
            </w:tcBorders>
            <w:shd w:val="clear" w:color="auto" w:fill="auto"/>
            <w:vAlign w:val="center"/>
            <w:hideMark/>
          </w:tcPr>
          <w:p w:rsidR="009556BA" w:rsidRPr="000D093B" w:rsidRDefault="009556BA" w:rsidP="00BD0073">
            <w:pPr>
              <w:jc w:val="center"/>
              <w:rPr>
                <w:rFonts w:eastAsia="Times New Roman"/>
                <w:color w:val="000000"/>
                <w:sz w:val="20"/>
                <w:lang w:val="es-ES_tradnl" w:eastAsia="en-US"/>
              </w:rPr>
            </w:pPr>
          </w:p>
        </w:tc>
        <w:tc>
          <w:tcPr>
            <w:tcW w:w="595" w:type="dxa"/>
            <w:tcBorders>
              <w:top w:val="nil"/>
              <w:left w:val="nil"/>
              <w:bottom w:val="nil"/>
              <w:right w:val="nil"/>
            </w:tcBorders>
            <w:shd w:val="clear" w:color="auto" w:fill="auto"/>
            <w:vAlign w:val="center"/>
            <w:hideMark/>
          </w:tcPr>
          <w:p w:rsidR="009556BA" w:rsidRPr="000D093B" w:rsidRDefault="009556BA" w:rsidP="00BD0073">
            <w:pPr>
              <w:jc w:val="center"/>
              <w:rPr>
                <w:rFonts w:eastAsia="Times New Roman"/>
                <w:b/>
                <w:bCs/>
                <w:color w:val="000000"/>
                <w:sz w:val="20"/>
                <w:lang w:val="es-ES_tradnl" w:eastAsia="en-US"/>
              </w:rPr>
            </w:pPr>
            <w:r w:rsidRPr="000D093B">
              <w:rPr>
                <w:rFonts w:eastAsia="Times New Roman"/>
                <w:b/>
                <w:bCs/>
                <w:color w:val="000000"/>
                <w:sz w:val="20"/>
                <w:lang w:val="es-ES_tradnl" w:eastAsia="en-US"/>
              </w:rPr>
              <w:t>P</w:t>
            </w:r>
            <w:r w:rsidR="00DC23B5">
              <w:rPr>
                <w:rFonts w:eastAsia="Times New Roman"/>
                <w:b/>
                <w:bCs/>
                <w:color w:val="000000"/>
                <w:sz w:val="20"/>
                <w:lang w:val="es-ES_tradnl" w:eastAsia="en-US"/>
              </w:rPr>
              <w:t>C</w:t>
            </w:r>
          </w:p>
        </w:tc>
        <w:tc>
          <w:tcPr>
            <w:tcW w:w="4065" w:type="dxa"/>
            <w:tcBorders>
              <w:top w:val="nil"/>
              <w:left w:val="nil"/>
              <w:bottom w:val="nil"/>
              <w:right w:val="nil"/>
            </w:tcBorders>
            <w:shd w:val="clear" w:color="auto" w:fill="auto"/>
            <w:vAlign w:val="center"/>
            <w:hideMark/>
          </w:tcPr>
          <w:p w:rsidR="009556BA" w:rsidRPr="000D093B" w:rsidRDefault="00DC23B5" w:rsidP="00DC23B5">
            <w:pPr>
              <w:jc w:val="center"/>
              <w:rPr>
                <w:rFonts w:eastAsia="Times New Roman"/>
                <w:b/>
                <w:bCs/>
                <w:color w:val="000000"/>
                <w:sz w:val="20"/>
                <w:lang w:val="es-ES_tradnl" w:eastAsia="en-US"/>
              </w:rPr>
            </w:pPr>
            <w:r>
              <w:rPr>
                <w:rFonts w:eastAsia="Times New Roman"/>
                <w:b/>
                <w:bCs/>
                <w:color w:val="000000"/>
                <w:sz w:val="20"/>
                <w:lang w:val="es-ES_tradnl" w:eastAsia="en-US"/>
              </w:rPr>
              <w:t>Parte Contratante</w:t>
            </w:r>
            <w:r w:rsidR="009556BA" w:rsidRPr="000D093B">
              <w:rPr>
                <w:rFonts w:eastAsia="Times New Roman"/>
                <w:b/>
                <w:bCs/>
                <w:color w:val="000000"/>
                <w:sz w:val="20"/>
                <w:lang w:val="es-ES_tradnl" w:eastAsia="en-US"/>
              </w:rPr>
              <w:t xml:space="preserve"> </w:t>
            </w:r>
          </w:p>
        </w:tc>
        <w:tc>
          <w:tcPr>
            <w:tcW w:w="986" w:type="dxa"/>
            <w:tcBorders>
              <w:top w:val="nil"/>
              <w:left w:val="nil"/>
              <w:bottom w:val="nil"/>
              <w:right w:val="nil"/>
            </w:tcBorders>
            <w:shd w:val="clear" w:color="auto" w:fill="auto"/>
            <w:vAlign w:val="center"/>
            <w:hideMark/>
          </w:tcPr>
          <w:p w:rsidR="009556BA" w:rsidRPr="000D093B" w:rsidRDefault="009556BA" w:rsidP="00BD0073">
            <w:pPr>
              <w:jc w:val="center"/>
              <w:rPr>
                <w:rFonts w:eastAsia="Times New Roman"/>
                <w:b/>
                <w:bCs/>
                <w:color w:val="000000"/>
                <w:sz w:val="20"/>
                <w:lang w:val="es-ES_tradnl" w:eastAsia="en-US"/>
              </w:rPr>
            </w:pPr>
            <w:r w:rsidRPr="000D093B">
              <w:rPr>
                <w:rFonts w:eastAsia="Times New Roman"/>
                <w:b/>
                <w:bCs/>
                <w:color w:val="000000"/>
                <w:sz w:val="20"/>
                <w:lang w:val="es-ES_tradnl" w:eastAsia="en-US"/>
              </w:rPr>
              <w:t>2011</w:t>
            </w:r>
          </w:p>
        </w:tc>
        <w:tc>
          <w:tcPr>
            <w:tcW w:w="986" w:type="dxa"/>
            <w:tcBorders>
              <w:top w:val="nil"/>
              <w:left w:val="nil"/>
              <w:bottom w:val="nil"/>
              <w:right w:val="nil"/>
            </w:tcBorders>
            <w:shd w:val="clear" w:color="auto" w:fill="auto"/>
            <w:vAlign w:val="center"/>
            <w:hideMark/>
          </w:tcPr>
          <w:p w:rsidR="009556BA" w:rsidRPr="000D093B" w:rsidRDefault="009556BA" w:rsidP="00BD0073">
            <w:pPr>
              <w:jc w:val="center"/>
              <w:rPr>
                <w:rFonts w:eastAsia="Times New Roman"/>
                <w:b/>
                <w:bCs/>
                <w:color w:val="000000"/>
                <w:sz w:val="20"/>
                <w:lang w:val="es-ES_tradnl" w:eastAsia="en-US"/>
              </w:rPr>
            </w:pPr>
            <w:r w:rsidRPr="000D093B">
              <w:rPr>
                <w:rFonts w:eastAsia="Times New Roman"/>
                <w:b/>
                <w:bCs/>
                <w:color w:val="000000"/>
                <w:sz w:val="20"/>
                <w:lang w:val="es-ES_tradnl" w:eastAsia="en-US"/>
              </w:rPr>
              <w:t>2012</w:t>
            </w:r>
          </w:p>
        </w:tc>
        <w:tc>
          <w:tcPr>
            <w:tcW w:w="1478" w:type="dxa"/>
            <w:tcBorders>
              <w:top w:val="nil"/>
              <w:left w:val="nil"/>
              <w:bottom w:val="nil"/>
              <w:right w:val="nil"/>
            </w:tcBorders>
            <w:shd w:val="clear" w:color="auto" w:fill="auto"/>
            <w:vAlign w:val="center"/>
            <w:hideMark/>
          </w:tcPr>
          <w:p w:rsidR="009556BA" w:rsidRPr="000D093B" w:rsidRDefault="009556BA" w:rsidP="00BD0073">
            <w:pPr>
              <w:jc w:val="right"/>
              <w:rPr>
                <w:rFonts w:eastAsia="Times New Roman"/>
                <w:b/>
                <w:bCs/>
                <w:color w:val="000000"/>
                <w:sz w:val="20"/>
                <w:lang w:val="es-ES_tradnl" w:eastAsia="en-US"/>
              </w:rPr>
            </w:pPr>
            <w:r w:rsidRPr="000D093B">
              <w:rPr>
                <w:rFonts w:eastAsia="Times New Roman"/>
                <w:b/>
                <w:bCs/>
                <w:color w:val="000000"/>
                <w:sz w:val="20"/>
                <w:lang w:val="es-ES_tradnl" w:eastAsia="en-US"/>
              </w:rPr>
              <w:t>2013</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1</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US</w:t>
            </w:r>
          </w:p>
        </w:tc>
        <w:tc>
          <w:tcPr>
            <w:tcW w:w="4065" w:type="dxa"/>
            <w:tcBorders>
              <w:top w:val="nil"/>
              <w:left w:val="nil"/>
              <w:bottom w:val="nil"/>
              <w:right w:val="nil"/>
            </w:tcBorders>
            <w:shd w:val="clear" w:color="000000" w:fill="CCFFCC"/>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Estados Unidos de América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14</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959</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14</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938</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17</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629</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2</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JP</w:t>
            </w:r>
          </w:p>
        </w:tc>
        <w:tc>
          <w:tcPr>
            <w:tcW w:w="4065" w:type="dxa"/>
            <w:tcBorders>
              <w:top w:val="nil"/>
              <w:left w:val="nil"/>
              <w:bottom w:val="nil"/>
              <w:right w:val="nil"/>
            </w:tcBorders>
            <w:shd w:val="clear" w:color="000000" w:fill="CCFFCC"/>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Japón</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936</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7</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724</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7</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890</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3</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RU</w:t>
            </w:r>
          </w:p>
        </w:tc>
        <w:tc>
          <w:tcPr>
            <w:tcW w:w="4065" w:type="dxa"/>
            <w:tcBorders>
              <w:top w:val="nil"/>
              <w:left w:val="nil"/>
              <w:bottom w:val="nil"/>
              <w:right w:val="nil"/>
            </w:tcBorders>
            <w:shd w:val="clear" w:color="000000" w:fill="CCFFCC"/>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Federación de Rusia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671</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649</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6</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765</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4</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KR</w:t>
            </w:r>
          </w:p>
        </w:tc>
        <w:tc>
          <w:tcPr>
            <w:tcW w:w="4065" w:type="dxa"/>
            <w:tcBorders>
              <w:top w:val="nil"/>
              <w:left w:val="nil"/>
              <w:bottom w:val="nil"/>
              <w:right w:val="nil"/>
            </w:tcBorders>
            <w:shd w:val="clear" w:color="000000" w:fill="CCFFCC"/>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República de Corea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7</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475</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996</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6</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478</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5</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CN</w:t>
            </w:r>
          </w:p>
        </w:tc>
        <w:tc>
          <w:tcPr>
            <w:tcW w:w="4065" w:type="dxa"/>
            <w:tcBorders>
              <w:top w:val="nil"/>
              <w:left w:val="nil"/>
              <w:bottom w:val="nil"/>
              <w:right w:val="nil"/>
            </w:tcBorders>
            <w:shd w:val="clear" w:color="000000" w:fill="CCFFCC"/>
            <w:vAlign w:val="bottom"/>
            <w:hideMark/>
          </w:tcPr>
          <w:p w:rsidR="009556BA" w:rsidRPr="000D093B" w:rsidRDefault="009556BA" w:rsidP="00BD0073">
            <w:pPr>
              <w:rPr>
                <w:rFonts w:eastAsia="Times New Roman"/>
                <w:color w:val="000000"/>
                <w:sz w:val="20"/>
                <w:lang w:val="es-ES_tradnl" w:eastAsia="en-US"/>
              </w:rPr>
            </w:pPr>
            <w:r w:rsidRPr="000D093B">
              <w:rPr>
                <w:rFonts w:eastAsia="Times New Roman"/>
                <w:color w:val="000000"/>
                <w:sz w:val="20"/>
                <w:lang w:val="es-ES_tradnl" w:eastAsia="en-US"/>
              </w:rPr>
              <w:t>China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7</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613</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8</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894</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6</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435</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6</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AU</w:t>
            </w:r>
          </w:p>
        </w:tc>
        <w:tc>
          <w:tcPr>
            <w:tcW w:w="4065"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r w:rsidRPr="000D093B">
              <w:rPr>
                <w:rFonts w:eastAsia="Times New Roman"/>
                <w:color w:val="000000"/>
                <w:sz w:val="20"/>
                <w:lang w:val="es-ES_tradnl" w:eastAsia="en-US"/>
              </w:rPr>
              <w:t>Australia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290</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028</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455</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7</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SG</w:t>
            </w:r>
          </w:p>
        </w:tc>
        <w:tc>
          <w:tcPr>
            <w:tcW w:w="4065" w:type="dxa"/>
            <w:tcBorders>
              <w:top w:val="nil"/>
              <w:left w:val="nil"/>
              <w:bottom w:val="nil"/>
              <w:right w:val="nil"/>
            </w:tcBorders>
            <w:shd w:val="clear" w:color="000000" w:fill="CCFFCC"/>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Singapur</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424</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760</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143</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8</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TR</w:t>
            </w:r>
          </w:p>
        </w:tc>
        <w:tc>
          <w:tcPr>
            <w:tcW w:w="4065" w:type="dxa"/>
            <w:tcBorders>
              <w:top w:val="nil"/>
              <w:left w:val="nil"/>
              <w:bottom w:val="nil"/>
              <w:right w:val="nil"/>
            </w:tcBorders>
            <w:shd w:val="clear" w:color="000000" w:fill="CCFFCC"/>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Turquía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162</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105</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393</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9</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EM</w:t>
            </w:r>
          </w:p>
        </w:tc>
        <w:tc>
          <w:tcPr>
            <w:tcW w:w="4065" w:type="dxa"/>
            <w:tcBorders>
              <w:top w:val="nil"/>
              <w:left w:val="nil"/>
              <w:bottom w:val="nil"/>
              <w:right w:val="nil"/>
            </w:tcBorders>
            <w:shd w:val="clear" w:color="000000" w:fill="CCFFCC"/>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Unión Europea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876</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189</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340</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10</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NO</w:t>
            </w:r>
          </w:p>
        </w:tc>
        <w:tc>
          <w:tcPr>
            <w:tcW w:w="4065" w:type="dxa"/>
            <w:tcBorders>
              <w:top w:val="nil"/>
              <w:left w:val="nil"/>
              <w:bottom w:val="nil"/>
              <w:right w:val="nil"/>
            </w:tcBorders>
            <w:shd w:val="clear" w:color="000000" w:fill="CCFFCC"/>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Noruega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062</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370</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170</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11</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IL</w:t>
            </w:r>
          </w:p>
        </w:tc>
        <w:tc>
          <w:tcPr>
            <w:tcW w:w="4065" w:type="dxa"/>
            <w:tcBorders>
              <w:top w:val="nil"/>
              <w:left w:val="nil"/>
              <w:bottom w:val="nil"/>
              <w:right w:val="nil"/>
            </w:tcBorders>
            <w:shd w:val="clear" w:color="000000" w:fill="CCFFCC"/>
            <w:vAlign w:val="bottom"/>
            <w:hideMark/>
          </w:tcPr>
          <w:p w:rsidR="009556BA" w:rsidRPr="000D093B" w:rsidRDefault="009556BA" w:rsidP="00BD0073">
            <w:pPr>
              <w:rPr>
                <w:rFonts w:eastAsia="Times New Roman"/>
                <w:color w:val="000000"/>
                <w:sz w:val="20"/>
                <w:lang w:val="es-ES_tradnl" w:eastAsia="en-US"/>
              </w:rPr>
            </w:pPr>
            <w:r w:rsidRPr="000D093B">
              <w:rPr>
                <w:rFonts w:eastAsia="Times New Roman"/>
                <w:color w:val="000000"/>
                <w:sz w:val="20"/>
                <w:lang w:val="es-ES_tradnl" w:eastAsia="en-US"/>
              </w:rPr>
              <w:t>Israel</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537</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934</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038</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12</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CH</w:t>
            </w:r>
          </w:p>
        </w:tc>
        <w:tc>
          <w:tcPr>
            <w:tcW w:w="4065" w:type="dxa"/>
            <w:tcBorders>
              <w:top w:val="nil"/>
              <w:left w:val="nil"/>
              <w:bottom w:val="nil"/>
              <w:right w:val="nil"/>
            </w:tcBorders>
            <w:shd w:val="clear" w:color="000000" w:fill="CCFFCC"/>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Suiza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757</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932</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808</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13</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KZ</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Kazajstán</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049</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280</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454</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14</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VN</w:t>
            </w:r>
          </w:p>
        </w:tc>
        <w:tc>
          <w:tcPr>
            <w:tcW w:w="4065"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r w:rsidRPr="000D093B">
              <w:rPr>
                <w:rFonts w:eastAsia="Times New Roman"/>
                <w:color w:val="000000"/>
                <w:sz w:val="20"/>
                <w:lang w:val="es-ES_tradnl" w:eastAsia="en-US"/>
              </w:rPr>
              <w:t>Viet Nam</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042</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381</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343</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15</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UA</w:t>
            </w:r>
          </w:p>
        </w:tc>
        <w:tc>
          <w:tcPr>
            <w:tcW w:w="4065" w:type="dxa"/>
            <w:tcBorders>
              <w:top w:val="nil"/>
              <w:left w:val="nil"/>
              <w:bottom w:val="nil"/>
              <w:right w:val="nil"/>
            </w:tcBorders>
            <w:shd w:val="clear" w:color="000000" w:fill="CCFFCC"/>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Ucrania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991</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025</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272</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16</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SY</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República Árabe Siria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712</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358</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167</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17</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IR</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Irán</w:t>
            </w:r>
            <w:r w:rsidR="009556BA" w:rsidRPr="000D093B">
              <w:rPr>
                <w:rFonts w:eastAsia="Times New Roman"/>
                <w:color w:val="000000"/>
                <w:sz w:val="20"/>
                <w:lang w:val="es-ES_tradnl" w:eastAsia="en-US"/>
              </w:rPr>
              <w:t xml:space="preserve"> (</w:t>
            </w:r>
            <w:r w:rsidRPr="000D093B">
              <w:rPr>
                <w:rFonts w:eastAsia="Times New Roman"/>
                <w:color w:val="000000"/>
                <w:sz w:val="20"/>
                <w:lang w:val="es-ES_tradnl" w:eastAsia="en-US"/>
              </w:rPr>
              <w:t>República Islámica del</w:t>
            </w:r>
            <w:r w:rsidR="009556BA" w:rsidRPr="000D093B">
              <w:rPr>
                <w:rFonts w:eastAsia="Times New Roman"/>
                <w:color w:val="000000"/>
                <w:sz w:val="20"/>
                <w:lang w:val="es-ES_tradnl" w:eastAsia="en-US"/>
              </w:rPr>
              <w:t xml:space="preserve"> )</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569</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509</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075</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18</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DE</w:t>
            </w:r>
          </w:p>
        </w:tc>
        <w:tc>
          <w:tcPr>
            <w:tcW w:w="4065" w:type="dxa"/>
            <w:tcBorders>
              <w:top w:val="nil"/>
              <w:left w:val="nil"/>
              <w:bottom w:val="nil"/>
              <w:right w:val="nil"/>
            </w:tcBorders>
            <w:shd w:val="clear" w:color="000000" w:fill="CCFFCC"/>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Alemania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935</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939</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940</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19</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MD</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República de Moldova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043</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w:t>
            </w:r>
            <w:r w:rsidR="001334BE" w:rsidRPr="000D093B">
              <w:rPr>
                <w:rFonts w:eastAsia="Times New Roman"/>
                <w:color w:val="000000"/>
                <w:sz w:val="20"/>
                <w:lang w:val="es-ES_tradnl" w:eastAsia="en-US"/>
              </w:rPr>
              <w:t>.</w:t>
            </w:r>
            <w:r w:rsidRPr="000D093B">
              <w:rPr>
                <w:rFonts w:eastAsia="Times New Roman"/>
                <w:color w:val="000000"/>
                <w:sz w:val="20"/>
                <w:lang w:val="es-ES_tradnl" w:eastAsia="en-US"/>
              </w:rPr>
              <w:t>150</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933</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20</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GB</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Reino Unido</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551</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540</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714</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21</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PL</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Polonia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857</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806</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634</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22</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AM</w:t>
            </w:r>
          </w:p>
        </w:tc>
        <w:tc>
          <w:tcPr>
            <w:tcW w:w="4065"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r w:rsidRPr="000D093B">
              <w:rPr>
                <w:rFonts w:eastAsia="Times New Roman"/>
                <w:color w:val="000000"/>
                <w:sz w:val="20"/>
                <w:lang w:val="es-ES_tradnl" w:eastAsia="en-US"/>
              </w:rPr>
              <w:t>Armenia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431</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469</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632</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23</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EG</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Egipto</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535</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727</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598</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24</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IE</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Irlanda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449</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516</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568</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25</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RO</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Rumania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186</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175</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547</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26</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NZ</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Nueva Zelandia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0</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0</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544</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27</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SE</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Suecia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900</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608</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533</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28</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FI</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Finlandia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529</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453</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527</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29</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BY</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Belarús</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325</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495</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490</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30</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UZ</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Uzbekistán</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501</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495</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486</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31</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TJ</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Tayikistán</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125</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168</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477</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32</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CO</w:t>
            </w:r>
          </w:p>
        </w:tc>
        <w:tc>
          <w:tcPr>
            <w:tcW w:w="4065"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r w:rsidRPr="000D093B">
              <w:rPr>
                <w:rFonts w:eastAsia="Times New Roman"/>
                <w:color w:val="000000"/>
                <w:sz w:val="20"/>
                <w:lang w:val="es-ES_tradnl" w:eastAsia="en-US"/>
              </w:rPr>
              <w:t>Colombia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0</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0</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437</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33</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DZ</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Argelia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248</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233</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407</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34</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EE</w:t>
            </w:r>
          </w:p>
        </w:tc>
        <w:tc>
          <w:tcPr>
            <w:tcW w:w="4065"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r w:rsidRPr="000D093B">
              <w:rPr>
                <w:rFonts w:eastAsia="Times New Roman"/>
                <w:color w:val="000000"/>
                <w:sz w:val="20"/>
                <w:lang w:val="es-ES_tradnl" w:eastAsia="en-US"/>
              </w:rPr>
              <w:t>Estonia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441</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413</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407</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35</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ES</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España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426</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370</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389</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36</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KP</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República Popular Democrática de Corea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377</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294</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377</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37</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RS</w:t>
            </w:r>
          </w:p>
        </w:tc>
        <w:tc>
          <w:tcPr>
            <w:tcW w:w="4065"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r w:rsidRPr="000D093B">
              <w:rPr>
                <w:rFonts w:eastAsia="Times New Roman"/>
                <w:color w:val="000000"/>
                <w:sz w:val="20"/>
                <w:lang w:val="es-ES_tradnl" w:eastAsia="en-US"/>
              </w:rPr>
              <w:t>Serbia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442</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569</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347</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38</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PT</w:t>
            </w:r>
          </w:p>
        </w:tc>
        <w:tc>
          <w:tcPr>
            <w:tcW w:w="4065" w:type="dxa"/>
            <w:tcBorders>
              <w:top w:val="nil"/>
              <w:left w:val="nil"/>
              <w:bottom w:val="nil"/>
              <w:right w:val="nil"/>
            </w:tcBorders>
            <w:shd w:val="clear" w:color="000000" w:fill="CCFFCC"/>
            <w:vAlign w:val="bottom"/>
            <w:hideMark/>
          </w:tcPr>
          <w:p w:rsidR="009556BA" w:rsidRPr="000D093B" w:rsidRDefault="009556BA" w:rsidP="00BD0073">
            <w:pPr>
              <w:rPr>
                <w:rFonts w:eastAsia="Times New Roman"/>
                <w:color w:val="000000"/>
                <w:sz w:val="20"/>
                <w:lang w:val="es-ES_tradnl" w:eastAsia="en-US"/>
              </w:rPr>
            </w:pPr>
            <w:r w:rsidRPr="000D093B">
              <w:rPr>
                <w:rFonts w:eastAsia="Times New Roman"/>
                <w:color w:val="000000"/>
                <w:sz w:val="20"/>
                <w:lang w:val="es-ES_tradnl" w:eastAsia="en-US"/>
              </w:rPr>
              <w:t>Portugal</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291</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278</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333</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39</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CZ</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República Checa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312</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332</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322</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40</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OM</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Omán</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24</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72</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294</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41</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BX</w:t>
            </w:r>
          </w:p>
        </w:tc>
        <w:tc>
          <w:tcPr>
            <w:tcW w:w="4065" w:type="dxa"/>
            <w:tcBorders>
              <w:top w:val="nil"/>
              <w:left w:val="nil"/>
              <w:bottom w:val="nil"/>
              <w:right w:val="nil"/>
            </w:tcBorders>
            <w:shd w:val="clear" w:color="000000" w:fill="CCFFCC"/>
            <w:vAlign w:val="bottom"/>
            <w:hideMark/>
          </w:tcPr>
          <w:p w:rsidR="009556BA" w:rsidRPr="000D093B" w:rsidRDefault="009556BA" w:rsidP="00BD0073">
            <w:pPr>
              <w:rPr>
                <w:rFonts w:eastAsia="Times New Roman"/>
                <w:color w:val="000000"/>
                <w:sz w:val="20"/>
                <w:lang w:val="es-ES_tradnl" w:eastAsia="en-US"/>
              </w:rPr>
            </w:pPr>
            <w:r w:rsidRPr="000D093B">
              <w:rPr>
                <w:rFonts w:eastAsia="Times New Roman"/>
                <w:color w:val="000000"/>
                <w:sz w:val="20"/>
                <w:lang w:val="es-ES_tradnl" w:eastAsia="en-US"/>
              </w:rPr>
              <w:t>Benelux</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278</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264</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256</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42</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FR</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Francia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188</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211</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252</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43</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MX</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México</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0</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0</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247</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44</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GR</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Grecia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187</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80</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229</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45</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GE</w:t>
            </w:r>
          </w:p>
        </w:tc>
        <w:tc>
          <w:tcPr>
            <w:tcW w:w="4065"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r w:rsidRPr="000D093B">
              <w:rPr>
                <w:rFonts w:eastAsia="Times New Roman"/>
                <w:color w:val="000000"/>
                <w:sz w:val="20"/>
                <w:lang w:val="es-ES_tradnl" w:eastAsia="en-US"/>
              </w:rPr>
              <w:t>Georgia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181</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285</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224</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46</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AG</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Antigua y Barbuda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94</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93</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213</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47</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DK</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Dinamarca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181</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178</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212</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48</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IS</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Islandia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223</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224</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212</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49</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KG</w:t>
            </w:r>
          </w:p>
        </w:tc>
        <w:tc>
          <w:tcPr>
            <w:tcW w:w="4065" w:type="dxa"/>
            <w:tcBorders>
              <w:top w:val="nil"/>
              <w:left w:val="nil"/>
              <w:bottom w:val="nil"/>
              <w:right w:val="nil"/>
            </w:tcBorders>
            <w:shd w:val="clear" w:color="auto" w:fill="auto"/>
            <w:vAlign w:val="bottom"/>
            <w:hideMark/>
          </w:tcPr>
          <w:p w:rsidR="009556BA" w:rsidRPr="000D093B" w:rsidRDefault="001334BE" w:rsidP="00BD0073">
            <w:pPr>
              <w:rPr>
                <w:rFonts w:eastAsia="Times New Roman"/>
                <w:color w:val="000000"/>
                <w:sz w:val="20"/>
                <w:lang w:val="es-ES_tradnl" w:eastAsia="en-US"/>
              </w:rPr>
            </w:pPr>
            <w:r w:rsidRPr="000D093B">
              <w:rPr>
                <w:rFonts w:eastAsia="Times New Roman"/>
                <w:color w:val="000000"/>
                <w:sz w:val="20"/>
                <w:lang w:val="es-ES_tradnl" w:eastAsia="en-US"/>
              </w:rPr>
              <w:t>Kirguistán</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118</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267</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209</w:t>
            </w: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50</w:t>
            </w: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r w:rsidRPr="000D093B">
              <w:rPr>
                <w:rFonts w:eastAsia="Times New Roman"/>
                <w:color w:val="000000"/>
                <w:sz w:val="20"/>
                <w:lang w:val="es-ES_tradnl" w:eastAsia="en-US"/>
              </w:rPr>
              <w:t>AT</w:t>
            </w:r>
          </w:p>
        </w:tc>
        <w:tc>
          <w:tcPr>
            <w:tcW w:w="4065" w:type="dxa"/>
            <w:tcBorders>
              <w:top w:val="nil"/>
              <w:left w:val="nil"/>
              <w:bottom w:val="nil"/>
              <w:right w:val="nil"/>
            </w:tcBorders>
            <w:shd w:val="clear" w:color="000000" w:fill="CCFFCC"/>
            <w:vAlign w:val="bottom"/>
            <w:hideMark/>
          </w:tcPr>
          <w:p w:rsidR="009556BA" w:rsidRPr="000D093B" w:rsidRDefault="009556BA" w:rsidP="00BD0073">
            <w:pPr>
              <w:rPr>
                <w:rFonts w:eastAsia="Times New Roman"/>
                <w:color w:val="000000"/>
                <w:sz w:val="20"/>
                <w:lang w:val="es-ES_tradnl" w:eastAsia="en-US"/>
              </w:rPr>
            </w:pPr>
            <w:r w:rsidRPr="000D093B">
              <w:rPr>
                <w:rFonts w:eastAsia="Times New Roman"/>
                <w:color w:val="000000"/>
                <w:sz w:val="20"/>
                <w:lang w:val="es-ES_tradnl" w:eastAsia="en-US"/>
              </w:rPr>
              <w:t>Austria</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254</w:t>
            </w:r>
          </w:p>
        </w:tc>
        <w:tc>
          <w:tcPr>
            <w:tcW w:w="986"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207</w:t>
            </w:r>
          </w:p>
        </w:tc>
        <w:tc>
          <w:tcPr>
            <w:tcW w:w="1478" w:type="dxa"/>
            <w:tcBorders>
              <w:top w:val="nil"/>
              <w:left w:val="nil"/>
              <w:bottom w:val="nil"/>
              <w:right w:val="nil"/>
            </w:tcBorders>
            <w:shd w:val="clear" w:color="auto" w:fill="auto"/>
            <w:vAlign w:val="bottom"/>
            <w:hideMark/>
          </w:tcPr>
          <w:p w:rsidR="009556BA" w:rsidRPr="000D093B" w:rsidRDefault="009556BA" w:rsidP="00BD0073">
            <w:pPr>
              <w:jc w:val="right"/>
              <w:rPr>
                <w:rFonts w:eastAsia="Times New Roman"/>
                <w:color w:val="000000"/>
                <w:sz w:val="20"/>
                <w:lang w:val="es-ES_tradnl" w:eastAsia="en-US"/>
              </w:rPr>
            </w:pPr>
            <w:r w:rsidRPr="000D093B">
              <w:rPr>
                <w:rFonts w:eastAsia="Times New Roman"/>
                <w:color w:val="000000"/>
                <w:sz w:val="20"/>
                <w:lang w:val="es-ES_tradnl" w:eastAsia="en-US"/>
              </w:rPr>
              <w:t>191</w:t>
            </w:r>
          </w:p>
        </w:tc>
      </w:tr>
      <w:tr w:rsidR="009556BA" w:rsidRPr="000D093B" w:rsidTr="00BD0073">
        <w:trPr>
          <w:trHeight w:val="222"/>
        </w:trPr>
        <w:tc>
          <w:tcPr>
            <w:tcW w:w="575"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p>
        </w:tc>
        <w:tc>
          <w:tcPr>
            <w:tcW w:w="4065"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p>
        </w:tc>
        <w:tc>
          <w:tcPr>
            <w:tcW w:w="986"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p>
        </w:tc>
        <w:tc>
          <w:tcPr>
            <w:tcW w:w="986"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p>
        </w:tc>
        <w:tc>
          <w:tcPr>
            <w:tcW w:w="1478"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p>
        </w:tc>
      </w:tr>
      <w:tr w:rsidR="009556BA" w:rsidRPr="000D093B" w:rsidTr="00BD0073">
        <w:trPr>
          <w:trHeight w:val="292"/>
        </w:trPr>
        <w:tc>
          <w:tcPr>
            <w:tcW w:w="575"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p>
        </w:tc>
        <w:tc>
          <w:tcPr>
            <w:tcW w:w="595" w:type="dxa"/>
            <w:tcBorders>
              <w:top w:val="nil"/>
              <w:left w:val="nil"/>
              <w:bottom w:val="nil"/>
              <w:right w:val="nil"/>
            </w:tcBorders>
            <w:shd w:val="clear" w:color="auto" w:fill="auto"/>
            <w:vAlign w:val="bottom"/>
            <w:hideMark/>
          </w:tcPr>
          <w:p w:rsidR="009556BA" w:rsidRPr="000D093B" w:rsidRDefault="009556BA" w:rsidP="00BD0073">
            <w:pPr>
              <w:jc w:val="center"/>
              <w:rPr>
                <w:rFonts w:eastAsia="Times New Roman"/>
                <w:color w:val="000000"/>
                <w:sz w:val="20"/>
                <w:lang w:val="es-ES_tradnl" w:eastAsia="en-US"/>
              </w:rPr>
            </w:pPr>
          </w:p>
        </w:tc>
        <w:tc>
          <w:tcPr>
            <w:tcW w:w="4065" w:type="dxa"/>
            <w:tcBorders>
              <w:top w:val="nil"/>
              <w:left w:val="nil"/>
              <w:bottom w:val="nil"/>
              <w:right w:val="nil"/>
            </w:tcBorders>
            <w:shd w:val="clear" w:color="auto" w:fill="auto"/>
            <w:vAlign w:val="bottom"/>
            <w:hideMark/>
          </w:tcPr>
          <w:p w:rsidR="009556BA" w:rsidRPr="000D093B" w:rsidRDefault="009556BA" w:rsidP="00BD0073">
            <w:pPr>
              <w:rPr>
                <w:rFonts w:eastAsia="Times New Roman"/>
                <w:sz w:val="20"/>
                <w:lang w:val="es-ES_tradnl" w:eastAsia="en-US"/>
              </w:rPr>
            </w:pPr>
          </w:p>
        </w:tc>
        <w:tc>
          <w:tcPr>
            <w:tcW w:w="986"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p>
        </w:tc>
        <w:tc>
          <w:tcPr>
            <w:tcW w:w="986"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p>
        </w:tc>
        <w:tc>
          <w:tcPr>
            <w:tcW w:w="1478" w:type="dxa"/>
            <w:tcBorders>
              <w:top w:val="nil"/>
              <w:left w:val="nil"/>
              <w:bottom w:val="nil"/>
              <w:right w:val="nil"/>
            </w:tcBorders>
            <w:shd w:val="clear" w:color="auto" w:fill="auto"/>
            <w:vAlign w:val="bottom"/>
            <w:hideMark/>
          </w:tcPr>
          <w:p w:rsidR="009556BA" w:rsidRPr="000D093B" w:rsidRDefault="009556BA" w:rsidP="00BD0073">
            <w:pPr>
              <w:rPr>
                <w:rFonts w:eastAsia="Times New Roman"/>
                <w:color w:val="000000"/>
                <w:sz w:val="20"/>
                <w:lang w:val="es-ES_tradnl" w:eastAsia="en-US"/>
              </w:rPr>
            </w:pPr>
          </w:p>
        </w:tc>
      </w:tr>
      <w:tr w:rsidR="009556BA" w:rsidRPr="000D093B" w:rsidTr="00BD0073">
        <w:trPr>
          <w:trHeight w:val="236"/>
        </w:trPr>
        <w:tc>
          <w:tcPr>
            <w:tcW w:w="575" w:type="dxa"/>
            <w:tcBorders>
              <w:top w:val="nil"/>
              <w:left w:val="nil"/>
              <w:bottom w:val="nil"/>
              <w:right w:val="nil"/>
            </w:tcBorders>
            <w:shd w:val="clear" w:color="auto" w:fill="auto"/>
            <w:vAlign w:val="bottom"/>
            <w:hideMark/>
          </w:tcPr>
          <w:p w:rsidR="009556BA" w:rsidRPr="000D093B" w:rsidRDefault="009556BA" w:rsidP="00BD0073">
            <w:pPr>
              <w:rPr>
                <w:rFonts w:eastAsia="Times New Roman"/>
                <w:sz w:val="20"/>
                <w:lang w:val="es-ES_tradnl" w:eastAsia="en-US"/>
              </w:rPr>
            </w:pPr>
          </w:p>
        </w:tc>
        <w:tc>
          <w:tcPr>
            <w:tcW w:w="595" w:type="dxa"/>
            <w:tcBorders>
              <w:top w:val="nil"/>
              <w:left w:val="nil"/>
              <w:bottom w:val="nil"/>
              <w:right w:val="nil"/>
            </w:tcBorders>
            <w:shd w:val="clear" w:color="auto" w:fill="auto"/>
            <w:vAlign w:val="bottom"/>
            <w:hideMark/>
          </w:tcPr>
          <w:p w:rsidR="009556BA" w:rsidRPr="000D093B" w:rsidRDefault="009556BA" w:rsidP="00BD0073">
            <w:pPr>
              <w:rPr>
                <w:rFonts w:eastAsia="Times New Roman"/>
                <w:sz w:val="20"/>
                <w:lang w:val="es-ES_tradnl" w:eastAsia="en-US"/>
              </w:rPr>
            </w:pPr>
          </w:p>
        </w:tc>
        <w:tc>
          <w:tcPr>
            <w:tcW w:w="4065" w:type="dxa"/>
            <w:tcBorders>
              <w:top w:val="nil"/>
              <w:left w:val="nil"/>
              <w:bottom w:val="nil"/>
              <w:right w:val="nil"/>
            </w:tcBorders>
            <w:shd w:val="clear" w:color="000000" w:fill="CCFFCC"/>
            <w:vAlign w:val="bottom"/>
            <w:hideMark/>
          </w:tcPr>
          <w:p w:rsidR="009556BA" w:rsidRPr="000D093B" w:rsidRDefault="009F0E76" w:rsidP="009F0E76">
            <w:pPr>
              <w:rPr>
                <w:rFonts w:eastAsia="Times New Roman"/>
                <w:color w:val="000000"/>
                <w:sz w:val="20"/>
                <w:lang w:val="es-ES_tradnl" w:eastAsia="en-US"/>
              </w:rPr>
            </w:pPr>
            <w:r>
              <w:rPr>
                <w:rFonts w:eastAsia="Times New Roman"/>
                <w:color w:val="000000"/>
                <w:sz w:val="20"/>
                <w:lang w:val="es-ES_tradnl" w:eastAsia="en-US"/>
              </w:rPr>
              <w:t xml:space="preserve">Datos </w:t>
            </w:r>
            <w:r w:rsidR="00E141CD">
              <w:rPr>
                <w:rFonts w:eastAsia="Times New Roman"/>
                <w:color w:val="000000"/>
                <w:sz w:val="20"/>
                <w:lang w:val="es-ES_tradnl" w:eastAsia="en-US"/>
              </w:rPr>
              <w:t xml:space="preserve">sobre la aceptación </w:t>
            </w:r>
            <w:r>
              <w:rPr>
                <w:rFonts w:eastAsia="Times New Roman"/>
                <w:color w:val="000000"/>
                <w:sz w:val="20"/>
                <w:lang w:val="es-ES_tradnl" w:eastAsia="en-US"/>
              </w:rPr>
              <w:t>disponibles</w:t>
            </w:r>
            <w:r w:rsidR="009556BA" w:rsidRPr="000D093B">
              <w:rPr>
                <w:rFonts w:eastAsia="Times New Roman"/>
                <w:color w:val="000000"/>
                <w:sz w:val="20"/>
                <w:lang w:val="es-ES_tradnl" w:eastAsia="en-US"/>
              </w:rPr>
              <w:t xml:space="preserve"> (</w:t>
            </w:r>
            <w:r>
              <w:rPr>
                <w:rFonts w:eastAsia="Times New Roman"/>
                <w:color w:val="000000"/>
                <w:sz w:val="20"/>
                <w:lang w:val="es-ES_tradnl" w:eastAsia="en-US"/>
              </w:rPr>
              <w:t>total o parcialmente</w:t>
            </w:r>
            <w:r w:rsidR="009556BA" w:rsidRPr="000D093B">
              <w:rPr>
                <w:rFonts w:eastAsia="Times New Roman"/>
                <w:color w:val="000000"/>
                <w:sz w:val="20"/>
                <w:lang w:val="es-ES_tradnl" w:eastAsia="en-US"/>
              </w:rPr>
              <w:t>)</w:t>
            </w:r>
          </w:p>
        </w:tc>
        <w:tc>
          <w:tcPr>
            <w:tcW w:w="986" w:type="dxa"/>
            <w:tcBorders>
              <w:top w:val="nil"/>
              <w:left w:val="nil"/>
              <w:bottom w:val="nil"/>
              <w:right w:val="nil"/>
            </w:tcBorders>
            <w:shd w:val="clear" w:color="auto" w:fill="auto"/>
            <w:vAlign w:val="bottom"/>
            <w:hideMark/>
          </w:tcPr>
          <w:p w:rsidR="009556BA" w:rsidRPr="000D093B" w:rsidRDefault="009556BA" w:rsidP="00BD0073">
            <w:pPr>
              <w:rPr>
                <w:rFonts w:eastAsia="Times New Roman"/>
                <w:sz w:val="20"/>
                <w:lang w:val="es-ES_tradnl" w:eastAsia="en-US"/>
              </w:rPr>
            </w:pPr>
          </w:p>
        </w:tc>
        <w:tc>
          <w:tcPr>
            <w:tcW w:w="986" w:type="dxa"/>
            <w:tcBorders>
              <w:top w:val="nil"/>
              <w:left w:val="nil"/>
              <w:bottom w:val="nil"/>
              <w:right w:val="nil"/>
            </w:tcBorders>
            <w:shd w:val="clear" w:color="auto" w:fill="auto"/>
            <w:vAlign w:val="bottom"/>
            <w:hideMark/>
          </w:tcPr>
          <w:p w:rsidR="009556BA" w:rsidRPr="000D093B" w:rsidRDefault="009556BA" w:rsidP="00BD0073">
            <w:pPr>
              <w:rPr>
                <w:rFonts w:eastAsia="Times New Roman"/>
                <w:sz w:val="20"/>
                <w:lang w:val="es-ES_tradnl" w:eastAsia="en-US"/>
              </w:rPr>
            </w:pPr>
          </w:p>
        </w:tc>
        <w:tc>
          <w:tcPr>
            <w:tcW w:w="1478" w:type="dxa"/>
            <w:tcBorders>
              <w:top w:val="nil"/>
              <w:left w:val="nil"/>
              <w:bottom w:val="nil"/>
              <w:right w:val="nil"/>
            </w:tcBorders>
            <w:shd w:val="clear" w:color="auto" w:fill="auto"/>
            <w:vAlign w:val="bottom"/>
            <w:hideMark/>
          </w:tcPr>
          <w:p w:rsidR="009556BA" w:rsidRPr="000D093B" w:rsidRDefault="009556BA" w:rsidP="00BD0073">
            <w:pPr>
              <w:rPr>
                <w:rFonts w:eastAsia="Times New Roman"/>
                <w:sz w:val="20"/>
                <w:lang w:val="es-ES_tradnl" w:eastAsia="en-US"/>
              </w:rPr>
            </w:pPr>
          </w:p>
        </w:tc>
      </w:tr>
    </w:tbl>
    <w:p w:rsidR="00294D93" w:rsidRPr="000D093B" w:rsidRDefault="00294D93" w:rsidP="009556BA">
      <w:pPr>
        <w:rPr>
          <w:lang w:val="es-ES_tradnl"/>
        </w:rPr>
      </w:pPr>
    </w:p>
    <w:p w:rsidR="009556BA" w:rsidRPr="000D093B" w:rsidRDefault="009556BA" w:rsidP="009556BA">
      <w:pPr>
        <w:ind w:left="5533"/>
        <w:rPr>
          <w:lang w:val="es-ES_tradnl"/>
        </w:rPr>
      </w:pPr>
      <w:r w:rsidRPr="000D093B">
        <w:rPr>
          <w:lang w:val="es-ES_tradnl"/>
        </w:rPr>
        <w:t>[</w:t>
      </w:r>
      <w:r w:rsidR="004C788D" w:rsidRPr="000D093B">
        <w:rPr>
          <w:lang w:val="es-ES_tradnl"/>
        </w:rPr>
        <w:t xml:space="preserve">Sigue el Anexo </w:t>
      </w:r>
      <w:r w:rsidRPr="000D093B">
        <w:rPr>
          <w:lang w:val="es-ES_tradnl"/>
        </w:rPr>
        <w:t>V]</w:t>
      </w:r>
    </w:p>
    <w:p w:rsidR="009556BA" w:rsidRPr="000D093B" w:rsidRDefault="009556BA" w:rsidP="009556BA">
      <w:pPr>
        <w:ind w:left="5533"/>
        <w:rPr>
          <w:lang w:val="es-ES_tradnl"/>
        </w:rPr>
        <w:sectPr w:rsidR="009556BA" w:rsidRPr="000D093B" w:rsidSect="00294D93">
          <w:headerReference w:type="default" r:id="rId22"/>
          <w:headerReference w:type="first" r:id="rId23"/>
          <w:pgSz w:w="11907" w:h="16840" w:code="9"/>
          <w:pgMar w:top="567" w:right="1134" w:bottom="1134" w:left="1418" w:header="510" w:footer="1021" w:gutter="0"/>
          <w:cols w:space="720"/>
          <w:titlePg/>
          <w:docGrid w:linePitch="299"/>
        </w:sectPr>
      </w:pPr>
    </w:p>
    <w:p w:rsidR="009556BA" w:rsidRDefault="00EB4C3C" w:rsidP="009556BA">
      <w:pPr>
        <w:rPr>
          <w:lang w:val="es-ES_tradnl"/>
        </w:rPr>
      </w:pPr>
      <w:r w:rsidRPr="00EB4C3C">
        <w:rPr>
          <w:noProof/>
          <w:lang w:val="en-US" w:eastAsia="en-US"/>
        </w:rPr>
        <w:lastRenderedPageBreak/>
        <w:drawing>
          <wp:inline distT="0" distB="0" distL="0" distR="0" wp14:anchorId="1FFD0B3E" wp14:editId="49A5071D">
            <wp:extent cx="7388883" cy="4967200"/>
            <wp:effectExtent l="0" t="8255"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16200000">
                      <a:off x="0" y="0"/>
                      <a:ext cx="7386538" cy="4965623"/>
                    </a:xfrm>
                    <a:prstGeom prst="rect">
                      <a:avLst/>
                    </a:prstGeom>
                    <a:noFill/>
                    <a:ln>
                      <a:noFill/>
                    </a:ln>
                  </pic:spPr>
                </pic:pic>
              </a:graphicData>
            </a:graphic>
          </wp:inline>
        </w:drawing>
      </w:r>
    </w:p>
    <w:p w:rsidR="00F42DDE" w:rsidRDefault="00F42DDE" w:rsidP="009556BA">
      <w:pPr>
        <w:rPr>
          <w:lang w:val="es-ES_tradnl"/>
        </w:rPr>
      </w:pPr>
    </w:p>
    <w:p w:rsidR="00EB4C3C" w:rsidRPr="000D093B" w:rsidRDefault="00EB4C3C" w:rsidP="009556BA">
      <w:pPr>
        <w:rPr>
          <w:lang w:val="es-ES_tradnl"/>
        </w:rPr>
      </w:pPr>
    </w:p>
    <w:p w:rsidR="00152CEA" w:rsidRPr="000D093B" w:rsidRDefault="009556BA" w:rsidP="008F43C9">
      <w:pPr>
        <w:ind w:left="4536"/>
        <w:rPr>
          <w:lang w:val="es-ES_tradnl"/>
        </w:rPr>
      </w:pPr>
      <w:r w:rsidRPr="000D093B">
        <w:rPr>
          <w:lang w:val="es-ES_tradnl"/>
        </w:rPr>
        <w:t>[</w:t>
      </w:r>
      <w:r w:rsidR="004C788D" w:rsidRPr="000D093B">
        <w:rPr>
          <w:lang w:val="es-ES_tradnl"/>
        </w:rPr>
        <w:t>Fin de Anexo V y del documento</w:t>
      </w:r>
      <w:r w:rsidRPr="000D093B">
        <w:rPr>
          <w:lang w:val="es-ES_tradnl"/>
        </w:rPr>
        <w:t>]</w:t>
      </w:r>
    </w:p>
    <w:sectPr w:rsidR="00152CEA" w:rsidRPr="000D093B" w:rsidSect="00F42DDE">
      <w:headerReference w:type="first" r:id="rId25"/>
      <w:pgSz w:w="10440" w:h="15120" w:code="7"/>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E34" w:rsidRDefault="00455E34">
      <w:r>
        <w:separator/>
      </w:r>
    </w:p>
  </w:endnote>
  <w:endnote w:type="continuationSeparator" w:id="0">
    <w:p w:rsidR="00455E34" w:rsidRPr="009D30E6" w:rsidRDefault="00455E34" w:rsidP="007E663E">
      <w:pPr>
        <w:rPr>
          <w:sz w:val="17"/>
          <w:szCs w:val="17"/>
        </w:rPr>
      </w:pPr>
      <w:r w:rsidRPr="009D30E6">
        <w:rPr>
          <w:sz w:val="17"/>
          <w:szCs w:val="17"/>
        </w:rPr>
        <w:separator/>
      </w:r>
    </w:p>
    <w:p w:rsidR="00455E34" w:rsidRPr="007E663E" w:rsidRDefault="00455E34" w:rsidP="007E663E">
      <w:pPr>
        <w:spacing w:after="60"/>
        <w:rPr>
          <w:sz w:val="17"/>
          <w:szCs w:val="17"/>
        </w:rPr>
      </w:pPr>
      <w:r>
        <w:rPr>
          <w:sz w:val="17"/>
        </w:rPr>
        <w:t>[Continuación de la nota de la página anterior]</w:t>
      </w:r>
    </w:p>
  </w:endnote>
  <w:endnote w:type="continuationNotice" w:id="1">
    <w:p w:rsidR="00455E34" w:rsidRPr="007E663E" w:rsidRDefault="00455E3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34" w:rsidRDefault="00455E34" w:rsidP="00BD00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0809">
      <w:rPr>
        <w:rStyle w:val="PageNumber"/>
        <w:noProof/>
      </w:rPr>
      <w:t>5</w:t>
    </w:r>
    <w:r>
      <w:rPr>
        <w:rStyle w:val="PageNumber"/>
      </w:rPr>
      <w:fldChar w:fldCharType="end"/>
    </w:r>
  </w:p>
  <w:p w:rsidR="00455E34" w:rsidRDefault="00455E34" w:rsidP="00BD00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34" w:rsidRDefault="00455E34" w:rsidP="00BD00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E34" w:rsidRDefault="00455E34">
      <w:r>
        <w:separator/>
      </w:r>
    </w:p>
  </w:footnote>
  <w:footnote w:type="continuationSeparator" w:id="0">
    <w:p w:rsidR="00455E34" w:rsidRPr="009D30E6" w:rsidRDefault="00455E34" w:rsidP="007E663E">
      <w:pPr>
        <w:rPr>
          <w:sz w:val="17"/>
          <w:szCs w:val="17"/>
        </w:rPr>
      </w:pPr>
      <w:r w:rsidRPr="009D30E6">
        <w:rPr>
          <w:sz w:val="17"/>
          <w:szCs w:val="17"/>
        </w:rPr>
        <w:separator/>
      </w:r>
    </w:p>
    <w:p w:rsidR="00455E34" w:rsidRPr="007E663E" w:rsidRDefault="00455E34" w:rsidP="007E663E">
      <w:pPr>
        <w:spacing w:after="60"/>
        <w:rPr>
          <w:sz w:val="17"/>
          <w:szCs w:val="17"/>
        </w:rPr>
      </w:pPr>
      <w:r>
        <w:rPr>
          <w:sz w:val="17"/>
        </w:rPr>
        <w:t>[Continuación de la nota de la página anterior]</w:t>
      </w:r>
    </w:p>
  </w:footnote>
  <w:footnote w:type="continuationNotice" w:id="1">
    <w:p w:rsidR="00455E34" w:rsidRPr="007E663E" w:rsidRDefault="00455E3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34" w:rsidRDefault="00455E34" w:rsidP="00BD0073">
    <w:pPr>
      <w:pStyle w:val="Header"/>
      <w:jc w:val="right"/>
      <w:rPr>
        <w:lang w:val="fr-FR"/>
      </w:rPr>
    </w:pPr>
    <w:r>
      <w:rPr>
        <w:lang w:val="fr-FR"/>
      </w:rPr>
      <w:t>MM/A/48/2</w:t>
    </w:r>
  </w:p>
  <w:p w:rsidR="00455E34" w:rsidRDefault="00455E34" w:rsidP="00BD0073">
    <w:pPr>
      <w:pStyle w:val="Header"/>
      <w:jc w:val="right"/>
      <w:rPr>
        <w:lang w:val="fr-FR"/>
      </w:rPr>
    </w:pPr>
    <w:r>
      <w:rPr>
        <w:lang w:val="fr-FR"/>
      </w:rPr>
      <w:t xml:space="preserve">página </w:t>
    </w:r>
    <w:r>
      <w:rPr>
        <w:rStyle w:val="PageNumber"/>
      </w:rPr>
      <w:fldChar w:fldCharType="begin"/>
    </w:r>
    <w:r>
      <w:rPr>
        <w:rStyle w:val="PageNumber"/>
      </w:rPr>
      <w:instrText xml:space="preserve"> PAGE </w:instrText>
    </w:r>
    <w:r>
      <w:rPr>
        <w:rStyle w:val="PageNumber"/>
      </w:rPr>
      <w:fldChar w:fldCharType="separate"/>
    </w:r>
    <w:r w:rsidR="00394C7D">
      <w:rPr>
        <w:rStyle w:val="PageNumber"/>
        <w:noProof/>
      </w:rPr>
      <w:t>6</w:t>
    </w:r>
    <w:r>
      <w:rPr>
        <w:rStyle w:val="PageNumber"/>
      </w:rPr>
      <w:fldChar w:fldCharType="end"/>
    </w:r>
  </w:p>
  <w:p w:rsidR="00455E34" w:rsidRDefault="00455E34" w:rsidP="00BD0073">
    <w:pPr>
      <w:pStyle w:val="Header"/>
      <w:jc w:val="right"/>
      <w:rPr>
        <w:lang w:val="fr-FR"/>
      </w:rPr>
    </w:pPr>
  </w:p>
  <w:p w:rsidR="00394C7D" w:rsidRDefault="00394C7D" w:rsidP="00BD0073">
    <w:pPr>
      <w:pStyle w:val="Header"/>
      <w:jc w:val="right"/>
      <w:rPr>
        <w:lang w:val="fr-F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34" w:rsidRDefault="00455E34" w:rsidP="00BD0073">
    <w:pPr>
      <w:pStyle w:val="Header"/>
      <w:jc w:val="right"/>
    </w:pPr>
    <w:r>
      <w:t>MM/A/48/2</w:t>
    </w:r>
  </w:p>
  <w:p w:rsidR="00455E34" w:rsidRDefault="00455E34" w:rsidP="00BD0073">
    <w:pPr>
      <w:pStyle w:val="Header"/>
      <w:jc w:val="right"/>
    </w:pPr>
    <w:r>
      <w:t>ANEXO V</w:t>
    </w:r>
  </w:p>
  <w:p w:rsidR="00455E34" w:rsidRDefault="00455E34" w:rsidP="00BD007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34" w:rsidRDefault="00455E34" w:rsidP="00BD00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0809">
      <w:rPr>
        <w:rStyle w:val="PageNumber"/>
        <w:noProof/>
      </w:rPr>
      <w:t>5</w:t>
    </w:r>
    <w:r>
      <w:rPr>
        <w:rStyle w:val="PageNumber"/>
      </w:rPr>
      <w:fldChar w:fldCharType="end"/>
    </w:r>
  </w:p>
  <w:p w:rsidR="00455E34" w:rsidRDefault="00455E34" w:rsidP="00BD007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34" w:rsidRDefault="00455E34" w:rsidP="00BD0073">
    <w:pPr>
      <w:pStyle w:val="Header"/>
      <w:framePr w:wrap="around" w:vAnchor="text" w:hAnchor="margin" w:xAlign="right" w:y="1"/>
      <w:jc w:val="right"/>
      <w:rPr>
        <w:rStyle w:val="PageNumber"/>
      </w:rPr>
    </w:pPr>
    <w:r>
      <w:rPr>
        <w:rStyle w:val="PageNumber"/>
      </w:rPr>
      <w:t>MM/A/46/2</w:t>
    </w:r>
  </w:p>
  <w:p w:rsidR="00455E34" w:rsidRDefault="00455E34" w:rsidP="00BD0073">
    <w:pPr>
      <w:pStyle w:val="Header"/>
      <w:framePr w:wrap="around" w:vAnchor="text" w:hAnchor="margin" w:xAlign="right" w:y="1"/>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8B0809">
      <w:rPr>
        <w:rStyle w:val="PageNumber"/>
        <w:noProof/>
      </w:rPr>
      <w:t>5</w:t>
    </w:r>
    <w:r>
      <w:rPr>
        <w:rStyle w:val="PageNumber"/>
      </w:rPr>
      <w:fldChar w:fldCharType="end"/>
    </w:r>
  </w:p>
  <w:p w:rsidR="00455E34" w:rsidRDefault="00455E34" w:rsidP="00BD0073">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34" w:rsidRDefault="00455E34" w:rsidP="00BD0073">
    <w:pPr>
      <w:pStyle w:val="Header"/>
      <w:jc w:val="right"/>
    </w:pPr>
    <w:r>
      <w:t>MM/A/48/2</w:t>
    </w:r>
  </w:p>
  <w:p w:rsidR="00455E34" w:rsidRDefault="00455E34" w:rsidP="00BD0073">
    <w:pPr>
      <w:pStyle w:val="Header"/>
      <w:jc w:val="right"/>
    </w:pPr>
    <w:r>
      <w:t>ANEXO I</w:t>
    </w:r>
  </w:p>
  <w:p w:rsidR="00455E34" w:rsidRDefault="00455E34" w:rsidP="00BD0073">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34" w:rsidRDefault="00455E34" w:rsidP="00BD0073">
    <w:pPr>
      <w:pStyle w:val="Header"/>
      <w:jc w:val="right"/>
    </w:pPr>
    <w:r>
      <w:t>MM/A/48/2</w:t>
    </w:r>
  </w:p>
  <w:p w:rsidR="00455E34" w:rsidRDefault="00455E34" w:rsidP="00BD0073">
    <w:pPr>
      <w:pStyle w:val="Header"/>
      <w:jc w:val="right"/>
    </w:pPr>
    <w:r>
      <w:t>ANEXO II</w:t>
    </w:r>
  </w:p>
  <w:p w:rsidR="00455E34" w:rsidRPr="00E557F4" w:rsidRDefault="00455E34" w:rsidP="00BD0073">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34" w:rsidRDefault="00455E34" w:rsidP="00BD0073">
    <w:pPr>
      <w:pStyle w:val="Header"/>
      <w:jc w:val="right"/>
    </w:pPr>
    <w:r>
      <w:t>MM/A/48/2</w:t>
    </w:r>
  </w:p>
  <w:p w:rsidR="00455E34" w:rsidRDefault="00455E34" w:rsidP="00BD0073">
    <w:pPr>
      <w:pStyle w:val="Header"/>
      <w:jc w:val="right"/>
    </w:pPr>
    <w:r>
      <w:t>ANEXO II</w:t>
    </w:r>
  </w:p>
  <w:p w:rsidR="00455E34" w:rsidRDefault="00455E34" w:rsidP="00BD0073">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34" w:rsidRDefault="00455E34" w:rsidP="00BD0073">
    <w:pPr>
      <w:pStyle w:val="Header"/>
      <w:jc w:val="right"/>
    </w:pPr>
    <w:r>
      <w:t>MM/A/48/2</w:t>
    </w:r>
  </w:p>
  <w:p w:rsidR="00455E34" w:rsidRDefault="00455E34" w:rsidP="00BD0073">
    <w:pPr>
      <w:pStyle w:val="Header"/>
      <w:jc w:val="right"/>
    </w:pPr>
    <w:r>
      <w:t>ANEXO III</w:t>
    </w:r>
  </w:p>
  <w:p w:rsidR="00455E34" w:rsidRDefault="00455E34" w:rsidP="00BD0073">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34" w:rsidRDefault="00455E34" w:rsidP="00477D6B">
    <w:pPr>
      <w:jc w:val="right"/>
    </w:pPr>
    <w:bookmarkStart w:id="6" w:name="Code2"/>
    <w:bookmarkEnd w:id="6"/>
    <w:r>
      <w:t>MM/A/48/2</w:t>
    </w:r>
  </w:p>
  <w:p w:rsidR="00455E34" w:rsidRDefault="00455E34" w:rsidP="00477D6B">
    <w:pPr>
      <w:jc w:val="right"/>
    </w:pPr>
    <w:r>
      <w:t xml:space="preserve">página </w:t>
    </w:r>
    <w:r>
      <w:fldChar w:fldCharType="begin"/>
    </w:r>
    <w:r>
      <w:instrText xml:space="preserve"> PAGE  \* MERGEFORMAT </w:instrText>
    </w:r>
    <w:r>
      <w:fldChar w:fldCharType="separate"/>
    </w:r>
    <w:r w:rsidR="008B0809">
      <w:rPr>
        <w:noProof/>
      </w:rPr>
      <w:t>5</w:t>
    </w:r>
    <w:r>
      <w:fldChar w:fldCharType="end"/>
    </w:r>
  </w:p>
  <w:p w:rsidR="00455E34" w:rsidRDefault="00455E34"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34" w:rsidRDefault="00455E34" w:rsidP="00BD0073">
    <w:pPr>
      <w:pStyle w:val="Header"/>
      <w:jc w:val="right"/>
    </w:pPr>
    <w:r>
      <w:t>MM/A/48/2</w:t>
    </w:r>
  </w:p>
  <w:p w:rsidR="00455E34" w:rsidRDefault="00455E34" w:rsidP="00BD0073">
    <w:pPr>
      <w:pStyle w:val="Header"/>
      <w:jc w:val="right"/>
    </w:pPr>
    <w:r>
      <w:t>ANEXO IV</w:t>
    </w:r>
  </w:p>
  <w:p w:rsidR="00455E34" w:rsidRDefault="00455E34" w:rsidP="00BD00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C06F39"/>
    <w:multiLevelType w:val="hybridMultilevel"/>
    <w:tmpl w:val="9E2455FA"/>
    <w:lvl w:ilvl="0" w:tplc="1E74ACB8">
      <w:start w:val="1"/>
      <w:numFmt w:val="lowerRoman"/>
      <w:lvlText w:val="%1)"/>
      <w:lvlJc w:val="left"/>
      <w:pPr>
        <w:tabs>
          <w:tab w:val="num" w:pos="3969"/>
        </w:tabs>
        <w:ind w:left="3969" w:hanging="720"/>
      </w:pPr>
      <w:rPr>
        <w:rFonts w:cs="Times New Roman" w:hint="default"/>
      </w:rPr>
    </w:lvl>
    <w:lvl w:ilvl="1" w:tplc="04090019">
      <w:start w:val="1"/>
      <w:numFmt w:val="lowerLetter"/>
      <w:lvlText w:val="%2."/>
      <w:lvlJc w:val="left"/>
      <w:pPr>
        <w:tabs>
          <w:tab w:val="num" w:pos="4329"/>
        </w:tabs>
        <w:ind w:left="4329" w:hanging="360"/>
      </w:pPr>
    </w:lvl>
    <w:lvl w:ilvl="2" w:tplc="0409001B">
      <w:start w:val="1"/>
      <w:numFmt w:val="lowerRoman"/>
      <w:lvlText w:val="%3."/>
      <w:lvlJc w:val="right"/>
      <w:pPr>
        <w:tabs>
          <w:tab w:val="num" w:pos="5049"/>
        </w:tabs>
        <w:ind w:left="5049" w:hanging="180"/>
      </w:pPr>
    </w:lvl>
    <w:lvl w:ilvl="3" w:tplc="0409000F">
      <w:start w:val="1"/>
      <w:numFmt w:val="decimal"/>
      <w:lvlText w:val="%4."/>
      <w:lvlJc w:val="left"/>
      <w:pPr>
        <w:tabs>
          <w:tab w:val="num" w:pos="5769"/>
        </w:tabs>
        <w:ind w:left="5769" w:hanging="360"/>
      </w:pPr>
    </w:lvl>
    <w:lvl w:ilvl="4" w:tplc="04090019">
      <w:start w:val="1"/>
      <w:numFmt w:val="lowerLetter"/>
      <w:lvlText w:val="%5."/>
      <w:lvlJc w:val="left"/>
      <w:pPr>
        <w:tabs>
          <w:tab w:val="num" w:pos="6489"/>
        </w:tabs>
        <w:ind w:left="6489" w:hanging="360"/>
      </w:pPr>
    </w:lvl>
    <w:lvl w:ilvl="5" w:tplc="0409001B">
      <w:start w:val="1"/>
      <w:numFmt w:val="lowerRoman"/>
      <w:lvlText w:val="%6."/>
      <w:lvlJc w:val="right"/>
      <w:pPr>
        <w:tabs>
          <w:tab w:val="num" w:pos="7209"/>
        </w:tabs>
        <w:ind w:left="7209" w:hanging="180"/>
      </w:pPr>
    </w:lvl>
    <w:lvl w:ilvl="6" w:tplc="0409000F">
      <w:start w:val="1"/>
      <w:numFmt w:val="decimal"/>
      <w:lvlText w:val="%7."/>
      <w:lvlJc w:val="left"/>
      <w:pPr>
        <w:tabs>
          <w:tab w:val="num" w:pos="7929"/>
        </w:tabs>
        <w:ind w:left="7929" w:hanging="360"/>
      </w:pPr>
    </w:lvl>
    <w:lvl w:ilvl="7" w:tplc="04090019">
      <w:start w:val="1"/>
      <w:numFmt w:val="lowerLetter"/>
      <w:lvlText w:val="%8."/>
      <w:lvlJc w:val="left"/>
      <w:pPr>
        <w:tabs>
          <w:tab w:val="num" w:pos="8649"/>
        </w:tabs>
        <w:ind w:left="8649" w:hanging="360"/>
      </w:pPr>
    </w:lvl>
    <w:lvl w:ilvl="8" w:tplc="0409001B">
      <w:start w:val="1"/>
      <w:numFmt w:val="lowerRoman"/>
      <w:lvlText w:val="%9."/>
      <w:lvlJc w:val="right"/>
      <w:pPr>
        <w:tabs>
          <w:tab w:val="num" w:pos="9369"/>
        </w:tabs>
        <w:ind w:left="9369"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CA4195A"/>
    <w:multiLevelType w:val="hybridMultilevel"/>
    <w:tmpl w:val="BE565BAA"/>
    <w:lvl w:ilvl="0" w:tplc="E29642CA">
      <w:start w:val="26"/>
      <w:numFmt w:val="bullet"/>
      <w:lvlText w:val="-"/>
      <w:lvlJc w:val="left"/>
      <w:pPr>
        <w:ind w:left="910" w:hanging="360"/>
      </w:pPr>
      <w:rPr>
        <w:rFonts w:ascii="Arial" w:eastAsia="SimSun" w:hAnsi="Arial" w:cs="Arial"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48F7D1C"/>
    <w:multiLevelType w:val="hybridMultilevel"/>
    <w:tmpl w:val="B0007A5E"/>
    <w:lvl w:ilvl="0" w:tplc="2BDE526E">
      <w:numFmt w:val="bullet"/>
      <w:lvlText w:val="–"/>
      <w:lvlJc w:val="left"/>
      <w:pPr>
        <w:ind w:left="915" w:hanging="360"/>
      </w:pPr>
      <w:rPr>
        <w:rFonts w:ascii="Arial" w:eastAsia="SimSun"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483"/>
    <w:rsid w:val="0003249F"/>
    <w:rsid w:val="00041733"/>
    <w:rsid w:val="00086960"/>
    <w:rsid w:val="000C051B"/>
    <w:rsid w:val="000D093B"/>
    <w:rsid w:val="000E3BB3"/>
    <w:rsid w:val="000F4C33"/>
    <w:rsid w:val="000F5E56"/>
    <w:rsid w:val="001065F1"/>
    <w:rsid w:val="00116985"/>
    <w:rsid w:val="001334BE"/>
    <w:rsid w:val="001362EE"/>
    <w:rsid w:val="0014289D"/>
    <w:rsid w:val="00152CEA"/>
    <w:rsid w:val="001832A6"/>
    <w:rsid w:val="001A3CDF"/>
    <w:rsid w:val="001C4DD3"/>
    <w:rsid w:val="002101D8"/>
    <w:rsid w:val="00226FD0"/>
    <w:rsid w:val="002306D4"/>
    <w:rsid w:val="00245149"/>
    <w:rsid w:val="002634C4"/>
    <w:rsid w:val="0028576C"/>
    <w:rsid w:val="00294D93"/>
    <w:rsid w:val="002F1F2E"/>
    <w:rsid w:val="002F4E68"/>
    <w:rsid w:val="00300CB4"/>
    <w:rsid w:val="00303724"/>
    <w:rsid w:val="003045D2"/>
    <w:rsid w:val="00347543"/>
    <w:rsid w:val="00354647"/>
    <w:rsid w:val="003567D6"/>
    <w:rsid w:val="00361B10"/>
    <w:rsid w:val="00373F16"/>
    <w:rsid w:val="00377273"/>
    <w:rsid w:val="003845C1"/>
    <w:rsid w:val="00387287"/>
    <w:rsid w:val="00394C7D"/>
    <w:rsid w:val="003A6AFF"/>
    <w:rsid w:val="003C112F"/>
    <w:rsid w:val="003D41D4"/>
    <w:rsid w:val="00423E3E"/>
    <w:rsid w:val="00427AF4"/>
    <w:rsid w:val="0045231F"/>
    <w:rsid w:val="00455E34"/>
    <w:rsid w:val="004577E8"/>
    <w:rsid w:val="004647DA"/>
    <w:rsid w:val="004758DE"/>
    <w:rsid w:val="00477D6B"/>
    <w:rsid w:val="004A6C37"/>
    <w:rsid w:val="004B30F9"/>
    <w:rsid w:val="004C3C83"/>
    <w:rsid w:val="004C3EBD"/>
    <w:rsid w:val="004C788D"/>
    <w:rsid w:val="004D3764"/>
    <w:rsid w:val="00505D6D"/>
    <w:rsid w:val="0055013B"/>
    <w:rsid w:val="0056224D"/>
    <w:rsid w:val="00571B99"/>
    <w:rsid w:val="00596C64"/>
    <w:rsid w:val="00597F93"/>
    <w:rsid w:val="005A59D8"/>
    <w:rsid w:val="00605827"/>
    <w:rsid w:val="00644C16"/>
    <w:rsid w:val="00675021"/>
    <w:rsid w:val="006A06C6"/>
    <w:rsid w:val="006E52F4"/>
    <w:rsid w:val="006E5D61"/>
    <w:rsid w:val="00704B8D"/>
    <w:rsid w:val="00762FBB"/>
    <w:rsid w:val="00767A94"/>
    <w:rsid w:val="007B12EF"/>
    <w:rsid w:val="007B1B4C"/>
    <w:rsid w:val="007E663E"/>
    <w:rsid w:val="007E7396"/>
    <w:rsid w:val="008126DF"/>
    <w:rsid w:val="00815082"/>
    <w:rsid w:val="008501C7"/>
    <w:rsid w:val="008B0809"/>
    <w:rsid w:val="008B2CC1"/>
    <w:rsid w:val="008C60F9"/>
    <w:rsid w:val="008E2882"/>
    <w:rsid w:val="008F43C9"/>
    <w:rsid w:val="0090731E"/>
    <w:rsid w:val="00946049"/>
    <w:rsid w:val="009556BA"/>
    <w:rsid w:val="00966A22"/>
    <w:rsid w:val="00972F03"/>
    <w:rsid w:val="009A0C8B"/>
    <w:rsid w:val="009B6241"/>
    <w:rsid w:val="009E29BA"/>
    <w:rsid w:val="009F0E76"/>
    <w:rsid w:val="00A143EF"/>
    <w:rsid w:val="00A16FC0"/>
    <w:rsid w:val="00A32C9E"/>
    <w:rsid w:val="00A4722A"/>
    <w:rsid w:val="00A702D8"/>
    <w:rsid w:val="00A7234E"/>
    <w:rsid w:val="00A7453D"/>
    <w:rsid w:val="00A80483"/>
    <w:rsid w:val="00A82474"/>
    <w:rsid w:val="00AB01CC"/>
    <w:rsid w:val="00AB613D"/>
    <w:rsid w:val="00AF70CE"/>
    <w:rsid w:val="00B3715E"/>
    <w:rsid w:val="00B37859"/>
    <w:rsid w:val="00B5608D"/>
    <w:rsid w:val="00B65A0A"/>
    <w:rsid w:val="00B72D36"/>
    <w:rsid w:val="00BB4D27"/>
    <w:rsid w:val="00BC4164"/>
    <w:rsid w:val="00BD0073"/>
    <w:rsid w:val="00BD2DCC"/>
    <w:rsid w:val="00BE1A8C"/>
    <w:rsid w:val="00C5143A"/>
    <w:rsid w:val="00C60F66"/>
    <w:rsid w:val="00C75295"/>
    <w:rsid w:val="00C7726D"/>
    <w:rsid w:val="00C82F5E"/>
    <w:rsid w:val="00C90559"/>
    <w:rsid w:val="00CA5184"/>
    <w:rsid w:val="00CD21EE"/>
    <w:rsid w:val="00CD6EAD"/>
    <w:rsid w:val="00D00D63"/>
    <w:rsid w:val="00D14CD4"/>
    <w:rsid w:val="00D40CF0"/>
    <w:rsid w:val="00D56C7C"/>
    <w:rsid w:val="00D71B4D"/>
    <w:rsid w:val="00D90289"/>
    <w:rsid w:val="00D93D55"/>
    <w:rsid w:val="00DC23B5"/>
    <w:rsid w:val="00DC6CE0"/>
    <w:rsid w:val="00DF4729"/>
    <w:rsid w:val="00E023DB"/>
    <w:rsid w:val="00E141CD"/>
    <w:rsid w:val="00E16A1D"/>
    <w:rsid w:val="00E45C84"/>
    <w:rsid w:val="00E504E5"/>
    <w:rsid w:val="00E612C9"/>
    <w:rsid w:val="00EB3FE8"/>
    <w:rsid w:val="00EB4C3C"/>
    <w:rsid w:val="00EB7A3E"/>
    <w:rsid w:val="00EC401A"/>
    <w:rsid w:val="00EF530A"/>
    <w:rsid w:val="00EF6622"/>
    <w:rsid w:val="00F26960"/>
    <w:rsid w:val="00F42DDE"/>
    <w:rsid w:val="00F55408"/>
    <w:rsid w:val="00F61154"/>
    <w:rsid w:val="00F66152"/>
    <w:rsid w:val="00F80845"/>
    <w:rsid w:val="00F84474"/>
    <w:rsid w:val="00F9069B"/>
    <w:rsid w:val="00FD0B30"/>
    <w:rsid w:val="00FD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69B"/>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8501C7"/>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8501C7"/>
    <w:rPr>
      <w:rFonts w:ascii="Tahoma" w:eastAsia="SimSun" w:hAnsi="Tahoma" w:cs="Tahoma"/>
      <w:sz w:val="16"/>
      <w:szCs w:val="16"/>
      <w:lang w:val="es-ES" w:eastAsia="zh-CN"/>
    </w:rPr>
  </w:style>
  <w:style w:type="character" w:styleId="PageNumber">
    <w:name w:val="page number"/>
    <w:basedOn w:val="DefaultParagraphFont"/>
    <w:rsid w:val="009556BA"/>
  </w:style>
  <w:style w:type="paragraph" w:styleId="ListParagraph">
    <w:name w:val="List Paragraph"/>
    <w:basedOn w:val="Normal"/>
    <w:uiPriority w:val="34"/>
    <w:qFormat/>
    <w:rsid w:val="009556BA"/>
    <w:pPr>
      <w:ind w:left="72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69B"/>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8501C7"/>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8501C7"/>
    <w:rPr>
      <w:rFonts w:ascii="Tahoma" w:eastAsia="SimSun" w:hAnsi="Tahoma" w:cs="Tahoma"/>
      <w:sz w:val="16"/>
      <w:szCs w:val="16"/>
      <w:lang w:val="es-ES" w:eastAsia="zh-CN"/>
    </w:rPr>
  </w:style>
  <w:style w:type="character" w:styleId="PageNumber">
    <w:name w:val="page number"/>
    <w:basedOn w:val="DefaultParagraphFont"/>
    <w:rsid w:val="009556BA"/>
  </w:style>
  <w:style w:type="paragraph" w:styleId="ListParagraph">
    <w:name w:val="List Paragraph"/>
    <w:basedOn w:val="Normal"/>
    <w:uiPriority w:val="34"/>
    <w:qFormat/>
    <w:rsid w:val="009556BA"/>
    <w:pPr>
      <w:ind w:left="7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A 48 (S).dotm</Template>
  <TotalTime>4</TotalTime>
  <Pages>11</Pages>
  <Words>3006</Words>
  <Characters>15117</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MM/A/48/2</vt:lpstr>
    </vt:vector>
  </TitlesOfParts>
  <Company>WIPO</Company>
  <LinksUpToDate>false</LinksUpToDate>
  <CharactersWithSpaces>18087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MM/A/48/2</dc:title>
  <dc:creator>VICEDO Isabelle</dc:creator>
  <dc:description>JC - 4/6/2014</dc:description>
  <cp:lastModifiedBy>MARIN-CUDRAZ DAVI Nicoletta</cp:lastModifiedBy>
  <cp:revision>6</cp:revision>
  <cp:lastPrinted>2014-06-06T14:26:00Z</cp:lastPrinted>
  <dcterms:created xsi:type="dcterms:W3CDTF">2014-06-06T14:10:00Z</dcterms:created>
  <dcterms:modified xsi:type="dcterms:W3CDTF">2014-06-16T08:08:00Z</dcterms:modified>
</cp:coreProperties>
</file>