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46B5D" w:rsidTr="00A7453D">
        <w:tc>
          <w:tcPr>
            <w:tcW w:w="4513" w:type="dxa"/>
            <w:tcBorders>
              <w:bottom w:val="single" w:sz="4" w:space="0" w:color="auto"/>
            </w:tcBorders>
            <w:tcMar>
              <w:bottom w:w="170" w:type="dxa"/>
            </w:tcMar>
          </w:tcPr>
          <w:p w:rsidR="00E504E5" w:rsidRPr="005D2A96" w:rsidRDefault="00E504E5" w:rsidP="00AB613D"/>
        </w:tc>
        <w:tc>
          <w:tcPr>
            <w:tcW w:w="4337" w:type="dxa"/>
            <w:tcBorders>
              <w:bottom w:val="single" w:sz="4" w:space="0" w:color="auto"/>
            </w:tcBorders>
            <w:tcMar>
              <w:left w:w="0" w:type="dxa"/>
              <w:right w:w="0" w:type="dxa"/>
            </w:tcMar>
          </w:tcPr>
          <w:p w:rsidR="00E504E5" w:rsidRPr="00846B5D" w:rsidRDefault="008501C7" w:rsidP="00AB613D">
            <w:r w:rsidRPr="00846B5D">
              <w:rPr>
                <w:noProof/>
                <w:lang w:val="en-US" w:eastAsia="en-US"/>
              </w:rPr>
              <w:drawing>
                <wp:inline distT="0" distB="0" distL="0" distR="0" wp14:anchorId="097DFE0D" wp14:editId="4187FFD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46B5D" w:rsidRDefault="00E504E5" w:rsidP="00AB613D">
            <w:pPr>
              <w:jc w:val="right"/>
            </w:pPr>
            <w:r w:rsidRPr="00846B5D">
              <w:rPr>
                <w:b/>
                <w:sz w:val="40"/>
                <w:szCs w:val="40"/>
              </w:rPr>
              <w:t>S</w:t>
            </w:r>
          </w:p>
        </w:tc>
      </w:tr>
      <w:tr w:rsidR="008B2CC1" w:rsidRPr="00846B5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46B5D" w:rsidRDefault="00FD4179" w:rsidP="00AB613D">
            <w:pPr>
              <w:jc w:val="right"/>
              <w:rPr>
                <w:rFonts w:ascii="Arial Black" w:hAnsi="Arial Black"/>
                <w:caps/>
                <w:sz w:val="15"/>
              </w:rPr>
            </w:pPr>
            <w:r w:rsidRPr="00846B5D">
              <w:rPr>
                <w:rFonts w:ascii="Arial Black" w:hAnsi="Arial Black"/>
                <w:caps/>
                <w:sz w:val="15"/>
              </w:rPr>
              <w:t>MM/A/48/</w:t>
            </w:r>
            <w:bookmarkStart w:id="0" w:name="Code"/>
            <w:bookmarkEnd w:id="0"/>
            <w:r w:rsidR="00AD446E" w:rsidRPr="00846B5D">
              <w:rPr>
                <w:rFonts w:ascii="Arial Black" w:hAnsi="Arial Black"/>
                <w:caps/>
                <w:sz w:val="15"/>
              </w:rPr>
              <w:t>1</w:t>
            </w:r>
            <w:r w:rsidR="008B2CC1" w:rsidRPr="00846B5D">
              <w:rPr>
                <w:rFonts w:ascii="Arial Black" w:hAnsi="Arial Black"/>
                <w:caps/>
                <w:sz w:val="15"/>
              </w:rPr>
              <w:t xml:space="preserve">   </w:t>
            </w:r>
          </w:p>
        </w:tc>
      </w:tr>
      <w:tr w:rsidR="008B2CC1" w:rsidRPr="00846B5D" w:rsidTr="00AB613D">
        <w:trPr>
          <w:trHeight w:hRule="exact" w:val="170"/>
        </w:trPr>
        <w:tc>
          <w:tcPr>
            <w:tcW w:w="9356" w:type="dxa"/>
            <w:gridSpan w:val="3"/>
            <w:noWrap/>
            <w:tcMar>
              <w:left w:w="0" w:type="dxa"/>
              <w:right w:w="0" w:type="dxa"/>
            </w:tcMar>
            <w:vAlign w:val="bottom"/>
          </w:tcPr>
          <w:p w:rsidR="008B2CC1" w:rsidRPr="00846B5D" w:rsidRDefault="008B2CC1" w:rsidP="00AB613D">
            <w:pPr>
              <w:jc w:val="right"/>
              <w:rPr>
                <w:rFonts w:ascii="Arial Black" w:hAnsi="Arial Black"/>
                <w:caps/>
                <w:sz w:val="15"/>
              </w:rPr>
            </w:pPr>
            <w:r w:rsidRPr="00846B5D">
              <w:rPr>
                <w:rFonts w:ascii="Arial Black" w:hAnsi="Arial Black"/>
                <w:caps/>
                <w:sz w:val="15"/>
              </w:rPr>
              <w:t>ORIGINAL:</w:t>
            </w:r>
            <w:r w:rsidR="00F84474" w:rsidRPr="00846B5D">
              <w:rPr>
                <w:rFonts w:ascii="Arial Black" w:hAnsi="Arial Black"/>
                <w:caps/>
                <w:sz w:val="15"/>
              </w:rPr>
              <w:t xml:space="preserve"> </w:t>
            </w:r>
            <w:r w:rsidRPr="00846B5D">
              <w:rPr>
                <w:rFonts w:ascii="Arial Black" w:hAnsi="Arial Black"/>
                <w:caps/>
                <w:sz w:val="15"/>
              </w:rPr>
              <w:t xml:space="preserve"> </w:t>
            </w:r>
            <w:bookmarkStart w:id="1" w:name="Original"/>
            <w:bookmarkEnd w:id="1"/>
            <w:r w:rsidR="00AD446E" w:rsidRPr="00846B5D">
              <w:rPr>
                <w:rFonts w:ascii="Arial Black" w:hAnsi="Arial Black"/>
                <w:caps/>
                <w:sz w:val="15"/>
              </w:rPr>
              <w:t>INGLÉS</w:t>
            </w:r>
          </w:p>
        </w:tc>
      </w:tr>
      <w:tr w:rsidR="008B2CC1" w:rsidRPr="005D2A96" w:rsidTr="00AB613D">
        <w:trPr>
          <w:trHeight w:hRule="exact" w:val="198"/>
        </w:trPr>
        <w:tc>
          <w:tcPr>
            <w:tcW w:w="9356" w:type="dxa"/>
            <w:gridSpan w:val="3"/>
            <w:tcMar>
              <w:left w:w="0" w:type="dxa"/>
              <w:right w:w="0" w:type="dxa"/>
            </w:tcMar>
            <w:vAlign w:val="bottom"/>
          </w:tcPr>
          <w:p w:rsidR="008B2CC1" w:rsidRPr="005D2A96" w:rsidRDefault="00675021" w:rsidP="00AD446E">
            <w:pPr>
              <w:jc w:val="right"/>
              <w:rPr>
                <w:rFonts w:ascii="Arial Black" w:hAnsi="Arial Black"/>
                <w:caps/>
                <w:sz w:val="15"/>
              </w:rPr>
            </w:pPr>
            <w:r w:rsidRPr="00846B5D">
              <w:rPr>
                <w:rFonts w:ascii="Arial Black" w:hAnsi="Arial Black"/>
                <w:caps/>
                <w:sz w:val="15"/>
              </w:rPr>
              <w:t>fecha</w:t>
            </w:r>
            <w:r w:rsidR="008B2CC1" w:rsidRPr="00846B5D">
              <w:rPr>
                <w:rFonts w:ascii="Arial Black" w:hAnsi="Arial Black"/>
                <w:caps/>
                <w:sz w:val="15"/>
              </w:rPr>
              <w:t>:</w:t>
            </w:r>
            <w:r w:rsidR="00F84474" w:rsidRPr="00846B5D">
              <w:rPr>
                <w:rFonts w:ascii="Arial Black" w:hAnsi="Arial Black"/>
                <w:caps/>
                <w:sz w:val="15"/>
              </w:rPr>
              <w:t xml:space="preserve"> </w:t>
            </w:r>
            <w:r w:rsidR="008B2CC1" w:rsidRPr="00846B5D">
              <w:rPr>
                <w:rFonts w:ascii="Arial Black" w:hAnsi="Arial Black"/>
                <w:caps/>
                <w:sz w:val="15"/>
              </w:rPr>
              <w:t xml:space="preserve"> </w:t>
            </w:r>
            <w:bookmarkStart w:id="2" w:name="Date"/>
            <w:bookmarkEnd w:id="2"/>
            <w:r w:rsidR="00AD446E" w:rsidRPr="00846B5D">
              <w:rPr>
                <w:rFonts w:ascii="Arial Black" w:hAnsi="Arial Black"/>
                <w:caps/>
                <w:sz w:val="15"/>
              </w:rPr>
              <w:t>23 DE JUNIO DE 2014</w:t>
            </w:r>
          </w:p>
        </w:tc>
      </w:tr>
    </w:tbl>
    <w:p w:rsidR="008B2CC1" w:rsidRPr="005D2A96" w:rsidRDefault="008B2CC1" w:rsidP="008B2CC1"/>
    <w:p w:rsidR="008B2CC1" w:rsidRPr="005D2A96" w:rsidRDefault="008B2CC1" w:rsidP="008B2CC1"/>
    <w:p w:rsidR="008B2CC1" w:rsidRPr="005D2A96" w:rsidRDefault="008B2CC1" w:rsidP="008B2CC1"/>
    <w:p w:rsidR="008B2CC1" w:rsidRPr="005D2A96" w:rsidRDefault="008B2CC1" w:rsidP="008B2CC1"/>
    <w:p w:rsidR="008B2CC1" w:rsidRPr="005D2A96" w:rsidRDefault="008B2CC1" w:rsidP="008B2CC1"/>
    <w:p w:rsidR="008B2CC1" w:rsidRPr="005D2A96" w:rsidRDefault="00FD4179" w:rsidP="008B2CC1">
      <w:pPr>
        <w:rPr>
          <w:b/>
          <w:sz w:val="28"/>
          <w:szCs w:val="28"/>
        </w:rPr>
      </w:pPr>
      <w:r w:rsidRPr="005D2A96">
        <w:rPr>
          <w:b/>
          <w:sz w:val="28"/>
          <w:szCs w:val="28"/>
        </w:rPr>
        <w:t>Unión Particular para el Registro Internacional de Marcas</w:t>
      </w:r>
      <w:r w:rsidRPr="005D2A96">
        <w:rPr>
          <w:b/>
          <w:sz w:val="28"/>
          <w:szCs w:val="28"/>
        </w:rPr>
        <w:br/>
        <w:t>(Unión de Madrid)</w:t>
      </w:r>
    </w:p>
    <w:p w:rsidR="003845C1" w:rsidRPr="005D2A96" w:rsidRDefault="003845C1" w:rsidP="003845C1"/>
    <w:p w:rsidR="001C4DD3" w:rsidRPr="005D2A96" w:rsidRDefault="001C4DD3" w:rsidP="003845C1"/>
    <w:p w:rsidR="001C4DD3" w:rsidRPr="005D2A96" w:rsidRDefault="001C4DD3" w:rsidP="003845C1">
      <w:pPr>
        <w:rPr>
          <w:b/>
          <w:sz w:val="28"/>
          <w:szCs w:val="28"/>
        </w:rPr>
      </w:pPr>
      <w:r w:rsidRPr="005D2A96">
        <w:rPr>
          <w:b/>
          <w:sz w:val="28"/>
          <w:szCs w:val="28"/>
        </w:rPr>
        <w:t>Asamblea</w:t>
      </w:r>
    </w:p>
    <w:p w:rsidR="001C4DD3" w:rsidRPr="005D2A96" w:rsidRDefault="001C4DD3" w:rsidP="003845C1"/>
    <w:p w:rsidR="003845C1" w:rsidRPr="005D2A96" w:rsidRDefault="003845C1" w:rsidP="003845C1"/>
    <w:p w:rsidR="008B2CC1" w:rsidRPr="005D2A96" w:rsidRDefault="00FD4179" w:rsidP="008B2CC1">
      <w:pPr>
        <w:rPr>
          <w:b/>
          <w:sz w:val="24"/>
          <w:szCs w:val="24"/>
        </w:rPr>
      </w:pPr>
      <w:r w:rsidRPr="005D2A96">
        <w:rPr>
          <w:b/>
          <w:sz w:val="24"/>
          <w:szCs w:val="24"/>
        </w:rPr>
        <w:t>Cuadragésimo octavo período de sesiones (28</w:t>
      </w:r>
      <w:r w:rsidRPr="005D2A96">
        <w:rPr>
          <w:b/>
          <w:sz w:val="24"/>
          <w:szCs w:val="24"/>
          <w:vertAlign w:val="superscript"/>
        </w:rPr>
        <w:t>°</w:t>
      </w:r>
      <w:r w:rsidRPr="005D2A96">
        <w:rPr>
          <w:b/>
          <w:sz w:val="24"/>
          <w:szCs w:val="24"/>
        </w:rPr>
        <w:t xml:space="preserve"> extraordinario)</w:t>
      </w:r>
    </w:p>
    <w:p w:rsidR="008B2CC1" w:rsidRPr="005D2A96" w:rsidRDefault="00FD4179" w:rsidP="008B2CC1">
      <w:pPr>
        <w:rPr>
          <w:b/>
          <w:sz w:val="24"/>
          <w:szCs w:val="24"/>
        </w:rPr>
      </w:pPr>
      <w:r w:rsidRPr="005D2A96">
        <w:rPr>
          <w:b/>
          <w:sz w:val="24"/>
          <w:szCs w:val="24"/>
        </w:rPr>
        <w:t>Ginebra, 22 a 30 de septiembre 2014</w:t>
      </w:r>
    </w:p>
    <w:p w:rsidR="008B2CC1" w:rsidRPr="005D2A96" w:rsidRDefault="008B2CC1" w:rsidP="008B2CC1"/>
    <w:p w:rsidR="008B2CC1" w:rsidRPr="005D2A96" w:rsidRDefault="008B2CC1" w:rsidP="008B2CC1"/>
    <w:p w:rsidR="008B2CC1" w:rsidRPr="005D2A96" w:rsidRDefault="008B2CC1" w:rsidP="008B2CC1"/>
    <w:p w:rsidR="00AD446E" w:rsidRPr="00582420" w:rsidRDefault="00924D65" w:rsidP="00AD446E">
      <w:pPr>
        <w:rPr>
          <w:caps/>
          <w:sz w:val="24"/>
        </w:rPr>
      </w:pPr>
      <w:bookmarkStart w:id="3" w:name="TitleOfDoc"/>
      <w:bookmarkEnd w:id="3"/>
      <w:r w:rsidRPr="00582420">
        <w:rPr>
          <w:caps/>
          <w:sz w:val="24"/>
        </w:rPr>
        <w:t xml:space="preserve">Programa de modernización de las tecnologías de la información </w:t>
      </w:r>
      <w:r w:rsidR="00AD446E" w:rsidRPr="00582420">
        <w:rPr>
          <w:caps/>
          <w:sz w:val="24"/>
        </w:rPr>
        <w:t>(</w:t>
      </w:r>
      <w:r w:rsidRPr="00582420">
        <w:rPr>
          <w:caps/>
          <w:sz w:val="24"/>
        </w:rPr>
        <w:t>SISTEMA DE MADRID DE REGISTRO INTERNACIONAL</w:t>
      </w:r>
      <w:r w:rsidR="00AD446E" w:rsidRPr="00582420">
        <w:rPr>
          <w:caps/>
          <w:sz w:val="24"/>
        </w:rPr>
        <w:t xml:space="preserve">):  </w:t>
      </w:r>
      <w:r w:rsidRPr="00582420">
        <w:rPr>
          <w:caps/>
          <w:sz w:val="24"/>
        </w:rPr>
        <w:t>Informe sobre la marcha de las actividades</w:t>
      </w:r>
    </w:p>
    <w:p w:rsidR="00AD446E" w:rsidRPr="00582420" w:rsidRDefault="00AD446E" w:rsidP="00AD446E"/>
    <w:p w:rsidR="00AD446E" w:rsidRPr="00582420" w:rsidRDefault="00924D65" w:rsidP="00AD446E">
      <w:pPr>
        <w:rPr>
          <w:i/>
        </w:rPr>
      </w:pPr>
      <w:bookmarkStart w:id="4" w:name="Prepared"/>
      <w:bookmarkEnd w:id="4"/>
      <w:r w:rsidRPr="00582420">
        <w:rPr>
          <w:i/>
        </w:rPr>
        <w:t>preparado por la Oficina Internacional</w:t>
      </w:r>
    </w:p>
    <w:p w:rsidR="00AD446E" w:rsidRPr="00582420" w:rsidRDefault="00AD446E" w:rsidP="00AD446E"/>
    <w:p w:rsidR="00AD446E" w:rsidRPr="00582420" w:rsidRDefault="00AD446E" w:rsidP="00AD446E"/>
    <w:p w:rsidR="00AD446E" w:rsidRPr="00582420" w:rsidRDefault="00AD446E" w:rsidP="00AD446E"/>
    <w:p w:rsidR="00AD446E" w:rsidRPr="00582420" w:rsidRDefault="00924D65" w:rsidP="00AD446E">
      <w:pPr>
        <w:pStyle w:val="Heading1"/>
        <w:rPr>
          <w:szCs w:val="22"/>
        </w:rPr>
      </w:pPr>
      <w:r w:rsidRPr="00582420">
        <w:rPr>
          <w:szCs w:val="22"/>
        </w:rPr>
        <w:t>INTRODUCCIÓN</w:t>
      </w:r>
    </w:p>
    <w:p w:rsidR="00AD446E" w:rsidRPr="00582420" w:rsidRDefault="00AD446E" w:rsidP="00AD446E"/>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4474C1" w:rsidRPr="00582420">
        <w:t>La finalidad del presente documento es reseñar los avances del programa de modernización de las tecnologías de la información (T.I.) (denominado, en adelante, “el</w:t>
      </w:r>
      <w:r w:rsidR="009A0CDE">
        <w:t> </w:t>
      </w:r>
      <w:r w:rsidR="004474C1" w:rsidRPr="00582420">
        <w:t>programa”) desde el último período de sesiones de la Asamblea de la Unión de Madrid (denominada, en lo sucesivo, “la Asamblea”), celebrado en octubre d</w:t>
      </w:r>
      <w:r w:rsidR="00582420" w:rsidRPr="00582420">
        <w:t>e 2</w:t>
      </w:r>
      <w:r w:rsidR="004474C1" w:rsidRPr="00582420">
        <w:t xml:space="preserve">013.  Además, el presente documento contiene información actualizada destinada a los Estados miembros de la Asamblea relativa a las modificaciones introducidas en el enfoque general </w:t>
      </w:r>
      <w:r w:rsidR="008B3656">
        <w:t xml:space="preserve">aplicado con miras a finalizar el </w:t>
      </w:r>
      <w:r w:rsidR="004474C1" w:rsidRPr="00582420">
        <w:t>programa, y se notifican los cambios del calendario del programa</w:t>
      </w:r>
      <w:r w:rsidRPr="00582420">
        <w:t>.</w:t>
      </w:r>
    </w:p>
    <w:p w:rsidR="00AD446E" w:rsidRPr="00582420" w:rsidRDefault="00AD446E" w:rsidP="00AD446E"/>
    <w:p w:rsidR="0033576F" w:rsidRPr="00582420" w:rsidRDefault="00AD446E" w:rsidP="00AD446E">
      <w:r w:rsidRPr="00582420">
        <w:fldChar w:fldCharType="begin"/>
      </w:r>
      <w:r w:rsidRPr="00582420">
        <w:instrText xml:space="preserve"> AUTONUM  </w:instrText>
      </w:r>
      <w:r w:rsidRPr="00582420">
        <w:fldChar w:fldCharType="end"/>
      </w:r>
      <w:r w:rsidRPr="00582420">
        <w:tab/>
      </w:r>
      <w:r w:rsidR="004474C1" w:rsidRPr="00582420">
        <w:t>El documento MM/A/46/1 contiene el informe anterior sobre la marcha de las actividades del programa</w:t>
      </w:r>
      <w:r w:rsidR="0033576F" w:rsidRPr="00582420">
        <w:t>.</w:t>
      </w:r>
    </w:p>
    <w:p w:rsidR="00AD446E" w:rsidRPr="00582420" w:rsidRDefault="00AD446E" w:rsidP="00AD446E"/>
    <w:p w:rsidR="0033576F" w:rsidRPr="00582420" w:rsidRDefault="00AD446E" w:rsidP="00AD446E">
      <w:pPr>
        <w:autoSpaceDE w:val="0"/>
        <w:autoSpaceDN w:val="0"/>
        <w:adjustRightInd w:val="0"/>
        <w:rPr>
          <w:rFonts w:eastAsia="Times New Roman"/>
          <w:szCs w:val="22"/>
          <w:lang w:eastAsia="en-US"/>
        </w:rPr>
      </w:pPr>
      <w:r w:rsidRPr="00582420">
        <w:fldChar w:fldCharType="begin"/>
      </w:r>
      <w:r w:rsidRPr="00582420">
        <w:instrText xml:space="preserve"> AUTONUM  </w:instrText>
      </w:r>
      <w:r w:rsidRPr="00582420">
        <w:fldChar w:fldCharType="end"/>
      </w:r>
      <w:r w:rsidRPr="00582420">
        <w:tab/>
      </w:r>
      <w:r w:rsidR="004474C1" w:rsidRPr="00582420">
        <w:t xml:space="preserve">Se recuerda que el programa ha de ejecutarse en tres fases:  </w:t>
      </w:r>
      <w:r w:rsidR="001524A8" w:rsidRPr="00582420">
        <w:t>l</w:t>
      </w:r>
      <w:r w:rsidR="004474C1" w:rsidRPr="00582420">
        <w:t>a fase I,</w:t>
      </w:r>
      <w:r w:rsidR="001524A8" w:rsidRPr="00582420">
        <w:t xml:space="preserve"> </w:t>
      </w:r>
      <w:r w:rsidR="00654EE3" w:rsidRPr="00582420">
        <w:t>la fase II y la fase </w:t>
      </w:r>
      <w:r w:rsidR="005D2A96" w:rsidRPr="00582420">
        <w:t xml:space="preserve">III.  </w:t>
      </w:r>
      <w:r w:rsidR="004474C1" w:rsidRPr="00582420">
        <w:t>La fase I consta de subproyectos destinados a producir resultados positivos inmediatos o a sentar las bases técnicas de la fase II</w:t>
      </w:r>
      <w:r w:rsidRPr="00582420">
        <w:t>.</w:t>
      </w:r>
      <w:r w:rsidR="001945A5" w:rsidRPr="00582420">
        <w:t xml:space="preserve"> </w:t>
      </w:r>
      <w:r w:rsidR="001524A8" w:rsidRPr="00582420">
        <w:t xml:space="preserve"> </w:t>
      </w:r>
      <w:r w:rsidR="001945A5" w:rsidRPr="00582420">
        <w:t xml:space="preserve">La fase II corresponde a la migración técnica propiamente dicha de cada uno de los componentes del sistema de T.I. existente, que se utiliza tanto para los procedimientos de registro internacional del Sistema de Madrid como para los procedimientos del Sistema de La Haya, a un sistema de tecnología moderna que </w:t>
      </w:r>
      <w:r w:rsidR="001945A5" w:rsidRPr="00582420">
        <w:lastRenderedPageBreak/>
        <w:t>permitirá garantizar que las partes interesadas</w:t>
      </w:r>
      <w:r w:rsidR="004A2DA6" w:rsidRPr="00582420">
        <w:t xml:space="preserve"> de los Sistemas de Madrid y La </w:t>
      </w:r>
      <w:r w:rsidR="001945A5" w:rsidRPr="00582420">
        <w:t xml:space="preserve">Haya se beneficien en años venideros de una plataforma técnica equiparable a otras del sector.  La fase III es la fase facultativa que la Oficina Internacional </w:t>
      </w:r>
      <w:r w:rsidR="008B3656">
        <w:t>podr</w:t>
      </w:r>
      <w:r w:rsidR="004F7E6D">
        <w:t>ía</w:t>
      </w:r>
      <w:r w:rsidR="008B3656">
        <w:t xml:space="preserve"> emprender </w:t>
      </w:r>
      <w:r w:rsidR="00D65E6F" w:rsidRPr="00582420">
        <w:t>para</w:t>
      </w:r>
      <w:r w:rsidR="001945A5" w:rsidRPr="00582420">
        <w:t xml:space="preserve"> </w:t>
      </w:r>
      <w:r w:rsidR="008B3656">
        <w:t xml:space="preserve">estabilizar </w:t>
      </w:r>
      <w:r w:rsidR="001945A5" w:rsidRPr="00582420">
        <w:t>el nuevo sistema</w:t>
      </w:r>
      <w:r w:rsidR="008B3656">
        <w:t>, una vez que haya entrado</w:t>
      </w:r>
      <w:r w:rsidR="001945A5" w:rsidRPr="00582420">
        <w:t xml:space="preserve"> en funcionamiento</w:t>
      </w:r>
      <w:r w:rsidR="0033576F" w:rsidRPr="00582420">
        <w:rPr>
          <w:rFonts w:eastAsia="Times New Roman"/>
          <w:szCs w:val="22"/>
          <w:lang w:eastAsia="en-US"/>
        </w:rPr>
        <w:t>.</w:t>
      </w:r>
    </w:p>
    <w:p w:rsidR="00AD446E" w:rsidRPr="00582420" w:rsidRDefault="00AD446E" w:rsidP="00AD446E"/>
    <w:p w:rsidR="007220D3" w:rsidRPr="00582420" w:rsidRDefault="007F00D1" w:rsidP="007220D3">
      <w:pPr>
        <w:pStyle w:val="Heading1"/>
        <w:rPr>
          <w:szCs w:val="22"/>
        </w:rPr>
      </w:pPr>
      <w:r w:rsidRPr="00582420">
        <w:rPr>
          <w:szCs w:val="22"/>
        </w:rPr>
        <w:t>FASE I – ESTADO DE EJECUCIÓN</w:t>
      </w:r>
    </w:p>
    <w:p w:rsidR="00AD446E" w:rsidRPr="00582420" w:rsidRDefault="00AD446E" w:rsidP="00AD446E"/>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C20C9B" w:rsidRPr="00582420">
        <w:t xml:space="preserve">La fase I del programa ha concluido satisfactoriamente tras la exitosa puesta en </w:t>
      </w:r>
      <w:r w:rsidR="00D65E6F" w:rsidRPr="00582420">
        <w:t>funcionamiento</w:t>
      </w:r>
      <w:r w:rsidR="00C20C9B" w:rsidRPr="00582420">
        <w:t xml:space="preserve"> del proyecto</w:t>
      </w:r>
      <w:r w:rsidR="00D65E6F" w:rsidRPr="00582420">
        <w:t xml:space="preserve"> </w:t>
      </w:r>
      <w:r w:rsidR="00841484" w:rsidRPr="00582420">
        <w:t>de</w:t>
      </w:r>
      <w:r w:rsidR="00D65E6F" w:rsidRPr="00582420">
        <w:t xml:space="preserve"> integración del proceso de registro internacional</w:t>
      </w:r>
      <w:r w:rsidR="009A0CDE">
        <w:t xml:space="preserve"> (IRPI)</w:t>
      </w:r>
      <w:r w:rsidR="00C20C9B" w:rsidRPr="00582420">
        <w:t xml:space="preserve">.  A raíz de ello, los restantes fondos de la fase I se emplearán en la fase II, y no se presentará más información sobre la fase I del programa en los futuros documentos </w:t>
      </w:r>
      <w:r w:rsidR="0080058D" w:rsidRPr="00582420">
        <w:t>de la Asamblea</w:t>
      </w:r>
      <w:r w:rsidRPr="00582420">
        <w:rPr>
          <w:szCs w:val="22"/>
        </w:rPr>
        <w:t>.</w:t>
      </w:r>
    </w:p>
    <w:p w:rsidR="00AD446E" w:rsidRPr="00582420" w:rsidRDefault="00AD446E" w:rsidP="00AD446E">
      <w:pPr>
        <w:rPr>
          <w:szCs w:val="22"/>
        </w:rPr>
      </w:pPr>
    </w:p>
    <w:p w:rsidR="00AD446E" w:rsidRPr="00582420" w:rsidRDefault="006E5C0D" w:rsidP="00AD446E">
      <w:pPr>
        <w:pStyle w:val="Heading1"/>
        <w:rPr>
          <w:szCs w:val="22"/>
        </w:rPr>
      </w:pPr>
      <w:r w:rsidRPr="00582420">
        <w:rPr>
          <w:szCs w:val="22"/>
        </w:rPr>
        <w:t>FASE</w:t>
      </w:r>
      <w:r w:rsidR="00AD446E" w:rsidRPr="00582420">
        <w:rPr>
          <w:szCs w:val="22"/>
        </w:rPr>
        <w:t xml:space="preserve"> II – </w:t>
      </w:r>
      <w:r w:rsidR="001524A8" w:rsidRPr="00582420">
        <w:rPr>
          <w:szCs w:val="22"/>
        </w:rPr>
        <w:t>ANTECEDENTES</w:t>
      </w:r>
    </w:p>
    <w:p w:rsidR="00AD446E" w:rsidRPr="00582420" w:rsidRDefault="00AD446E" w:rsidP="00AD446E">
      <w:pPr>
        <w:rPr>
          <w:szCs w:val="22"/>
        </w:rPr>
      </w:pPr>
    </w:p>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6E5C0D" w:rsidRPr="00582420">
        <w:t xml:space="preserve">Cabe recordar que el </w:t>
      </w:r>
      <w:r w:rsidR="004F7E6D">
        <w:t>método</w:t>
      </w:r>
      <w:r w:rsidR="006E5C0D" w:rsidRPr="00582420">
        <w:t xml:space="preserve"> aprobado a los fines de la ejecución de la fase II del programa consiste en proceder a una migración técnica de cada uno de los componentes del sistema de T.I. existente a una estructura moderna </w:t>
      </w:r>
      <w:r w:rsidR="004F7E6D">
        <w:t xml:space="preserve">utilizando una arquitectura </w:t>
      </w:r>
      <w:r w:rsidR="006E5C0D" w:rsidRPr="00582420">
        <w:t>orientada a servicios mediante la selección de un socio externo cualificado en tecnologías de la información (ELCA Informatique SA).</w:t>
      </w:r>
    </w:p>
    <w:p w:rsidR="00AD446E" w:rsidRPr="00582420" w:rsidRDefault="00AD446E" w:rsidP="00AD446E"/>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C55B18" w:rsidRPr="00582420">
        <w:t>El</w:t>
      </w:r>
      <w:r w:rsidRPr="00582420">
        <w:t xml:space="preserve"> </w:t>
      </w:r>
      <w:r w:rsidR="00C55B18" w:rsidRPr="00582420">
        <w:t>objetivo de la migración técnica es la conversión de la aplicación, la base de dato</w:t>
      </w:r>
      <w:r w:rsidR="00841484" w:rsidRPr="00582420">
        <w:t xml:space="preserve">s y el </w:t>
      </w:r>
      <w:r w:rsidR="004F7E6D">
        <w:t xml:space="preserve">sistema específico de </w:t>
      </w:r>
      <w:r w:rsidR="00841484" w:rsidRPr="00582420">
        <w:t>flujo de trabajo interno</w:t>
      </w:r>
      <w:r w:rsidR="00CA5FB5" w:rsidRPr="00582420">
        <w:t xml:space="preserve"> </w:t>
      </w:r>
      <w:r w:rsidR="00C55B18" w:rsidRPr="00582420">
        <w:t>existentes, pasando del lenguaje de programación Natural y el sistema de gestión de bases de datos Adabas al lenguaje de programación Java y al sistema de gestión de bases de datos Oracle, lo que comprende la introducción de una herramienta moderna de gestión de actividades</w:t>
      </w:r>
      <w:r w:rsidR="004F7E6D">
        <w:t xml:space="preserve">  (</w:t>
      </w:r>
      <w:r w:rsidR="004F7E6D" w:rsidRPr="002C31EA">
        <w:rPr>
          <w:i/>
        </w:rPr>
        <w:t xml:space="preserve">Business </w:t>
      </w:r>
      <w:proofErr w:type="spellStart"/>
      <w:r w:rsidR="004F7E6D" w:rsidRPr="002C31EA">
        <w:rPr>
          <w:i/>
        </w:rPr>
        <w:t>Process</w:t>
      </w:r>
      <w:proofErr w:type="spellEnd"/>
      <w:r w:rsidR="004F7E6D" w:rsidRPr="002C31EA">
        <w:rPr>
          <w:i/>
        </w:rPr>
        <w:t xml:space="preserve"> Management</w:t>
      </w:r>
      <w:r w:rsidR="004F7E6D">
        <w:t>, BPM)</w:t>
      </w:r>
      <w:r w:rsidR="00C55B18" w:rsidRPr="00582420">
        <w:t>.</w:t>
      </w:r>
      <w:r w:rsidR="00CA5FB5" w:rsidRPr="00582420">
        <w:t xml:space="preserve">  Con esa migración se evitará el riesgo de que la infraestructura actual quede obsoleta.</w:t>
      </w:r>
    </w:p>
    <w:p w:rsidR="00AD446E" w:rsidRPr="00582420" w:rsidRDefault="00AD446E" w:rsidP="00AD446E"/>
    <w:p w:rsidR="00096154" w:rsidRPr="00582420" w:rsidRDefault="00CA5FB5" w:rsidP="007757AA">
      <w:pPr>
        <w:pStyle w:val="Heading1"/>
        <w:rPr>
          <w:szCs w:val="22"/>
        </w:rPr>
      </w:pPr>
      <w:r w:rsidRPr="00582420">
        <w:rPr>
          <w:szCs w:val="22"/>
        </w:rPr>
        <w:t>FASE</w:t>
      </w:r>
      <w:r w:rsidR="00AD446E" w:rsidRPr="00582420">
        <w:rPr>
          <w:szCs w:val="22"/>
        </w:rPr>
        <w:t xml:space="preserve"> II – </w:t>
      </w:r>
      <w:r w:rsidRPr="00582420">
        <w:rPr>
          <w:szCs w:val="22"/>
        </w:rPr>
        <w:t>RESULTADOS LOGRADOS</w:t>
      </w:r>
    </w:p>
    <w:p w:rsidR="00AD446E" w:rsidRPr="00582420" w:rsidRDefault="00AD446E" w:rsidP="00AD446E"/>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CA5FB5" w:rsidRPr="00582420">
        <w:t>A raíz de la finalización</w:t>
      </w:r>
      <w:r w:rsidR="00D06B1E" w:rsidRPr="00582420">
        <w:t xml:space="preserve"> satisfactoria</w:t>
      </w:r>
      <w:r w:rsidR="00CA5FB5" w:rsidRPr="00582420">
        <w:t xml:space="preserve"> de las etapa</w:t>
      </w:r>
      <w:r w:rsidR="00582420" w:rsidRPr="00582420">
        <w:t>s 1</w:t>
      </w:r>
      <w:r w:rsidR="00CA5FB5" w:rsidRPr="00582420">
        <w:t xml:space="preserve">, 2 </w:t>
      </w:r>
      <w:r w:rsidR="00582420" w:rsidRPr="00582420">
        <w:t>y 3</w:t>
      </w:r>
      <w:r w:rsidR="00CA5FB5" w:rsidRPr="00582420">
        <w:t xml:space="preserve"> </w:t>
      </w:r>
      <w:r w:rsidR="000A3B93" w:rsidRPr="00582420">
        <w:t>de la</w:t>
      </w:r>
      <w:r w:rsidR="00CA5FB5" w:rsidRPr="00582420">
        <w:t xml:space="preserve"> fase II (</w:t>
      </w:r>
      <w:r w:rsidR="000A3B93" w:rsidRPr="00582420">
        <w:t xml:space="preserve">etapas de </w:t>
      </w:r>
      <w:r w:rsidR="00CA5FB5" w:rsidRPr="00582420">
        <w:t xml:space="preserve">análisis, diseño y aplicación experimental), el socio externo de T.I. seleccionado </w:t>
      </w:r>
      <w:r w:rsidR="000A3B93" w:rsidRPr="00582420">
        <w:t>llevó a cabo</w:t>
      </w:r>
      <w:r w:rsidR="00CA5FB5" w:rsidRPr="00582420">
        <w:t xml:space="preserve"> la primera </w:t>
      </w:r>
      <w:r w:rsidR="000B58AE" w:rsidRPr="00582420">
        <w:t>etapa</w:t>
      </w:r>
      <w:r w:rsidR="00D06B1E" w:rsidRPr="00582420">
        <w:t xml:space="preserve"> de la conversión técnica del programa informático existente del </w:t>
      </w:r>
      <w:r w:rsidR="00841484" w:rsidRPr="00582420">
        <w:t>S</w:t>
      </w:r>
      <w:r w:rsidR="00D06B1E" w:rsidRPr="00582420">
        <w:t xml:space="preserve">istema </w:t>
      </w:r>
      <w:r w:rsidR="000A3B93" w:rsidRPr="00582420">
        <w:t xml:space="preserve">del Arreglo y del Protocolo de Madrid </w:t>
      </w:r>
      <w:r w:rsidR="00D06B1E" w:rsidRPr="00582420">
        <w:t>a lo largo d</w:t>
      </w:r>
      <w:r w:rsidR="00582420" w:rsidRPr="00582420">
        <w:t>e 2</w:t>
      </w:r>
      <w:r w:rsidR="00D06B1E" w:rsidRPr="00582420">
        <w:t>013</w:t>
      </w:r>
      <w:r w:rsidR="00CA5FB5" w:rsidRPr="00582420">
        <w:t>.</w:t>
      </w:r>
    </w:p>
    <w:p w:rsidR="00AD446E" w:rsidRPr="00582420" w:rsidRDefault="00AD446E" w:rsidP="00AD446E"/>
    <w:p w:rsidR="0033576F" w:rsidRPr="00582420" w:rsidRDefault="00AD446E" w:rsidP="00AD446E">
      <w:r w:rsidRPr="00582420">
        <w:fldChar w:fldCharType="begin"/>
      </w:r>
      <w:r w:rsidRPr="00582420">
        <w:instrText xml:space="preserve"> AUTONUM  </w:instrText>
      </w:r>
      <w:r w:rsidRPr="00582420">
        <w:fldChar w:fldCharType="end"/>
      </w:r>
      <w:r w:rsidRPr="00582420">
        <w:tab/>
      </w:r>
      <w:r w:rsidR="004D0CB7" w:rsidRPr="00582420">
        <w:t xml:space="preserve">Tras la </w:t>
      </w:r>
      <w:r w:rsidR="002F6D80" w:rsidRPr="00582420">
        <w:t>conversión</w:t>
      </w:r>
      <w:r w:rsidR="004D0CB7" w:rsidRPr="00582420">
        <w:t xml:space="preserve"> técnica, la </w:t>
      </w:r>
      <w:r w:rsidR="000A3B93" w:rsidRPr="00582420">
        <w:t>primera</w:t>
      </w:r>
      <w:r w:rsidR="004D0CB7" w:rsidRPr="00582420">
        <w:t xml:space="preserve"> versión</w:t>
      </w:r>
      <w:r w:rsidR="000A3B93" w:rsidRPr="00582420">
        <w:t xml:space="preserve"> importante</w:t>
      </w:r>
      <w:r w:rsidR="004D0CB7" w:rsidRPr="00582420">
        <w:t>, llam</w:t>
      </w:r>
      <w:r w:rsidR="000A3B93" w:rsidRPr="00582420">
        <w:t>ada Bet</w:t>
      </w:r>
      <w:r w:rsidR="00582420" w:rsidRPr="00582420">
        <w:t>a 1</w:t>
      </w:r>
      <w:r w:rsidR="000A3B93" w:rsidRPr="00582420">
        <w:t>, del rebautizado Sistema de Información de los Registros Internacionales – Madrid (por sus sigla en inglés “MIRIS”)</w:t>
      </w:r>
      <w:r w:rsidR="004D0CB7" w:rsidRPr="00582420">
        <w:t xml:space="preserve"> se instaló en la Oficina Internacional e</w:t>
      </w:r>
      <w:r w:rsidR="00582420" w:rsidRPr="00582420">
        <w:t>l 1</w:t>
      </w:r>
      <w:r w:rsidR="004D0CB7" w:rsidRPr="00582420">
        <w:t>7 de enero d</w:t>
      </w:r>
      <w:r w:rsidR="00582420" w:rsidRPr="00582420">
        <w:t>e 2</w:t>
      </w:r>
      <w:r w:rsidR="004D0CB7" w:rsidRPr="00582420">
        <w:t>014.  La versión Bet</w:t>
      </w:r>
      <w:r w:rsidR="00582420" w:rsidRPr="00582420">
        <w:t>a 1</w:t>
      </w:r>
      <w:r w:rsidR="004D0CB7" w:rsidRPr="00582420">
        <w:t xml:space="preserve"> de</w:t>
      </w:r>
      <w:r w:rsidR="002F6D80" w:rsidRPr="00582420">
        <w:t>l sistema</w:t>
      </w:r>
      <w:r w:rsidR="004D0CB7" w:rsidRPr="00582420">
        <w:t xml:space="preserve"> MIRIS fue objeto inmediatamente de una fase de pruebas del sistema llevada a cabo por el equipo del proyecto con la finalidad de detectar </w:t>
      </w:r>
      <w:r w:rsidR="00DC7A68" w:rsidRPr="00582420">
        <w:t>los defectos</w:t>
      </w:r>
      <w:r w:rsidR="004D0CB7" w:rsidRPr="00582420">
        <w:t xml:space="preserve"> y </w:t>
      </w:r>
      <w:r w:rsidR="00DC7A68" w:rsidRPr="00582420">
        <w:t>problemas de funcionamiento del programa informático que pudiera haber inicialmente.  Una vez h</w:t>
      </w:r>
      <w:r w:rsidR="0069440F" w:rsidRPr="00582420">
        <w:t xml:space="preserve">echo esto, </w:t>
      </w:r>
      <w:r w:rsidR="00BD1D58" w:rsidRPr="00582420">
        <w:t xml:space="preserve">durante los dos primeros trimestres del mismo año </w:t>
      </w:r>
      <w:r w:rsidR="0069440F" w:rsidRPr="00582420">
        <w:t>se instalaron varias modificaciones para la rectificación de errores y la mejora del funcionamiento</w:t>
      </w:r>
      <w:r w:rsidR="000A3B93" w:rsidRPr="00582420">
        <w:t xml:space="preserve"> del sistema</w:t>
      </w:r>
      <w:r w:rsidR="0069440F" w:rsidRPr="00582420">
        <w:t xml:space="preserve"> en la Oficina Internacional</w:t>
      </w:r>
      <w:r w:rsidR="0033576F" w:rsidRPr="00582420">
        <w:t>.</w:t>
      </w:r>
    </w:p>
    <w:p w:rsidR="00AD446E" w:rsidRPr="00582420" w:rsidRDefault="00AD446E" w:rsidP="00AD446E"/>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0A3B93" w:rsidRPr="00582420">
        <w:t>E</w:t>
      </w:r>
      <w:r w:rsidR="00582420" w:rsidRPr="00582420">
        <w:t>l 1</w:t>
      </w:r>
      <w:r w:rsidR="000A3B93" w:rsidRPr="00582420">
        <w:t>7 de marzo d</w:t>
      </w:r>
      <w:r w:rsidR="00582420" w:rsidRPr="00582420">
        <w:t>e 2</w:t>
      </w:r>
      <w:r w:rsidR="000A3B93" w:rsidRPr="00582420">
        <w:t>014 s</w:t>
      </w:r>
      <w:r w:rsidR="00FA386C" w:rsidRPr="00582420">
        <w:t xml:space="preserve">e organizó un importante </w:t>
      </w:r>
      <w:r w:rsidR="003874A2" w:rsidRPr="00582420">
        <w:t>acto</w:t>
      </w:r>
      <w:r w:rsidR="00FA386C" w:rsidRPr="00582420">
        <w:t xml:space="preserve"> para presentar </w:t>
      </w:r>
      <w:r w:rsidR="000A3B93" w:rsidRPr="00582420">
        <w:t>a los usuarios del Sistema de Madrid</w:t>
      </w:r>
      <w:r w:rsidR="00FA386C" w:rsidRPr="00582420">
        <w:t xml:space="preserve"> la versión preliminar Bet</w:t>
      </w:r>
      <w:r w:rsidR="00582420" w:rsidRPr="00582420">
        <w:t>a 1</w:t>
      </w:r>
      <w:r w:rsidR="00FA386C" w:rsidRPr="00582420">
        <w:t xml:space="preserve"> de</w:t>
      </w:r>
      <w:r w:rsidR="000A3B93" w:rsidRPr="00582420">
        <w:t>l sistema</w:t>
      </w:r>
      <w:r w:rsidR="00FA386C" w:rsidRPr="00582420">
        <w:t xml:space="preserve"> MIRIS. </w:t>
      </w:r>
      <w:r w:rsidR="004A2DA6" w:rsidRPr="00582420">
        <w:t xml:space="preserve"> </w:t>
      </w:r>
      <w:r w:rsidR="00FA386C" w:rsidRPr="00582420">
        <w:t xml:space="preserve">Con este acto se pretendía compartir conocimientos y garantizar a </w:t>
      </w:r>
      <w:r w:rsidR="000A3B93" w:rsidRPr="00582420">
        <w:t>los</w:t>
      </w:r>
      <w:r w:rsidR="00FA386C" w:rsidRPr="00582420">
        <w:t xml:space="preserve"> usuarios finales que el sistema MIRIS, que estará en funcionamiento en breve, es similar al </w:t>
      </w:r>
      <w:r w:rsidR="00841484" w:rsidRPr="00582420">
        <w:t>S</w:t>
      </w:r>
      <w:r w:rsidR="000A3B93" w:rsidRPr="00582420">
        <w:t xml:space="preserve">istema del Arreglo y del Protocolo de Madrid </w:t>
      </w:r>
      <w:r w:rsidR="00FA386C" w:rsidRPr="00582420">
        <w:t xml:space="preserve">existente en lo tocante a sus funcionalidades y su utilización por parte de </w:t>
      </w:r>
      <w:r w:rsidR="00BD1D58" w:rsidRPr="00582420">
        <w:t>los</w:t>
      </w:r>
      <w:r w:rsidR="00FA386C" w:rsidRPr="00582420">
        <w:t xml:space="preserve"> usuarios, lo que, por consiguiente, redundará en un menor tiempo de</w:t>
      </w:r>
      <w:r w:rsidR="00BD1D58" w:rsidRPr="00582420">
        <w:t xml:space="preserve"> aprendizaje y</w:t>
      </w:r>
      <w:r w:rsidR="00FA386C" w:rsidRPr="00582420">
        <w:t xml:space="preserve"> adaptación de los usuarios finales al nuevo sistema </w:t>
      </w:r>
      <w:r w:rsidR="00BD1D58" w:rsidRPr="00582420">
        <w:t>y</w:t>
      </w:r>
      <w:r w:rsidR="00FA386C" w:rsidRPr="00582420">
        <w:t>, al mismo tiempo,</w:t>
      </w:r>
      <w:r w:rsidR="00BD1D58" w:rsidRPr="00582420">
        <w:t xml:space="preserve"> permitirá mantener</w:t>
      </w:r>
      <w:r w:rsidR="00FA386C" w:rsidRPr="00582420">
        <w:t xml:space="preserve"> la productividad de estos</w:t>
      </w:r>
      <w:r w:rsidRPr="00582420">
        <w:t>.</w:t>
      </w:r>
    </w:p>
    <w:p w:rsidR="008B42C3" w:rsidRPr="00582420" w:rsidRDefault="008B42C3" w:rsidP="00AD446E"/>
    <w:p w:rsidR="00AD446E" w:rsidRPr="00582420" w:rsidRDefault="00AD446E" w:rsidP="00AD446E">
      <w:r w:rsidRPr="00582420">
        <w:lastRenderedPageBreak/>
        <w:fldChar w:fldCharType="begin"/>
      </w:r>
      <w:r w:rsidRPr="00582420">
        <w:instrText xml:space="preserve"> AUTONUM  </w:instrText>
      </w:r>
      <w:r w:rsidRPr="00582420">
        <w:fldChar w:fldCharType="end"/>
      </w:r>
      <w:r w:rsidRPr="00582420">
        <w:tab/>
      </w:r>
      <w:r w:rsidR="002F037C">
        <w:t>Desde el 13 de enero de 2014 se cuenta con un probador profesional de programas informáticos, que ha sido contratado para 1) reforzar las capacidades en materia de pruebas del sistema y ensayos del uso por los usuarios, 2) racionalizar y automatizar los casos de prueba y 3) completar la instalación del conjunto recomendado de herramientas de pruebas automatizadas.</w:t>
      </w:r>
      <w:r w:rsidR="00A51DB3" w:rsidRPr="00582420">
        <w:t xml:space="preserve">  Se necesita una </w:t>
      </w:r>
      <w:r w:rsidR="002D7574" w:rsidRPr="00582420">
        <w:t>campaña</w:t>
      </w:r>
      <w:r w:rsidR="00A51DB3" w:rsidRPr="00582420">
        <w:t xml:space="preserve"> amplia de pruebas del</w:t>
      </w:r>
      <w:r w:rsidR="002F6D80" w:rsidRPr="00582420">
        <w:t xml:space="preserve"> sistema</w:t>
      </w:r>
      <w:r w:rsidR="00A51DB3" w:rsidRPr="00582420">
        <w:t xml:space="preserve"> MIRIS</w:t>
      </w:r>
      <w:r w:rsidR="002D7574" w:rsidRPr="00582420">
        <w:t>, que se llevará a cabo con la ayuda de</w:t>
      </w:r>
      <w:r w:rsidR="00A51DB3" w:rsidRPr="00582420">
        <w:t xml:space="preserve"> herramientas de pruebas automatizadas, </w:t>
      </w:r>
      <w:r w:rsidR="002D7574" w:rsidRPr="00582420">
        <w:t>con lo que se obtendrán</w:t>
      </w:r>
      <w:r w:rsidR="00A51DB3" w:rsidRPr="00582420">
        <w:t xml:space="preserve"> pruebas objetiv</w:t>
      </w:r>
      <w:r w:rsidR="002D7574" w:rsidRPr="00582420">
        <w:t>a</w:t>
      </w:r>
      <w:r w:rsidR="00A51DB3" w:rsidRPr="00582420">
        <w:t xml:space="preserve">s de los resultados de esas comprobaciones y </w:t>
      </w:r>
      <w:r w:rsidR="002D7574" w:rsidRPr="00582420">
        <w:t>se evaluará</w:t>
      </w:r>
      <w:r w:rsidR="00A51DB3" w:rsidRPr="00582420">
        <w:t xml:space="preserve"> la cobertura del sistema MIRIS</w:t>
      </w:r>
      <w:r w:rsidR="00803951" w:rsidRPr="00582420">
        <w:t>.</w:t>
      </w:r>
      <w:r w:rsidR="00A51DB3" w:rsidRPr="00582420">
        <w:t xml:space="preserve">  Actualmente, </w:t>
      </w:r>
      <w:r w:rsidR="004655A5" w:rsidRPr="00582420">
        <w:t>están en curso</w:t>
      </w:r>
      <w:r w:rsidR="00A51DB3" w:rsidRPr="00582420">
        <w:t xml:space="preserve"> más d</w:t>
      </w:r>
      <w:r w:rsidR="00582420" w:rsidRPr="00582420">
        <w:t>e 5</w:t>
      </w:r>
      <w:r w:rsidR="00A51DB3" w:rsidRPr="00582420">
        <w:t>00 casos de prueba con arreglo a un ciclo d</w:t>
      </w:r>
      <w:r w:rsidR="00582420" w:rsidRPr="00582420">
        <w:t>e 2</w:t>
      </w:r>
      <w:r w:rsidR="00A51DB3" w:rsidRPr="00582420">
        <w:t>4 horas durante lo</w:t>
      </w:r>
      <w:r w:rsidR="00582420" w:rsidRPr="00582420">
        <w:t>s 7</w:t>
      </w:r>
      <w:r w:rsidR="00A51DB3" w:rsidRPr="00582420">
        <w:t xml:space="preserve"> días de la semana</w:t>
      </w:r>
      <w:r w:rsidR="002D7574" w:rsidRPr="00582420">
        <w:t>, para lo que se emplean</w:t>
      </w:r>
      <w:r w:rsidR="00A51DB3" w:rsidRPr="00582420">
        <w:t xml:space="preserve"> herramientas informáticas computerizadas que simulan la interacción de los usuarios finales con el nuevo sistema MIRIS.  Ese conjunto de herramientas d</w:t>
      </w:r>
      <w:r w:rsidR="00BD1D58" w:rsidRPr="00582420">
        <w:t>e pruebas automatizadas permite</w:t>
      </w:r>
      <w:r w:rsidR="00A51DB3" w:rsidRPr="00582420">
        <w:t xml:space="preserve"> </w:t>
      </w:r>
      <w:r w:rsidR="00D020BE" w:rsidRPr="00582420">
        <w:t xml:space="preserve">efectuar pruebas por regresión de los programas informáticos sin intervención de las personas y, por consiguiente, sin costo financiero alguno, </w:t>
      </w:r>
      <w:r w:rsidR="003D080E" w:rsidRPr="00582420">
        <w:t xml:space="preserve">y también posibilitan la detección, </w:t>
      </w:r>
      <w:r w:rsidR="00D020BE" w:rsidRPr="00582420">
        <w:t>en una etapa temprana</w:t>
      </w:r>
      <w:r w:rsidR="003D080E" w:rsidRPr="00582420">
        <w:t>, de</w:t>
      </w:r>
      <w:r w:rsidR="00D020BE" w:rsidRPr="00582420">
        <w:t xml:space="preserve"> todos aquellos defectos nuevos en los programas informáticos que no se observaron en versiones de </w:t>
      </w:r>
      <w:r w:rsidR="00BD1D58" w:rsidRPr="00582420">
        <w:t>esos programas</w:t>
      </w:r>
      <w:r w:rsidR="00D020BE" w:rsidRPr="00582420">
        <w:t xml:space="preserve"> </w:t>
      </w:r>
      <w:r w:rsidR="000F1056" w:rsidRPr="00582420">
        <w:t>aceptadas previamente</w:t>
      </w:r>
      <w:r w:rsidR="00D020BE" w:rsidRPr="00582420">
        <w:t>.</w:t>
      </w:r>
      <w:r w:rsidR="00ED0521" w:rsidRPr="00582420">
        <w:t xml:space="preserve">  Habida cuenta de que lo</w:t>
      </w:r>
      <w:r w:rsidR="00582420" w:rsidRPr="00582420">
        <w:t>s 5</w:t>
      </w:r>
      <w:r w:rsidR="00ED0521" w:rsidRPr="00582420">
        <w:t>00 casos de prueba que están en curso representan solo u</w:t>
      </w:r>
      <w:r w:rsidR="00582420" w:rsidRPr="00582420">
        <w:t>n 4</w:t>
      </w:r>
      <w:r w:rsidR="00ED0521" w:rsidRPr="00582420">
        <w:t>0% aproximadamente de las</w:t>
      </w:r>
      <w:r w:rsidR="00945426" w:rsidRPr="00582420">
        <w:t xml:space="preserve"> posibles</w:t>
      </w:r>
      <w:r w:rsidR="00ED0521" w:rsidRPr="00582420">
        <w:t xml:space="preserve"> situaciones </w:t>
      </w:r>
      <w:r w:rsidR="00945426" w:rsidRPr="00582420">
        <w:t xml:space="preserve">de uso, será necesario que aumente considerablemente el número de casos de prueba, lo que comprenderá la adición de situaciones hipotéticas más complejas, antes de que el sistema MIRIS comience a funcionar.  Será importante efectuar un seguimiento de cómo se comporta el sistema MIRIS </w:t>
      </w:r>
      <w:r w:rsidR="004655A5" w:rsidRPr="00582420">
        <w:t>en</w:t>
      </w:r>
      <w:r w:rsidR="00945426" w:rsidRPr="00582420">
        <w:t xml:space="preserve"> las pruebas realizadas </w:t>
      </w:r>
      <w:r w:rsidR="004655A5" w:rsidRPr="00582420">
        <w:t>en</w:t>
      </w:r>
      <w:r w:rsidR="00945426" w:rsidRPr="00582420">
        <w:t xml:space="preserve"> estas situaciones hipotéticas antes de poder adoptar una decisión definitiva sobre </w:t>
      </w:r>
      <w:r w:rsidR="003E1DD0" w:rsidRPr="00582420">
        <w:t>su puesta</w:t>
      </w:r>
      <w:r w:rsidR="00FD0C4E" w:rsidRPr="00582420">
        <w:t xml:space="preserve"> en funcionamiento.  La </w:t>
      </w:r>
      <w:r w:rsidR="003D080E" w:rsidRPr="00582420">
        <w:t xml:space="preserve">limitada </w:t>
      </w:r>
      <w:r w:rsidR="00FD0C4E" w:rsidRPr="00582420">
        <w:t xml:space="preserve">experiencia </w:t>
      </w:r>
      <w:r w:rsidR="003D080E" w:rsidRPr="00582420">
        <w:t>acumulada a lo largo del tiempo por</w:t>
      </w:r>
      <w:r w:rsidR="00FD0C4E" w:rsidRPr="00582420">
        <w:t xml:space="preserve"> el personal examinador del Sistema de Madrid </w:t>
      </w:r>
      <w:r w:rsidR="004655A5" w:rsidRPr="00582420">
        <w:t>en materia de</w:t>
      </w:r>
      <w:r w:rsidR="00FD0C4E" w:rsidRPr="00582420">
        <w:t xml:space="preserve"> </w:t>
      </w:r>
      <w:r w:rsidR="00044075" w:rsidRPr="00582420">
        <w:t>concepción</w:t>
      </w:r>
      <w:r w:rsidR="00FD0C4E" w:rsidRPr="00582420">
        <w:t xml:space="preserve"> de </w:t>
      </w:r>
      <w:r w:rsidR="009E3737" w:rsidRPr="00582420">
        <w:t xml:space="preserve">situaciones hipotéticas de uso completas y generales </w:t>
      </w:r>
      <w:r w:rsidR="004655A5" w:rsidRPr="00582420">
        <w:t xml:space="preserve">se traduce en una mayor complejidad de este </w:t>
      </w:r>
      <w:r w:rsidR="003D080E" w:rsidRPr="00582420">
        <w:t>desafío.</w:t>
      </w:r>
    </w:p>
    <w:p w:rsidR="00AD446E" w:rsidRPr="00582420" w:rsidRDefault="00AD446E" w:rsidP="00AD446E"/>
    <w:p w:rsidR="0077649A" w:rsidRPr="00582420" w:rsidRDefault="0077649A" w:rsidP="00AD446E">
      <w:pPr>
        <w:pStyle w:val="Heading1"/>
        <w:rPr>
          <w:szCs w:val="22"/>
        </w:rPr>
      </w:pPr>
      <w:r w:rsidRPr="00582420">
        <w:rPr>
          <w:szCs w:val="22"/>
        </w:rPr>
        <w:t>FASE</w:t>
      </w:r>
      <w:r w:rsidR="00AD446E" w:rsidRPr="00582420">
        <w:rPr>
          <w:szCs w:val="22"/>
        </w:rPr>
        <w:t xml:space="preserve"> II – </w:t>
      </w:r>
      <w:r w:rsidRPr="00582420">
        <w:rPr>
          <w:szCs w:val="22"/>
        </w:rPr>
        <w:t>PLAN DE ALTO NIVEL PARA EL PROYECTO Y CAMINO A SEGUIR PARA LA PUESTA EN FUNCIONAMIENTO DEL SISTEMA MIRIS:  GOBERNANZA, GESTIÓN DE RIESGOS Y CONTROL DE CALIDAD</w:t>
      </w:r>
    </w:p>
    <w:p w:rsidR="00AD446E" w:rsidRPr="00582420" w:rsidRDefault="00AD446E" w:rsidP="00AD446E"/>
    <w:p w:rsidR="0033576F" w:rsidRPr="00582420" w:rsidRDefault="00AD446E" w:rsidP="00AD446E">
      <w:r w:rsidRPr="00582420">
        <w:fldChar w:fldCharType="begin"/>
      </w:r>
      <w:r w:rsidRPr="00582420">
        <w:instrText xml:space="preserve"> AUTONUM  </w:instrText>
      </w:r>
      <w:r w:rsidRPr="00582420">
        <w:fldChar w:fldCharType="end"/>
      </w:r>
      <w:r w:rsidRPr="00582420">
        <w:tab/>
      </w:r>
      <w:r w:rsidR="00BB4FFE" w:rsidRPr="00582420">
        <w:t>No cabe duda de que t</w:t>
      </w:r>
      <w:r w:rsidR="00836F27" w:rsidRPr="00582420">
        <w:t>ransformar un sistema informático concebido en</w:t>
      </w:r>
      <w:r w:rsidR="00044075" w:rsidRPr="00582420">
        <w:t xml:space="preserve"> el seno de</w:t>
      </w:r>
      <w:r w:rsidR="00836F27" w:rsidRPr="00582420">
        <w:t xml:space="preserve"> la propia organización, que cuenta con más d</w:t>
      </w:r>
      <w:r w:rsidR="00582420" w:rsidRPr="00582420">
        <w:t>e 6</w:t>
      </w:r>
      <w:r w:rsidR="00836F27" w:rsidRPr="00582420">
        <w:t xml:space="preserve">.000 programas y dos millones de líneas de código de lenguaje Natural, en </w:t>
      </w:r>
      <w:r w:rsidR="00BB4FFE" w:rsidRPr="00582420">
        <w:t>un entorno Oracle</w:t>
      </w:r>
      <w:r w:rsidR="00187156" w:rsidRPr="00582420">
        <w:t>, de nueva creación,</w:t>
      </w:r>
      <w:r w:rsidR="00BB4FFE" w:rsidRPr="00582420">
        <w:t xml:space="preserve"> de arquitectura orientada a </w:t>
      </w:r>
      <w:r w:rsidR="00187156" w:rsidRPr="00582420">
        <w:t xml:space="preserve">la prestación de </w:t>
      </w:r>
      <w:r w:rsidR="00BB4FFE" w:rsidRPr="00582420">
        <w:t>servicios con lenguaje de programación Java</w:t>
      </w:r>
      <w:r w:rsidR="00187156" w:rsidRPr="00582420">
        <w:t xml:space="preserve"> y</w:t>
      </w:r>
      <w:r w:rsidR="00BB4FFE" w:rsidRPr="00582420">
        <w:t xml:space="preserve"> un moderno motor de flujo de trabajo para la gestión de </w:t>
      </w:r>
      <w:r w:rsidR="00187156" w:rsidRPr="00582420">
        <w:t xml:space="preserve">las </w:t>
      </w:r>
      <w:r w:rsidR="00BB4FFE" w:rsidRPr="00582420">
        <w:t xml:space="preserve">actividades, es una tarea ingente.  </w:t>
      </w:r>
      <w:r w:rsidR="009621A4" w:rsidRPr="00582420">
        <w:t xml:space="preserve">Por consiguiente, reviste suma importancia para la Oficina Internacional que el nuevo sistema MIRIS sea sometido a pruebas </w:t>
      </w:r>
      <w:r w:rsidR="00187156" w:rsidRPr="00582420">
        <w:t>completas</w:t>
      </w:r>
      <w:r w:rsidR="009621A4" w:rsidRPr="00582420">
        <w:t xml:space="preserve"> antes de </w:t>
      </w:r>
      <w:r w:rsidR="00187156" w:rsidRPr="00582420">
        <w:t xml:space="preserve">su </w:t>
      </w:r>
      <w:r w:rsidR="009621A4" w:rsidRPr="00582420">
        <w:t xml:space="preserve">puesta en funcionamiento, de manera que se evite el riesgo de obstaculizar la misión de la Oficina Internacional de prestar servicios de registro y administración de las marcas internacionales a los usuarios de las Partes Contratantes.  Por este motivo, y conforme al enfoque de puesta en funcionamiento por etapas de la metodología de gestión del proyecto PRINCE2, se espera que las versiones siguientes se integren gradualmente y completen la conversión </w:t>
      </w:r>
      <w:r w:rsidR="00B91FEE" w:rsidRPr="00582420">
        <w:t xml:space="preserve">de los sistemas </w:t>
      </w:r>
      <w:r w:rsidR="00187156" w:rsidRPr="00582420">
        <w:t>existentes</w:t>
      </w:r>
      <w:r w:rsidR="00B91FEE" w:rsidRPr="00582420">
        <w:t>:  versión Bet</w:t>
      </w:r>
      <w:r w:rsidR="00582420" w:rsidRPr="00582420">
        <w:t>a 2</w:t>
      </w:r>
      <w:r w:rsidR="00B91FEE" w:rsidRPr="00582420">
        <w:t xml:space="preserve"> del sistema MIRIS, </w:t>
      </w:r>
      <w:r w:rsidR="00187156" w:rsidRPr="00582420">
        <w:t>versión “Candidate” del sistema MIRIS</w:t>
      </w:r>
      <w:r w:rsidR="00B91FEE" w:rsidRPr="00582420">
        <w:t>, versión final de</w:t>
      </w:r>
      <w:r w:rsidR="00187156" w:rsidRPr="00582420">
        <w:t>l sistema</w:t>
      </w:r>
      <w:r w:rsidR="00B91FEE" w:rsidRPr="00582420">
        <w:t xml:space="preserve"> MIRIS y </w:t>
      </w:r>
      <w:r w:rsidR="00187156" w:rsidRPr="00582420">
        <w:t>versió</w:t>
      </w:r>
      <w:r w:rsidR="00582420" w:rsidRPr="00582420">
        <w:t>n 1</w:t>
      </w:r>
      <w:r w:rsidR="00B91FEE" w:rsidRPr="00582420">
        <w:t>.0</w:t>
      </w:r>
      <w:r w:rsidR="00187156" w:rsidRPr="00582420">
        <w:t xml:space="preserve"> del sistema MIRIS</w:t>
      </w:r>
      <w:r w:rsidR="00044075" w:rsidRPr="00582420">
        <w:t xml:space="preserve">.  Está previsto poner en </w:t>
      </w:r>
      <w:r w:rsidR="00B91FEE" w:rsidRPr="00582420">
        <w:t>funcionamiento la versión Bet</w:t>
      </w:r>
      <w:r w:rsidR="00582420" w:rsidRPr="00582420">
        <w:t>a 2</w:t>
      </w:r>
      <w:r w:rsidR="00B91FEE" w:rsidRPr="00582420">
        <w:t xml:space="preserve"> de</w:t>
      </w:r>
      <w:r w:rsidR="00187156" w:rsidRPr="00582420">
        <w:t>l sistema</w:t>
      </w:r>
      <w:r w:rsidR="00B91FEE" w:rsidRPr="00582420">
        <w:t xml:space="preserve"> MIRIS </w:t>
      </w:r>
      <w:r w:rsidR="00044075" w:rsidRPr="00582420">
        <w:t>a</w:t>
      </w:r>
      <w:r w:rsidR="00B91FEE" w:rsidRPr="00582420">
        <w:t xml:space="preserve"> finales de junio d</w:t>
      </w:r>
      <w:r w:rsidR="00582420" w:rsidRPr="00582420">
        <w:t>e 2</w:t>
      </w:r>
      <w:r w:rsidR="00B91FEE" w:rsidRPr="00582420">
        <w:t xml:space="preserve">014, y será con esta versión del sistema con la que podrán iniciarse las pruebas completas del sistema y </w:t>
      </w:r>
      <w:r w:rsidR="00187156" w:rsidRPr="00582420">
        <w:t>ensayar su</w:t>
      </w:r>
      <w:r w:rsidR="00B91FEE" w:rsidRPr="00582420">
        <w:t xml:space="preserve"> utilización por</w:t>
      </w:r>
      <w:r w:rsidR="00044075" w:rsidRPr="00582420">
        <w:t xml:space="preserve"> los</w:t>
      </w:r>
      <w:r w:rsidR="00B91FEE" w:rsidRPr="00582420">
        <w:t xml:space="preserve"> usuarios;  </w:t>
      </w:r>
      <w:r w:rsidR="00187156" w:rsidRPr="00582420">
        <w:t>más adelante</w:t>
      </w:r>
      <w:r w:rsidR="00B91FEE" w:rsidRPr="00582420">
        <w:t xml:space="preserve">, se someterá cada una de las versiones ulteriores a los mismos criterios de aceptación, que han sido reforzados para que sean </w:t>
      </w:r>
      <w:r w:rsidR="00BD1D58" w:rsidRPr="00582420">
        <w:t>igual de</w:t>
      </w:r>
      <w:r w:rsidR="00B91FEE" w:rsidRPr="00582420">
        <w:t xml:space="preserve"> rigurosos</w:t>
      </w:r>
      <w:r w:rsidR="0033576F" w:rsidRPr="00582420">
        <w:t>.</w:t>
      </w:r>
    </w:p>
    <w:p w:rsidR="00AD446E" w:rsidRPr="00582420" w:rsidRDefault="00AD446E" w:rsidP="00AD446E"/>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2C6FB4" w:rsidRPr="00582420">
        <w:t xml:space="preserve">Los </w:t>
      </w:r>
      <w:r w:rsidR="00566FEF">
        <w:t xml:space="preserve">desafíos </w:t>
      </w:r>
      <w:r w:rsidR="002C6FB4" w:rsidRPr="00582420">
        <w:t xml:space="preserve">que se </w:t>
      </w:r>
      <w:r w:rsidR="00566FEF">
        <w:t>plantearon en el marco</w:t>
      </w:r>
      <w:r w:rsidR="002C6FB4" w:rsidRPr="00582420">
        <w:t xml:space="preserve"> </w:t>
      </w:r>
      <w:r w:rsidR="00566FEF">
        <w:t>d</w:t>
      </w:r>
      <w:r w:rsidR="002C6FB4" w:rsidRPr="00582420">
        <w:t>el Registro de Madrid cuando</w:t>
      </w:r>
      <w:r w:rsidR="00044075" w:rsidRPr="00582420">
        <w:t xml:space="preserve"> </w:t>
      </w:r>
      <w:r w:rsidR="00187156" w:rsidRPr="00582420">
        <w:t xml:space="preserve">comenzó </w:t>
      </w:r>
      <w:r w:rsidR="002C6FB4" w:rsidRPr="00582420">
        <w:t xml:space="preserve">el programa de modernización de las </w:t>
      </w:r>
      <w:r w:rsidR="00440095">
        <w:t xml:space="preserve">T.I. en 2008 </w:t>
      </w:r>
      <w:r w:rsidR="002C6FB4" w:rsidRPr="00582420">
        <w:t xml:space="preserve">son </w:t>
      </w:r>
      <w:r w:rsidR="00440095">
        <w:t xml:space="preserve">fundamentalmente distintos </w:t>
      </w:r>
      <w:r w:rsidR="002C6FB4" w:rsidRPr="00582420">
        <w:t xml:space="preserve">de </w:t>
      </w:r>
      <w:r w:rsidR="00187156" w:rsidRPr="00582420">
        <w:t>los</w:t>
      </w:r>
      <w:r w:rsidR="002C6FB4" w:rsidRPr="00582420">
        <w:t xml:space="preserve"> que </w:t>
      </w:r>
      <w:r w:rsidR="00440095">
        <w:t>se plantean hoy en día</w:t>
      </w:r>
      <w:r w:rsidR="002C6FB4" w:rsidRPr="00582420">
        <w:t xml:space="preserve">.  </w:t>
      </w:r>
      <w:r w:rsidR="00440095">
        <w:t xml:space="preserve">A la luz </w:t>
      </w:r>
      <w:r w:rsidR="002C6FB4" w:rsidRPr="00582420">
        <w:t xml:space="preserve">de la naturaleza </w:t>
      </w:r>
      <w:r w:rsidR="009F5359">
        <w:t xml:space="preserve">particularmente </w:t>
      </w:r>
      <w:r w:rsidR="002C6FB4" w:rsidRPr="00582420">
        <w:t>dinámica y</w:t>
      </w:r>
      <w:r w:rsidR="00E05B5F" w:rsidRPr="00582420">
        <w:t xml:space="preserve"> </w:t>
      </w:r>
      <w:r w:rsidR="009F5359">
        <w:t>fluida</w:t>
      </w:r>
      <w:r w:rsidR="00E05B5F" w:rsidRPr="00582420">
        <w:t xml:space="preserve"> de los procedimientos de registro internacional del Sistema de Madrid, </w:t>
      </w:r>
      <w:r w:rsidR="00232CDA">
        <w:t xml:space="preserve">es </w:t>
      </w:r>
      <w:r w:rsidR="00E05B5F" w:rsidRPr="00582420">
        <w:t>suma</w:t>
      </w:r>
      <w:r w:rsidR="00232CDA">
        <w:t>mente</w:t>
      </w:r>
      <w:r w:rsidR="00E05B5F" w:rsidRPr="00582420">
        <w:t xml:space="preserve"> importan</w:t>
      </w:r>
      <w:r w:rsidR="00232CDA">
        <w:t>te</w:t>
      </w:r>
      <w:r w:rsidR="00E05B5F" w:rsidRPr="00582420">
        <w:t xml:space="preserve"> que el sistema MIRIS pueda </w:t>
      </w:r>
      <w:r w:rsidR="00232CDA">
        <w:t>hacer frente tanto a los desafíos originales como a los nuevos</w:t>
      </w:r>
      <w:r w:rsidR="00E05B5F" w:rsidRPr="00582420">
        <w:t xml:space="preserve">.  </w:t>
      </w:r>
      <w:r w:rsidR="00232CDA">
        <w:t xml:space="preserve">Para </w:t>
      </w:r>
      <w:r w:rsidR="009F5359">
        <w:t xml:space="preserve">mitigar </w:t>
      </w:r>
      <w:r w:rsidR="00232CDA">
        <w:t xml:space="preserve">todo </w:t>
      </w:r>
      <w:r w:rsidR="00E05B5F" w:rsidRPr="00582420">
        <w:t xml:space="preserve">riesgo conexo, se inició </w:t>
      </w:r>
      <w:r w:rsidR="00232CDA">
        <w:t xml:space="preserve">a finales del segundo trimestre de 2014 une revisión </w:t>
      </w:r>
      <w:r w:rsidR="00E05B5F" w:rsidRPr="00582420">
        <w:lastRenderedPageBreak/>
        <w:t>extern</w:t>
      </w:r>
      <w:r w:rsidR="00232CDA">
        <w:t>a</w:t>
      </w:r>
      <w:r w:rsidR="00E05B5F" w:rsidRPr="00582420">
        <w:t xml:space="preserve"> del programa de modernización de las </w:t>
      </w:r>
      <w:r w:rsidR="00232CDA">
        <w:t>T.I</w:t>
      </w:r>
      <w:proofErr w:type="gramStart"/>
      <w:r w:rsidR="00232CDA">
        <w:t>. ,</w:t>
      </w:r>
      <w:proofErr w:type="gramEnd"/>
      <w:r w:rsidR="00232CDA">
        <w:t xml:space="preserve"> observando al mismo tiempo que, </w:t>
      </w:r>
      <w:r w:rsidR="00306451" w:rsidRPr="00582420">
        <w:t xml:space="preserve">tras </w:t>
      </w:r>
      <w:r w:rsidR="00232CDA">
        <w:t xml:space="preserve">la realización </w:t>
      </w:r>
      <w:r w:rsidR="00306451" w:rsidRPr="00582420">
        <w:t>de</w:t>
      </w:r>
      <w:r w:rsidR="00126DB6" w:rsidRPr="00582420">
        <w:t xml:space="preserve"> una auditoría interna de</w:t>
      </w:r>
      <w:r w:rsidR="00232CDA">
        <w:t xml:space="preserve">l </w:t>
      </w:r>
      <w:r w:rsidR="00126DB6" w:rsidRPr="00582420">
        <w:t xml:space="preserve"> </w:t>
      </w:r>
      <w:r w:rsidR="00306451" w:rsidRPr="00582420">
        <w:t xml:space="preserve">proceso de </w:t>
      </w:r>
      <w:r w:rsidR="00232CDA">
        <w:t xml:space="preserve">generación </w:t>
      </w:r>
      <w:r w:rsidR="00306451" w:rsidRPr="00582420">
        <w:t>de ingresos</w:t>
      </w:r>
      <w:r w:rsidR="00126DB6" w:rsidRPr="00582420">
        <w:t xml:space="preserve"> del Sector de Marcas y Diseños, </w:t>
      </w:r>
      <w:r w:rsidR="009F5359">
        <w:t xml:space="preserve">se recomendó la realización </w:t>
      </w:r>
      <w:r w:rsidR="00EA52CC" w:rsidRPr="00582420">
        <w:t xml:space="preserve">de </w:t>
      </w:r>
      <w:r w:rsidR="009F5359">
        <w:t xml:space="preserve">una revisión posterior a </w:t>
      </w:r>
      <w:r w:rsidR="00126DB6" w:rsidRPr="00582420">
        <w:t>la ejecuci</w:t>
      </w:r>
      <w:r w:rsidR="00C16367" w:rsidRPr="00582420">
        <w:t xml:space="preserve">ón de la fase II del programa de modernización de las </w:t>
      </w:r>
      <w:r w:rsidR="004655A5" w:rsidRPr="00582420">
        <w:t>T.I</w:t>
      </w:r>
      <w:r w:rsidR="00C16367" w:rsidRPr="00582420">
        <w:t xml:space="preserve">.  El mandato </w:t>
      </w:r>
      <w:r w:rsidR="00E4511A" w:rsidRPr="00582420">
        <w:t xml:space="preserve">de </w:t>
      </w:r>
      <w:r w:rsidR="009F5359">
        <w:t>la revisión incluye</w:t>
      </w:r>
      <w:r w:rsidR="00C16367" w:rsidRPr="00582420">
        <w:t xml:space="preserve"> el enfoque general, la funcionalidad del sistema, </w:t>
      </w:r>
      <w:r w:rsidR="00EA52CC" w:rsidRPr="00582420">
        <w:t>su</w:t>
      </w:r>
      <w:r w:rsidR="00C16367" w:rsidRPr="00582420">
        <w:t xml:space="preserve"> </w:t>
      </w:r>
      <w:r w:rsidR="009F5359">
        <w:t>desempeño</w:t>
      </w:r>
      <w:r w:rsidR="00C16367" w:rsidRPr="00582420">
        <w:t xml:space="preserve">, </w:t>
      </w:r>
      <w:r w:rsidR="009F5359">
        <w:t xml:space="preserve">los </w:t>
      </w:r>
      <w:r w:rsidR="00C16367" w:rsidRPr="00582420">
        <w:t xml:space="preserve">procesos de prueba y </w:t>
      </w:r>
      <w:r w:rsidR="009F5359">
        <w:t xml:space="preserve">las estrategias </w:t>
      </w:r>
      <w:r w:rsidR="00306451" w:rsidRPr="00582420">
        <w:t xml:space="preserve">de </w:t>
      </w:r>
      <w:r w:rsidR="009F5359">
        <w:t xml:space="preserve">asignación del trabajo.  </w:t>
      </w:r>
      <w:r w:rsidR="00E4511A" w:rsidRPr="00582420">
        <w:t>Es</w:t>
      </w:r>
      <w:r w:rsidR="009F5359">
        <w:t>a</w:t>
      </w:r>
      <w:r w:rsidR="00E4511A" w:rsidRPr="00582420">
        <w:t xml:space="preserve"> </w:t>
      </w:r>
      <w:r w:rsidR="009F5359">
        <w:t xml:space="preserve">revisión </w:t>
      </w:r>
      <w:r w:rsidR="00E4511A" w:rsidRPr="00582420">
        <w:t xml:space="preserve">permitirá </w:t>
      </w:r>
      <w:r w:rsidR="009F5359">
        <w:t xml:space="preserve">a </w:t>
      </w:r>
      <w:r w:rsidR="00E4511A" w:rsidRPr="00582420">
        <w:t xml:space="preserve">la Oficina Internacional </w:t>
      </w:r>
      <w:r w:rsidR="009F5359">
        <w:t>determinar con mayor exactitud</w:t>
      </w:r>
      <w:r w:rsidR="00E4511A" w:rsidRPr="00582420">
        <w:t xml:space="preserve"> la fecha prevista de entrada en servicio del sistema MIRIS</w:t>
      </w:r>
      <w:r w:rsidR="005C14FC" w:rsidRPr="00582420">
        <w:t>.</w:t>
      </w:r>
    </w:p>
    <w:p w:rsidR="00AD446E" w:rsidRPr="00582420" w:rsidRDefault="00AD446E" w:rsidP="00AD446E"/>
    <w:p w:rsidR="0033576F" w:rsidRPr="00582420" w:rsidRDefault="00AD446E" w:rsidP="00AD446E">
      <w:r w:rsidRPr="00582420">
        <w:fldChar w:fldCharType="begin"/>
      </w:r>
      <w:r w:rsidRPr="00582420">
        <w:instrText xml:space="preserve"> AUTONUM  </w:instrText>
      </w:r>
      <w:r w:rsidRPr="00582420">
        <w:fldChar w:fldCharType="end"/>
      </w:r>
      <w:r w:rsidRPr="00582420">
        <w:tab/>
      </w:r>
      <w:r w:rsidR="000C73C7" w:rsidRPr="00582420">
        <w:t xml:space="preserve">Cabe señalar que, durante </w:t>
      </w:r>
      <w:r w:rsidR="0076410C" w:rsidRPr="00582420">
        <w:t>lo</w:t>
      </w:r>
      <w:r w:rsidR="00582420" w:rsidRPr="00582420">
        <w:t>s 1</w:t>
      </w:r>
      <w:r w:rsidR="000C73C7" w:rsidRPr="00582420">
        <w:t xml:space="preserve">2 meses </w:t>
      </w:r>
      <w:r w:rsidR="0076410C" w:rsidRPr="00582420">
        <w:t>posteriores a</w:t>
      </w:r>
      <w:r w:rsidR="000C73C7" w:rsidRPr="00582420">
        <w:t xml:space="preserve"> la aceptación por la Oficina Internacional de los programas informáticos </w:t>
      </w:r>
      <w:r w:rsidR="00306451" w:rsidRPr="00582420">
        <w:t>d</w:t>
      </w:r>
      <w:r w:rsidR="000C73C7" w:rsidRPr="00582420">
        <w:t>el sistema MIRIS</w:t>
      </w:r>
      <w:r w:rsidR="00306451" w:rsidRPr="00582420">
        <w:t xml:space="preserve"> instalados</w:t>
      </w:r>
      <w:r w:rsidR="000C73C7" w:rsidRPr="00582420">
        <w:t xml:space="preserve">, el socio externo de </w:t>
      </w:r>
      <w:r w:rsidR="00306451" w:rsidRPr="00582420">
        <w:t>T.I.</w:t>
      </w:r>
      <w:r w:rsidR="000C73C7" w:rsidRPr="00582420">
        <w:t xml:space="preserve"> habrá de </w:t>
      </w:r>
      <w:r w:rsidR="004655A5" w:rsidRPr="00582420">
        <w:t>ofrecer</w:t>
      </w:r>
      <w:r w:rsidR="000C73C7" w:rsidRPr="00582420">
        <w:t xml:space="preserve"> un período de garantía, que no tendrá costo alguno para la Oficina Internacional, respecto de </w:t>
      </w:r>
      <w:r w:rsidR="00306451" w:rsidRPr="00582420">
        <w:t>todos aquellos</w:t>
      </w:r>
      <w:r w:rsidR="000C73C7" w:rsidRPr="00582420">
        <w:t xml:space="preserve"> problemas que pudieran presentarse en los programas informáticos en relación con la conversión técnica del </w:t>
      </w:r>
      <w:r w:rsidR="00841484" w:rsidRPr="00582420">
        <w:t xml:space="preserve">Sistema del Arreglo y del Protocolo de Madrid </w:t>
      </w:r>
      <w:r w:rsidR="000C73C7" w:rsidRPr="00582420">
        <w:t>existente</w:t>
      </w:r>
      <w:r w:rsidR="0033576F" w:rsidRPr="00582420">
        <w:t>.</w:t>
      </w:r>
    </w:p>
    <w:p w:rsidR="00AD446E" w:rsidRPr="00582420" w:rsidRDefault="00AD446E" w:rsidP="00AD446E"/>
    <w:p w:rsidR="0065093D" w:rsidRPr="00582420" w:rsidRDefault="00AD446E" w:rsidP="00AD446E">
      <w:r w:rsidRPr="00582420">
        <w:fldChar w:fldCharType="begin"/>
      </w:r>
      <w:r w:rsidRPr="00582420">
        <w:instrText xml:space="preserve"> AUTONUM  </w:instrText>
      </w:r>
      <w:r w:rsidRPr="00582420">
        <w:fldChar w:fldCharType="end"/>
      </w:r>
      <w:r w:rsidR="006B0B0F" w:rsidRPr="00582420">
        <w:tab/>
      </w:r>
      <w:r w:rsidR="0065093D" w:rsidRPr="00582420">
        <w:t>La fase II del programa comenzó en el tercer trimestre d</w:t>
      </w:r>
      <w:r w:rsidR="00582420" w:rsidRPr="00582420">
        <w:t>e 2</w:t>
      </w:r>
      <w:r w:rsidR="0065093D" w:rsidRPr="00582420">
        <w:t>010.  Ya se han completado las tarea</w:t>
      </w:r>
      <w:r w:rsidR="00582420" w:rsidRPr="00582420">
        <w:t>s 1</w:t>
      </w:r>
      <w:r w:rsidR="0065093D" w:rsidRPr="00582420">
        <w:t xml:space="preserve"> </w:t>
      </w:r>
      <w:r w:rsidR="00582420" w:rsidRPr="00582420">
        <w:t>a 1</w:t>
      </w:r>
      <w:r w:rsidR="0065093D" w:rsidRPr="00582420">
        <w:t>0 del plan</w:t>
      </w:r>
      <w:r w:rsidR="00306451" w:rsidRPr="00582420">
        <w:t xml:space="preserve"> de alto nivel para el proyecto</w:t>
      </w:r>
      <w:r w:rsidR="00440095">
        <w:t xml:space="preserve"> presentado </w:t>
      </w:r>
      <w:r w:rsidR="0065093D" w:rsidRPr="00582420">
        <w:t>en el gráfic</w:t>
      </w:r>
      <w:r w:rsidR="00582420" w:rsidRPr="00582420">
        <w:t>o 1</w:t>
      </w:r>
      <w:r w:rsidR="0065093D" w:rsidRPr="00582420">
        <w:t xml:space="preserve">, </w:t>
      </w:r>
      <w:r w:rsidR="00440095" w:rsidRPr="002C31EA">
        <w:rPr>
          <w:i/>
        </w:rPr>
        <w:t>infra</w:t>
      </w:r>
      <w:r w:rsidR="0065093D" w:rsidRPr="00582420">
        <w:t>.  La tare</w:t>
      </w:r>
      <w:r w:rsidR="00582420" w:rsidRPr="00582420">
        <w:t>a 1</w:t>
      </w:r>
      <w:r w:rsidR="0065093D" w:rsidRPr="00582420">
        <w:t xml:space="preserve">1 está en curso.  El programa </w:t>
      </w:r>
      <w:r w:rsidR="00440095">
        <w:t xml:space="preserve">avanza </w:t>
      </w:r>
      <w:r w:rsidR="0065093D" w:rsidRPr="00582420">
        <w:t>con arreglo al calendario que figura a continuación</w:t>
      </w:r>
      <w:r w:rsidR="001808F0" w:rsidRPr="00582420">
        <w:t xml:space="preserve">, que se verificará en el examen externo del programa de modernización de las </w:t>
      </w:r>
      <w:r w:rsidR="004655A5" w:rsidRPr="00582420">
        <w:t>T.I.</w:t>
      </w:r>
      <w:r w:rsidR="001808F0" w:rsidRPr="00582420">
        <w:t>:</w:t>
      </w:r>
    </w:p>
    <w:p w:rsidR="00AD446E" w:rsidRPr="00582420" w:rsidRDefault="00AD446E" w:rsidP="00AD446E"/>
    <w:p w:rsidR="00AD446E" w:rsidRPr="00582420" w:rsidRDefault="00795C47" w:rsidP="00CA71FF">
      <w:pPr>
        <w:jc w:val="center"/>
        <w:rPr>
          <w:b/>
          <w:bCs/>
          <w:sz w:val="16"/>
          <w:szCs w:val="16"/>
        </w:rPr>
      </w:pPr>
      <w:r w:rsidRPr="00582420">
        <w:object w:dxaOrig="15069" w:dyaOrig="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22pt" o:ole="">
            <v:imagedata r:id="rId10" o:title=""/>
          </v:shape>
          <o:OLEObject Type="Embed" ProgID="Visio.Drawing.11" ShapeID="_x0000_i1025" DrawAspect="Content" ObjectID="_1465883102" r:id="rId11"/>
        </w:object>
      </w:r>
      <w:r w:rsidR="001808F0" w:rsidRPr="00582420">
        <w:rPr>
          <w:b/>
          <w:bCs/>
          <w:sz w:val="16"/>
          <w:szCs w:val="16"/>
        </w:rPr>
        <w:t>Gráfic</w:t>
      </w:r>
      <w:r w:rsidR="00582420" w:rsidRPr="00582420">
        <w:rPr>
          <w:b/>
          <w:bCs/>
          <w:sz w:val="16"/>
          <w:szCs w:val="16"/>
        </w:rPr>
        <w:t>o 1</w:t>
      </w:r>
      <w:r w:rsidR="001808F0" w:rsidRPr="00582420">
        <w:rPr>
          <w:b/>
          <w:bCs/>
          <w:sz w:val="16"/>
          <w:szCs w:val="16"/>
        </w:rPr>
        <w:t>- Fase II – Plan de alto nivel para el proyecto</w:t>
      </w:r>
    </w:p>
    <w:p w:rsidR="00BE1681" w:rsidRPr="00582420" w:rsidRDefault="00BE1681" w:rsidP="001808F0">
      <w:pPr>
        <w:jc w:val="center"/>
        <w:rPr>
          <w:b/>
          <w:bCs/>
          <w:sz w:val="16"/>
          <w:szCs w:val="16"/>
        </w:rPr>
      </w:pPr>
    </w:p>
    <w:p w:rsidR="00AD446E" w:rsidRPr="00582420" w:rsidRDefault="00AD446E" w:rsidP="00AD446E">
      <w:r w:rsidRPr="00582420">
        <w:fldChar w:fldCharType="begin"/>
      </w:r>
      <w:r w:rsidRPr="00582420">
        <w:instrText xml:space="preserve"> AUTONUM  </w:instrText>
      </w:r>
      <w:r w:rsidRPr="00582420">
        <w:fldChar w:fldCharType="end"/>
      </w:r>
      <w:r w:rsidRPr="00582420">
        <w:tab/>
      </w:r>
      <w:r w:rsidR="00440095">
        <w:t xml:space="preserve">Tal como se indicara </w:t>
      </w:r>
      <w:r w:rsidR="00783122" w:rsidRPr="00582420">
        <w:t xml:space="preserve">en informes anteriores sobre la marcha </w:t>
      </w:r>
      <w:r w:rsidR="004655A5" w:rsidRPr="00582420">
        <w:t xml:space="preserve">de las actividades </w:t>
      </w:r>
      <w:r w:rsidR="00783122" w:rsidRPr="00582420">
        <w:t xml:space="preserve">del programa de modernización de las </w:t>
      </w:r>
      <w:r w:rsidR="00440095">
        <w:t>T.I.</w:t>
      </w:r>
      <w:r w:rsidR="00783122" w:rsidRPr="00582420">
        <w:t xml:space="preserve">, y solo </w:t>
      </w:r>
      <w:r w:rsidR="00440095">
        <w:t>de ser</w:t>
      </w:r>
      <w:r w:rsidR="00CE1CC2">
        <w:t xml:space="preserve"> </w:t>
      </w:r>
      <w:r w:rsidR="00783122" w:rsidRPr="00582420">
        <w:t xml:space="preserve">necesario, la Oficina Internacional propondrá </w:t>
      </w:r>
      <w:r w:rsidR="00440095">
        <w:t xml:space="preserve">iniciar la ejecución de </w:t>
      </w:r>
      <w:r w:rsidR="00783122" w:rsidRPr="00582420">
        <w:t>la fase</w:t>
      </w:r>
      <w:r w:rsidR="00440095">
        <w:t> </w:t>
      </w:r>
      <w:r w:rsidR="00783122" w:rsidRPr="00582420">
        <w:t xml:space="preserve">III del programa </w:t>
      </w:r>
      <w:r w:rsidR="00A66271">
        <w:t xml:space="preserve">para </w:t>
      </w:r>
      <w:r w:rsidR="00EC6938" w:rsidRPr="00582420">
        <w:t>dar cabida a</w:t>
      </w:r>
      <w:r w:rsidR="00783122" w:rsidRPr="00582420">
        <w:t xml:space="preserve"> </w:t>
      </w:r>
      <w:r w:rsidR="00A66271">
        <w:t xml:space="preserve">las </w:t>
      </w:r>
      <w:r w:rsidR="00783122" w:rsidRPr="00582420">
        <w:t xml:space="preserve">actividades </w:t>
      </w:r>
      <w:r w:rsidR="00A66271">
        <w:t xml:space="preserve">que han de realizarse con </w:t>
      </w:r>
      <w:r w:rsidR="00783122" w:rsidRPr="00582420">
        <w:t>posterior</w:t>
      </w:r>
      <w:r w:rsidR="00A66271">
        <w:t>idad</w:t>
      </w:r>
      <w:r w:rsidR="00783122" w:rsidRPr="00582420">
        <w:t xml:space="preserve"> a la entrada en </w:t>
      </w:r>
      <w:r w:rsidR="004655A5" w:rsidRPr="00582420">
        <w:t>funcionamiento</w:t>
      </w:r>
      <w:r w:rsidR="00783122" w:rsidRPr="00582420">
        <w:t xml:space="preserve">, </w:t>
      </w:r>
      <w:r w:rsidR="00A66271">
        <w:t xml:space="preserve">por ejemplo, la corrección </w:t>
      </w:r>
      <w:r w:rsidR="00783122" w:rsidRPr="00582420">
        <w:t xml:space="preserve">de errores </w:t>
      </w:r>
      <w:r w:rsidR="00CE1CC2">
        <w:t>d</w:t>
      </w:r>
      <w:r w:rsidR="00A66271">
        <w:t xml:space="preserve">el programa, la </w:t>
      </w:r>
      <w:r w:rsidR="00783122" w:rsidRPr="00582420">
        <w:t xml:space="preserve">mejora del rendimiento, así como la </w:t>
      </w:r>
      <w:r w:rsidR="00A66271">
        <w:t xml:space="preserve">transformación </w:t>
      </w:r>
      <w:r w:rsidR="00297990" w:rsidRPr="00582420">
        <w:t xml:space="preserve">de la interfaz de usuario y </w:t>
      </w:r>
      <w:r w:rsidR="00A66271">
        <w:t xml:space="preserve">la eventual reorganización </w:t>
      </w:r>
      <w:r w:rsidR="00297990" w:rsidRPr="00582420">
        <w:t xml:space="preserve">de los procesos.  </w:t>
      </w:r>
      <w:r w:rsidR="00A66271">
        <w:t xml:space="preserve">Puesto </w:t>
      </w:r>
      <w:r w:rsidR="00297990" w:rsidRPr="00582420">
        <w:t xml:space="preserve">que la necesidad de </w:t>
      </w:r>
      <w:r w:rsidR="00A66271">
        <w:t xml:space="preserve">ejecutar </w:t>
      </w:r>
      <w:r w:rsidR="0076410C" w:rsidRPr="00582420">
        <w:t>la</w:t>
      </w:r>
      <w:r w:rsidR="00297990" w:rsidRPr="00582420">
        <w:t xml:space="preserve"> fase III </w:t>
      </w:r>
      <w:r w:rsidR="00A66271">
        <w:t xml:space="preserve">solo podrá evaluarse tras la puesta </w:t>
      </w:r>
      <w:r w:rsidR="00297990" w:rsidRPr="00582420">
        <w:t xml:space="preserve">en </w:t>
      </w:r>
      <w:r w:rsidR="0076410C" w:rsidRPr="00582420">
        <w:t>funcionamiento</w:t>
      </w:r>
      <w:r w:rsidR="00297990" w:rsidRPr="00582420">
        <w:t xml:space="preserve">, los </w:t>
      </w:r>
      <w:r w:rsidR="00A66271">
        <w:t xml:space="preserve">pormenores de una eventual </w:t>
      </w:r>
      <w:r w:rsidR="00297990" w:rsidRPr="00582420">
        <w:t xml:space="preserve">fase </w:t>
      </w:r>
      <w:r w:rsidR="00A66271">
        <w:t xml:space="preserve">III </w:t>
      </w:r>
      <w:r w:rsidR="00297990" w:rsidRPr="00582420">
        <w:t xml:space="preserve">se </w:t>
      </w:r>
      <w:r w:rsidR="00A66271">
        <w:t xml:space="preserve">examinarán en detalle </w:t>
      </w:r>
      <w:r w:rsidR="00297990" w:rsidRPr="00582420">
        <w:t>en un posterior informe sobre la marcha</w:t>
      </w:r>
      <w:r w:rsidR="00EC6938" w:rsidRPr="00582420">
        <w:t xml:space="preserve"> de las actividades</w:t>
      </w:r>
      <w:r w:rsidR="00297990" w:rsidRPr="00582420">
        <w:t xml:space="preserve"> del programa</w:t>
      </w:r>
      <w:r w:rsidRPr="00582420">
        <w:t>.</w:t>
      </w:r>
    </w:p>
    <w:p w:rsidR="00AD446E" w:rsidRPr="00582420" w:rsidRDefault="00AD446E" w:rsidP="00AD446E"/>
    <w:p w:rsidR="00AD446E" w:rsidRPr="00582420" w:rsidRDefault="00AD446E" w:rsidP="00AD446E"/>
    <w:p w:rsidR="00AD446E" w:rsidRPr="00582420" w:rsidRDefault="00561ACC" w:rsidP="002C31EA">
      <w:pPr>
        <w:pStyle w:val="Heading1"/>
        <w:keepLines/>
        <w:spacing w:before="0" w:after="0"/>
        <w:rPr>
          <w:szCs w:val="22"/>
        </w:rPr>
      </w:pPr>
      <w:r w:rsidRPr="00582420">
        <w:rPr>
          <w:szCs w:val="22"/>
        </w:rPr>
        <w:lastRenderedPageBreak/>
        <w:t>UTILIZACIÓN DEL PRESUPUESTO</w:t>
      </w:r>
    </w:p>
    <w:p w:rsidR="00AD446E" w:rsidRPr="00582420" w:rsidRDefault="00AD446E" w:rsidP="002C31EA">
      <w:pPr>
        <w:keepNext/>
        <w:keepLines/>
      </w:pPr>
    </w:p>
    <w:p w:rsidR="00AD446E" w:rsidRPr="00582420" w:rsidRDefault="00AD446E" w:rsidP="002C31EA">
      <w:pPr>
        <w:keepNext/>
        <w:keepLines/>
      </w:pPr>
      <w:r w:rsidRPr="00582420">
        <w:fldChar w:fldCharType="begin"/>
      </w:r>
      <w:r w:rsidRPr="00582420">
        <w:instrText xml:space="preserve"> AUTONUM  </w:instrText>
      </w:r>
      <w:r w:rsidRPr="00582420">
        <w:fldChar w:fldCharType="end"/>
      </w:r>
      <w:r w:rsidRPr="00582420">
        <w:tab/>
      </w:r>
      <w:r w:rsidR="004B2D87" w:rsidRPr="00582420">
        <w:t xml:space="preserve">Se aprobó </w:t>
      </w:r>
      <w:r w:rsidR="00D47789">
        <w:t xml:space="preserve">para el proyecto </w:t>
      </w:r>
      <w:r w:rsidR="004B2D87" w:rsidRPr="00582420">
        <w:t xml:space="preserve">una asignación </w:t>
      </w:r>
      <w:r w:rsidR="00D47789">
        <w:t xml:space="preserve">de recursos </w:t>
      </w:r>
      <w:r w:rsidR="004B2D87" w:rsidRPr="00582420">
        <w:t>total d</w:t>
      </w:r>
      <w:r w:rsidR="00582420" w:rsidRPr="00582420">
        <w:t>e 1</w:t>
      </w:r>
      <w:r w:rsidR="004B2D87" w:rsidRPr="00582420">
        <w:t>3</w:t>
      </w:r>
      <w:r w:rsidR="00D47789">
        <w:t>,</w:t>
      </w:r>
      <w:r w:rsidR="004B2D87" w:rsidRPr="00582420">
        <w:t>804</w:t>
      </w:r>
      <w:r w:rsidR="00D47789">
        <w:t xml:space="preserve"> millones de </w:t>
      </w:r>
      <w:r w:rsidR="004B2D87" w:rsidRPr="00582420">
        <w:t>francos suizos (10</w:t>
      </w:r>
      <w:r w:rsidR="00D47789">
        <w:t>,</w:t>
      </w:r>
      <w:r w:rsidR="004B2D87" w:rsidRPr="00582420">
        <w:t xml:space="preserve">804 </w:t>
      </w:r>
      <w:r w:rsidR="00D47789">
        <w:t xml:space="preserve">millones de </w:t>
      </w:r>
      <w:r w:rsidR="004B2D87" w:rsidRPr="00582420">
        <w:t xml:space="preserve">francos suizos </w:t>
      </w:r>
      <w:r w:rsidR="00D47789">
        <w:t xml:space="preserve">aprobados por </w:t>
      </w:r>
      <w:r w:rsidR="004B2D87" w:rsidRPr="00582420">
        <w:t xml:space="preserve">la Asamblea de la Unión de Madrid </w:t>
      </w:r>
      <w:r w:rsidR="00582420" w:rsidRPr="00582420">
        <w:t>y 3</w:t>
      </w:r>
      <w:r w:rsidR="004B2D87" w:rsidRPr="00582420">
        <w:t xml:space="preserve"> millones de francos suizos </w:t>
      </w:r>
      <w:r w:rsidR="00D47789">
        <w:t xml:space="preserve">por </w:t>
      </w:r>
      <w:r w:rsidR="004B2D87" w:rsidRPr="00582420">
        <w:t xml:space="preserve">la Asamblea de la Unión de </w:t>
      </w:r>
      <w:r w:rsidR="00D071EE" w:rsidRPr="00582420">
        <w:t xml:space="preserve">La </w:t>
      </w:r>
      <w:r w:rsidR="004B2D87" w:rsidRPr="00582420">
        <w:t xml:space="preserve">Haya).  </w:t>
      </w:r>
      <w:r w:rsidR="00D47789">
        <w:t>De momento</w:t>
      </w:r>
      <w:r w:rsidR="004B2D87" w:rsidRPr="00582420">
        <w:t xml:space="preserve">, el gasto </w:t>
      </w:r>
      <w:r w:rsidR="00CE1CC2">
        <w:t>real d</w:t>
      </w:r>
      <w:r w:rsidR="004B2D87" w:rsidRPr="00582420">
        <w:t xml:space="preserve">el proyecto asciende </w:t>
      </w:r>
      <w:r w:rsidR="00582420" w:rsidRPr="00582420">
        <w:t>a 1</w:t>
      </w:r>
      <w:r w:rsidR="004B2D87" w:rsidRPr="00582420">
        <w:t>0</w:t>
      </w:r>
      <w:r w:rsidR="00CE1CC2">
        <w:t>,</w:t>
      </w:r>
      <w:r w:rsidR="004B2D87" w:rsidRPr="00582420">
        <w:t xml:space="preserve">464 </w:t>
      </w:r>
      <w:r w:rsidR="00CE1CC2">
        <w:t xml:space="preserve">millones de </w:t>
      </w:r>
      <w:r w:rsidR="004B2D87" w:rsidRPr="00582420">
        <w:t xml:space="preserve">francos suizos, es decir, </w:t>
      </w:r>
      <w:r w:rsidR="00CE1CC2">
        <w:t xml:space="preserve">el </w:t>
      </w:r>
      <w:r w:rsidR="00582420" w:rsidRPr="00582420">
        <w:t>7</w:t>
      </w:r>
      <w:r w:rsidR="004B2D87" w:rsidRPr="00582420">
        <w:t xml:space="preserve">6% del presupuesto del proyecto.  Se </w:t>
      </w:r>
      <w:r w:rsidR="00CE1CC2">
        <w:t xml:space="preserve">prevé </w:t>
      </w:r>
      <w:r w:rsidR="004B2D87" w:rsidRPr="00582420">
        <w:t>que los recursos restantes se</w:t>
      </w:r>
      <w:r w:rsidR="00CE1CC2">
        <w:t>rá</w:t>
      </w:r>
      <w:r w:rsidR="004B2D87" w:rsidRPr="00582420">
        <w:t>n</w:t>
      </w:r>
      <w:r w:rsidR="00CE1CC2">
        <w:t xml:space="preserve"> </w:t>
      </w:r>
      <w:r w:rsidR="004B2D87" w:rsidRPr="00582420">
        <w:t xml:space="preserve">suficientes para completar la fase II del programa, </w:t>
      </w:r>
      <w:r w:rsidR="00CE1CC2">
        <w:t xml:space="preserve">teniendo presente </w:t>
      </w:r>
      <w:r w:rsidR="004B2D87" w:rsidRPr="00582420">
        <w:t>que las conclusiones de</w:t>
      </w:r>
      <w:r w:rsidR="00CE1CC2">
        <w:t xml:space="preserve"> </w:t>
      </w:r>
      <w:r w:rsidR="004B2D87" w:rsidRPr="00582420">
        <w:t>l</w:t>
      </w:r>
      <w:r w:rsidR="00CE1CC2">
        <w:t xml:space="preserve">a revisión externa podrán suponer </w:t>
      </w:r>
      <w:r w:rsidR="004B2D87" w:rsidRPr="00582420">
        <w:t xml:space="preserve">la asignación de recursos adicionales </w:t>
      </w:r>
      <w:r w:rsidR="00CE1CC2">
        <w:t xml:space="preserve">para garantizar de forma adecuada la </w:t>
      </w:r>
      <w:r w:rsidR="004B2D87" w:rsidRPr="00582420">
        <w:t>gestión de</w:t>
      </w:r>
      <w:r w:rsidR="00CE1CC2">
        <w:t>l</w:t>
      </w:r>
      <w:r w:rsidR="004B2D87" w:rsidRPr="00582420">
        <w:t xml:space="preserve"> riesgo y </w:t>
      </w:r>
      <w:r w:rsidR="00CE1CC2">
        <w:t xml:space="preserve">el </w:t>
      </w:r>
      <w:r w:rsidR="008B4000" w:rsidRPr="00582420">
        <w:t xml:space="preserve">control de </w:t>
      </w:r>
      <w:r w:rsidR="00FA6AB2" w:rsidRPr="00582420">
        <w:t>calidad</w:t>
      </w:r>
      <w:r w:rsidRPr="00582420">
        <w:t>.</w:t>
      </w:r>
    </w:p>
    <w:p w:rsidR="00AD446E" w:rsidRDefault="00AD446E" w:rsidP="002C31EA">
      <w:pPr>
        <w:keepNext/>
        <w:keepLines/>
      </w:pPr>
    </w:p>
    <w:p w:rsidR="00AD446E" w:rsidRPr="00582420" w:rsidRDefault="00B06AB8" w:rsidP="00AD446E">
      <w:pPr>
        <w:pStyle w:val="Caption"/>
        <w:keepNext/>
        <w:jc w:val="center"/>
      </w:pPr>
      <w:r w:rsidRPr="00582420">
        <w:t>Cuadro</w:t>
      </w:r>
      <w:r w:rsidR="00AD446E" w:rsidRPr="00582420">
        <w:t xml:space="preserve"> </w:t>
      </w:r>
      <w:r w:rsidR="00AD446E" w:rsidRPr="00582420">
        <w:fldChar w:fldCharType="begin"/>
      </w:r>
      <w:r w:rsidR="00AD446E" w:rsidRPr="00582420">
        <w:instrText xml:space="preserve"> SEQ Table \* ARABIC </w:instrText>
      </w:r>
      <w:r w:rsidR="00AD446E" w:rsidRPr="00582420">
        <w:fldChar w:fldCharType="separate"/>
      </w:r>
      <w:r w:rsidR="00B14CCE">
        <w:rPr>
          <w:noProof/>
        </w:rPr>
        <w:t>1</w:t>
      </w:r>
      <w:r w:rsidR="00AD446E" w:rsidRPr="00582420">
        <w:fldChar w:fldCharType="end"/>
      </w:r>
      <w:r w:rsidR="00AD446E" w:rsidRPr="00582420">
        <w:t xml:space="preserve"> </w:t>
      </w:r>
      <w:r w:rsidRPr="00582420">
        <w:t>–</w:t>
      </w:r>
      <w:r w:rsidR="00AD446E" w:rsidRPr="00582420">
        <w:t xml:space="preserve"> </w:t>
      </w:r>
      <w:r w:rsidRPr="00582420">
        <w:t>Situación de la financiación (en miles de francos suizos), a finales de marzo d</w:t>
      </w:r>
      <w:r w:rsidR="00582420" w:rsidRPr="00582420">
        <w:t>e 2</w:t>
      </w:r>
      <w:r w:rsidRPr="00582420">
        <w:t>014</w:t>
      </w:r>
      <w:r w:rsidR="00AD446E" w:rsidRPr="005824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AD446E" w:rsidRPr="00582420" w:rsidTr="00D47789">
        <w:tc>
          <w:tcPr>
            <w:tcW w:w="2284" w:type="dxa"/>
            <w:shd w:val="clear" w:color="auto" w:fill="4F81BD"/>
          </w:tcPr>
          <w:p w:rsidR="00AD446E" w:rsidRPr="00582420" w:rsidRDefault="00AD446E" w:rsidP="00D47789">
            <w:pPr>
              <w:rPr>
                <w:color w:val="FFFFFF"/>
              </w:rPr>
            </w:pPr>
          </w:p>
        </w:tc>
        <w:tc>
          <w:tcPr>
            <w:tcW w:w="2393" w:type="dxa"/>
            <w:shd w:val="clear" w:color="auto" w:fill="4F81BD"/>
          </w:tcPr>
          <w:p w:rsidR="00AD446E" w:rsidRPr="00582420" w:rsidRDefault="003874A2" w:rsidP="00D47789">
            <w:pPr>
              <w:jc w:val="center"/>
              <w:rPr>
                <w:color w:val="FFFFFF"/>
              </w:rPr>
            </w:pPr>
            <w:r w:rsidRPr="00582420">
              <w:rPr>
                <w:color w:val="FFFFFF"/>
              </w:rPr>
              <w:t>Recursos disponibles en las reservas</w:t>
            </w:r>
          </w:p>
        </w:tc>
        <w:tc>
          <w:tcPr>
            <w:tcW w:w="2393" w:type="dxa"/>
            <w:shd w:val="clear" w:color="auto" w:fill="4F81BD"/>
          </w:tcPr>
          <w:p w:rsidR="00AD446E" w:rsidRPr="00582420" w:rsidRDefault="00B06AB8" w:rsidP="00D47789">
            <w:pPr>
              <w:jc w:val="center"/>
              <w:rPr>
                <w:color w:val="FFFFFF"/>
              </w:rPr>
            </w:pPr>
            <w:r w:rsidRPr="00582420">
              <w:rPr>
                <w:color w:val="FFFFFF"/>
              </w:rPr>
              <w:t>Gastos</w:t>
            </w:r>
            <w:r w:rsidR="003874A2" w:rsidRPr="00582420">
              <w:rPr>
                <w:color w:val="FFFFFF"/>
              </w:rPr>
              <w:t>,</w:t>
            </w:r>
            <w:r w:rsidRPr="00582420">
              <w:rPr>
                <w:color w:val="FFFFFF"/>
              </w:rPr>
              <w:t xml:space="preserve"> excluidas las afectaciones y las obligaciones por liquidar</w:t>
            </w:r>
          </w:p>
          <w:p w:rsidR="00AD446E" w:rsidRPr="00582420" w:rsidRDefault="00AD446E" w:rsidP="00D47789">
            <w:pPr>
              <w:jc w:val="center"/>
              <w:rPr>
                <w:color w:val="FFFFFF"/>
              </w:rPr>
            </w:pPr>
          </w:p>
        </w:tc>
        <w:tc>
          <w:tcPr>
            <w:tcW w:w="2393" w:type="dxa"/>
            <w:shd w:val="clear" w:color="auto" w:fill="4F81BD"/>
          </w:tcPr>
          <w:p w:rsidR="00AD446E" w:rsidRPr="00582420" w:rsidRDefault="00B06AB8" w:rsidP="00D47789">
            <w:pPr>
              <w:jc w:val="center"/>
              <w:rPr>
                <w:color w:val="FFFFFF"/>
              </w:rPr>
            </w:pPr>
            <w:r w:rsidRPr="00582420">
              <w:rPr>
                <w:color w:val="FFFFFF"/>
              </w:rPr>
              <w:t>Balance a finales de marzo d</w:t>
            </w:r>
            <w:r w:rsidR="00582420" w:rsidRPr="00582420">
              <w:rPr>
                <w:color w:val="FFFFFF"/>
              </w:rPr>
              <w:t>e 2</w:t>
            </w:r>
            <w:r w:rsidRPr="00582420">
              <w:rPr>
                <w:color w:val="FFFFFF"/>
              </w:rPr>
              <w:t>014</w:t>
            </w:r>
          </w:p>
        </w:tc>
      </w:tr>
      <w:tr w:rsidR="00AD446E" w:rsidRPr="00582420" w:rsidTr="00D47789">
        <w:tc>
          <w:tcPr>
            <w:tcW w:w="2284" w:type="dxa"/>
            <w:shd w:val="clear" w:color="auto" w:fill="auto"/>
          </w:tcPr>
          <w:p w:rsidR="00AD446E" w:rsidRPr="00582420" w:rsidRDefault="00B06AB8" w:rsidP="00D47789">
            <w:r w:rsidRPr="00582420">
              <w:t>Fase</w:t>
            </w:r>
            <w:r w:rsidR="00AD446E" w:rsidRPr="00582420">
              <w:t xml:space="preserve"> I</w:t>
            </w:r>
          </w:p>
        </w:tc>
        <w:tc>
          <w:tcPr>
            <w:tcW w:w="2393" w:type="dxa"/>
            <w:shd w:val="clear" w:color="auto" w:fill="auto"/>
          </w:tcPr>
          <w:p w:rsidR="00AD446E" w:rsidRPr="00582420" w:rsidRDefault="00B06AB8" w:rsidP="00D47789">
            <w:pPr>
              <w:jc w:val="right"/>
            </w:pPr>
            <w:r w:rsidRPr="00582420">
              <w:t>3.</w:t>
            </w:r>
            <w:r w:rsidR="00AD446E" w:rsidRPr="00582420">
              <w:t>569</w:t>
            </w:r>
          </w:p>
        </w:tc>
        <w:tc>
          <w:tcPr>
            <w:tcW w:w="2393" w:type="dxa"/>
            <w:shd w:val="clear" w:color="auto" w:fill="auto"/>
          </w:tcPr>
          <w:p w:rsidR="00AD446E" w:rsidRPr="00582420" w:rsidRDefault="00B06AB8" w:rsidP="00D47789">
            <w:pPr>
              <w:jc w:val="right"/>
            </w:pPr>
            <w:r w:rsidRPr="00582420">
              <w:t>3.</w:t>
            </w:r>
            <w:r w:rsidR="00AD446E" w:rsidRPr="00582420">
              <w:t>277</w:t>
            </w:r>
          </w:p>
        </w:tc>
        <w:tc>
          <w:tcPr>
            <w:tcW w:w="2393" w:type="dxa"/>
            <w:shd w:val="clear" w:color="auto" w:fill="auto"/>
          </w:tcPr>
          <w:p w:rsidR="00AD446E" w:rsidRPr="00582420" w:rsidRDefault="00AD446E" w:rsidP="00D47789">
            <w:pPr>
              <w:jc w:val="right"/>
            </w:pPr>
            <w:r w:rsidRPr="00582420">
              <w:t>292</w:t>
            </w:r>
          </w:p>
        </w:tc>
      </w:tr>
      <w:tr w:rsidR="00AD446E" w:rsidRPr="00582420" w:rsidTr="00D47789">
        <w:tc>
          <w:tcPr>
            <w:tcW w:w="2284" w:type="dxa"/>
            <w:tcBorders>
              <w:bottom w:val="single" w:sz="4" w:space="0" w:color="auto"/>
            </w:tcBorders>
            <w:shd w:val="clear" w:color="auto" w:fill="auto"/>
          </w:tcPr>
          <w:p w:rsidR="00AD446E" w:rsidRPr="00582420" w:rsidRDefault="00B06AB8" w:rsidP="00D47789">
            <w:r w:rsidRPr="00582420">
              <w:t>Fase</w:t>
            </w:r>
            <w:r w:rsidR="00AD446E" w:rsidRPr="00582420">
              <w:t xml:space="preserve"> II</w:t>
            </w:r>
          </w:p>
        </w:tc>
        <w:tc>
          <w:tcPr>
            <w:tcW w:w="2393" w:type="dxa"/>
            <w:tcBorders>
              <w:bottom w:val="single" w:sz="4" w:space="0" w:color="auto"/>
            </w:tcBorders>
            <w:shd w:val="clear" w:color="auto" w:fill="auto"/>
          </w:tcPr>
          <w:p w:rsidR="00AD446E" w:rsidRPr="00582420" w:rsidRDefault="00B06AB8" w:rsidP="00D47789">
            <w:pPr>
              <w:jc w:val="right"/>
            </w:pPr>
            <w:r w:rsidRPr="00582420">
              <w:t>10.</w:t>
            </w:r>
            <w:r w:rsidR="00AD446E" w:rsidRPr="00582420">
              <w:t>235</w:t>
            </w:r>
          </w:p>
        </w:tc>
        <w:tc>
          <w:tcPr>
            <w:tcW w:w="2393" w:type="dxa"/>
            <w:tcBorders>
              <w:bottom w:val="single" w:sz="4" w:space="0" w:color="auto"/>
            </w:tcBorders>
            <w:shd w:val="clear" w:color="auto" w:fill="auto"/>
          </w:tcPr>
          <w:p w:rsidR="00AD446E" w:rsidRPr="00582420" w:rsidRDefault="00B06AB8" w:rsidP="00D47789">
            <w:pPr>
              <w:jc w:val="right"/>
            </w:pPr>
            <w:r w:rsidRPr="00582420">
              <w:t>7.</w:t>
            </w:r>
            <w:r w:rsidR="00AD446E" w:rsidRPr="00582420">
              <w:t>187</w:t>
            </w:r>
          </w:p>
        </w:tc>
        <w:tc>
          <w:tcPr>
            <w:tcW w:w="2393" w:type="dxa"/>
            <w:tcBorders>
              <w:bottom w:val="single" w:sz="4" w:space="0" w:color="auto"/>
            </w:tcBorders>
            <w:shd w:val="clear" w:color="auto" w:fill="auto"/>
          </w:tcPr>
          <w:p w:rsidR="00AD446E" w:rsidRPr="00582420" w:rsidRDefault="00B06AB8" w:rsidP="00D47789">
            <w:pPr>
              <w:jc w:val="right"/>
            </w:pPr>
            <w:r w:rsidRPr="00582420">
              <w:t>3.</w:t>
            </w:r>
            <w:r w:rsidR="00AD446E" w:rsidRPr="00582420">
              <w:t>048</w:t>
            </w:r>
          </w:p>
        </w:tc>
      </w:tr>
      <w:tr w:rsidR="00AD446E" w:rsidRPr="00582420" w:rsidTr="00D47789">
        <w:tc>
          <w:tcPr>
            <w:tcW w:w="2284" w:type="dxa"/>
            <w:shd w:val="clear" w:color="auto" w:fill="4F81BD"/>
          </w:tcPr>
          <w:p w:rsidR="00AD446E" w:rsidRPr="00582420" w:rsidRDefault="00AD446E" w:rsidP="00D47789">
            <w:pPr>
              <w:rPr>
                <w:color w:val="FFFFFF"/>
              </w:rPr>
            </w:pPr>
            <w:r w:rsidRPr="00582420">
              <w:rPr>
                <w:color w:val="FFFFFF"/>
              </w:rPr>
              <w:t>Total</w:t>
            </w:r>
          </w:p>
        </w:tc>
        <w:tc>
          <w:tcPr>
            <w:tcW w:w="2393" w:type="dxa"/>
            <w:shd w:val="clear" w:color="auto" w:fill="4F81BD"/>
          </w:tcPr>
          <w:p w:rsidR="00AD446E" w:rsidRPr="00582420" w:rsidRDefault="00B06AB8" w:rsidP="00D47789">
            <w:pPr>
              <w:jc w:val="right"/>
              <w:rPr>
                <w:color w:val="FFFFFF"/>
              </w:rPr>
            </w:pPr>
            <w:r w:rsidRPr="00582420">
              <w:rPr>
                <w:color w:val="FFFFFF"/>
              </w:rPr>
              <w:t>13.</w:t>
            </w:r>
            <w:r w:rsidR="00AD446E" w:rsidRPr="00582420">
              <w:rPr>
                <w:color w:val="FFFFFF"/>
              </w:rPr>
              <w:t>804</w:t>
            </w:r>
          </w:p>
        </w:tc>
        <w:tc>
          <w:tcPr>
            <w:tcW w:w="2393" w:type="dxa"/>
            <w:shd w:val="clear" w:color="auto" w:fill="4F81BD"/>
          </w:tcPr>
          <w:p w:rsidR="00AD446E" w:rsidRPr="00582420" w:rsidRDefault="00B06AB8" w:rsidP="00D47789">
            <w:pPr>
              <w:jc w:val="right"/>
              <w:rPr>
                <w:color w:val="FFFFFF"/>
              </w:rPr>
            </w:pPr>
            <w:r w:rsidRPr="00582420">
              <w:rPr>
                <w:color w:val="FFFFFF"/>
              </w:rPr>
              <w:t>10.</w:t>
            </w:r>
            <w:r w:rsidR="00AD446E" w:rsidRPr="00582420">
              <w:rPr>
                <w:color w:val="FFFFFF"/>
              </w:rPr>
              <w:t>464</w:t>
            </w:r>
          </w:p>
        </w:tc>
        <w:tc>
          <w:tcPr>
            <w:tcW w:w="2393" w:type="dxa"/>
            <w:shd w:val="clear" w:color="auto" w:fill="4F81BD"/>
          </w:tcPr>
          <w:p w:rsidR="00AD446E" w:rsidRPr="00582420" w:rsidRDefault="00B06AB8" w:rsidP="00D47789">
            <w:pPr>
              <w:jc w:val="right"/>
              <w:rPr>
                <w:color w:val="FFFFFF"/>
              </w:rPr>
            </w:pPr>
            <w:r w:rsidRPr="00582420">
              <w:rPr>
                <w:color w:val="FFFFFF"/>
              </w:rPr>
              <w:t>3.</w:t>
            </w:r>
            <w:r w:rsidR="00AD446E" w:rsidRPr="00582420">
              <w:rPr>
                <w:color w:val="FFFFFF"/>
              </w:rPr>
              <w:t>340</w:t>
            </w:r>
          </w:p>
        </w:tc>
      </w:tr>
    </w:tbl>
    <w:p w:rsidR="00AD446E" w:rsidRPr="00582420" w:rsidRDefault="00AD446E" w:rsidP="00AD446E"/>
    <w:p w:rsidR="00291573" w:rsidRPr="00582420" w:rsidRDefault="00291573" w:rsidP="00AD446E"/>
    <w:p w:rsidR="0033576F" w:rsidRPr="00582420" w:rsidRDefault="00AD446E" w:rsidP="00AD446E">
      <w:pPr>
        <w:ind w:left="5533"/>
        <w:rPr>
          <w:i/>
        </w:rPr>
      </w:pPr>
      <w:r w:rsidRPr="00582420">
        <w:rPr>
          <w:i/>
        </w:rPr>
        <w:fldChar w:fldCharType="begin"/>
      </w:r>
      <w:r w:rsidRPr="00582420">
        <w:rPr>
          <w:i/>
        </w:rPr>
        <w:instrText xml:space="preserve"> AUTONUM  </w:instrText>
      </w:r>
      <w:r w:rsidRPr="00582420">
        <w:rPr>
          <w:i/>
        </w:rPr>
        <w:fldChar w:fldCharType="end"/>
      </w:r>
      <w:r w:rsidRPr="00582420">
        <w:tab/>
      </w:r>
      <w:r w:rsidR="00E56B18" w:rsidRPr="00582420">
        <w:rPr>
          <w:i/>
        </w:rPr>
        <w:t xml:space="preserve">Se invita a la Asamblea a tomar </w:t>
      </w:r>
      <w:r w:rsidR="00803951" w:rsidRPr="00582420">
        <w:rPr>
          <w:i/>
        </w:rPr>
        <w:t xml:space="preserve">nota del contenido del Informe </w:t>
      </w:r>
      <w:r w:rsidR="00E56B18" w:rsidRPr="00582420">
        <w:rPr>
          <w:i/>
        </w:rPr>
        <w:t xml:space="preserve">sobre la marcha de las actividades del programa de modernización de las tecnologías de la información (Sistema </w:t>
      </w:r>
      <w:r w:rsidR="008B4000" w:rsidRPr="00582420">
        <w:rPr>
          <w:i/>
        </w:rPr>
        <w:t xml:space="preserve">de Madrid </w:t>
      </w:r>
      <w:r w:rsidR="00E56B18" w:rsidRPr="00582420">
        <w:rPr>
          <w:i/>
        </w:rPr>
        <w:t>de Registro Internacional</w:t>
      </w:r>
      <w:r w:rsidR="008B4000" w:rsidRPr="00582420">
        <w:rPr>
          <w:i/>
        </w:rPr>
        <w:t>)</w:t>
      </w:r>
      <w:r w:rsidR="00E56B18" w:rsidRPr="00582420">
        <w:rPr>
          <w:i/>
        </w:rPr>
        <w:t xml:space="preserve"> (documento </w:t>
      </w:r>
      <w:r w:rsidRPr="00582420">
        <w:rPr>
          <w:i/>
        </w:rPr>
        <w:t>MM/A/48/1)</w:t>
      </w:r>
      <w:r w:rsidR="0033576F" w:rsidRPr="00582420">
        <w:rPr>
          <w:i/>
        </w:rPr>
        <w:t>.</w:t>
      </w:r>
    </w:p>
    <w:p w:rsidR="00AD446E" w:rsidRPr="00582420" w:rsidRDefault="00AD446E" w:rsidP="00AD446E">
      <w:pPr>
        <w:rPr>
          <w:i/>
        </w:rPr>
      </w:pPr>
    </w:p>
    <w:p w:rsidR="00AD446E" w:rsidRPr="00582420" w:rsidRDefault="00AD446E" w:rsidP="00AD446E">
      <w:pPr>
        <w:rPr>
          <w:i/>
        </w:rPr>
      </w:pPr>
    </w:p>
    <w:p w:rsidR="00AD446E" w:rsidRPr="00582420" w:rsidRDefault="00AD446E" w:rsidP="00AD446E">
      <w:pPr>
        <w:ind w:left="5533"/>
      </w:pPr>
      <w:bookmarkStart w:id="5" w:name="_GoBack"/>
      <w:bookmarkEnd w:id="5"/>
    </w:p>
    <w:p w:rsidR="00AD446E" w:rsidRPr="005D2A96" w:rsidRDefault="00AD446E" w:rsidP="00AD446E">
      <w:pPr>
        <w:ind w:left="5533"/>
      </w:pPr>
      <w:r w:rsidRPr="00582420">
        <w:t>[</w:t>
      </w:r>
      <w:r w:rsidR="00E56B18" w:rsidRPr="00582420">
        <w:t>Fin del documento</w:t>
      </w:r>
      <w:r w:rsidRPr="00582420">
        <w:t>]</w:t>
      </w:r>
    </w:p>
    <w:p w:rsidR="00152CEA" w:rsidRPr="005D2A96" w:rsidRDefault="00152CEA" w:rsidP="00E56B18">
      <w:pPr>
        <w:jc w:val="center"/>
        <w:rPr>
          <w:i/>
        </w:rPr>
      </w:pPr>
    </w:p>
    <w:sectPr w:rsidR="00152CEA" w:rsidRPr="005D2A96" w:rsidSect="00AD446E">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89" w:rsidRDefault="00D47789">
      <w:r>
        <w:separator/>
      </w:r>
    </w:p>
  </w:endnote>
  <w:endnote w:type="continuationSeparator" w:id="0">
    <w:p w:rsidR="00D47789" w:rsidRPr="009D30E6" w:rsidRDefault="00D47789" w:rsidP="007E663E">
      <w:pPr>
        <w:rPr>
          <w:sz w:val="17"/>
          <w:szCs w:val="17"/>
        </w:rPr>
      </w:pPr>
      <w:r w:rsidRPr="009D30E6">
        <w:rPr>
          <w:sz w:val="17"/>
          <w:szCs w:val="17"/>
        </w:rPr>
        <w:separator/>
      </w:r>
    </w:p>
    <w:p w:rsidR="00D47789" w:rsidRPr="007E663E" w:rsidRDefault="00D47789" w:rsidP="007E663E">
      <w:pPr>
        <w:spacing w:after="60"/>
        <w:rPr>
          <w:sz w:val="17"/>
          <w:szCs w:val="17"/>
        </w:rPr>
      </w:pPr>
      <w:r>
        <w:rPr>
          <w:sz w:val="17"/>
        </w:rPr>
        <w:t>[Continuación de la nota de la página anterior]</w:t>
      </w:r>
    </w:p>
  </w:endnote>
  <w:endnote w:type="continuationNotice" w:id="1">
    <w:p w:rsidR="00D47789" w:rsidRPr="007E663E" w:rsidRDefault="00D4778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89" w:rsidRDefault="00D47789">
      <w:r>
        <w:separator/>
      </w:r>
    </w:p>
  </w:footnote>
  <w:footnote w:type="continuationSeparator" w:id="0">
    <w:p w:rsidR="00D47789" w:rsidRPr="009D30E6" w:rsidRDefault="00D47789" w:rsidP="007E663E">
      <w:pPr>
        <w:rPr>
          <w:sz w:val="17"/>
          <w:szCs w:val="17"/>
        </w:rPr>
      </w:pPr>
      <w:r w:rsidRPr="009D30E6">
        <w:rPr>
          <w:sz w:val="17"/>
          <w:szCs w:val="17"/>
        </w:rPr>
        <w:separator/>
      </w:r>
    </w:p>
    <w:p w:rsidR="00D47789" w:rsidRPr="007E663E" w:rsidRDefault="00D47789" w:rsidP="007E663E">
      <w:pPr>
        <w:spacing w:after="60"/>
        <w:rPr>
          <w:sz w:val="17"/>
          <w:szCs w:val="17"/>
        </w:rPr>
      </w:pPr>
      <w:r>
        <w:rPr>
          <w:sz w:val="17"/>
        </w:rPr>
        <w:t>[Continuación de la nota de la página anterior]</w:t>
      </w:r>
    </w:p>
  </w:footnote>
  <w:footnote w:type="continuationNotice" w:id="1">
    <w:p w:rsidR="00D47789" w:rsidRPr="007E663E" w:rsidRDefault="00D4778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89" w:rsidRDefault="00D47789" w:rsidP="00477D6B">
    <w:pPr>
      <w:jc w:val="right"/>
    </w:pPr>
    <w:bookmarkStart w:id="6" w:name="Code2"/>
    <w:bookmarkEnd w:id="6"/>
    <w:r>
      <w:t>MM/A/48/1</w:t>
    </w:r>
  </w:p>
  <w:p w:rsidR="00D47789" w:rsidRDefault="00D47789" w:rsidP="00477D6B">
    <w:pPr>
      <w:jc w:val="right"/>
    </w:pPr>
    <w:r>
      <w:t xml:space="preserve">página </w:t>
    </w:r>
    <w:r>
      <w:fldChar w:fldCharType="begin"/>
    </w:r>
    <w:r>
      <w:instrText xml:space="preserve"> PAGE  \* MERGEFORMAT </w:instrText>
    </w:r>
    <w:r>
      <w:fldChar w:fldCharType="separate"/>
    </w:r>
    <w:r w:rsidR="00B14CCE">
      <w:rPr>
        <w:noProof/>
      </w:rPr>
      <w:t>5</w:t>
    </w:r>
    <w:r>
      <w:fldChar w:fldCharType="end"/>
    </w:r>
  </w:p>
  <w:p w:rsidR="00D47789" w:rsidRDefault="00D4778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6E"/>
    <w:rsid w:val="00002176"/>
    <w:rsid w:val="0000502C"/>
    <w:rsid w:val="00044075"/>
    <w:rsid w:val="00096154"/>
    <w:rsid w:val="000A3B93"/>
    <w:rsid w:val="000B58AE"/>
    <w:rsid w:val="000C73C7"/>
    <w:rsid w:val="000E3BB3"/>
    <w:rsid w:val="000F1056"/>
    <w:rsid w:val="000F5E56"/>
    <w:rsid w:val="00126DB6"/>
    <w:rsid w:val="001362EE"/>
    <w:rsid w:val="001524A8"/>
    <w:rsid w:val="00152CEA"/>
    <w:rsid w:val="001631E9"/>
    <w:rsid w:val="001808F0"/>
    <w:rsid w:val="001832A6"/>
    <w:rsid w:val="001839F3"/>
    <w:rsid w:val="00187156"/>
    <w:rsid w:val="001945A5"/>
    <w:rsid w:val="001C4DD3"/>
    <w:rsid w:val="00216EB6"/>
    <w:rsid w:val="00232CDA"/>
    <w:rsid w:val="002634C4"/>
    <w:rsid w:val="00291573"/>
    <w:rsid w:val="00297990"/>
    <w:rsid w:val="002C31EA"/>
    <w:rsid w:val="002C3F72"/>
    <w:rsid w:val="002C6FB4"/>
    <w:rsid w:val="002D7574"/>
    <w:rsid w:val="002F037C"/>
    <w:rsid w:val="002F4E68"/>
    <w:rsid w:val="002F6D80"/>
    <w:rsid w:val="00306451"/>
    <w:rsid w:val="0033576F"/>
    <w:rsid w:val="00354647"/>
    <w:rsid w:val="003700DA"/>
    <w:rsid w:val="00377273"/>
    <w:rsid w:val="003779C2"/>
    <w:rsid w:val="003845C1"/>
    <w:rsid w:val="00387287"/>
    <w:rsid w:val="003874A2"/>
    <w:rsid w:val="003D080E"/>
    <w:rsid w:val="003D41D4"/>
    <w:rsid w:val="003D7DB4"/>
    <w:rsid w:val="003E1DD0"/>
    <w:rsid w:val="00423E3E"/>
    <w:rsid w:val="00427AF4"/>
    <w:rsid w:val="00440095"/>
    <w:rsid w:val="004474C1"/>
    <w:rsid w:val="0045231F"/>
    <w:rsid w:val="004647DA"/>
    <w:rsid w:val="004655A5"/>
    <w:rsid w:val="00477D6B"/>
    <w:rsid w:val="004A2DA6"/>
    <w:rsid w:val="004A6C37"/>
    <w:rsid w:val="004B2D87"/>
    <w:rsid w:val="004D0CB7"/>
    <w:rsid w:val="004F7E6D"/>
    <w:rsid w:val="0051719A"/>
    <w:rsid w:val="00532A0B"/>
    <w:rsid w:val="0055013B"/>
    <w:rsid w:val="00561ACC"/>
    <w:rsid w:val="0056224D"/>
    <w:rsid w:val="00565563"/>
    <w:rsid w:val="00566FEF"/>
    <w:rsid w:val="00571B99"/>
    <w:rsid w:val="00582420"/>
    <w:rsid w:val="005C14FC"/>
    <w:rsid w:val="005C69E6"/>
    <w:rsid w:val="005D2A96"/>
    <w:rsid w:val="00605827"/>
    <w:rsid w:val="0065093D"/>
    <w:rsid w:val="006538EF"/>
    <w:rsid w:val="00654EE3"/>
    <w:rsid w:val="00675021"/>
    <w:rsid w:val="0069440F"/>
    <w:rsid w:val="006A06C6"/>
    <w:rsid w:val="006B0B0F"/>
    <w:rsid w:val="006C05FB"/>
    <w:rsid w:val="006C3750"/>
    <w:rsid w:val="006E5C0D"/>
    <w:rsid w:val="007220D3"/>
    <w:rsid w:val="00731A2F"/>
    <w:rsid w:val="0076410C"/>
    <w:rsid w:val="007757AA"/>
    <w:rsid w:val="0077649A"/>
    <w:rsid w:val="00783122"/>
    <w:rsid w:val="007838E9"/>
    <w:rsid w:val="00795C47"/>
    <w:rsid w:val="007A4BA7"/>
    <w:rsid w:val="007A4EBD"/>
    <w:rsid w:val="007D2F9F"/>
    <w:rsid w:val="007E663E"/>
    <w:rsid w:val="007F00D1"/>
    <w:rsid w:val="0080058D"/>
    <w:rsid w:val="00803951"/>
    <w:rsid w:val="00815082"/>
    <w:rsid w:val="00834BB7"/>
    <w:rsid w:val="00836F27"/>
    <w:rsid w:val="00840497"/>
    <w:rsid w:val="00841484"/>
    <w:rsid w:val="00846B5D"/>
    <w:rsid w:val="008501C7"/>
    <w:rsid w:val="008B2CC1"/>
    <w:rsid w:val="008B3656"/>
    <w:rsid w:val="008B4000"/>
    <w:rsid w:val="008B42C3"/>
    <w:rsid w:val="008E49E1"/>
    <w:rsid w:val="008F36A5"/>
    <w:rsid w:val="0090731E"/>
    <w:rsid w:val="00924D65"/>
    <w:rsid w:val="00945426"/>
    <w:rsid w:val="009621A4"/>
    <w:rsid w:val="00966A22"/>
    <w:rsid w:val="00972F03"/>
    <w:rsid w:val="009940DA"/>
    <w:rsid w:val="009A0C8B"/>
    <w:rsid w:val="009A0CDE"/>
    <w:rsid w:val="009A2878"/>
    <w:rsid w:val="009B6241"/>
    <w:rsid w:val="009E3737"/>
    <w:rsid w:val="009F5359"/>
    <w:rsid w:val="00A16FC0"/>
    <w:rsid w:val="00A32C9E"/>
    <w:rsid w:val="00A51DB3"/>
    <w:rsid w:val="00A66271"/>
    <w:rsid w:val="00A7453D"/>
    <w:rsid w:val="00A8449A"/>
    <w:rsid w:val="00A87FB7"/>
    <w:rsid w:val="00AA663E"/>
    <w:rsid w:val="00AB613D"/>
    <w:rsid w:val="00AD446E"/>
    <w:rsid w:val="00AE4394"/>
    <w:rsid w:val="00B018E1"/>
    <w:rsid w:val="00B06AB8"/>
    <w:rsid w:val="00B14CCE"/>
    <w:rsid w:val="00B22A62"/>
    <w:rsid w:val="00B24013"/>
    <w:rsid w:val="00B65A0A"/>
    <w:rsid w:val="00B72D36"/>
    <w:rsid w:val="00B91FEE"/>
    <w:rsid w:val="00B92BAD"/>
    <w:rsid w:val="00BB4FFE"/>
    <w:rsid w:val="00BC4164"/>
    <w:rsid w:val="00BD1D58"/>
    <w:rsid w:val="00BD2DCC"/>
    <w:rsid w:val="00BD3F3B"/>
    <w:rsid w:val="00BE1681"/>
    <w:rsid w:val="00BE1A8C"/>
    <w:rsid w:val="00C113A1"/>
    <w:rsid w:val="00C16367"/>
    <w:rsid w:val="00C20C9B"/>
    <w:rsid w:val="00C40166"/>
    <w:rsid w:val="00C55B18"/>
    <w:rsid w:val="00C90559"/>
    <w:rsid w:val="00CA5FB5"/>
    <w:rsid w:val="00CA71FF"/>
    <w:rsid w:val="00CE1CC2"/>
    <w:rsid w:val="00D020BE"/>
    <w:rsid w:val="00D047BD"/>
    <w:rsid w:val="00D06B1E"/>
    <w:rsid w:val="00D071EE"/>
    <w:rsid w:val="00D40CF0"/>
    <w:rsid w:val="00D47789"/>
    <w:rsid w:val="00D50A59"/>
    <w:rsid w:val="00D56C7C"/>
    <w:rsid w:val="00D65E6F"/>
    <w:rsid w:val="00D71B4D"/>
    <w:rsid w:val="00D75CCD"/>
    <w:rsid w:val="00D90289"/>
    <w:rsid w:val="00D93D55"/>
    <w:rsid w:val="00DC7A68"/>
    <w:rsid w:val="00E05B5F"/>
    <w:rsid w:val="00E4511A"/>
    <w:rsid w:val="00E45C84"/>
    <w:rsid w:val="00E504E5"/>
    <w:rsid w:val="00E56B18"/>
    <w:rsid w:val="00E74EE2"/>
    <w:rsid w:val="00EA52CC"/>
    <w:rsid w:val="00EB7A3E"/>
    <w:rsid w:val="00EC401A"/>
    <w:rsid w:val="00EC6938"/>
    <w:rsid w:val="00ED0521"/>
    <w:rsid w:val="00EF530A"/>
    <w:rsid w:val="00EF6622"/>
    <w:rsid w:val="00F369C9"/>
    <w:rsid w:val="00F55408"/>
    <w:rsid w:val="00F563C6"/>
    <w:rsid w:val="00F66152"/>
    <w:rsid w:val="00F80845"/>
    <w:rsid w:val="00F84474"/>
    <w:rsid w:val="00FA386C"/>
    <w:rsid w:val="00FA6AB2"/>
    <w:rsid w:val="00FA6C7D"/>
    <w:rsid w:val="00FD0C4E"/>
    <w:rsid w:val="00FD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8501C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8501C7"/>
    <w:rPr>
      <w:rFonts w:ascii="Tahoma" w:eastAsia="SimSun" w:hAnsi="Tahoma" w:cs="Tahoma"/>
      <w:sz w:val="16"/>
      <w:szCs w:val="16"/>
      <w:lang w:val="es-ES" w:eastAsia="zh-CN"/>
    </w:rPr>
  </w:style>
  <w:style w:type="character" w:customStyle="1" w:styleId="Heading1Char">
    <w:name w:val="Heading 1 Char"/>
    <w:link w:val="Heading1"/>
    <w:uiPriority w:val="99"/>
    <w:locked/>
    <w:rsid w:val="00AD446E"/>
    <w:rPr>
      <w:rFonts w:ascii="Arial" w:eastAsia="SimSun" w:hAnsi="Arial" w:cs="Arial"/>
      <w:b/>
      <w:bCs/>
      <w:caps/>
      <w:kern w:val="32"/>
      <w:sz w:val="2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8501C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8501C7"/>
    <w:rPr>
      <w:rFonts w:ascii="Tahoma" w:eastAsia="SimSun" w:hAnsi="Tahoma" w:cs="Tahoma"/>
      <w:sz w:val="16"/>
      <w:szCs w:val="16"/>
      <w:lang w:val="es-ES" w:eastAsia="zh-CN"/>
    </w:rPr>
  </w:style>
  <w:style w:type="character" w:customStyle="1" w:styleId="Heading1Char">
    <w:name w:val="Heading 1 Char"/>
    <w:link w:val="Heading1"/>
    <w:uiPriority w:val="99"/>
    <w:locked/>
    <w:rsid w:val="00AD446E"/>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A62E-D6A5-478F-92D7-20600222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48 (S).dotm</Template>
  <TotalTime>139</TotalTime>
  <Pages>5</Pages>
  <Words>2120</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Programa de modernización de las tecnologías de la información (Sistema de Madrid de Registro Internacional):  Informe sobre la marcha de las actividades</vt:lpstr>
    </vt:vector>
  </TitlesOfParts>
  <Company>WIPO</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modernización de las tecnologías de la información (Sistema de Madrid de Registro Internacional):  Informe sobre la marcha de las actividades</dc:title>
  <dc:subject>MM/A/48/1</dc:subject>
  <dc:creator>GÓMEZ</dc:creator>
  <dc:description>CGB - 26/6/2014</dc:description>
  <cp:lastModifiedBy>MARIN-CUDRAZ DAVI Nicoletta</cp:lastModifiedBy>
  <cp:revision>49</cp:revision>
  <cp:lastPrinted>2014-07-02T15:19:00Z</cp:lastPrinted>
  <dcterms:created xsi:type="dcterms:W3CDTF">2014-06-30T11:58:00Z</dcterms:created>
  <dcterms:modified xsi:type="dcterms:W3CDTF">2014-07-03T06:59:00Z</dcterms:modified>
</cp:coreProperties>
</file>