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CC" w:rsidRDefault="008B14EA" w:rsidP="008B14EA">
      <w:pPr>
        <w:spacing w:after="120"/>
        <w:jc w:val="right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480DD030" wp14:editId="54F8A085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4A9A19D2" wp14:editId="14DD7BBC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FE7704B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" strokecolor="black [3040]">
                <w10:anchorlock/>
              </v:line>
            </w:pict>
          </mc:Fallback>
        </mc:AlternateContent>
      </w:r>
    </w:p>
    <w:p w:rsidR="007505CC" w:rsidRDefault="00D1673A" w:rsidP="008B14EA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LI/A/38/</w:t>
      </w:r>
      <w:bookmarkStart w:id="1" w:name="Code"/>
      <w:r w:rsidR="00065D8B">
        <w:rPr>
          <w:rFonts w:ascii="Arial Black" w:hAnsi="Arial Black"/>
          <w:caps/>
          <w:sz w:val="15"/>
        </w:rPr>
        <w:t>2</w:t>
      </w:r>
    </w:p>
    <w:bookmarkEnd w:id="1"/>
    <w:p w:rsidR="007505CC" w:rsidRDefault="008B14EA" w:rsidP="008B14EA">
      <w:pPr>
        <w:jc w:val="right"/>
        <w:rPr>
          <w:rFonts w:ascii="Arial Black" w:hAnsi="Arial Black"/>
          <w:caps/>
          <w:sz w:val="15"/>
        </w:rPr>
      </w:pPr>
      <w:r w:rsidRPr="008B14EA">
        <w:rPr>
          <w:rFonts w:ascii="Arial Black" w:hAnsi="Arial Black"/>
          <w:caps/>
          <w:sz w:val="15"/>
        </w:rPr>
        <w:t xml:space="preserve">ORIGINAL: </w:t>
      </w:r>
      <w:bookmarkStart w:id="2" w:name="Original"/>
      <w:r w:rsidR="00065D8B">
        <w:rPr>
          <w:rFonts w:ascii="Arial Black" w:hAnsi="Arial Black"/>
          <w:caps/>
          <w:sz w:val="15"/>
        </w:rPr>
        <w:t>INGLÉS</w:t>
      </w:r>
    </w:p>
    <w:bookmarkEnd w:id="2"/>
    <w:p w:rsidR="007505CC" w:rsidRDefault="008B14EA" w:rsidP="008B14EA">
      <w:pPr>
        <w:spacing w:after="1200"/>
        <w:jc w:val="right"/>
        <w:rPr>
          <w:rFonts w:ascii="Arial Black" w:hAnsi="Arial Black"/>
          <w:caps/>
          <w:sz w:val="15"/>
        </w:rPr>
      </w:pPr>
      <w:r w:rsidRPr="008B14EA">
        <w:rPr>
          <w:rFonts w:ascii="Arial Black" w:hAnsi="Arial Black"/>
          <w:caps/>
          <w:sz w:val="15"/>
        </w:rPr>
        <w:t xml:space="preserve">FECHA: </w:t>
      </w:r>
      <w:bookmarkStart w:id="3" w:name="Date"/>
      <w:r w:rsidR="00065D8B">
        <w:rPr>
          <w:rFonts w:ascii="Arial Black" w:hAnsi="Arial Black"/>
          <w:caps/>
          <w:sz w:val="15"/>
        </w:rPr>
        <w:t>2 DE JULIO DE 2021</w:t>
      </w:r>
    </w:p>
    <w:bookmarkEnd w:id="3"/>
    <w:p w:rsidR="007505CC" w:rsidRDefault="005441D9" w:rsidP="008B14EA">
      <w:pPr>
        <w:spacing w:after="600"/>
        <w:rPr>
          <w:b/>
          <w:sz w:val="28"/>
          <w:szCs w:val="28"/>
        </w:rPr>
      </w:pPr>
      <w:r w:rsidRPr="005441D9">
        <w:rPr>
          <w:b/>
          <w:sz w:val="28"/>
        </w:rPr>
        <w:t>Unión Particular para la Protección de las Denominaciones de Origen y su Registro Internacional (Unión de Lisboa)</w:t>
      </w:r>
    </w:p>
    <w:p w:rsidR="007505CC" w:rsidRDefault="001C4DD3" w:rsidP="008B14EA">
      <w:pPr>
        <w:spacing w:after="720"/>
        <w:rPr>
          <w:b/>
          <w:sz w:val="28"/>
          <w:szCs w:val="28"/>
        </w:rPr>
      </w:pPr>
      <w:r w:rsidRPr="001C4DD3">
        <w:rPr>
          <w:b/>
          <w:sz w:val="28"/>
          <w:szCs w:val="28"/>
        </w:rPr>
        <w:t>Asamblea</w:t>
      </w:r>
    </w:p>
    <w:p w:rsidR="007505CC" w:rsidRDefault="005441D9" w:rsidP="008B14EA">
      <w:pPr>
        <w:spacing w:after="720"/>
        <w:rPr>
          <w:b/>
          <w:sz w:val="24"/>
          <w:szCs w:val="24"/>
        </w:rPr>
      </w:pPr>
      <w:r w:rsidRPr="002511BF">
        <w:rPr>
          <w:b/>
          <w:sz w:val="24"/>
        </w:rPr>
        <w:t>Trigésimo octavo período de sesiones (24.º</w:t>
      </w:r>
      <w:r w:rsidR="00A152B5">
        <w:rPr>
          <w:b/>
          <w:sz w:val="24"/>
        </w:rPr>
        <w:t xml:space="preserve"> </w:t>
      </w:r>
      <w:r w:rsidRPr="002511BF">
        <w:rPr>
          <w:b/>
          <w:sz w:val="24"/>
        </w:rPr>
        <w:t>ordinario)</w:t>
      </w:r>
      <w:r w:rsidR="008B14EA">
        <w:rPr>
          <w:b/>
          <w:sz w:val="24"/>
          <w:szCs w:val="24"/>
        </w:rPr>
        <w:br/>
      </w:r>
      <w:r w:rsidRPr="005E26A1">
        <w:rPr>
          <w:b/>
          <w:sz w:val="24"/>
        </w:rPr>
        <w:t xml:space="preserve">Ginebra, </w:t>
      </w:r>
      <w:r w:rsidRPr="00537228">
        <w:rPr>
          <w:b/>
          <w:sz w:val="24"/>
        </w:rPr>
        <w:t>4 a 8 de octubre de 2021</w:t>
      </w:r>
    </w:p>
    <w:p w:rsidR="007505CC" w:rsidRPr="00C4673A" w:rsidRDefault="007505CC" w:rsidP="007505CC">
      <w:pPr>
        <w:spacing w:after="360"/>
        <w:rPr>
          <w:caps/>
          <w:sz w:val="24"/>
        </w:rPr>
      </w:pPr>
      <w:bookmarkStart w:id="4" w:name="TitleOfDoc"/>
      <w:r w:rsidRPr="007505CC">
        <w:rPr>
          <w:caps/>
          <w:sz w:val="24"/>
          <w:lang w:val="es-ES_tradnl"/>
        </w:rPr>
        <w:t xml:space="preserve">PROPUESTAS </w:t>
      </w:r>
      <w:r w:rsidR="00011302">
        <w:rPr>
          <w:caps/>
          <w:sz w:val="24"/>
          <w:lang w:val="es-ES_tradnl"/>
        </w:rPr>
        <w:t xml:space="preserve">de modificación </w:t>
      </w:r>
      <w:r w:rsidRPr="007505CC">
        <w:rPr>
          <w:caps/>
          <w:sz w:val="24"/>
          <w:lang w:val="es-ES_tradnl"/>
        </w:rPr>
        <w:t>DEL REGLAMENTO COMÚN DEL ARREGLO DE LISBOA Y DEL ACTA DE GINEBRA DEL ARREGLO DE LISBOA</w:t>
      </w:r>
    </w:p>
    <w:p w:rsidR="007505CC" w:rsidRDefault="00065D8B" w:rsidP="008B14EA">
      <w:pPr>
        <w:spacing w:after="960"/>
        <w:rPr>
          <w:i/>
        </w:rPr>
      </w:pPr>
      <w:bookmarkStart w:id="5" w:name="Prepared"/>
      <w:bookmarkEnd w:id="4"/>
      <w:r>
        <w:rPr>
          <w:i/>
        </w:rPr>
        <w:t>Documento preparado por la Secretaría</w:t>
      </w:r>
    </w:p>
    <w:bookmarkEnd w:id="5"/>
    <w:p w:rsidR="007505CC" w:rsidRPr="00C4673A" w:rsidRDefault="00A66275" w:rsidP="00C4673A">
      <w:pPr>
        <w:pStyle w:val="ONUMFS"/>
      </w:pPr>
      <w:r w:rsidRPr="00A66275">
        <w:rPr>
          <w:lang w:val="es-ES_tradnl"/>
        </w:rPr>
        <w:t xml:space="preserve">En su tercera reunión, celebrada los días 2 y 3 de noviembre de 2020, el Grupo de Trabajo sobre el Desarrollo del Sistema de Lisboa (en adelante denominado </w:t>
      </w:r>
      <w:r w:rsidR="004C544B">
        <w:rPr>
          <w:lang w:val="es-ES_tradnl"/>
        </w:rPr>
        <w:t>“</w:t>
      </w:r>
      <w:r w:rsidRPr="00A66275">
        <w:rPr>
          <w:lang w:val="es-ES_tradnl"/>
        </w:rPr>
        <w:t>el Grupo de Trabajo</w:t>
      </w:r>
      <w:r w:rsidR="004C544B">
        <w:rPr>
          <w:lang w:val="es-ES_tradnl"/>
        </w:rPr>
        <w:t>”</w:t>
      </w:r>
      <w:r w:rsidRPr="00A66275">
        <w:rPr>
          <w:lang w:val="es-ES_tradnl"/>
        </w:rPr>
        <w:t xml:space="preserve">) recomendó a la Asamblea de la Unión de Lisboa que apruebe, en su trigésimo octavo período de sesiones, las modificaciones del Reglamento Común del Arreglo de Lisboa relativo a la Protección de las Denominaciones de Origen y su Registro Internacional y del Acta de Ginebra del Arreglo de Lisboa relativo a las Denominaciones de Origen y las Indicaciones Geográfica (en lo sucesivo, </w:t>
      </w:r>
      <w:r w:rsidR="004C544B">
        <w:rPr>
          <w:lang w:val="es-ES_tradnl"/>
        </w:rPr>
        <w:t>“</w:t>
      </w:r>
      <w:r w:rsidRPr="00A66275">
        <w:rPr>
          <w:lang w:val="es-ES_tradnl"/>
        </w:rPr>
        <w:t>el Reglamento Común</w:t>
      </w:r>
      <w:r w:rsidR="004C544B">
        <w:rPr>
          <w:lang w:val="es-ES_tradnl"/>
        </w:rPr>
        <w:t>”</w:t>
      </w:r>
      <w:r w:rsidRPr="00A66275">
        <w:rPr>
          <w:lang w:val="es-ES_tradnl"/>
        </w:rPr>
        <w:t>) en lo que respecta a la inclusión de una nueva Regla 2</w:t>
      </w:r>
      <w:r w:rsidRPr="00A66275">
        <w:rPr>
          <w:i/>
          <w:lang w:val="es-ES_tradnl"/>
        </w:rPr>
        <w:t xml:space="preserve">bis </w:t>
      </w:r>
      <w:r w:rsidRPr="00A66275">
        <w:rPr>
          <w:lang w:val="es-ES_tradnl"/>
        </w:rPr>
        <w:t>(véase el párrafo 14 del documento LI/WG/DEV-SYS/3/4). Los debates del Grupo de Trabajo se basaron en el documento LI/WG/DEV-SYS/3/3 Rev.</w:t>
      </w:r>
    </w:p>
    <w:p w:rsidR="007505CC" w:rsidRPr="00F82A3F" w:rsidRDefault="00A66275" w:rsidP="00C4673A">
      <w:pPr>
        <w:pStyle w:val="ONUMFS"/>
      </w:pPr>
      <w:r w:rsidRPr="00A66275">
        <w:rPr>
          <w:lang w:val="es-ES_tradnl"/>
        </w:rPr>
        <w:t>La nueva Regla 2</w:t>
      </w:r>
      <w:r w:rsidRPr="00A66275">
        <w:rPr>
          <w:i/>
          <w:lang w:val="es-ES_tradnl"/>
        </w:rPr>
        <w:t>bis</w:t>
      </w:r>
      <w:r w:rsidRPr="00A66275">
        <w:rPr>
          <w:lang w:val="es-ES_tradnl"/>
        </w:rPr>
        <w:t xml:space="preserve"> propuesta del Reglamento Común resultaría útil para los usuarios del Sistema de Lisboa que se enfrenten a una situación de fuerza mayor que les impida efectuar un trámite determinado dentro del plazo previsto.</w:t>
      </w:r>
      <w:r w:rsidR="00F82A3F" w:rsidRPr="00C4673A">
        <w:t xml:space="preserve"> </w:t>
      </w:r>
      <w:r w:rsidR="00DD001A" w:rsidRPr="00DD001A">
        <w:rPr>
          <w:lang w:val="es-ES_tradnl"/>
        </w:rPr>
        <w:t>Estas modificaciones ofrecerían a dichos usuarios una medida de subsanación equivalente a la prevista en otros sistemas mundiales de PI de la OMPI. Conforme a la nueva regla se requeriría que el trámite se efectuara y las pruebas se presentaran lo antes posible y, a más tardar, seis meses después del vencimiento del plazo en cuestión.</w:t>
      </w:r>
      <w:r w:rsidR="00F82A3F">
        <w:rPr>
          <w:szCs w:val="22"/>
        </w:rPr>
        <w:t xml:space="preserve"> </w:t>
      </w:r>
      <w:r w:rsidR="00DD001A" w:rsidRPr="00DD001A">
        <w:rPr>
          <w:szCs w:val="22"/>
          <w:lang w:val="es-ES_tradnl"/>
        </w:rPr>
        <w:t>Las modificaciones propuestas del Reglamento Común se reproducen en el Anexo del presente documento (donde aparecen subrayadas o tachadas).</w:t>
      </w:r>
    </w:p>
    <w:p w:rsidR="007505CC" w:rsidRPr="00C4673A" w:rsidRDefault="001C2BC8" w:rsidP="00C4673A">
      <w:pPr>
        <w:pStyle w:val="ONUMFS"/>
      </w:pPr>
      <w:r w:rsidRPr="001C2BC8">
        <w:rPr>
          <w:lang w:val="es-ES_tradnl"/>
        </w:rPr>
        <w:lastRenderedPageBreak/>
        <w:t xml:space="preserve">El Grupo de Trabajo también recomendó que las </w:t>
      </w:r>
      <w:r w:rsidR="00FC532D">
        <w:rPr>
          <w:lang w:val="es-ES_tradnl"/>
        </w:rPr>
        <w:t xml:space="preserve">propuestas de </w:t>
      </w:r>
      <w:r w:rsidRPr="001C2BC8">
        <w:rPr>
          <w:lang w:val="es-ES_tradnl"/>
        </w:rPr>
        <w:t>modificaci</w:t>
      </w:r>
      <w:r w:rsidR="00FC532D">
        <w:rPr>
          <w:lang w:val="es-ES_tradnl"/>
        </w:rPr>
        <w:t>ó</w:t>
      </w:r>
      <w:r w:rsidRPr="001C2BC8">
        <w:rPr>
          <w:lang w:val="es-ES_tradnl"/>
        </w:rPr>
        <w:t xml:space="preserve">n del Reglamento Común entren en vigor dos meses después de su aprobación por la Asamblea de la Unión de Lisboa, es decir, el 8 de diciembre de 2021 (véase el párrafo 14 del </w:t>
      </w:r>
      <w:r w:rsidR="00043CFF" w:rsidRPr="001C2BC8">
        <w:rPr>
          <w:lang w:val="es-ES_tradnl"/>
        </w:rPr>
        <w:t>documento</w:t>
      </w:r>
      <w:r w:rsidR="00043CFF">
        <w:rPr>
          <w:lang w:val="es-ES_tradnl"/>
        </w:rPr>
        <w:t> </w:t>
      </w:r>
      <w:r w:rsidRPr="001C2BC8">
        <w:rPr>
          <w:lang w:val="es-ES_tradnl"/>
        </w:rPr>
        <w:t>LI/WG/DEV-SYS/3/4).</w:t>
      </w:r>
    </w:p>
    <w:p w:rsidR="007505CC" w:rsidRPr="00C4673A" w:rsidRDefault="001C2BC8" w:rsidP="00C4673A">
      <w:pPr>
        <w:pStyle w:val="ONUMFS"/>
        <w:tabs>
          <w:tab w:val="clear" w:pos="567"/>
        </w:tabs>
        <w:spacing w:after="600"/>
        <w:ind w:left="5528"/>
        <w:rPr>
          <w:i/>
        </w:rPr>
      </w:pPr>
      <w:r w:rsidRPr="001C2BC8">
        <w:rPr>
          <w:i/>
          <w:lang w:val="es-ES_tradnl"/>
        </w:rPr>
        <w:t>Se invita a la Asamblea de la Unión de Lisboa a adoptar las modificaciones del Reglamento Común del Arreglo de Lisboa y del Acta de Ginebra del Arreglo de Lisboa, que figuran en el Anexo del documento LI/A/38/2.</w:t>
      </w:r>
    </w:p>
    <w:p w:rsidR="007505CC" w:rsidRPr="00C4673A" w:rsidRDefault="001C2BC8" w:rsidP="00C4673A">
      <w:pPr>
        <w:ind w:left="5534"/>
        <w:sectPr w:rsidR="007505CC" w:rsidRPr="00C4673A" w:rsidSect="00A265A6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1C2BC8">
        <w:rPr>
          <w:lang w:val="es-ES_tradnl"/>
        </w:rPr>
        <w:t>[Sigue el Anexo]</w:t>
      </w:r>
    </w:p>
    <w:p w:rsidR="007505CC" w:rsidRPr="00C4673A" w:rsidRDefault="001C2BC8" w:rsidP="001C2BC8">
      <w:pPr>
        <w:jc w:val="center"/>
        <w:rPr>
          <w:rFonts w:eastAsia="MS Mincho"/>
          <w:b/>
          <w:bCs/>
          <w:szCs w:val="22"/>
          <w:lang w:eastAsia="en-US"/>
        </w:rPr>
      </w:pPr>
      <w:r w:rsidRPr="001C2BC8">
        <w:rPr>
          <w:rFonts w:eastAsia="MS Mincho"/>
          <w:b/>
          <w:bCs/>
          <w:szCs w:val="22"/>
          <w:lang w:val="es-ES_tradnl" w:eastAsia="en-US"/>
        </w:rPr>
        <w:lastRenderedPageBreak/>
        <w:t>Reglamento Común</w:t>
      </w:r>
    </w:p>
    <w:p w:rsidR="007505CC" w:rsidRPr="00F82A3F" w:rsidRDefault="001C2BC8" w:rsidP="001C2BC8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eastAsia="en-US"/>
        </w:rPr>
      </w:pPr>
      <w:r w:rsidRPr="001C2BC8">
        <w:rPr>
          <w:rFonts w:eastAsia="MS Mincho"/>
          <w:b/>
          <w:bCs/>
          <w:szCs w:val="22"/>
          <w:lang w:val="es-ES_tradnl" w:eastAsia="en-US"/>
        </w:rPr>
        <w:t>del Arreglo de Lisboa relativo a la Protección de las Denominaciones de Origen y su Registro Internacional y del Acta de Ginebra del Arreglo de Lisboa relativo a las Denominaciones de Origen y las Indicaciones Geográficas</w:t>
      </w:r>
    </w:p>
    <w:p w:rsidR="007505CC" w:rsidRPr="001C2BC8" w:rsidRDefault="007505CC" w:rsidP="007505CC">
      <w:pPr>
        <w:spacing w:before="240"/>
        <w:jc w:val="center"/>
        <w:rPr>
          <w:rFonts w:eastAsia="MS Mincho"/>
          <w:szCs w:val="22"/>
          <w:lang w:eastAsia="en-US"/>
        </w:rPr>
      </w:pPr>
      <w:r w:rsidRPr="007F19BD">
        <w:rPr>
          <w:rFonts w:eastAsia="MS Mincho"/>
          <w:szCs w:val="22"/>
          <w:lang w:eastAsia="en-US"/>
        </w:rPr>
        <w:t>(</w:t>
      </w:r>
      <w:r w:rsidR="001C2BC8" w:rsidRPr="007F19BD">
        <w:rPr>
          <w:rFonts w:eastAsia="MS Mincho"/>
          <w:szCs w:val="22"/>
          <w:lang w:eastAsia="en-US"/>
        </w:rPr>
        <w:t xml:space="preserve">texto en vigor a partir del </w:t>
      </w:r>
      <w:r w:rsidRPr="007F19BD">
        <w:rPr>
          <w:color w:val="1F497D" w:themeColor="text2"/>
          <w:sz w:val="20"/>
          <w:szCs w:val="22"/>
        </w:rPr>
        <w:t>[</w:t>
      </w:r>
      <w:r w:rsidR="001C2BC8" w:rsidRPr="007F19BD">
        <w:rPr>
          <w:color w:val="0070C0"/>
          <w:szCs w:val="22"/>
          <w:u w:val="single"/>
        </w:rPr>
        <w:t xml:space="preserve">8 de diciembre de </w:t>
      </w:r>
      <w:r w:rsidRPr="007F19BD">
        <w:rPr>
          <w:color w:val="0070C0"/>
          <w:szCs w:val="22"/>
          <w:u w:val="single"/>
        </w:rPr>
        <w:t>2021]</w:t>
      </w:r>
      <w:r w:rsidRPr="007F19BD">
        <w:rPr>
          <w:rFonts w:eastAsia="MS Mincho"/>
          <w:szCs w:val="22"/>
          <w:lang w:eastAsia="en-US"/>
        </w:rPr>
        <w:t>)</w:t>
      </w:r>
    </w:p>
    <w:p w:rsidR="007505CC" w:rsidRPr="00C4673A" w:rsidRDefault="007505CC" w:rsidP="007505CC">
      <w:pPr>
        <w:spacing w:before="240"/>
        <w:jc w:val="center"/>
        <w:rPr>
          <w:rFonts w:eastAsia="Times New Roman"/>
          <w:szCs w:val="22"/>
          <w:lang w:eastAsia="ja-JP"/>
        </w:rPr>
      </w:pPr>
      <w:r w:rsidRPr="00C4673A">
        <w:rPr>
          <w:rFonts w:eastAsia="Times New Roman"/>
          <w:szCs w:val="22"/>
          <w:lang w:eastAsia="ja-JP"/>
        </w:rPr>
        <w:t>[…]</w:t>
      </w:r>
    </w:p>
    <w:p w:rsidR="007505CC" w:rsidRPr="001C2BC8" w:rsidRDefault="007505CC" w:rsidP="007505CC">
      <w:pPr>
        <w:spacing w:before="240"/>
        <w:jc w:val="center"/>
        <w:rPr>
          <w:rFonts w:eastAsia="MS Mincho"/>
          <w:b/>
          <w:bCs/>
          <w:szCs w:val="22"/>
          <w:lang w:eastAsia="en-US"/>
        </w:rPr>
      </w:pPr>
      <w:r w:rsidRPr="001C2BC8">
        <w:rPr>
          <w:rFonts w:eastAsia="MS Mincho"/>
          <w:b/>
          <w:bCs/>
          <w:szCs w:val="22"/>
          <w:lang w:eastAsia="en-US"/>
        </w:rPr>
        <w:t>C</w:t>
      </w:r>
      <w:r w:rsidR="001C2BC8" w:rsidRPr="001C2BC8">
        <w:rPr>
          <w:rFonts w:eastAsia="MS Mincho"/>
          <w:b/>
          <w:bCs/>
          <w:szCs w:val="22"/>
          <w:lang w:eastAsia="en-US"/>
        </w:rPr>
        <w:t xml:space="preserve">APÍTULO </w:t>
      </w:r>
      <w:r w:rsidRPr="001C2BC8">
        <w:rPr>
          <w:rFonts w:eastAsia="MS Mincho"/>
          <w:b/>
          <w:bCs/>
          <w:szCs w:val="22"/>
          <w:lang w:eastAsia="en-US"/>
        </w:rPr>
        <w:t>I</w:t>
      </w:r>
    </w:p>
    <w:p w:rsidR="007505CC" w:rsidRPr="001C2BC8" w:rsidRDefault="001C2BC8" w:rsidP="007505CC">
      <w:pPr>
        <w:jc w:val="center"/>
        <w:rPr>
          <w:rFonts w:eastAsia="MS Mincho"/>
          <w:b/>
          <w:bCs/>
          <w:szCs w:val="22"/>
          <w:lang w:eastAsia="en-US"/>
        </w:rPr>
      </w:pPr>
      <w:r w:rsidRPr="001C2BC8">
        <w:rPr>
          <w:rFonts w:eastAsia="MS Mincho"/>
          <w:b/>
          <w:bCs/>
          <w:szCs w:val="22"/>
          <w:lang w:eastAsia="en-US"/>
        </w:rPr>
        <w:t xml:space="preserve">Disposiciones </w:t>
      </w:r>
      <w:r w:rsidR="007F19BD" w:rsidRPr="001C2BC8">
        <w:rPr>
          <w:rFonts w:eastAsia="MS Mincho"/>
          <w:b/>
          <w:bCs/>
          <w:szCs w:val="22"/>
          <w:lang w:eastAsia="en-US"/>
        </w:rPr>
        <w:t>preliminares</w:t>
      </w:r>
      <w:r w:rsidRPr="001C2BC8">
        <w:rPr>
          <w:rFonts w:eastAsia="MS Mincho"/>
          <w:b/>
          <w:bCs/>
          <w:szCs w:val="22"/>
          <w:lang w:eastAsia="en-US"/>
        </w:rPr>
        <w:t xml:space="preserve"> y generales</w:t>
      </w:r>
    </w:p>
    <w:p w:rsidR="007505CC" w:rsidRPr="00C4673A" w:rsidRDefault="007505CC" w:rsidP="007505CC">
      <w:pPr>
        <w:spacing w:before="240"/>
        <w:jc w:val="center"/>
        <w:rPr>
          <w:rFonts w:eastAsia="Times New Roman"/>
          <w:szCs w:val="22"/>
          <w:lang w:eastAsia="ja-JP"/>
        </w:rPr>
      </w:pPr>
      <w:r w:rsidRPr="00C4673A">
        <w:rPr>
          <w:rFonts w:eastAsia="Times New Roman"/>
          <w:szCs w:val="22"/>
          <w:lang w:eastAsia="ja-JP"/>
        </w:rPr>
        <w:t>[…]</w:t>
      </w:r>
    </w:p>
    <w:p w:rsidR="007505CC" w:rsidRPr="001C2BC8" w:rsidRDefault="007505CC" w:rsidP="007505CC">
      <w:pPr>
        <w:spacing w:before="480" w:after="240"/>
        <w:jc w:val="center"/>
        <w:outlineLvl w:val="3"/>
        <w:rPr>
          <w:bCs/>
          <w:i/>
          <w:color w:val="0070C0"/>
          <w:szCs w:val="28"/>
          <w:u w:val="single"/>
        </w:rPr>
      </w:pPr>
      <w:r w:rsidRPr="001C2BC8">
        <w:rPr>
          <w:b/>
          <w:bCs/>
          <w:color w:val="0070C0"/>
          <w:szCs w:val="28"/>
          <w:u w:val="single"/>
        </w:rPr>
        <w:t>R</w:t>
      </w:r>
      <w:r w:rsidR="001C2BC8" w:rsidRPr="001C2BC8">
        <w:rPr>
          <w:b/>
          <w:bCs/>
          <w:color w:val="0070C0"/>
          <w:szCs w:val="28"/>
          <w:u w:val="single"/>
        </w:rPr>
        <w:t>egla</w:t>
      </w:r>
      <w:r w:rsidRPr="001C2BC8">
        <w:rPr>
          <w:b/>
          <w:bCs/>
          <w:color w:val="0070C0"/>
          <w:szCs w:val="28"/>
          <w:u w:val="single"/>
        </w:rPr>
        <w:t xml:space="preserve"> 2</w:t>
      </w:r>
      <w:r w:rsidRPr="001C2BC8">
        <w:rPr>
          <w:b/>
          <w:bCs/>
          <w:i/>
          <w:color w:val="0070C0"/>
          <w:szCs w:val="28"/>
          <w:u w:val="single"/>
        </w:rPr>
        <w:t>bis</w:t>
      </w:r>
      <w:r w:rsidRPr="001C2BC8">
        <w:rPr>
          <w:b/>
          <w:bCs/>
          <w:i/>
          <w:color w:val="0070C0"/>
          <w:szCs w:val="28"/>
          <w:u w:val="single"/>
        </w:rPr>
        <w:br/>
      </w:r>
      <w:r w:rsidRPr="001C2BC8">
        <w:rPr>
          <w:bCs/>
          <w:color w:val="0070C0"/>
          <w:szCs w:val="28"/>
          <w:u w:val="single"/>
        </w:rPr>
        <w:t>Ex</w:t>
      </w:r>
      <w:r w:rsidR="001C2BC8" w:rsidRPr="001C2BC8">
        <w:rPr>
          <w:bCs/>
          <w:color w:val="0070C0"/>
          <w:szCs w:val="28"/>
          <w:u w:val="single"/>
        </w:rPr>
        <w:t>cusa de los retrasos en el cumplimiento de los plazos</w:t>
      </w:r>
    </w:p>
    <w:p w:rsidR="00693E17" w:rsidRDefault="007505CC" w:rsidP="00693E17">
      <w:pPr>
        <w:spacing w:before="240" w:after="240"/>
        <w:outlineLvl w:val="3"/>
        <w:rPr>
          <w:color w:val="0070C0"/>
          <w:u w:val="single"/>
        </w:rPr>
      </w:pPr>
      <w:r w:rsidRPr="00693E17">
        <w:rPr>
          <w:color w:val="0070C0"/>
          <w:u w:val="single"/>
        </w:rPr>
        <w:t>(1)</w:t>
      </w:r>
      <w:r w:rsidRPr="00693E17">
        <w:rPr>
          <w:color w:val="0070C0"/>
          <w:u w:val="single"/>
        </w:rPr>
        <w:tab/>
      </w:r>
      <w:r w:rsidRPr="00693E17">
        <w:rPr>
          <w:i/>
          <w:color w:val="0070C0"/>
          <w:u w:val="single"/>
        </w:rPr>
        <w:t>[</w:t>
      </w:r>
      <w:r w:rsidR="00693E17" w:rsidRPr="00693E17">
        <w:rPr>
          <w:i/>
          <w:color w:val="0070C0"/>
          <w:u w:val="single"/>
        </w:rPr>
        <w:t>Excusa de los retrasos en el cumplimiento de los plazos por motivos de fuerza mayor</w:t>
      </w:r>
      <w:r w:rsidRPr="00693E17">
        <w:rPr>
          <w:i/>
          <w:color w:val="0070C0"/>
          <w:u w:val="single"/>
        </w:rPr>
        <w:t>]</w:t>
      </w:r>
      <w:r w:rsidR="00693E17">
        <w:rPr>
          <w:color w:val="0070C0"/>
          <w:u w:val="single"/>
        </w:rPr>
        <w:t xml:space="preserve"> </w:t>
      </w:r>
      <w:r w:rsidR="00693E17" w:rsidRPr="00693E17">
        <w:rPr>
          <w:color w:val="0070C0"/>
          <w:u w:val="single"/>
        </w:rPr>
        <w:t>El</w:t>
      </w:r>
      <w:r w:rsidR="00693E17">
        <w:rPr>
          <w:color w:val="0070C0"/>
          <w:u w:val="single"/>
        </w:rPr>
        <w:t xml:space="preserve"> </w:t>
      </w:r>
      <w:r w:rsidR="00693E17" w:rsidRPr="00693E17">
        <w:rPr>
          <w:color w:val="0070C0"/>
          <w:u w:val="single"/>
        </w:rPr>
        <w:t>incumplimiento por parte de una Administración competente o, en el caso del Artículo 5.3) del</w:t>
      </w:r>
      <w:r w:rsidR="00693E17">
        <w:rPr>
          <w:color w:val="0070C0"/>
          <w:u w:val="single"/>
        </w:rPr>
        <w:t xml:space="preserve"> </w:t>
      </w:r>
      <w:r w:rsidR="00693E17" w:rsidRPr="00693E17">
        <w:rPr>
          <w:color w:val="0070C0"/>
          <w:u w:val="single"/>
        </w:rPr>
        <w:t>Acta de Ginebra, de los beneficiarios o de una persona física o jurídica mencionada en el</w:t>
      </w:r>
      <w:r w:rsidR="00693E17">
        <w:rPr>
          <w:color w:val="0070C0"/>
          <w:u w:val="single"/>
        </w:rPr>
        <w:t xml:space="preserve"> </w:t>
      </w:r>
      <w:r w:rsidR="00693E17" w:rsidRPr="00693E17">
        <w:rPr>
          <w:color w:val="0070C0"/>
          <w:u w:val="single"/>
        </w:rPr>
        <w:t>Artículo 5.2)ii) de esa Acta, respecto de un plazo establecido en el Reglamento para efectuar</w:t>
      </w:r>
      <w:r w:rsidR="00693E17">
        <w:rPr>
          <w:color w:val="0070C0"/>
          <w:u w:val="single"/>
        </w:rPr>
        <w:t xml:space="preserve"> </w:t>
      </w:r>
      <w:r w:rsidR="00693E17" w:rsidRPr="00693E17">
        <w:rPr>
          <w:color w:val="0070C0"/>
          <w:u w:val="single"/>
        </w:rPr>
        <w:t>un trámite ante la Oficina Internacional, se excusará si la Administración competente o, en el</w:t>
      </w:r>
      <w:r w:rsidR="00693E17">
        <w:rPr>
          <w:color w:val="0070C0"/>
          <w:u w:val="single"/>
        </w:rPr>
        <w:t xml:space="preserve"> </w:t>
      </w:r>
      <w:r w:rsidR="00693E17" w:rsidRPr="00693E17">
        <w:rPr>
          <w:color w:val="0070C0"/>
          <w:u w:val="single"/>
        </w:rPr>
        <w:t>caso del Artículo 5.3) del Acta de Ginebra, los beneficiarios o la persona física o jurídica</w:t>
      </w:r>
      <w:r w:rsidR="00693E17">
        <w:rPr>
          <w:color w:val="0070C0"/>
          <w:u w:val="single"/>
        </w:rPr>
        <w:t xml:space="preserve"> </w:t>
      </w:r>
      <w:r w:rsidR="00693E17" w:rsidRPr="00693E17">
        <w:rPr>
          <w:color w:val="0070C0"/>
          <w:u w:val="single"/>
        </w:rPr>
        <w:t>mencionada en el Artículo 5.2)ii) de esa Acta, demuestran, de manera satisfactoria para la</w:t>
      </w:r>
      <w:r w:rsidR="00693E17">
        <w:rPr>
          <w:color w:val="0070C0"/>
          <w:u w:val="single"/>
        </w:rPr>
        <w:t xml:space="preserve"> </w:t>
      </w:r>
      <w:r w:rsidR="00693E17" w:rsidRPr="00693E17">
        <w:rPr>
          <w:color w:val="0070C0"/>
          <w:u w:val="single"/>
        </w:rPr>
        <w:t>Oficina Internacional, que el incumplimiento fue debido a una situación de guerra, revolución,</w:t>
      </w:r>
      <w:r w:rsidR="00693E17">
        <w:rPr>
          <w:color w:val="0070C0"/>
          <w:u w:val="single"/>
        </w:rPr>
        <w:t xml:space="preserve"> </w:t>
      </w:r>
      <w:r w:rsidR="00693E17" w:rsidRPr="00693E17">
        <w:rPr>
          <w:color w:val="0070C0"/>
          <w:u w:val="single"/>
        </w:rPr>
        <w:t>agitación social, huelga, desastre natura</w:t>
      </w:r>
      <w:r w:rsidR="00693E17">
        <w:rPr>
          <w:color w:val="0070C0"/>
          <w:u w:val="single"/>
        </w:rPr>
        <w:t>l,</w:t>
      </w:r>
      <w:r w:rsidR="00693E17" w:rsidRPr="00693E17">
        <w:rPr>
          <w:color w:val="0070C0"/>
          <w:u w:val="single"/>
        </w:rPr>
        <w:t xml:space="preserve"> irregularidades en los servicios </w:t>
      </w:r>
      <w:r w:rsidR="00693E17" w:rsidRPr="004B4DA9">
        <w:rPr>
          <w:color w:val="0070C0"/>
          <w:u w:val="single"/>
        </w:rPr>
        <w:t>postal</w:t>
      </w:r>
      <w:r w:rsidR="00693E17" w:rsidRPr="00693E17">
        <w:rPr>
          <w:color w:val="0070C0"/>
          <w:u w:val="single"/>
        </w:rPr>
        <w:t>, de</w:t>
      </w:r>
      <w:r w:rsidR="00693E17">
        <w:rPr>
          <w:color w:val="0070C0"/>
          <w:u w:val="single"/>
        </w:rPr>
        <w:t xml:space="preserve"> </w:t>
      </w:r>
      <w:r w:rsidR="00693E17" w:rsidRPr="00693E17">
        <w:rPr>
          <w:color w:val="0070C0"/>
          <w:u w:val="single"/>
        </w:rPr>
        <w:t>distribución o de comunicación electrónica debidas a circunstancias ajenas al control de una</w:t>
      </w:r>
      <w:r w:rsidR="00693E17">
        <w:rPr>
          <w:color w:val="0070C0"/>
          <w:u w:val="single"/>
        </w:rPr>
        <w:t xml:space="preserve"> </w:t>
      </w:r>
      <w:r w:rsidR="00693E17" w:rsidRPr="00693E17">
        <w:rPr>
          <w:color w:val="0070C0"/>
          <w:u w:val="single"/>
        </w:rPr>
        <w:t>Administración competente o, en el caso del Artículo 5.3) del Acta de Ginebra, de los</w:t>
      </w:r>
      <w:r w:rsidR="00693E17">
        <w:rPr>
          <w:color w:val="0070C0"/>
          <w:u w:val="single"/>
        </w:rPr>
        <w:t xml:space="preserve"> </w:t>
      </w:r>
      <w:r w:rsidR="00693E17" w:rsidRPr="00693E17">
        <w:rPr>
          <w:color w:val="0070C0"/>
          <w:u w:val="single"/>
        </w:rPr>
        <w:t>beneficiarios o de una persona física o jurídica mencionada en el Artículo 5.2)ii) de esa Acta, u</w:t>
      </w:r>
      <w:r w:rsidR="00693E17">
        <w:rPr>
          <w:color w:val="0070C0"/>
          <w:u w:val="single"/>
        </w:rPr>
        <w:t xml:space="preserve"> </w:t>
      </w:r>
      <w:r w:rsidR="00693E17" w:rsidRPr="00693E17">
        <w:rPr>
          <w:color w:val="0070C0"/>
          <w:u w:val="single"/>
        </w:rPr>
        <w:t>otro motivo de fuerza mayor.</w:t>
      </w:r>
    </w:p>
    <w:p w:rsidR="007505CC" w:rsidRPr="007F19BD" w:rsidRDefault="007505CC" w:rsidP="007505CC">
      <w:pPr>
        <w:spacing w:before="240"/>
        <w:rPr>
          <w:color w:val="0070C0"/>
          <w:szCs w:val="24"/>
          <w:u w:val="single"/>
        </w:rPr>
      </w:pPr>
      <w:r w:rsidRPr="00693E17">
        <w:rPr>
          <w:color w:val="0070C0"/>
          <w:u w:val="single"/>
        </w:rPr>
        <w:t xml:space="preserve">(2) </w:t>
      </w:r>
      <w:r w:rsidRPr="007F19BD">
        <w:rPr>
          <w:color w:val="0070C0"/>
          <w:u w:val="single"/>
        </w:rPr>
        <w:tab/>
      </w:r>
      <w:r w:rsidRPr="007F19BD">
        <w:rPr>
          <w:i/>
          <w:color w:val="0070C0"/>
          <w:u w:val="single"/>
        </w:rPr>
        <w:t>[</w:t>
      </w:r>
      <w:r w:rsidR="00693E17" w:rsidRPr="007F19BD">
        <w:rPr>
          <w:i/>
          <w:color w:val="0070C0"/>
          <w:u w:val="single"/>
        </w:rPr>
        <w:t>Limitación de la justificación]</w:t>
      </w:r>
      <w:r w:rsidR="00693E17" w:rsidRPr="007F19BD">
        <w:rPr>
          <w:color w:val="0070C0"/>
          <w:u w:val="single"/>
        </w:rPr>
        <w:t xml:space="preserve"> El incumplimiento de un plazo solo se excusará en virtud de la presente Regla si las pruebas mencionadas en el párrafo 1) son recibidas por la Oficina Internacional, y el trámite pertinente se efectúa ante ella, lo antes posible y, a más tardar, seis meses después del vencimiento del plazo en cuestión</w:t>
      </w:r>
      <w:r w:rsidR="007F19BD">
        <w:rPr>
          <w:color w:val="0070C0"/>
          <w:u w:val="single"/>
        </w:rPr>
        <w:t>.</w:t>
      </w:r>
    </w:p>
    <w:p w:rsidR="007505CC" w:rsidRPr="00C4673A" w:rsidRDefault="007505CC" w:rsidP="007505CC">
      <w:pPr>
        <w:spacing w:before="240" w:after="840"/>
        <w:ind w:firstLine="567"/>
        <w:jc w:val="both"/>
        <w:rPr>
          <w:rFonts w:eastAsia="Times New Roman"/>
          <w:szCs w:val="22"/>
          <w:lang w:eastAsia="ja-JP"/>
        </w:rPr>
      </w:pPr>
      <w:r w:rsidRPr="00C4673A">
        <w:rPr>
          <w:rFonts w:eastAsia="Times New Roman"/>
          <w:szCs w:val="22"/>
          <w:lang w:eastAsia="ja-JP"/>
        </w:rPr>
        <w:t>[...]</w:t>
      </w:r>
    </w:p>
    <w:p w:rsidR="007505CC" w:rsidRPr="007F19BD" w:rsidRDefault="007505CC" w:rsidP="007505CC">
      <w:pPr>
        <w:ind w:left="5534"/>
      </w:pPr>
      <w:r w:rsidRPr="007F19BD">
        <w:t>[</w:t>
      </w:r>
      <w:r w:rsidR="007F19BD" w:rsidRPr="007F19BD">
        <w:t>Fin del Anexo y del documento</w:t>
      </w:r>
      <w:r w:rsidRPr="007F19BD">
        <w:t>]</w:t>
      </w:r>
    </w:p>
    <w:p w:rsidR="007505CC" w:rsidRPr="007F19BD" w:rsidRDefault="007505CC"/>
    <w:p w:rsidR="00152CEA" w:rsidRPr="007F19BD" w:rsidRDefault="00152CEA"/>
    <w:sectPr w:rsidR="00152CEA" w:rsidRPr="007F19BD" w:rsidSect="00065D8B">
      <w:headerReference w:type="default" r:id="rId10"/>
      <w:headerReference w:type="first" r:id="rId11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3F0" w:rsidRDefault="00B443F0">
      <w:r>
        <w:separator/>
      </w:r>
    </w:p>
  </w:endnote>
  <w:endnote w:type="continuationSeparator" w:id="0">
    <w:p w:rsidR="00B443F0" w:rsidRPr="009D30E6" w:rsidRDefault="00B443F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443F0" w:rsidRPr="007E663E" w:rsidRDefault="00B443F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B443F0" w:rsidRPr="007E663E" w:rsidRDefault="00B443F0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3F0" w:rsidRDefault="00B443F0">
      <w:r>
        <w:separator/>
      </w:r>
    </w:p>
  </w:footnote>
  <w:footnote w:type="continuationSeparator" w:id="0">
    <w:p w:rsidR="00B443F0" w:rsidRPr="009D30E6" w:rsidRDefault="00B443F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443F0" w:rsidRPr="007E663E" w:rsidRDefault="00B443F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B443F0" w:rsidRPr="007E663E" w:rsidRDefault="00B443F0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5CC" w:rsidRDefault="007505CC" w:rsidP="00A265A6">
    <w:pPr>
      <w:jc w:val="right"/>
    </w:pPr>
    <w:r>
      <w:t>LI/A/38/2</w:t>
    </w:r>
  </w:p>
  <w:p w:rsidR="007505CC" w:rsidRPr="00BA0078" w:rsidRDefault="007505CC" w:rsidP="00A265A6">
    <w:pPr>
      <w:pStyle w:val="Header"/>
      <w:spacing w:after="480"/>
      <w:jc w:val="right"/>
    </w:pPr>
    <w:r>
      <w:t>p</w:t>
    </w:r>
    <w:r w:rsidR="00B4553E">
      <w:t>ágina</w:t>
    </w:r>
    <w: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474" w:rsidRDefault="00065D8B" w:rsidP="00477D6B">
    <w:pPr>
      <w:jc w:val="right"/>
    </w:pPr>
    <w:bookmarkStart w:id="6" w:name="Code2"/>
    <w:bookmarkEnd w:id="6"/>
    <w:r>
      <w:t>LI/A/38/2</w:t>
    </w:r>
  </w:p>
  <w:p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011302">
      <w:rPr>
        <w:noProof/>
      </w:rPr>
      <w:t>3</w:t>
    </w:r>
    <w:r>
      <w:fldChar w:fldCharType="end"/>
    </w:r>
  </w:p>
  <w:p w:rsidR="00F84474" w:rsidRDefault="00F84474" w:rsidP="00477D6B">
    <w:pPr>
      <w:jc w:val="right"/>
    </w:pPr>
  </w:p>
  <w:p w:rsidR="004F7418" w:rsidRDefault="004F741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3F" w:rsidRDefault="00F82A3F" w:rsidP="00F82A3F">
    <w:pPr>
      <w:pStyle w:val="Header"/>
      <w:jc w:val="right"/>
    </w:pPr>
    <w:r>
      <w:t>LI/A/38/2</w:t>
    </w:r>
  </w:p>
  <w:p w:rsidR="00F82A3F" w:rsidRDefault="00F82A3F" w:rsidP="00F82A3F">
    <w:pPr>
      <w:pStyle w:val="Header"/>
      <w:spacing w:after="480"/>
      <w:jc w:val="right"/>
    </w:pPr>
    <w:r>
      <w:t>ANEXO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Brands, Designs &amp; DN\Lisbon|TextBase TMs\WorkspaceSTS\Brands, Designs &amp; DN\L Instruments|TextBase TMs\WorkspaceSTS\Ad-hoc\Auxiliar_Pool_STS|Team Server TMs\Spanish|TextBase TMs\WorkspaceSTS\Administration &amp; Finance\Current Budget|TextBase TMs\WorkspaceSTS\Administration &amp; Finance\FAB Main|TextBase TMs\WorkspaceSTS\Administration &amp; Finance\FAB Instruments|TextBase TMs\WorkspaceSTS\Administration &amp; Finance\FStatements|TextBase TMs\WorkspaceSTS\Administration &amp; Finance\UN Staff Rules|TextBase TMs\WorkspaceSTS\Administration &amp; Finance\WIPO Staff Rules|TextBase TMs\WorkspaceSTS\Brands, Designs &amp; DN\Trademarks|TextBase TMs\WorkspaceSTS\Brands, Designs &amp; DN\T Instruments|TextBase TMs\WorkspaceSTS\Brands, Designs &amp; DN\Hague|TextBase TMs\WorkspaceSTS\Brands, Designs &amp; DN\H Instruments|TextBase TMs\WorkspaceSTS\Copyright\Copyright|TextBase TMs\WorkspaceSTS\Copyright\C Instruments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Brands, Designs &amp; DN\Arb_Med_Center"/>
    <w:docVar w:name="TextBaseURL" w:val="empty"/>
    <w:docVar w:name="UILng" w:val="en"/>
  </w:docVars>
  <w:rsids>
    <w:rsidRoot w:val="00065D8B"/>
    <w:rsid w:val="00011302"/>
    <w:rsid w:val="00043CFF"/>
    <w:rsid w:val="00065D8B"/>
    <w:rsid w:val="000E3BB3"/>
    <w:rsid w:val="000F5E56"/>
    <w:rsid w:val="001362EE"/>
    <w:rsid w:val="00145596"/>
    <w:rsid w:val="00152CEA"/>
    <w:rsid w:val="001832A6"/>
    <w:rsid w:val="001C2BC8"/>
    <w:rsid w:val="001C4DD3"/>
    <w:rsid w:val="002634C4"/>
    <w:rsid w:val="002A075A"/>
    <w:rsid w:val="002F4E68"/>
    <w:rsid w:val="00307787"/>
    <w:rsid w:val="00354647"/>
    <w:rsid w:val="00377273"/>
    <w:rsid w:val="003845C1"/>
    <w:rsid w:val="00387287"/>
    <w:rsid w:val="003D41D4"/>
    <w:rsid w:val="00423E3E"/>
    <w:rsid w:val="00427AF4"/>
    <w:rsid w:val="0045231F"/>
    <w:rsid w:val="004607C5"/>
    <w:rsid w:val="004647DA"/>
    <w:rsid w:val="00477D6B"/>
    <w:rsid w:val="004A6C37"/>
    <w:rsid w:val="004B4DA9"/>
    <w:rsid w:val="004C544B"/>
    <w:rsid w:val="004D16C1"/>
    <w:rsid w:val="004F7418"/>
    <w:rsid w:val="005441D9"/>
    <w:rsid w:val="0055013B"/>
    <w:rsid w:val="0056224D"/>
    <w:rsid w:val="00571B99"/>
    <w:rsid w:val="00583E68"/>
    <w:rsid w:val="005D64EC"/>
    <w:rsid w:val="00605827"/>
    <w:rsid w:val="00675021"/>
    <w:rsid w:val="00693E17"/>
    <w:rsid w:val="006A06C6"/>
    <w:rsid w:val="006A6A12"/>
    <w:rsid w:val="006D0AE9"/>
    <w:rsid w:val="006F63AC"/>
    <w:rsid w:val="007505CC"/>
    <w:rsid w:val="007E63AC"/>
    <w:rsid w:val="007E663E"/>
    <w:rsid w:val="007F19BD"/>
    <w:rsid w:val="00815082"/>
    <w:rsid w:val="00823F15"/>
    <w:rsid w:val="00843582"/>
    <w:rsid w:val="008B14EA"/>
    <w:rsid w:val="008B2CC1"/>
    <w:rsid w:val="0090731E"/>
    <w:rsid w:val="0091399F"/>
    <w:rsid w:val="00966A22"/>
    <w:rsid w:val="00972F03"/>
    <w:rsid w:val="009A0C8B"/>
    <w:rsid w:val="009B6241"/>
    <w:rsid w:val="00A05327"/>
    <w:rsid w:val="00A152B5"/>
    <w:rsid w:val="00A16FC0"/>
    <w:rsid w:val="00A265A6"/>
    <w:rsid w:val="00A32C9E"/>
    <w:rsid w:val="00A66275"/>
    <w:rsid w:val="00A7453D"/>
    <w:rsid w:val="00AA2088"/>
    <w:rsid w:val="00AB613D"/>
    <w:rsid w:val="00B443F0"/>
    <w:rsid w:val="00B4553E"/>
    <w:rsid w:val="00B65A0A"/>
    <w:rsid w:val="00B72D36"/>
    <w:rsid w:val="00BC4164"/>
    <w:rsid w:val="00BD2DCC"/>
    <w:rsid w:val="00BE1A8C"/>
    <w:rsid w:val="00C06472"/>
    <w:rsid w:val="00C10642"/>
    <w:rsid w:val="00C4673A"/>
    <w:rsid w:val="00C54DEC"/>
    <w:rsid w:val="00C90559"/>
    <w:rsid w:val="00D1673A"/>
    <w:rsid w:val="00D36B79"/>
    <w:rsid w:val="00D40CF0"/>
    <w:rsid w:val="00D56C7C"/>
    <w:rsid w:val="00D71B4D"/>
    <w:rsid w:val="00D85EF6"/>
    <w:rsid w:val="00D90289"/>
    <w:rsid w:val="00D93D55"/>
    <w:rsid w:val="00DD001A"/>
    <w:rsid w:val="00E45C84"/>
    <w:rsid w:val="00E504E5"/>
    <w:rsid w:val="00E73ABF"/>
    <w:rsid w:val="00EB7A3E"/>
    <w:rsid w:val="00EC401A"/>
    <w:rsid w:val="00EF530A"/>
    <w:rsid w:val="00EF6622"/>
    <w:rsid w:val="00F55408"/>
    <w:rsid w:val="00F66152"/>
    <w:rsid w:val="00F80845"/>
    <w:rsid w:val="00F82A3F"/>
    <w:rsid w:val="00F84474"/>
    <w:rsid w:val="00F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3965CF8-48A2-43EC-B38B-38065350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ONUMEChar">
    <w:name w:val="ONUM E Char"/>
    <w:basedOn w:val="DefaultParagraphFont"/>
    <w:link w:val="ONUME"/>
    <w:locked/>
    <w:rsid w:val="007505CC"/>
    <w:rPr>
      <w:rFonts w:ascii="Arial" w:eastAsia="SimSun" w:hAnsi="Arial" w:cs="Arial"/>
      <w:sz w:val="22"/>
      <w:lang w:val="es-E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505CC"/>
    <w:rPr>
      <w:rFonts w:ascii="Arial" w:eastAsia="SimSun" w:hAnsi="Arial" w:cs="Arial"/>
      <w:sz w:val="22"/>
      <w:lang w:val="es-ES" w:eastAsia="zh-CN"/>
    </w:rPr>
  </w:style>
  <w:style w:type="paragraph" w:styleId="BalloonText">
    <w:name w:val="Balloon Text"/>
    <w:basedOn w:val="Normal"/>
    <w:link w:val="BalloonTextChar"/>
    <w:semiHidden/>
    <w:unhideWhenUsed/>
    <w:rsid w:val="00011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11302"/>
    <w:rPr>
      <w:rFonts w:ascii="Segoe UI" w:eastAsia="SimSun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LI_A_38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43A18-7586-4522-8ABE-9D27C1A2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LI_A_38 (S)</Template>
  <TotalTime>6</TotalTime>
  <Pages>3</Pages>
  <Words>713</Words>
  <Characters>3642</Characters>
  <Application>Microsoft Office Word</Application>
  <DocSecurity>0</DocSecurity>
  <Lines>74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LI/A/38/2</vt:lpstr>
    </vt:vector>
  </TitlesOfParts>
  <Company>WIPO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LI/A/38/2</dc:title>
  <dc:subject>Sixty-Second Series of Meetings</dc:subject>
  <dc:creator>WIPO</dc:creator>
  <cp:keywords>PUBLIC</cp:keywords>
  <dc:description/>
  <cp:lastModifiedBy>MARIN-CUDRAZ DAVI Nicoletta</cp:lastModifiedBy>
  <cp:revision>6</cp:revision>
  <cp:lastPrinted>2021-06-15T08:10:00Z</cp:lastPrinted>
  <dcterms:created xsi:type="dcterms:W3CDTF">2021-06-15T15:39:00Z</dcterms:created>
  <dcterms:modified xsi:type="dcterms:W3CDTF">2021-06-29T12:42:00Z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