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40277C" w:rsidRDefault="00DC0BA7" w:rsidP="006E4F5F">
      <w:pPr>
        <w:widowControl w:val="0"/>
        <w:jc w:val="right"/>
        <w:rPr>
          <w:b/>
          <w:sz w:val="2"/>
          <w:szCs w:val="40"/>
          <w:lang w:val="es-419"/>
        </w:rPr>
      </w:pPr>
      <w:bookmarkStart w:id="0" w:name="_GoBack"/>
      <w:bookmarkEnd w:id="0"/>
      <w:r w:rsidRPr="0040277C">
        <w:rPr>
          <w:b/>
          <w:sz w:val="40"/>
          <w:szCs w:val="40"/>
          <w:lang w:val="es-419"/>
        </w:rPr>
        <w:t>S</w:t>
      </w:r>
    </w:p>
    <w:p w:rsidR="006E4F5F" w:rsidRPr="0040277C" w:rsidRDefault="00DC0BA7" w:rsidP="006E4F5F">
      <w:pPr>
        <w:spacing w:line="360" w:lineRule="auto"/>
        <w:ind w:left="4592"/>
        <w:rPr>
          <w:rFonts w:ascii="Arial Black" w:hAnsi="Arial Black"/>
          <w:caps/>
          <w:sz w:val="15"/>
          <w:lang w:val="es-419"/>
        </w:rPr>
      </w:pPr>
      <w:r w:rsidRPr="0040277C">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40277C" w:rsidRDefault="000C7BFE" w:rsidP="00AA2DD4">
      <w:pPr>
        <w:pBdr>
          <w:top w:val="single" w:sz="4" w:space="10" w:color="auto"/>
        </w:pBdr>
        <w:spacing w:before="120"/>
        <w:jc w:val="right"/>
        <w:rPr>
          <w:rFonts w:ascii="Arial Black" w:hAnsi="Arial Black"/>
          <w:b/>
          <w:caps/>
          <w:sz w:val="15"/>
          <w:lang w:val="es-419"/>
        </w:rPr>
      </w:pPr>
      <w:r w:rsidRPr="0040277C">
        <w:rPr>
          <w:rFonts w:ascii="Arial Black" w:hAnsi="Arial Black"/>
          <w:b/>
          <w:caps/>
          <w:sz w:val="15"/>
          <w:lang w:val="es-419"/>
        </w:rPr>
        <w:t>LI/A/36</w:t>
      </w:r>
      <w:r w:rsidR="006E4F5F" w:rsidRPr="0040277C">
        <w:rPr>
          <w:rFonts w:ascii="Arial Black" w:hAnsi="Arial Black"/>
          <w:b/>
          <w:caps/>
          <w:sz w:val="15"/>
          <w:lang w:val="es-419"/>
        </w:rPr>
        <w:t>/</w:t>
      </w:r>
      <w:bookmarkStart w:id="1" w:name="Code"/>
      <w:bookmarkEnd w:id="1"/>
      <w:r w:rsidR="00820CE7" w:rsidRPr="0040277C">
        <w:rPr>
          <w:rFonts w:ascii="Arial Black" w:hAnsi="Arial Black"/>
          <w:b/>
          <w:caps/>
          <w:sz w:val="15"/>
          <w:lang w:val="es-419"/>
        </w:rPr>
        <w:t>1</w:t>
      </w:r>
    </w:p>
    <w:p w:rsidR="006E4F5F" w:rsidRPr="0040277C" w:rsidRDefault="006E4F5F" w:rsidP="006E4F5F">
      <w:pPr>
        <w:jc w:val="right"/>
        <w:rPr>
          <w:rFonts w:ascii="Arial Black" w:hAnsi="Arial Black"/>
          <w:b/>
          <w:caps/>
          <w:sz w:val="15"/>
          <w:lang w:val="es-419"/>
        </w:rPr>
      </w:pPr>
      <w:r w:rsidRPr="0040277C">
        <w:rPr>
          <w:rFonts w:ascii="Arial Black" w:hAnsi="Arial Black"/>
          <w:b/>
          <w:caps/>
          <w:sz w:val="15"/>
          <w:lang w:val="es-419"/>
        </w:rPr>
        <w:t>ORIGINAL:</w:t>
      </w:r>
      <w:r w:rsidR="0003156B" w:rsidRPr="0040277C">
        <w:rPr>
          <w:rFonts w:ascii="Arial Black" w:hAnsi="Arial Black"/>
          <w:b/>
          <w:caps/>
          <w:sz w:val="15"/>
          <w:lang w:val="es-419"/>
        </w:rPr>
        <w:t xml:space="preserve"> </w:t>
      </w:r>
      <w:bookmarkStart w:id="2" w:name="Original"/>
      <w:bookmarkEnd w:id="2"/>
      <w:r w:rsidR="00820CE7" w:rsidRPr="0040277C">
        <w:rPr>
          <w:rFonts w:ascii="Arial Black" w:hAnsi="Arial Black"/>
          <w:b/>
          <w:caps/>
          <w:sz w:val="15"/>
          <w:lang w:val="es-419"/>
        </w:rPr>
        <w:t>Inglés</w:t>
      </w:r>
    </w:p>
    <w:p w:rsidR="006E4F5F" w:rsidRPr="0040277C" w:rsidRDefault="00DC0BA7" w:rsidP="006E4F5F">
      <w:pPr>
        <w:spacing w:line="1680" w:lineRule="auto"/>
        <w:jc w:val="right"/>
        <w:rPr>
          <w:rFonts w:ascii="Arial Black" w:hAnsi="Arial Black"/>
          <w:b/>
          <w:caps/>
          <w:sz w:val="15"/>
          <w:lang w:val="es-419"/>
        </w:rPr>
      </w:pPr>
      <w:r w:rsidRPr="0040277C">
        <w:rPr>
          <w:rFonts w:ascii="Arial Black" w:hAnsi="Arial Black"/>
          <w:b/>
          <w:caps/>
          <w:sz w:val="15"/>
          <w:lang w:val="es-419"/>
        </w:rPr>
        <w:t>Fecha</w:t>
      </w:r>
      <w:r w:rsidR="006E4F5F" w:rsidRPr="0040277C">
        <w:rPr>
          <w:rFonts w:ascii="Arial Black" w:hAnsi="Arial Black"/>
          <w:b/>
          <w:caps/>
          <w:sz w:val="15"/>
          <w:lang w:val="es-419"/>
        </w:rPr>
        <w:t>:</w:t>
      </w:r>
      <w:r w:rsidR="0003156B" w:rsidRPr="0040277C">
        <w:rPr>
          <w:rFonts w:ascii="Arial Black" w:hAnsi="Arial Black"/>
          <w:b/>
          <w:caps/>
          <w:sz w:val="15"/>
          <w:lang w:val="es-419"/>
        </w:rPr>
        <w:t xml:space="preserve"> </w:t>
      </w:r>
      <w:bookmarkStart w:id="3" w:name="Date"/>
      <w:bookmarkEnd w:id="3"/>
      <w:r w:rsidR="00820CE7" w:rsidRPr="0040277C">
        <w:rPr>
          <w:rFonts w:ascii="Arial Black" w:hAnsi="Arial Black"/>
          <w:b/>
          <w:caps/>
          <w:sz w:val="15"/>
          <w:lang w:val="es-419"/>
        </w:rPr>
        <w:t>30 de julio de 2019</w:t>
      </w:r>
    </w:p>
    <w:p w:rsidR="000C7BFE" w:rsidRPr="0040277C" w:rsidRDefault="000C7BFE" w:rsidP="000C7BFE">
      <w:pPr>
        <w:pStyle w:val="Heading1"/>
        <w:rPr>
          <w:lang w:val="es-419"/>
        </w:rPr>
      </w:pPr>
      <w:r w:rsidRPr="0040277C">
        <w:rPr>
          <w:lang w:val="es-419"/>
        </w:rPr>
        <w:t xml:space="preserve">Unión Particular para la Protección de las Denominaciones de Origen y su Registro </w:t>
      </w:r>
      <w:r w:rsidR="00093A5A">
        <w:rPr>
          <w:lang w:val="es-419"/>
        </w:rPr>
        <w:t>Internacional (Unión de Lisboa)</w:t>
      </w:r>
    </w:p>
    <w:p w:rsidR="008B2CC1" w:rsidRPr="0040277C" w:rsidRDefault="000C7BFE" w:rsidP="000C7BFE">
      <w:pPr>
        <w:pStyle w:val="Heading1"/>
        <w:rPr>
          <w:lang w:val="es-419"/>
        </w:rPr>
      </w:pPr>
      <w:r w:rsidRPr="0040277C">
        <w:rPr>
          <w:lang w:val="es-419"/>
        </w:rPr>
        <w:t>Asamblea</w:t>
      </w:r>
    </w:p>
    <w:p w:rsidR="008B2CC1" w:rsidRPr="0040277C" w:rsidRDefault="000C7BFE" w:rsidP="001F0FE5">
      <w:pPr>
        <w:spacing w:after="720"/>
        <w:rPr>
          <w:b/>
          <w:sz w:val="24"/>
          <w:lang w:val="es-419"/>
        </w:rPr>
      </w:pPr>
      <w:r w:rsidRPr="0040277C">
        <w:rPr>
          <w:b/>
          <w:sz w:val="24"/>
          <w:lang w:val="es-419"/>
        </w:rPr>
        <w:t>Trigésimo sexto período de sesiones (23.º ordinario)</w:t>
      </w:r>
      <w:r w:rsidR="003D57B0" w:rsidRPr="0040277C">
        <w:rPr>
          <w:b/>
          <w:sz w:val="24"/>
          <w:lang w:val="es-419"/>
        </w:rPr>
        <w:br/>
      </w:r>
      <w:r w:rsidRPr="0040277C">
        <w:rPr>
          <w:b/>
          <w:sz w:val="24"/>
          <w:lang w:val="es-419"/>
        </w:rPr>
        <w:t>Ginebra, 30 de septiembre a 9 de octubre de 2019</w:t>
      </w:r>
    </w:p>
    <w:p w:rsidR="008B2CC1" w:rsidRPr="0040277C" w:rsidRDefault="00820CE7" w:rsidP="00565072">
      <w:pPr>
        <w:spacing w:after="360"/>
        <w:rPr>
          <w:caps/>
          <w:sz w:val="24"/>
          <w:lang w:val="es-419"/>
        </w:rPr>
      </w:pPr>
      <w:bookmarkStart w:id="4" w:name="TitleOfDoc"/>
      <w:bookmarkEnd w:id="4"/>
      <w:r w:rsidRPr="0040277C">
        <w:rPr>
          <w:caps/>
          <w:sz w:val="24"/>
          <w:lang w:val="es-419"/>
        </w:rPr>
        <w:t>Informe del Grupo de Trabajo sob</w:t>
      </w:r>
      <w:r w:rsidR="00CD4D38" w:rsidRPr="0040277C">
        <w:rPr>
          <w:caps/>
          <w:sz w:val="24"/>
          <w:lang w:val="es-419"/>
        </w:rPr>
        <w:t>re el Desarrollo del Sistema de </w:t>
      </w:r>
      <w:r w:rsidRPr="0040277C">
        <w:rPr>
          <w:caps/>
          <w:sz w:val="24"/>
          <w:lang w:val="es-419"/>
        </w:rPr>
        <w:t>Lisboa</w:t>
      </w:r>
    </w:p>
    <w:p w:rsidR="008B2CC1" w:rsidRPr="0040277C" w:rsidRDefault="00820CE7" w:rsidP="009C127D">
      <w:pPr>
        <w:spacing w:after="960"/>
        <w:rPr>
          <w:i/>
          <w:lang w:val="es-419"/>
        </w:rPr>
      </w:pPr>
      <w:bookmarkStart w:id="5" w:name="Prepared"/>
      <w:bookmarkEnd w:id="5"/>
      <w:r w:rsidRPr="0040277C">
        <w:rPr>
          <w:i/>
          <w:lang w:val="es-419"/>
        </w:rPr>
        <w:t>preparado por la Secretaría</w:t>
      </w:r>
    </w:p>
    <w:p w:rsidR="00820CE7" w:rsidRPr="0040277C" w:rsidRDefault="00CD4D38" w:rsidP="00820CE7">
      <w:pPr>
        <w:tabs>
          <w:tab w:val="num" w:pos="567"/>
        </w:tabs>
        <w:spacing w:after="220"/>
        <w:rPr>
          <w:lang w:val="es-419"/>
        </w:rPr>
      </w:pPr>
      <w:r w:rsidRPr="0040277C">
        <w:rPr>
          <w:color w:val="000000" w:themeColor="text1"/>
          <w:lang w:val="es-419"/>
        </w:rPr>
        <w:fldChar w:fldCharType="begin"/>
      </w:r>
      <w:r w:rsidRPr="0040277C">
        <w:rPr>
          <w:color w:val="000000" w:themeColor="text1"/>
          <w:lang w:val="es-419"/>
        </w:rPr>
        <w:instrText xml:space="preserve"> AUTONUM  </w:instrText>
      </w:r>
      <w:r w:rsidRPr="0040277C">
        <w:rPr>
          <w:color w:val="000000" w:themeColor="text1"/>
          <w:lang w:val="es-419"/>
        </w:rPr>
        <w:fldChar w:fldCharType="end"/>
      </w:r>
      <w:r w:rsidRPr="0040277C">
        <w:rPr>
          <w:color w:val="000000" w:themeColor="text1"/>
          <w:lang w:val="es-419"/>
        </w:rPr>
        <w:tab/>
        <w:t>Desde el anterior período de sesiones de la Asamblea de la Unión de Lisboa, el Grupo de Trabajo sobre el Desarrollo del Sistema de Lisboa (el "Grupo de Trabajo") celebró su segunda reunión el 27 y el 28 de mayo de 2019. Las delegaciones intercambiaron opiniones sobre las cuestiones relacionadas con la sostenibilidad financiera del Sistema de Lisboa, según se refleja en el Anexo del presente documento (documento LI/WG/DEV-SYS/2/3), que fue aprobado por el Grupo de Trabajo.</w:t>
      </w:r>
    </w:p>
    <w:p w:rsidR="00820CE7" w:rsidRPr="0040277C" w:rsidRDefault="00CD4D38" w:rsidP="00820CE7">
      <w:pPr>
        <w:tabs>
          <w:tab w:val="num" w:pos="567"/>
        </w:tabs>
        <w:spacing w:after="220"/>
        <w:rPr>
          <w:lang w:val="es-419"/>
        </w:rPr>
      </w:pPr>
      <w:r w:rsidRPr="0040277C">
        <w:rPr>
          <w:lang w:val="es-419"/>
        </w:rPr>
        <w:fldChar w:fldCharType="begin"/>
      </w:r>
      <w:r w:rsidRPr="0040277C">
        <w:rPr>
          <w:lang w:val="es-419"/>
        </w:rPr>
        <w:instrText xml:space="preserve"> AUTONUM  </w:instrText>
      </w:r>
      <w:r w:rsidRPr="0040277C">
        <w:rPr>
          <w:lang w:val="es-419"/>
        </w:rPr>
        <w:fldChar w:fldCharType="end"/>
      </w:r>
      <w:r w:rsidRPr="0040277C">
        <w:rPr>
          <w:lang w:val="es-419"/>
        </w:rPr>
        <w:tab/>
      </w:r>
      <w:r w:rsidR="00DD1D9F" w:rsidRPr="0040277C">
        <w:rPr>
          <w:lang w:val="es-419"/>
        </w:rPr>
        <w:t>En sus</w:t>
      </w:r>
      <w:r w:rsidR="00820CE7" w:rsidRPr="0040277C">
        <w:rPr>
          <w:lang w:val="es-419"/>
        </w:rPr>
        <w:t xml:space="preserve"> </w:t>
      </w:r>
      <w:r w:rsidR="0040277C" w:rsidRPr="0040277C">
        <w:rPr>
          <w:lang w:val="es-419"/>
        </w:rPr>
        <w:t>deliberaciones</w:t>
      </w:r>
      <w:r w:rsidR="00820CE7" w:rsidRPr="0040277C">
        <w:rPr>
          <w:lang w:val="es-419"/>
        </w:rPr>
        <w:t xml:space="preserve">, </w:t>
      </w:r>
      <w:r w:rsidR="00DD1D9F" w:rsidRPr="0040277C">
        <w:rPr>
          <w:lang w:val="es-419"/>
        </w:rPr>
        <w:t>el Grupo de Trabajo destacó la</w:t>
      </w:r>
      <w:r w:rsidR="00820CE7" w:rsidRPr="0040277C">
        <w:rPr>
          <w:lang w:val="es-419"/>
        </w:rPr>
        <w:t xml:space="preserve"> </w:t>
      </w:r>
      <w:r w:rsidR="0040277C" w:rsidRPr="0040277C">
        <w:rPr>
          <w:lang w:val="es-419"/>
        </w:rPr>
        <w:t>importancia</w:t>
      </w:r>
      <w:r w:rsidR="00820CE7" w:rsidRPr="0040277C">
        <w:rPr>
          <w:lang w:val="es-419"/>
        </w:rPr>
        <w:t xml:space="preserve"> </w:t>
      </w:r>
      <w:r w:rsidR="00DD1D9F" w:rsidRPr="0040277C">
        <w:rPr>
          <w:lang w:val="es-419"/>
        </w:rPr>
        <w:t>de las actividades de</w:t>
      </w:r>
      <w:r w:rsidR="00820CE7" w:rsidRPr="0040277C">
        <w:rPr>
          <w:lang w:val="es-419"/>
        </w:rPr>
        <w:t xml:space="preserve"> </w:t>
      </w:r>
      <w:r w:rsidR="0040277C" w:rsidRPr="0040277C">
        <w:rPr>
          <w:lang w:val="es-419"/>
        </w:rPr>
        <w:t>promoción</w:t>
      </w:r>
      <w:r w:rsidR="00820CE7" w:rsidRPr="0040277C">
        <w:rPr>
          <w:lang w:val="es-419"/>
        </w:rPr>
        <w:t xml:space="preserve"> </w:t>
      </w:r>
      <w:r w:rsidR="00DD1D9F" w:rsidRPr="0040277C">
        <w:rPr>
          <w:lang w:val="es-419"/>
        </w:rPr>
        <w:t>para fomentar las adhesiones al Sistema de Lisboa</w:t>
      </w:r>
      <w:r w:rsidR="00820CE7" w:rsidRPr="0040277C">
        <w:rPr>
          <w:lang w:val="es-419"/>
        </w:rPr>
        <w:t>, inclu</w:t>
      </w:r>
      <w:r w:rsidR="00DD1D9F" w:rsidRPr="0040277C">
        <w:rPr>
          <w:lang w:val="es-419"/>
        </w:rPr>
        <w:t>ida el Acta de Ginebra</w:t>
      </w:r>
      <w:r w:rsidR="00820CE7" w:rsidRPr="0040277C">
        <w:rPr>
          <w:lang w:val="es-419"/>
        </w:rPr>
        <w:t xml:space="preserve">, </w:t>
      </w:r>
      <w:r w:rsidR="00DD1D9F" w:rsidRPr="0040277C">
        <w:rPr>
          <w:lang w:val="es-419"/>
        </w:rPr>
        <w:t>y en la necesidad de fomentar la coordinación entre los miembros del Sistema de Lisboa a ese respecto</w:t>
      </w:r>
      <w:r w:rsidR="00820CE7" w:rsidRPr="0040277C">
        <w:rPr>
          <w:lang w:val="es-419"/>
        </w:rPr>
        <w:t>.</w:t>
      </w:r>
    </w:p>
    <w:p w:rsidR="00820CE7" w:rsidRPr="0040277C" w:rsidRDefault="00CD4D38" w:rsidP="00820CE7">
      <w:pPr>
        <w:tabs>
          <w:tab w:val="num" w:pos="567"/>
        </w:tabs>
        <w:spacing w:after="220"/>
        <w:rPr>
          <w:lang w:val="es-419"/>
        </w:rPr>
      </w:pPr>
      <w:r w:rsidRPr="0040277C">
        <w:rPr>
          <w:lang w:val="es-419"/>
        </w:rPr>
        <w:fldChar w:fldCharType="begin"/>
      </w:r>
      <w:r w:rsidRPr="0040277C">
        <w:rPr>
          <w:lang w:val="es-419"/>
        </w:rPr>
        <w:instrText xml:space="preserve"> AUTONUM  </w:instrText>
      </w:r>
      <w:r w:rsidRPr="0040277C">
        <w:rPr>
          <w:lang w:val="es-419"/>
        </w:rPr>
        <w:fldChar w:fldCharType="end"/>
      </w:r>
      <w:r w:rsidRPr="0040277C">
        <w:rPr>
          <w:lang w:val="es-419"/>
        </w:rPr>
        <w:tab/>
      </w:r>
      <w:r w:rsidR="00820CE7" w:rsidRPr="0040277C">
        <w:rPr>
          <w:lang w:val="es-419"/>
        </w:rPr>
        <w:t>A</w:t>
      </w:r>
      <w:r w:rsidR="00DD1D9F" w:rsidRPr="0040277C">
        <w:rPr>
          <w:lang w:val="es-419"/>
        </w:rPr>
        <w:t>l final de la reunión</w:t>
      </w:r>
      <w:r w:rsidR="00820CE7" w:rsidRPr="0040277C">
        <w:rPr>
          <w:lang w:val="es-419"/>
        </w:rPr>
        <w:t xml:space="preserve">, </w:t>
      </w:r>
      <w:r w:rsidR="00DD1D9F" w:rsidRPr="0040277C">
        <w:rPr>
          <w:lang w:val="es-419"/>
        </w:rPr>
        <w:t>el Grupo de Trabajo decidió seguir examinando las medidas adecuadas para garantizar la sostenibilidad financiera de la Unión de Lisboa en el futuro, incluida la revisión periódica de la Tabla de tasas, y reconoció al mismo tiempo la necesidad de evaluar la repercusión de la entrada en vigor del Acta de Ginebra en la situación financiera de la Unión.</w:t>
      </w:r>
    </w:p>
    <w:p w:rsidR="00820CE7" w:rsidRPr="0040277C" w:rsidRDefault="00CD4D38" w:rsidP="00EC7D33">
      <w:pPr>
        <w:keepNext/>
        <w:keepLines/>
        <w:tabs>
          <w:tab w:val="left" w:pos="5670"/>
        </w:tabs>
        <w:spacing w:after="840"/>
        <w:ind w:left="5130"/>
        <w:rPr>
          <w:i/>
          <w:lang w:val="es-419"/>
        </w:rPr>
      </w:pPr>
      <w:r w:rsidRPr="0040277C">
        <w:rPr>
          <w:i/>
          <w:lang w:val="es-419"/>
        </w:rPr>
        <w:lastRenderedPageBreak/>
        <w:fldChar w:fldCharType="begin"/>
      </w:r>
      <w:r w:rsidRPr="0040277C">
        <w:rPr>
          <w:i/>
          <w:lang w:val="es-419"/>
        </w:rPr>
        <w:instrText xml:space="preserve"> AUTONUM  </w:instrText>
      </w:r>
      <w:r w:rsidRPr="0040277C">
        <w:rPr>
          <w:i/>
          <w:lang w:val="es-419"/>
        </w:rPr>
        <w:fldChar w:fldCharType="end"/>
      </w:r>
      <w:r w:rsidRPr="0040277C">
        <w:rPr>
          <w:i/>
          <w:lang w:val="es-419"/>
        </w:rPr>
        <w:tab/>
      </w:r>
      <w:r w:rsidR="00DD1D9F" w:rsidRPr="0040277C">
        <w:rPr>
          <w:i/>
          <w:lang w:val="es-419"/>
        </w:rPr>
        <w:t>Se invita a la Asamblea de la Unión de Lisboa a tomar nota del "Informe del Grupo de Trabajo sobre el Desarrollo del Sistema de Lisboa</w:t>
      </w:r>
      <w:r w:rsidR="00820CE7" w:rsidRPr="0040277C">
        <w:rPr>
          <w:i/>
          <w:lang w:val="es-419"/>
        </w:rPr>
        <w:t>” (</w:t>
      </w:r>
      <w:r w:rsidR="0040277C" w:rsidRPr="0040277C">
        <w:rPr>
          <w:i/>
          <w:lang w:val="es-419"/>
        </w:rPr>
        <w:t>documento</w:t>
      </w:r>
      <w:r w:rsidR="00820CE7" w:rsidRPr="0040277C">
        <w:rPr>
          <w:i/>
          <w:lang w:val="es-419"/>
        </w:rPr>
        <w:t xml:space="preserve"> LI/A/36/1).</w:t>
      </w:r>
    </w:p>
    <w:p w:rsidR="00820CE7" w:rsidRPr="0040277C" w:rsidRDefault="00820CE7" w:rsidP="00EC7D33">
      <w:pPr>
        <w:pStyle w:val="Endofdocument-Annex"/>
        <w:ind w:left="5130"/>
        <w:rPr>
          <w:lang w:val="es-419"/>
        </w:rPr>
        <w:sectPr w:rsidR="00820CE7" w:rsidRPr="0040277C" w:rsidSect="00A31603">
          <w:headerReference w:type="default" r:id="rId9"/>
          <w:endnotePr>
            <w:numFmt w:val="decimal"/>
          </w:endnotePr>
          <w:pgSz w:w="11907" w:h="16840" w:code="9"/>
          <w:pgMar w:top="567" w:right="1134" w:bottom="1418" w:left="1418" w:header="510" w:footer="1021" w:gutter="0"/>
          <w:cols w:space="720"/>
          <w:titlePg/>
          <w:docGrid w:linePitch="299"/>
        </w:sectPr>
      </w:pPr>
      <w:r w:rsidRPr="0040277C">
        <w:rPr>
          <w:lang w:val="es-419"/>
        </w:rPr>
        <w:t>[</w:t>
      </w:r>
      <w:r w:rsidR="00DD1D9F" w:rsidRPr="0040277C">
        <w:rPr>
          <w:lang w:val="es-419"/>
        </w:rPr>
        <w:t xml:space="preserve">Sigue el </w:t>
      </w:r>
      <w:r w:rsidR="0040277C" w:rsidRPr="0040277C">
        <w:rPr>
          <w:lang w:val="es-419"/>
        </w:rPr>
        <w:t>documento</w:t>
      </w:r>
      <w:r w:rsidRPr="0040277C">
        <w:rPr>
          <w:lang w:val="es-419"/>
        </w:rPr>
        <w:t xml:space="preserve"> LI/WG/DEV-SYS/2/3]</w:t>
      </w:r>
    </w:p>
    <w:tbl>
      <w:tblPr>
        <w:tblW w:w="0" w:type="dxa"/>
        <w:tblInd w:w="216" w:type="dxa"/>
        <w:tblLayout w:type="fixed"/>
        <w:tblLook w:val="01E0" w:firstRow="1" w:lastRow="1" w:firstColumn="1" w:lastColumn="1" w:noHBand="0" w:noVBand="0"/>
      </w:tblPr>
      <w:tblGrid>
        <w:gridCol w:w="4594"/>
        <w:gridCol w:w="4337"/>
        <w:gridCol w:w="425"/>
      </w:tblGrid>
      <w:tr w:rsidR="004D1C18" w:rsidRPr="004D1C18" w:rsidTr="004D1C18">
        <w:tc>
          <w:tcPr>
            <w:tcW w:w="4594" w:type="dxa"/>
            <w:tcBorders>
              <w:top w:val="nil"/>
              <w:left w:val="nil"/>
              <w:bottom w:val="single" w:sz="4" w:space="0" w:color="auto"/>
              <w:right w:val="nil"/>
            </w:tcBorders>
            <w:tcMar>
              <w:top w:w="0" w:type="dxa"/>
              <w:left w:w="108" w:type="dxa"/>
              <w:bottom w:w="170" w:type="dxa"/>
              <w:right w:w="108" w:type="dxa"/>
            </w:tcMar>
          </w:tcPr>
          <w:p w:rsidR="004D1C18" w:rsidRPr="004D1C18" w:rsidRDefault="004D1C18" w:rsidP="004D1C18">
            <w:pPr>
              <w:rPr>
                <w:b/>
                <w:lang w:val="es-419"/>
              </w:rPr>
            </w:pPr>
          </w:p>
        </w:tc>
        <w:tc>
          <w:tcPr>
            <w:tcW w:w="4337" w:type="dxa"/>
            <w:tcBorders>
              <w:top w:val="nil"/>
              <w:left w:val="nil"/>
              <w:bottom w:val="single" w:sz="4" w:space="0" w:color="auto"/>
              <w:right w:val="nil"/>
            </w:tcBorders>
            <w:tcMar>
              <w:top w:w="0" w:type="dxa"/>
              <w:left w:w="0" w:type="dxa"/>
              <w:bottom w:w="0" w:type="dxa"/>
              <w:right w:w="0" w:type="dxa"/>
            </w:tcMar>
            <w:hideMark/>
          </w:tcPr>
          <w:p w:rsidR="004D1C18" w:rsidRPr="004D1C18" w:rsidRDefault="004D1C18" w:rsidP="004D1C18">
            <w:pPr>
              <w:rPr>
                <w:lang w:val="es-419"/>
              </w:rPr>
            </w:pPr>
            <w:r w:rsidRPr="004D1C18">
              <w:rPr>
                <w:noProof/>
                <w:color w:val="808080"/>
                <w:lang w:eastAsia="en-US"/>
              </w:rPr>
              <w:drawing>
                <wp:inline distT="0" distB="0" distL="0" distR="0" wp14:anchorId="5AE5AA83" wp14:editId="74DD60AE">
                  <wp:extent cx="1858645" cy="1326515"/>
                  <wp:effectExtent l="0" t="0" r="8255" b="6985"/>
                  <wp:docPr id="7"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top w:val="nil"/>
              <w:left w:val="nil"/>
              <w:bottom w:val="single" w:sz="4" w:space="0" w:color="auto"/>
              <w:right w:val="nil"/>
            </w:tcBorders>
            <w:tcMar>
              <w:top w:w="0" w:type="dxa"/>
              <w:left w:w="0" w:type="dxa"/>
              <w:bottom w:w="0" w:type="dxa"/>
              <w:right w:w="0" w:type="dxa"/>
            </w:tcMar>
            <w:hideMark/>
          </w:tcPr>
          <w:p w:rsidR="004D1C18" w:rsidRPr="004D1C18" w:rsidRDefault="004D1C18" w:rsidP="004D1C18">
            <w:pPr>
              <w:jc w:val="right"/>
              <w:rPr>
                <w:lang w:val="es-419"/>
              </w:rPr>
            </w:pPr>
            <w:r w:rsidRPr="004D1C18">
              <w:rPr>
                <w:b/>
                <w:sz w:val="40"/>
                <w:szCs w:val="40"/>
                <w:lang w:val="es-419"/>
              </w:rPr>
              <w:t>S</w:t>
            </w:r>
          </w:p>
        </w:tc>
      </w:tr>
      <w:tr w:rsidR="004D1C18" w:rsidRPr="004D1C18" w:rsidTr="004D1C18">
        <w:trPr>
          <w:trHeigh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4D1C18" w:rsidRPr="004D1C18" w:rsidRDefault="004D1C18" w:rsidP="004D1C18">
            <w:pPr>
              <w:jc w:val="right"/>
              <w:rPr>
                <w:rFonts w:ascii="Arial Black" w:hAnsi="Arial Black"/>
                <w:caps/>
                <w:sz w:val="15"/>
                <w:lang w:val="es-419"/>
              </w:rPr>
            </w:pPr>
            <w:r w:rsidRPr="004D1C18">
              <w:rPr>
                <w:rFonts w:ascii="Arial Black" w:hAnsi="Arial Black"/>
                <w:caps/>
                <w:sz w:val="15"/>
                <w:lang w:val="es-419"/>
              </w:rPr>
              <w:t xml:space="preserve">LI/WG/DEV-SYS/2/3     </w:t>
            </w:r>
          </w:p>
        </w:tc>
      </w:tr>
      <w:tr w:rsidR="004D1C18" w:rsidRPr="004D1C18" w:rsidTr="004D1C18">
        <w:trPr>
          <w:trHeight w:val="170"/>
        </w:trPr>
        <w:tc>
          <w:tcPr>
            <w:tcW w:w="9356" w:type="dxa"/>
            <w:gridSpan w:val="3"/>
            <w:noWrap/>
            <w:tcMar>
              <w:top w:w="0" w:type="dxa"/>
              <w:left w:w="0" w:type="dxa"/>
              <w:bottom w:w="0" w:type="dxa"/>
              <w:right w:w="0" w:type="dxa"/>
            </w:tcMar>
            <w:vAlign w:val="bottom"/>
            <w:hideMark/>
          </w:tcPr>
          <w:p w:rsidR="004D1C18" w:rsidRPr="004D1C18" w:rsidRDefault="004D1C18" w:rsidP="004D1C18">
            <w:pPr>
              <w:jc w:val="right"/>
              <w:rPr>
                <w:rFonts w:ascii="Arial Black" w:hAnsi="Arial Black"/>
                <w:caps/>
                <w:sz w:val="15"/>
                <w:lang w:val="es-419"/>
              </w:rPr>
            </w:pPr>
            <w:r w:rsidRPr="004D1C18">
              <w:rPr>
                <w:rFonts w:ascii="Arial Black" w:hAnsi="Arial Black"/>
                <w:caps/>
                <w:sz w:val="15"/>
                <w:lang w:val="es-419"/>
              </w:rPr>
              <w:t>ORIGINAL: INGLÉS</w:t>
            </w:r>
          </w:p>
        </w:tc>
      </w:tr>
      <w:tr w:rsidR="004D1C18" w:rsidRPr="004D1C18" w:rsidTr="004D1C18">
        <w:trPr>
          <w:trHeight w:val="198"/>
        </w:trPr>
        <w:tc>
          <w:tcPr>
            <w:tcW w:w="9356" w:type="dxa"/>
            <w:gridSpan w:val="3"/>
            <w:tcMar>
              <w:top w:w="0" w:type="dxa"/>
              <w:left w:w="0" w:type="dxa"/>
              <w:bottom w:w="0" w:type="dxa"/>
              <w:right w:w="0" w:type="dxa"/>
            </w:tcMar>
            <w:vAlign w:val="bottom"/>
            <w:hideMark/>
          </w:tcPr>
          <w:p w:rsidR="004D1C18" w:rsidRPr="004D1C18" w:rsidRDefault="004D1C18" w:rsidP="004D1C18">
            <w:pPr>
              <w:jc w:val="right"/>
              <w:rPr>
                <w:rFonts w:ascii="Arial Black" w:hAnsi="Arial Black"/>
                <w:caps/>
                <w:sz w:val="15"/>
                <w:lang w:val="es-419"/>
              </w:rPr>
            </w:pPr>
            <w:r w:rsidRPr="004D1C18">
              <w:rPr>
                <w:rFonts w:ascii="Arial Black" w:hAnsi="Arial Black"/>
                <w:caps/>
                <w:sz w:val="15"/>
                <w:lang w:val="es-419"/>
              </w:rPr>
              <w:t>FECHA: 28 DE MAyO DE 2019</w:t>
            </w:r>
          </w:p>
        </w:tc>
      </w:tr>
    </w:tbl>
    <w:p w:rsidR="004D1C18" w:rsidRPr="004D1C18" w:rsidRDefault="004D1C18" w:rsidP="004D1C18">
      <w:pPr>
        <w:rPr>
          <w:lang w:val="es-419"/>
        </w:rPr>
      </w:pPr>
    </w:p>
    <w:p w:rsidR="004D1C18" w:rsidRPr="004D1C18" w:rsidRDefault="004D1C18" w:rsidP="004D1C18">
      <w:pPr>
        <w:tabs>
          <w:tab w:val="left" w:pos="8550"/>
        </w:tabs>
        <w:rPr>
          <w:lang w:val="es-419"/>
        </w:rPr>
      </w:pPr>
    </w:p>
    <w:p w:rsidR="004D1C18" w:rsidRPr="004D1C18" w:rsidRDefault="004D1C18" w:rsidP="004D1C18">
      <w:pPr>
        <w:rPr>
          <w:lang w:val="es-419"/>
        </w:rPr>
      </w:pPr>
    </w:p>
    <w:p w:rsidR="004D1C18" w:rsidRPr="004D1C18" w:rsidRDefault="004D1C18" w:rsidP="004D1C18">
      <w:pPr>
        <w:rPr>
          <w:lang w:val="es-419"/>
        </w:rPr>
      </w:pPr>
    </w:p>
    <w:p w:rsidR="004D1C18" w:rsidRPr="004D1C18" w:rsidRDefault="004D1C18" w:rsidP="004D1C18">
      <w:pPr>
        <w:rPr>
          <w:b/>
          <w:sz w:val="28"/>
          <w:szCs w:val="28"/>
          <w:lang w:val="es-419"/>
        </w:rPr>
      </w:pPr>
      <w:r w:rsidRPr="004D1C18">
        <w:rPr>
          <w:b/>
          <w:sz w:val="28"/>
          <w:szCs w:val="28"/>
          <w:lang w:val="es-419"/>
        </w:rPr>
        <w:t>Grupo de Trabajo sobre el Desarrollo del Sistema de Lisboa</w:t>
      </w:r>
    </w:p>
    <w:p w:rsidR="004D1C18" w:rsidRPr="004D1C18" w:rsidRDefault="004D1C18" w:rsidP="004D1C18">
      <w:pPr>
        <w:rPr>
          <w:b/>
          <w:szCs w:val="22"/>
          <w:lang w:val="es-419"/>
        </w:rPr>
      </w:pPr>
    </w:p>
    <w:p w:rsidR="004D1C18" w:rsidRPr="004D1C18" w:rsidRDefault="004D1C18" w:rsidP="004D1C18">
      <w:pPr>
        <w:rPr>
          <w:b/>
          <w:szCs w:val="22"/>
          <w:lang w:val="es-419"/>
        </w:rPr>
      </w:pPr>
    </w:p>
    <w:p w:rsidR="004D1C18" w:rsidRPr="004D1C18" w:rsidRDefault="004D1C18" w:rsidP="004D1C18">
      <w:pPr>
        <w:rPr>
          <w:b/>
          <w:sz w:val="24"/>
          <w:szCs w:val="24"/>
          <w:lang w:val="es-419"/>
        </w:rPr>
      </w:pPr>
      <w:r w:rsidRPr="004D1C18">
        <w:rPr>
          <w:b/>
          <w:sz w:val="24"/>
          <w:szCs w:val="24"/>
          <w:lang w:val="es-419"/>
        </w:rPr>
        <w:t>Segunda reunión</w:t>
      </w:r>
    </w:p>
    <w:p w:rsidR="004D1C18" w:rsidRPr="004D1C18" w:rsidRDefault="004D1C18" w:rsidP="004D1C18">
      <w:pPr>
        <w:rPr>
          <w:b/>
          <w:sz w:val="24"/>
          <w:szCs w:val="24"/>
          <w:lang w:val="es-419"/>
        </w:rPr>
      </w:pPr>
      <w:r w:rsidRPr="004D1C18">
        <w:rPr>
          <w:b/>
          <w:sz w:val="24"/>
          <w:szCs w:val="24"/>
          <w:lang w:val="es-419"/>
        </w:rPr>
        <w:t>Ginebra, 27 y 28 de mayo de 2019</w:t>
      </w:r>
    </w:p>
    <w:p w:rsidR="004D1C18" w:rsidRPr="004D1C18" w:rsidRDefault="004D1C18" w:rsidP="004D1C18">
      <w:pPr>
        <w:rPr>
          <w:lang w:val="es-419"/>
        </w:rPr>
      </w:pPr>
    </w:p>
    <w:p w:rsidR="004D1C18" w:rsidRPr="004D1C18" w:rsidRDefault="004D1C18" w:rsidP="004D1C18">
      <w:pPr>
        <w:rPr>
          <w:lang w:val="es-419"/>
        </w:rPr>
      </w:pPr>
    </w:p>
    <w:p w:rsidR="004D1C18" w:rsidRPr="004D1C18" w:rsidRDefault="004D1C18" w:rsidP="004D1C18">
      <w:pPr>
        <w:rPr>
          <w:lang w:val="es-419"/>
        </w:rPr>
      </w:pPr>
    </w:p>
    <w:p w:rsidR="004D1C18" w:rsidRPr="004D1C18" w:rsidRDefault="004D1C18" w:rsidP="004D1C18">
      <w:pPr>
        <w:rPr>
          <w:caps/>
          <w:sz w:val="24"/>
          <w:lang w:val="es-419"/>
        </w:rPr>
      </w:pPr>
      <w:r w:rsidRPr="004D1C18">
        <w:rPr>
          <w:caps/>
          <w:sz w:val="24"/>
          <w:lang w:val="es-419"/>
        </w:rPr>
        <w:t>resumen de la presidencia</w:t>
      </w:r>
    </w:p>
    <w:p w:rsidR="004D1C18" w:rsidRPr="004D1C18" w:rsidRDefault="004D1C18" w:rsidP="004D1C18">
      <w:pPr>
        <w:rPr>
          <w:i/>
          <w:szCs w:val="22"/>
          <w:lang w:val="es-419"/>
        </w:rPr>
      </w:pPr>
    </w:p>
    <w:p w:rsidR="004D1C18" w:rsidRPr="004D1C18" w:rsidRDefault="004D1C18" w:rsidP="004D1C18">
      <w:pPr>
        <w:rPr>
          <w:i/>
          <w:szCs w:val="22"/>
          <w:lang w:val="es-419"/>
        </w:rPr>
      </w:pPr>
      <w:r w:rsidRPr="004D1C18">
        <w:rPr>
          <w:i/>
          <w:szCs w:val="22"/>
          <w:lang w:val="es-419"/>
        </w:rPr>
        <w:t>aprobado por el Grupo de Trabajo</w:t>
      </w:r>
    </w:p>
    <w:p w:rsidR="004D1C18" w:rsidRPr="004D1C18" w:rsidRDefault="004D1C18" w:rsidP="004D1C18">
      <w:pPr>
        <w:rPr>
          <w:szCs w:val="22"/>
          <w:lang w:val="es-419"/>
        </w:rPr>
      </w:pPr>
    </w:p>
    <w:p w:rsidR="004D1C18" w:rsidRPr="004D1C18" w:rsidRDefault="004D1C18" w:rsidP="004D1C18">
      <w:pPr>
        <w:rPr>
          <w:szCs w:val="22"/>
          <w:lang w:val="es-419"/>
        </w:rPr>
      </w:pPr>
    </w:p>
    <w:p w:rsidR="004D1C18" w:rsidRPr="004D1C18" w:rsidRDefault="004D1C18" w:rsidP="004D1C18">
      <w:pPr>
        <w:rPr>
          <w:szCs w:val="22"/>
          <w:lang w:val="es-419"/>
        </w:rPr>
      </w:pPr>
    </w:p>
    <w:p w:rsidR="004D1C18" w:rsidRPr="004D1C18" w:rsidRDefault="004D1C18" w:rsidP="004D1C18">
      <w:pPr>
        <w:rPr>
          <w:szCs w:val="22"/>
          <w:lang w:val="es-419"/>
        </w:rPr>
      </w:pPr>
    </w:p>
    <w:p w:rsidR="004D1C18" w:rsidRPr="0040277C" w:rsidRDefault="004D1C18" w:rsidP="004D1C18">
      <w:pPr>
        <w:pStyle w:val="ListParagraph"/>
        <w:numPr>
          <w:ilvl w:val="0"/>
          <w:numId w:val="10"/>
        </w:numPr>
        <w:tabs>
          <w:tab w:val="num" w:pos="567"/>
        </w:tabs>
        <w:spacing w:after="220"/>
        <w:ind w:left="0" w:firstLine="0"/>
        <w:rPr>
          <w:lang w:val="es-419"/>
        </w:rPr>
      </w:pPr>
      <w:r w:rsidRPr="0040277C">
        <w:rPr>
          <w:lang w:val="es-419"/>
        </w:rPr>
        <w:t>El Grupo de Trabajo sobre el Desarrollo del Sistema de Lisboa (en lo sucesivo, el “Grupo de Trabajo”) se reunió en Ginebra los días 27 y 28 de mayo de 2019.</w:t>
      </w:r>
    </w:p>
    <w:p w:rsidR="004D1C18" w:rsidRPr="0040277C" w:rsidRDefault="004D1C18" w:rsidP="004D1C18">
      <w:pPr>
        <w:pStyle w:val="ListParagraph"/>
        <w:tabs>
          <w:tab w:val="num" w:pos="567"/>
        </w:tabs>
        <w:spacing w:after="220"/>
        <w:ind w:left="0"/>
        <w:rPr>
          <w:lang w:val="es-419"/>
        </w:rPr>
      </w:pPr>
    </w:p>
    <w:p w:rsidR="004D1C18" w:rsidRPr="0040277C" w:rsidRDefault="004D1C18" w:rsidP="004D1C18">
      <w:pPr>
        <w:pStyle w:val="ListParagraph"/>
        <w:numPr>
          <w:ilvl w:val="0"/>
          <w:numId w:val="10"/>
        </w:numPr>
        <w:tabs>
          <w:tab w:val="num" w:pos="567"/>
        </w:tabs>
        <w:spacing w:after="220"/>
        <w:ind w:left="0" w:firstLine="0"/>
        <w:rPr>
          <w:lang w:val="es-419"/>
        </w:rPr>
      </w:pPr>
      <w:r w:rsidRPr="0040277C">
        <w:rPr>
          <w:lang w:val="es-419"/>
        </w:rPr>
        <w:t>Estuvieron representadas en la reunión las siguientes Partes Contratantes de la Unión de Lisboa: Burkina Faso, Eslovaquia, Francia, Gabón, Hungría, Irán (República Islámica del), Israel, Italia, México, Nicaragua, Perú, Portugal, República Checa (13).</w:t>
      </w:r>
    </w:p>
    <w:p w:rsidR="004D1C18" w:rsidRPr="0040277C" w:rsidRDefault="004D1C18" w:rsidP="004D1C18">
      <w:pPr>
        <w:pStyle w:val="ListParagraph"/>
        <w:rPr>
          <w:lang w:val="es-419"/>
        </w:rPr>
      </w:pPr>
    </w:p>
    <w:p w:rsidR="004D1C18" w:rsidRPr="0040277C" w:rsidRDefault="004D1C18" w:rsidP="004D1C18">
      <w:pPr>
        <w:pStyle w:val="ListParagraph"/>
        <w:numPr>
          <w:ilvl w:val="0"/>
          <w:numId w:val="10"/>
        </w:numPr>
        <w:spacing w:after="220"/>
        <w:ind w:left="0" w:firstLine="0"/>
        <w:rPr>
          <w:lang w:val="es-419"/>
        </w:rPr>
      </w:pPr>
      <w:r w:rsidRPr="0040277C">
        <w:rPr>
          <w:lang w:val="es-419"/>
        </w:rPr>
        <w:t>Estuvieron representados, en calidad de observadores, los siguientes Estados: Afganistán, Alemania, Australia, España, Estados Unidos de América, Federación de Rusia, Finlandia, Guyana, Honduras, India, Irlanda, Japón, Kuwait, Nigeria, Paraguay, Polonia, República de Corea, Rumania, Senegal, Suiza (20).</w:t>
      </w:r>
    </w:p>
    <w:p w:rsidR="004D1C18" w:rsidRPr="0040277C" w:rsidRDefault="004D1C18" w:rsidP="004D1C18">
      <w:pPr>
        <w:pStyle w:val="ListParagraph"/>
        <w:rPr>
          <w:lang w:val="es-419"/>
        </w:rPr>
      </w:pPr>
    </w:p>
    <w:p w:rsidR="004D1C18" w:rsidRPr="0040277C" w:rsidRDefault="004D1C18" w:rsidP="004D1C18">
      <w:pPr>
        <w:pStyle w:val="ListParagraph"/>
        <w:numPr>
          <w:ilvl w:val="0"/>
          <w:numId w:val="10"/>
        </w:numPr>
        <w:tabs>
          <w:tab w:val="num" w:pos="567"/>
        </w:tabs>
        <w:spacing w:after="220"/>
        <w:ind w:left="0" w:firstLine="0"/>
        <w:rPr>
          <w:lang w:val="es-419"/>
        </w:rPr>
      </w:pPr>
      <w:r w:rsidRPr="0040277C">
        <w:rPr>
          <w:lang w:val="es-419"/>
        </w:rPr>
        <w:t>Participaron en la reunión, en calidad de observadores, representantes de las siguientes organizaciones intergubernamentales internacionales (OIG): Organización de Cooperación Islámica (OCI), Organización de las Naciones Unidas para la Alimentación y la Agricultura (FAO), Organización Mundial del Comercio (OMC), Unión Europea (UE) (4).</w:t>
      </w:r>
    </w:p>
    <w:p w:rsidR="004D1C18" w:rsidRPr="0040277C" w:rsidRDefault="004D1C18" w:rsidP="004D1C18">
      <w:pPr>
        <w:pStyle w:val="ListParagraph"/>
        <w:rPr>
          <w:lang w:val="es-419"/>
        </w:rPr>
      </w:pPr>
    </w:p>
    <w:p w:rsidR="004D1C18" w:rsidRPr="0040277C" w:rsidRDefault="004D1C18" w:rsidP="004D1C18">
      <w:pPr>
        <w:pStyle w:val="ListParagraph"/>
        <w:numPr>
          <w:ilvl w:val="0"/>
          <w:numId w:val="10"/>
        </w:numPr>
        <w:tabs>
          <w:tab w:val="num" w:pos="567"/>
        </w:tabs>
        <w:spacing w:after="220"/>
        <w:ind w:left="0" w:firstLine="0"/>
        <w:rPr>
          <w:lang w:val="es-419"/>
        </w:rPr>
      </w:pPr>
      <w:r w:rsidRPr="0040277C">
        <w:rPr>
          <w:lang w:val="es-419"/>
        </w:rPr>
        <w:t xml:space="preserve">Participaron en la reunión, en calidad de observadores, representantes de las siguientes organizaciones nacionales e internacionales no gubernamentales (ONG): </w:t>
      </w:r>
      <w:r w:rsidRPr="0040277C">
        <w:rPr>
          <w:i/>
          <w:lang w:val="es-419"/>
        </w:rPr>
        <w:t xml:space="preserve">Association congolaise pour le développement agricole </w:t>
      </w:r>
      <w:r w:rsidRPr="0040277C">
        <w:rPr>
          <w:lang w:val="es-419"/>
        </w:rPr>
        <w:t xml:space="preserve">(ACDA), Asociación Internacional de Derecho de la Viña y el Vino (AIDV), </w:t>
      </w:r>
      <w:r w:rsidRPr="0040277C">
        <w:rPr>
          <w:i/>
          <w:lang w:val="es-419"/>
        </w:rPr>
        <w:t>Centre d’Études Internationales de la Propriété Intellectuelle</w:t>
      </w:r>
      <w:r w:rsidRPr="0040277C">
        <w:rPr>
          <w:lang w:val="es-419"/>
        </w:rPr>
        <w:t xml:space="preserve"> (CEIPI), Health and Environment Program (HEP), MARQUES – Asociación de Titulares Europeos de Marcas, </w:t>
      </w:r>
      <w:r w:rsidRPr="0040277C">
        <w:rPr>
          <w:i/>
          <w:iCs/>
          <w:lang w:val="es-419"/>
        </w:rPr>
        <w:t>Organization for an International Geographical Indications Network</w:t>
      </w:r>
      <w:r w:rsidRPr="0040277C">
        <w:rPr>
          <w:lang w:val="es-419"/>
        </w:rPr>
        <w:t xml:space="preserve"> (oriGIn) (6).</w:t>
      </w:r>
    </w:p>
    <w:p w:rsidR="004D1C18" w:rsidRPr="00B168C1" w:rsidRDefault="004D1C18" w:rsidP="00B168C1">
      <w:pPr>
        <w:rPr>
          <w:lang w:val="es-419"/>
        </w:rPr>
      </w:pPr>
    </w:p>
    <w:p w:rsidR="004D1C18" w:rsidRPr="0040277C" w:rsidRDefault="004D1C18" w:rsidP="004D1C18">
      <w:pPr>
        <w:pStyle w:val="ListParagraph"/>
        <w:numPr>
          <w:ilvl w:val="0"/>
          <w:numId w:val="10"/>
        </w:numPr>
        <w:tabs>
          <w:tab w:val="num" w:pos="567"/>
        </w:tabs>
        <w:spacing w:after="220"/>
        <w:ind w:left="0" w:firstLine="0"/>
        <w:rPr>
          <w:lang w:val="es-419"/>
        </w:rPr>
      </w:pPr>
      <w:r w:rsidRPr="0040277C">
        <w:rPr>
          <w:lang w:val="es-419"/>
        </w:rPr>
        <w:lastRenderedPageBreak/>
        <w:t>La lista de participantes figura en el documento LI/WG/DEV-SYS/2/INF/1 Prov.</w:t>
      </w:r>
      <w:r w:rsidRPr="0040277C">
        <w:rPr>
          <w:szCs w:val="22"/>
          <w:vertAlign w:val="superscript"/>
          <w:lang w:val="es-419"/>
        </w:rPr>
        <w:footnoteReference w:customMarkFollows="1" w:id="2"/>
        <w:t>*</w:t>
      </w:r>
    </w:p>
    <w:p w:rsidR="004D1C18" w:rsidRPr="004D1C18" w:rsidRDefault="004D1C18" w:rsidP="004D1C18">
      <w:pPr>
        <w:keepNext/>
        <w:spacing w:before="240" w:after="60"/>
        <w:outlineLvl w:val="0"/>
        <w:rPr>
          <w:bCs/>
          <w:caps/>
          <w:kern w:val="32"/>
          <w:szCs w:val="32"/>
          <w:lang w:val="es-419"/>
        </w:rPr>
      </w:pPr>
      <w:r w:rsidRPr="004D1C18">
        <w:rPr>
          <w:bCs/>
          <w:caps/>
          <w:kern w:val="32"/>
          <w:szCs w:val="32"/>
          <w:lang w:val="es-419"/>
        </w:rPr>
        <w:t>PUNTO 1 DEL ORDEN DEL DÍA: APERTURA DE LA REUNIÓN</w:t>
      </w:r>
    </w:p>
    <w:p w:rsidR="004D1C18" w:rsidRPr="004D1C18" w:rsidRDefault="004D1C18" w:rsidP="004D1C18">
      <w:pPr>
        <w:rPr>
          <w:lang w:val="es-419"/>
        </w:rPr>
      </w:pPr>
    </w:p>
    <w:p w:rsidR="004D1C18" w:rsidRPr="004D1C18" w:rsidRDefault="004D1C18" w:rsidP="004D1C18">
      <w:pPr>
        <w:pStyle w:val="ListParagraph"/>
        <w:numPr>
          <w:ilvl w:val="0"/>
          <w:numId w:val="10"/>
        </w:numPr>
        <w:tabs>
          <w:tab w:val="num" w:pos="567"/>
        </w:tabs>
        <w:spacing w:after="220"/>
        <w:ind w:left="0" w:firstLine="0"/>
        <w:rPr>
          <w:lang w:val="es-419"/>
        </w:rPr>
      </w:pPr>
      <w:r w:rsidRPr="004D1C18">
        <w:rPr>
          <w:lang w:val="es-419"/>
        </w:rPr>
        <w:t>El Sr. Francis Gurry, director general de la Organización Mundial de la Propiedad Intele</w:t>
      </w:r>
      <w:r w:rsidR="00E916F9" w:rsidRPr="0040277C">
        <w:rPr>
          <w:lang w:val="es-419"/>
        </w:rPr>
        <w:t>ctual (OMPI), abrió la reunión.</w:t>
      </w:r>
    </w:p>
    <w:p w:rsidR="004D1C18" w:rsidRPr="004D1C18" w:rsidRDefault="00F82ED7" w:rsidP="004D1C18">
      <w:pPr>
        <w:keepNext/>
        <w:spacing w:before="240" w:after="60"/>
        <w:outlineLvl w:val="0"/>
        <w:rPr>
          <w:bCs/>
          <w:caps/>
          <w:kern w:val="32"/>
          <w:szCs w:val="32"/>
          <w:lang w:val="es-419"/>
        </w:rPr>
      </w:pPr>
      <w:r w:rsidRPr="0040277C">
        <w:rPr>
          <w:bCs/>
          <w:caps/>
          <w:kern w:val="32"/>
          <w:szCs w:val="32"/>
          <w:lang w:val="es-419"/>
        </w:rPr>
        <w:t>punto 2 del orden del día:</w:t>
      </w:r>
      <w:r w:rsidR="004D1C18" w:rsidRPr="004D1C18">
        <w:rPr>
          <w:bCs/>
          <w:caps/>
          <w:kern w:val="32"/>
          <w:szCs w:val="32"/>
          <w:lang w:val="es-419"/>
        </w:rPr>
        <w:t xml:space="preserve"> Elección del presidente y de dos vicepresidentes</w:t>
      </w:r>
    </w:p>
    <w:p w:rsidR="004D1C18" w:rsidRPr="004D1C18" w:rsidRDefault="004D1C18" w:rsidP="004D1C18">
      <w:pPr>
        <w:rPr>
          <w:lang w:val="es-419"/>
        </w:rPr>
      </w:pPr>
    </w:p>
    <w:p w:rsidR="004D1C18" w:rsidRPr="0040277C" w:rsidRDefault="004D1C18" w:rsidP="004D1C18">
      <w:pPr>
        <w:pStyle w:val="ListParagraph"/>
        <w:numPr>
          <w:ilvl w:val="0"/>
          <w:numId w:val="10"/>
        </w:numPr>
        <w:tabs>
          <w:tab w:val="num" w:pos="567"/>
        </w:tabs>
        <w:spacing w:after="220"/>
        <w:ind w:left="0" w:firstLine="0"/>
        <w:rPr>
          <w:lang w:val="es-419"/>
        </w:rPr>
      </w:pPr>
      <w:r w:rsidRPr="004D1C18">
        <w:rPr>
          <w:lang w:val="es-419"/>
        </w:rPr>
        <w:t>El Sr. Csaba Baticz (Hungría) fue elegido por unanimidad presidente del Grupo de Trabajo.</w:t>
      </w:r>
    </w:p>
    <w:p w:rsidR="004D1C18" w:rsidRPr="0040277C" w:rsidRDefault="004D1C18" w:rsidP="004D1C18">
      <w:pPr>
        <w:pStyle w:val="ListParagraph"/>
        <w:spacing w:after="220"/>
        <w:ind w:left="0"/>
        <w:rPr>
          <w:lang w:val="es-419"/>
        </w:rPr>
      </w:pPr>
    </w:p>
    <w:p w:rsidR="004D1C18" w:rsidRPr="004D1C18" w:rsidRDefault="004D1C18" w:rsidP="004D1C18">
      <w:pPr>
        <w:pStyle w:val="ListParagraph"/>
        <w:numPr>
          <w:ilvl w:val="0"/>
          <w:numId w:val="10"/>
        </w:numPr>
        <w:tabs>
          <w:tab w:val="num" w:pos="567"/>
        </w:tabs>
        <w:spacing w:after="220"/>
        <w:ind w:left="0" w:firstLine="0"/>
        <w:rPr>
          <w:lang w:val="es-419"/>
        </w:rPr>
      </w:pPr>
      <w:r w:rsidRPr="004D1C18">
        <w:rPr>
          <w:lang w:val="es-419"/>
        </w:rPr>
        <w:t>La Sra. Alexandra Grazioli (OMPI) desempeñó las funciones de se</w:t>
      </w:r>
      <w:r w:rsidRPr="0040277C">
        <w:rPr>
          <w:lang w:val="es-419"/>
        </w:rPr>
        <w:t>cretaria del Grupo de Trabajo.</w:t>
      </w:r>
    </w:p>
    <w:p w:rsidR="004D1C18" w:rsidRPr="004D1C18" w:rsidRDefault="004D1C18" w:rsidP="004D1C18">
      <w:pPr>
        <w:spacing w:before="240" w:after="200"/>
        <w:outlineLvl w:val="0"/>
        <w:rPr>
          <w:bCs/>
          <w:caps/>
          <w:kern w:val="32"/>
          <w:szCs w:val="32"/>
          <w:lang w:val="es-419"/>
        </w:rPr>
      </w:pPr>
      <w:r w:rsidRPr="004D1C18">
        <w:rPr>
          <w:bCs/>
          <w:caps/>
          <w:kern w:val="32"/>
          <w:szCs w:val="32"/>
          <w:lang w:val="es-419"/>
        </w:rPr>
        <w:t>PUNTO 3 DEL ORDEN DEL DÍA: APROBACIÓN DEL ORDEN DEL DÍA</w:t>
      </w:r>
    </w:p>
    <w:p w:rsidR="004D1C18" w:rsidRPr="004D1C18" w:rsidRDefault="004D1C18" w:rsidP="00B168C1">
      <w:pPr>
        <w:pStyle w:val="ListParagraph"/>
        <w:numPr>
          <w:ilvl w:val="0"/>
          <w:numId w:val="10"/>
        </w:numPr>
        <w:spacing w:after="220"/>
        <w:ind w:left="540" w:firstLine="0"/>
        <w:rPr>
          <w:lang w:val="es-419"/>
        </w:rPr>
      </w:pPr>
      <w:r w:rsidRPr="004D1C18">
        <w:rPr>
          <w:lang w:val="es-419"/>
        </w:rPr>
        <w:t>El Grupo de Trabajo aprobó el proyecto de orden del día (documento LI/WG/DEV</w:t>
      </w:r>
      <w:r w:rsidRPr="004D1C18">
        <w:rPr>
          <w:lang w:val="es-419"/>
        </w:rPr>
        <w:noBreakHyphen/>
        <w:t>SYS/2/1 Prov.) sin modificaciones.</w:t>
      </w:r>
    </w:p>
    <w:p w:rsidR="004D1C18" w:rsidRPr="004D1C18" w:rsidRDefault="004D1C18" w:rsidP="004D1C18">
      <w:pPr>
        <w:spacing w:before="240" w:after="200"/>
        <w:outlineLvl w:val="0"/>
        <w:rPr>
          <w:bCs/>
          <w:caps/>
          <w:kern w:val="32"/>
          <w:szCs w:val="32"/>
          <w:lang w:val="es-419"/>
        </w:rPr>
      </w:pPr>
      <w:r w:rsidRPr="004D1C18">
        <w:rPr>
          <w:bCs/>
          <w:caps/>
          <w:kern w:val="32"/>
          <w:szCs w:val="32"/>
          <w:lang w:val="es-419"/>
        </w:rPr>
        <w:t>PUNTO 4 DEL ORDEN DEL DÍA: Sostenibilidad financiera de la Unión de Lisboa</w:t>
      </w:r>
    </w:p>
    <w:p w:rsidR="004D1C18" w:rsidRPr="004D1C18" w:rsidRDefault="004D1C18" w:rsidP="004D1C18">
      <w:pPr>
        <w:pStyle w:val="ListParagraph"/>
        <w:numPr>
          <w:ilvl w:val="0"/>
          <w:numId w:val="10"/>
        </w:numPr>
        <w:tabs>
          <w:tab w:val="num" w:pos="567"/>
        </w:tabs>
        <w:spacing w:after="220"/>
        <w:ind w:left="0" w:firstLine="0"/>
        <w:rPr>
          <w:lang w:val="es-419"/>
        </w:rPr>
      </w:pPr>
      <w:r w:rsidRPr="004D1C18">
        <w:rPr>
          <w:lang w:val="es-419"/>
        </w:rPr>
        <w:t>Los debates se basaron en el documento LI/WG/DEV-SYS/2/2.</w:t>
      </w:r>
    </w:p>
    <w:p w:rsidR="004D1C18" w:rsidRPr="0040277C" w:rsidRDefault="004D1C18" w:rsidP="004D1C18">
      <w:pPr>
        <w:pStyle w:val="ListParagraph"/>
        <w:spacing w:after="220"/>
        <w:ind w:left="0"/>
        <w:rPr>
          <w:lang w:val="es-419"/>
        </w:rPr>
      </w:pPr>
    </w:p>
    <w:p w:rsidR="004D1C18" w:rsidRPr="004D1C18" w:rsidRDefault="004D1C18" w:rsidP="004D1C18">
      <w:pPr>
        <w:pStyle w:val="ListParagraph"/>
        <w:numPr>
          <w:ilvl w:val="0"/>
          <w:numId w:val="10"/>
        </w:numPr>
        <w:tabs>
          <w:tab w:val="num" w:pos="567"/>
        </w:tabs>
        <w:spacing w:after="220"/>
        <w:ind w:left="0" w:firstLine="0"/>
        <w:rPr>
          <w:lang w:val="es-419"/>
        </w:rPr>
      </w:pPr>
      <w:r w:rsidRPr="004D1C18">
        <w:rPr>
          <w:lang w:val="es-419"/>
        </w:rPr>
        <w:t>El presidente tomó nota de las posturas expresadas por todas las delegaciones, incluidas las delegaciones observadoras. Se dejará constancia de ellas en el informe de la presente reunión.</w:t>
      </w:r>
    </w:p>
    <w:p w:rsidR="004D1C18" w:rsidRPr="0040277C" w:rsidRDefault="004D1C18" w:rsidP="004D1C18">
      <w:pPr>
        <w:pStyle w:val="ListParagraph"/>
        <w:spacing w:after="220"/>
        <w:ind w:left="0"/>
        <w:rPr>
          <w:lang w:val="es-419"/>
        </w:rPr>
      </w:pPr>
    </w:p>
    <w:p w:rsidR="004D1C18" w:rsidRPr="004D1C18" w:rsidRDefault="004D1C18" w:rsidP="004D1C18">
      <w:pPr>
        <w:pStyle w:val="ListParagraph"/>
        <w:numPr>
          <w:ilvl w:val="0"/>
          <w:numId w:val="10"/>
        </w:numPr>
        <w:tabs>
          <w:tab w:val="num" w:pos="567"/>
        </w:tabs>
        <w:spacing w:after="220"/>
        <w:ind w:left="0" w:firstLine="0"/>
        <w:rPr>
          <w:lang w:val="es-419"/>
        </w:rPr>
      </w:pPr>
      <w:r w:rsidRPr="004D1C18">
        <w:rPr>
          <w:lang w:val="es-419"/>
        </w:rPr>
        <w:t>El Grupo de Trabajo hizo hincapié asimismo en la importancia de las actividades de promoción para fomentar las adhesiones al Sistema de Lisboa, incluida el Acta de Ginebra, y la necesidad de fomentar la coordinación entre los miembros del Sistema de Lisboa a ese respecto.</w:t>
      </w:r>
    </w:p>
    <w:p w:rsidR="004D1C18" w:rsidRPr="0040277C" w:rsidRDefault="004D1C18" w:rsidP="004D1C18">
      <w:pPr>
        <w:pStyle w:val="ListParagraph"/>
        <w:spacing w:after="220"/>
        <w:ind w:left="0"/>
        <w:rPr>
          <w:lang w:val="es-419"/>
        </w:rPr>
      </w:pPr>
    </w:p>
    <w:p w:rsidR="004D1C18" w:rsidRPr="004D1C18" w:rsidRDefault="004D1C18" w:rsidP="00F82ED7">
      <w:pPr>
        <w:pStyle w:val="ListParagraph"/>
        <w:numPr>
          <w:ilvl w:val="0"/>
          <w:numId w:val="10"/>
        </w:numPr>
        <w:tabs>
          <w:tab w:val="num" w:pos="567"/>
        </w:tabs>
        <w:spacing w:after="220"/>
        <w:ind w:left="630" w:firstLine="0"/>
        <w:rPr>
          <w:lang w:val="es-419"/>
        </w:rPr>
      </w:pPr>
      <w:r w:rsidRPr="004D1C18">
        <w:rPr>
          <w:lang w:val="es-419"/>
        </w:rPr>
        <w:t>Sobre la base de los debates que tuvieron lugar en el marco del punto 4 del orden del día, el Grupo de Trabajo decidió:</w:t>
      </w:r>
    </w:p>
    <w:p w:rsidR="004D1C18" w:rsidRPr="004D1C18" w:rsidRDefault="004D1C18" w:rsidP="00F82ED7">
      <w:pPr>
        <w:numPr>
          <w:ilvl w:val="2"/>
          <w:numId w:val="8"/>
        </w:numPr>
        <w:tabs>
          <w:tab w:val="clear" w:pos="1701"/>
        </w:tabs>
        <w:spacing w:after="220"/>
        <w:ind w:left="1530" w:hanging="414"/>
        <w:rPr>
          <w:lang w:val="es-419" w:eastAsia="en-US"/>
        </w:rPr>
      </w:pPr>
      <w:r w:rsidRPr="004D1C18">
        <w:rPr>
          <w:lang w:val="es-419" w:eastAsia="en-US"/>
        </w:rPr>
        <w:t>tomar nota de las declaraciones formuladas en el marco del punto 4 del orden del día; y</w:t>
      </w:r>
    </w:p>
    <w:p w:rsidR="004D1C18" w:rsidRPr="004D1C18" w:rsidRDefault="0040277C" w:rsidP="0040277C">
      <w:pPr>
        <w:numPr>
          <w:ilvl w:val="2"/>
          <w:numId w:val="8"/>
        </w:numPr>
        <w:spacing w:after="220"/>
        <w:rPr>
          <w:rFonts w:eastAsia="Times New Roman"/>
          <w:color w:val="000000"/>
          <w:szCs w:val="22"/>
          <w:lang w:val="es-419" w:eastAsia="en-US"/>
        </w:rPr>
      </w:pPr>
      <w:r w:rsidRPr="0040277C">
        <w:rPr>
          <w:lang w:val="es-419" w:eastAsia="en-US"/>
        </w:rPr>
        <w:t>seguir examinando las medidas adecuadas para garantizar la sostenibilidad financiera de la Unión de Lisboa en el futuro, incluida la revisión periódica de la Tabla de tasas, y reconoció al mismo tiempo la necesidad de evaluar la repercusión de la entrada en vigor del Acta de Ginebra en la situación financiera de la Unión</w:t>
      </w:r>
      <w:r w:rsidR="004D1C18" w:rsidRPr="004D1C18">
        <w:rPr>
          <w:lang w:val="es-419" w:eastAsia="en-US"/>
        </w:rPr>
        <w:t>.</w:t>
      </w:r>
    </w:p>
    <w:p w:rsidR="004D1C18" w:rsidRPr="004D1C18" w:rsidRDefault="004D1C18" w:rsidP="004D1C18">
      <w:pPr>
        <w:spacing w:before="240" w:after="200"/>
        <w:outlineLvl w:val="0"/>
        <w:rPr>
          <w:bCs/>
          <w:caps/>
          <w:kern w:val="32"/>
          <w:szCs w:val="32"/>
          <w:lang w:val="es-419"/>
        </w:rPr>
      </w:pPr>
      <w:r w:rsidRPr="004D1C18">
        <w:rPr>
          <w:bCs/>
          <w:caps/>
          <w:kern w:val="32"/>
          <w:szCs w:val="32"/>
          <w:lang w:val="es-419"/>
        </w:rPr>
        <w:t>PUNTO 5 DEL ORDEN DEL DÍA: aprobación del resumen de la presidencia</w:t>
      </w:r>
    </w:p>
    <w:p w:rsidR="004D1C18" w:rsidRPr="004D1C18" w:rsidRDefault="004D1C18" w:rsidP="00B168C1">
      <w:pPr>
        <w:pStyle w:val="ListParagraph"/>
        <w:numPr>
          <w:ilvl w:val="0"/>
          <w:numId w:val="10"/>
        </w:numPr>
        <w:spacing w:after="220"/>
        <w:ind w:left="630" w:firstLine="0"/>
        <w:rPr>
          <w:lang w:val="es-419"/>
        </w:rPr>
      </w:pPr>
      <w:r w:rsidRPr="004D1C18">
        <w:rPr>
          <w:lang w:val="es-419"/>
        </w:rPr>
        <w:t>El Grupo de Trabajo aprobó el resumen de la presidencia tal como consta en el presente documento.</w:t>
      </w:r>
    </w:p>
    <w:p w:rsidR="004D1C18" w:rsidRPr="0040277C" w:rsidRDefault="004D1C18">
      <w:pPr>
        <w:rPr>
          <w:b/>
          <w:bCs/>
          <w:caps/>
          <w:kern w:val="32"/>
          <w:szCs w:val="32"/>
          <w:lang w:val="es-419"/>
        </w:rPr>
      </w:pPr>
      <w:r w:rsidRPr="0040277C">
        <w:rPr>
          <w:b/>
          <w:bCs/>
          <w:caps/>
          <w:kern w:val="32"/>
          <w:szCs w:val="32"/>
          <w:lang w:val="es-419"/>
        </w:rPr>
        <w:br w:type="page"/>
      </w:r>
    </w:p>
    <w:p w:rsidR="004D1C18" w:rsidRPr="004D1C18" w:rsidRDefault="004D1C18" w:rsidP="004D1C18">
      <w:pPr>
        <w:spacing w:before="240" w:after="200"/>
        <w:outlineLvl w:val="0"/>
        <w:rPr>
          <w:bCs/>
          <w:caps/>
          <w:kern w:val="32"/>
          <w:szCs w:val="32"/>
          <w:lang w:val="es-419"/>
        </w:rPr>
      </w:pPr>
      <w:r w:rsidRPr="004D1C18">
        <w:rPr>
          <w:bCs/>
          <w:caps/>
          <w:kern w:val="32"/>
          <w:szCs w:val="32"/>
          <w:lang w:val="es-419"/>
        </w:rPr>
        <w:lastRenderedPageBreak/>
        <w:t>PUNTO 6 DEL ORDEN DEL DÍA: Clausura de la reunión</w:t>
      </w:r>
    </w:p>
    <w:p w:rsidR="004D1C18" w:rsidRPr="004D1C18" w:rsidRDefault="004D1C18" w:rsidP="004D1C18">
      <w:pPr>
        <w:pStyle w:val="ListParagraph"/>
        <w:numPr>
          <w:ilvl w:val="0"/>
          <w:numId w:val="10"/>
        </w:numPr>
        <w:tabs>
          <w:tab w:val="num" w:pos="567"/>
        </w:tabs>
        <w:spacing w:after="220"/>
        <w:ind w:left="0" w:firstLine="0"/>
        <w:rPr>
          <w:lang w:val="es-419"/>
        </w:rPr>
      </w:pPr>
      <w:r w:rsidRPr="004D1C18">
        <w:rPr>
          <w:lang w:val="es-419"/>
        </w:rPr>
        <w:t>El presidente clausuró la reunión el 28 de mayo de 2019.</w:t>
      </w:r>
    </w:p>
    <w:p w:rsidR="004D1C18" w:rsidRPr="004D1C18" w:rsidRDefault="004D1C18" w:rsidP="004D1C18">
      <w:pPr>
        <w:tabs>
          <w:tab w:val="left" w:pos="708"/>
        </w:tabs>
        <w:spacing w:after="220"/>
        <w:rPr>
          <w:lang w:val="es-419"/>
        </w:rPr>
      </w:pPr>
    </w:p>
    <w:p w:rsidR="004D1C18" w:rsidRPr="004D1C18" w:rsidRDefault="004D1C18" w:rsidP="004D1C18">
      <w:pPr>
        <w:ind w:left="5580"/>
        <w:rPr>
          <w:rFonts w:ascii="Times New Roman" w:eastAsia="Times New Roman" w:hAnsi="Times New Roman" w:cs="Times New Roman"/>
          <w:sz w:val="24"/>
          <w:szCs w:val="24"/>
          <w:lang w:val="es-419" w:eastAsia="es-ES_tradnl"/>
        </w:rPr>
      </w:pPr>
      <w:r w:rsidRPr="004D1C18">
        <w:rPr>
          <w:lang w:val="es-419"/>
        </w:rPr>
        <w:t>[Fin del documento]</w:t>
      </w:r>
    </w:p>
    <w:p w:rsidR="000765C4" w:rsidRPr="0040277C" w:rsidRDefault="000765C4" w:rsidP="004D1C18">
      <w:pPr>
        <w:rPr>
          <w:lang w:val="es-419"/>
        </w:rPr>
      </w:pPr>
    </w:p>
    <w:sectPr w:rsidR="000765C4" w:rsidRPr="0040277C" w:rsidSect="004D1C18">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CE7" w:rsidRDefault="00820CE7">
      <w:r>
        <w:separator/>
      </w:r>
    </w:p>
  </w:endnote>
  <w:endnote w:type="continuationSeparator" w:id="0">
    <w:p w:rsidR="00820CE7" w:rsidRDefault="00820CE7" w:rsidP="003B38C1">
      <w:r>
        <w:separator/>
      </w:r>
    </w:p>
    <w:p w:rsidR="00820CE7" w:rsidRPr="003B38C1" w:rsidRDefault="00820CE7" w:rsidP="003B38C1">
      <w:pPr>
        <w:spacing w:after="60"/>
        <w:rPr>
          <w:sz w:val="17"/>
        </w:rPr>
      </w:pPr>
      <w:r>
        <w:rPr>
          <w:sz w:val="17"/>
        </w:rPr>
        <w:t>[Endnote continued from previous page]</w:t>
      </w:r>
    </w:p>
  </w:endnote>
  <w:endnote w:type="continuationNotice" w:id="1">
    <w:p w:rsidR="00820CE7" w:rsidRPr="003B38C1" w:rsidRDefault="00820CE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CE7" w:rsidRDefault="00820CE7">
      <w:r>
        <w:separator/>
      </w:r>
    </w:p>
  </w:footnote>
  <w:footnote w:type="continuationSeparator" w:id="0">
    <w:p w:rsidR="00820CE7" w:rsidRDefault="00820CE7" w:rsidP="008B60B2">
      <w:r>
        <w:separator/>
      </w:r>
    </w:p>
    <w:p w:rsidR="00820CE7" w:rsidRPr="00ED77FB" w:rsidRDefault="00820CE7" w:rsidP="008B60B2">
      <w:pPr>
        <w:spacing w:after="60"/>
        <w:rPr>
          <w:sz w:val="17"/>
          <w:szCs w:val="17"/>
        </w:rPr>
      </w:pPr>
      <w:r w:rsidRPr="00ED77FB">
        <w:rPr>
          <w:sz w:val="17"/>
          <w:szCs w:val="17"/>
        </w:rPr>
        <w:t>[Footnote continued from previous page]</w:t>
      </w:r>
    </w:p>
  </w:footnote>
  <w:footnote w:type="continuationNotice" w:id="1">
    <w:p w:rsidR="00820CE7" w:rsidRPr="00ED77FB" w:rsidRDefault="00820CE7" w:rsidP="008B60B2">
      <w:pPr>
        <w:spacing w:before="60"/>
        <w:jc w:val="right"/>
        <w:rPr>
          <w:sz w:val="17"/>
          <w:szCs w:val="17"/>
        </w:rPr>
      </w:pPr>
      <w:r w:rsidRPr="00ED77FB">
        <w:rPr>
          <w:sz w:val="17"/>
          <w:szCs w:val="17"/>
        </w:rPr>
        <w:t>[Footnote continued on next page]</w:t>
      </w:r>
    </w:p>
  </w:footnote>
  <w:footnote w:id="2">
    <w:p w:rsidR="004D1C18" w:rsidRDefault="004D1C18" w:rsidP="004D1C18">
      <w:pPr>
        <w:pStyle w:val="FootnoteText"/>
        <w:tabs>
          <w:tab w:val="left" w:pos="550"/>
        </w:tabs>
        <w:rPr>
          <w:szCs w:val="18"/>
          <w:lang w:val="es-ES"/>
        </w:rPr>
      </w:pPr>
      <w:r>
        <w:rPr>
          <w:rStyle w:val="FootnoteReference"/>
          <w:szCs w:val="18"/>
          <w:lang w:val="es-ES"/>
        </w:rPr>
        <w:t>*</w:t>
      </w:r>
      <w:r>
        <w:rPr>
          <w:szCs w:val="18"/>
          <w:lang w:val="es-ES"/>
        </w:rPr>
        <w:tab/>
        <w:t>La Lista final de participantes constará en un Anexo del informe de 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CE7" w:rsidRDefault="00820CE7" w:rsidP="00477D6B">
    <w:pPr>
      <w:jc w:val="right"/>
    </w:pPr>
    <w:r>
      <w:t>LI/A/36/1</w:t>
    </w:r>
  </w:p>
  <w:p w:rsidR="00820CE7" w:rsidRDefault="0040277C" w:rsidP="00477D6B">
    <w:pPr>
      <w:jc w:val="right"/>
    </w:pPr>
    <w:r w:rsidRPr="0040277C">
      <w:rPr>
        <w:lang w:val="es-419"/>
      </w:rPr>
      <w:t>página</w:t>
    </w:r>
    <w:r w:rsidR="00820CE7">
      <w:t xml:space="preserve"> 2</w:t>
    </w:r>
  </w:p>
  <w:p w:rsidR="00820CE7" w:rsidRDefault="00820CE7" w:rsidP="00477D6B">
    <w:pPr>
      <w:jc w:val="right"/>
    </w:pPr>
  </w:p>
  <w:p w:rsidR="00820CE7" w:rsidRDefault="00820CE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4D1C18" w:rsidP="00477D6B">
    <w:pPr>
      <w:jc w:val="right"/>
    </w:pPr>
    <w:r>
      <w:rPr>
        <w:lang w:val="fr-CH"/>
      </w:rPr>
      <w:t>LI/WG/DEV-SYS/2/3</w:t>
    </w:r>
  </w:p>
  <w:p w:rsidR="00EC4E49" w:rsidRPr="00093A5A" w:rsidRDefault="006E6EC0" w:rsidP="00477D6B">
    <w:pPr>
      <w:jc w:val="right"/>
      <w:rPr>
        <w:lang w:val="es-419"/>
      </w:rPr>
    </w:pPr>
    <w:r w:rsidRPr="00093A5A">
      <w:rPr>
        <w:lang w:val="es-419"/>
      </w:rPr>
      <w:t>página</w:t>
    </w:r>
    <w:r w:rsidR="00EC4E49" w:rsidRPr="00093A5A">
      <w:rPr>
        <w:lang w:val="es-419"/>
      </w:rPr>
      <w:t xml:space="preserve"> </w:t>
    </w:r>
    <w:r w:rsidR="00EC4E49" w:rsidRPr="00093A5A">
      <w:rPr>
        <w:lang w:val="es-419"/>
      </w:rPr>
      <w:fldChar w:fldCharType="begin"/>
    </w:r>
    <w:r w:rsidR="00EC4E49" w:rsidRPr="00093A5A">
      <w:rPr>
        <w:lang w:val="es-419"/>
      </w:rPr>
      <w:instrText xml:space="preserve"> PAGE  \* MERGEFORMAT </w:instrText>
    </w:r>
    <w:r w:rsidR="00EC4E49" w:rsidRPr="00093A5A">
      <w:rPr>
        <w:lang w:val="es-419"/>
      </w:rPr>
      <w:fldChar w:fldCharType="separate"/>
    </w:r>
    <w:r w:rsidR="00EC7D33">
      <w:rPr>
        <w:noProof/>
        <w:lang w:val="es-419"/>
      </w:rPr>
      <w:t>3</w:t>
    </w:r>
    <w:r w:rsidR="00EC4E49" w:rsidRPr="00093A5A">
      <w:rPr>
        <w:lang w:val="es-419"/>
      </w:rP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18" w:rsidRDefault="004D1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364DF8"/>
    <w:multiLevelType w:val="hybridMultilevel"/>
    <w:tmpl w:val="BB5C3862"/>
    <w:lvl w:ilvl="0" w:tplc="6526EE4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C94C6F"/>
    <w:multiLevelType w:val="hybridMultilevel"/>
    <w:tmpl w:val="FF002892"/>
    <w:lvl w:ilvl="0" w:tplc="AF723B4A">
      <w:start w:val="1"/>
      <w:numFmt w:val="lowerRoman"/>
      <w:lvlText w:val="(%1)"/>
      <w:lvlJc w:val="left"/>
      <w:pPr>
        <w:ind w:left="1489" w:hanging="720"/>
      </w:pPr>
      <w:rPr>
        <w:rFonts w:hint="default"/>
      </w:rPr>
    </w:lvl>
    <w:lvl w:ilvl="1" w:tplc="100C0019" w:tentative="1">
      <w:start w:val="1"/>
      <w:numFmt w:val="lowerLetter"/>
      <w:lvlText w:val="%2."/>
      <w:lvlJc w:val="left"/>
      <w:pPr>
        <w:ind w:left="1849" w:hanging="360"/>
      </w:pPr>
    </w:lvl>
    <w:lvl w:ilvl="2" w:tplc="100C001B" w:tentative="1">
      <w:start w:val="1"/>
      <w:numFmt w:val="lowerRoman"/>
      <w:lvlText w:val="%3."/>
      <w:lvlJc w:val="right"/>
      <w:pPr>
        <w:ind w:left="2569" w:hanging="180"/>
      </w:pPr>
    </w:lvl>
    <w:lvl w:ilvl="3" w:tplc="100C000F" w:tentative="1">
      <w:start w:val="1"/>
      <w:numFmt w:val="decimal"/>
      <w:lvlText w:val="%4."/>
      <w:lvlJc w:val="left"/>
      <w:pPr>
        <w:ind w:left="3289" w:hanging="360"/>
      </w:pPr>
    </w:lvl>
    <w:lvl w:ilvl="4" w:tplc="100C0019" w:tentative="1">
      <w:start w:val="1"/>
      <w:numFmt w:val="lowerLetter"/>
      <w:lvlText w:val="%5."/>
      <w:lvlJc w:val="left"/>
      <w:pPr>
        <w:ind w:left="4009" w:hanging="360"/>
      </w:pPr>
    </w:lvl>
    <w:lvl w:ilvl="5" w:tplc="100C001B" w:tentative="1">
      <w:start w:val="1"/>
      <w:numFmt w:val="lowerRoman"/>
      <w:lvlText w:val="%6."/>
      <w:lvlJc w:val="right"/>
      <w:pPr>
        <w:ind w:left="4729" w:hanging="180"/>
      </w:pPr>
    </w:lvl>
    <w:lvl w:ilvl="6" w:tplc="100C000F" w:tentative="1">
      <w:start w:val="1"/>
      <w:numFmt w:val="decimal"/>
      <w:lvlText w:val="%7."/>
      <w:lvlJc w:val="left"/>
      <w:pPr>
        <w:ind w:left="5449" w:hanging="360"/>
      </w:pPr>
    </w:lvl>
    <w:lvl w:ilvl="7" w:tplc="100C0019" w:tentative="1">
      <w:start w:val="1"/>
      <w:numFmt w:val="lowerLetter"/>
      <w:lvlText w:val="%8."/>
      <w:lvlJc w:val="left"/>
      <w:pPr>
        <w:ind w:left="6169" w:hanging="360"/>
      </w:pPr>
    </w:lvl>
    <w:lvl w:ilvl="8" w:tplc="100C001B" w:tentative="1">
      <w:start w:val="1"/>
      <w:numFmt w:val="lowerRoman"/>
      <w:lvlText w:val="%9."/>
      <w:lvlJc w:val="right"/>
      <w:pPr>
        <w:ind w:left="6889"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3"/>
  </w:num>
  <w:num w:numId="8">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5"/>
    <w:lvlOverride w:ilvl="0">
      <w:startOverride w:val="16"/>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E7"/>
    <w:rsid w:val="0003156B"/>
    <w:rsid w:val="00043CAA"/>
    <w:rsid w:val="00075432"/>
    <w:rsid w:val="000765C4"/>
    <w:rsid w:val="00093A5A"/>
    <w:rsid w:val="000968ED"/>
    <w:rsid w:val="000C117A"/>
    <w:rsid w:val="000C7BFE"/>
    <w:rsid w:val="000F5E56"/>
    <w:rsid w:val="00117E63"/>
    <w:rsid w:val="001362EE"/>
    <w:rsid w:val="00156693"/>
    <w:rsid w:val="001647D5"/>
    <w:rsid w:val="001832A6"/>
    <w:rsid w:val="001908AC"/>
    <w:rsid w:val="001F0FE5"/>
    <w:rsid w:val="00205915"/>
    <w:rsid w:val="0021217E"/>
    <w:rsid w:val="00217165"/>
    <w:rsid w:val="002634C4"/>
    <w:rsid w:val="00283005"/>
    <w:rsid w:val="002928D3"/>
    <w:rsid w:val="002A1C08"/>
    <w:rsid w:val="002A633A"/>
    <w:rsid w:val="002F1FE6"/>
    <w:rsid w:val="002F4E68"/>
    <w:rsid w:val="00312F7F"/>
    <w:rsid w:val="00350AE2"/>
    <w:rsid w:val="00361450"/>
    <w:rsid w:val="003673CF"/>
    <w:rsid w:val="003845C1"/>
    <w:rsid w:val="003A6F89"/>
    <w:rsid w:val="003B38C1"/>
    <w:rsid w:val="003D57B0"/>
    <w:rsid w:val="003E08A1"/>
    <w:rsid w:val="0040277C"/>
    <w:rsid w:val="00423E3E"/>
    <w:rsid w:val="00427AF4"/>
    <w:rsid w:val="004647DA"/>
    <w:rsid w:val="00474062"/>
    <w:rsid w:val="00477D6B"/>
    <w:rsid w:val="004D1C18"/>
    <w:rsid w:val="005019FF"/>
    <w:rsid w:val="0050222D"/>
    <w:rsid w:val="0053057A"/>
    <w:rsid w:val="005564CF"/>
    <w:rsid w:val="00560A29"/>
    <w:rsid w:val="00565072"/>
    <w:rsid w:val="005C6649"/>
    <w:rsid w:val="00605827"/>
    <w:rsid w:val="00646050"/>
    <w:rsid w:val="006713CA"/>
    <w:rsid w:val="00676C5C"/>
    <w:rsid w:val="006C2DC1"/>
    <w:rsid w:val="006E4F5F"/>
    <w:rsid w:val="006E6EC0"/>
    <w:rsid w:val="007D1613"/>
    <w:rsid w:val="007D3B15"/>
    <w:rsid w:val="007E4C0E"/>
    <w:rsid w:val="00820CE7"/>
    <w:rsid w:val="00846AD2"/>
    <w:rsid w:val="00860537"/>
    <w:rsid w:val="00877718"/>
    <w:rsid w:val="008A134B"/>
    <w:rsid w:val="008B2CC1"/>
    <w:rsid w:val="008B60B2"/>
    <w:rsid w:val="0090731E"/>
    <w:rsid w:val="00916EE2"/>
    <w:rsid w:val="00966A22"/>
    <w:rsid w:val="0096722F"/>
    <w:rsid w:val="00980843"/>
    <w:rsid w:val="009C127D"/>
    <w:rsid w:val="009E2791"/>
    <w:rsid w:val="009E3F6F"/>
    <w:rsid w:val="009F499F"/>
    <w:rsid w:val="00A37342"/>
    <w:rsid w:val="00A42DAF"/>
    <w:rsid w:val="00A45BD8"/>
    <w:rsid w:val="00A869B7"/>
    <w:rsid w:val="00AA2DD4"/>
    <w:rsid w:val="00AC205C"/>
    <w:rsid w:val="00AF0A6B"/>
    <w:rsid w:val="00B05A69"/>
    <w:rsid w:val="00B168C1"/>
    <w:rsid w:val="00B56479"/>
    <w:rsid w:val="00B9734B"/>
    <w:rsid w:val="00BA30E2"/>
    <w:rsid w:val="00C11BFE"/>
    <w:rsid w:val="00C5068F"/>
    <w:rsid w:val="00C86D74"/>
    <w:rsid w:val="00CA7A07"/>
    <w:rsid w:val="00CD04F1"/>
    <w:rsid w:val="00CD4D38"/>
    <w:rsid w:val="00CD7F59"/>
    <w:rsid w:val="00CF05CB"/>
    <w:rsid w:val="00D263DB"/>
    <w:rsid w:val="00D44A0B"/>
    <w:rsid w:val="00D45252"/>
    <w:rsid w:val="00D66E37"/>
    <w:rsid w:val="00D71B4D"/>
    <w:rsid w:val="00D93D55"/>
    <w:rsid w:val="00DA6675"/>
    <w:rsid w:val="00DC0BA7"/>
    <w:rsid w:val="00DD1D9F"/>
    <w:rsid w:val="00DF023A"/>
    <w:rsid w:val="00DF383E"/>
    <w:rsid w:val="00E15015"/>
    <w:rsid w:val="00E335FE"/>
    <w:rsid w:val="00E85557"/>
    <w:rsid w:val="00E916F9"/>
    <w:rsid w:val="00EA7D6E"/>
    <w:rsid w:val="00EC4E49"/>
    <w:rsid w:val="00EC7D33"/>
    <w:rsid w:val="00ED77FB"/>
    <w:rsid w:val="00EE45FA"/>
    <w:rsid w:val="00F66152"/>
    <w:rsid w:val="00F82ED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5195CC8-F391-4C4B-82B5-D25140B9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uiPriority w:val="99"/>
    <w:rsid w:val="00820CE7"/>
    <w:rPr>
      <w:rFonts w:ascii="Arial" w:eastAsia="SimSun" w:hAnsi="Arial" w:cs="Arial"/>
      <w:sz w:val="18"/>
      <w:lang w:val="en-US" w:eastAsia="zh-CN"/>
    </w:rPr>
  </w:style>
  <w:style w:type="character" w:styleId="FootnoteReference">
    <w:name w:val="footnote reference"/>
    <w:uiPriority w:val="99"/>
    <w:rsid w:val="00820CE7"/>
    <w:rPr>
      <w:vertAlign w:val="superscript"/>
    </w:rPr>
  </w:style>
  <w:style w:type="paragraph" w:styleId="ListParagraph">
    <w:name w:val="List Paragraph"/>
    <w:basedOn w:val="Normal"/>
    <w:uiPriority w:val="34"/>
    <w:qFormat/>
    <w:rsid w:val="004D1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32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231D1-03EC-4BE7-88B0-2A5604CD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36 (S)</Template>
  <TotalTime>0</TotalTime>
  <Pages>5</Pages>
  <Words>899</Words>
  <Characters>4816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LI/A/36/1</vt:lpstr>
    </vt:vector>
  </TitlesOfParts>
  <Company>WIPO</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LI/A/36/1</dc:title>
  <dc:subject>Quincuagésima octava serie de reuniones</dc:subject>
  <dc:creator>MIGLIORE Liliana</dc:creator>
  <cp:keywords>FOR OFFICIAL USE ONLY</cp:keywords>
  <cp:lastModifiedBy>HÄFLIGER Patience</cp:lastModifiedBy>
  <cp:revision>2</cp:revision>
  <cp:lastPrinted>2011-02-15T11:56:00Z</cp:lastPrinted>
  <dcterms:created xsi:type="dcterms:W3CDTF">2019-07-18T07:41:00Z</dcterms:created>
  <dcterms:modified xsi:type="dcterms:W3CDTF">2019-07-18T07:41:00Z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