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86E06" w:rsidTr="00786E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86E06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86E06" w:rsidRDefault="00786E06" w:rsidP="00916EE2">
            <w:pPr>
              <w:rPr>
                <w:lang w:val="es-ES"/>
              </w:rPr>
            </w:pPr>
            <w:r w:rsidRPr="00786E06">
              <w:rPr>
                <w:noProof/>
                <w:lang w:eastAsia="en-US"/>
              </w:rPr>
              <w:drawing>
                <wp:inline distT="0" distB="0" distL="0" distR="0" wp14:anchorId="65EDEBA5" wp14:editId="7375F746">
                  <wp:extent cx="1855470" cy="1326515"/>
                  <wp:effectExtent l="0" t="0" r="0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86E06" w:rsidRDefault="000B29F3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786E06" w:rsidRPr="00786E06" w:rsidTr="0096737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86E06" w:rsidRPr="00786E06" w:rsidRDefault="00786E06" w:rsidP="00786E0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6E06">
              <w:rPr>
                <w:rFonts w:ascii="Arial Black" w:hAnsi="Arial Black"/>
                <w:caps/>
                <w:sz w:val="15"/>
                <w:lang w:val="es-ES"/>
              </w:rPr>
              <w:t>LI/A/34/</w:t>
            </w:r>
            <w:bookmarkStart w:id="1" w:name="Code"/>
            <w:bookmarkEnd w:id="1"/>
            <w:r w:rsidRPr="00786E06">
              <w:rPr>
                <w:rFonts w:ascii="Arial Black" w:hAnsi="Arial Black"/>
                <w:caps/>
                <w:sz w:val="15"/>
                <w:lang w:val="es-ES"/>
              </w:rPr>
              <w:t xml:space="preserve">3 </w:t>
            </w:r>
          </w:p>
        </w:tc>
      </w:tr>
      <w:tr w:rsidR="00786E06" w:rsidRPr="00786E06" w:rsidTr="009673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6E06" w:rsidRPr="00786E06" w:rsidRDefault="00786E06" w:rsidP="0096737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6E06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Pr="00786E06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786E06" w:rsidRPr="00786E06" w:rsidTr="009673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6E06" w:rsidRPr="00786E06" w:rsidRDefault="00786E06" w:rsidP="00786E0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6E06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3" w:name="Date"/>
            <w:bookmarkEnd w:id="3"/>
            <w:r w:rsidRPr="00786E06">
              <w:rPr>
                <w:rFonts w:ascii="Arial Black" w:hAnsi="Arial Black"/>
                <w:caps/>
                <w:sz w:val="15"/>
                <w:lang w:val="es-ES"/>
              </w:rPr>
              <w:t>3 de julio de 2017</w:t>
            </w:r>
          </w:p>
        </w:tc>
      </w:tr>
    </w:tbl>
    <w:p w:rsidR="008B2CC1" w:rsidRPr="00786E06" w:rsidRDefault="008B2CC1" w:rsidP="008B2CC1">
      <w:pPr>
        <w:rPr>
          <w:lang w:val="es-ES"/>
        </w:rPr>
      </w:pPr>
    </w:p>
    <w:p w:rsidR="008B2CC1" w:rsidRPr="00786E06" w:rsidRDefault="008B2CC1" w:rsidP="008B2CC1">
      <w:pPr>
        <w:rPr>
          <w:lang w:val="es-ES"/>
        </w:rPr>
      </w:pPr>
    </w:p>
    <w:p w:rsidR="008B2CC1" w:rsidRPr="00786E06" w:rsidRDefault="008B2CC1" w:rsidP="008B2CC1">
      <w:pPr>
        <w:rPr>
          <w:lang w:val="es-ES"/>
        </w:rPr>
      </w:pPr>
    </w:p>
    <w:p w:rsidR="008B2CC1" w:rsidRPr="00786E06" w:rsidRDefault="008B2CC1" w:rsidP="008B2CC1">
      <w:pPr>
        <w:rPr>
          <w:lang w:val="es-ES"/>
        </w:rPr>
      </w:pPr>
    </w:p>
    <w:p w:rsidR="00786E06" w:rsidRPr="00786E06" w:rsidRDefault="00786E06" w:rsidP="00786E06">
      <w:pPr>
        <w:rPr>
          <w:b/>
          <w:sz w:val="28"/>
          <w:szCs w:val="28"/>
          <w:lang w:val="es-ES"/>
        </w:rPr>
      </w:pPr>
      <w:r w:rsidRPr="00786E06">
        <w:rPr>
          <w:b/>
          <w:sz w:val="28"/>
          <w:szCs w:val="28"/>
          <w:lang w:val="es-ES"/>
        </w:rPr>
        <w:t>Unión Particular para la Protección de las Denominaciones de Origen y su Registro Internacional (Unión de Lisboa)</w:t>
      </w:r>
    </w:p>
    <w:p w:rsidR="00786E06" w:rsidRPr="00786E06" w:rsidRDefault="00786E06" w:rsidP="00786E06">
      <w:pPr>
        <w:rPr>
          <w:lang w:val="es-ES"/>
        </w:rPr>
      </w:pPr>
    </w:p>
    <w:p w:rsidR="00786E06" w:rsidRPr="00786E06" w:rsidRDefault="00786E06" w:rsidP="00786E06">
      <w:pPr>
        <w:rPr>
          <w:lang w:val="es-ES"/>
        </w:rPr>
      </w:pPr>
    </w:p>
    <w:p w:rsidR="00A85B8E" w:rsidRPr="00786E06" w:rsidRDefault="00A85B8E" w:rsidP="003845C1">
      <w:pPr>
        <w:rPr>
          <w:lang w:val="es-ES"/>
        </w:rPr>
      </w:pPr>
    </w:p>
    <w:p w:rsidR="00A85B8E" w:rsidRPr="00786E06" w:rsidRDefault="00A85B8E" w:rsidP="003845C1">
      <w:pPr>
        <w:rPr>
          <w:b/>
          <w:sz w:val="28"/>
          <w:szCs w:val="28"/>
          <w:lang w:val="es-ES"/>
        </w:rPr>
      </w:pPr>
      <w:r w:rsidRPr="00786E06">
        <w:rPr>
          <w:b/>
          <w:sz w:val="28"/>
          <w:szCs w:val="28"/>
          <w:lang w:val="es-ES"/>
        </w:rPr>
        <w:t>As</w:t>
      </w:r>
      <w:r w:rsidR="00786E06" w:rsidRPr="00786E06">
        <w:rPr>
          <w:b/>
          <w:sz w:val="28"/>
          <w:szCs w:val="28"/>
          <w:lang w:val="es-ES"/>
        </w:rPr>
        <w:t>amblea</w:t>
      </w:r>
    </w:p>
    <w:p w:rsidR="00A85B8E" w:rsidRPr="00786E06" w:rsidRDefault="00A85B8E" w:rsidP="003845C1">
      <w:pPr>
        <w:rPr>
          <w:lang w:val="es-ES"/>
        </w:rPr>
      </w:pPr>
    </w:p>
    <w:p w:rsidR="003845C1" w:rsidRPr="00786E06" w:rsidRDefault="003845C1" w:rsidP="003845C1">
      <w:pPr>
        <w:rPr>
          <w:lang w:val="es-ES"/>
        </w:rPr>
      </w:pPr>
    </w:p>
    <w:p w:rsidR="000B34F6" w:rsidRPr="00786E06" w:rsidRDefault="00786E06" w:rsidP="000B34F6">
      <w:pPr>
        <w:rPr>
          <w:b/>
          <w:sz w:val="24"/>
          <w:szCs w:val="24"/>
          <w:lang w:val="es-ES"/>
        </w:rPr>
      </w:pPr>
      <w:r w:rsidRPr="00786E06">
        <w:rPr>
          <w:b/>
          <w:sz w:val="24"/>
          <w:szCs w:val="24"/>
          <w:lang w:val="es-ES"/>
        </w:rPr>
        <w:t xml:space="preserve">Trigésimo cuarto período de sesiones </w:t>
      </w:r>
      <w:r w:rsidR="00C847C0" w:rsidRPr="00786E06">
        <w:rPr>
          <w:b/>
          <w:sz w:val="24"/>
          <w:szCs w:val="24"/>
          <w:lang w:val="es-ES"/>
        </w:rPr>
        <w:t>(</w:t>
      </w:r>
      <w:r w:rsidR="00987D75" w:rsidRPr="00786E06">
        <w:rPr>
          <w:b/>
          <w:sz w:val="24"/>
          <w:szCs w:val="24"/>
          <w:lang w:val="es-ES"/>
        </w:rPr>
        <w:t>22</w:t>
      </w:r>
      <w:r w:rsidRPr="00786E06">
        <w:rPr>
          <w:b/>
          <w:sz w:val="24"/>
          <w:szCs w:val="24"/>
          <w:lang w:val="es-ES"/>
        </w:rPr>
        <w:t>º</w:t>
      </w:r>
      <w:r w:rsidR="00987D75" w:rsidRPr="00786E06">
        <w:rPr>
          <w:b/>
          <w:sz w:val="24"/>
          <w:szCs w:val="24"/>
          <w:lang w:val="es-ES"/>
        </w:rPr>
        <w:t xml:space="preserve"> </w:t>
      </w:r>
      <w:r w:rsidRPr="00786E06">
        <w:rPr>
          <w:b/>
          <w:sz w:val="24"/>
          <w:szCs w:val="24"/>
          <w:lang w:val="es-ES"/>
        </w:rPr>
        <w:t>o</w:t>
      </w:r>
      <w:r w:rsidR="000B34F6" w:rsidRPr="00786E06">
        <w:rPr>
          <w:b/>
          <w:sz w:val="24"/>
          <w:szCs w:val="24"/>
          <w:lang w:val="es-ES"/>
        </w:rPr>
        <w:t>rdinar</w:t>
      </w:r>
      <w:r w:rsidRPr="00786E06">
        <w:rPr>
          <w:b/>
          <w:sz w:val="24"/>
          <w:szCs w:val="24"/>
          <w:lang w:val="es-ES"/>
        </w:rPr>
        <w:t>io</w:t>
      </w:r>
      <w:r w:rsidR="000B34F6" w:rsidRPr="00786E06">
        <w:rPr>
          <w:b/>
          <w:sz w:val="24"/>
          <w:szCs w:val="24"/>
          <w:lang w:val="es-ES"/>
        </w:rPr>
        <w:t>)</w:t>
      </w:r>
    </w:p>
    <w:p w:rsidR="008B2CC1" w:rsidRPr="00786E06" w:rsidRDefault="00987D75" w:rsidP="000B34F6">
      <w:pPr>
        <w:rPr>
          <w:b/>
          <w:sz w:val="24"/>
          <w:szCs w:val="24"/>
          <w:lang w:val="es-ES"/>
        </w:rPr>
      </w:pPr>
      <w:r w:rsidRPr="00786E06">
        <w:rPr>
          <w:b/>
          <w:sz w:val="24"/>
          <w:szCs w:val="24"/>
          <w:lang w:val="es-ES"/>
        </w:rPr>
        <w:t>G</w:t>
      </w:r>
      <w:r w:rsidR="00786E06" w:rsidRPr="00786E06">
        <w:rPr>
          <w:b/>
          <w:sz w:val="24"/>
          <w:szCs w:val="24"/>
          <w:lang w:val="es-ES"/>
        </w:rPr>
        <w:t xml:space="preserve">inebra, 2 a 11 de octubre de </w:t>
      </w:r>
      <w:r w:rsidRPr="00786E06">
        <w:rPr>
          <w:b/>
          <w:sz w:val="24"/>
          <w:szCs w:val="24"/>
          <w:lang w:val="es-ES"/>
        </w:rPr>
        <w:t>2017</w:t>
      </w:r>
    </w:p>
    <w:p w:rsidR="008B2CC1" w:rsidRPr="00786E06" w:rsidRDefault="008B2CC1" w:rsidP="008B2CC1">
      <w:pPr>
        <w:rPr>
          <w:lang w:val="es-ES"/>
        </w:rPr>
      </w:pPr>
    </w:p>
    <w:p w:rsidR="008B2CC1" w:rsidRPr="00786E06" w:rsidRDefault="008B2CC1" w:rsidP="008B2CC1">
      <w:pPr>
        <w:rPr>
          <w:lang w:val="es-ES"/>
        </w:rPr>
      </w:pPr>
    </w:p>
    <w:p w:rsidR="008B2CC1" w:rsidRPr="00786E06" w:rsidRDefault="008B2CC1" w:rsidP="008B2CC1">
      <w:pPr>
        <w:rPr>
          <w:lang w:val="es-ES"/>
        </w:rPr>
      </w:pPr>
    </w:p>
    <w:p w:rsidR="00C904CE" w:rsidRPr="00786E06" w:rsidRDefault="00786E06" w:rsidP="00C904CE">
      <w:pPr>
        <w:rPr>
          <w:caps/>
          <w:sz w:val="24"/>
          <w:szCs w:val="24"/>
          <w:lang w:val="es-ES"/>
        </w:rPr>
      </w:pPr>
      <w:bookmarkStart w:id="4" w:name="TitleOfDoc"/>
      <w:bookmarkEnd w:id="4"/>
      <w:r>
        <w:rPr>
          <w:caps/>
          <w:sz w:val="24"/>
          <w:szCs w:val="24"/>
          <w:lang w:val="es-ES"/>
        </w:rPr>
        <w:t>ASUNTOS FINANCIEROS RELATIVOS A LA UNIÓN DE LISBOA</w:t>
      </w:r>
    </w:p>
    <w:p w:rsidR="00C904CE" w:rsidRPr="00786E06" w:rsidRDefault="00C904CE" w:rsidP="00C904CE">
      <w:pPr>
        <w:rPr>
          <w:lang w:val="es-ES"/>
        </w:rPr>
      </w:pPr>
    </w:p>
    <w:p w:rsidR="00C904CE" w:rsidRPr="00786E06" w:rsidRDefault="00C904CE" w:rsidP="00C904CE">
      <w:pPr>
        <w:rPr>
          <w:i/>
          <w:lang w:val="es-ES"/>
        </w:rPr>
      </w:pPr>
      <w:r w:rsidRPr="00786E06">
        <w:rPr>
          <w:i/>
          <w:lang w:val="es-ES"/>
        </w:rPr>
        <w:t>Document</w:t>
      </w:r>
      <w:r w:rsidR="00786E06">
        <w:rPr>
          <w:i/>
          <w:lang w:val="es-ES"/>
        </w:rPr>
        <w:t>o preparado por la Oficina Internacional</w:t>
      </w:r>
    </w:p>
    <w:p w:rsidR="00C904CE" w:rsidRPr="00786E06" w:rsidRDefault="00C904CE" w:rsidP="00C904CE">
      <w:pPr>
        <w:rPr>
          <w:lang w:val="es-ES"/>
        </w:rPr>
      </w:pPr>
    </w:p>
    <w:p w:rsidR="00C904CE" w:rsidRPr="00786E06" w:rsidRDefault="00C904CE" w:rsidP="00C904CE">
      <w:pPr>
        <w:rPr>
          <w:lang w:val="es-ES"/>
        </w:rPr>
      </w:pPr>
    </w:p>
    <w:p w:rsidR="00C904CE" w:rsidRPr="00786E06" w:rsidRDefault="00C904CE" w:rsidP="00C904CE">
      <w:pPr>
        <w:rPr>
          <w:lang w:val="es-ES"/>
        </w:rPr>
      </w:pPr>
    </w:p>
    <w:p w:rsidR="00C904CE" w:rsidRPr="00786E06" w:rsidRDefault="00C904CE" w:rsidP="00C904CE">
      <w:pPr>
        <w:rPr>
          <w:lang w:val="es-ES"/>
        </w:rPr>
      </w:pPr>
    </w:p>
    <w:p w:rsidR="00C904CE" w:rsidRPr="00B810DB" w:rsidRDefault="008D25D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szCs w:val="22"/>
          <w:lang w:val="es-ES"/>
        </w:rPr>
      </w:pPr>
      <w:r w:rsidRPr="00B810DB">
        <w:rPr>
          <w:b/>
          <w:szCs w:val="22"/>
          <w:lang w:val="es-ES"/>
        </w:rPr>
        <w:t>I.</w:t>
      </w:r>
      <w:r w:rsidRPr="00B810DB">
        <w:rPr>
          <w:b/>
          <w:szCs w:val="22"/>
          <w:lang w:val="es-ES"/>
        </w:rPr>
        <w:tab/>
      </w:r>
      <w:r w:rsidR="00786E06" w:rsidRPr="00B810DB">
        <w:rPr>
          <w:b/>
          <w:szCs w:val="22"/>
          <w:lang w:val="es-ES"/>
        </w:rPr>
        <w:t>INTRODUCCIÓN</w:t>
      </w:r>
    </w:p>
    <w:p w:rsidR="004B0A65" w:rsidRPr="00B810DB" w:rsidRDefault="004B0A65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es-ES" w:eastAsia="en-US"/>
        </w:rPr>
      </w:pPr>
    </w:p>
    <w:p w:rsidR="0092047A" w:rsidRPr="00B810DB" w:rsidRDefault="00786E06" w:rsidP="00FC2137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szCs w:val="22"/>
          <w:lang w:val="es-ES" w:eastAsia="en-US"/>
        </w:rPr>
      </w:pPr>
      <w:r w:rsidRPr="00B810DB">
        <w:rPr>
          <w:szCs w:val="22"/>
          <w:lang w:val="es-ES" w:eastAsia="en-US"/>
        </w:rPr>
        <w:t xml:space="preserve">En la quincuagésima quinta serie de reuniones de las Asambleas de los Estados miembros de la OMPI (5 </w:t>
      </w:r>
      <w:r w:rsidR="00B810DB" w:rsidRPr="00B810DB">
        <w:rPr>
          <w:szCs w:val="22"/>
          <w:lang w:val="es-ES" w:eastAsia="en-US"/>
        </w:rPr>
        <w:t>a 1</w:t>
      </w:r>
      <w:r w:rsidRPr="00B810DB">
        <w:rPr>
          <w:szCs w:val="22"/>
          <w:lang w:val="es-ES" w:eastAsia="en-US"/>
        </w:rPr>
        <w:t>4 de octubre d</w:t>
      </w:r>
      <w:r w:rsidR="00B810DB" w:rsidRPr="00B810DB">
        <w:rPr>
          <w:szCs w:val="22"/>
          <w:lang w:val="es-ES" w:eastAsia="en-US"/>
        </w:rPr>
        <w:t>e 2</w:t>
      </w:r>
      <w:r w:rsidRPr="00B810DB">
        <w:rPr>
          <w:szCs w:val="22"/>
          <w:lang w:val="es-ES" w:eastAsia="en-US"/>
        </w:rPr>
        <w:t xml:space="preserve">015), las Asambleas de los Estados miembros de la OMPI y de las Uniones, en lo que a cada una le concierne, </w:t>
      </w:r>
      <w:r w:rsidR="00F14767" w:rsidRPr="00B810DB">
        <w:rPr>
          <w:szCs w:val="22"/>
          <w:lang w:val="es-ES" w:eastAsia="en-US"/>
        </w:rPr>
        <w:t>“</w:t>
      </w:r>
      <w:r w:rsidRPr="00B810DB">
        <w:rPr>
          <w:szCs w:val="22"/>
          <w:lang w:val="es-ES" w:eastAsia="en-US"/>
        </w:rPr>
        <w:t>tomaron nota de la decisión de la Asamblea de la Unión de Lisboa</w:t>
      </w:r>
      <w:r w:rsidR="00643405" w:rsidRPr="00B810DB">
        <w:rPr>
          <w:rStyle w:val="FootnoteReference"/>
          <w:lang w:val="es-ES"/>
        </w:rPr>
        <w:footnoteReference w:id="2"/>
      </w:r>
      <w:r w:rsidR="00643405" w:rsidRPr="00B810DB">
        <w:rPr>
          <w:vertAlign w:val="superscript"/>
          <w:lang w:val="es-ES"/>
        </w:rPr>
        <w:t xml:space="preserve"> </w:t>
      </w:r>
      <w:r w:rsidRPr="00B810DB">
        <w:rPr>
          <w:lang w:val="es-ES"/>
        </w:rPr>
        <w:t>de que, en las Asambleas d</w:t>
      </w:r>
      <w:r w:rsidR="00B810DB" w:rsidRPr="00B810DB">
        <w:rPr>
          <w:lang w:val="es-ES"/>
        </w:rPr>
        <w:t>e 2</w:t>
      </w:r>
      <w:r w:rsidRPr="00B810DB">
        <w:rPr>
          <w:lang w:val="es-ES"/>
        </w:rPr>
        <w:t>016, se adopten medidas para eliminar el déficit previsto en la Unión de Lisboa para el bienio que se señala en el presupuesto por programas de la OMPI del bieni</w:t>
      </w:r>
      <w:r w:rsidR="00B810DB" w:rsidRPr="00B810DB">
        <w:rPr>
          <w:lang w:val="es-ES"/>
        </w:rPr>
        <w:t>o 2</w:t>
      </w:r>
      <w:r w:rsidRPr="00B810DB">
        <w:rPr>
          <w:lang w:val="es-ES"/>
        </w:rPr>
        <w:t>016/17 (1.523.000 francos suizos).</w:t>
      </w:r>
      <w:r w:rsidR="00B63F1E" w:rsidRPr="00B810DB">
        <w:rPr>
          <w:lang w:val="es-ES"/>
        </w:rPr>
        <w:t>”</w:t>
      </w:r>
      <w:r w:rsidR="004B3B8C" w:rsidRPr="00B810DB">
        <w:rPr>
          <w:lang w:val="es-ES"/>
        </w:rPr>
        <w:t xml:space="preserve">  </w:t>
      </w:r>
      <w:r w:rsidR="00FC2137" w:rsidRPr="00B810DB">
        <w:rPr>
          <w:lang w:val="es-ES"/>
        </w:rPr>
        <w:t>Las Asambleas decidieron también</w:t>
      </w:r>
      <w:r w:rsidR="00AD0175" w:rsidRPr="00B810DB">
        <w:rPr>
          <w:lang w:val="es-ES"/>
        </w:rPr>
        <w:t xml:space="preserve"> </w:t>
      </w:r>
      <w:r w:rsidR="00FC2137" w:rsidRPr="00B810DB">
        <w:rPr>
          <w:lang w:val="es-ES"/>
        </w:rPr>
        <w:t xml:space="preserve">“aprobar la concesión de un préstamo a la Unión de Lisboa, con cargo a las reservas de las </w:t>
      </w:r>
      <w:r w:rsidR="0063007F" w:rsidRPr="00B810DB">
        <w:rPr>
          <w:lang w:val="es-ES"/>
        </w:rPr>
        <w:t>U</w:t>
      </w:r>
      <w:r w:rsidR="00FC2137" w:rsidRPr="00B810DB">
        <w:rPr>
          <w:lang w:val="es-ES"/>
        </w:rPr>
        <w:t>niones financiadas mediante contribuciones, con el fin de financiar las operaciones del Sistema de Lisboa en el bieni</w:t>
      </w:r>
      <w:r w:rsidR="00B810DB" w:rsidRPr="00B810DB">
        <w:rPr>
          <w:lang w:val="es-ES"/>
        </w:rPr>
        <w:t>o 2</w:t>
      </w:r>
      <w:r w:rsidR="00FC2137" w:rsidRPr="00B810DB">
        <w:rPr>
          <w:lang w:val="es-ES"/>
        </w:rPr>
        <w:t>016/17, en el caso de que esas medidas no sean suficientes para cubrir el déficit previsto para el bienio.</w:t>
      </w:r>
      <w:r w:rsidR="00345EB6" w:rsidRPr="00B810DB">
        <w:rPr>
          <w:lang w:val="es-ES"/>
        </w:rPr>
        <w:t xml:space="preserve"> </w:t>
      </w:r>
      <w:r w:rsidR="0026187D" w:rsidRPr="00B810DB">
        <w:rPr>
          <w:lang w:val="es-ES"/>
        </w:rPr>
        <w:t xml:space="preserve"> </w:t>
      </w:r>
      <w:r w:rsidR="00FC2137" w:rsidRPr="00B810DB">
        <w:rPr>
          <w:lang w:val="es-ES"/>
        </w:rPr>
        <w:t>El préstamo concedido no devengará intereses y será reembolsado cuando las reservas de la Unión de Lisboa lo permitan” (documento A/55/13, párrafo</w:t>
      </w:r>
      <w:r w:rsidR="00B810DB" w:rsidRPr="00B810DB">
        <w:rPr>
          <w:lang w:val="es-ES"/>
        </w:rPr>
        <w:t>s 2</w:t>
      </w:r>
      <w:r w:rsidR="00FC2137" w:rsidRPr="00B810DB">
        <w:rPr>
          <w:lang w:val="es-ES"/>
        </w:rPr>
        <w:t xml:space="preserve">31 </w:t>
      </w:r>
      <w:r w:rsidR="00B810DB" w:rsidRPr="00B810DB">
        <w:rPr>
          <w:lang w:val="es-ES"/>
        </w:rPr>
        <w:t>y 2</w:t>
      </w:r>
      <w:r w:rsidR="00FC2137" w:rsidRPr="00B810DB">
        <w:rPr>
          <w:lang w:val="es-ES"/>
        </w:rPr>
        <w:t>35).</w:t>
      </w:r>
    </w:p>
    <w:p w:rsidR="000B29F3" w:rsidRPr="00B810DB" w:rsidRDefault="000B29F3" w:rsidP="000B29F3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rPr>
          <w:szCs w:val="22"/>
          <w:lang w:val="es-ES" w:eastAsia="en-US"/>
        </w:rPr>
      </w:pPr>
    </w:p>
    <w:p w:rsidR="005C121F" w:rsidRPr="00B810DB" w:rsidRDefault="0092047A" w:rsidP="000B29F3">
      <w:pPr>
        <w:pStyle w:val="ListParagraph"/>
        <w:keepNext/>
        <w:keepLines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szCs w:val="22"/>
          <w:lang w:val="es-ES"/>
        </w:rPr>
      </w:pPr>
      <w:r w:rsidRPr="00B810DB">
        <w:rPr>
          <w:szCs w:val="22"/>
          <w:lang w:val="es-ES" w:eastAsia="en-US"/>
        </w:rPr>
        <w:lastRenderedPageBreak/>
        <w:t>En el marco de esa misma serie de reuniones, la Asamblea de la Unión de Lisboa “decidió que se modifiquen las cuantías de las tasas mencionadas en la Regl</w:t>
      </w:r>
      <w:r w:rsidR="00B810DB" w:rsidRPr="00B810DB">
        <w:rPr>
          <w:szCs w:val="22"/>
          <w:lang w:val="es-ES" w:eastAsia="en-US"/>
        </w:rPr>
        <w:t>a 2</w:t>
      </w:r>
      <w:r w:rsidRPr="00B810DB">
        <w:rPr>
          <w:szCs w:val="22"/>
          <w:lang w:val="es-ES" w:eastAsia="en-US"/>
        </w:rPr>
        <w:t>3 del Reglamento de Lisboa [del Arreglo de Lisboa] […]” y “decidió que seguirá revisando las tasas periódicamente</w:t>
      </w:r>
      <w:r w:rsidR="000C1054" w:rsidRPr="00B810DB">
        <w:rPr>
          <w:szCs w:val="22"/>
          <w:lang w:val="es-ES"/>
        </w:rPr>
        <w:t>”</w:t>
      </w:r>
      <w:r w:rsidR="00B06822" w:rsidRPr="00B810DB">
        <w:rPr>
          <w:szCs w:val="22"/>
          <w:lang w:val="es-ES"/>
        </w:rPr>
        <w:t xml:space="preserve"> (document</w:t>
      </w:r>
      <w:r w:rsidRPr="00B810DB">
        <w:rPr>
          <w:szCs w:val="22"/>
          <w:lang w:val="es-ES"/>
        </w:rPr>
        <w:t>o</w:t>
      </w:r>
      <w:r w:rsidR="00B06822" w:rsidRPr="00B810DB">
        <w:rPr>
          <w:szCs w:val="22"/>
          <w:lang w:val="es-ES"/>
        </w:rPr>
        <w:t xml:space="preserve"> LI/A/32/5, </w:t>
      </w:r>
      <w:r w:rsidRPr="00B810DB">
        <w:rPr>
          <w:szCs w:val="22"/>
          <w:lang w:val="es-ES"/>
        </w:rPr>
        <w:t>párraf</w:t>
      </w:r>
      <w:r w:rsidR="00B810DB" w:rsidRPr="00B810DB">
        <w:rPr>
          <w:szCs w:val="22"/>
          <w:lang w:val="es-ES"/>
        </w:rPr>
        <w:t>o 4</w:t>
      </w:r>
      <w:r w:rsidR="00B06822" w:rsidRPr="00B810DB">
        <w:rPr>
          <w:szCs w:val="22"/>
          <w:lang w:val="es-ES"/>
        </w:rPr>
        <w:t>6</w:t>
      </w:r>
      <w:r w:rsidRPr="00B810DB">
        <w:rPr>
          <w:szCs w:val="22"/>
          <w:lang w:val="es-ES"/>
        </w:rPr>
        <w:t>.</w:t>
      </w:r>
      <w:r w:rsidR="000C1054" w:rsidRPr="00B810DB">
        <w:rPr>
          <w:szCs w:val="22"/>
          <w:lang w:val="es-ES"/>
        </w:rPr>
        <w:t xml:space="preserve">ii) </w:t>
      </w:r>
      <w:r w:rsidRPr="00B810DB">
        <w:rPr>
          <w:szCs w:val="22"/>
          <w:lang w:val="es-ES"/>
        </w:rPr>
        <w:t xml:space="preserve">y </w:t>
      </w:r>
      <w:r w:rsidR="000C1054" w:rsidRPr="00B810DB">
        <w:rPr>
          <w:szCs w:val="22"/>
          <w:lang w:val="es-ES"/>
        </w:rPr>
        <w:t>iii)</w:t>
      </w:r>
      <w:r w:rsidR="00B06822" w:rsidRPr="00B810DB">
        <w:rPr>
          <w:szCs w:val="22"/>
          <w:lang w:val="es-ES"/>
        </w:rPr>
        <w:t>)</w:t>
      </w:r>
      <w:r w:rsidR="000C1054" w:rsidRPr="00B810DB">
        <w:rPr>
          <w:szCs w:val="22"/>
          <w:lang w:val="es-ES"/>
        </w:rPr>
        <w:t xml:space="preserve">.  </w:t>
      </w:r>
      <w:r w:rsidRPr="00B810DB">
        <w:rPr>
          <w:szCs w:val="22"/>
          <w:lang w:val="es-ES"/>
        </w:rPr>
        <w:t>Además, la Asambl</w:t>
      </w:r>
      <w:r w:rsidR="00EA0F21" w:rsidRPr="00B810DB">
        <w:rPr>
          <w:szCs w:val="22"/>
          <w:lang w:val="es-ES"/>
        </w:rPr>
        <w:t>e</w:t>
      </w:r>
      <w:r w:rsidRPr="00B810DB">
        <w:rPr>
          <w:szCs w:val="22"/>
          <w:lang w:val="es-ES"/>
        </w:rPr>
        <w:t>a de la Unión de Lisboa decidió que la Unión de Lisboa “</w:t>
      </w:r>
      <w:r w:rsidRPr="00B810DB">
        <w:rPr>
          <w:rFonts w:eastAsia="Times New Roman"/>
          <w:szCs w:val="22"/>
          <w:lang w:val="es-ES" w:eastAsia="en-US"/>
        </w:rPr>
        <w:t>aprovechará las reuniones del Grupo de Trabajo</w:t>
      </w:r>
      <w:r w:rsidR="00B06822" w:rsidRPr="00B810DB">
        <w:rPr>
          <w:rStyle w:val="FootnoteReference"/>
          <w:rFonts w:eastAsia="Times New Roman"/>
          <w:szCs w:val="22"/>
          <w:lang w:val="es-ES" w:eastAsia="en-US"/>
        </w:rPr>
        <w:footnoteReference w:id="3"/>
      </w:r>
      <w:r w:rsidR="00D60D6D" w:rsidRPr="00B810DB">
        <w:rPr>
          <w:rFonts w:eastAsia="Times New Roman"/>
          <w:szCs w:val="22"/>
          <w:lang w:val="es-ES" w:eastAsia="en-US"/>
        </w:rPr>
        <w:t xml:space="preserve"> </w:t>
      </w:r>
      <w:r w:rsidR="00EA0F21" w:rsidRPr="00B810DB">
        <w:rPr>
          <w:rFonts w:eastAsia="Times New Roman"/>
          <w:szCs w:val="22"/>
          <w:lang w:val="es-ES" w:eastAsia="en-US"/>
        </w:rPr>
        <w:t>para mantener debates sobre el Sistema de Lisboa con el fin de considerar la sostenibilidad financiera de la Unión de Lisboa, incluidas las opciones contenidas en el documento LI/A/32/3 o cualquier otra solución práctica, y presentar una propuesta en el próximo período de sesiones de la Asamblea, e</w:t>
      </w:r>
      <w:r w:rsidR="00B810DB" w:rsidRPr="00B810DB">
        <w:rPr>
          <w:rFonts w:eastAsia="Times New Roman"/>
          <w:szCs w:val="22"/>
          <w:lang w:val="es-ES" w:eastAsia="en-US"/>
        </w:rPr>
        <w:t>n 2</w:t>
      </w:r>
      <w:r w:rsidR="00EA0F21" w:rsidRPr="00B810DB">
        <w:rPr>
          <w:rFonts w:eastAsia="Times New Roman"/>
          <w:szCs w:val="22"/>
          <w:lang w:val="es-ES" w:eastAsia="en-US"/>
        </w:rPr>
        <w:t>016.”</w:t>
      </w:r>
      <w:r w:rsidR="007F1249" w:rsidRPr="00B810DB">
        <w:rPr>
          <w:rFonts w:eastAsia="Times New Roman"/>
          <w:szCs w:val="22"/>
          <w:lang w:val="es-ES" w:eastAsia="en-US"/>
        </w:rPr>
        <w:t xml:space="preserve"> (</w:t>
      </w:r>
      <w:r w:rsidR="00CF58A5" w:rsidRPr="00B810DB">
        <w:rPr>
          <w:szCs w:val="22"/>
          <w:lang w:val="es-ES"/>
        </w:rPr>
        <w:t>document</w:t>
      </w:r>
      <w:r w:rsidR="00FD318C" w:rsidRPr="00B810DB">
        <w:rPr>
          <w:szCs w:val="22"/>
          <w:lang w:val="es-ES"/>
        </w:rPr>
        <w:t>o</w:t>
      </w:r>
      <w:r w:rsidR="00CF58A5" w:rsidRPr="00B810DB">
        <w:rPr>
          <w:szCs w:val="22"/>
          <w:lang w:val="es-ES"/>
        </w:rPr>
        <w:t> </w:t>
      </w:r>
      <w:r w:rsidR="002E5BEA" w:rsidRPr="00B810DB">
        <w:rPr>
          <w:szCs w:val="22"/>
          <w:lang w:val="es-ES"/>
        </w:rPr>
        <w:t xml:space="preserve">LI/A/32/5, </w:t>
      </w:r>
      <w:r w:rsidR="00FD318C" w:rsidRPr="00B810DB">
        <w:rPr>
          <w:szCs w:val="22"/>
          <w:lang w:val="es-ES"/>
        </w:rPr>
        <w:t>párraf</w:t>
      </w:r>
      <w:r w:rsidR="00B810DB" w:rsidRPr="00B810DB">
        <w:rPr>
          <w:szCs w:val="22"/>
          <w:lang w:val="es-ES"/>
        </w:rPr>
        <w:t>o 7</w:t>
      </w:r>
      <w:r w:rsidR="002E5BEA" w:rsidRPr="00B810DB">
        <w:rPr>
          <w:szCs w:val="22"/>
          <w:lang w:val="es-ES"/>
        </w:rPr>
        <w:t>3</w:t>
      </w:r>
      <w:r w:rsidR="00FD318C" w:rsidRPr="00B810DB">
        <w:rPr>
          <w:szCs w:val="22"/>
          <w:lang w:val="es-ES"/>
        </w:rPr>
        <w:t>.</w:t>
      </w:r>
      <w:r w:rsidR="002E5BEA" w:rsidRPr="00B810DB">
        <w:rPr>
          <w:szCs w:val="22"/>
          <w:lang w:val="es-ES"/>
        </w:rPr>
        <w:t>iii)</w:t>
      </w:r>
      <w:r w:rsidR="007F1249" w:rsidRPr="00B810DB">
        <w:rPr>
          <w:szCs w:val="22"/>
          <w:lang w:val="es-ES"/>
        </w:rPr>
        <w:t>)</w:t>
      </w:r>
      <w:r w:rsidR="005C121F" w:rsidRPr="00B810DB">
        <w:rPr>
          <w:szCs w:val="22"/>
          <w:lang w:val="es-ES"/>
        </w:rPr>
        <w:t>.</w:t>
      </w:r>
    </w:p>
    <w:p w:rsidR="00396162" w:rsidRPr="00B810DB" w:rsidRDefault="00396162" w:rsidP="006E7F9F">
      <w:pPr>
        <w:rPr>
          <w:szCs w:val="22"/>
          <w:lang w:val="es-ES" w:eastAsia="en-US"/>
        </w:rPr>
      </w:pPr>
    </w:p>
    <w:p w:rsidR="008D25D5" w:rsidRPr="00B810DB" w:rsidRDefault="008D25D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eastAsia="Times New Roman"/>
          <w:szCs w:val="22"/>
          <w:lang w:val="es-ES" w:eastAsia="en-US"/>
        </w:rPr>
      </w:pPr>
    </w:p>
    <w:p w:rsidR="00E06406" w:rsidRPr="00B810DB" w:rsidRDefault="008D25D5" w:rsidP="008200C6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40" w:hanging="540"/>
        <w:rPr>
          <w:b/>
          <w:szCs w:val="22"/>
          <w:lang w:val="es-ES"/>
        </w:rPr>
      </w:pPr>
      <w:r w:rsidRPr="00B810DB">
        <w:rPr>
          <w:b/>
          <w:szCs w:val="22"/>
          <w:lang w:val="es-ES"/>
        </w:rPr>
        <w:t>II.</w:t>
      </w:r>
      <w:r w:rsidRPr="00B810DB">
        <w:rPr>
          <w:b/>
          <w:szCs w:val="22"/>
          <w:lang w:val="es-ES"/>
        </w:rPr>
        <w:tab/>
      </w:r>
      <w:r w:rsidR="004B739A" w:rsidRPr="00B810DB">
        <w:rPr>
          <w:b/>
          <w:szCs w:val="22"/>
          <w:lang w:val="es-ES"/>
        </w:rPr>
        <w:t>DÉFICIT PREVISTO PARA EL BIENI</w:t>
      </w:r>
      <w:r w:rsidR="00B810DB" w:rsidRPr="00B810DB">
        <w:rPr>
          <w:b/>
          <w:szCs w:val="22"/>
          <w:lang w:val="es-ES"/>
        </w:rPr>
        <w:t>O 2</w:t>
      </w:r>
      <w:r w:rsidR="004B739A" w:rsidRPr="00B810DB">
        <w:rPr>
          <w:b/>
          <w:szCs w:val="22"/>
          <w:lang w:val="es-ES"/>
        </w:rPr>
        <w:t>016/17 EN LA UNIÓN DE LISBOA</w:t>
      </w:r>
    </w:p>
    <w:p w:rsidR="00E06406" w:rsidRPr="00B810DB" w:rsidRDefault="00E06406" w:rsidP="00E06406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es-ES"/>
        </w:rPr>
      </w:pPr>
    </w:p>
    <w:p w:rsidR="006E7F9F" w:rsidRPr="00B810DB" w:rsidRDefault="004B739A" w:rsidP="00AA2311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es-ES" w:eastAsia="en-US"/>
        </w:rPr>
      </w:pPr>
      <w:r w:rsidRPr="00B810DB">
        <w:rPr>
          <w:rFonts w:eastAsia="Times New Roman"/>
          <w:szCs w:val="22"/>
          <w:lang w:val="es-ES" w:eastAsia="en-US"/>
        </w:rPr>
        <w:t>En su trigésimo tercer período de sesiones</w:t>
      </w:r>
      <w:r w:rsidR="00082DB2" w:rsidRPr="00B810DB">
        <w:rPr>
          <w:rFonts w:eastAsia="Times New Roman"/>
          <w:szCs w:val="22"/>
          <w:lang w:val="es-ES" w:eastAsia="en-US"/>
        </w:rPr>
        <w:t xml:space="preserve"> (12</w:t>
      </w:r>
      <w:r w:rsidRPr="00B810DB">
        <w:rPr>
          <w:rFonts w:eastAsia="Times New Roman"/>
          <w:szCs w:val="22"/>
          <w:lang w:val="es-ES" w:eastAsia="en-US"/>
        </w:rPr>
        <w:t>º</w:t>
      </w:r>
      <w:r w:rsidR="00082DB2" w:rsidRPr="00B810DB">
        <w:rPr>
          <w:rFonts w:eastAsia="Times New Roman"/>
          <w:szCs w:val="22"/>
          <w:lang w:val="es-ES" w:eastAsia="en-US"/>
        </w:rPr>
        <w:t xml:space="preserve"> ex</w:t>
      </w:r>
      <w:r w:rsidR="00034A86" w:rsidRPr="00B810DB">
        <w:rPr>
          <w:rFonts w:eastAsia="Times New Roman"/>
          <w:szCs w:val="22"/>
          <w:lang w:val="es-ES" w:eastAsia="en-US"/>
        </w:rPr>
        <w:t>traordinar</w:t>
      </w:r>
      <w:r w:rsidRPr="00B810DB">
        <w:rPr>
          <w:rFonts w:eastAsia="Times New Roman"/>
          <w:szCs w:val="22"/>
          <w:lang w:val="es-ES" w:eastAsia="en-US"/>
        </w:rPr>
        <w:t>io</w:t>
      </w:r>
      <w:r w:rsidR="00034A86" w:rsidRPr="00B810DB">
        <w:rPr>
          <w:rFonts w:eastAsia="Times New Roman"/>
          <w:szCs w:val="22"/>
          <w:lang w:val="es-ES" w:eastAsia="en-US"/>
        </w:rPr>
        <w:t>) (</w:t>
      </w:r>
      <w:r w:rsidRPr="00B810DB">
        <w:rPr>
          <w:rFonts w:eastAsia="Times New Roman"/>
          <w:szCs w:val="22"/>
          <w:lang w:val="es-ES" w:eastAsia="en-US"/>
        </w:rPr>
        <w:t xml:space="preserve">3 </w:t>
      </w:r>
      <w:r w:rsidR="00B810DB" w:rsidRPr="00B810DB">
        <w:rPr>
          <w:rFonts w:eastAsia="Times New Roman"/>
          <w:szCs w:val="22"/>
          <w:lang w:val="es-ES" w:eastAsia="en-US"/>
        </w:rPr>
        <w:t>a 1</w:t>
      </w:r>
      <w:r w:rsidRPr="00B810DB">
        <w:rPr>
          <w:rFonts w:eastAsia="Times New Roman"/>
          <w:szCs w:val="22"/>
          <w:lang w:val="es-ES" w:eastAsia="en-US"/>
        </w:rPr>
        <w:t>1 de octubre d</w:t>
      </w:r>
      <w:r w:rsidR="00B810DB" w:rsidRPr="00B810DB">
        <w:rPr>
          <w:rFonts w:eastAsia="Times New Roman"/>
          <w:szCs w:val="22"/>
          <w:lang w:val="es-ES" w:eastAsia="en-US"/>
        </w:rPr>
        <w:t>e 2</w:t>
      </w:r>
      <w:r w:rsidR="00082DB2" w:rsidRPr="00B810DB">
        <w:rPr>
          <w:rFonts w:eastAsia="Times New Roman"/>
          <w:szCs w:val="22"/>
          <w:lang w:val="es-ES" w:eastAsia="en-US"/>
        </w:rPr>
        <w:t>016)</w:t>
      </w:r>
      <w:r w:rsidR="00B85B7B" w:rsidRPr="00B810DB">
        <w:rPr>
          <w:rFonts w:eastAsia="Times New Roman"/>
          <w:szCs w:val="22"/>
          <w:lang w:val="es-ES" w:eastAsia="en-US"/>
        </w:rPr>
        <w:t xml:space="preserve">, </w:t>
      </w:r>
      <w:r w:rsidRPr="00B810DB">
        <w:rPr>
          <w:rFonts w:eastAsia="Times New Roman"/>
          <w:szCs w:val="22"/>
          <w:lang w:val="es-ES" w:eastAsia="en-US"/>
        </w:rPr>
        <w:t>la Asamblea de la Unión de Lisboa decidió que el pago de las subvenciones que se contemplan en el artícul</w:t>
      </w:r>
      <w:r w:rsidR="00B810DB" w:rsidRPr="00B810DB">
        <w:rPr>
          <w:rFonts w:eastAsia="Times New Roman"/>
          <w:szCs w:val="22"/>
          <w:lang w:val="es-ES" w:eastAsia="en-US"/>
        </w:rPr>
        <w:t>o 1</w:t>
      </w:r>
      <w:r w:rsidRPr="00B810DB">
        <w:rPr>
          <w:rFonts w:eastAsia="Times New Roman"/>
          <w:szCs w:val="22"/>
          <w:lang w:val="es-ES" w:eastAsia="en-US"/>
        </w:rPr>
        <w:t>1.3)iii) del Arreglo de Lisboa para la Protección de las Denominaciones</w:t>
      </w:r>
      <w:r w:rsidR="00A15E29">
        <w:rPr>
          <w:rFonts w:eastAsia="Times New Roman"/>
          <w:szCs w:val="22"/>
          <w:lang w:val="es-ES" w:eastAsia="en-US"/>
        </w:rPr>
        <w:t xml:space="preserve"> </w:t>
      </w:r>
      <w:r w:rsidRPr="00B810DB">
        <w:rPr>
          <w:rFonts w:eastAsia="Times New Roman"/>
          <w:szCs w:val="22"/>
          <w:lang w:val="es-ES" w:eastAsia="en-US"/>
        </w:rPr>
        <w:t xml:space="preserve">de Origen y su Registro Internacional constituiría una medida para eliminar el déficit </w:t>
      </w:r>
      <w:r w:rsidR="00A15E29">
        <w:rPr>
          <w:rFonts w:eastAsia="Times New Roman"/>
          <w:szCs w:val="22"/>
          <w:lang w:val="es-ES" w:eastAsia="en-US"/>
        </w:rPr>
        <w:t xml:space="preserve">bienal </w:t>
      </w:r>
      <w:r w:rsidRPr="00B810DB">
        <w:rPr>
          <w:rFonts w:eastAsia="Times New Roman"/>
          <w:szCs w:val="22"/>
          <w:lang w:val="es-ES" w:eastAsia="en-US"/>
        </w:rPr>
        <w:t>previsto en la Unión de Lisboa (</w:t>
      </w:r>
      <w:r w:rsidR="00CF58A5" w:rsidRPr="00B810DB">
        <w:rPr>
          <w:szCs w:val="22"/>
          <w:lang w:val="es-ES" w:eastAsia="en-US"/>
        </w:rPr>
        <w:t>document</w:t>
      </w:r>
      <w:r w:rsidRPr="00B810DB">
        <w:rPr>
          <w:szCs w:val="22"/>
          <w:lang w:val="es-ES" w:eastAsia="en-US"/>
        </w:rPr>
        <w:t>o</w:t>
      </w:r>
      <w:r w:rsidR="00CF58A5" w:rsidRPr="00B810DB">
        <w:rPr>
          <w:szCs w:val="22"/>
          <w:lang w:val="es-ES" w:eastAsia="en-US"/>
        </w:rPr>
        <w:t> </w:t>
      </w:r>
      <w:r w:rsidR="001C1A60" w:rsidRPr="00B810DB">
        <w:rPr>
          <w:szCs w:val="22"/>
          <w:lang w:val="es-ES" w:eastAsia="en-US"/>
        </w:rPr>
        <w:t>LI/A/33/3, p</w:t>
      </w:r>
      <w:r w:rsidRPr="00B810DB">
        <w:rPr>
          <w:szCs w:val="22"/>
          <w:lang w:val="es-ES" w:eastAsia="en-US"/>
        </w:rPr>
        <w:t>árraf</w:t>
      </w:r>
      <w:r w:rsidR="00B810DB" w:rsidRPr="00B810DB">
        <w:rPr>
          <w:szCs w:val="22"/>
          <w:lang w:val="es-ES" w:eastAsia="en-US"/>
        </w:rPr>
        <w:t>o 2</w:t>
      </w:r>
      <w:r w:rsidR="001C1A60" w:rsidRPr="00B810DB">
        <w:rPr>
          <w:szCs w:val="22"/>
          <w:lang w:val="es-ES" w:eastAsia="en-US"/>
        </w:rPr>
        <w:t>8</w:t>
      </w:r>
      <w:r w:rsidRPr="00B810DB">
        <w:rPr>
          <w:szCs w:val="22"/>
          <w:lang w:val="es-ES" w:eastAsia="en-US"/>
        </w:rPr>
        <w:t>.</w:t>
      </w:r>
      <w:r w:rsidR="001C1A60" w:rsidRPr="00B810DB">
        <w:rPr>
          <w:szCs w:val="22"/>
          <w:lang w:val="es-ES" w:eastAsia="en-US"/>
        </w:rPr>
        <w:t>iii)</w:t>
      </w:r>
      <w:r w:rsidR="000844A2" w:rsidRPr="00B810DB">
        <w:rPr>
          <w:szCs w:val="22"/>
          <w:lang w:val="es-ES" w:eastAsia="en-US"/>
        </w:rPr>
        <w:t>)</w:t>
      </w:r>
      <w:r w:rsidR="00FF5172" w:rsidRPr="00B810DB">
        <w:rPr>
          <w:szCs w:val="22"/>
          <w:lang w:val="es-ES" w:eastAsia="en-US"/>
        </w:rPr>
        <w:t>.</w:t>
      </w:r>
      <w:r w:rsidR="00AA2311" w:rsidRPr="00B810DB">
        <w:rPr>
          <w:szCs w:val="22"/>
          <w:lang w:val="es-ES" w:eastAsia="en-US"/>
        </w:rPr>
        <w:t xml:space="preserve">  </w:t>
      </w:r>
      <w:r w:rsidR="00A15E29">
        <w:rPr>
          <w:szCs w:val="22"/>
          <w:lang w:val="es-ES" w:eastAsia="en-US"/>
        </w:rPr>
        <w:t>A</w:t>
      </w:r>
      <w:r w:rsidRPr="00B810DB">
        <w:rPr>
          <w:szCs w:val="22"/>
          <w:lang w:val="es-ES" w:eastAsia="en-US"/>
        </w:rPr>
        <w:t>l</w:t>
      </w:r>
      <w:r w:rsidR="00A15E29">
        <w:rPr>
          <w:szCs w:val="22"/>
          <w:lang w:val="es-ES" w:eastAsia="en-US"/>
        </w:rPr>
        <w:t xml:space="preserve"> 15 de junio de 2017, esas subvenciones asc</w:t>
      </w:r>
      <w:r w:rsidRPr="00B810DB">
        <w:rPr>
          <w:szCs w:val="22"/>
          <w:lang w:val="es-ES" w:eastAsia="en-US"/>
        </w:rPr>
        <w:t>end</w:t>
      </w:r>
      <w:r w:rsidR="00A15E29">
        <w:rPr>
          <w:szCs w:val="22"/>
          <w:lang w:val="es-ES" w:eastAsia="en-US"/>
        </w:rPr>
        <w:t>ía</w:t>
      </w:r>
      <w:r w:rsidRPr="00B810DB">
        <w:rPr>
          <w:szCs w:val="22"/>
          <w:lang w:val="es-ES" w:eastAsia="en-US"/>
        </w:rPr>
        <w:t>n a un</w:t>
      </w:r>
      <w:r w:rsidR="00B85B7B" w:rsidRPr="00B810DB">
        <w:rPr>
          <w:rFonts w:eastAsia="Times New Roman"/>
          <w:szCs w:val="22"/>
          <w:lang w:val="es-ES" w:eastAsia="en-US"/>
        </w:rPr>
        <w:t xml:space="preserve"> total</w:t>
      </w:r>
      <w:r w:rsidR="006E7F9F" w:rsidRPr="00B810DB">
        <w:rPr>
          <w:rFonts w:eastAsia="Times New Roman"/>
          <w:szCs w:val="22"/>
          <w:lang w:val="es-ES" w:eastAsia="en-US"/>
        </w:rPr>
        <w:t xml:space="preserve"> </w:t>
      </w:r>
      <w:r w:rsidRPr="00B810DB">
        <w:rPr>
          <w:rFonts w:eastAsia="Times New Roman"/>
          <w:szCs w:val="22"/>
          <w:lang w:val="es-ES" w:eastAsia="en-US"/>
        </w:rPr>
        <w:t>d</w:t>
      </w:r>
      <w:r w:rsidR="00B810DB" w:rsidRPr="00B810DB">
        <w:rPr>
          <w:rFonts w:eastAsia="Times New Roman"/>
          <w:szCs w:val="22"/>
          <w:lang w:val="es-ES" w:eastAsia="en-US"/>
        </w:rPr>
        <w:t>e </w:t>
      </w:r>
      <w:r w:rsidR="00B810DB" w:rsidRPr="00B810DB">
        <w:rPr>
          <w:bCs/>
          <w:szCs w:val="22"/>
          <w:lang w:val="es-ES"/>
        </w:rPr>
        <w:t>1</w:t>
      </w:r>
      <w:r w:rsidRPr="00B810DB">
        <w:rPr>
          <w:bCs/>
          <w:szCs w:val="22"/>
          <w:lang w:val="es-ES"/>
        </w:rPr>
        <w:t>.</w:t>
      </w:r>
      <w:r w:rsidR="00511279" w:rsidRPr="00B810DB">
        <w:rPr>
          <w:bCs/>
          <w:szCs w:val="22"/>
          <w:lang w:val="es-ES"/>
        </w:rPr>
        <w:t>1</w:t>
      </w:r>
      <w:r w:rsidR="00A15E29">
        <w:rPr>
          <w:bCs/>
          <w:szCs w:val="22"/>
          <w:lang w:val="es-ES"/>
        </w:rPr>
        <w:t>9</w:t>
      </w:r>
      <w:r w:rsidR="00511279" w:rsidRPr="00B810DB">
        <w:rPr>
          <w:bCs/>
          <w:szCs w:val="22"/>
          <w:lang w:val="es-ES"/>
        </w:rPr>
        <w:t>0</w:t>
      </w:r>
      <w:r w:rsidRPr="00B810DB">
        <w:rPr>
          <w:bCs/>
          <w:szCs w:val="22"/>
          <w:lang w:val="es-ES"/>
        </w:rPr>
        <w:t>.</w:t>
      </w:r>
      <w:r w:rsidR="00A15E29">
        <w:rPr>
          <w:bCs/>
          <w:szCs w:val="22"/>
          <w:lang w:val="es-ES"/>
        </w:rPr>
        <w:t>520</w:t>
      </w:r>
      <w:r w:rsidR="006E7F9F" w:rsidRPr="00B810DB">
        <w:rPr>
          <w:bCs/>
          <w:szCs w:val="22"/>
          <w:lang w:val="es-ES"/>
        </w:rPr>
        <w:t xml:space="preserve"> </w:t>
      </w:r>
      <w:r w:rsidRPr="00B810DB">
        <w:rPr>
          <w:bCs/>
          <w:szCs w:val="22"/>
          <w:lang w:val="es-ES"/>
        </w:rPr>
        <w:t>francos suizos</w:t>
      </w:r>
      <w:r w:rsidR="006E7F9F" w:rsidRPr="00B810DB">
        <w:rPr>
          <w:bCs/>
          <w:szCs w:val="22"/>
          <w:lang w:val="es-ES"/>
        </w:rPr>
        <w:t>.</w:t>
      </w:r>
    </w:p>
    <w:p w:rsidR="006E7F9F" w:rsidRPr="00B810DB" w:rsidRDefault="006E7F9F" w:rsidP="00E06406">
      <w:pPr>
        <w:pStyle w:val="ListParagraph"/>
        <w:tabs>
          <w:tab w:val="left" w:pos="540"/>
        </w:tabs>
        <w:ind w:left="0"/>
        <w:rPr>
          <w:szCs w:val="22"/>
          <w:lang w:val="es-ES" w:eastAsia="en-US"/>
        </w:rPr>
      </w:pPr>
    </w:p>
    <w:p w:rsidR="00E06406" w:rsidRPr="006154B7" w:rsidRDefault="00E06406" w:rsidP="00E06406">
      <w:pPr>
        <w:rPr>
          <w:szCs w:val="22"/>
          <w:lang w:val="es-ES"/>
        </w:rPr>
      </w:pPr>
    </w:p>
    <w:p w:rsidR="00C904CE" w:rsidRPr="00B810DB" w:rsidRDefault="006E7F9F" w:rsidP="00E06406">
      <w:pPr>
        <w:pStyle w:val="ONUME"/>
        <w:numPr>
          <w:ilvl w:val="0"/>
          <w:numId w:val="0"/>
        </w:numPr>
        <w:tabs>
          <w:tab w:val="left" w:pos="540"/>
        </w:tabs>
        <w:rPr>
          <w:szCs w:val="22"/>
          <w:lang w:val="es-ES"/>
        </w:rPr>
      </w:pPr>
      <w:r w:rsidRPr="00B810DB">
        <w:rPr>
          <w:b/>
          <w:szCs w:val="22"/>
          <w:lang w:val="es-ES"/>
        </w:rPr>
        <w:t>II</w:t>
      </w:r>
      <w:r w:rsidR="008200C6" w:rsidRPr="00B810DB">
        <w:rPr>
          <w:b/>
          <w:szCs w:val="22"/>
          <w:lang w:val="es-ES"/>
        </w:rPr>
        <w:t>I</w:t>
      </w:r>
      <w:r w:rsidRPr="00B810DB">
        <w:rPr>
          <w:b/>
          <w:szCs w:val="22"/>
          <w:lang w:val="es-ES"/>
        </w:rPr>
        <w:t>.</w:t>
      </w:r>
      <w:r w:rsidRPr="00B810DB">
        <w:rPr>
          <w:b/>
          <w:szCs w:val="22"/>
          <w:lang w:val="es-ES"/>
        </w:rPr>
        <w:tab/>
      </w:r>
      <w:r w:rsidR="0042063D" w:rsidRPr="00B810DB">
        <w:rPr>
          <w:b/>
          <w:szCs w:val="22"/>
          <w:lang w:val="es-ES"/>
        </w:rPr>
        <w:t>SOSTENIBILIDAD FINANCIERA DE LA UNIÓN DE LISBOA</w:t>
      </w:r>
    </w:p>
    <w:p w:rsidR="00082DB2" w:rsidRPr="00B810DB" w:rsidRDefault="0042063D" w:rsidP="0042063D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es-ES" w:eastAsia="en-US"/>
        </w:rPr>
      </w:pPr>
      <w:r w:rsidRPr="00B810DB">
        <w:rPr>
          <w:rFonts w:eastAsia="Times New Roman"/>
          <w:szCs w:val="22"/>
          <w:lang w:val="es-ES" w:eastAsia="en-US"/>
        </w:rPr>
        <w:t>En ese mismo período de sesiones</w:t>
      </w:r>
      <w:r w:rsidR="00F25CE1" w:rsidRPr="00B810DB">
        <w:rPr>
          <w:rFonts w:eastAsia="Times New Roman"/>
          <w:szCs w:val="22"/>
          <w:lang w:val="es-ES" w:eastAsia="en-US"/>
        </w:rPr>
        <w:t xml:space="preserve">, </w:t>
      </w:r>
      <w:r w:rsidRPr="00B810DB">
        <w:rPr>
          <w:rFonts w:eastAsia="Times New Roman"/>
          <w:szCs w:val="22"/>
          <w:lang w:val="es-ES" w:eastAsia="en-US"/>
        </w:rPr>
        <w:t>y en lo que respecta a la sostenibilidad financiera de la Unión de Lisboa, la Asamblea de la Unión de Lisboa decidió</w:t>
      </w:r>
      <w:r w:rsidR="00B810DB" w:rsidRPr="00B810DB">
        <w:rPr>
          <w:rFonts w:eastAsia="Times New Roman"/>
          <w:szCs w:val="22"/>
          <w:lang w:val="es-ES" w:eastAsia="en-US"/>
        </w:rPr>
        <w:t>:  h</w:t>
      </w:r>
      <w:r w:rsidRPr="00B810DB">
        <w:rPr>
          <w:rFonts w:eastAsia="Times New Roman"/>
          <w:szCs w:val="22"/>
          <w:lang w:val="es-ES" w:eastAsia="en-US"/>
        </w:rPr>
        <w:t xml:space="preserve">acer hincapié en las actividades de promoción del Sistema de Lisboa, incluida el Acta de Ginebra del Arreglo de Lisboa relativo a las </w:t>
      </w:r>
      <w:r w:rsidR="00F14767" w:rsidRPr="00B810DB">
        <w:rPr>
          <w:rFonts w:eastAsia="Times New Roman"/>
          <w:szCs w:val="22"/>
          <w:lang w:val="es-ES" w:eastAsia="en-US"/>
        </w:rPr>
        <w:t>Denominaciones de O</w:t>
      </w:r>
      <w:r w:rsidRPr="00B810DB">
        <w:rPr>
          <w:rFonts w:eastAsia="Times New Roman"/>
          <w:szCs w:val="22"/>
          <w:lang w:val="es-ES" w:eastAsia="en-US"/>
        </w:rPr>
        <w:t xml:space="preserve">rigen y las </w:t>
      </w:r>
      <w:r w:rsidR="00F14767" w:rsidRPr="00B810DB">
        <w:rPr>
          <w:rFonts w:eastAsia="Times New Roman"/>
          <w:szCs w:val="22"/>
          <w:lang w:val="es-ES" w:eastAsia="en-US"/>
        </w:rPr>
        <w:t>I</w:t>
      </w:r>
      <w:r w:rsidRPr="00B810DB">
        <w:rPr>
          <w:rFonts w:eastAsia="Times New Roman"/>
          <w:szCs w:val="22"/>
          <w:lang w:val="es-ES" w:eastAsia="en-US"/>
        </w:rPr>
        <w:t xml:space="preserve">ndicaciones </w:t>
      </w:r>
      <w:r w:rsidR="00F14767" w:rsidRPr="00B810DB">
        <w:rPr>
          <w:rFonts w:eastAsia="Times New Roman"/>
          <w:szCs w:val="22"/>
          <w:lang w:val="es-ES" w:eastAsia="en-US"/>
        </w:rPr>
        <w:t>G</w:t>
      </w:r>
      <w:r w:rsidRPr="00B810DB">
        <w:rPr>
          <w:rFonts w:eastAsia="Times New Roman"/>
          <w:szCs w:val="22"/>
          <w:lang w:val="es-ES" w:eastAsia="en-US"/>
        </w:rPr>
        <w:t>eográficas</w:t>
      </w:r>
      <w:r w:rsidR="00716DFF" w:rsidRPr="00B810DB">
        <w:rPr>
          <w:rFonts w:eastAsia="Times New Roman"/>
          <w:szCs w:val="22"/>
          <w:lang w:val="es-ES" w:eastAsia="en-US"/>
        </w:rPr>
        <w:t>;</w:t>
      </w:r>
      <w:r w:rsidR="00CF58A5" w:rsidRPr="00B810DB">
        <w:rPr>
          <w:rFonts w:eastAsia="Times New Roman"/>
          <w:szCs w:val="22"/>
          <w:lang w:val="es-ES" w:eastAsia="en-US"/>
        </w:rPr>
        <w:t xml:space="preserve"> </w:t>
      </w:r>
      <w:r w:rsidR="006F206B" w:rsidRPr="00B810DB">
        <w:rPr>
          <w:rFonts w:eastAsia="Times New Roman"/>
          <w:szCs w:val="22"/>
          <w:lang w:val="es-ES" w:eastAsia="en-US"/>
        </w:rPr>
        <w:t xml:space="preserve"> </w:t>
      </w:r>
      <w:r w:rsidRPr="00B810DB">
        <w:rPr>
          <w:rFonts w:eastAsia="Times New Roman"/>
          <w:szCs w:val="22"/>
          <w:lang w:val="es-ES" w:eastAsia="en-US"/>
        </w:rPr>
        <w:t>seguir considerando la creación de un sistema de contribución, en el marco del sistema de contribución única, así como la metodología para calcular tales contribuciones;</w:t>
      </w:r>
      <w:r w:rsidR="00CF58A5" w:rsidRPr="00B810DB">
        <w:rPr>
          <w:rFonts w:eastAsia="Times New Roman"/>
          <w:szCs w:val="22"/>
          <w:lang w:val="es-ES" w:eastAsia="en-US"/>
        </w:rPr>
        <w:t xml:space="preserve"> </w:t>
      </w:r>
      <w:r w:rsidR="0052195A" w:rsidRPr="00B810DB">
        <w:rPr>
          <w:rFonts w:eastAsia="Times New Roman"/>
          <w:szCs w:val="22"/>
          <w:lang w:val="es-ES" w:eastAsia="en-US"/>
        </w:rPr>
        <w:t xml:space="preserve"> </w:t>
      </w:r>
      <w:r w:rsidRPr="00B810DB">
        <w:rPr>
          <w:rFonts w:eastAsia="Times New Roman"/>
          <w:szCs w:val="22"/>
          <w:lang w:val="es-ES" w:eastAsia="en-US"/>
        </w:rPr>
        <w:t>seguir supervisando la tabla de tasas del Sistema de Lisboa con miras a su revisión, en el sentido de un alza eventual en el futuro</w:t>
      </w:r>
      <w:r w:rsidR="00B810DB" w:rsidRPr="00B810DB">
        <w:rPr>
          <w:rFonts w:eastAsia="Times New Roman"/>
          <w:szCs w:val="22"/>
          <w:lang w:val="es-ES" w:eastAsia="en-US"/>
        </w:rPr>
        <w:t>;  y</w:t>
      </w:r>
      <w:r w:rsidR="005C121F" w:rsidRPr="00B810DB">
        <w:rPr>
          <w:rFonts w:eastAsia="Times New Roman"/>
          <w:szCs w:val="22"/>
          <w:lang w:val="es-ES" w:eastAsia="en-US"/>
        </w:rPr>
        <w:t xml:space="preserve"> a</w:t>
      </w:r>
      <w:r w:rsidRPr="00B810DB">
        <w:rPr>
          <w:rFonts w:eastAsia="Times New Roman"/>
          <w:szCs w:val="22"/>
          <w:lang w:val="es-ES" w:eastAsia="en-US"/>
        </w:rPr>
        <w:t>provechar la próxima reunión del Grupo de Trabajo de</w:t>
      </w:r>
      <w:r w:rsidR="00F14767" w:rsidRPr="00B810DB">
        <w:rPr>
          <w:rFonts w:eastAsia="Times New Roman"/>
          <w:szCs w:val="22"/>
          <w:lang w:val="es-ES" w:eastAsia="en-US"/>
        </w:rPr>
        <w:t>l Sistema de</w:t>
      </w:r>
      <w:r w:rsidRPr="00B810DB">
        <w:rPr>
          <w:rFonts w:eastAsia="Times New Roman"/>
          <w:szCs w:val="22"/>
          <w:lang w:val="es-ES" w:eastAsia="en-US"/>
        </w:rPr>
        <w:t xml:space="preserve"> Lisboa y las reuniones informales que la presidencia del Grupo de Trabajo pueda pedir a la Secretaría que organice, para seguir debatiendo la sostenibilidad financiera de la Unión de Lisboa </w:t>
      </w:r>
      <w:r w:rsidR="008200C6" w:rsidRPr="00B810DB">
        <w:rPr>
          <w:rFonts w:eastAsia="Times New Roman"/>
          <w:szCs w:val="22"/>
          <w:lang w:val="es-ES" w:eastAsia="en-US"/>
        </w:rPr>
        <w:t>(document</w:t>
      </w:r>
      <w:r w:rsidRPr="00B810DB">
        <w:rPr>
          <w:rFonts w:eastAsia="Times New Roman"/>
          <w:szCs w:val="22"/>
          <w:lang w:val="es-ES" w:eastAsia="en-US"/>
        </w:rPr>
        <w:t>o</w:t>
      </w:r>
      <w:r w:rsidR="008200C6" w:rsidRPr="00B810DB">
        <w:rPr>
          <w:rFonts w:eastAsia="Times New Roman"/>
          <w:szCs w:val="22"/>
          <w:lang w:val="es-ES" w:eastAsia="en-US"/>
        </w:rPr>
        <w:t xml:space="preserve"> LI/A/33/3, </w:t>
      </w:r>
      <w:r w:rsidRPr="00B810DB">
        <w:rPr>
          <w:rFonts w:eastAsia="Times New Roman"/>
          <w:szCs w:val="22"/>
          <w:lang w:val="es-ES" w:eastAsia="en-US"/>
        </w:rPr>
        <w:t>párraf</w:t>
      </w:r>
      <w:r w:rsidR="00B810DB" w:rsidRPr="00B810DB">
        <w:rPr>
          <w:rFonts w:eastAsia="Times New Roman"/>
          <w:szCs w:val="22"/>
          <w:lang w:val="es-ES" w:eastAsia="en-US"/>
        </w:rPr>
        <w:t>o 2</w:t>
      </w:r>
      <w:r w:rsidR="006F206B" w:rsidRPr="00B810DB">
        <w:rPr>
          <w:rFonts w:eastAsia="Times New Roman"/>
          <w:szCs w:val="22"/>
          <w:lang w:val="es-ES" w:eastAsia="en-US"/>
        </w:rPr>
        <w:t xml:space="preserve">8, </w:t>
      </w:r>
      <w:r w:rsidRPr="00B810DB">
        <w:rPr>
          <w:rFonts w:eastAsia="Times New Roman"/>
          <w:szCs w:val="22"/>
          <w:lang w:val="es-ES" w:eastAsia="en-US"/>
        </w:rPr>
        <w:t xml:space="preserve">incisos </w:t>
      </w:r>
      <w:r w:rsidR="006F206B" w:rsidRPr="00B810DB">
        <w:rPr>
          <w:rFonts w:eastAsia="Times New Roman"/>
          <w:szCs w:val="22"/>
          <w:lang w:val="es-ES" w:eastAsia="en-US"/>
        </w:rPr>
        <w:t xml:space="preserve">v) </w:t>
      </w:r>
      <w:r w:rsidRPr="00B810DB">
        <w:rPr>
          <w:rFonts w:eastAsia="Times New Roman"/>
          <w:szCs w:val="22"/>
          <w:lang w:val="es-ES" w:eastAsia="en-US"/>
        </w:rPr>
        <w:t>a</w:t>
      </w:r>
      <w:r w:rsidR="006F206B" w:rsidRPr="00B810DB">
        <w:rPr>
          <w:rFonts w:eastAsia="Times New Roman"/>
          <w:szCs w:val="22"/>
          <w:lang w:val="es-ES" w:eastAsia="en-US"/>
        </w:rPr>
        <w:t xml:space="preserve"> viii)</w:t>
      </w:r>
      <w:r w:rsidR="00082DB2" w:rsidRPr="00B810DB">
        <w:rPr>
          <w:rFonts w:eastAsia="Times New Roman"/>
          <w:szCs w:val="22"/>
          <w:lang w:val="es-ES" w:eastAsia="en-US"/>
        </w:rPr>
        <w:t>.</w:t>
      </w:r>
    </w:p>
    <w:p w:rsidR="006E7F9F" w:rsidRPr="00B810DB" w:rsidRDefault="006E7F9F" w:rsidP="00A430B4">
      <w:pPr>
        <w:pStyle w:val="ONUME"/>
        <w:numPr>
          <w:ilvl w:val="0"/>
          <w:numId w:val="0"/>
        </w:numPr>
        <w:tabs>
          <w:tab w:val="left" w:pos="540"/>
        </w:tabs>
        <w:autoSpaceDE w:val="0"/>
        <w:autoSpaceDN w:val="0"/>
        <w:adjustRightInd w:val="0"/>
        <w:spacing w:after="0"/>
        <w:rPr>
          <w:szCs w:val="22"/>
          <w:lang w:val="es-ES"/>
        </w:rPr>
      </w:pPr>
    </w:p>
    <w:p w:rsidR="008200C6" w:rsidRPr="00B810DB" w:rsidRDefault="0042063D" w:rsidP="00011515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es-ES" w:eastAsia="en-US"/>
        </w:rPr>
      </w:pPr>
      <w:r w:rsidRPr="00B810DB">
        <w:rPr>
          <w:rFonts w:eastAsia="Times New Roman"/>
          <w:szCs w:val="22"/>
          <w:lang w:val="es-ES" w:eastAsia="en-US"/>
        </w:rPr>
        <w:t>En la segunda reunión del Grupo de Trabajo</w:t>
      </w:r>
      <w:r w:rsidR="00C85A05" w:rsidRPr="00B810DB">
        <w:rPr>
          <w:szCs w:val="22"/>
          <w:lang w:val="es-ES"/>
        </w:rPr>
        <w:t xml:space="preserve"> (</w:t>
      </w:r>
      <w:r w:rsidRPr="00B810DB">
        <w:rPr>
          <w:szCs w:val="22"/>
          <w:lang w:val="es-ES"/>
        </w:rPr>
        <w:t xml:space="preserve">3 </w:t>
      </w:r>
      <w:r w:rsidR="00B810DB" w:rsidRPr="00B810DB">
        <w:rPr>
          <w:szCs w:val="22"/>
          <w:lang w:val="es-ES"/>
        </w:rPr>
        <w:t>a 5</w:t>
      </w:r>
      <w:r w:rsidRPr="00B810DB">
        <w:rPr>
          <w:szCs w:val="22"/>
          <w:lang w:val="es-ES"/>
        </w:rPr>
        <w:t xml:space="preserve"> de abril d</w:t>
      </w:r>
      <w:r w:rsidR="00B810DB" w:rsidRPr="00B810DB">
        <w:rPr>
          <w:szCs w:val="22"/>
          <w:lang w:val="es-ES"/>
        </w:rPr>
        <w:t>e 2</w:t>
      </w:r>
      <w:r w:rsidR="00A430B4" w:rsidRPr="00B810DB">
        <w:rPr>
          <w:szCs w:val="22"/>
          <w:lang w:val="es-ES"/>
        </w:rPr>
        <w:t>017</w:t>
      </w:r>
      <w:r w:rsidR="00716DFF" w:rsidRPr="00B810DB">
        <w:rPr>
          <w:szCs w:val="22"/>
          <w:lang w:val="es-ES"/>
        </w:rPr>
        <w:t>)</w:t>
      </w:r>
      <w:r w:rsidR="00A430B4" w:rsidRPr="00B810DB">
        <w:rPr>
          <w:szCs w:val="22"/>
          <w:lang w:val="es-ES"/>
        </w:rPr>
        <w:t xml:space="preserve">, </w:t>
      </w:r>
      <w:r w:rsidRPr="00B810DB">
        <w:rPr>
          <w:szCs w:val="22"/>
          <w:lang w:val="es-ES"/>
        </w:rPr>
        <w:t>el presidente</w:t>
      </w:r>
      <w:r w:rsidR="00A430B4" w:rsidRPr="00B810DB">
        <w:rPr>
          <w:rFonts w:eastAsia="Times New Roman"/>
          <w:szCs w:val="22"/>
          <w:lang w:val="es-ES" w:eastAsia="en-US"/>
        </w:rPr>
        <w:t xml:space="preserve"> </w:t>
      </w:r>
      <w:r w:rsidR="00101AB4" w:rsidRPr="00B810DB">
        <w:rPr>
          <w:rFonts w:eastAsia="Times New Roman"/>
          <w:szCs w:val="22"/>
          <w:lang w:val="es-ES" w:eastAsia="en-US"/>
        </w:rPr>
        <w:t>“</w:t>
      </w:r>
      <w:r w:rsidRPr="00B810DB">
        <w:rPr>
          <w:rFonts w:eastAsia="Times New Roman"/>
          <w:szCs w:val="22"/>
          <w:lang w:val="es-ES" w:eastAsia="en-US"/>
        </w:rPr>
        <w:t>puso de relieve, en particular, los siguientes elementos principales que se han señalado en las declaraciones realizadas por los miembros de la Unión de Lisboa:</w:t>
      </w:r>
      <w:r w:rsidR="00616F08" w:rsidRPr="00B810DB">
        <w:rPr>
          <w:rFonts w:eastAsia="Times New Roman"/>
          <w:szCs w:val="22"/>
          <w:lang w:val="es-ES" w:eastAsia="en-US"/>
        </w:rPr>
        <w:t xml:space="preserve"> </w:t>
      </w:r>
      <w:r w:rsidR="00F2523B" w:rsidRPr="00B810DB">
        <w:rPr>
          <w:rFonts w:eastAsia="Times New Roman"/>
          <w:szCs w:val="22"/>
          <w:lang w:val="es-ES" w:eastAsia="en-US"/>
        </w:rPr>
        <w:t xml:space="preserve"> i) </w:t>
      </w:r>
      <w:r w:rsidRPr="00B810DB">
        <w:rPr>
          <w:rFonts w:eastAsia="Times New Roman"/>
          <w:szCs w:val="22"/>
          <w:lang w:val="es-ES" w:eastAsia="en-US"/>
        </w:rPr>
        <w:t>la necesidad de impulsar las actividades para dar a conoce</w:t>
      </w:r>
      <w:r w:rsidR="00F14767" w:rsidRPr="00B810DB">
        <w:rPr>
          <w:rFonts w:eastAsia="Times New Roman"/>
          <w:szCs w:val="22"/>
          <w:lang w:val="es-ES" w:eastAsia="en-US"/>
        </w:rPr>
        <w:t>r el Sistema de Lisboa, incluida</w:t>
      </w:r>
      <w:r w:rsidRPr="00B810DB">
        <w:rPr>
          <w:rFonts w:eastAsia="Times New Roman"/>
          <w:szCs w:val="22"/>
          <w:lang w:val="es-ES" w:eastAsia="en-US"/>
        </w:rPr>
        <w:t xml:space="preserve"> el Acta de Ginebra del Arreglo de Lisboa relativo a las Denominaciones de Origen y las Indicaciones Geográficas</w:t>
      </w:r>
      <w:r w:rsidR="00B810DB" w:rsidRPr="00B810DB">
        <w:rPr>
          <w:rFonts w:eastAsia="Times New Roman"/>
          <w:szCs w:val="22"/>
          <w:lang w:val="es-ES" w:eastAsia="en-US"/>
        </w:rPr>
        <w:t>;  i</w:t>
      </w:r>
      <w:r w:rsidR="00F2523B" w:rsidRPr="00B810DB">
        <w:rPr>
          <w:rFonts w:eastAsia="Times New Roman"/>
          <w:szCs w:val="22"/>
          <w:lang w:val="es-ES" w:eastAsia="en-US"/>
        </w:rPr>
        <w:t xml:space="preserve">i) </w:t>
      </w:r>
      <w:r w:rsidRPr="00B810DB">
        <w:rPr>
          <w:rFonts w:eastAsia="Times New Roman"/>
          <w:szCs w:val="22"/>
          <w:lang w:val="es-ES" w:eastAsia="en-US"/>
        </w:rPr>
        <w:t>la necesidad de seguir analizando regularmente la tabla de tasas del Sistema de Lisboa, teniendo presente que todo aumento del importe de las tasas puede desincentivar las adhesiones y el uso del Sistema de Lisboa</w:t>
      </w:r>
      <w:r w:rsidR="00B810DB" w:rsidRPr="00B810DB">
        <w:rPr>
          <w:rFonts w:eastAsia="Times New Roman"/>
          <w:szCs w:val="22"/>
          <w:lang w:val="es-ES" w:eastAsia="en-US"/>
        </w:rPr>
        <w:t>;  y</w:t>
      </w:r>
      <w:r w:rsidRPr="00B810DB">
        <w:rPr>
          <w:rFonts w:eastAsia="Times New Roman"/>
          <w:szCs w:val="22"/>
          <w:lang w:val="es-ES" w:eastAsia="en-US"/>
        </w:rPr>
        <w:t xml:space="preserve"> </w:t>
      </w:r>
      <w:r w:rsidR="00A430B4" w:rsidRPr="00B810DB">
        <w:rPr>
          <w:rFonts w:eastAsia="Times New Roman"/>
          <w:szCs w:val="22"/>
          <w:lang w:val="es-ES" w:eastAsia="en-US"/>
        </w:rPr>
        <w:t>iii</w:t>
      </w:r>
      <w:r w:rsidR="0063007F" w:rsidRPr="00B810DB">
        <w:rPr>
          <w:rFonts w:eastAsia="Times New Roman"/>
          <w:szCs w:val="22"/>
          <w:lang w:val="es-ES" w:eastAsia="en-US"/>
        </w:rPr>
        <w:t>)</w:t>
      </w:r>
      <w:r w:rsidRPr="00A15E29">
        <w:rPr>
          <w:lang w:val="es-ES"/>
        </w:rPr>
        <w:t xml:space="preserve"> </w:t>
      </w:r>
      <w:r w:rsidRPr="00B810DB">
        <w:rPr>
          <w:rFonts w:eastAsia="Times New Roman"/>
          <w:szCs w:val="22"/>
          <w:lang w:val="es-ES" w:eastAsia="en-US"/>
        </w:rPr>
        <w:t>la necesidad de velar por que toda solución que se halle en aras de la sostenibilidad financiera del Sistema de Lisboa esté en sintonía con los principios y métodos presupuestarios de la OMPI vigentes y con el principio de solidaridad entre todas las Uniones de la OMPI</w:t>
      </w:r>
      <w:r w:rsidR="00101AB4" w:rsidRPr="00B810DB">
        <w:rPr>
          <w:rFonts w:eastAsia="Times New Roman"/>
          <w:szCs w:val="22"/>
          <w:lang w:val="es-ES" w:eastAsia="en-US"/>
        </w:rPr>
        <w:t>” (document</w:t>
      </w:r>
      <w:r w:rsidRPr="00B810DB">
        <w:rPr>
          <w:rFonts w:eastAsia="Times New Roman"/>
          <w:szCs w:val="22"/>
          <w:lang w:val="es-ES" w:eastAsia="en-US"/>
        </w:rPr>
        <w:t>o</w:t>
      </w:r>
      <w:r w:rsidR="00101AB4" w:rsidRPr="00B810DB">
        <w:rPr>
          <w:rFonts w:eastAsia="Times New Roman"/>
          <w:szCs w:val="22"/>
          <w:lang w:val="es-ES" w:eastAsia="en-US"/>
        </w:rPr>
        <w:t xml:space="preserve"> LI/WG/PCR/2/6</w:t>
      </w:r>
      <w:r w:rsidR="00616F08" w:rsidRPr="00B810DB">
        <w:rPr>
          <w:rFonts w:eastAsia="Times New Roman"/>
          <w:szCs w:val="22"/>
          <w:lang w:val="es-ES" w:eastAsia="en-US"/>
        </w:rPr>
        <w:t>,</w:t>
      </w:r>
      <w:r w:rsidRPr="00B810DB">
        <w:rPr>
          <w:rFonts w:eastAsia="Times New Roman"/>
          <w:szCs w:val="22"/>
          <w:lang w:val="es-ES" w:eastAsia="en-US"/>
        </w:rPr>
        <w:t xml:space="preserve"> p</w:t>
      </w:r>
      <w:r w:rsidR="00011515" w:rsidRPr="00B810DB">
        <w:rPr>
          <w:rFonts w:eastAsia="Times New Roman"/>
          <w:szCs w:val="22"/>
          <w:lang w:val="es-ES" w:eastAsia="en-US"/>
        </w:rPr>
        <w:t>árraf</w:t>
      </w:r>
      <w:r w:rsidR="00B810DB" w:rsidRPr="00B810DB">
        <w:rPr>
          <w:rFonts w:eastAsia="Times New Roman"/>
          <w:szCs w:val="22"/>
          <w:lang w:val="es-ES" w:eastAsia="en-US"/>
        </w:rPr>
        <w:t>o 1</w:t>
      </w:r>
      <w:r w:rsidR="00101AB4" w:rsidRPr="00B810DB">
        <w:rPr>
          <w:rFonts w:eastAsia="Times New Roman"/>
          <w:szCs w:val="22"/>
          <w:lang w:val="es-ES" w:eastAsia="en-US"/>
        </w:rPr>
        <w:t>6)</w:t>
      </w:r>
      <w:r w:rsidR="00A430B4" w:rsidRPr="00B810DB">
        <w:rPr>
          <w:rFonts w:eastAsia="Times New Roman"/>
          <w:szCs w:val="22"/>
          <w:lang w:val="es-ES" w:eastAsia="en-US"/>
        </w:rPr>
        <w:t>.</w:t>
      </w:r>
    </w:p>
    <w:p w:rsidR="00F25CE1" w:rsidRPr="00B810DB" w:rsidRDefault="00F25CE1" w:rsidP="00F25CE1">
      <w:pPr>
        <w:pStyle w:val="ONUME"/>
        <w:numPr>
          <w:ilvl w:val="0"/>
          <w:numId w:val="0"/>
        </w:numPr>
        <w:tabs>
          <w:tab w:val="left" w:pos="540"/>
          <w:tab w:val="left" w:pos="5400"/>
        </w:tabs>
        <w:autoSpaceDE w:val="0"/>
        <w:autoSpaceDN w:val="0"/>
        <w:adjustRightInd w:val="0"/>
        <w:spacing w:after="0"/>
        <w:rPr>
          <w:rFonts w:eastAsia="Times New Roman"/>
          <w:szCs w:val="22"/>
          <w:lang w:val="es-ES" w:eastAsia="en-US"/>
        </w:rPr>
      </w:pPr>
    </w:p>
    <w:p w:rsidR="005C121F" w:rsidRPr="00B810DB" w:rsidRDefault="00980F5F" w:rsidP="00980F5F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es-ES" w:eastAsia="en-US"/>
        </w:rPr>
      </w:pPr>
      <w:r w:rsidRPr="00B810DB">
        <w:rPr>
          <w:szCs w:val="22"/>
          <w:lang w:val="es-ES"/>
        </w:rPr>
        <w:t>El Grupo de Trabajo acordó recomendar a la Asamblea de la Unión de Lisboa que prorrogue el mandato del Grupo de Trabajo con miras a proseguir los debates acerca del desarrollo del Sistema de Lisboa y dar con soluciones para su sostenibilidad financiera.</w:t>
      </w:r>
      <w:r w:rsidR="003D1C41" w:rsidRPr="00B810DB">
        <w:rPr>
          <w:rFonts w:eastAsia="Times New Roman"/>
          <w:szCs w:val="22"/>
          <w:lang w:val="es-ES" w:eastAsia="en-US"/>
        </w:rPr>
        <w:t>”</w:t>
      </w:r>
      <w:r w:rsidR="00CF58A5" w:rsidRPr="00B810DB">
        <w:rPr>
          <w:rFonts w:eastAsia="Times New Roman"/>
          <w:szCs w:val="22"/>
          <w:lang w:val="es-ES" w:eastAsia="en-US"/>
        </w:rPr>
        <w:t xml:space="preserve"> </w:t>
      </w:r>
      <w:r w:rsidR="008200C6" w:rsidRPr="00B810DB">
        <w:rPr>
          <w:rFonts w:eastAsia="Times New Roman"/>
          <w:szCs w:val="22"/>
          <w:lang w:val="es-ES" w:eastAsia="en-US"/>
        </w:rPr>
        <w:t>(document</w:t>
      </w:r>
      <w:r w:rsidRPr="00B810DB">
        <w:rPr>
          <w:rFonts w:eastAsia="Times New Roman"/>
          <w:szCs w:val="22"/>
          <w:lang w:val="es-ES" w:eastAsia="en-US"/>
        </w:rPr>
        <w:t>o</w:t>
      </w:r>
      <w:r w:rsidR="008200C6" w:rsidRPr="00B810DB">
        <w:rPr>
          <w:rFonts w:eastAsia="Times New Roman"/>
          <w:szCs w:val="22"/>
          <w:lang w:val="es-ES" w:eastAsia="en-US"/>
        </w:rPr>
        <w:t> </w:t>
      </w:r>
      <w:r w:rsidR="00101AB4" w:rsidRPr="00B810DB">
        <w:rPr>
          <w:rFonts w:eastAsia="Times New Roman"/>
          <w:szCs w:val="22"/>
          <w:lang w:val="es-ES" w:eastAsia="en-US"/>
        </w:rPr>
        <w:t>LI/WG/PCR/2/6</w:t>
      </w:r>
      <w:r w:rsidR="00616F08" w:rsidRPr="00B810DB">
        <w:rPr>
          <w:rFonts w:eastAsia="Times New Roman"/>
          <w:szCs w:val="22"/>
          <w:lang w:val="es-ES" w:eastAsia="en-US"/>
        </w:rPr>
        <w:t>,</w:t>
      </w:r>
      <w:r w:rsidRPr="00B810DB">
        <w:rPr>
          <w:rFonts w:eastAsia="Times New Roman"/>
          <w:szCs w:val="22"/>
          <w:lang w:val="es-ES" w:eastAsia="en-US"/>
        </w:rPr>
        <w:t xml:space="preserve"> párraf</w:t>
      </w:r>
      <w:r w:rsidR="00B810DB" w:rsidRPr="00B810DB">
        <w:rPr>
          <w:rFonts w:eastAsia="Times New Roman"/>
          <w:szCs w:val="22"/>
          <w:lang w:val="es-ES" w:eastAsia="en-US"/>
        </w:rPr>
        <w:t>o 1</w:t>
      </w:r>
      <w:r w:rsidR="00101AB4" w:rsidRPr="00B810DB">
        <w:rPr>
          <w:rFonts w:eastAsia="Times New Roman"/>
          <w:szCs w:val="22"/>
          <w:lang w:val="es-ES" w:eastAsia="en-US"/>
        </w:rPr>
        <w:t>7)</w:t>
      </w:r>
      <w:r w:rsidR="005C121F" w:rsidRPr="00B810DB">
        <w:rPr>
          <w:rFonts w:eastAsia="Times New Roman"/>
          <w:szCs w:val="22"/>
          <w:lang w:val="es-ES" w:eastAsia="en-US"/>
        </w:rPr>
        <w:t>.</w:t>
      </w:r>
    </w:p>
    <w:p w:rsidR="005B3204" w:rsidRPr="00B810DB" w:rsidRDefault="005B3204" w:rsidP="006154B7">
      <w:pPr>
        <w:pStyle w:val="Endofdocument-Annex"/>
        <w:ind w:left="0"/>
        <w:rPr>
          <w:lang w:val="es-ES"/>
        </w:rPr>
      </w:pPr>
    </w:p>
    <w:p w:rsidR="00C904CE" w:rsidRPr="00B810DB" w:rsidRDefault="005458E6" w:rsidP="00A15E29">
      <w:pPr>
        <w:pStyle w:val="ONUME"/>
        <w:numPr>
          <w:ilvl w:val="0"/>
          <w:numId w:val="31"/>
        </w:numPr>
        <w:tabs>
          <w:tab w:val="left" w:pos="6096"/>
        </w:tabs>
        <w:spacing w:after="0"/>
        <w:ind w:left="5534" w:firstLine="0"/>
        <w:rPr>
          <w:i/>
          <w:szCs w:val="22"/>
          <w:lang w:val="es-ES"/>
        </w:rPr>
      </w:pPr>
      <w:r w:rsidRPr="00B810DB">
        <w:rPr>
          <w:i/>
          <w:szCs w:val="22"/>
          <w:lang w:val="es-ES"/>
        </w:rPr>
        <w:lastRenderedPageBreak/>
        <w:t>Se invita a la Asamblea de la Unión de Lisboa a</w:t>
      </w:r>
      <w:r w:rsidR="00C904CE" w:rsidRPr="00B810DB">
        <w:rPr>
          <w:i/>
          <w:szCs w:val="22"/>
          <w:lang w:val="es-ES"/>
        </w:rPr>
        <w:t>:</w:t>
      </w:r>
    </w:p>
    <w:p w:rsidR="00C904CE" w:rsidRPr="00B810DB" w:rsidRDefault="00C904CE" w:rsidP="00C904CE">
      <w:pPr>
        <w:ind w:left="5533"/>
        <w:rPr>
          <w:szCs w:val="22"/>
          <w:lang w:val="es-ES"/>
        </w:rPr>
      </w:pPr>
    </w:p>
    <w:p w:rsidR="007116FA" w:rsidRPr="00B810DB" w:rsidRDefault="0063007F" w:rsidP="00A15E29">
      <w:pPr>
        <w:pStyle w:val="ListParagraph"/>
        <w:numPr>
          <w:ilvl w:val="0"/>
          <w:numId w:val="32"/>
        </w:numPr>
        <w:tabs>
          <w:tab w:val="left" w:pos="6663"/>
        </w:tabs>
        <w:ind w:left="6096" w:firstLine="0"/>
        <w:rPr>
          <w:i/>
          <w:szCs w:val="22"/>
          <w:lang w:val="es-ES"/>
        </w:rPr>
      </w:pPr>
      <w:r w:rsidRPr="00B810DB">
        <w:rPr>
          <w:i/>
          <w:szCs w:val="22"/>
          <w:lang w:val="es-ES"/>
        </w:rPr>
        <w:t>t</w:t>
      </w:r>
      <w:r w:rsidR="005458E6" w:rsidRPr="00B810DB">
        <w:rPr>
          <w:i/>
          <w:szCs w:val="22"/>
          <w:lang w:val="es-ES"/>
        </w:rPr>
        <w:t xml:space="preserve">omar nota del documento </w:t>
      </w:r>
      <w:r w:rsidR="00716DFF" w:rsidRPr="00B810DB">
        <w:rPr>
          <w:i/>
          <w:szCs w:val="22"/>
          <w:lang w:val="es-ES"/>
        </w:rPr>
        <w:t>“</w:t>
      </w:r>
      <w:r w:rsidR="005458E6" w:rsidRPr="00B810DB">
        <w:rPr>
          <w:i/>
          <w:szCs w:val="22"/>
          <w:lang w:val="es-ES"/>
        </w:rPr>
        <w:t>Asuntos financieros relativos a la Unión de Lisboa</w:t>
      </w:r>
      <w:r w:rsidR="00716DFF" w:rsidRPr="00B810DB">
        <w:rPr>
          <w:i/>
          <w:szCs w:val="22"/>
          <w:lang w:val="es-ES"/>
        </w:rPr>
        <w:t>” (document</w:t>
      </w:r>
      <w:r w:rsidR="005458E6" w:rsidRPr="00B810DB">
        <w:rPr>
          <w:i/>
          <w:szCs w:val="22"/>
          <w:lang w:val="es-ES"/>
        </w:rPr>
        <w:t>o</w:t>
      </w:r>
      <w:r w:rsidR="00716DFF" w:rsidRPr="00B810DB">
        <w:rPr>
          <w:i/>
          <w:szCs w:val="22"/>
          <w:lang w:val="es-ES"/>
        </w:rPr>
        <w:t xml:space="preserve"> LI/A/34/3</w:t>
      </w:r>
      <w:r w:rsidR="00581306" w:rsidRPr="00B810DB">
        <w:rPr>
          <w:i/>
          <w:szCs w:val="22"/>
          <w:lang w:val="es-ES"/>
        </w:rPr>
        <w:t>)</w:t>
      </w:r>
      <w:r w:rsidR="00F2523B" w:rsidRPr="00B810DB">
        <w:rPr>
          <w:i/>
          <w:szCs w:val="22"/>
          <w:lang w:val="es-ES"/>
        </w:rPr>
        <w:t xml:space="preserve">; </w:t>
      </w:r>
      <w:r w:rsidR="00CF58A5" w:rsidRPr="00B810DB">
        <w:rPr>
          <w:i/>
          <w:szCs w:val="22"/>
          <w:lang w:val="es-ES"/>
        </w:rPr>
        <w:t xml:space="preserve"> </w:t>
      </w:r>
      <w:r w:rsidR="005458E6" w:rsidRPr="00B810DB">
        <w:rPr>
          <w:i/>
          <w:szCs w:val="22"/>
          <w:lang w:val="es-ES"/>
        </w:rPr>
        <w:t>y</w:t>
      </w:r>
    </w:p>
    <w:p w:rsidR="00F2523B" w:rsidRPr="00B810DB" w:rsidRDefault="00F2523B" w:rsidP="00F2523B">
      <w:pPr>
        <w:pStyle w:val="ListParagraph"/>
        <w:tabs>
          <w:tab w:val="left" w:pos="6521"/>
        </w:tabs>
        <w:ind w:left="5954"/>
        <w:rPr>
          <w:i/>
          <w:szCs w:val="22"/>
          <w:lang w:val="es-ES"/>
        </w:rPr>
      </w:pPr>
    </w:p>
    <w:p w:rsidR="00F9681A" w:rsidRPr="00B810DB" w:rsidRDefault="0063007F" w:rsidP="00A15E29">
      <w:pPr>
        <w:pStyle w:val="ListParagraph"/>
        <w:numPr>
          <w:ilvl w:val="0"/>
          <w:numId w:val="32"/>
        </w:numPr>
        <w:tabs>
          <w:tab w:val="left" w:pos="6663"/>
        </w:tabs>
        <w:ind w:left="6096" w:firstLine="0"/>
        <w:rPr>
          <w:i/>
          <w:szCs w:val="22"/>
          <w:lang w:val="es-ES"/>
        </w:rPr>
      </w:pPr>
      <w:r w:rsidRPr="00B810DB">
        <w:rPr>
          <w:i/>
          <w:szCs w:val="22"/>
          <w:lang w:val="es-ES"/>
        </w:rPr>
        <w:t>p</w:t>
      </w:r>
      <w:r w:rsidR="005458E6" w:rsidRPr="00B810DB">
        <w:rPr>
          <w:i/>
          <w:szCs w:val="22"/>
          <w:lang w:val="es-ES"/>
        </w:rPr>
        <w:t>rorrogar el mandato del Grupo de Trabajo con miras a proseguir los debates acerca del desarrollo del Sistema de Lisboa y dar con soluciones para su sostenibilidad financiera</w:t>
      </w:r>
      <w:r w:rsidR="00F2523B" w:rsidRPr="00B810DB">
        <w:rPr>
          <w:i/>
          <w:szCs w:val="22"/>
          <w:lang w:val="es-ES"/>
        </w:rPr>
        <w:t>.</w:t>
      </w:r>
    </w:p>
    <w:p w:rsidR="00F2523B" w:rsidRPr="00B810DB" w:rsidRDefault="00F2523B" w:rsidP="006154B7">
      <w:pPr>
        <w:pStyle w:val="Endofdocument-Annex"/>
        <w:ind w:left="0"/>
        <w:rPr>
          <w:lang w:val="es-ES"/>
        </w:rPr>
      </w:pPr>
    </w:p>
    <w:p w:rsidR="008200C6" w:rsidRPr="00B810DB" w:rsidRDefault="008200C6" w:rsidP="006154B7">
      <w:pPr>
        <w:pStyle w:val="Endofdocument-Annex"/>
        <w:ind w:left="0"/>
        <w:rPr>
          <w:lang w:val="es-ES"/>
        </w:rPr>
      </w:pPr>
    </w:p>
    <w:p w:rsidR="00C904CE" w:rsidRPr="00B810DB" w:rsidRDefault="00C904CE" w:rsidP="006154B7">
      <w:pPr>
        <w:pStyle w:val="Endofdocument-Annex"/>
        <w:ind w:left="0"/>
        <w:rPr>
          <w:lang w:val="es-ES"/>
        </w:rPr>
      </w:pPr>
    </w:p>
    <w:p w:rsidR="002928D3" w:rsidRPr="00786E06" w:rsidRDefault="005458E6" w:rsidP="006154B7">
      <w:pPr>
        <w:pStyle w:val="Endofdocument-Annex"/>
        <w:rPr>
          <w:lang w:val="es-ES"/>
        </w:rPr>
      </w:pPr>
      <w:r w:rsidRPr="00B810DB">
        <w:rPr>
          <w:lang w:val="es-ES"/>
        </w:rPr>
        <w:t>[Fin del</w:t>
      </w:r>
      <w:r w:rsidR="00C904CE" w:rsidRPr="00B810DB">
        <w:rPr>
          <w:lang w:val="es-ES"/>
        </w:rPr>
        <w:t xml:space="preserve"> document</w:t>
      </w:r>
      <w:r w:rsidRPr="00B810DB">
        <w:rPr>
          <w:lang w:val="es-ES"/>
        </w:rPr>
        <w:t>o</w:t>
      </w:r>
      <w:r w:rsidR="00C904CE" w:rsidRPr="00B810DB">
        <w:rPr>
          <w:lang w:val="es-ES"/>
        </w:rPr>
        <w:t>]</w:t>
      </w:r>
    </w:p>
    <w:sectPr w:rsidR="002928D3" w:rsidRPr="00786E06" w:rsidSect="0003546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D1" w:rsidRDefault="004F41D1">
      <w:r>
        <w:separator/>
      </w:r>
    </w:p>
  </w:endnote>
  <w:endnote w:type="continuationSeparator" w:id="0">
    <w:p w:rsidR="004F41D1" w:rsidRDefault="004F41D1" w:rsidP="003B38C1">
      <w:r>
        <w:separator/>
      </w:r>
    </w:p>
    <w:p w:rsidR="004F41D1" w:rsidRPr="003B38C1" w:rsidRDefault="004F41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1D1" w:rsidRPr="003B38C1" w:rsidRDefault="004F41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D1" w:rsidRDefault="004F41D1">
      <w:r>
        <w:separator/>
      </w:r>
    </w:p>
  </w:footnote>
  <w:footnote w:type="continuationSeparator" w:id="0">
    <w:p w:rsidR="004F41D1" w:rsidRDefault="004F41D1" w:rsidP="008B60B2">
      <w:r>
        <w:separator/>
      </w:r>
    </w:p>
    <w:p w:rsidR="004F41D1" w:rsidRPr="00ED77FB" w:rsidRDefault="004F41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1D1" w:rsidRPr="00ED77FB" w:rsidRDefault="004F41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43405" w:rsidRPr="00A15E29" w:rsidRDefault="00643405" w:rsidP="009C4F70">
      <w:pPr>
        <w:pStyle w:val="FootnoteText"/>
        <w:tabs>
          <w:tab w:val="left" w:pos="540"/>
        </w:tabs>
        <w:rPr>
          <w:lang w:val="es-ES"/>
        </w:rPr>
      </w:pPr>
      <w:r>
        <w:rPr>
          <w:rStyle w:val="FootnoteReference"/>
        </w:rPr>
        <w:footnoteRef/>
      </w:r>
      <w:r w:rsidRPr="00A15E29">
        <w:rPr>
          <w:lang w:val="es-ES"/>
        </w:rPr>
        <w:t xml:space="preserve"> </w:t>
      </w:r>
      <w:r w:rsidRPr="00A15E29">
        <w:rPr>
          <w:lang w:val="es-ES"/>
        </w:rPr>
        <w:tab/>
      </w:r>
      <w:r w:rsidR="00786E06" w:rsidRPr="00A15E29">
        <w:rPr>
          <w:lang w:val="es-ES"/>
        </w:rPr>
        <w:t>Véase</w:t>
      </w:r>
      <w:r w:rsidR="00FC2137" w:rsidRPr="00A15E29">
        <w:rPr>
          <w:lang w:val="es-ES"/>
        </w:rPr>
        <w:t xml:space="preserve"> </w:t>
      </w:r>
      <w:r w:rsidR="00FC2137" w:rsidRPr="00A15E29">
        <w:rPr>
          <w:szCs w:val="22"/>
          <w:lang w:val="es-ES"/>
        </w:rPr>
        <w:t>el documento LI/A/32/5,</w:t>
      </w:r>
      <w:r w:rsidR="00786E06" w:rsidRPr="00A15E29">
        <w:rPr>
          <w:lang w:val="es-ES"/>
        </w:rPr>
        <w:t xml:space="preserve"> párrafo</w:t>
      </w:r>
      <w:r w:rsidRPr="00A15E29">
        <w:rPr>
          <w:szCs w:val="22"/>
          <w:lang w:val="es-ES"/>
        </w:rPr>
        <w:t xml:space="preserve"> 73</w:t>
      </w:r>
      <w:r w:rsidR="00786E06" w:rsidRPr="00A15E29">
        <w:rPr>
          <w:szCs w:val="22"/>
          <w:lang w:val="es-ES"/>
        </w:rPr>
        <w:t>.</w:t>
      </w:r>
      <w:r w:rsidRPr="00A15E29">
        <w:rPr>
          <w:szCs w:val="22"/>
          <w:lang w:val="es-ES"/>
        </w:rPr>
        <w:t xml:space="preserve">i) </w:t>
      </w:r>
      <w:r w:rsidR="00786E06" w:rsidRPr="00A15E29">
        <w:rPr>
          <w:szCs w:val="22"/>
          <w:lang w:val="es-ES"/>
        </w:rPr>
        <w:t xml:space="preserve">y </w:t>
      </w:r>
      <w:r w:rsidRPr="00A15E29">
        <w:rPr>
          <w:szCs w:val="22"/>
          <w:lang w:val="es-ES"/>
        </w:rPr>
        <w:t>ii).</w:t>
      </w:r>
    </w:p>
  </w:footnote>
  <w:footnote w:id="3">
    <w:p w:rsidR="00B06822" w:rsidRPr="00A15E29" w:rsidRDefault="00B0682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15E29">
        <w:rPr>
          <w:lang w:val="es-ES"/>
        </w:rPr>
        <w:t xml:space="preserve"> </w:t>
      </w:r>
      <w:r w:rsidR="00EF0B2B" w:rsidRPr="00A15E29">
        <w:rPr>
          <w:lang w:val="es-ES"/>
        </w:rPr>
        <w:tab/>
      </w:r>
      <w:r w:rsidR="0092047A" w:rsidRPr="00D9589E">
        <w:rPr>
          <w:lang w:val="es-ES"/>
        </w:rPr>
        <w:t>Nota de edición</w:t>
      </w:r>
      <w:r w:rsidR="0086416A" w:rsidRPr="00D9589E">
        <w:rPr>
          <w:lang w:val="es-ES"/>
        </w:rPr>
        <w:t xml:space="preserve">:  </w:t>
      </w:r>
      <w:r w:rsidR="0092047A" w:rsidRPr="00D9589E">
        <w:rPr>
          <w:lang w:val="es-ES"/>
        </w:rPr>
        <w:t xml:space="preserve">se refiere al Grupo de Trabajo encargado de preparar el Reglamento Común del Arreglo de Lisboa y del Acta de Ginebra del Arreglo de Lisboa </w:t>
      </w:r>
      <w:r w:rsidRPr="00D9589E">
        <w:rPr>
          <w:lang w:val="es-ES"/>
        </w:rPr>
        <w:t>(</w:t>
      </w:r>
      <w:r w:rsidR="0092047A" w:rsidRPr="00D9589E">
        <w:rPr>
          <w:lang w:val="es-ES"/>
        </w:rPr>
        <w:t xml:space="preserve">en </w:t>
      </w:r>
      <w:r w:rsidR="00D9589E" w:rsidRPr="00D9589E">
        <w:rPr>
          <w:lang w:val="es-ES"/>
        </w:rPr>
        <w:t>Adelante, “el Grupo de Trabajo”)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E06406">
        <w:pPr>
          <w:pStyle w:val="Header"/>
          <w:jc w:val="right"/>
        </w:pPr>
        <w:r>
          <w:t>LI/A/34</w:t>
        </w:r>
        <w:r w:rsidR="00035466">
          <w:t>/</w:t>
        </w:r>
        <w:r w:rsidR="006E7F9F">
          <w:t>3</w:t>
        </w:r>
      </w:p>
      <w:p w:rsidR="00035466" w:rsidRDefault="00F474C2">
        <w:pPr>
          <w:pStyle w:val="Header"/>
          <w:jc w:val="right"/>
          <w:rPr>
            <w:noProof/>
          </w:rPr>
        </w:pPr>
        <w:r>
          <w:t>página</w:t>
        </w:r>
        <w:r w:rsidR="00035466">
          <w:t xml:space="preserve"> </w:t>
        </w:r>
        <w:r w:rsidR="00035466">
          <w:fldChar w:fldCharType="begin"/>
        </w:r>
        <w:r w:rsidR="00035466">
          <w:instrText xml:space="preserve"> PAGE   \* MERGEFORMAT </w:instrText>
        </w:r>
        <w:r w:rsidR="00035466">
          <w:fldChar w:fldCharType="separate"/>
        </w:r>
        <w:r w:rsidR="0054775B">
          <w:rPr>
            <w:noProof/>
          </w:rPr>
          <w:t>2</w:t>
        </w:r>
        <w:r w:rsidR="00035466">
          <w:rPr>
            <w:noProof/>
          </w:rPr>
          <w:fldChar w:fldCharType="end"/>
        </w:r>
      </w:p>
      <w:p w:rsidR="00035466" w:rsidRDefault="0054775B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D64004"/>
    <w:multiLevelType w:val="hybridMultilevel"/>
    <w:tmpl w:val="1E5E735E"/>
    <w:lvl w:ilvl="0" w:tplc="7B0E38C2">
      <w:start w:val="1"/>
      <w:numFmt w:val="lowerRoman"/>
      <w:lvlText w:val="%1)"/>
      <w:lvlJc w:val="left"/>
      <w:pPr>
        <w:ind w:left="576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0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2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2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3"/>
  </w:num>
  <w:num w:numId="28">
    <w:abstractNumId w:val="26"/>
  </w:num>
  <w:num w:numId="29">
    <w:abstractNumId w:val="28"/>
  </w:num>
  <w:num w:numId="30">
    <w:abstractNumId w:val="16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04487"/>
    <w:rsid w:val="00011515"/>
    <w:rsid w:val="000116C3"/>
    <w:rsid w:val="00012377"/>
    <w:rsid w:val="00034A86"/>
    <w:rsid w:val="00035466"/>
    <w:rsid w:val="00035E6A"/>
    <w:rsid w:val="000376C4"/>
    <w:rsid w:val="00041445"/>
    <w:rsid w:val="00042BA6"/>
    <w:rsid w:val="00043CAA"/>
    <w:rsid w:val="00045F57"/>
    <w:rsid w:val="00057564"/>
    <w:rsid w:val="0005769E"/>
    <w:rsid w:val="00066D55"/>
    <w:rsid w:val="00075432"/>
    <w:rsid w:val="00076F4F"/>
    <w:rsid w:val="00082836"/>
    <w:rsid w:val="00082DB2"/>
    <w:rsid w:val="00084376"/>
    <w:rsid w:val="000844A2"/>
    <w:rsid w:val="000968ED"/>
    <w:rsid w:val="000A13E9"/>
    <w:rsid w:val="000A7EB5"/>
    <w:rsid w:val="000B29F3"/>
    <w:rsid w:val="000B3177"/>
    <w:rsid w:val="000B34F6"/>
    <w:rsid w:val="000C1054"/>
    <w:rsid w:val="000C450B"/>
    <w:rsid w:val="000D5CD3"/>
    <w:rsid w:val="000F5340"/>
    <w:rsid w:val="000F5E56"/>
    <w:rsid w:val="000F7BE9"/>
    <w:rsid w:val="00101AB4"/>
    <w:rsid w:val="001020EE"/>
    <w:rsid w:val="00102ABA"/>
    <w:rsid w:val="00105F7B"/>
    <w:rsid w:val="0010624A"/>
    <w:rsid w:val="00111974"/>
    <w:rsid w:val="00115AC9"/>
    <w:rsid w:val="00127BE1"/>
    <w:rsid w:val="0013387E"/>
    <w:rsid w:val="00133F1D"/>
    <w:rsid w:val="001362EE"/>
    <w:rsid w:val="00173B71"/>
    <w:rsid w:val="001740F4"/>
    <w:rsid w:val="00181C6A"/>
    <w:rsid w:val="001832A6"/>
    <w:rsid w:val="001879CD"/>
    <w:rsid w:val="00197487"/>
    <w:rsid w:val="001A0E16"/>
    <w:rsid w:val="001A7603"/>
    <w:rsid w:val="001B0811"/>
    <w:rsid w:val="001C1A60"/>
    <w:rsid w:val="001C3E79"/>
    <w:rsid w:val="001E110E"/>
    <w:rsid w:val="001E6F3D"/>
    <w:rsid w:val="001F1156"/>
    <w:rsid w:val="001F312A"/>
    <w:rsid w:val="00201766"/>
    <w:rsid w:val="00234DCC"/>
    <w:rsid w:val="00244071"/>
    <w:rsid w:val="00244D0A"/>
    <w:rsid w:val="002518BC"/>
    <w:rsid w:val="0026187D"/>
    <w:rsid w:val="00262B88"/>
    <w:rsid w:val="002634C4"/>
    <w:rsid w:val="00281A06"/>
    <w:rsid w:val="00284F62"/>
    <w:rsid w:val="00291913"/>
    <w:rsid w:val="002928D3"/>
    <w:rsid w:val="002A661C"/>
    <w:rsid w:val="002A7E97"/>
    <w:rsid w:val="002B02CC"/>
    <w:rsid w:val="002C236F"/>
    <w:rsid w:val="002C74B9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22C43"/>
    <w:rsid w:val="00335537"/>
    <w:rsid w:val="00345EB6"/>
    <w:rsid w:val="00362DC0"/>
    <w:rsid w:val="003673CF"/>
    <w:rsid w:val="00383C6E"/>
    <w:rsid w:val="003845C1"/>
    <w:rsid w:val="00396162"/>
    <w:rsid w:val="00396B4F"/>
    <w:rsid w:val="00397EB8"/>
    <w:rsid w:val="003A12E7"/>
    <w:rsid w:val="003A6F89"/>
    <w:rsid w:val="003B1C12"/>
    <w:rsid w:val="003B3110"/>
    <w:rsid w:val="003B38C1"/>
    <w:rsid w:val="003B5A52"/>
    <w:rsid w:val="003B5B6C"/>
    <w:rsid w:val="003C0C49"/>
    <w:rsid w:val="003D1C41"/>
    <w:rsid w:val="003D3031"/>
    <w:rsid w:val="003E0C09"/>
    <w:rsid w:val="003E551C"/>
    <w:rsid w:val="003F2FC0"/>
    <w:rsid w:val="004065B0"/>
    <w:rsid w:val="00412C7A"/>
    <w:rsid w:val="00414BDF"/>
    <w:rsid w:val="0042063D"/>
    <w:rsid w:val="00423E3E"/>
    <w:rsid w:val="00424059"/>
    <w:rsid w:val="00427AF4"/>
    <w:rsid w:val="004400E2"/>
    <w:rsid w:val="00442FCC"/>
    <w:rsid w:val="00454E79"/>
    <w:rsid w:val="00460EDE"/>
    <w:rsid w:val="004647DA"/>
    <w:rsid w:val="00471428"/>
    <w:rsid w:val="00474062"/>
    <w:rsid w:val="00477D6B"/>
    <w:rsid w:val="00481EE0"/>
    <w:rsid w:val="00490192"/>
    <w:rsid w:val="0049267B"/>
    <w:rsid w:val="004A7D83"/>
    <w:rsid w:val="004B0A65"/>
    <w:rsid w:val="004B3B8C"/>
    <w:rsid w:val="004B739A"/>
    <w:rsid w:val="004C6C18"/>
    <w:rsid w:val="004D3574"/>
    <w:rsid w:val="004D38D9"/>
    <w:rsid w:val="004E7CFF"/>
    <w:rsid w:val="004F41D1"/>
    <w:rsid w:val="00506ED5"/>
    <w:rsid w:val="00507E62"/>
    <w:rsid w:val="00511279"/>
    <w:rsid w:val="00511392"/>
    <w:rsid w:val="0051392C"/>
    <w:rsid w:val="00514511"/>
    <w:rsid w:val="0051799B"/>
    <w:rsid w:val="00517A28"/>
    <w:rsid w:val="005218C3"/>
    <w:rsid w:val="0052195A"/>
    <w:rsid w:val="0053057A"/>
    <w:rsid w:val="005315A9"/>
    <w:rsid w:val="00536FEE"/>
    <w:rsid w:val="005458E6"/>
    <w:rsid w:val="0054775B"/>
    <w:rsid w:val="00560A29"/>
    <w:rsid w:val="00581306"/>
    <w:rsid w:val="00585963"/>
    <w:rsid w:val="00585C0C"/>
    <w:rsid w:val="005B3204"/>
    <w:rsid w:val="005B7363"/>
    <w:rsid w:val="005C121F"/>
    <w:rsid w:val="005C2F0C"/>
    <w:rsid w:val="005C53A5"/>
    <w:rsid w:val="005D2E8D"/>
    <w:rsid w:val="005E3F28"/>
    <w:rsid w:val="005E7A29"/>
    <w:rsid w:val="00602D16"/>
    <w:rsid w:val="00604B3D"/>
    <w:rsid w:val="00605827"/>
    <w:rsid w:val="006154B7"/>
    <w:rsid w:val="00616F08"/>
    <w:rsid w:val="0063007F"/>
    <w:rsid w:val="00634A32"/>
    <w:rsid w:val="00643405"/>
    <w:rsid w:val="00646050"/>
    <w:rsid w:val="00646B74"/>
    <w:rsid w:val="006475E0"/>
    <w:rsid w:val="00664227"/>
    <w:rsid w:val="00664EA2"/>
    <w:rsid w:val="00670529"/>
    <w:rsid w:val="006713CA"/>
    <w:rsid w:val="00676C5C"/>
    <w:rsid w:val="00683BF5"/>
    <w:rsid w:val="00686840"/>
    <w:rsid w:val="00691862"/>
    <w:rsid w:val="006A37FA"/>
    <w:rsid w:val="006A41E9"/>
    <w:rsid w:val="006A7859"/>
    <w:rsid w:val="006C62C8"/>
    <w:rsid w:val="006D0CF0"/>
    <w:rsid w:val="006E26D6"/>
    <w:rsid w:val="006E7F9F"/>
    <w:rsid w:val="006F206B"/>
    <w:rsid w:val="007058FB"/>
    <w:rsid w:val="00710904"/>
    <w:rsid w:val="00710D99"/>
    <w:rsid w:val="00710E59"/>
    <w:rsid w:val="007116FA"/>
    <w:rsid w:val="00712486"/>
    <w:rsid w:val="00716DFF"/>
    <w:rsid w:val="007325CD"/>
    <w:rsid w:val="00734C05"/>
    <w:rsid w:val="007375FC"/>
    <w:rsid w:val="00747149"/>
    <w:rsid w:val="00757EBF"/>
    <w:rsid w:val="00772750"/>
    <w:rsid w:val="00786E06"/>
    <w:rsid w:val="00787A91"/>
    <w:rsid w:val="007A045E"/>
    <w:rsid w:val="007A30C7"/>
    <w:rsid w:val="007A4A3B"/>
    <w:rsid w:val="007A56C0"/>
    <w:rsid w:val="007A58C7"/>
    <w:rsid w:val="007B0838"/>
    <w:rsid w:val="007B6A58"/>
    <w:rsid w:val="007C75CD"/>
    <w:rsid w:val="007C7998"/>
    <w:rsid w:val="007D1613"/>
    <w:rsid w:val="007D16E8"/>
    <w:rsid w:val="007D2DC8"/>
    <w:rsid w:val="007D5BA3"/>
    <w:rsid w:val="007F1249"/>
    <w:rsid w:val="00800288"/>
    <w:rsid w:val="00812533"/>
    <w:rsid w:val="00813B7B"/>
    <w:rsid w:val="0081630E"/>
    <w:rsid w:val="008200C6"/>
    <w:rsid w:val="00826BA7"/>
    <w:rsid w:val="0084346F"/>
    <w:rsid w:val="00846F47"/>
    <w:rsid w:val="00851E54"/>
    <w:rsid w:val="0085527A"/>
    <w:rsid w:val="00860345"/>
    <w:rsid w:val="0086416A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D20FD"/>
    <w:rsid w:val="008D25D5"/>
    <w:rsid w:val="008D5950"/>
    <w:rsid w:val="008E0257"/>
    <w:rsid w:val="008E0C27"/>
    <w:rsid w:val="008F0A22"/>
    <w:rsid w:val="008F47C3"/>
    <w:rsid w:val="0090731E"/>
    <w:rsid w:val="00916EE2"/>
    <w:rsid w:val="00916F33"/>
    <w:rsid w:val="009171F0"/>
    <w:rsid w:val="0092047A"/>
    <w:rsid w:val="0094735C"/>
    <w:rsid w:val="00954AFE"/>
    <w:rsid w:val="00955707"/>
    <w:rsid w:val="00961511"/>
    <w:rsid w:val="00961F04"/>
    <w:rsid w:val="009648D3"/>
    <w:rsid w:val="00966A22"/>
    <w:rsid w:val="0096722F"/>
    <w:rsid w:val="00980843"/>
    <w:rsid w:val="00980F5F"/>
    <w:rsid w:val="0098740B"/>
    <w:rsid w:val="00987D75"/>
    <w:rsid w:val="009C205B"/>
    <w:rsid w:val="009C4F70"/>
    <w:rsid w:val="009E0B3B"/>
    <w:rsid w:val="009E2791"/>
    <w:rsid w:val="009E36A0"/>
    <w:rsid w:val="009E3F6F"/>
    <w:rsid w:val="009E5174"/>
    <w:rsid w:val="009E5710"/>
    <w:rsid w:val="009E7591"/>
    <w:rsid w:val="009F499F"/>
    <w:rsid w:val="009F6431"/>
    <w:rsid w:val="00A07491"/>
    <w:rsid w:val="00A15E29"/>
    <w:rsid w:val="00A30D07"/>
    <w:rsid w:val="00A30F03"/>
    <w:rsid w:val="00A34B85"/>
    <w:rsid w:val="00A35E25"/>
    <w:rsid w:val="00A3704D"/>
    <w:rsid w:val="00A376A4"/>
    <w:rsid w:val="00A40D5B"/>
    <w:rsid w:val="00A42DAF"/>
    <w:rsid w:val="00A430B4"/>
    <w:rsid w:val="00A45BD8"/>
    <w:rsid w:val="00A47A76"/>
    <w:rsid w:val="00A561CC"/>
    <w:rsid w:val="00A64096"/>
    <w:rsid w:val="00A85B8E"/>
    <w:rsid w:val="00A9719D"/>
    <w:rsid w:val="00AA1B26"/>
    <w:rsid w:val="00AA2311"/>
    <w:rsid w:val="00AA440C"/>
    <w:rsid w:val="00AC09B1"/>
    <w:rsid w:val="00AC205C"/>
    <w:rsid w:val="00AD0175"/>
    <w:rsid w:val="00AD01AD"/>
    <w:rsid w:val="00B02909"/>
    <w:rsid w:val="00B0396B"/>
    <w:rsid w:val="00B05A69"/>
    <w:rsid w:val="00B06822"/>
    <w:rsid w:val="00B06DCC"/>
    <w:rsid w:val="00B14184"/>
    <w:rsid w:val="00B1573A"/>
    <w:rsid w:val="00B2126C"/>
    <w:rsid w:val="00B348F4"/>
    <w:rsid w:val="00B35FB8"/>
    <w:rsid w:val="00B36837"/>
    <w:rsid w:val="00B4061F"/>
    <w:rsid w:val="00B52235"/>
    <w:rsid w:val="00B63F1E"/>
    <w:rsid w:val="00B6786E"/>
    <w:rsid w:val="00B703B3"/>
    <w:rsid w:val="00B7043D"/>
    <w:rsid w:val="00B810DB"/>
    <w:rsid w:val="00B82795"/>
    <w:rsid w:val="00B85256"/>
    <w:rsid w:val="00B85B7B"/>
    <w:rsid w:val="00B92981"/>
    <w:rsid w:val="00B93E5C"/>
    <w:rsid w:val="00B957D4"/>
    <w:rsid w:val="00B9734B"/>
    <w:rsid w:val="00B97F1D"/>
    <w:rsid w:val="00BA56E1"/>
    <w:rsid w:val="00BB0AD1"/>
    <w:rsid w:val="00BB3CAB"/>
    <w:rsid w:val="00BC4BA0"/>
    <w:rsid w:val="00BC5EE9"/>
    <w:rsid w:val="00BD54CD"/>
    <w:rsid w:val="00BE0109"/>
    <w:rsid w:val="00BE4D83"/>
    <w:rsid w:val="00BF5FD7"/>
    <w:rsid w:val="00C11BFE"/>
    <w:rsid w:val="00C128C1"/>
    <w:rsid w:val="00C12D8A"/>
    <w:rsid w:val="00C13BF0"/>
    <w:rsid w:val="00C27B3D"/>
    <w:rsid w:val="00C41F9A"/>
    <w:rsid w:val="00C47886"/>
    <w:rsid w:val="00C613B2"/>
    <w:rsid w:val="00C63D91"/>
    <w:rsid w:val="00C63F20"/>
    <w:rsid w:val="00C76CD9"/>
    <w:rsid w:val="00C847C0"/>
    <w:rsid w:val="00C856B1"/>
    <w:rsid w:val="00C85A05"/>
    <w:rsid w:val="00C904CE"/>
    <w:rsid w:val="00C94629"/>
    <w:rsid w:val="00CB4460"/>
    <w:rsid w:val="00CC6841"/>
    <w:rsid w:val="00CE0386"/>
    <w:rsid w:val="00CE5DEF"/>
    <w:rsid w:val="00CF3374"/>
    <w:rsid w:val="00CF58A5"/>
    <w:rsid w:val="00CF5981"/>
    <w:rsid w:val="00CF7FD9"/>
    <w:rsid w:val="00D0136A"/>
    <w:rsid w:val="00D13F33"/>
    <w:rsid w:val="00D17E1B"/>
    <w:rsid w:val="00D25DD5"/>
    <w:rsid w:val="00D30A71"/>
    <w:rsid w:val="00D33520"/>
    <w:rsid w:val="00D45252"/>
    <w:rsid w:val="00D462A6"/>
    <w:rsid w:val="00D47AF0"/>
    <w:rsid w:val="00D51946"/>
    <w:rsid w:val="00D548EA"/>
    <w:rsid w:val="00D567EA"/>
    <w:rsid w:val="00D60D6D"/>
    <w:rsid w:val="00D71B4D"/>
    <w:rsid w:val="00D84C5F"/>
    <w:rsid w:val="00D911FB"/>
    <w:rsid w:val="00D93D55"/>
    <w:rsid w:val="00D9589E"/>
    <w:rsid w:val="00DA5393"/>
    <w:rsid w:val="00DA6DAE"/>
    <w:rsid w:val="00DA79B8"/>
    <w:rsid w:val="00DB75A5"/>
    <w:rsid w:val="00DC24D7"/>
    <w:rsid w:val="00DC756A"/>
    <w:rsid w:val="00DD5818"/>
    <w:rsid w:val="00DD7A35"/>
    <w:rsid w:val="00DE7089"/>
    <w:rsid w:val="00DE7C18"/>
    <w:rsid w:val="00E06406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A0F21"/>
    <w:rsid w:val="00EC415F"/>
    <w:rsid w:val="00EC446F"/>
    <w:rsid w:val="00EC4E49"/>
    <w:rsid w:val="00ED77FB"/>
    <w:rsid w:val="00EE0AD5"/>
    <w:rsid w:val="00EE730F"/>
    <w:rsid w:val="00EF0B2B"/>
    <w:rsid w:val="00EF2917"/>
    <w:rsid w:val="00EF6AA9"/>
    <w:rsid w:val="00F021A6"/>
    <w:rsid w:val="00F12FEF"/>
    <w:rsid w:val="00F14767"/>
    <w:rsid w:val="00F2169B"/>
    <w:rsid w:val="00F251A0"/>
    <w:rsid w:val="00F2523B"/>
    <w:rsid w:val="00F25CE1"/>
    <w:rsid w:val="00F27670"/>
    <w:rsid w:val="00F310D8"/>
    <w:rsid w:val="00F3313F"/>
    <w:rsid w:val="00F40386"/>
    <w:rsid w:val="00F45345"/>
    <w:rsid w:val="00F474C2"/>
    <w:rsid w:val="00F502CC"/>
    <w:rsid w:val="00F519D5"/>
    <w:rsid w:val="00F61BDF"/>
    <w:rsid w:val="00F66152"/>
    <w:rsid w:val="00F67CD4"/>
    <w:rsid w:val="00F85D63"/>
    <w:rsid w:val="00F91B1D"/>
    <w:rsid w:val="00F9681A"/>
    <w:rsid w:val="00FA5213"/>
    <w:rsid w:val="00FB7388"/>
    <w:rsid w:val="00FC08D3"/>
    <w:rsid w:val="00FC1E96"/>
    <w:rsid w:val="00FC2137"/>
    <w:rsid w:val="00FC3D1F"/>
    <w:rsid w:val="00FD2A73"/>
    <w:rsid w:val="00FD318C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2C58-83FE-4092-8B5B-1CC1FA57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LI/A/34/3</vt:lpstr>
    </vt:vector>
  </TitlesOfParts>
  <Company>WIPO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LI/A/34/3</dc:title>
  <dc:creator>KONTA</dc:creator>
  <dc:description>MH (correcciones) - 27.6.2017</dc:description>
  <cp:lastModifiedBy>DORE Marie-Pierre</cp:lastModifiedBy>
  <cp:revision>2</cp:revision>
  <cp:lastPrinted>2017-06-20T10:23:00Z</cp:lastPrinted>
  <dcterms:created xsi:type="dcterms:W3CDTF">2017-06-29T06:55:00Z</dcterms:created>
  <dcterms:modified xsi:type="dcterms:W3CDTF">2017-06-29T06:55:00Z</dcterms:modified>
</cp:coreProperties>
</file>