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2334E7" w:rsidRPr="002334E7" w:rsidTr="00A7453D">
        <w:tc>
          <w:tcPr>
            <w:tcW w:w="4513" w:type="dxa"/>
            <w:tcBorders>
              <w:bottom w:val="single" w:sz="4" w:space="0" w:color="auto"/>
            </w:tcBorders>
            <w:tcMar>
              <w:bottom w:w="170" w:type="dxa"/>
            </w:tcMar>
          </w:tcPr>
          <w:p w:rsidR="00E504E5" w:rsidRPr="002334E7" w:rsidRDefault="00E504E5" w:rsidP="00AB613D"/>
        </w:tc>
        <w:tc>
          <w:tcPr>
            <w:tcW w:w="4337" w:type="dxa"/>
            <w:tcBorders>
              <w:bottom w:val="single" w:sz="4" w:space="0" w:color="auto"/>
            </w:tcBorders>
            <w:tcMar>
              <w:left w:w="0" w:type="dxa"/>
              <w:right w:w="0" w:type="dxa"/>
            </w:tcMar>
          </w:tcPr>
          <w:p w:rsidR="00E504E5" w:rsidRPr="002334E7" w:rsidRDefault="00484FD8" w:rsidP="00AB613D">
            <w:r w:rsidRPr="002334E7">
              <w:rPr>
                <w:noProof/>
                <w:lang w:val="en-US" w:eastAsia="en-US"/>
              </w:rPr>
              <w:drawing>
                <wp:inline distT="0" distB="0" distL="0" distR="0" wp14:anchorId="028433BF" wp14:editId="24C1DC1D">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2334E7" w:rsidRDefault="00E504E5" w:rsidP="00AB613D">
            <w:pPr>
              <w:jc w:val="right"/>
            </w:pPr>
            <w:r w:rsidRPr="002334E7">
              <w:rPr>
                <w:b/>
                <w:sz w:val="40"/>
                <w:szCs w:val="40"/>
              </w:rPr>
              <w:t>S</w:t>
            </w:r>
          </w:p>
        </w:tc>
      </w:tr>
      <w:tr w:rsidR="002334E7" w:rsidRPr="002334E7"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2334E7" w:rsidRDefault="00484FD8" w:rsidP="00484FD8">
            <w:pPr>
              <w:jc w:val="right"/>
              <w:rPr>
                <w:rFonts w:ascii="Arial Black" w:hAnsi="Arial Black"/>
                <w:caps/>
                <w:sz w:val="15"/>
              </w:rPr>
            </w:pPr>
            <w:r w:rsidRPr="002334E7">
              <w:rPr>
                <w:rFonts w:ascii="Arial Black" w:hAnsi="Arial Black"/>
                <w:caps/>
                <w:sz w:val="15"/>
              </w:rPr>
              <w:t>LI/A/32/</w:t>
            </w:r>
            <w:bookmarkStart w:id="0" w:name="Code"/>
            <w:bookmarkEnd w:id="0"/>
            <w:r w:rsidR="005C4477" w:rsidRPr="002334E7">
              <w:rPr>
                <w:rFonts w:ascii="Arial Black" w:hAnsi="Arial Black"/>
                <w:caps/>
                <w:sz w:val="15"/>
              </w:rPr>
              <w:t>2</w:t>
            </w:r>
          </w:p>
        </w:tc>
      </w:tr>
      <w:tr w:rsidR="002334E7" w:rsidRPr="002334E7" w:rsidTr="00AB613D">
        <w:trPr>
          <w:trHeight w:hRule="exact" w:val="170"/>
        </w:trPr>
        <w:tc>
          <w:tcPr>
            <w:tcW w:w="9356" w:type="dxa"/>
            <w:gridSpan w:val="3"/>
            <w:noWrap/>
            <w:tcMar>
              <w:left w:w="0" w:type="dxa"/>
              <w:right w:w="0" w:type="dxa"/>
            </w:tcMar>
            <w:vAlign w:val="bottom"/>
          </w:tcPr>
          <w:p w:rsidR="008B2CC1" w:rsidRPr="002334E7" w:rsidRDefault="008B2CC1" w:rsidP="00AB613D">
            <w:pPr>
              <w:jc w:val="right"/>
              <w:rPr>
                <w:rFonts w:ascii="Arial Black" w:hAnsi="Arial Black"/>
                <w:caps/>
                <w:sz w:val="15"/>
              </w:rPr>
            </w:pPr>
            <w:r w:rsidRPr="002334E7">
              <w:rPr>
                <w:rFonts w:ascii="Arial Black" w:hAnsi="Arial Black"/>
                <w:caps/>
                <w:sz w:val="15"/>
              </w:rPr>
              <w:t>ORIGINAL:</w:t>
            </w:r>
            <w:r w:rsidR="00F84474" w:rsidRPr="002334E7">
              <w:rPr>
                <w:rFonts w:ascii="Arial Black" w:hAnsi="Arial Black"/>
                <w:caps/>
                <w:sz w:val="15"/>
              </w:rPr>
              <w:t xml:space="preserve"> </w:t>
            </w:r>
            <w:r w:rsidRPr="002334E7">
              <w:rPr>
                <w:rFonts w:ascii="Arial Black" w:hAnsi="Arial Black"/>
                <w:caps/>
                <w:sz w:val="15"/>
              </w:rPr>
              <w:t xml:space="preserve"> </w:t>
            </w:r>
            <w:bookmarkStart w:id="1" w:name="Original"/>
            <w:bookmarkEnd w:id="1"/>
            <w:r w:rsidR="005C4477" w:rsidRPr="002334E7">
              <w:rPr>
                <w:rFonts w:ascii="Arial Black" w:hAnsi="Arial Black"/>
                <w:caps/>
                <w:sz w:val="15"/>
              </w:rPr>
              <w:t>inglés</w:t>
            </w:r>
          </w:p>
        </w:tc>
      </w:tr>
      <w:tr w:rsidR="008B2CC1" w:rsidRPr="002334E7" w:rsidTr="00AB613D">
        <w:trPr>
          <w:trHeight w:hRule="exact" w:val="198"/>
        </w:trPr>
        <w:tc>
          <w:tcPr>
            <w:tcW w:w="9356" w:type="dxa"/>
            <w:gridSpan w:val="3"/>
            <w:tcMar>
              <w:left w:w="0" w:type="dxa"/>
              <w:right w:w="0" w:type="dxa"/>
            </w:tcMar>
            <w:vAlign w:val="bottom"/>
          </w:tcPr>
          <w:p w:rsidR="008B2CC1" w:rsidRPr="002334E7" w:rsidRDefault="00675021" w:rsidP="00AB613D">
            <w:pPr>
              <w:jc w:val="right"/>
              <w:rPr>
                <w:rFonts w:ascii="Arial Black" w:hAnsi="Arial Black"/>
                <w:caps/>
                <w:sz w:val="15"/>
              </w:rPr>
            </w:pPr>
            <w:r w:rsidRPr="002334E7">
              <w:rPr>
                <w:rFonts w:ascii="Arial Black" w:hAnsi="Arial Black"/>
                <w:caps/>
                <w:sz w:val="15"/>
              </w:rPr>
              <w:t>fecha</w:t>
            </w:r>
            <w:r w:rsidR="008B2CC1" w:rsidRPr="002334E7">
              <w:rPr>
                <w:rFonts w:ascii="Arial Black" w:hAnsi="Arial Black"/>
                <w:caps/>
                <w:sz w:val="15"/>
              </w:rPr>
              <w:t>:</w:t>
            </w:r>
            <w:r w:rsidR="00F84474" w:rsidRPr="002334E7">
              <w:rPr>
                <w:rFonts w:ascii="Arial Black" w:hAnsi="Arial Black"/>
                <w:caps/>
                <w:sz w:val="15"/>
              </w:rPr>
              <w:t xml:space="preserve"> </w:t>
            </w:r>
            <w:r w:rsidR="008B2CC1" w:rsidRPr="002334E7">
              <w:rPr>
                <w:rFonts w:ascii="Arial Black" w:hAnsi="Arial Black"/>
                <w:caps/>
                <w:sz w:val="15"/>
              </w:rPr>
              <w:t xml:space="preserve"> </w:t>
            </w:r>
            <w:bookmarkStart w:id="2" w:name="Date"/>
            <w:bookmarkEnd w:id="2"/>
            <w:r w:rsidR="005C4477" w:rsidRPr="002334E7">
              <w:rPr>
                <w:rFonts w:ascii="Arial Black" w:hAnsi="Arial Black"/>
                <w:caps/>
                <w:sz w:val="15"/>
              </w:rPr>
              <w:t>19 de agosto de 2015</w:t>
            </w:r>
          </w:p>
        </w:tc>
      </w:tr>
    </w:tbl>
    <w:p w:rsidR="009160E5" w:rsidRPr="002334E7" w:rsidRDefault="009160E5" w:rsidP="008B2CC1"/>
    <w:p w:rsidR="009160E5" w:rsidRPr="002334E7" w:rsidRDefault="009160E5" w:rsidP="008B2CC1"/>
    <w:p w:rsidR="009160E5" w:rsidRPr="002334E7" w:rsidRDefault="009160E5" w:rsidP="008B2CC1"/>
    <w:p w:rsidR="009160E5" w:rsidRPr="002334E7" w:rsidRDefault="009160E5" w:rsidP="008B2CC1"/>
    <w:p w:rsidR="009160E5" w:rsidRPr="002334E7" w:rsidRDefault="009160E5" w:rsidP="008B2CC1"/>
    <w:p w:rsidR="009160E5" w:rsidRPr="002334E7" w:rsidRDefault="00CC771F" w:rsidP="008B2CC1">
      <w:pPr>
        <w:rPr>
          <w:b/>
          <w:sz w:val="28"/>
          <w:szCs w:val="28"/>
        </w:rPr>
      </w:pPr>
      <w:r w:rsidRPr="002334E7">
        <w:rPr>
          <w:b/>
          <w:sz w:val="28"/>
          <w:szCs w:val="28"/>
        </w:rPr>
        <w:t>Unión p</w:t>
      </w:r>
      <w:r w:rsidR="00484FD8" w:rsidRPr="002334E7">
        <w:rPr>
          <w:b/>
          <w:sz w:val="28"/>
          <w:szCs w:val="28"/>
        </w:rPr>
        <w:t>articular para la Protección de las Denominaciones de Origen y su Registro Internacional (Unión de Lisboa)</w:t>
      </w:r>
    </w:p>
    <w:p w:rsidR="009160E5" w:rsidRPr="002334E7" w:rsidRDefault="009160E5" w:rsidP="003845C1"/>
    <w:p w:rsidR="009160E5" w:rsidRPr="002334E7" w:rsidRDefault="009160E5" w:rsidP="003845C1"/>
    <w:p w:rsidR="009160E5" w:rsidRPr="002334E7" w:rsidRDefault="001C4DD3" w:rsidP="003845C1">
      <w:pPr>
        <w:rPr>
          <w:b/>
          <w:sz w:val="28"/>
          <w:szCs w:val="28"/>
        </w:rPr>
      </w:pPr>
      <w:r w:rsidRPr="002334E7">
        <w:rPr>
          <w:b/>
          <w:sz w:val="28"/>
          <w:szCs w:val="28"/>
        </w:rPr>
        <w:t>Asamblea</w:t>
      </w:r>
    </w:p>
    <w:p w:rsidR="009160E5" w:rsidRPr="002334E7" w:rsidRDefault="009160E5" w:rsidP="003845C1"/>
    <w:p w:rsidR="009160E5" w:rsidRPr="002334E7" w:rsidRDefault="009160E5" w:rsidP="003845C1"/>
    <w:p w:rsidR="009160E5" w:rsidRPr="002334E7" w:rsidRDefault="00484FD8" w:rsidP="00484FD8">
      <w:pPr>
        <w:rPr>
          <w:b/>
          <w:sz w:val="24"/>
          <w:szCs w:val="24"/>
        </w:rPr>
      </w:pPr>
      <w:r w:rsidRPr="002334E7">
        <w:rPr>
          <w:b/>
          <w:sz w:val="24"/>
          <w:szCs w:val="24"/>
        </w:rPr>
        <w:t>Trigésimo segundo período de sesiones (21° ordinario)</w:t>
      </w:r>
    </w:p>
    <w:p w:rsidR="009160E5" w:rsidRPr="002334E7" w:rsidRDefault="00484FD8" w:rsidP="00484FD8">
      <w:pPr>
        <w:rPr>
          <w:b/>
          <w:sz w:val="24"/>
          <w:szCs w:val="24"/>
        </w:rPr>
      </w:pPr>
      <w:r w:rsidRPr="002334E7">
        <w:rPr>
          <w:b/>
          <w:sz w:val="24"/>
          <w:szCs w:val="24"/>
        </w:rPr>
        <w:t>Ginebra, 5 a 14 de octubre de 2015</w:t>
      </w:r>
    </w:p>
    <w:p w:rsidR="009160E5" w:rsidRPr="002334E7" w:rsidRDefault="009160E5" w:rsidP="008B2CC1"/>
    <w:p w:rsidR="009160E5" w:rsidRPr="002334E7" w:rsidRDefault="009160E5" w:rsidP="008B2CC1"/>
    <w:p w:rsidR="009160E5" w:rsidRPr="002334E7" w:rsidRDefault="009160E5" w:rsidP="008B2CC1"/>
    <w:p w:rsidR="009160E5" w:rsidRPr="002334E7" w:rsidRDefault="005C4477" w:rsidP="008B2CC1">
      <w:pPr>
        <w:rPr>
          <w:caps/>
          <w:sz w:val="24"/>
        </w:rPr>
      </w:pPr>
      <w:bookmarkStart w:id="3" w:name="TitleOfDoc"/>
      <w:bookmarkEnd w:id="3"/>
      <w:r w:rsidRPr="002334E7">
        <w:rPr>
          <w:caps/>
          <w:sz w:val="24"/>
        </w:rPr>
        <w:t>Propuesta de actualización de la tabla de tasas EN EL MARCO DE la Regla 23 del Reglamento del Arreglo de Lisboa</w:t>
      </w:r>
    </w:p>
    <w:p w:rsidR="009160E5" w:rsidRPr="002334E7" w:rsidRDefault="009160E5" w:rsidP="008B2CC1"/>
    <w:p w:rsidR="009160E5" w:rsidRPr="002334E7" w:rsidRDefault="005C4477" w:rsidP="008B2CC1">
      <w:pPr>
        <w:rPr>
          <w:i/>
        </w:rPr>
      </w:pPr>
      <w:bookmarkStart w:id="4" w:name="Prepared"/>
      <w:bookmarkEnd w:id="4"/>
      <w:r w:rsidRPr="002334E7">
        <w:rPr>
          <w:i/>
        </w:rPr>
        <w:t>Documento preparado por la Oficina Internacional</w:t>
      </w:r>
    </w:p>
    <w:p w:rsidR="009160E5" w:rsidRPr="002334E7" w:rsidRDefault="009160E5" w:rsidP="003845C1"/>
    <w:p w:rsidR="009160E5" w:rsidRPr="002334E7" w:rsidRDefault="009160E5"/>
    <w:p w:rsidR="009160E5" w:rsidRPr="002334E7" w:rsidRDefault="009160E5"/>
    <w:p w:rsidR="009160E5" w:rsidRPr="002334E7" w:rsidRDefault="009160E5"/>
    <w:p w:rsidR="009160E5" w:rsidRPr="002334E7" w:rsidRDefault="005C4477" w:rsidP="005C4477">
      <w:pPr>
        <w:pStyle w:val="Heading2"/>
        <w:rPr>
          <w:b/>
        </w:rPr>
      </w:pPr>
      <w:r w:rsidRPr="002334E7">
        <w:rPr>
          <w:b/>
        </w:rPr>
        <w:t>introduc</w:t>
      </w:r>
      <w:r w:rsidR="003405BB" w:rsidRPr="002334E7">
        <w:rPr>
          <w:b/>
        </w:rPr>
        <w:t>CIÓ</w:t>
      </w:r>
      <w:r w:rsidRPr="002334E7">
        <w:rPr>
          <w:b/>
        </w:rPr>
        <w:t>n</w:t>
      </w:r>
    </w:p>
    <w:p w:rsidR="009160E5" w:rsidRPr="002334E7" w:rsidRDefault="009160E5" w:rsidP="005C4477"/>
    <w:p w:rsidR="009160E5" w:rsidRPr="002334E7" w:rsidRDefault="005C4477" w:rsidP="005C4477">
      <w:r w:rsidRPr="002334E7">
        <w:fldChar w:fldCharType="begin"/>
      </w:r>
      <w:r w:rsidRPr="002334E7">
        <w:instrText xml:space="preserve"> AUTONUM  </w:instrText>
      </w:r>
      <w:r w:rsidRPr="002334E7">
        <w:fldChar w:fldCharType="end"/>
      </w:r>
      <w:r w:rsidRPr="002334E7">
        <w:tab/>
      </w:r>
      <w:r w:rsidR="009160E5" w:rsidRPr="002334E7">
        <w:t>Conforme al Artículo 11.3) del Arreglo de Lisboa, el presupuesto de</w:t>
      </w:r>
      <w:r w:rsidR="002334E7">
        <w:t xml:space="preserve"> </w:t>
      </w:r>
      <w:r w:rsidR="009160E5" w:rsidRPr="002334E7">
        <w:t>l</w:t>
      </w:r>
      <w:r w:rsidR="002334E7">
        <w:t>a Unión</w:t>
      </w:r>
      <w:r w:rsidR="009160E5" w:rsidRPr="002334E7">
        <w:t xml:space="preserve"> de Lisboa se financiará con los recursos siguientes:</w:t>
      </w:r>
    </w:p>
    <w:p w:rsidR="009160E5" w:rsidRPr="002334E7" w:rsidRDefault="009160E5" w:rsidP="005C4477"/>
    <w:p w:rsidR="009160E5" w:rsidRPr="002334E7" w:rsidRDefault="009160E5" w:rsidP="00DD1D22">
      <w:pPr>
        <w:numPr>
          <w:ilvl w:val="0"/>
          <w:numId w:val="8"/>
        </w:numPr>
        <w:ind w:left="1134" w:hanging="567"/>
      </w:pPr>
      <w:r w:rsidRPr="002334E7">
        <w:t>las tasas de registro internacional percibidas de conformidad con el Artículo</w:t>
      </w:r>
      <w:r w:rsidR="00DD1D22" w:rsidRPr="002334E7">
        <w:t> 7.</w:t>
      </w:r>
      <w:r w:rsidRPr="002334E7">
        <w:t>2</w:t>
      </w:r>
      <w:r w:rsidR="00DD1D22" w:rsidRPr="002334E7">
        <w:t>)</w:t>
      </w:r>
      <w:r w:rsidRPr="002334E7">
        <w:t xml:space="preserve"> y las tasas y sumas debidas por los demás servicios prestados por la Oficina Internacional por cuenta de la Unión particular;</w:t>
      </w:r>
    </w:p>
    <w:p w:rsidR="009160E5" w:rsidRPr="002334E7" w:rsidRDefault="00DD1D22" w:rsidP="00DD1D22">
      <w:pPr>
        <w:numPr>
          <w:ilvl w:val="0"/>
          <w:numId w:val="8"/>
        </w:numPr>
        <w:ind w:left="1134" w:hanging="567"/>
      </w:pPr>
      <w:r w:rsidRPr="002334E7">
        <w:t>el producto de la venta de las publicaciones de la OMPI referentes al Sistema de Lisboa y l</w:t>
      </w:r>
      <w:r w:rsidR="002334E7">
        <w:t>o</w:t>
      </w:r>
      <w:r w:rsidRPr="002334E7">
        <w:t>s</w:t>
      </w:r>
      <w:r w:rsidR="002334E7">
        <w:t xml:space="preserve"> derechos</w:t>
      </w:r>
      <w:r w:rsidRPr="002334E7">
        <w:t xml:space="preserve"> correspondientes a esas publicaciones;</w:t>
      </w:r>
    </w:p>
    <w:p w:rsidR="009160E5" w:rsidRPr="002334E7" w:rsidRDefault="009160E5" w:rsidP="00DD1D22">
      <w:pPr>
        <w:numPr>
          <w:ilvl w:val="0"/>
          <w:numId w:val="8"/>
        </w:numPr>
        <w:ind w:left="1134" w:hanging="567"/>
      </w:pPr>
      <w:r w:rsidRPr="002334E7">
        <w:t>las donaciones, legados y subvenciones;</w:t>
      </w:r>
    </w:p>
    <w:p w:rsidR="009160E5" w:rsidRPr="002334E7" w:rsidRDefault="009160E5" w:rsidP="00DD1D22">
      <w:pPr>
        <w:numPr>
          <w:ilvl w:val="0"/>
          <w:numId w:val="8"/>
        </w:numPr>
        <w:ind w:left="1134" w:hanging="567"/>
      </w:pPr>
      <w:r w:rsidRPr="002334E7">
        <w:t>los alquileres, intereses y otros ingresos diversos;</w:t>
      </w:r>
    </w:p>
    <w:p w:rsidR="009160E5" w:rsidRPr="002334E7" w:rsidRDefault="009160E5" w:rsidP="00DD1D22">
      <w:pPr>
        <w:numPr>
          <w:ilvl w:val="0"/>
          <w:numId w:val="8"/>
        </w:numPr>
        <w:ind w:left="1134" w:hanging="567"/>
      </w:pPr>
      <w:r w:rsidRPr="002334E7">
        <w:t>las contribuciones de l</w:t>
      </w:r>
      <w:r w:rsidR="00DD1D22" w:rsidRPr="002334E7">
        <w:t>os países de la Unión Particular</w:t>
      </w:r>
      <w:r w:rsidRPr="002334E7">
        <w:t xml:space="preserve">, en la medida en que los ingresos procedentes de las fuentes mencionadas en los incisos i) a </w:t>
      </w:r>
      <w:r w:rsidR="00DD1D22" w:rsidRPr="002334E7">
        <w:t>i</w:t>
      </w:r>
      <w:r w:rsidRPr="002334E7">
        <w:t>v) no basten para cubrir los</w:t>
      </w:r>
      <w:r w:rsidR="00DD1D22" w:rsidRPr="002334E7">
        <w:t xml:space="preserve"> gastos de la Unión particular.</w:t>
      </w:r>
    </w:p>
    <w:p w:rsidR="009160E5" w:rsidRPr="002334E7" w:rsidRDefault="005C4477" w:rsidP="009160E5">
      <w:r w:rsidRPr="002334E7">
        <w:br w:type="page"/>
      </w:r>
      <w:r w:rsidRPr="002334E7">
        <w:lastRenderedPageBreak/>
        <w:fldChar w:fldCharType="begin"/>
      </w:r>
      <w:r w:rsidRPr="002334E7">
        <w:instrText xml:space="preserve"> AUTONUM  </w:instrText>
      </w:r>
      <w:r w:rsidRPr="002334E7">
        <w:fldChar w:fldCharType="end"/>
      </w:r>
      <w:r w:rsidRPr="002334E7">
        <w:tab/>
      </w:r>
      <w:r w:rsidR="00DD1D22" w:rsidRPr="002334E7">
        <w:t>Por</w:t>
      </w:r>
      <w:r w:rsidR="009160E5" w:rsidRPr="002334E7">
        <w:t xml:space="preserve"> </w:t>
      </w:r>
      <w:r w:rsidR="00DD1D22" w:rsidRPr="002334E7">
        <w:t>lo que respecta al inciso i) del</w:t>
      </w:r>
      <w:r w:rsidR="009160E5" w:rsidRPr="002334E7">
        <w:t xml:space="preserve"> Artículo </w:t>
      </w:r>
      <w:r w:rsidR="00DD1D22" w:rsidRPr="002334E7">
        <w:t xml:space="preserve">11.3), en el Artículo </w:t>
      </w:r>
      <w:r w:rsidR="009160E5" w:rsidRPr="002334E7">
        <w:t>7 del Arreglo de Lisboa se especifica que “se pagará por el registro de cada denominación de origen una tasa única”, y el registro no estará sujeto a renovación.</w:t>
      </w:r>
      <w:r w:rsidRPr="002334E7">
        <w:t xml:space="preserve">  </w:t>
      </w:r>
      <w:r w:rsidR="009160E5" w:rsidRPr="002334E7">
        <w:t>En virtud del Artículo 11.4)</w:t>
      </w:r>
      <w:r w:rsidR="00403EAB" w:rsidRPr="002334E7">
        <w:t>b)</w:t>
      </w:r>
      <w:r w:rsidR="009160E5" w:rsidRPr="002334E7">
        <w:t xml:space="preserve"> del Arreglo de Lisboa, la cuantía de las tasas de registro internacional aplicables en el marco del Arreglo la fijará la Asamblea de la Unión de Lisboa a propuesta del Director General.</w:t>
      </w:r>
      <w:r w:rsidRPr="002334E7">
        <w:t xml:space="preserve">  </w:t>
      </w:r>
      <w:r w:rsidR="009160E5" w:rsidRPr="002334E7">
        <w:t>Dicha cuantía será fijada de suerte que los ingresos del Sistema de Lisboa deberán bastar, en circunstancias normales, para cubrir los gastos de la Oficina Internacional de mantenimiento del servicio de registro internacional, sin que sea necesario exigir las contribuciones r</w:t>
      </w:r>
      <w:r w:rsidR="00403EAB" w:rsidRPr="002334E7">
        <w:t>eferidas en el inciso v) del Artículo 11.3).</w:t>
      </w:r>
    </w:p>
    <w:p w:rsidR="009160E5" w:rsidRPr="002334E7" w:rsidRDefault="009160E5" w:rsidP="005C4477"/>
    <w:p w:rsidR="009160E5" w:rsidRPr="002334E7" w:rsidRDefault="005C4477" w:rsidP="009160E5">
      <w:r w:rsidRPr="002334E7">
        <w:fldChar w:fldCharType="begin"/>
      </w:r>
      <w:r w:rsidRPr="002334E7">
        <w:instrText xml:space="preserve"> AUTONUM  </w:instrText>
      </w:r>
      <w:r w:rsidRPr="002334E7">
        <w:fldChar w:fldCharType="end"/>
      </w:r>
      <w:r w:rsidRPr="002334E7">
        <w:tab/>
      </w:r>
      <w:r w:rsidR="009160E5" w:rsidRPr="002334E7">
        <w:t xml:space="preserve">La </w:t>
      </w:r>
      <w:r w:rsidR="00403EAB" w:rsidRPr="002334E7">
        <w:t xml:space="preserve">tabla </w:t>
      </w:r>
      <w:r w:rsidR="009160E5" w:rsidRPr="002334E7">
        <w:t>de tasas que actualmente se aplica en el marco del Arreg</w:t>
      </w:r>
      <w:r w:rsidR="00403EAB" w:rsidRPr="002334E7">
        <w:t>lo de Lisboa figura en la Regla </w:t>
      </w:r>
      <w:r w:rsidR="009160E5" w:rsidRPr="002334E7">
        <w:t xml:space="preserve">23 del Reglamento del Arreglo de Lisboa (el </w:t>
      </w:r>
      <w:r w:rsidR="00403EAB" w:rsidRPr="002334E7">
        <w:t>“</w:t>
      </w:r>
      <w:r w:rsidR="009160E5" w:rsidRPr="002334E7">
        <w:t>Reglamento de Lisboa</w:t>
      </w:r>
      <w:r w:rsidR="00403EAB" w:rsidRPr="002334E7">
        <w:t>”</w:t>
      </w:r>
      <w:r w:rsidR="009160E5" w:rsidRPr="002334E7">
        <w:t>) y fue establecida por la Asamblea de la Unión de Lisboa en septiembre de</w:t>
      </w:r>
      <w:r w:rsidR="00403EAB" w:rsidRPr="002334E7">
        <w:t xml:space="preserve"> 1993, con efecto a partir del </w:t>
      </w:r>
      <w:r w:rsidR="009160E5" w:rsidRPr="002334E7">
        <w:t>1de</w:t>
      </w:r>
      <w:r w:rsidR="00403EAB" w:rsidRPr="002334E7">
        <w:t xml:space="preserve"> </w:t>
      </w:r>
      <w:r w:rsidR="009160E5" w:rsidRPr="002334E7">
        <w:t xml:space="preserve">enero de 1994: </w:t>
      </w:r>
      <w:r w:rsidR="00403EAB" w:rsidRPr="002334E7">
        <w:t xml:space="preserve"> </w:t>
      </w:r>
      <w:r w:rsidR="009160E5" w:rsidRPr="002334E7">
        <w:t>i) una tasa de 500 francos suizos por cada registro internacional;  ii)</w:t>
      </w:r>
      <w:r w:rsidR="00D44F11" w:rsidRPr="002334E7">
        <w:t xml:space="preserve"> </w:t>
      </w:r>
      <w:r w:rsidR="009160E5" w:rsidRPr="002334E7">
        <w:t xml:space="preserve">una tasa de 200 francos suizos por la inscripción de una modificación </w:t>
      </w:r>
      <w:r w:rsidR="00005072">
        <w:t>que afecta</w:t>
      </w:r>
      <w:r w:rsidR="009160E5" w:rsidRPr="002334E7">
        <w:t xml:space="preserve"> un registro internacional;  iii) una tasa de 90 francos suizos por el suministro de una certificación del Registro Internacional;  iv) una tasa de 80 francos suizos por el suministro de un certificado o de cualquier otra información por escrito sobre el contenido del Registro Internacional.</w:t>
      </w:r>
    </w:p>
    <w:p w:rsidR="009160E5" w:rsidRPr="002334E7" w:rsidRDefault="009160E5" w:rsidP="005C4477"/>
    <w:p w:rsidR="009160E5" w:rsidRPr="002334E7" w:rsidRDefault="005C4477" w:rsidP="009160E5">
      <w:r w:rsidRPr="002334E7">
        <w:fldChar w:fldCharType="begin"/>
      </w:r>
      <w:r w:rsidRPr="002334E7">
        <w:instrText xml:space="preserve"> AUTONUM  </w:instrText>
      </w:r>
      <w:r w:rsidRPr="002334E7">
        <w:fldChar w:fldCharType="end"/>
      </w:r>
      <w:r w:rsidRPr="002334E7">
        <w:tab/>
      </w:r>
      <w:r w:rsidR="00D44F11" w:rsidRPr="002334E7">
        <w:t>En el trigésimo primer período de sesiones (11º</w:t>
      </w:r>
      <w:r w:rsidR="00F005DC">
        <w:t xml:space="preserve"> </w:t>
      </w:r>
      <w:r w:rsidR="00D44F11" w:rsidRPr="002334E7">
        <w:t>extraordinario) de la Asamblea de la Unión de Lisboa, celebrado del 22 al 30 de septiembre de 2014, se presentó una propuesta de actualización de la tabla de tasas en el marco de la Regla </w:t>
      </w:r>
      <w:r w:rsidRPr="002334E7">
        <w:t xml:space="preserve">23 </w:t>
      </w:r>
      <w:r w:rsidR="00D44F11" w:rsidRPr="002334E7">
        <w:t xml:space="preserve">del Reglamento de Lisboa </w:t>
      </w:r>
      <w:r w:rsidRPr="002334E7">
        <w:t>(</w:t>
      </w:r>
      <w:r w:rsidR="00D44F11" w:rsidRPr="002334E7">
        <w:t xml:space="preserve">véase el </w:t>
      </w:r>
      <w:r w:rsidR="00F005DC" w:rsidRPr="002334E7">
        <w:t>documento</w:t>
      </w:r>
      <w:r w:rsidRPr="002334E7">
        <w:t xml:space="preserve"> LI/A/31/2).  </w:t>
      </w:r>
      <w:r w:rsidR="00D44F11" w:rsidRPr="002334E7">
        <w:t>En dicho período de sesiones, la Asamblea</w:t>
      </w:r>
      <w:r w:rsidRPr="002334E7">
        <w:t xml:space="preserve"> </w:t>
      </w:r>
      <w:r w:rsidR="00F91A13" w:rsidRPr="002334E7">
        <w:t xml:space="preserve">de la </w:t>
      </w:r>
      <w:r w:rsidR="00F005DC" w:rsidRPr="002334E7">
        <w:t>Unión</w:t>
      </w:r>
      <w:r w:rsidR="009160E5" w:rsidRPr="002334E7">
        <w:t xml:space="preserve"> </w:t>
      </w:r>
      <w:r w:rsidR="00F91A13" w:rsidRPr="002334E7">
        <w:t xml:space="preserve">de </w:t>
      </w:r>
      <w:r w:rsidR="00F005DC" w:rsidRPr="002334E7">
        <w:t>Lisboa</w:t>
      </w:r>
      <w:r w:rsidR="00F91A13" w:rsidRPr="002334E7">
        <w:t xml:space="preserve"> </w:t>
      </w:r>
      <w:r w:rsidRPr="002334E7">
        <w:t>no</w:t>
      </w:r>
      <w:r w:rsidR="00811AF7">
        <w:t xml:space="preserve"> tomó una decisión acerca de es</w:t>
      </w:r>
      <w:r w:rsidR="00F91A13" w:rsidRPr="002334E7">
        <w:t>a propuesta</w:t>
      </w:r>
      <w:r w:rsidRPr="002334E7">
        <w:t xml:space="preserve"> (</w:t>
      </w:r>
      <w:r w:rsidR="00F91A13" w:rsidRPr="002334E7">
        <w:t>véase el</w:t>
      </w:r>
      <w:r w:rsidRPr="002334E7">
        <w:t xml:space="preserve"> </w:t>
      </w:r>
      <w:r w:rsidR="00F005DC" w:rsidRPr="002334E7">
        <w:t>documento</w:t>
      </w:r>
      <w:r w:rsidRPr="002334E7">
        <w:t xml:space="preserve"> LI/A/31/3, </w:t>
      </w:r>
      <w:r w:rsidR="00F91A13" w:rsidRPr="002334E7">
        <w:t>párrafo</w:t>
      </w:r>
      <w:r w:rsidRPr="002334E7">
        <w:t> 44).</w:t>
      </w:r>
    </w:p>
    <w:p w:rsidR="009160E5" w:rsidRPr="002334E7" w:rsidRDefault="009160E5" w:rsidP="005C4477"/>
    <w:p w:rsidR="009160E5" w:rsidRPr="002334E7" w:rsidRDefault="00F91A13" w:rsidP="009160E5">
      <w:pPr>
        <w:pStyle w:val="Heading1"/>
      </w:pPr>
      <w:r w:rsidRPr="002334E7">
        <w:t xml:space="preserve">SOSTENIBILIDAD </w:t>
      </w:r>
      <w:r w:rsidR="005C4477" w:rsidRPr="002334E7">
        <w:t>FINANCI</w:t>
      </w:r>
      <w:r w:rsidRPr="002334E7">
        <w:t>ER</w:t>
      </w:r>
      <w:bookmarkStart w:id="5" w:name="_GoBack"/>
      <w:bookmarkEnd w:id="5"/>
      <w:r w:rsidRPr="002334E7">
        <w:t>A DE LA UNIÓN DE LISBOA</w:t>
      </w:r>
    </w:p>
    <w:p w:rsidR="009160E5" w:rsidRPr="002334E7" w:rsidRDefault="009160E5" w:rsidP="005C4477"/>
    <w:p w:rsidR="009160E5" w:rsidRPr="002334E7" w:rsidRDefault="005C4477" w:rsidP="009160E5">
      <w:r w:rsidRPr="002334E7">
        <w:fldChar w:fldCharType="begin"/>
      </w:r>
      <w:r w:rsidRPr="002334E7">
        <w:instrText xml:space="preserve"> AUTONUM  </w:instrText>
      </w:r>
      <w:r w:rsidRPr="002334E7">
        <w:fldChar w:fldCharType="end"/>
      </w:r>
      <w:r w:rsidRPr="002334E7">
        <w:tab/>
      </w:r>
      <w:r w:rsidR="00F91A13" w:rsidRPr="002334E7">
        <w:t>E</w:t>
      </w:r>
      <w:r w:rsidRPr="002334E7">
        <w:t xml:space="preserve">n </w:t>
      </w:r>
      <w:r w:rsidR="00F91A13" w:rsidRPr="002334E7">
        <w:t xml:space="preserve">el bienio </w:t>
      </w:r>
      <w:r w:rsidRPr="002334E7">
        <w:t xml:space="preserve">2016/17, </w:t>
      </w:r>
      <w:r w:rsidR="00F91A13" w:rsidRPr="002334E7">
        <w:t xml:space="preserve">se prevé que los gastos </w:t>
      </w:r>
      <w:r w:rsidR="00974D2D" w:rsidRPr="002334E7">
        <w:t>relacionados con</w:t>
      </w:r>
      <w:r w:rsidR="00F91A13" w:rsidRPr="002334E7">
        <w:t xml:space="preserve"> la</w:t>
      </w:r>
      <w:r w:rsidRPr="002334E7">
        <w:t xml:space="preserve"> </w:t>
      </w:r>
      <w:r w:rsidR="00F91A13" w:rsidRPr="002334E7">
        <w:t>Unión de Lisboa</w:t>
      </w:r>
      <w:r w:rsidRPr="002334E7">
        <w:t xml:space="preserve"> </w:t>
      </w:r>
      <w:r w:rsidR="00F91A13" w:rsidRPr="002334E7">
        <w:t>ascenderán a </w:t>
      </w:r>
      <w:r w:rsidRPr="002334E7">
        <w:t>1</w:t>
      </w:r>
      <w:r w:rsidR="00F91A13" w:rsidRPr="002334E7">
        <w:t>.</w:t>
      </w:r>
      <w:r w:rsidRPr="002334E7">
        <w:t>125</w:t>
      </w:r>
      <w:r w:rsidR="00F91A13" w:rsidRPr="002334E7">
        <w:t>.000 francos suizos por año</w:t>
      </w:r>
      <w:r w:rsidRPr="002334E7">
        <w:t xml:space="preserve">.  </w:t>
      </w:r>
      <w:r w:rsidR="00974D2D" w:rsidRPr="002334E7">
        <w:t>Cabe señalar que los cálculos de los gastos de la Unión de Lisboa se basan en la metodología actual de asignar los gastos por Unión, tal como se describe en el Anexo III del proyecto de propuesta de presupuesto por programas para el bienio 2016/17. Con arreglo a esa metodología, la Unión de Lisboa no sufraga ni gastos indirectos por Unión ni gastos administrativos indirectos.</w:t>
      </w:r>
    </w:p>
    <w:p w:rsidR="009160E5" w:rsidRPr="002334E7" w:rsidRDefault="009160E5" w:rsidP="005C4477"/>
    <w:p w:rsidR="009160E5" w:rsidRPr="002334E7" w:rsidRDefault="005C4477" w:rsidP="009160E5">
      <w:r w:rsidRPr="002334E7">
        <w:fldChar w:fldCharType="begin"/>
      </w:r>
      <w:r w:rsidRPr="002334E7">
        <w:instrText xml:space="preserve"> AUTONUM  </w:instrText>
      </w:r>
      <w:r w:rsidRPr="002334E7">
        <w:fldChar w:fldCharType="end"/>
      </w:r>
      <w:r w:rsidRPr="002334E7">
        <w:tab/>
        <w:t>De</w:t>
      </w:r>
      <w:r w:rsidR="00974D2D" w:rsidRPr="002334E7">
        <w:t>bido al bajo número de solicitudes de</w:t>
      </w:r>
      <w:r w:rsidRPr="002334E7">
        <w:t xml:space="preserve"> </w:t>
      </w:r>
      <w:r w:rsidR="009160E5" w:rsidRPr="002334E7">
        <w:t>registro</w:t>
      </w:r>
      <w:r w:rsidRPr="002334E7">
        <w:t xml:space="preserve"> </w:t>
      </w:r>
      <w:r w:rsidR="00974D2D" w:rsidRPr="002334E7">
        <w:t xml:space="preserve">de </w:t>
      </w:r>
      <w:r w:rsidR="009160E5" w:rsidRPr="002334E7">
        <w:t>denominaciones de origen</w:t>
      </w:r>
      <w:r w:rsidR="00974D2D" w:rsidRPr="002334E7">
        <w:t xml:space="preserve"> –</w:t>
      </w:r>
      <w:r w:rsidR="00F1538E" w:rsidRPr="002334E7">
        <w:t>durante los últimos 20 años, se ha recibido anualmente una media de </w:t>
      </w:r>
      <w:r w:rsidRPr="002334E7">
        <w:t>14</w:t>
      </w:r>
      <w:r w:rsidR="00F1538E" w:rsidRPr="002334E7">
        <w:t xml:space="preserve"> solicitudes</w:t>
      </w:r>
      <w:r w:rsidRPr="002334E7">
        <w:t xml:space="preserve">– </w:t>
      </w:r>
      <w:r w:rsidR="00F1538E" w:rsidRPr="002334E7">
        <w:t>el</w:t>
      </w:r>
      <w:r w:rsidRPr="002334E7">
        <w:t xml:space="preserve"> volume</w:t>
      </w:r>
      <w:r w:rsidR="00F1538E" w:rsidRPr="002334E7">
        <w:t xml:space="preserve">n de tasas que se genera actualmente de ningún modo basta para cubrir los gastos de </w:t>
      </w:r>
      <w:r w:rsidR="00F91A13" w:rsidRPr="002334E7">
        <w:t>la Unión de Lisboa</w:t>
      </w:r>
      <w:r w:rsidRPr="002334E7">
        <w:t xml:space="preserve">.  </w:t>
      </w:r>
      <w:r w:rsidR="009160E5" w:rsidRPr="002334E7">
        <w:t xml:space="preserve">Por otra parte, </w:t>
      </w:r>
      <w:r w:rsidR="002452E7" w:rsidRPr="002334E7">
        <w:t>el hecho de que</w:t>
      </w:r>
      <w:r w:rsidR="009160E5" w:rsidRPr="002334E7">
        <w:t xml:space="preserve"> las denominaciones de origen y otras </w:t>
      </w:r>
      <w:r w:rsidR="002452E7" w:rsidRPr="002334E7">
        <w:t>indicaciones geográficas se base</w:t>
      </w:r>
      <w:r w:rsidR="009160E5" w:rsidRPr="002334E7">
        <w:t>n en nombres geográficos</w:t>
      </w:r>
      <w:r w:rsidR="002452E7" w:rsidRPr="002334E7">
        <w:t xml:space="preserve"> supone</w:t>
      </w:r>
      <w:r w:rsidR="009160E5" w:rsidRPr="002334E7">
        <w:t xml:space="preserve"> un límite respecto de su número</w:t>
      </w:r>
      <w:r w:rsidR="002452E7" w:rsidRPr="002334E7">
        <w:t xml:space="preserve"> </w:t>
      </w:r>
      <w:r w:rsidR="00811AF7">
        <w:t>total</w:t>
      </w:r>
      <w:r w:rsidR="009160E5" w:rsidRPr="002334E7">
        <w:t>.</w:t>
      </w:r>
      <w:r w:rsidRPr="002334E7">
        <w:t xml:space="preserve">  </w:t>
      </w:r>
      <w:r w:rsidR="009160E5" w:rsidRPr="002334E7">
        <w:t xml:space="preserve">En cualquier caso, a diferencia de otros sistemas de registro de derechos de P.I., con respecto a las indicaciones geográficas y las denominaciones de origen no </w:t>
      </w:r>
      <w:r w:rsidR="002452E7" w:rsidRPr="002334E7">
        <w:t>puede preverse que haya</w:t>
      </w:r>
      <w:r w:rsidR="009160E5" w:rsidRPr="002334E7">
        <w:t xml:space="preserve"> un flujo continuo ni </w:t>
      </w:r>
      <w:r w:rsidR="00811AF7">
        <w:t>progresivo</w:t>
      </w:r>
      <w:r w:rsidR="009160E5" w:rsidRPr="002334E7">
        <w:t xml:space="preserve"> de nuevas solicitudes</w:t>
      </w:r>
      <w:r w:rsidR="009160E5" w:rsidRPr="002334E7">
        <w:rPr>
          <w:rStyle w:val="FootnoteReference"/>
        </w:rPr>
        <w:footnoteReference w:id="2"/>
      </w:r>
      <w:r w:rsidR="0088705D" w:rsidRPr="002334E7">
        <w:t>.</w:t>
      </w:r>
    </w:p>
    <w:p w:rsidR="009160E5" w:rsidRPr="002334E7" w:rsidRDefault="009160E5" w:rsidP="005C4477"/>
    <w:p w:rsidR="009160E5" w:rsidRPr="002334E7" w:rsidRDefault="005C4477" w:rsidP="009160E5">
      <w:r w:rsidRPr="002334E7">
        <w:fldChar w:fldCharType="begin"/>
      </w:r>
      <w:r w:rsidRPr="002334E7">
        <w:instrText xml:space="preserve"> AUTONUM  </w:instrText>
      </w:r>
      <w:r w:rsidRPr="002334E7">
        <w:fldChar w:fldCharType="end"/>
      </w:r>
      <w:r w:rsidRPr="002334E7">
        <w:tab/>
      </w:r>
      <w:r w:rsidR="00E4264E" w:rsidRPr="002334E7">
        <w:t>A ese</w:t>
      </w:r>
      <w:r w:rsidRPr="002334E7">
        <w:t xml:space="preserve"> respect</w:t>
      </w:r>
      <w:r w:rsidR="00E4264E" w:rsidRPr="002334E7">
        <w:t>o</w:t>
      </w:r>
      <w:r w:rsidRPr="002334E7">
        <w:t xml:space="preserve">, </w:t>
      </w:r>
      <w:r w:rsidR="00E4264E" w:rsidRPr="002334E7">
        <w:t>se present</w:t>
      </w:r>
      <w:r w:rsidRPr="002334E7">
        <w:t xml:space="preserve">a </w:t>
      </w:r>
      <w:r w:rsidR="00445B4D" w:rsidRPr="002334E7">
        <w:t>a</w:t>
      </w:r>
      <w:r w:rsidR="00811AF7">
        <w:t>l</w:t>
      </w:r>
      <w:r w:rsidR="00445B4D" w:rsidRPr="002334E7">
        <w:t xml:space="preserve"> </w:t>
      </w:r>
      <w:r w:rsidR="00811AF7" w:rsidRPr="002334E7">
        <w:t xml:space="preserve">examen </w:t>
      </w:r>
      <w:r w:rsidR="00811AF7">
        <w:t xml:space="preserve">de </w:t>
      </w:r>
      <w:r w:rsidR="00811AF7" w:rsidRPr="002334E7">
        <w:t xml:space="preserve">los Estados miembros </w:t>
      </w:r>
      <w:r w:rsidR="00811AF7">
        <w:t xml:space="preserve">en </w:t>
      </w:r>
      <w:r w:rsidR="00445B4D" w:rsidRPr="002334E7">
        <w:t xml:space="preserve">la vigésima cuarta sesión del Comité del Programa y Presupuesto (PBC) </w:t>
      </w:r>
      <w:r w:rsidR="00E4264E" w:rsidRPr="002334E7">
        <w:t xml:space="preserve">un </w:t>
      </w:r>
      <w:r w:rsidR="00F005DC" w:rsidRPr="002334E7">
        <w:t>documento</w:t>
      </w:r>
      <w:r w:rsidRPr="002334E7">
        <w:t xml:space="preserve"> tit</w:t>
      </w:r>
      <w:r w:rsidR="00E4264E" w:rsidRPr="002334E7">
        <w:t>ulado</w:t>
      </w:r>
      <w:r w:rsidRPr="002334E7">
        <w:t xml:space="preserve"> </w:t>
      </w:r>
      <w:r w:rsidR="00EF1EC3" w:rsidRPr="002334E7">
        <w:rPr>
          <w:i/>
        </w:rPr>
        <w:t>Opciones para la sostenibilidad financiera de la Unión de Lisboa</w:t>
      </w:r>
      <w:r w:rsidRPr="002334E7">
        <w:t xml:space="preserve">, </w:t>
      </w:r>
      <w:r w:rsidR="00445B4D" w:rsidRPr="002334E7">
        <w:t xml:space="preserve">en el </w:t>
      </w:r>
      <w:r w:rsidR="00EF1EC3" w:rsidRPr="002334E7">
        <w:t xml:space="preserve">que </w:t>
      </w:r>
      <w:r w:rsidRPr="002334E7">
        <w:t>se</w:t>
      </w:r>
      <w:r w:rsidR="00445B4D" w:rsidRPr="002334E7">
        <w:t xml:space="preserve"> exponen las opciones relacionadas con la financiación de la </w:t>
      </w:r>
      <w:r w:rsidR="00F91A13" w:rsidRPr="002334E7">
        <w:t>Unión de Lisboa</w:t>
      </w:r>
      <w:r w:rsidRPr="002334E7">
        <w:t xml:space="preserve"> (</w:t>
      </w:r>
      <w:r w:rsidR="00445B4D" w:rsidRPr="002334E7">
        <w:t>véase el</w:t>
      </w:r>
      <w:r w:rsidRPr="002334E7">
        <w:t xml:space="preserve"> </w:t>
      </w:r>
      <w:r w:rsidR="00F005DC" w:rsidRPr="002334E7">
        <w:t>documento</w:t>
      </w:r>
      <w:r w:rsidRPr="002334E7">
        <w:t> WO/</w:t>
      </w:r>
      <w:r w:rsidR="00E4264E" w:rsidRPr="002334E7">
        <w:t>PBC</w:t>
      </w:r>
      <w:r w:rsidRPr="002334E7">
        <w:t>/</w:t>
      </w:r>
      <w:r w:rsidR="00E4264E" w:rsidRPr="002334E7">
        <w:t>24/16).</w:t>
      </w:r>
    </w:p>
    <w:p w:rsidR="009160E5" w:rsidRPr="002334E7" w:rsidRDefault="009160E5" w:rsidP="005C4477"/>
    <w:p w:rsidR="009160E5" w:rsidRPr="002334E7" w:rsidRDefault="005C4477" w:rsidP="009160E5">
      <w:r w:rsidRPr="002334E7">
        <w:lastRenderedPageBreak/>
        <w:fldChar w:fldCharType="begin"/>
      </w:r>
      <w:r w:rsidRPr="002334E7">
        <w:instrText xml:space="preserve"> AUTONUM  </w:instrText>
      </w:r>
      <w:r w:rsidRPr="002334E7">
        <w:fldChar w:fldCharType="end"/>
      </w:r>
      <w:r w:rsidRPr="002334E7">
        <w:tab/>
      </w:r>
      <w:r w:rsidR="00445B4D" w:rsidRPr="002334E7">
        <w:t xml:space="preserve">La finalidad del presente documento es presentar propuestas para la actualización de la tabla de tasas </w:t>
      </w:r>
      <w:r w:rsidR="00811AF7">
        <w:t>contemplada en</w:t>
      </w:r>
      <w:r w:rsidR="00445B4D" w:rsidRPr="002334E7">
        <w:t xml:space="preserve"> la Regla 23 del Reglamento de Lisboa, prestando la debida atención a la actividad de registro estimada para el futuro en virtud del Sistema de Lisboa y la necesidad de mantener el Sistema accesible e interesante para los usuarios.  En relación con este último punto, es importante encontrar un equilibrio entre:  1) el principio de que el importe de las tasas fijadas debería ser suficiente, en circunstancias normales, para cubrir los gastos de mantenimiento del servicio de registro internacional sin que sea necesario exigir el pago de las contribuciones de los miembros de la Unión de Lisboa (Artículo 11.4)</w:t>
      </w:r>
      <w:r w:rsidR="005E48D8" w:rsidRPr="002334E7">
        <w:t>b) del Arreglo de Lisboa);  </w:t>
      </w:r>
      <w:r w:rsidR="00445B4D" w:rsidRPr="002334E7">
        <w:t>2) el hecho de que, si se aplica estrictamente, ese principio daría lugar a unas tasas cuya cuantía podría ser exorbitante;  y 3) la necesidad de aplicar tasas que reflej</w:t>
      </w:r>
      <w:r w:rsidR="005E48D8" w:rsidRPr="002334E7">
        <w:t>e</w:t>
      </w:r>
      <w:r w:rsidR="00445B4D" w:rsidRPr="002334E7">
        <w:t xml:space="preserve">n el efecto de </w:t>
      </w:r>
      <w:r w:rsidR="005E48D8" w:rsidRPr="002334E7">
        <w:t>obtener</w:t>
      </w:r>
      <w:r w:rsidR="00445B4D" w:rsidRPr="002334E7">
        <w:t xml:space="preserve"> títulos de protección en múltiples jurisdicciones y est</w:t>
      </w:r>
      <w:r w:rsidR="005E48D8" w:rsidRPr="002334E7">
        <w:t>é</w:t>
      </w:r>
      <w:r w:rsidR="00445B4D" w:rsidRPr="002334E7">
        <w:t>n en s</w:t>
      </w:r>
      <w:r w:rsidR="005E48D8" w:rsidRPr="002334E7">
        <w:t>intonía</w:t>
      </w:r>
      <w:r w:rsidR="00445B4D" w:rsidRPr="002334E7">
        <w:t xml:space="preserve"> con las tasas de registro que </w:t>
      </w:r>
      <w:r w:rsidR="00811AF7">
        <w:t>se pagan</w:t>
      </w:r>
      <w:r w:rsidR="00445B4D" w:rsidRPr="002334E7">
        <w:t xml:space="preserve"> en </w:t>
      </w:r>
      <w:r w:rsidR="005E48D8" w:rsidRPr="002334E7">
        <w:t xml:space="preserve">el marco </w:t>
      </w:r>
      <w:r w:rsidR="00445B4D" w:rsidRPr="002334E7">
        <w:t>de otros sistemas de registro interna</w:t>
      </w:r>
      <w:r w:rsidR="005E48D8" w:rsidRPr="002334E7">
        <w:t>cional de propiedad industrial.</w:t>
      </w:r>
    </w:p>
    <w:p w:rsidR="009160E5" w:rsidRPr="002334E7" w:rsidRDefault="009160E5" w:rsidP="005C4477"/>
    <w:p w:rsidR="009160E5" w:rsidRPr="002334E7" w:rsidRDefault="009160E5" w:rsidP="009160E5">
      <w:pPr>
        <w:pStyle w:val="Heading2"/>
        <w:tabs>
          <w:tab w:val="left" w:pos="1170"/>
        </w:tabs>
        <w:rPr>
          <w:b/>
        </w:rPr>
      </w:pPr>
      <w:r w:rsidRPr="002334E7">
        <w:rPr>
          <w:b/>
        </w:rPr>
        <w:t>PARáMETRoS para calcular la cuantía de las tasas mencionadas en la regla</w:t>
      </w:r>
      <w:r w:rsidR="005E48D8" w:rsidRPr="002334E7">
        <w:rPr>
          <w:b/>
        </w:rPr>
        <w:t xml:space="preserve"> </w:t>
      </w:r>
      <w:r w:rsidRPr="002334E7">
        <w:rPr>
          <w:b/>
        </w:rPr>
        <w:t>23 del reglamento de lisboa</w:t>
      </w:r>
    </w:p>
    <w:p w:rsidR="009160E5" w:rsidRPr="002334E7" w:rsidRDefault="009160E5" w:rsidP="005C4477"/>
    <w:p w:rsidR="009160E5" w:rsidRPr="002334E7" w:rsidRDefault="005C4477" w:rsidP="009160E5">
      <w:r w:rsidRPr="002334E7">
        <w:fldChar w:fldCharType="begin"/>
      </w:r>
      <w:r w:rsidRPr="002334E7">
        <w:instrText xml:space="preserve"> AUTONUM  </w:instrText>
      </w:r>
      <w:r w:rsidRPr="002334E7">
        <w:fldChar w:fldCharType="end"/>
      </w:r>
      <w:r w:rsidRPr="002334E7">
        <w:tab/>
      </w:r>
      <w:r w:rsidR="005E48D8" w:rsidRPr="002334E7">
        <w:t xml:space="preserve">La </w:t>
      </w:r>
      <w:r w:rsidR="00F005DC" w:rsidRPr="002334E7">
        <w:t>previsión</w:t>
      </w:r>
      <w:r w:rsidR="005E48D8" w:rsidRPr="002334E7">
        <w:t xml:space="preserve"> de la actividad de </w:t>
      </w:r>
      <w:r w:rsidR="009160E5" w:rsidRPr="002334E7">
        <w:t>registro</w:t>
      </w:r>
      <w:r w:rsidRPr="002334E7">
        <w:t xml:space="preserve"> </w:t>
      </w:r>
      <w:r w:rsidR="005E48D8" w:rsidRPr="002334E7">
        <w:t>en el marco del</w:t>
      </w:r>
      <w:r w:rsidRPr="002334E7">
        <w:t xml:space="preserve"> </w:t>
      </w:r>
      <w:r w:rsidR="009160E5" w:rsidRPr="002334E7">
        <w:t>Sistema de Lisboa</w:t>
      </w:r>
      <w:r w:rsidR="005E48D8" w:rsidRPr="002334E7">
        <w:t xml:space="preserve"> </w:t>
      </w:r>
      <w:r w:rsidR="00811AF7">
        <w:t>se basa necesariamente</w:t>
      </w:r>
      <w:r w:rsidR="005E48D8" w:rsidRPr="002334E7">
        <w:t xml:space="preserve"> en varios elementos sumamente variables y que dependen, en gran medida, del éxito </w:t>
      </w:r>
      <w:r w:rsidR="00CA13A4">
        <w:t xml:space="preserve">que tenga </w:t>
      </w:r>
      <w:r w:rsidR="005E48D8" w:rsidRPr="002334E7">
        <w:t>el Acta de Ginebra</w:t>
      </w:r>
      <w:r w:rsidRPr="002334E7">
        <w:t xml:space="preserve"> </w:t>
      </w:r>
      <w:r w:rsidR="005E48D8" w:rsidRPr="002334E7">
        <w:t>del</w:t>
      </w:r>
      <w:r w:rsidRPr="002334E7">
        <w:t xml:space="preserve"> </w:t>
      </w:r>
      <w:r w:rsidR="005E48D8" w:rsidRPr="002334E7">
        <w:t>Arreglo de Lisboa.</w:t>
      </w:r>
    </w:p>
    <w:p w:rsidR="009160E5" w:rsidRPr="002334E7" w:rsidRDefault="009160E5" w:rsidP="005C4477"/>
    <w:p w:rsidR="009160E5" w:rsidRPr="002334E7" w:rsidRDefault="005C4477" w:rsidP="009160E5">
      <w:r w:rsidRPr="002334E7">
        <w:fldChar w:fldCharType="begin"/>
      </w:r>
      <w:r w:rsidRPr="002334E7">
        <w:instrText xml:space="preserve"> AUTONUM  </w:instrText>
      </w:r>
      <w:r w:rsidRPr="002334E7">
        <w:fldChar w:fldCharType="end"/>
      </w:r>
      <w:r w:rsidRPr="002334E7">
        <w:tab/>
      </w:r>
      <w:r w:rsidR="005E48D8" w:rsidRPr="002334E7">
        <w:t>Como punto de partida</w:t>
      </w:r>
      <w:r w:rsidRPr="002334E7">
        <w:t xml:space="preserve">, </w:t>
      </w:r>
      <w:r w:rsidR="005E48D8" w:rsidRPr="002334E7">
        <w:t>puede darse por supuesto que, en el período</w:t>
      </w:r>
      <w:r w:rsidRPr="002334E7">
        <w:t xml:space="preserve"> 2015-2034, </w:t>
      </w:r>
      <w:r w:rsidR="005E48D8" w:rsidRPr="002334E7">
        <w:t>todos los Estados</w:t>
      </w:r>
      <w:r w:rsidRPr="002334E7">
        <w:t xml:space="preserve"> </w:t>
      </w:r>
      <w:r w:rsidR="009160E5" w:rsidRPr="002334E7">
        <w:t>miembros</w:t>
      </w:r>
      <w:r w:rsidRPr="002334E7">
        <w:t xml:space="preserve"> </w:t>
      </w:r>
      <w:r w:rsidR="00EB1812" w:rsidRPr="002334E7">
        <w:t xml:space="preserve">actuales </w:t>
      </w:r>
      <w:r w:rsidR="005E48D8" w:rsidRPr="002334E7">
        <w:t xml:space="preserve">del Sistema de Lisboa </w:t>
      </w:r>
      <w:r w:rsidR="00F005DC" w:rsidRPr="002334E7">
        <w:t>pasarán</w:t>
      </w:r>
      <w:r w:rsidR="005E48D8" w:rsidRPr="002334E7">
        <w:t xml:space="preserve"> a ser P</w:t>
      </w:r>
      <w:r w:rsidR="009160E5" w:rsidRPr="002334E7">
        <w:t xml:space="preserve">artes </w:t>
      </w:r>
      <w:r w:rsidR="005E48D8" w:rsidRPr="002334E7">
        <w:t>C</w:t>
      </w:r>
      <w:r w:rsidR="009160E5" w:rsidRPr="002334E7">
        <w:t>ontratantes</w:t>
      </w:r>
      <w:r w:rsidR="005E48D8" w:rsidRPr="002334E7">
        <w:t xml:space="preserve"> del Acta de Ginebra del</w:t>
      </w:r>
      <w:r w:rsidRPr="002334E7">
        <w:t xml:space="preserve"> </w:t>
      </w:r>
      <w:r w:rsidR="005E48D8" w:rsidRPr="002334E7">
        <w:t>Arreglo de Lisboa y que</w:t>
      </w:r>
      <w:r w:rsidRPr="002334E7">
        <w:t xml:space="preserve">, </w:t>
      </w:r>
      <w:r w:rsidR="005E48D8" w:rsidRPr="002334E7">
        <w:t>además</w:t>
      </w:r>
      <w:r w:rsidRPr="002334E7">
        <w:t xml:space="preserve">, 30 </w:t>
      </w:r>
      <w:r w:rsidR="005E48D8" w:rsidRPr="002334E7">
        <w:t>nuevas</w:t>
      </w:r>
      <w:r w:rsidRPr="002334E7">
        <w:t xml:space="preserve"> </w:t>
      </w:r>
      <w:r w:rsidR="009160E5" w:rsidRPr="002334E7">
        <w:t>partes contratantes</w:t>
      </w:r>
      <w:r w:rsidRPr="002334E7">
        <w:t xml:space="preserve"> </w:t>
      </w:r>
      <w:r w:rsidR="005E48D8" w:rsidRPr="002334E7">
        <w:t>se habrán adherido a esa</w:t>
      </w:r>
      <w:r w:rsidRPr="002334E7">
        <w:t xml:space="preserve"> </w:t>
      </w:r>
      <w:r w:rsidR="005E48D8" w:rsidRPr="002334E7">
        <w:t>Acta</w:t>
      </w:r>
      <w:r w:rsidRPr="002334E7">
        <w:t xml:space="preserve">.  </w:t>
      </w:r>
      <w:r w:rsidR="005E48D8" w:rsidRPr="002334E7">
        <w:t>Puesto que es difícil predecir en qué momento, durante esos</w:t>
      </w:r>
      <w:r w:rsidR="00617315">
        <w:t xml:space="preserve"> </w:t>
      </w:r>
      <w:r w:rsidR="005E48D8" w:rsidRPr="002334E7">
        <w:t>20</w:t>
      </w:r>
      <w:r w:rsidR="00617315">
        <w:t> </w:t>
      </w:r>
      <w:r w:rsidR="005E48D8" w:rsidRPr="002334E7">
        <w:t xml:space="preserve">años, tendrán lugar las </w:t>
      </w:r>
      <w:r w:rsidR="00F005DC" w:rsidRPr="002334E7">
        <w:t>adhesiones</w:t>
      </w:r>
      <w:r w:rsidR="005E48D8" w:rsidRPr="002334E7">
        <w:t xml:space="preserve">, la </w:t>
      </w:r>
      <w:r w:rsidR="00F005DC" w:rsidRPr="002334E7">
        <w:t>previsión</w:t>
      </w:r>
      <w:r w:rsidR="005E48D8" w:rsidRPr="002334E7">
        <w:t xml:space="preserve"> deberá contener cifras promedio.</w:t>
      </w:r>
    </w:p>
    <w:p w:rsidR="009160E5" w:rsidRPr="002334E7" w:rsidRDefault="009160E5" w:rsidP="005C4477"/>
    <w:p w:rsidR="009160E5" w:rsidRPr="002334E7" w:rsidRDefault="005C4477" w:rsidP="009160E5">
      <w:r w:rsidRPr="002334E7">
        <w:fldChar w:fldCharType="begin"/>
      </w:r>
      <w:r w:rsidRPr="002334E7">
        <w:instrText xml:space="preserve"> AUTONUM  </w:instrText>
      </w:r>
      <w:r w:rsidRPr="002334E7">
        <w:fldChar w:fldCharType="end"/>
      </w:r>
      <w:r w:rsidRPr="002334E7">
        <w:tab/>
      </w:r>
      <w:r w:rsidR="00033A1F" w:rsidRPr="002334E7">
        <w:t>Habida cuenta de que actualmente hay unos</w:t>
      </w:r>
      <w:r w:rsidRPr="002334E7">
        <w:t xml:space="preserve"> 900 </w:t>
      </w:r>
      <w:r w:rsidR="009160E5" w:rsidRPr="002334E7">
        <w:t>registros internacionales en vigor</w:t>
      </w:r>
      <w:r w:rsidRPr="002334E7">
        <w:t xml:space="preserve"> </w:t>
      </w:r>
      <w:r w:rsidR="00033A1F" w:rsidRPr="002334E7">
        <w:t>en el marco del</w:t>
      </w:r>
      <w:r w:rsidRPr="002334E7">
        <w:t xml:space="preserve"> </w:t>
      </w:r>
      <w:r w:rsidR="009160E5" w:rsidRPr="002334E7">
        <w:t>Sistema de Lisboa</w:t>
      </w:r>
      <w:r w:rsidRPr="002334E7">
        <w:t>, divid</w:t>
      </w:r>
      <w:r w:rsidR="00033A1F" w:rsidRPr="002334E7">
        <w:t>idos entre </w:t>
      </w:r>
      <w:r w:rsidRPr="002334E7">
        <w:t xml:space="preserve">28 </w:t>
      </w:r>
      <w:r w:rsidR="00033A1F" w:rsidRPr="002334E7">
        <w:t>Partes Contratantes</w:t>
      </w:r>
      <w:r w:rsidRPr="002334E7">
        <w:t xml:space="preserve">, </w:t>
      </w:r>
      <w:r w:rsidR="00033A1F" w:rsidRPr="002334E7">
        <w:t>el número medio por Parte Contratante e</w:t>
      </w:r>
      <w:r w:rsidRPr="002334E7">
        <w:t xml:space="preserve">s </w:t>
      </w:r>
      <w:r w:rsidR="00033A1F" w:rsidRPr="002334E7">
        <w:t>de poco más de </w:t>
      </w:r>
      <w:r w:rsidRPr="002334E7">
        <w:t xml:space="preserve">30.  </w:t>
      </w:r>
      <w:r w:rsidR="00033A1F" w:rsidRPr="002334E7">
        <w:t xml:space="preserve">Si </w:t>
      </w:r>
      <w:r w:rsidR="002D111D" w:rsidRPr="002334E7">
        <w:t>la misma media se aplica a</w:t>
      </w:r>
      <w:r w:rsidR="00033A1F" w:rsidRPr="002334E7">
        <w:t xml:space="preserve"> las otras </w:t>
      </w:r>
      <w:r w:rsidRPr="002334E7">
        <w:t xml:space="preserve">30 </w:t>
      </w:r>
      <w:r w:rsidR="00033A1F" w:rsidRPr="002334E7">
        <w:t>Partes Contratantes que se presume</w:t>
      </w:r>
      <w:r w:rsidRPr="002334E7">
        <w:t xml:space="preserve"> </w:t>
      </w:r>
      <w:r w:rsidR="00033A1F" w:rsidRPr="002334E7">
        <w:t>se adherirán al</w:t>
      </w:r>
      <w:r w:rsidR="005E48D8" w:rsidRPr="002334E7">
        <w:t xml:space="preserve"> Acta de Ginebra</w:t>
      </w:r>
      <w:r w:rsidRPr="002334E7">
        <w:t xml:space="preserve"> </w:t>
      </w:r>
      <w:r w:rsidR="00033A1F" w:rsidRPr="002334E7">
        <w:t>en el período </w:t>
      </w:r>
      <w:r w:rsidRPr="002334E7">
        <w:t xml:space="preserve">2015-2034, </w:t>
      </w:r>
      <w:r w:rsidR="0029301E">
        <w:t xml:space="preserve">se efectuarían </w:t>
      </w:r>
      <w:r w:rsidR="00033A1F" w:rsidRPr="002334E7">
        <w:t>unos</w:t>
      </w:r>
      <w:r w:rsidR="000655C2" w:rsidRPr="002334E7">
        <w:t> </w:t>
      </w:r>
      <w:r w:rsidRPr="002334E7">
        <w:t xml:space="preserve">900 </w:t>
      </w:r>
      <w:r w:rsidR="00033A1F" w:rsidRPr="002334E7">
        <w:t xml:space="preserve">nuevos </w:t>
      </w:r>
      <w:r w:rsidR="009160E5" w:rsidRPr="002334E7">
        <w:t>registros internacionales</w:t>
      </w:r>
      <w:r w:rsidRPr="002334E7">
        <w:t xml:space="preserve"> </w:t>
      </w:r>
      <w:r w:rsidR="0029301E">
        <w:t>a lo largo de</w:t>
      </w:r>
      <w:r w:rsidR="00033A1F" w:rsidRPr="002334E7">
        <w:t xml:space="preserve"> ese período</w:t>
      </w:r>
      <w:r w:rsidRPr="002334E7">
        <w:t>,</w:t>
      </w:r>
      <w:r w:rsidR="002D111D" w:rsidRPr="002334E7">
        <w:t xml:space="preserve"> </w:t>
      </w:r>
      <w:r w:rsidR="00033A1F" w:rsidRPr="002334E7">
        <w:t>es decir,</w:t>
      </w:r>
      <w:r w:rsidRPr="002334E7">
        <w:t xml:space="preserve"> </w:t>
      </w:r>
      <w:r w:rsidR="00033A1F" w:rsidRPr="002334E7">
        <w:t>un</w:t>
      </w:r>
      <w:r w:rsidR="002D111D" w:rsidRPr="002334E7">
        <w:t xml:space="preserve">a </w:t>
      </w:r>
      <w:r w:rsidR="00033A1F" w:rsidRPr="002334E7">
        <w:t>m</w:t>
      </w:r>
      <w:r w:rsidR="002D111D" w:rsidRPr="002334E7">
        <w:t>edia</w:t>
      </w:r>
      <w:r w:rsidR="00033A1F" w:rsidRPr="002334E7">
        <w:t xml:space="preserve"> de</w:t>
      </w:r>
      <w:r w:rsidRPr="002334E7">
        <w:t xml:space="preserve"> 45 p</w:t>
      </w:r>
      <w:r w:rsidR="00033A1F" w:rsidRPr="002334E7">
        <w:t>o</w:t>
      </w:r>
      <w:r w:rsidRPr="002334E7">
        <w:t xml:space="preserve">r </w:t>
      </w:r>
      <w:r w:rsidR="00033A1F" w:rsidRPr="002334E7">
        <w:t>año</w:t>
      </w:r>
      <w:r w:rsidRPr="002334E7">
        <w:t xml:space="preserve">.  </w:t>
      </w:r>
      <w:r w:rsidR="002D111D" w:rsidRPr="002334E7">
        <w:t>Como</w:t>
      </w:r>
      <w:r w:rsidR="00033A1F" w:rsidRPr="002334E7">
        <w:t xml:space="preserve"> puede darse por supuesto que, además de los </w:t>
      </w:r>
      <w:r w:rsidRPr="002334E7">
        <w:t xml:space="preserve">45 </w:t>
      </w:r>
      <w:r w:rsidR="009160E5" w:rsidRPr="002334E7">
        <w:t>registros internacionales</w:t>
      </w:r>
      <w:r w:rsidRPr="002334E7">
        <w:t xml:space="preserve"> </w:t>
      </w:r>
      <w:r w:rsidR="00033A1F" w:rsidRPr="002334E7">
        <w:t xml:space="preserve">de los nuevos miembros de la </w:t>
      </w:r>
      <w:r w:rsidR="00F91A13" w:rsidRPr="002334E7">
        <w:t>Unión de Lisboa</w:t>
      </w:r>
      <w:r w:rsidRPr="002334E7">
        <w:t xml:space="preserve">, </w:t>
      </w:r>
      <w:r w:rsidR="00033A1F" w:rsidRPr="002334E7">
        <w:t>cabr</w:t>
      </w:r>
      <w:r w:rsidR="002D111D" w:rsidRPr="002334E7">
        <w:t>á</w:t>
      </w:r>
      <w:r w:rsidR="00033A1F" w:rsidRPr="002334E7">
        <w:t xml:space="preserve"> también inscribir en el Registro Internacional un</w:t>
      </w:r>
      <w:r w:rsidR="002D111D" w:rsidRPr="002334E7">
        <w:t>a</w:t>
      </w:r>
      <w:r w:rsidR="00033A1F" w:rsidRPr="002334E7">
        <w:t xml:space="preserve"> </w:t>
      </w:r>
      <w:r w:rsidR="002D111D" w:rsidRPr="002334E7">
        <w:t>media</w:t>
      </w:r>
      <w:r w:rsidR="00033A1F" w:rsidRPr="002334E7">
        <w:t xml:space="preserve"> de </w:t>
      </w:r>
      <w:r w:rsidRPr="002334E7">
        <w:t>10 n</w:t>
      </w:r>
      <w:r w:rsidR="00033A1F" w:rsidRPr="002334E7">
        <w:t>uevos</w:t>
      </w:r>
      <w:r w:rsidRPr="002334E7">
        <w:t xml:space="preserve"> </w:t>
      </w:r>
      <w:r w:rsidR="009160E5" w:rsidRPr="002334E7">
        <w:t>registros internacionales</w:t>
      </w:r>
      <w:r w:rsidRPr="002334E7">
        <w:t xml:space="preserve"> </w:t>
      </w:r>
      <w:r w:rsidR="00033A1F" w:rsidRPr="002334E7">
        <w:t>correspondientes a los actuales Estados miembros del Sistema de Lisboa</w:t>
      </w:r>
      <w:r w:rsidRPr="002334E7">
        <w:t xml:space="preserve">, </w:t>
      </w:r>
      <w:r w:rsidR="002D111D" w:rsidRPr="002334E7">
        <w:t xml:space="preserve">a mediano plazo, </w:t>
      </w:r>
      <w:r w:rsidR="00033A1F" w:rsidRPr="002334E7">
        <w:t xml:space="preserve">el número medio </w:t>
      </w:r>
      <w:r w:rsidR="002D111D" w:rsidRPr="002334E7">
        <w:t>de solicitudes por año se elevaría a </w:t>
      </w:r>
      <w:r w:rsidRPr="002334E7">
        <w:t xml:space="preserve">55.  </w:t>
      </w:r>
      <w:r w:rsidR="002D111D" w:rsidRPr="002334E7">
        <w:t>Puesto que, con toda probabilidad, el</w:t>
      </w:r>
      <w:r w:rsidR="005E48D8" w:rsidRPr="002334E7">
        <w:t xml:space="preserve"> Acta de Ginebra</w:t>
      </w:r>
      <w:r w:rsidRPr="002334E7">
        <w:t xml:space="preserve"> </w:t>
      </w:r>
      <w:r w:rsidR="002D111D" w:rsidRPr="002334E7">
        <w:t xml:space="preserve">no entrará en vigor antes de </w:t>
      </w:r>
      <w:r w:rsidRPr="002334E7">
        <w:t xml:space="preserve">2018, </w:t>
      </w:r>
      <w:r w:rsidR="002D111D" w:rsidRPr="002334E7">
        <w:t xml:space="preserve">las </w:t>
      </w:r>
      <w:r w:rsidR="000655C2" w:rsidRPr="002334E7">
        <w:t>cifras</w:t>
      </w:r>
      <w:r w:rsidR="002D111D" w:rsidRPr="002334E7">
        <w:t xml:space="preserve"> medias propuestas </w:t>
      </w:r>
      <w:r w:rsidR="002D111D" w:rsidRPr="002334E7">
        <w:rPr>
          <w:i/>
        </w:rPr>
        <w:t xml:space="preserve">supra </w:t>
      </w:r>
      <w:r w:rsidR="002D111D" w:rsidRPr="002334E7">
        <w:t>no pueden ser aplicadas al período </w:t>
      </w:r>
      <w:r w:rsidRPr="002334E7">
        <w:t xml:space="preserve">2015-2017.  </w:t>
      </w:r>
      <w:r w:rsidR="0029301E">
        <w:t>Sin embargo</w:t>
      </w:r>
      <w:r w:rsidRPr="002334E7">
        <w:t>,</w:t>
      </w:r>
      <w:r w:rsidR="005E48D8" w:rsidRPr="002334E7">
        <w:t xml:space="preserve"> </w:t>
      </w:r>
      <w:r w:rsidR="002D111D" w:rsidRPr="002334E7">
        <w:t>sobre la base del número medio de</w:t>
      </w:r>
      <w:r w:rsidR="005E48D8" w:rsidRPr="002334E7">
        <w:t xml:space="preserve"> </w:t>
      </w:r>
      <w:r w:rsidR="009160E5" w:rsidRPr="002334E7">
        <w:t>registros internacionales</w:t>
      </w:r>
      <w:r w:rsidRPr="002334E7">
        <w:t xml:space="preserve"> </w:t>
      </w:r>
      <w:r w:rsidR="00F005DC" w:rsidRPr="002334E7">
        <w:t>inscritos</w:t>
      </w:r>
      <w:r w:rsidR="002D111D" w:rsidRPr="002334E7">
        <w:t xml:space="preserve"> en los últimos cinco años</w:t>
      </w:r>
      <w:r w:rsidRPr="002334E7">
        <w:t xml:space="preserve">, </w:t>
      </w:r>
      <w:r w:rsidR="002D111D" w:rsidRPr="002334E7">
        <w:t xml:space="preserve">puede estimarse un número anual de </w:t>
      </w:r>
      <w:r w:rsidRPr="002334E7">
        <w:t xml:space="preserve">20 </w:t>
      </w:r>
      <w:r w:rsidR="009160E5" w:rsidRPr="002334E7">
        <w:t>registros internacionales</w:t>
      </w:r>
      <w:r w:rsidRPr="002334E7">
        <w:t xml:space="preserve"> </w:t>
      </w:r>
      <w:r w:rsidR="000655C2" w:rsidRPr="002334E7">
        <w:t>para el bienio 2016/17</w:t>
      </w:r>
      <w:r w:rsidR="002D111D" w:rsidRPr="002334E7">
        <w:t>.</w:t>
      </w:r>
    </w:p>
    <w:p w:rsidR="009160E5" w:rsidRPr="002334E7" w:rsidRDefault="009160E5" w:rsidP="005C4477"/>
    <w:p w:rsidR="009160E5" w:rsidRPr="002334E7" w:rsidRDefault="005C4477" w:rsidP="009160E5">
      <w:r w:rsidRPr="002334E7">
        <w:fldChar w:fldCharType="begin"/>
      </w:r>
      <w:r w:rsidRPr="002334E7">
        <w:instrText xml:space="preserve"> AUTONUM  </w:instrText>
      </w:r>
      <w:r w:rsidRPr="002334E7">
        <w:fldChar w:fldCharType="end"/>
      </w:r>
      <w:r w:rsidRPr="002334E7">
        <w:tab/>
      </w:r>
      <w:r w:rsidR="000655C2" w:rsidRPr="002334E7">
        <w:t>En lo que respecta a los miembros actuales de la Unión de Lisboa, cabe ob</w:t>
      </w:r>
      <w:r w:rsidR="007F2E94" w:rsidRPr="002334E7">
        <w:t>servar que, tras la adhesión al Acta de Ginebra de</w:t>
      </w:r>
      <w:r w:rsidR="000655C2" w:rsidRPr="002334E7">
        <w:t>l Arreglo de Lisboa, todos los registros internacionales en vigor en ese momento, respecto de los cuales son Parte Contratante de origen, tendrá</w:t>
      </w:r>
      <w:r w:rsidR="007F2E94" w:rsidRPr="002334E7">
        <w:t>n</w:t>
      </w:r>
      <w:r w:rsidR="000655C2" w:rsidRPr="002334E7">
        <w:t xml:space="preserve"> </w:t>
      </w:r>
      <w:r w:rsidR="007F2E94" w:rsidRPr="002334E7">
        <w:t>que modificarse a fin de ponerlo</w:t>
      </w:r>
      <w:r w:rsidR="000655C2" w:rsidRPr="002334E7">
        <w:t>s en conformidad con los requisitos del Acta de Ginebra del Arreglo de Lisboa.</w:t>
      </w:r>
      <w:r w:rsidR="007F2E94" w:rsidRPr="002334E7">
        <w:t xml:space="preserve"> </w:t>
      </w:r>
      <w:r w:rsidR="000655C2" w:rsidRPr="002334E7">
        <w:t xml:space="preserve"> </w:t>
      </w:r>
      <w:r w:rsidR="007F2E94" w:rsidRPr="002334E7">
        <w:t xml:space="preserve">Sobre </w:t>
      </w:r>
      <w:r w:rsidR="000655C2" w:rsidRPr="002334E7">
        <w:t>la base de las premisas menciona</w:t>
      </w:r>
      <w:r w:rsidR="007F2E94" w:rsidRPr="002334E7">
        <w:t>das</w:t>
      </w:r>
      <w:r w:rsidR="000655C2" w:rsidRPr="002334E7">
        <w:t xml:space="preserve"> en el párrafo anterior, </w:t>
      </w:r>
      <w:r w:rsidR="007F2E94" w:rsidRPr="002334E7">
        <w:t>habría</w:t>
      </w:r>
      <w:r w:rsidR="000655C2" w:rsidRPr="002334E7">
        <w:t xml:space="preserve"> </w:t>
      </w:r>
      <w:r w:rsidR="007F2E94" w:rsidRPr="002334E7">
        <w:t>unos</w:t>
      </w:r>
      <w:r w:rsidR="00617315">
        <w:t xml:space="preserve"> </w:t>
      </w:r>
      <w:r w:rsidR="000655C2" w:rsidRPr="002334E7">
        <w:t>960</w:t>
      </w:r>
      <w:r w:rsidR="00617315">
        <w:t> </w:t>
      </w:r>
      <w:r w:rsidR="000655C2" w:rsidRPr="002334E7">
        <w:t xml:space="preserve">registros internacionales en vigor en el marco del Sistema de Lisboa </w:t>
      </w:r>
      <w:r w:rsidR="007F2E94" w:rsidRPr="002334E7">
        <w:t>si el Acta de Ginebra del Arreglo de Lisboa entra</w:t>
      </w:r>
      <w:r w:rsidR="000655C2" w:rsidRPr="002334E7">
        <w:t xml:space="preserve"> en vigor en 2018.</w:t>
      </w:r>
      <w:r w:rsidR="007F2E94" w:rsidRPr="002334E7">
        <w:t xml:space="preserve"> </w:t>
      </w:r>
      <w:r w:rsidR="000655C2" w:rsidRPr="002334E7">
        <w:t xml:space="preserve"> Así</w:t>
      </w:r>
      <w:r w:rsidR="007F2E94" w:rsidRPr="002334E7">
        <w:t xml:space="preserve"> pues</w:t>
      </w:r>
      <w:r w:rsidR="000655C2" w:rsidRPr="002334E7">
        <w:t xml:space="preserve">, el número medio modificaciones </w:t>
      </w:r>
      <w:r w:rsidR="007F2E94" w:rsidRPr="002334E7">
        <w:t xml:space="preserve">obligatorias que habría que inscribir </w:t>
      </w:r>
      <w:r w:rsidR="000655C2" w:rsidRPr="002334E7">
        <w:t>en el Registro Intern</w:t>
      </w:r>
      <w:r w:rsidR="007F2E94" w:rsidRPr="002334E7">
        <w:t>acional durante el período 2018</w:t>
      </w:r>
      <w:r w:rsidR="000655C2" w:rsidRPr="002334E7">
        <w:t xml:space="preserve">-2034 </w:t>
      </w:r>
      <w:r w:rsidR="007F2E94" w:rsidRPr="002334E7">
        <w:t>ascende</w:t>
      </w:r>
      <w:r w:rsidR="000655C2" w:rsidRPr="002334E7">
        <w:t xml:space="preserve">ría </w:t>
      </w:r>
      <w:r w:rsidR="007F2E94" w:rsidRPr="002334E7">
        <w:t xml:space="preserve">a </w:t>
      </w:r>
      <w:r w:rsidR="000655C2" w:rsidRPr="002334E7">
        <w:t xml:space="preserve">56. </w:t>
      </w:r>
      <w:r w:rsidR="007F2E94" w:rsidRPr="002334E7">
        <w:t xml:space="preserve"> </w:t>
      </w:r>
      <w:r w:rsidR="000655C2" w:rsidRPr="002334E7">
        <w:t>Como</w:t>
      </w:r>
      <w:r w:rsidR="007F2E94" w:rsidRPr="002334E7">
        <w:t xml:space="preserve"> cabe suponer que, además de esas modificaciones obligatoria</w:t>
      </w:r>
      <w:r w:rsidR="000655C2" w:rsidRPr="002334E7">
        <w:t xml:space="preserve">s, también </w:t>
      </w:r>
      <w:r w:rsidR="007F2E94" w:rsidRPr="002334E7">
        <w:t>hab</w:t>
      </w:r>
      <w:r w:rsidR="000655C2" w:rsidRPr="002334E7">
        <w:t>ría</w:t>
      </w:r>
      <w:r w:rsidR="007F2E94" w:rsidRPr="002334E7">
        <w:t xml:space="preserve"> que inscribir en el Registro Internacional</w:t>
      </w:r>
      <w:r w:rsidR="000655C2" w:rsidRPr="002334E7">
        <w:t xml:space="preserve">, en promedio, otras </w:t>
      </w:r>
      <w:r w:rsidR="007F2E94" w:rsidRPr="002334E7">
        <w:t xml:space="preserve">cuatro </w:t>
      </w:r>
      <w:r w:rsidR="000655C2" w:rsidRPr="002334E7">
        <w:t xml:space="preserve">modificaciones al año, el número medio </w:t>
      </w:r>
      <w:r w:rsidR="007F2E94" w:rsidRPr="002334E7">
        <w:t xml:space="preserve">anual </w:t>
      </w:r>
      <w:r w:rsidR="000655C2" w:rsidRPr="002334E7">
        <w:t xml:space="preserve">de modificaciones, a partir de 2018, </w:t>
      </w:r>
      <w:r w:rsidR="007F2E94" w:rsidRPr="002334E7">
        <w:t>ascendería a </w:t>
      </w:r>
      <w:r w:rsidR="000655C2" w:rsidRPr="002334E7">
        <w:t>60.</w:t>
      </w:r>
    </w:p>
    <w:p w:rsidR="009160E5" w:rsidRPr="002334E7" w:rsidRDefault="005C4477" w:rsidP="009160E5">
      <w:r w:rsidRPr="002334E7">
        <w:br w:type="page"/>
      </w:r>
      <w:r w:rsidRPr="002334E7">
        <w:lastRenderedPageBreak/>
        <w:fldChar w:fldCharType="begin"/>
      </w:r>
      <w:r w:rsidRPr="002334E7">
        <w:instrText xml:space="preserve"> AUTONUM  </w:instrText>
      </w:r>
      <w:r w:rsidRPr="002334E7">
        <w:fldChar w:fldCharType="end"/>
      </w:r>
      <w:r w:rsidRPr="002334E7">
        <w:tab/>
      </w:r>
      <w:r w:rsidR="008D756E" w:rsidRPr="002334E7">
        <w:t xml:space="preserve">Es importante destacar que se trata de estimaciones muy groseras distribuidas en un </w:t>
      </w:r>
      <w:r w:rsidR="00F005DC" w:rsidRPr="002334E7">
        <w:t>período</w:t>
      </w:r>
      <w:r w:rsidR="005E48D8" w:rsidRPr="002334E7">
        <w:t xml:space="preserve"> de </w:t>
      </w:r>
      <w:r w:rsidRPr="002334E7">
        <w:t>20 </w:t>
      </w:r>
      <w:r w:rsidR="008D756E" w:rsidRPr="002334E7">
        <w:t>años</w:t>
      </w:r>
      <w:r w:rsidRPr="002334E7">
        <w:t xml:space="preserve">.  </w:t>
      </w:r>
      <w:r w:rsidR="008D756E" w:rsidRPr="002334E7">
        <w:t>Además</w:t>
      </w:r>
      <w:r w:rsidRPr="002334E7">
        <w:t xml:space="preserve">, </w:t>
      </w:r>
      <w:r w:rsidR="008D756E" w:rsidRPr="002334E7">
        <w:t>se basan</w:t>
      </w:r>
      <w:r w:rsidRPr="002334E7">
        <w:t xml:space="preserve"> </w:t>
      </w:r>
      <w:r w:rsidR="008D756E" w:rsidRPr="002334E7">
        <w:t>e</w:t>
      </w:r>
      <w:r w:rsidRPr="002334E7">
        <w:t xml:space="preserve">n </w:t>
      </w:r>
      <w:r w:rsidR="008D756E" w:rsidRPr="002334E7">
        <w:t xml:space="preserve">meros datos </w:t>
      </w:r>
      <w:r w:rsidR="00F005DC" w:rsidRPr="002334E7">
        <w:t>históricos</w:t>
      </w:r>
      <w:r w:rsidR="008D756E" w:rsidRPr="002334E7">
        <w:t xml:space="preserve"> sobre</w:t>
      </w:r>
      <w:r w:rsidRPr="002334E7">
        <w:t xml:space="preserve"> </w:t>
      </w:r>
      <w:r w:rsidR="009160E5" w:rsidRPr="002334E7">
        <w:t>solicitud</w:t>
      </w:r>
      <w:r w:rsidR="008D756E" w:rsidRPr="002334E7">
        <w:t>es</w:t>
      </w:r>
      <w:r w:rsidR="005E48D8" w:rsidRPr="002334E7">
        <w:t xml:space="preserve"> y </w:t>
      </w:r>
      <w:r w:rsidR="008D756E" w:rsidRPr="002334E7">
        <w:t xml:space="preserve">parten de la premisa de que </w:t>
      </w:r>
      <w:r w:rsidR="005E48D8" w:rsidRPr="002334E7">
        <w:t>el Acta de Ginebra</w:t>
      </w:r>
      <w:r w:rsidRPr="002334E7">
        <w:t xml:space="preserve"> </w:t>
      </w:r>
      <w:r w:rsidR="008D756E" w:rsidRPr="002334E7">
        <w:t>entraría en vigor e</w:t>
      </w:r>
      <w:r w:rsidRPr="002334E7">
        <w:t>n 2018</w:t>
      </w:r>
      <w:r w:rsidR="008D756E" w:rsidRPr="002334E7">
        <w:t>, así como del índice de adhesión mencionado en el párrafo</w:t>
      </w:r>
      <w:r w:rsidRPr="002334E7">
        <w:t xml:space="preserve"> 10, </w:t>
      </w:r>
      <w:r w:rsidR="0057195C" w:rsidRPr="002334E7">
        <w:rPr>
          <w:i/>
        </w:rPr>
        <w:t>supra</w:t>
      </w:r>
      <w:r w:rsidRPr="002334E7">
        <w:t xml:space="preserve">.  </w:t>
      </w:r>
      <w:r w:rsidR="0057195C" w:rsidRPr="002334E7">
        <w:t xml:space="preserve">Por otra parte, se ha observado en las estadísticas recientes una </w:t>
      </w:r>
      <w:r w:rsidR="00F005DC" w:rsidRPr="002334E7">
        <w:t>fluctuación</w:t>
      </w:r>
      <w:r w:rsidRPr="002334E7">
        <w:t xml:space="preserve"> </w:t>
      </w:r>
      <w:r w:rsidR="00F005DC" w:rsidRPr="002334E7">
        <w:t>particularmente</w:t>
      </w:r>
      <w:r w:rsidR="0057195C" w:rsidRPr="002334E7">
        <w:t xml:space="preserve"> significativa en la actividad </w:t>
      </w:r>
      <w:r w:rsidR="00F005DC" w:rsidRPr="002334E7">
        <w:t>anual</w:t>
      </w:r>
      <w:r w:rsidRPr="002334E7">
        <w:t xml:space="preserve"> </w:t>
      </w:r>
      <w:r w:rsidR="0057195C" w:rsidRPr="002334E7">
        <w:t xml:space="preserve">de </w:t>
      </w:r>
      <w:r w:rsidR="009160E5" w:rsidRPr="002334E7">
        <w:t>registro</w:t>
      </w:r>
      <w:r w:rsidR="0057195C" w:rsidRPr="002334E7">
        <w:t>.</w:t>
      </w:r>
    </w:p>
    <w:p w:rsidR="009160E5" w:rsidRPr="002334E7" w:rsidRDefault="009160E5" w:rsidP="005C4477">
      <w:pPr>
        <w:rPr>
          <w:u w:val="single"/>
        </w:rPr>
      </w:pPr>
    </w:p>
    <w:p w:rsidR="009160E5" w:rsidRPr="002334E7" w:rsidRDefault="005C4477" w:rsidP="009160E5">
      <w:r w:rsidRPr="002334E7">
        <w:fldChar w:fldCharType="begin"/>
      </w:r>
      <w:r w:rsidRPr="002334E7">
        <w:instrText xml:space="preserve"> AUTONUM  </w:instrText>
      </w:r>
      <w:r w:rsidRPr="002334E7">
        <w:fldChar w:fldCharType="end"/>
      </w:r>
      <w:r w:rsidRPr="002334E7">
        <w:tab/>
      </w:r>
      <w:r w:rsidR="00727000" w:rsidRPr="002334E7">
        <w:t>Según lo mencionado en el párrafo</w:t>
      </w:r>
      <w:r w:rsidRPr="002334E7">
        <w:t xml:space="preserve"> 11</w:t>
      </w:r>
      <w:r w:rsidR="00727000" w:rsidRPr="002334E7">
        <w:t>,</w:t>
      </w:r>
      <w:r w:rsidRPr="002334E7">
        <w:t xml:space="preserve"> </w:t>
      </w:r>
      <w:r w:rsidR="00727000" w:rsidRPr="002334E7">
        <w:rPr>
          <w:i/>
        </w:rPr>
        <w:t>supra</w:t>
      </w:r>
      <w:r w:rsidRPr="002334E7">
        <w:t xml:space="preserve">, </w:t>
      </w:r>
      <w:r w:rsidR="00727000" w:rsidRPr="002334E7">
        <w:t xml:space="preserve">en el bienio 2016/17, el número estimado tanto de </w:t>
      </w:r>
      <w:r w:rsidR="009160E5" w:rsidRPr="002334E7">
        <w:t>registros internacionales</w:t>
      </w:r>
      <w:r w:rsidR="005E48D8" w:rsidRPr="002334E7">
        <w:t xml:space="preserve"> </w:t>
      </w:r>
      <w:r w:rsidR="00727000" w:rsidRPr="002334E7">
        <w:t>como de</w:t>
      </w:r>
      <w:r w:rsidR="005E48D8" w:rsidRPr="002334E7">
        <w:t xml:space="preserve"> </w:t>
      </w:r>
      <w:r w:rsidR="00F005DC" w:rsidRPr="002334E7">
        <w:t>modificaciones</w:t>
      </w:r>
      <w:r w:rsidRPr="002334E7">
        <w:t xml:space="preserve"> </w:t>
      </w:r>
      <w:r w:rsidR="00727000" w:rsidRPr="002334E7">
        <w:t xml:space="preserve">se elevaría a </w:t>
      </w:r>
      <w:r w:rsidRPr="002334E7">
        <w:t>20 p</w:t>
      </w:r>
      <w:r w:rsidR="00727000" w:rsidRPr="002334E7">
        <w:t>o</w:t>
      </w:r>
      <w:r w:rsidRPr="002334E7">
        <w:t xml:space="preserve">r </w:t>
      </w:r>
      <w:r w:rsidR="00727000" w:rsidRPr="002334E7">
        <w:t>año</w:t>
      </w:r>
      <w:r w:rsidRPr="002334E7">
        <w:t xml:space="preserve">.  </w:t>
      </w:r>
      <w:r w:rsidR="00727000" w:rsidRPr="002334E7">
        <w:t>Sobre esa base</w:t>
      </w:r>
      <w:r w:rsidRPr="002334E7">
        <w:t xml:space="preserve">, </w:t>
      </w:r>
      <w:r w:rsidR="00727000" w:rsidRPr="002334E7">
        <w:t>la</w:t>
      </w:r>
      <w:r w:rsidRPr="002334E7">
        <w:t xml:space="preserve"> </w:t>
      </w:r>
      <w:r w:rsidR="00727000" w:rsidRPr="002334E7">
        <w:t xml:space="preserve">tasa de </w:t>
      </w:r>
      <w:r w:rsidR="009160E5" w:rsidRPr="002334E7">
        <w:t>registro internacional</w:t>
      </w:r>
      <w:r w:rsidRPr="002334E7">
        <w:t xml:space="preserve"> </w:t>
      </w:r>
      <w:r w:rsidR="00727000" w:rsidRPr="002334E7">
        <w:t>debería ser de</w:t>
      </w:r>
      <w:r w:rsidRPr="002334E7">
        <w:t xml:space="preserve"> 54</w:t>
      </w:r>
      <w:r w:rsidR="00727000" w:rsidRPr="002334E7">
        <w:t>.</w:t>
      </w:r>
      <w:r w:rsidRPr="002334E7">
        <w:t xml:space="preserve">750 </w:t>
      </w:r>
      <w:r w:rsidR="00727000" w:rsidRPr="002334E7">
        <w:t>francos suizos</w:t>
      </w:r>
      <w:r w:rsidRPr="002334E7">
        <w:t xml:space="preserve"> (</w:t>
      </w:r>
      <w:r w:rsidR="00727000" w:rsidRPr="002334E7">
        <w:t>véase también el</w:t>
      </w:r>
      <w:r w:rsidRPr="002334E7">
        <w:t xml:space="preserve"> </w:t>
      </w:r>
      <w:r w:rsidR="00727000" w:rsidRPr="002334E7">
        <w:t>párrafo</w:t>
      </w:r>
      <w:r w:rsidRPr="002334E7">
        <w:t> 9</w:t>
      </w:r>
      <w:r w:rsidR="005E48D8" w:rsidRPr="002334E7">
        <w:t xml:space="preserve"> de</w:t>
      </w:r>
      <w:r w:rsidR="00727000" w:rsidRPr="002334E7">
        <w:t>l</w:t>
      </w:r>
      <w:r w:rsidR="005E48D8" w:rsidRPr="002334E7">
        <w:t xml:space="preserve"> </w:t>
      </w:r>
      <w:r w:rsidR="00F005DC" w:rsidRPr="002334E7">
        <w:t>documento</w:t>
      </w:r>
      <w:r w:rsidRPr="002334E7">
        <w:t xml:space="preserve"> WO/</w:t>
      </w:r>
      <w:r w:rsidR="00727000" w:rsidRPr="002334E7">
        <w:t>PBC</w:t>
      </w:r>
      <w:r w:rsidR="0029301E">
        <w:t>/</w:t>
      </w:r>
      <w:r w:rsidR="00727000" w:rsidRPr="002334E7">
        <w:t>24/16).</w:t>
      </w:r>
    </w:p>
    <w:p w:rsidR="009160E5" w:rsidRPr="002334E7" w:rsidRDefault="009160E5" w:rsidP="005C4477"/>
    <w:p w:rsidR="009160E5" w:rsidRPr="002334E7" w:rsidRDefault="005C4477" w:rsidP="009160E5">
      <w:r w:rsidRPr="002334E7">
        <w:fldChar w:fldCharType="begin"/>
      </w:r>
      <w:r w:rsidRPr="002334E7">
        <w:instrText xml:space="preserve"> AUTONUM  </w:instrText>
      </w:r>
      <w:r w:rsidRPr="002334E7">
        <w:fldChar w:fldCharType="end"/>
      </w:r>
      <w:r w:rsidRPr="002334E7">
        <w:tab/>
      </w:r>
      <w:r w:rsidR="0029301E">
        <w:t>Como se ha</w:t>
      </w:r>
      <w:r w:rsidR="004C110A" w:rsidRPr="002334E7">
        <w:t xml:space="preserve"> señalado en el</w:t>
      </w:r>
      <w:r w:rsidRPr="002334E7">
        <w:t xml:space="preserve"> </w:t>
      </w:r>
      <w:r w:rsidR="00727000" w:rsidRPr="002334E7">
        <w:t>párrafo</w:t>
      </w:r>
      <w:r w:rsidRPr="002334E7">
        <w:t xml:space="preserve"> 8, </w:t>
      </w:r>
      <w:r w:rsidR="004C110A" w:rsidRPr="002334E7">
        <w:rPr>
          <w:i/>
        </w:rPr>
        <w:t>supra</w:t>
      </w:r>
      <w:r w:rsidRPr="002334E7">
        <w:t xml:space="preserve">, </w:t>
      </w:r>
      <w:r w:rsidR="004C110A" w:rsidRPr="002334E7">
        <w:t xml:space="preserve">ese nivel de tasas sería </w:t>
      </w:r>
      <w:r w:rsidR="00F005DC" w:rsidRPr="002334E7">
        <w:t>exorbitante</w:t>
      </w:r>
      <w:r w:rsidR="005E48D8" w:rsidRPr="002334E7">
        <w:t xml:space="preserve"> y </w:t>
      </w:r>
      <w:r w:rsidR="004C110A" w:rsidRPr="002334E7">
        <w:t xml:space="preserve">echaría por tierra el propósito primario del registro </w:t>
      </w:r>
      <w:r w:rsidR="00F005DC" w:rsidRPr="002334E7">
        <w:t>internacional</w:t>
      </w:r>
      <w:r w:rsidRPr="002334E7">
        <w:t xml:space="preserve"> </w:t>
      </w:r>
      <w:r w:rsidR="004C110A" w:rsidRPr="002334E7">
        <w:t>indicaciones geográficas y</w:t>
      </w:r>
      <w:r w:rsidR="005E48D8" w:rsidRPr="002334E7">
        <w:t xml:space="preserve"> </w:t>
      </w:r>
      <w:r w:rsidR="009160E5" w:rsidRPr="002334E7">
        <w:t>denominaciones de origen</w:t>
      </w:r>
      <w:r w:rsidRPr="002334E7">
        <w:t xml:space="preserve">, </w:t>
      </w:r>
      <w:r w:rsidR="004C110A" w:rsidRPr="002334E7">
        <w:t>a saber,</w:t>
      </w:r>
      <w:r w:rsidRPr="002334E7">
        <w:t xml:space="preserve"> </w:t>
      </w:r>
      <w:r w:rsidR="004C110A" w:rsidRPr="002334E7">
        <w:t>facilitar</w:t>
      </w:r>
      <w:r w:rsidRPr="002334E7">
        <w:t xml:space="preserve"> </w:t>
      </w:r>
      <w:r w:rsidR="004C110A" w:rsidRPr="002334E7">
        <w:t>la</w:t>
      </w:r>
      <w:r w:rsidRPr="002334E7">
        <w:t xml:space="preserve"> </w:t>
      </w:r>
      <w:r w:rsidR="009160E5" w:rsidRPr="002334E7">
        <w:t>protección</w:t>
      </w:r>
      <w:r w:rsidR="005E48D8" w:rsidRPr="002334E7">
        <w:t xml:space="preserve"> de </w:t>
      </w:r>
      <w:r w:rsidR="004C110A" w:rsidRPr="002334E7">
        <w:t xml:space="preserve">las indicaciones geográficas </w:t>
      </w:r>
      <w:r w:rsidRPr="002334E7">
        <w:t>(inclu</w:t>
      </w:r>
      <w:r w:rsidR="004C110A" w:rsidRPr="002334E7">
        <w:t>idas las</w:t>
      </w:r>
      <w:r w:rsidRPr="002334E7">
        <w:t xml:space="preserve"> </w:t>
      </w:r>
      <w:r w:rsidR="009160E5" w:rsidRPr="002334E7">
        <w:t>denominaciones de origen</w:t>
      </w:r>
      <w:r w:rsidRPr="002334E7">
        <w:t xml:space="preserve">) </w:t>
      </w:r>
      <w:r w:rsidR="004C110A" w:rsidRPr="002334E7">
        <w:t>e</w:t>
      </w:r>
      <w:r w:rsidRPr="002334E7">
        <w:t xml:space="preserve">n </w:t>
      </w:r>
      <w:r w:rsidR="00F005DC" w:rsidRPr="002334E7">
        <w:t>múltiple</w:t>
      </w:r>
      <w:r w:rsidR="00F005DC">
        <w:t>s</w:t>
      </w:r>
      <w:r w:rsidRPr="002334E7">
        <w:t xml:space="preserve"> </w:t>
      </w:r>
      <w:r w:rsidR="00F005DC" w:rsidRPr="002334E7">
        <w:t>jurisdicciones</w:t>
      </w:r>
      <w:r w:rsidR="004C110A" w:rsidRPr="002334E7">
        <w:t xml:space="preserve"> mediante un único procedimiento</w:t>
      </w:r>
      <w:r w:rsidRPr="002334E7">
        <w:t xml:space="preserve"> </w:t>
      </w:r>
      <w:r w:rsidR="00F005DC" w:rsidRPr="002334E7">
        <w:t>internacional</w:t>
      </w:r>
      <w:r w:rsidRPr="002334E7">
        <w:t xml:space="preserve">.  </w:t>
      </w:r>
      <w:r w:rsidR="004C110A" w:rsidRPr="002334E7">
        <w:t xml:space="preserve">Con ese nivel de tasas el sistema de </w:t>
      </w:r>
      <w:r w:rsidR="009160E5" w:rsidRPr="002334E7">
        <w:t>registro internacional</w:t>
      </w:r>
      <w:r w:rsidRPr="002334E7">
        <w:t xml:space="preserve"> </w:t>
      </w:r>
      <w:r w:rsidR="004C110A" w:rsidRPr="002334E7">
        <w:t xml:space="preserve">resultaría </w:t>
      </w:r>
      <w:r w:rsidR="00F005DC" w:rsidRPr="002334E7">
        <w:t>inaccesible</w:t>
      </w:r>
      <w:r w:rsidR="0029301E">
        <w:t xml:space="preserve"> y como consecuencia de ello </w:t>
      </w:r>
      <w:r w:rsidR="00430CB8">
        <w:t>dejaría de utilizarse</w:t>
      </w:r>
      <w:r w:rsidR="004C110A" w:rsidRPr="002334E7">
        <w:t>.</w:t>
      </w:r>
    </w:p>
    <w:p w:rsidR="009160E5" w:rsidRPr="002334E7" w:rsidRDefault="009160E5" w:rsidP="005C4477"/>
    <w:p w:rsidR="009160E5" w:rsidRPr="002334E7" w:rsidRDefault="005C4477" w:rsidP="009160E5">
      <w:r w:rsidRPr="002334E7">
        <w:fldChar w:fldCharType="begin"/>
      </w:r>
      <w:r w:rsidRPr="002334E7">
        <w:instrText xml:space="preserve"> AUTONUM  </w:instrText>
      </w:r>
      <w:r w:rsidRPr="002334E7">
        <w:fldChar w:fldCharType="end"/>
      </w:r>
      <w:r w:rsidRPr="002334E7">
        <w:tab/>
      </w:r>
      <w:r w:rsidR="0029189C" w:rsidRPr="002334E7">
        <w:t xml:space="preserve">Se acepta por lo general que la </w:t>
      </w:r>
      <w:r w:rsidR="009160E5" w:rsidRPr="002334E7">
        <w:t>protección</w:t>
      </w:r>
      <w:r w:rsidR="005E48D8" w:rsidRPr="002334E7">
        <w:t xml:space="preserve"> de </w:t>
      </w:r>
      <w:r w:rsidR="0029189C" w:rsidRPr="002334E7">
        <w:t xml:space="preserve">los derechos de P.I. no es gratuita y que las tasas pagaderas por el uso de un sistema </w:t>
      </w:r>
      <w:r w:rsidR="00F005DC" w:rsidRPr="002334E7">
        <w:t>administrativo</w:t>
      </w:r>
      <w:r w:rsidRPr="002334E7">
        <w:t xml:space="preserve"> </w:t>
      </w:r>
      <w:r w:rsidR="009160E5" w:rsidRPr="002334E7">
        <w:t>de registro</w:t>
      </w:r>
      <w:r w:rsidRPr="002334E7">
        <w:t xml:space="preserve"> </w:t>
      </w:r>
      <w:r w:rsidR="0029189C" w:rsidRPr="002334E7">
        <w:t xml:space="preserve">de derechos de P.I. </w:t>
      </w:r>
      <w:r w:rsidR="00F005DC" w:rsidRPr="002334E7">
        <w:t>deberían</w:t>
      </w:r>
      <w:r w:rsidR="0029189C" w:rsidRPr="002334E7">
        <w:t xml:space="preserve"> reflejar los gastos necesarios para establecer y mantener los sistemas de esa índole</w:t>
      </w:r>
      <w:r w:rsidRPr="002334E7">
        <w:t xml:space="preserve">.  </w:t>
      </w:r>
      <w:r w:rsidR="00F005DC" w:rsidRPr="002334E7">
        <w:t>Debido</w:t>
      </w:r>
      <w:r w:rsidR="0029189C" w:rsidRPr="002334E7">
        <w:t xml:space="preserve"> al número global </w:t>
      </w:r>
      <w:r w:rsidR="00F005DC" w:rsidRPr="002334E7">
        <w:t>relativamente</w:t>
      </w:r>
      <w:r w:rsidR="0029189C" w:rsidRPr="002334E7">
        <w:t xml:space="preserve"> pequeño </w:t>
      </w:r>
      <w:r w:rsidR="005E48D8" w:rsidRPr="002334E7">
        <w:t xml:space="preserve">de </w:t>
      </w:r>
      <w:r w:rsidR="0029189C" w:rsidRPr="002334E7">
        <w:t xml:space="preserve">indicaciones geográficas </w:t>
      </w:r>
      <w:r w:rsidR="005E48D8" w:rsidRPr="002334E7">
        <w:t xml:space="preserve">y </w:t>
      </w:r>
      <w:r w:rsidR="009160E5" w:rsidRPr="002334E7">
        <w:t>denominaciones de origen</w:t>
      </w:r>
      <w:r w:rsidRPr="002334E7">
        <w:t xml:space="preserve">, </w:t>
      </w:r>
      <w:r w:rsidR="00430CB8">
        <w:t>a</w:t>
      </w:r>
      <w:r w:rsidR="0029189C" w:rsidRPr="002334E7">
        <w:t>l hecho de que su número es intrínsecamente finito y de que ni el</w:t>
      </w:r>
      <w:r w:rsidRPr="002334E7">
        <w:t xml:space="preserve"> </w:t>
      </w:r>
      <w:r w:rsidR="005E48D8" w:rsidRPr="002334E7">
        <w:t>Arreglo de Lisboa</w:t>
      </w:r>
      <w:r w:rsidR="0029189C" w:rsidRPr="002334E7">
        <w:t xml:space="preserve"> ni </w:t>
      </w:r>
      <w:r w:rsidR="005E48D8" w:rsidRPr="002334E7">
        <w:t>el Acta de Ginebra de</w:t>
      </w:r>
      <w:r w:rsidR="0029189C" w:rsidRPr="002334E7">
        <w:t>l</w:t>
      </w:r>
      <w:r w:rsidRPr="002334E7">
        <w:t xml:space="preserve"> </w:t>
      </w:r>
      <w:r w:rsidR="005E48D8" w:rsidRPr="002334E7">
        <w:t>Arreglo de Lisboa</w:t>
      </w:r>
      <w:r w:rsidRPr="002334E7">
        <w:t xml:space="preserve"> </w:t>
      </w:r>
      <w:r w:rsidR="0029189C" w:rsidRPr="002334E7">
        <w:t xml:space="preserve">prevén tasas </w:t>
      </w:r>
      <w:r w:rsidR="00F005DC" w:rsidRPr="002334E7">
        <w:t>administrativas</w:t>
      </w:r>
      <w:r w:rsidRPr="002334E7">
        <w:t xml:space="preserve"> </w:t>
      </w:r>
      <w:r w:rsidR="0029189C" w:rsidRPr="002334E7">
        <w:t>de mantenimiento</w:t>
      </w:r>
      <w:r w:rsidRPr="002334E7">
        <w:t xml:space="preserve">, </w:t>
      </w:r>
      <w:r w:rsidR="0029189C" w:rsidRPr="002334E7">
        <w:t>nunca podrá preverse que las tasas generadas por el</w:t>
      </w:r>
      <w:r w:rsidRPr="002334E7">
        <w:t xml:space="preserve"> </w:t>
      </w:r>
      <w:r w:rsidR="009160E5" w:rsidRPr="002334E7">
        <w:t>Sistema de Lisboa</w:t>
      </w:r>
      <w:r w:rsidRPr="002334E7">
        <w:t xml:space="preserve"> </w:t>
      </w:r>
      <w:r w:rsidR="0029189C" w:rsidRPr="002334E7">
        <w:t>cubran totalmente sus gastos</w:t>
      </w:r>
      <w:r w:rsidRPr="002334E7">
        <w:t xml:space="preserve">.  </w:t>
      </w:r>
      <w:r w:rsidR="0029189C" w:rsidRPr="002334E7">
        <w:t>Por lo tanto</w:t>
      </w:r>
      <w:r w:rsidRPr="002334E7">
        <w:t xml:space="preserve">, </w:t>
      </w:r>
      <w:r w:rsidR="0029189C" w:rsidRPr="002334E7">
        <w:t xml:space="preserve">las </w:t>
      </w:r>
      <w:r w:rsidR="00F005DC" w:rsidRPr="002334E7">
        <w:t>opciones</w:t>
      </w:r>
      <w:r w:rsidRPr="002334E7">
        <w:t xml:space="preserve"> </w:t>
      </w:r>
      <w:r w:rsidR="0029189C" w:rsidRPr="002334E7">
        <w:t>relativas a la sostenibilidad financiera de</w:t>
      </w:r>
      <w:r w:rsidR="005E48D8" w:rsidRPr="002334E7">
        <w:t xml:space="preserve"> </w:t>
      </w:r>
      <w:r w:rsidR="00F91A13" w:rsidRPr="002334E7">
        <w:t>la Unión de Lisboa</w:t>
      </w:r>
      <w:r w:rsidRPr="002334E7">
        <w:t xml:space="preserve"> </w:t>
      </w:r>
      <w:r w:rsidR="0029189C" w:rsidRPr="002334E7">
        <w:t>se presentan por separado al PBC de la OMPI</w:t>
      </w:r>
      <w:r w:rsidRPr="002334E7">
        <w:t xml:space="preserve"> (</w:t>
      </w:r>
      <w:r w:rsidR="0029189C" w:rsidRPr="002334E7">
        <w:t>véase el</w:t>
      </w:r>
      <w:r w:rsidRPr="002334E7">
        <w:t xml:space="preserve"> </w:t>
      </w:r>
      <w:r w:rsidR="00F005DC" w:rsidRPr="002334E7">
        <w:t>documento</w:t>
      </w:r>
      <w:r w:rsidRPr="002334E7">
        <w:t xml:space="preserve"> WO/</w:t>
      </w:r>
      <w:r w:rsidR="0029189C" w:rsidRPr="002334E7">
        <w:t>PBC/24/16).</w:t>
      </w:r>
    </w:p>
    <w:p w:rsidR="009160E5" w:rsidRPr="002334E7" w:rsidRDefault="009160E5" w:rsidP="005C4477"/>
    <w:p w:rsidR="009160E5" w:rsidRPr="002334E7" w:rsidRDefault="005C4477" w:rsidP="009160E5">
      <w:r w:rsidRPr="002334E7">
        <w:fldChar w:fldCharType="begin"/>
      </w:r>
      <w:r w:rsidRPr="002334E7">
        <w:instrText xml:space="preserve"> AUTONUM  </w:instrText>
      </w:r>
      <w:r w:rsidRPr="002334E7">
        <w:fldChar w:fldCharType="end"/>
      </w:r>
      <w:r w:rsidRPr="002334E7">
        <w:tab/>
      </w:r>
      <w:r w:rsidR="00761BB4" w:rsidRPr="002334E7">
        <w:t>Por lo que respecta un nivel de tasas que</w:t>
      </w:r>
      <w:r w:rsidRPr="002334E7">
        <w:t xml:space="preserve">, </w:t>
      </w:r>
      <w:r w:rsidR="00761BB4" w:rsidRPr="002334E7">
        <w:t>por una parte</w:t>
      </w:r>
      <w:r w:rsidRPr="002334E7">
        <w:t>, refle</w:t>
      </w:r>
      <w:r w:rsidR="00761BB4" w:rsidRPr="002334E7">
        <w:t xml:space="preserve">je una norma aplicable actualmente en los sistemas de </w:t>
      </w:r>
      <w:r w:rsidR="009160E5" w:rsidRPr="002334E7">
        <w:t>registro internacional</w:t>
      </w:r>
      <w:r w:rsidRPr="002334E7">
        <w:t xml:space="preserve"> </w:t>
      </w:r>
      <w:r w:rsidR="00761BB4" w:rsidRPr="002334E7">
        <w:t>de derechos de P.I. en la OMPI y</w:t>
      </w:r>
      <w:r w:rsidRPr="002334E7">
        <w:t xml:space="preserve">, </w:t>
      </w:r>
      <w:r w:rsidR="00761BB4" w:rsidRPr="002334E7">
        <w:t>por la otra</w:t>
      </w:r>
      <w:r w:rsidRPr="002334E7">
        <w:t xml:space="preserve">, </w:t>
      </w:r>
      <w:r w:rsidR="00761BB4" w:rsidRPr="002334E7">
        <w:t>no disuada del uso del</w:t>
      </w:r>
      <w:r w:rsidRPr="002334E7">
        <w:t xml:space="preserve"> </w:t>
      </w:r>
      <w:r w:rsidR="009160E5" w:rsidRPr="002334E7">
        <w:t>Sistema de Lisboa</w:t>
      </w:r>
      <w:r w:rsidRPr="002334E7">
        <w:t xml:space="preserve">, </w:t>
      </w:r>
      <w:r w:rsidR="00761BB4" w:rsidRPr="002334E7">
        <w:t>se propone utilizar como referencia la</w:t>
      </w:r>
      <w:r w:rsidRPr="002334E7">
        <w:t xml:space="preserve"> </w:t>
      </w:r>
      <w:r w:rsidR="009160E5" w:rsidRPr="002334E7">
        <w:t>Tabla de tasas</w:t>
      </w:r>
      <w:r w:rsidRPr="002334E7">
        <w:t xml:space="preserve"> </w:t>
      </w:r>
      <w:r w:rsidR="00761BB4" w:rsidRPr="002334E7">
        <w:t>correspondiente al</w:t>
      </w:r>
      <w:r w:rsidRPr="002334E7">
        <w:t xml:space="preserve"> </w:t>
      </w:r>
      <w:r w:rsidR="009160E5" w:rsidRPr="002334E7">
        <w:t>Sistema de Madrid para el Registro Internacional de Marcas</w:t>
      </w:r>
      <w:r w:rsidRPr="002334E7">
        <w:t xml:space="preserve"> (</w:t>
      </w:r>
      <w:r w:rsidR="00761BB4" w:rsidRPr="002334E7">
        <w:t xml:space="preserve">el </w:t>
      </w:r>
      <w:r w:rsidR="009160E5" w:rsidRPr="002334E7">
        <w:t>Sistema de Madrid</w:t>
      </w:r>
      <w:r w:rsidRPr="002334E7">
        <w:t>)</w:t>
      </w:r>
      <w:r w:rsidR="00761BB4" w:rsidRPr="002334E7">
        <w:t>.</w:t>
      </w:r>
    </w:p>
    <w:p w:rsidR="009160E5" w:rsidRPr="002334E7" w:rsidRDefault="009160E5" w:rsidP="005C4477"/>
    <w:p w:rsidR="009160E5" w:rsidRPr="002334E7" w:rsidRDefault="005C4477" w:rsidP="009160E5">
      <w:r w:rsidRPr="002334E7">
        <w:fldChar w:fldCharType="begin"/>
      </w:r>
      <w:r w:rsidRPr="002334E7">
        <w:instrText xml:space="preserve"> AUTONUM  </w:instrText>
      </w:r>
      <w:r w:rsidRPr="002334E7">
        <w:fldChar w:fldCharType="end"/>
      </w:r>
      <w:r w:rsidRPr="002334E7">
        <w:tab/>
      </w:r>
      <w:r w:rsidR="003A27A4" w:rsidRPr="002334E7">
        <w:t>Partiendo de la premisa de que, actualmente un</w:t>
      </w:r>
      <w:r w:rsidRPr="002334E7">
        <w:t xml:space="preserve"> </w:t>
      </w:r>
      <w:r w:rsidR="009160E5" w:rsidRPr="002334E7">
        <w:t>registro internacional</w:t>
      </w:r>
      <w:r w:rsidRPr="002334E7">
        <w:t xml:space="preserve"> </w:t>
      </w:r>
      <w:r w:rsidR="003A27A4" w:rsidRPr="002334E7">
        <w:t>en virtud del</w:t>
      </w:r>
      <w:r w:rsidRPr="002334E7">
        <w:t xml:space="preserve"> </w:t>
      </w:r>
      <w:r w:rsidR="009160E5" w:rsidRPr="002334E7">
        <w:t>Sistema de Lisboa</w:t>
      </w:r>
      <w:r w:rsidRPr="002334E7">
        <w:t xml:space="preserve"> </w:t>
      </w:r>
      <w:r w:rsidR="003A27A4" w:rsidRPr="002334E7">
        <w:t>abarcará</w:t>
      </w:r>
      <w:r w:rsidRPr="002334E7">
        <w:t xml:space="preserve"> 27 </w:t>
      </w:r>
      <w:r w:rsidR="003A27A4" w:rsidRPr="002334E7">
        <w:t xml:space="preserve">Partes Contratantes </w:t>
      </w:r>
      <w:r w:rsidRPr="002334E7">
        <w:t>(</w:t>
      </w:r>
      <w:r w:rsidR="003A27A4" w:rsidRPr="002334E7">
        <w:t>el</w:t>
      </w:r>
      <w:r w:rsidRPr="002334E7">
        <w:t xml:space="preserve"> </w:t>
      </w:r>
      <w:r w:rsidR="009160E5" w:rsidRPr="002334E7">
        <w:t>registro internacional</w:t>
      </w:r>
      <w:r w:rsidRPr="002334E7">
        <w:t xml:space="preserve"> no</w:t>
      </w:r>
      <w:r w:rsidR="003A27A4" w:rsidRPr="002334E7">
        <w:t xml:space="preserve"> surte</w:t>
      </w:r>
      <w:r w:rsidRPr="002334E7">
        <w:t xml:space="preserve"> </w:t>
      </w:r>
      <w:r w:rsidR="00F005DC" w:rsidRPr="002334E7">
        <w:t>efecto</w:t>
      </w:r>
      <w:r w:rsidRPr="002334E7">
        <w:t xml:space="preserve"> </w:t>
      </w:r>
      <w:r w:rsidR="003A27A4" w:rsidRPr="002334E7">
        <w:t>e</w:t>
      </w:r>
      <w:r w:rsidRPr="002334E7">
        <w:t xml:space="preserve">n </w:t>
      </w:r>
      <w:r w:rsidR="003A27A4" w:rsidRPr="002334E7">
        <w:t xml:space="preserve">la </w:t>
      </w:r>
      <w:r w:rsidR="009160E5" w:rsidRPr="002334E7">
        <w:t>Parte Contratante</w:t>
      </w:r>
      <w:r w:rsidR="005E48D8" w:rsidRPr="002334E7">
        <w:t xml:space="preserve"> de </w:t>
      </w:r>
      <w:r w:rsidR="009160E5" w:rsidRPr="002334E7">
        <w:t>origen</w:t>
      </w:r>
      <w:r w:rsidRPr="002334E7">
        <w:t xml:space="preserve">), </w:t>
      </w:r>
      <w:r w:rsidR="003A27A4" w:rsidRPr="002334E7">
        <w:t xml:space="preserve">una </w:t>
      </w:r>
      <w:r w:rsidR="009160E5" w:rsidRPr="002334E7">
        <w:t>solicitud</w:t>
      </w:r>
      <w:r w:rsidR="005E48D8" w:rsidRPr="002334E7">
        <w:t xml:space="preserve"> </w:t>
      </w:r>
      <w:r w:rsidR="00430CB8">
        <w:t>equivalente</w:t>
      </w:r>
      <w:r w:rsidR="003A27A4" w:rsidRPr="002334E7">
        <w:t xml:space="preserve"> en la</w:t>
      </w:r>
      <w:r w:rsidRPr="002334E7">
        <w:t xml:space="preserve"> </w:t>
      </w:r>
      <w:r w:rsidR="009160E5" w:rsidRPr="002334E7">
        <w:t>Tabla de tasas</w:t>
      </w:r>
      <w:r w:rsidRPr="002334E7">
        <w:t xml:space="preserve"> </w:t>
      </w:r>
      <w:r w:rsidR="003A27A4" w:rsidRPr="002334E7">
        <w:t>del Sistema de Madrid daría lugar a una tasa por</w:t>
      </w:r>
      <w:r w:rsidRPr="002334E7">
        <w:t xml:space="preserve"> </w:t>
      </w:r>
      <w:r w:rsidR="009160E5" w:rsidRPr="002334E7">
        <w:t>solicitud internacional</w:t>
      </w:r>
      <w:r w:rsidRPr="002334E7">
        <w:t xml:space="preserve"> </w:t>
      </w:r>
      <w:r w:rsidR="005E48D8" w:rsidRPr="002334E7">
        <w:t xml:space="preserve">de </w:t>
      </w:r>
      <w:r w:rsidRPr="002334E7">
        <w:t>3</w:t>
      </w:r>
      <w:r w:rsidR="003A27A4" w:rsidRPr="002334E7">
        <w:t>.</w:t>
      </w:r>
      <w:r w:rsidRPr="002334E7">
        <w:t xml:space="preserve">353 </w:t>
      </w:r>
      <w:r w:rsidR="003A27A4" w:rsidRPr="002334E7">
        <w:t>francos suizos</w:t>
      </w:r>
      <w:r w:rsidRPr="002334E7">
        <w:rPr>
          <w:rStyle w:val="FootnoteReference"/>
        </w:rPr>
        <w:footnoteReference w:id="3"/>
      </w:r>
      <w:r w:rsidRPr="002334E7">
        <w:t xml:space="preserve">.  </w:t>
      </w:r>
      <w:r w:rsidR="003A27A4" w:rsidRPr="002334E7">
        <w:t>Cabe observar que esa cifra se utiliza meramente a los fines de comparar el costo real</w:t>
      </w:r>
      <w:r w:rsidR="005E48D8" w:rsidRPr="002334E7">
        <w:t xml:space="preserve"> de </w:t>
      </w:r>
      <w:r w:rsidR="003A27A4" w:rsidRPr="002334E7">
        <w:t xml:space="preserve">un </w:t>
      </w:r>
      <w:r w:rsidR="009160E5" w:rsidRPr="002334E7">
        <w:t>registro internacional</w:t>
      </w:r>
      <w:r w:rsidRPr="002334E7">
        <w:t xml:space="preserve"> </w:t>
      </w:r>
      <w:r w:rsidR="003A27A4" w:rsidRPr="002334E7">
        <w:t>que surta efecto en</w:t>
      </w:r>
      <w:r w:rsidRPr="002334E7">
        <w:t xml:space="preserve"> 27 </w:t>
      </w:r>
      <w:r w:rsidR="003A27A4" w:rsidRPr="002334E7">
        <w:t xml:space="preserve">Partes Contratantes </w:t>
      </w:r>
      <w:r w:rsidR="005E48D8" w:rsidRPr="002334E7">
        <w:t xml:space="preserve">y </w:t>
      </w:r>
      <w:r w:rsidR="003A27A4" w:rsidRPr="002334E7">
        <w:t>que</w:t>
      </w:r>
      <w:r w:rsidRPr="002334E7">
        <w:t xml:space="preserve">, </w:t>
      </w:r>
      <w:r w:rsidR="003A27A4" w:rsidRPr="002334E7">
        <w:t>en virtud del</w:t>
      </w:r>
      <w:r w:rsidRPr="002334E7">
        <w:t xml:space="preserve"> </w:t>
      </w:r>
      <w:r w:rsidR="009160E5" w:rsidRPr="002334E7">
        <w:t>Sistema de Madrid</w:t>
      </w:r>
      <w:r w:rsidRPr="002334E7">
        <w:t xml:space="preserve">, </w:t>
      </w:r>
      <w:r w:rsidR="003A27A4" w:rsidRPr="002334E7">
        <w:t>el complemento de tasa para las Partes Contratantes designadas se distribuye entre las Partes Contratantes designadas</w:t>
      </w:r>
      <w:r w:rsidRPr="002334E7">
        <w:t>.  A</w:t>
      </w:r>
      <w:r w:rsidR="003A27A4" w:rsidRPr="002334E7">
        <w:t>simismo</w:t>
      </w:r>
      <w:r w:rsidRPr="002334E7">
        <w:t xml:space="preserve">, </w:t>
      </w:r>
      <w:r w:rsidR="003A27A4" w:rsidRPr="002334E7">
        <w:t>esa cuantía no tiene en cuenta la posibilidad de que las Partes Contratantes cobren tasas individuales.</w:t>
      </w:r>
    </w:p>
    <w:p w:rsidR="009160E5" w:rsidRPr="002334E7" w:rsidRDefault="005C4477" w:rsidP="009160E5">
      <w:pPr>
        <w:pStyle w:val="Heading2"/>
        <w:tabs>
          <w:tab w:val="left" w:pos="1170"/>
        </w:tabs>
        <w:rPr>
          <w:b/>
        </w:rPr>
      </w:pPr>
      <w:r w:rsidRPr="002334E7">
        <w:br w:type="page"/>
      </w:r>
      <w:r w:rsidR="009160E5" w:rsidRPr="002334E7">
        <w:rPr>
          <w:b/>
        </w:rPr>
        <w:lastRenderedPageBreak/>
        <w:t>PropUESTA</w:t>
      </w:r>
    </w:p>
    <w:p w:rsidR="009160E5" w:rsidRPr="002334E7" w:rsidRDefault="009160E5" w:rsidP="005C4477"/>
    <w:p w:rsidR="009160E5" w:rsidRPr="002334E7" w:rsidRDefault="005C4477" w:rsidP="009160E5">
      <w:r w:rsidRPr="002334E7">
        <w:fldChar w:fldCharType="begin"/>
      </w:r>
      <w:r w:rsidRPr="002334E7">
        <w:instrText xml:space="preserve"> AUTONUM  </w:instrText>
      </w:r>
      <w:r w:rsidRPr="002334E7">
        <w:fldChar w:fldCharType="end"/>
      </w:r>
      <w:r w:rsidRPr="002334E7">
        <w:tab/>
      </w:r>
      <w:r w:rsidR="003A27A4" w:rsidRPr="002334E7">
        <w:t xml:space="preserve">A la luz de las consideraciones expuestas </w:t>
      </w:r>
      <w:r w:rsidR="003A27A4" w:rsidRPr="002334E7">
        <w:rPr>
          <w:i/>
        </w:rPr>
        <w:t>supra</w:t>
      </w:r>
      <w:r w:rsidR="003A27A4" w:rsidRPr="002334E7">
        <w:t xml:space="preserve"> se propone </w:t>
      </w:r>
      <w:r w:rsidR="009160E5" w:rsidRPr="002334E7">
        <w:t xml:space="preserve">que la tabla de tasas </w:t>
      </w:r>
      <w:r w:rsidR="003A27A4" w:rsidRPr="002334E7">
        <w:t xml:space="preserve">prevista en la Regla 23 del Reglamento de Lisboa </w:t>
      </w:r>
      <w:r w:rsidR="009160E5" w:rsidRPr="002334E7">
        <w:t xml:space="preserve">se actualice a las siguientes cuantías: </w:t>
      </w:r>
      <w:r w:rsidR="003A27A4" w:rsidRPr="002334E7">
        <w:t xml:space="preserve"> i) una tasa de </w:t>
      </w:r>
      <w:r w:rsidR="009160E5" w:rsidRPr="002334E7">
        <w:t>3.350 francos suizos por cada registro internacional;  ii) una tasa de 1</w:t>
      </w:r>
      <w:r w:rsidR="003A27A4" w:rsidRPr="002334E7">
        <w:t>.</w:t>
      </w:r>
      <w:r w:rsidR="009160E5" w:rsidRPr="002334E7">
        <w:t xml:space="preserve">500 francos suizos por la inscripción de una modificación </w:t>
      </w:r>
      <w:r w:rsidR="00005072">
        <w:t>que afecta</w:t>
      </w:r>
      <w:r w:rsidR="009160E5" w:rsidRPr="002334E7">
        <w:t xml:space="preserve"> un registro internacional;  iii) una tasa de 150</w:t>
      </w:r>
      <w:r w:rsidR="00617315">
        <w:t> </w:t>
      </w:r>
      <w:r w:rsidR="009160E5" w:rsidRPr="002334E7">
        <w:t>francos suizos por el suministro de una certificación del Registro Internacional;  iv)una tasa de 100 francos suizos por el suministro de un certificado o cualquier otra información por escrito sobre el contenid</w:t>
      </w:r>
      <w:r w:rsidR="002334E7" w:rsidRPr="002334E7">
        <w:t>o del Registro Internacional.</w:t>
      </w:r>
    </w:p>
    <w:p w:rsidR="009160E5" w:rsidRPr="002334E7" w:rsidRDefault="009160E5" w:rsidP="005C4477"/>
    <w:p w:rsidR="009160E5" w:rsidRPr="0029301E" w:rsidRDefault="005C4477" w:rsidP="009160E5">
      <w:pPr>
        <w:ind w:left="5533"/>
        <w:rPr>
          <w:lang w:val="it-IT"/>
        </w:rPr>
      </w:pPr>
      <w:r w:rsidRPr="002334E7">
        <w:fldChar w:fldCharType="begin"/>
      </w:r>
      <w:r w:rsidRPr="0029301E">
        <w:rPr>
          <w:lang w:val="it-IT"/>
        </w:rPr>
        <w:instrText xml:space="preserve"> AUTONUM  </w:instrText>
      </w:r>
      <w:r w:rsidRPr="002334E7">
        <w:fldChar w:fldCharType="end"/>
      </w:r>
      <w:r w:rsidRPr="0029301E">
        <w:rPr>
          <w:lang w:val="it-IT"/>
        </w:rPr>
        <w:tab/>
      </w:r>
      <w:r w:rsidR="009160E5" w:rsidRPr="0029301E">
        <w:rPr>
          <w:i/>
          <w:lang w:val="it-IT"/>
        </w:rPr>
        <w:t>Se invita a la Asamblea a:</w:t>
      </w:r>
    </w:p>
    <w:p w:rsidR="009160E5" w:rsidRPr="0029301E" w:rsidRDefault="009160E5" w:rsidP="005C4477">
      <w:pPr>
        <w:ind w:left="5760"/>
        <w:rPr>
          <w:i/>
          <w:lang w:val="it-IT"/>
        </w:rPr>
      </w:pPr>
    </w:p>
    <w:p w:rsidR="009160E5" w:rsidRPr="002334E7" w:rsidRDefault="009160E5" w:rsidP="009160E5">
      <w:pPr>
        <w:numPr>
          <w:ilvl w:val="0"/>
          <w:numId w:val="7"/>
        </w:numPr>
        <w:ind w:left="6237" w:firstLine="0"/>
        <w:rPr>
          <w:i/>
        </w:rPr>
      </w:pPr>
      <w:r w:rsidRPr="002334E7">
        <w:rPr>
          <w:i/>
        </w:rPr>
        <w:t>tomar nota del presente documento;  y</w:t>
      </w:r>
    </w:p>
    <w:p w:rsidR="009160E5" w:rsidRPr="002334E7" w:rsidRDefault="009160E5" w:rsidP="005C4477">
      <w:pPr>
        <w:ind w:left="6237"/>
        <w:rPr>
          <w:i/>
        </w:rPr>
      </w:pPr>
    </w:p>
    <w:p w:rsidR="009160E5" w:rsidRPr="002334E7" w:rsidRDefault="009160E5" w:rsidP="009160E5">
      <w:pPr>
        <w:numPr>
          <w:ilvl w:val="0"/>
          <w:numId w:val="7"/>
        </w:numPr>
        <w:ind w:left="6237" w:firstLine="0"/>
        <w:rPr>
          <w:i/>
        </w:rPr>
      </w:pPr>
      <w:r w:rsidRPr="002334E7">
        <w:rPr>
          <w:i/>
        </w:rPr>
        <w:t xml:space="preserve">decidir que se modifiquen las cuantías de las tasas mencionadas en la Regla </w:t>
      </w:r>
      <w:r w:rsidR="002334E7" w:rsidRPr="002334E7">
        <w:rPr>
          <w:i/>
        </w:rPr>
        <w:t>23</w:t>
      </w:r>
      <w:r w:rsidRPr="002334E7">
        <w:rPr>
          <w:i/>
        </w:rPr>
        <w:t xml:space="preserve"> del Reglamento de Lisboa, según se indica en el párrafo</w:t>
      </w:r>
      <w:r w:rsidR="00005072">
        <w:rPr>
          <w:i/>
        </w:rPr>
        <w:t> </w:t>
      </w:r>
      <w:r w:rsidR="002334E7" w:rsidRPr="002334E7">
        <w:rPr>
          <w:i/>
        </w:rPr>
        <w:t>19</w:t>
      </w:r>
      <w:r w:rsidRPr="002334E7">
        <w:rPr>
          <w:i/>
        </w:rPr>
        <w:t xml:space="preserve"> del presente documento, con efecto a partir del</w:t>
      </w:r>
      <w:r w:rsidR="002334E7" w:rsidRPr="002334E7">
        <w:rPr>
          <w:i/>
        </w:rPr>
        <w:t xml:space="preserve"> </w:t>
      </w:r>
      <w:r w:rsidRPr="002334E7">
        <w:rPr>
          <w:i/>
        </w:rPr>
        <w:t>1 de enero de</w:t>
      </w:r>
      <w:r w:rsidR="00005072">
        <w:rPr>
          <w:i/>
        </w:rPr>
        <w:t> </w:t>
      </w:r>
      <w:r w:rsidRPr="002334E7">
        <w:rPr>
          <w:i/>
        </w:rPr>
        <w:t>201</w:t>
      </w:r>
      <w:r w:rsidR="002334E7" w:rsidRPr="002334E7">
        <w:rPr>
          <w:i/>
        </w:rPr>
        <w:t>6</w:t>
      </w:r>
      <w:r w:rsidRPr="002334E7">
        <w:rPr>
          <w:i/>
        </w:rPr>
        <w:t>.</w:t>
      </w:r>
    </w:p>
    <w:p w:rsidR="009160E5" w:rsidRPr="002334E7" w:rsidRDefault="009160E5" w:rsidP="002334E7"/>
    <w:p w:rsidR="009160E5" w:rsidRPr="002334E7" w:rsidRDefault="009160E5" w:rsidP="002334E7"/>
    <w:p w:rsidR="009160E5" w:rsidRPr="002334E7" w:rsidRDefault="009160E5" w:rsidP="002334E7"/>
    <w:p w:rsidR="009160E5" w:rsidRPr="002334E7" w:rsidRDefault="009160E5" w:rsidP="009160E5">
      <w:pPr>
        <w:ind w:left="5533"/>
      </w:pPr>
      <w:r w:rsidRPr="002334E7">
        <w:t>[Fin del documento]</w:t>
      </w:r>
    </w:p>
    <w:p w:rsidR="009160E5" w:rsidRPr="002334E7" w:rsidRDefault="009160E5"/>
    <w:p w:rsidR="00152CEA" w:rsidRPr="002334E7" w:rsidRDefault="00152CEA"/>
    <w:sectPr w:rsidR="00152CEA" w:rsidRPr="002334E7" w:rsidSect="005C4477">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477" w:rsidRDefault="005C4477">
      <w:r>
        <w:separator/>
      </w:r>
    </w:p>
  </w:endnote>
  <w:endnote w:type="continuationSeparator" w:id="0">
    <w:p w:rsidR="005C4477" w:rsidRPr="009D30E6" w:rsidRDefault="005C4477" w:rsidP="007E663E">
      <w:pPr>
        <w:rPr>
          <w:sz w:val="17"/>
          <w:szCs w:val="17"/>
        </w:rPr>
      </w:pPr>
      <w:r w:rsidRPr="009D30E6">
        <w:rPr>
          <w:sz w:val="17"/>
          <w:szCs w:val="17"/>
        </w:rPr>
        <w:separator/>
      </w:r>
    </w:p>
    <w:p w:rsidR="005C4477" w:rsidRPr="007E663E" w:rsidRDefault="005C4477" w:rsidP="007E663E">
      <w:pPr>
        <w:spacing w:after="60"/>
        <w:rPr>
          <w:sz w:val="17"/>
          <w:szCs w:val="17"/>
        </w:rPr>
      </w:pPr>
      <w:r>
        <w:rPr>
          <w:sz w:val="17"/>
        </w:rPr>
        <w:t>[Continuación de la nota de la página anterior]</w:t>
      </w:r>
    </w:p>
  </w:endnote>
  <w:endnote w:type="continuationNotice" w:id="1">
    <w:p w:rsidR="005C4477" w:rsidRPr="007E663E" w:rsidRDefault="005C4477"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477" w:rsidRDefault="005C4477">
      <w:r>
        <w:separator/>
      </w:r>
    </w:p>
  </w:footnote>
  <w:footnote w:type="continuationSeparator" w:id="0">
    <w:p w:rsidR="005C4477" w:rsidRPr="009D30E6" w:rsidRDefault="005C4477" w:rsidP="007E663E">
      <w:pPr>
        <w:rPr>
          <w:sz w:val="17"/>
          <w:szCs w:val="17"/>
        </w:rPr>
      </w:pPr>
      <w:r w:rsidRPr="009D30E6">
        <w:rPr>
          <w:sz w:val="17"/>
          <w:szCs w:val="17"/>
        </w:rPr>
        <w:separator/>
      </w:r>
    </w:p>
    <w:p w:rsidR="005C4477" w:rsidRPr="007E663E" w:rsidRDefault="005C4477" w:rsidP="007E663E">
      <w:pPr>
        <w:spacing w:after="60"/>
        <w:rPr>
          <w:sz w:val="17"/>
          <w:szCs w:val="17"/>
        </w:rPr>
      </w:pPr>
      <w:r>
        <w:rPr>
          <w:sz w:val="17"/>
        </w:rPr>
        <w:t>[Continuación de la nota de la página anterior]</w:t>
      </w:r>
    </w:p>
  </w:footnote>
  <w:footnote w:type="continuationNotice" w:id="1">
    <w:p w:rsidR="005C4477" w:rsidRPr="007E663E" w:rsidRDefault="005C4477" w:rsidP="007E663E">
      <w:pPr>
        <w:spacing w:before="60"/>
        <w:jc w:val="right"/>
        <w:rPr>
          <w:sz w:val="17"/>
          <w:szCs w:val="17"/>
        </w:rPr>
      </w:pPr>
      <w:r w:rsidRPr="007E663E">
        <w:rPr>
          <w:sz w:val="17"/>
          <w:szCs w:val="17"/>
        </w:rPr>
        <w:t>[Sigue la nota en la página siguiente]</w:t>
      </w:r>
    </w:p>
  </w:footnote>
  <w:footnote w:id="2">
    <w:p w:rsidR="009160E5" w:rsidRPr="00F005DC" w:rsidRDefault="009160E5" w:rsidP="009160E5">
      <w:pPr>
        <w:pStyle w:val="FootnoteText"/>
        <w:rPr>
          <w:lang w:val="es-ES_tradnl"/>
        </w:rPr>
      </w:pPr>
      <w:r w:rsidRPr="00F005DC">
        <w:rPr>
          <w:rStyle w:val="FootnoteReference"/>
        </w:rPr>
        <w:footnoteRef/>
      </w:r>
      <w:r w:rsidRPr="00F005DC">
        <w:t xml:space="preserve"> </w:t>
      </w:r>
      <w:r w:rsidRPr="00F005DC">
        <w:rPr>
          <w:lang w:val="es-ES_tradnl"/>
        </w:rPr>
        <w:tab/>
        <w:t xml:space="preserve">Con arreglo a la Guía de Indicaciones Geográficas: </w:t>
      </w:r>
      <w:r w:rsidR="002452E7" w:rsidRPr="00F005DC">
        <w:rPr>
          <w:lang w:val="es-ES_tradnl"/>
        </w:rPr>
        <w:t xml:space="preserve"> </w:t>
      </w:r>
      <w:r w:rsidRPr="00F005DC">
        <w:rPr>
          <w:lang w:val="es-ES_tradnl"/>
        </w:rPr>
        <w:t>Vinculación de los productos con su origen, preparada por Daniele Giovan</w:t>
      </w:r>
      <w:r w:rsidR="0088705D" w:rsidRPr="00F005DC">
        <w:rPr>
          <w:lang w:val="es-ES_tradnl"/>
        </w:rPr>
        <w:t>n</w:t>
      </w:r>
      <w:r w:rsidRPr="00F005DC">
        <w:rPr>
          <w:lang w:val="es-ES_tradnl"/>
        </w:rPr>
        <w:t>ucci</w:t>
      </w:r>
      <w:r w:rsidR="0088705D" w:rsidRPr="00F005DC">
        <w:rPr>
          <w:lang w:val="es-ES_tradnl"/>
        </w:rPr>
        <w:t xml:space="preserve"> y otros,</w:t>
      </w:r>
      <w:r w:rsidRPr="00F005DC">
        <w:rPr>
          <w:lang w:val="es-ES_tradnl"/>
        </w:rPr>
        <w:t xml:space="preserve"> publicada por el Centro de Comercio Internacional en 2009, en ese momento había unas 10.000</w:t>
      </w:r>
      <w:r w:rsidR="0088705D" w:rsidRPr="00F005DC">
        <w:rPr>
          <w:lang w:val="es-ES_tradnl"/>
        </w:rPr>
        <w:t xml:space="preserve"> </w:t>
      </w:r>
      <w:r w:rsidRPr="00F005DC">
        <w:rPr>
          <w:lang w:val="es-ES_tradnl"/>
        </w:rPr>
        <w:t>indicaciones geográficas protegidas –cifra que incluye también las denominaciones de origen.  Si bien es probable que esa cifra haya aumentado desde entonces, no se dispone de cifras respecto del número de indicaciones geográficas y denominaciones de origen que podrían pasar a estar protegidas en el futuro.</w:t>
      </w:r>
    </w:p>
  </w:footnote>
  <w:footnote w:id="3">
    <w:p w:rsidR="005C4477" w:rsidRPr="003A27A4" w:rsidRDefault="005C4477" w:rsidP="005C4477">
      <w:pPr>
        <w:pStyle w:val="FootnoteText"/>
        <w:rPr>
          <w:lang w:val="es-ES_tradnl"/>
        </w:rPr>
      </w:pPr>
      <w:r w:rsidRPr="00F005DC">
        <w:rPr>
          <w:rStyle w:val="FootnoteReference"/>
        </w:rPr>
        <w:footnoteRef/>
      </w:r>
      <w:r w:rsidRPr="00F005DC">
        <w:rPr>
          <w:lang w:val="es-ES_tradnl"/>
        </w:rPr>
        <w:tab/>
      </w:r>
      <w:r w:rsidR="00430CB8">
        <w:rPr>
          <w:lang w:val="es-ES_tradnl"/>
        </w:rPr>
        <w:t>La t</w:t>
      </w:r>
      <w:r w:rsidR="003A27A4" w:rsidRPr="00F005DC">
        <w:rPr>
          <w:lang w:val="es-ES_tradnl"/>
        </w:rPr>
        <w:t xml:space="preserve">asa de base de </w:t>
      </w:r>
      <w:r w:rsidRPr="00F005DC">
        <w:rPr>
          <w:lang w:val="es-ES_tradnl"/>
        </w:rPr>
        <w:t xml:space="preserve">653 </w:t>
      </w:r>
      <w:r w:rsidR="003A27A4" w:rsidRPr="00F005DC">
        <w:rPr>
          <w:lang w:val="es-ES_tradnl"/>
        </w:rPr>
        <w:t xml:space="preserve">francos suizos, más el complemento de tasa </w:t>
      </w:r>
      <w:r w:rsidR="00430CB8" w:rsidRPr="00F005DC">
        <w:rPr>
          <w:lang w:val="es-ES_tradnl"/>
        </w:rPr>
        <w:t xml:space="preserve">de 100 francos suizos </w:t>
      </w:r>
      <w:r w:rsidR="003A27A4" w:rsidRPr="00F005DC">
        <w:rPr>
          <w:lang w:val="es-ES_tradnl"/>
        </w:rPr>
        <w:t>por cada Estado designado multiplicad</w:t>
      </w:r>
      <w:r w:rsidR="00430CB8">
        <w:rPr>
          <w:lang w:val="es-ES_tradnl"/>
        </w:rPr>
        <w:t>o</w:t>
      </w:r>
      <w:r w:rsidR="003A27A4" w:rsidRPr="00F005DC">
        <w:rPr>
          <w:lang w:val="es-ES_tradnl"/>
        </w:rPr>
        <w:t xml:space="preserve"> por</w:t>
      </w:r>
      <w:r w:rsidRPr="00F005DC">
        <w:rPr>
          <w:lang w:val="es-ES_tradnl"/>
        </w:rPr>
        <w:t xml:space="preserve">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74" w:rsidRDefault="005C4477" w:rsidP="00477D6B">
    <w:pPr>
      <w:jc w:val="right"/>
    </w:pPr>
    <w:bookmarkStart w:id="6" w:name="Code2"/>
    <w:bookmarkEnd w:id="6"/>
    <w:r>
      <w:t>LI/A/32/2</w:t>
    </w:r>
  </w:p>
  <w:p w:rsidR="00F84474" w:rsidRDefault="00DD1D22" w:rsidP="009160E5">
    <w:pPr>
      <w:jc w:val="right"/>
    </w:pPr>
    <w:r w:rsidRPr="00DD1D22">
      <w:rPr>
        <w:lang w:val="es-ES_tradnl"/>
      </w:rPr>
      <w:t>página</w:t>
    </w:r>
    <w:r>
      <w:t xml:space="preserve"> </w:t>
    </w:r>
    <w:r w:rsidR="00F84474">
      <w:fldChar w:fldCharType="begin"/>
    </w:r>
    <w:r w:rsidR="00F84474">
      <w:instrText xml:space="preserve"> PAGE  \* MERGEFORMAT </w:instrText>
    </w:r>
    <w:r w:rsidR="00F84474">
      <w:fldChar w:fldCharType="separate"/>
    </w:r>
    <w:r w:rsidR="00F47329">
      <w:rPr>
        <w:noProof/>
      </w:rPr>
      <w:t>2</w:t>
    </w:r>
    <w:r w:rsidR="00F84474">
      <w:fldChar w:fldCharType="end"/>
    </w:r>
  </w:p>
  <w:p w:rsidR="00F84474" w:rsidRDefault="00F84474"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8BF6B09"/>
    <w:multiLevelType w:val="hybridMultilevel"/>
    <w:tmpl w:val="1C1CBD56"/>
    <w:lvl w:ilvl="0" w:tplc="B86A5746">
      <w:start w:val="1"/>
      <w:numFmt w:val="lowerRoman"/>
      <w:lvlText w:val="%1)"/>
      <w:lvlJc w:val="left"/>
      <w:pPr>
        <w:ind w:left="1260" w:hanging="720"/>
      </w:pPr>
      <w:rPr>
        <w:rFonts w:hint="default"/>
        <w:lang w:val="es-E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E45568D"/>
    <w:multiLevelType w:val="hybridMultilevel"/>
    <w:tmpl w:val="7B54E8E4"/>
    <w:lvl w:ilvl="0" w:tplc="B86A5746">
      <w:start w:val="1"/>
      <w:numFmt w:val="lowerRoman"/>
      <w:lvlText w:val="%1)"/>
      <w:lvlJc w:val="left"/>
      <w:pPr>
        <w:ind w:left="6390" w:hanging="720"/>
      </w:pPr>
      <w:rPr>
        <w:rFonts w:hint="default"/>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New"/>
    <w:docVar w:name="TermBaseURL" w:val="empty"/>
    <w:docVar w:name="TextBases" w:val="TextBase TMs\WorkspaceSTS\EN-ES\Administrative\Meetings|TextBase TMs\WorkspaceSTS\EN-ES\Administrative\Organigrama|TextBase TMs\WorkspaceSTS\EN-ES\Administrative\Other|TextBase TMs\WorkspaceSTS\EN-ES\Administrative\Publications|TextBase TMs\WorkspaceSTS\EN-ES\Budget and Finance\Meetings|TextBase TMs\WorkspaceSTS\EN-ES\Budget and Finance\Other|TextBase TMs\WorkspaceSTS\EN-ES\Budget and Finance\Política de inversiones|TextBase TMs\WorkspaceSTS\EN-ES\Budget and Finance\Publications|TextBase TMs\WorkspaceSTS\EN-ES\Copyright\Meetings|TextBase TMs\WorkspaceSTS\EN-ES\Copyright\Other|TextBase TMs\WorkspaceSTS\EN-ES\Copyright\Publications|TextBase TMs\WorkspaceSTS\EN-ES\Glossaries\EN-ES|TextBase TMs\WorkspaceSTS\EN-ES\Glossaries\Países|TextBase TMs\WorkspaceSTS\EN-ES\IP in General\Academy|TextBase TMs\WorkspaceSTS\EN-ES\IP in General\Arbitration and Mediation|TextBase TMs\WorkspaceSTS\EN-ES\IP in General\Meetings|TextBase TMs\WorkspaceSTS\EN-ES\IP in General\Other|TextBase TMs\WorkspaceSTS\EN-ES\IP in General\Press Room|TextBase TMs\WorkspaceSTS\EN-ES\IP in General\Publications|TextBase TMs\WorkspaceSTS\EN-ES\Patents\Meetings|TextBase TMs\WorkspaceSTS\EN-ES\Patents\Other|TextBase TMs\WorkspaceSTS\EN-ES\Patents\Publications|TextBase TMs\WorkspaceSTS\EN-ES\Trademarks\Documentos conferencia diplomática 2015|TextBase TMs\WorkspaceSTS\EN-ES\Trademarks\Meetings|TextBase TMs\WorkspaceSTS\EN-ES\Trademarks\Other|TextBase TMs\WorkspaceSTS\EN-ES\Trademarks\Publications|TextBase TMs\WorkspaceSTS\EN-ES\Treaties\Model Laws|TextBase TMs\WorkspaceSTS\EN-ES\Treaties\Other Laws and Agreements|TextBase TMs\WorkspaceSTS\EN-ES\Treaties\WIPO-administered|TextBase TMs\WorkspaceSTS\EN-ES\UPOV\Meetings|TextBase TMs\WorkspaceSTS\EN-ES\UPOV\Other|TextBase TMs\WorkspaceSTS\EN-ES\UPOV\Publications|TextBase TMs\WorkspaceSTS\EN-ES\UPOV\Technical Guidelines|TextBase TMs\WorkspaceSTS\EN-ES\UPOV\TGP_7"/>
    <w:docVar w:name="TextBaseURL" w:val="empty"/>
    <w:docVar w:name="UILng" w:val="en"/>
  </w:docVars>
  <w:rsids>
    <w:rsidRoot w:val="005C4477"/>
    <w:rsid w:val="00005072"/>
    <w:rsid w:val="00033A1F"/>
    <w:rsid w:val="00061519"/>
    <w:rsid w:val="000655C2"/>
    <w:rsid w:val="000B2858"/>
    <w:rsid w:val="000B320C"/>
    <w:rsid w:val="000E3BB3"/>
    <w:rsid w:val="000F5E56"/>
    <w:rsid w:val="000F663B"/>
    <w:rsid w:val="001362EE"/>
    <w:rsid w:val="00152CEA"/>
    <w:rsid w:val="001832A6"/>
    <w:rsid w:val="001C4DD3"/>
    <w:rsid w:val="002334E7"/>
    <w:rsid w:val="002452E7"/>
    <w:rsid w:val="002634C4"/>
    <w:rsid w:val="0029189C"/>
    <w:rsid w:val="0029301E"/>
    <w:rsid w:val="002D111D"/>
    <w:rsid w:val="002F4E68"/>
    <w:rsid w:val="003405BB"/>
    <w:rsid w:val="00354647"/>
    <w:rsid w:val="00363975"/>
    <w:rsid w:val="00377273"/>
    <w:rsid w:val="003845C1"/>
    <w:rsid w:val="00387287"/>
    <w:rsid w:val="003A27A4"/>
    <w:rsid w:val="003D41D4"/>
    <w:rsid w:val="00403EAB"/>
    <w:rsid w:val="00423E3E"/>
    <w:rsid w:val="00427AF4"/>
    <w:rsid w:val="00430CB8"/>
    <w:rsid w:val="00445B4D"/>
    <w:rsid w:val="0045231F"/>
    <w:rsid w:val="004647DA"/>
    <w:rsid w:val="00477D6B"/>
    <w:rsid w:val="00484FD8"/>
    <w:rsid w:val="004960BF"/>
    <w:rsid w:val="004A6C37"/>
    <w:rsid w:val="004C110A"/>
    <w:rsid w:val="004E3C2B"/>
    <w:rsid w:val="0055013B"/>
    <w:rsid w:val="0056224D"/>
    <w:rsid w:val="0057195C"/>
    <w:rsid w:val="00571B99"/>
    <w:rsid w:val="005B146F"/>
    <w:rsid w:val="005C4477"/>
    <w:rsid w:val="005E48D8"/>
    <w:rsid w:val="00605827"/>
    <w:rsid w:val="00617315"/>
    <w:rsid w:val="00670309"/>
    <w:rsid w:val="00675021"/>
    <w:rsid w:val="006825D9"/>
    <w:rsid w:val="006A06C6"/>
    <w:rsid w:val="00723B2C"/>
    <w:rsid w:val="00727000"/>
    <w:rsid w:val="00761BB4"/>
    <w:rsid w:val="007E663E"/>
    <w:rsid w:val="007F2E94"/>
    <w:rsid w:val="00811AF7"/>
    <w:rsid w:val="00815082"/>
    <w:rsid w:val="0088705D"/>
    <w:rsid w:val="008B2CC1"/>
    <w:rsid w:val="008D756E"/>
    <w:rsid w:val="0090731E"/>
    <w:rsid w:val="009160E5"/>
    <w:rsid w:val="00966A22"/>
    <w:rsid w:val="00972F03"/>
    <w:rsid w:val="00974D2D"/>
    <w:rsid w:val="009A0C8B"/>
    <w:rsid w:val="009B6241"/>
    <w:rsid w:val="00A16FC0"/>
    <w:rsid w:val="00A32C9E"/>
    <w:rsid w:val="00A7453D"/>
    <w:rsid w:val="00AB613D"/>
    <w:rsid w:val="00B65A0A"/>
    <w:rsid w:val="00B72D36"/>
    <w:rsid w:val="00BC4164"/>
    <w:rsid w:val="00BD2DCC"/>
    <w:rsid w:val="00BE1A8C"/>
    <w:rsid w:val="00C618C3"/>
    <w:rsid w:val="00C90559"/>
    <w:rsid w:val="00CA13A4"/>
    <w:rsid w:val="00CC771F"/>
    <w:rsid w:val="00D06879"/>
    <w:rsid w:val="00D40CF0"/>
    <w:rsid w:val="00D44F11"/>
    <w:rsid w:val="00D56C7C"/>
    <w:rsid w:val="00D71B4D"/>
    <w:rsid w:val="00D90289"/>
    <w:rsid w:val="00D93D55"/>
    <w:rsid w:val="00DC5E0C"/>
    <w:rsid w:val="00DD1D22"/>
    <w:rsid w:val="00E4264E"/>
    <w:rsid w:val="00E45C84"/>
    <w:rsid w:val="00E504E5"/>
    <w:rsid w:val="00EB1812"/>
    <w:rsid w:val="00EB7A3E"/>
    <w:rsid w:val="00EC401A"/>
    <w:rsid w:val="00EF1EC3"/>
    <w:rsid w:val="00EF530A"/>
    <w:rsid w:val="00EF6622"/>
    <w:rsid w:val="00F005DC"/>
    <w:rsid w:val="00F1538E"/>
    <w:rsid w:val="00F47329"/>
    <w:rsid w:val="00F55408"/>
    <w:rsid w:val="00F66152"/>
    <w:rsid w:val="00F80845"/>
    <w:rsid w:val="00F84474"/>
    <w:rsid w:val="00F91A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061519"/>
    <w:rPr>
      <w:rFonts w:ascii="Tahoma" w:hAnsi="Tahoma" w:cs="Tahoma"/>
      <w:sz w:val="16"/>
      <w:szCs w:val="16"/>
    </w:rPr>
  </w:style>
  <w:style w:type="character" w:customStyle="1" w:styleId="BalloonTextChar">
    <w:name w:val="Balloon Text Char"/>
    <w:basedOn w:val="DefaultParagraphFont"/>
    <w:link w:val="BalloonText"/>
    <w:rsid w:val="00061519"/>
    <w:rPr>
      <w:rFonts w:ascii="Tahoma" w:eastAsia="SimSun" w:hAnsi="Tahoma" w:cs="Tahoma"/>
      <w:sz w:val="16"/>
      <w:szCs w:val="16"/>
      <w:lang w:val="es-ES" w:eastAsia="zh-CN"/>
    </w:rPr>
  </w:style>
  <w:style w:type="character" w:customStyle="1" w:styleId="Heading1Char">
    <w:name w:val="Heading 1 Char"/>
    <w:basedOn w:val="DefaultParagraphFont"/>
    <w:link w:val="Heading1"/>
    <w:rsid w:val="005C4477"/>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5C4477"/>
    <w:rPr>
      <w:rFonts w:ascii="Arial" w:eastAsia="SimSun" w:hAnsi="Arial" w:cs="Arial"/>
      <w:bCs/>
      <w:iCs/>
      <w:caps/>
      <w:sz w:val="22"/>
      <w:szCs w:val="28"/>
      <w:lang w:val="es-ES" w:eastAsia="zh-CN"/>
    </w:rPr>
  </w:style>
  <w:style w:type="character" w:customStyle="1" w:styleId="FootnoteTextChar">
    <w:name w:val="Footnote Text Char"/>
    <w:basedOn w:val="DefaultParagraphFont"/>
    <w:link w:val="FootnoteText"/>
    <w:uiPriority w:val="99"/>
    <w:rsid w:val="005C4477"/>
    <w:rPr>
      <w:rFonts w:ascii="Arial" w:eastAsia="SimSun" w:hAnsi="Arial" w:cs="Arial"/>
      <w:sz w:val="18"/>
      <w:lang w:val="es-ES" w:eastAsia="zh-CN"/>
    </w:rPr>
  </w:style>
  <w:style w:type="character" w:styleId="FootnoteReference">
    <w:name w:val="footnote reference"/>
    <w:uiPriority w:val="99"/>
    <w:rsid w:val="005C4477"/>
    <w:rPr>
      <w:vertAlign w:val="superscript"/>
    </w:rPr>
  </w:style>
  <w:style w:type="paragraph" w:styleId="ListParagraph">
    <w:name w:val="List Paragraph"/>
    <w:basedOn w:val="Normal"/>
    <w:uiPriority w:val="34"/>
    <w:qFormat/>
    <w:rsid w:val="005C4477"/>
    <w:pPr>
      <w:ind w:left="720"/>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061519"/>
    <w:rPr>
      <w:rFonts w:ascii="Tahoma" w:hAnsi="Tahoma" w:cs="Tahoma"/>
      <w:sz w:val="16"/>
      <w:szCs w:val="16"/>
    </w:rPr>
  </w:style>
  <w:style w:type="character" w:customStyle="1" w:styleId="BalloonTextChar">
    <w:name w:val="Balloon Text Char"/>
    <w:basedOn w:val="DefaultParagraphFont"/>
    <w:link w:val="BalloonText"/>
    <w:rsid w:val="00061519"/>
    <w:rPr>
      <w:rFonts w:ascii="Tahoma" w:eastAsia="SimSun" w:hAnsi="Tahoma" w:cs="Tahoma"/>
      <w:sz w:val="16"/>
      <w:szCs w:val="16"/>
      <w:lang w:val="es-ES" w:eastAsia="zh-CN"/>
    </w:rPr>
  </w:style>
  <w:style w:type="character" w:customStyle="1" w:styleId="Heading1Char">
    <w:name w:val="Heading 1 Char"/>
    <w:basedOn w:val="DefaultParagraphFont"/>
    <w:link w:val="Heading1"/>
    <w:rsid w:val="005C4477"/>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5C4477"/>
    <w:rPr>
      <w:rFonts w:ascii="Arial" w:eastAsia="SimSun" w:hAnsi="Arial" w:cs="Arial"/>
      <w:bCs/>
      <w:iCs/>
      <w:caps/>
      <w:sz w:val="22"/>
      <w:szCs w:val="28"/>
      <w:lang w:val="es-ES" w:eastAsia="zh-CN"/>
    </w:rPr>
  </w:style>
  <w:style w:type="character" w:customStyle="1" w:styleId="FootnoteTextChar">
    <w:name w:val="Footnote Text Char"/>
    <w:basedOn w:val="DefaultParagraphFont"/>
    <w:link w:val="FootnoteText"/>
    <w:uiPriority w:val="99"/>
    <w:rsid w:val="005C4477"/>
    <w:rPr>
      <w:rFonts w:ascii="Arial" w:eastAsia="SimSun" w:hAnsi="Arial" w:cs="Arial"/>
      <w:sz w:val="18"/>
      <w:lang w:val="es-ES" w:eastAsia="zh-CN"/>
    </w:rPr>
  </w:style>
  <w:style w:type="character" w:styleId="FootnoteReference">
    <w:name w:val="footnote reference"/>
    <w:uiPriority w:val="99"/>
    <w:rsid w:val="005C4477"/>
    <w:rPr>
      <w:vertAlign w:val="superscript"/>
    </w:rPr>
  </w:style>
  <w:style w:type="paragraph" w:styleId="ListParagraph">
    <w:name w:val="List Paragraph"/>
    <w:basedOn w:val="Normal"/>
    <w:uiPriority w:val="34"/>
    <w:qFormat/>
    <w:rsid w:val="005C4477"/>
    <w:pPr>
      <w:ind w:left="72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LI%20A%203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 A 32 (S).dotm</Template>
  <TotalTime>131</TotalTime>
  <Pages>5</Pages>
  <Words>2169</Words>
  <Characters>11261</Characters>
  <Application>Microsoft Office Word</Application>
  <DocSecurity>0</DocSecurity>
  <Lines>229</Lines>
  <Paragraphs>51</Paragraphs>
  <ScaleCrop>false</ScaleCrop>
  <HeadingPairs>
    <vt:vector size="2" baseType="variant">
      <vt:variant>
        <vt:lpstr>Title</vt:lpstr>
      </vt:variant>
      <vt:variant>
        <vt:i4>1</vt:i4>
      </vt:variant>
    </vt:vector>
  </HeadingPairs>
  <TitlesOfParts>
    <vt:vector size="1" baseType="lpstr">
      <vt:lpstr>LI/A/32/2</vt:lpstr>
    </vt:vector>
  </TitlesOfParts>
  <Company>WIPO</Company>
  <LinksUpToDate>false</LinksUpToDate>
  <CharactersWithSpaces>13379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LI/A/32/2</dc:title>
  <dc:creator>MIGLIORE Liliana</dc:creator>
  <cp:lastModifiedBy>DORE Marie-Pierre</cp:lastModifiedBy>
  <cp:revision>4</cp:revision>
  <cp:lastPrinted>2015-08-24T07:22:00Z</cp:lastPrinted>
  <dcterms:created xsi:type="dcterms:W3CDTF">2015-08-24T07:21:00Z</dcterms:created>
  <dcterms:modified xsi:type="dcterms:W3CDTF">2015-08-24T09:34:00Z</dcterms:modified>
</cp:coreProperties>
</file>