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830F4" w:rsidRPr="00764590">
        <w:tc>
          <w:tcPr>
            <w:tcW w:w="4594" w:type="dxa"/>
            <w:tcBorders>
              <w:bottom w:val="single" w:sz="4" w:space="0" w:color="auto"/>
            </w:tcBorders>
            <w:tcMar>
              <w:bottom w:w="170" w:type="dxa"/>
            </w:tcMar>
          </w:tcPr>
          <w:p w:rsidR="00E830F4" w:rsidRPr="00764590" w:rsidRDefault="00E830F4" w:rsidP="00916EE2">
            <w:pPr>
              <w:rPr>
                <w:lang w:val="es-ES"/>
              </w:rPr>
            </w:pPr>
          </w:p>
        </w:tc>
        <w:tc>
          <w:tcPr>
            <w:tcW w:w="4337" w:type="dxa"/>
            <w:tcBorders>
              <w:bottom w:val="single" w:sz="4" w:space="0" w:color="auto"/>
            </w:tcBorders>
            <w:tcMar>
              <w:left w:w="0" w:type="dxa"/>
              <w:bottom w:w="170" w:type="dxa"/>
              <w:right w:w="0" w:type="dxa"/>
            </w:tcMar>
          </w:tcPr>
          <w:p w:rsidR="00E830F4" w:rsidRPr="00764590" w:rsidRDefault="00F378ED" w:rsidP="00916EE2">
            <w:pPr>
              <w:rPr>
                <w:lang w:val="es-ES"/>
              </w:rPr>
            </w:pPr>
            <w:r w:rsidRPr="00764590">
              <w:rPr>
                <w:noProof/>
                <w:lang w:eastAsia="en-US"/>
              </w:rPr>
              <w:drawing>
                <wp:inline distT="0" distB="0" distL="0" distR="0" wp14:anchorId="060A0C63" wp14:editId="4A89E23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830F4" w:rsidRPr="00764590" w:rsidRDefault="00F378ED" w:rsidP="00916EE2">
            <w:pPr>
              <w:jc w:val="right"/>
              <w:rPr>
                <w:lang w:val="es-ES"/>
              </w:rPr>
            </w:pPr>
            <w:r w:rsidRPr="00764590">
              <w:rPr>
                <w:b/>
                <w:sz w:val="40"/>
                <w:szCs w:val="40"/>
                <w:lang w:val="es-ES"/>
              </w:rPr>
              <w:t>S</w:t>
            </w:r>
          </w:p>
        </w:tc>
      </w:tr>
      <w:tr w:rsidR="00E830F4" w:rsidRPr="00764590">
        <w:trPr>
          <w:trHeight w:hRule="exact" w:val="340"/>
        </w:trPr>
        <w:tc>
          <w:tcPr>
            <w:tcW w:w="9356" w:type="dxa"/>
            <w:gridSpan w:val="3"/>
            <w:tcBorders>
              <w:top w:val="single" w:sz="4" w:space="0" w:color="auto"/>
            </w:tcBorders>
            <w:tcMar>
              <w:top w:w="170" w:type="dxa"/>
              <w:left w:w="0" w:type="dxa"/>
              <w:right w:w="0" w:type="dxa"/>
            </w:tcMar>
            <w:vAlign w:val="bottom"/>
          </w:tcPr>
          <w:p w:rsidR="00E830F4" w:rsidRPr="00764590" w:rsidRDefault="003A6F9E" w:rsidP="00916EE2">
            <w:pPr>
              <w:jc w:val="right"/>
              <w:rPr>
                <w:rFonts w:ascii="Arial Black" w:hAnsi="Arial Black"/>
                <w:caps/>
                <w:sz w:val="15"/>
                <w:lang w:val="es-ES"/>
              </w:rPr>
            </w:pPr>
            <w:r w:rsidRPr="00764590">
              <w:rPr>
                <w:rFonts w:ascii="Arial Black" w:hAnsi="Arial Black"/>
                <w:caps/>
                <w:sz w:val="15"/>
                <w:lang w:val="es-ES"/>
              </w:rPr>
              <w:t>H/A/35</w:t>
            </w:r>
            <w:r w:rsidR="00E830F4" w:rsidRPr="00764590">
              <w:rPr>
                <w:rFonts w:ascii="Arial Black" w:hAnsi="Arial Black"/>
                <w:caps/>
                <w:sz w:val="15"/>
                <w:lang w:val="es-ES"/>
              </w:rPr>
              <w:t>/</w:t>
            </w:r>
            <w:bookmarkStart w:id="0" w:name="Code"/>
            <w:bookmarkEnd w:id="0"/>
            <w:r w:rsidR="00E830F4" w:rsidRPr="00764590">
              <w:rPr>
                <w:rFonts w:ascii="Arial Black" w:hAnsi="Arial Black"/>
                <w:caps/>
                <w:sz w:val="15"/>
                <w:lang w:val="es-ES"/>
              </w:rPr>
              <w:t xml:space="preserve">1    </w:t>
            </w:r>
          </w:p>
        </w:tc>
      </w:tr>
      <w:tr w:rsidR="00E830F4" w:rsidRPr="00764590">
        <w:trPr>
          <w:trHeight w:hRule="exact" w:val="170"/>
        </w:trPr>
        <w:tc>
          <w:tcPr>
            <w:tcW w:w="9356" w:type="dxa"/>
            <w:gridSpan w:val="3"/>
            <w:noWrap/>
            <w:tcMar>
              <w:left w:w="0" w:type="dxa"/>
              <w:right w:w="0" w:type="dxa"/>
            </w:tcMar>
            <w:vAlign w:val="bottom"/>
          </w:tcPr>
          <w:p w:rsidR="00E830F4" w:rsidRPr="00764590" w:rsidRDefault="00E830F4" w:rsidP="00F378ED">
            <w:pPr>
              <w:jc w:val="right"/>
              <w:rPr>
                <w:rFonts w:ascii="Arial Black" w:hAnsi="Arial Black"/>
                <w:caps/>
                <w:sz w:val="15"/>
                <w:lang w:val="es-ES"/>
              </w:rPr>
            </w:pPr>
            <w:r w:rsidRPr="00764590">
              <w:rPr>
                <w:rFonts w:ascii="Arial Black" w:hAnsi="Arial Black"/>
                <w:caps/>
                <w:sz w:val="15"/>
                <w:lang w:val="es-ES"/>
              </w:rPr>
              <w:t xml:space="preserve">ORIGINAL:  </w:t>
            </w:r>
            <w:bookmarkStart w:id="1" w:name="Original"/>
            <w:bookmarkEnd w:id="1"/>
            <w:r w:rsidR="00F378ED" w:rsidRPr="00764590">
              <w:rPr>
                <w:rFonts w:ascii="Arial Black" w:hAnsi="Arial Black"/>
                <w:caps/>
                <w:sz w:val="15"/>
                <w:lang w:val="es-ES"/>
              </w:rPr>
              <w:t>inglés</w:t>
            </w:r>
          </w:p>
        </w:tc>
      </w:tr>
      <w:tr w:rsidR="00E830F4" w:rsidRPr="00764590">
        <w:trPr>
          <w:trHeight w:hRule="exact" w:val="198"/>
        </w:trPr>
        <w:tc>
          <w:tcPr>
            <w:tcW w:w="9356" w:type="dxa"/>
            <w:gridSpan w:val="3"/>
            <w:tcMar>
              <w:left w:w="0" w:type="dxa"/>
              <w:right w:w="0" w:type="dxa"/>
            </w:tcMar>
            <w:vAlign w:val="bottom"/>
          </w:tcPr>
          <w:p w:rsidR="00E830F4" w:rsidRPr="00764590" w:rsidRDefault="00F378ED" w:rsidP="00F378ED">
            <w:pPr>
              <w:jc w:val="right"/>
              <w:rPr>
                <w:rFonts w:ascii="Arial Black" w:hAnsi="Arial Black"/>
                <w:caps/>
                <w:sz w:val="15"/>
                <w:lang w:val="es-ES"/>
              </w:rPr>
            </w:pPr>
            <w:r w:rsidRPr="00764590">
              <w:rPr>
                <w:rFonts w:ascii="Arial Black" w:hAnsi="Arial Black"/>
                <w:caps/>
                <w:sz w:val="15"/>
                <w:lang w:val="es-ES"/>
              </w:rPr>
              <w:t>fecha</w:t>
            </w:r>
            <w:r w:rsidR="00E830F4" w:rsidRPr="00764590">
              <w:rPr>
                <w:rFonts w:ascii="Arial Black" w:hAnsi="Arial Black"/>
                <w:caps/>
                <w:sz w:val="15"/>
                <w:lang w:val="es-ES"/>
              </w:rPr>
              <w:t xml:space="preserve">:  </w:t>
            </w:r>
            <w:bookmarkStart w:id="2" w:name="Date"/>
            <w:bookmarkEnd w:id="2"/>
            <w:r w:rsidRPr="00764590">
              <w:rPr>
                <w:rFonts w:ascii="Arial Black" w:hAnsi="Arial Black"/>
                <w:caps/>
                <w:sz w:val="15"/>
                <w:lang w:val="es-ES"/>
              </w:rPr>
              <w:t xml:space="preserve">7 de julio de </w:t>
            </w:r>
            <w:r w:rsidR="003A6F9E" w:rsidRPr="00764590">
              <w:rPr>
                <w:rFonts w:ascii="Arial Black" w:hAnsi="Arial Black"/>
                <w:caps/>
                <w:sz w:val="15"/>
                <w:lang w:val="es-ES"/>
              </w:rPr>
              <w:t xml:space="preserve"> 2015</w:t>
            </w:r>
          </w:p>
        </w:tc>
      </w:tr>
    </w:tbl>
    <w:p w:rsidR="00E830F4" w:rsidRPr="00764590" w:rsidRDefault="00E830F4" w:rsidP="008B2CC1">
      <w:pPr>
        <w:rPr>
          <w:lang w:val="es-ES"/>
        </w:rPr>
      </w:pPr>
    </w:p>
    <w:p w:rsidR="00E830F4" w:rsidRPr="00764590" w:rsidRDefault="00E830F4" w:rsidP="008B2CC1">
      <w:pPr>
        <w:rPr>
          <w:lang w:val="es-ES"/>
        </w:rPr>
      </w:pPr>
    </w:p>
    <w:p w:rsidR="00E830F4" w:rsidRPr="00764590" w:rsidRDefault="00E830F4" w:rsidP="008B2CC1">
      <w:pPr>
        <w:rPr>
          <w:lang w:val="es-ES"/>
        </w:rPr>
      </w:pPr>
    </w:p>
    <w:p w:rsidR="00E830F4" w:rsidRPr="00764590" w:rsidRDefault="00E830F4" w:rsidP="008B2CC1">
      <w:pPr>
        <w:rPr>
          <w:lang w:val="es-ES"/>
        </w:rPr>
      </w:pPr>
    </w:p>
    <w:p w:rsidR="00E830F4" w:rsidRPr="00764590" w:rsidRDefault="00E830F4" w:rsidP="008B2CC1">
      <w:pPr>
        <w:rPr>
          <w:lang w:val="es-ES"/>
        </w:rPr>
      </w:pPr>
    </w:p>
    <w:p w:rsidR="00F378ED" w:rsidRPr="00764590" w:rsidRDefault="00F378ED" w:rsidP="00F378ED">
      <w:pPr>
        <w:rPr>
          <w:b/>
          <w:sz w:val="28"/>
          <w:szCs w:val="28"/>
          <w:lang w:val="es-ES"/>
        </w:rPr>
      </w:pPr>
      <w:r w:rsidRPr="00764590">
        <w:rPr>
          <w:b/>
          <w:color w:val="000000"/>
          <w:sz w:val="28"/>
          <w:szCs w:val="28"/>
          <w:lang w:val="es-ES"/>
        </w:rPr>
        <w:t>Unión Particular para el Depósito Internacional de Dibujos y Modelos Industriales (Unión de La Haya)</w:t>
      </w:r>
    </w:p>
    <w:p w:rsidR="00E830F4" w:rsidRPr="00764590" w:rsidRDefault="00E830F4" w:rsidP="003845C1">
      <w:pPr>
        <w:rPr>
          <w:lang w:val="es-ES"/>
        </w:rPr>
      </w:pPr>
    </w:p>
    <w:p w:rsidR="00E830F4" w:rsidRPr="00764590" w:rsidRDefault="00E830F4" w:rsidP="003845C1">
      <w:pPr>
        <w:rPr>
          <w:lang w:val="es-ES"/>
        </w:rPr>
      </w:pPr>
    </w:p>
    <w:p w:rsidR="00E830F4" w:rsidRPr="00764590" w:rsidRDefault="00904048" w:rsidP="00D66495">
      <w:pPr>
        <w:outlineLvl w:val="0"/>
        <w:rPr>
          <w:b/>
          <w:sz w:val="28"/>
          <w:szCs w:val="28"/>
          <w:lang w:val="es-ES"/>
        </w:rPr>
      </w:pPr>
      <w:r w:rsidRPr="00764590">
        <w:rPr>
          <w:b/>
          <w:sz w:val="28"/>
          <w:szCs w:val="28"/>
          <w:lang w:val="es-ES"/>
        </w:rPr>
        <w:t>Asamblea</w:t>
      </w:r>
    </w:p>
    <w:p w:rsidR="00E830F4" w:rsidRPr="00764590" w:rsidRDefault="00E830F4" w:rsidP="003845C1">
      <w:pPr>
        <w:rPr>
          <w:lang w:val="es-ES"/>
        </w:rPr>
      </w:pPr>
    </w:p>
    <w:p w:rsidR="00E830F4" w:rsidRPr="00764590" w:rsidRDefault="00E830F4" w:rsidP="003845C1">
      <w:pPr>
        <w:rPr>
          <w:lang w:val="es-ES"/>
        </w:rPr>
      </w:pPr>
    </w:p>
    <w:p w:rsidR="00904048" w:rsidRPr="00764590" w:rsidRDefault="00904048" w:rsidP="00904048">
      <w:pPr>
        <w:rPr>
          <w:b/>
          <w:sz w:val="24"/>
          <w:szCs w:val="24"/>
          <w:lang w:val="es-ES"/>
        </w:rPr>
      </w:pPr>
      <w:r w:rsidRPr="00764590">
        <w:rPr>
          <w:b/>
          <w:sz w:val="24"/>
          <w:szCs w:val="24"/>
          <w:lang w:val="es-ES"/>
        </w:rPr>
        <w:t>Trigésimo quinto período de sesiones (20º</w:t>
      </w:r>
      <w:r w:rsidRPr="00764590">
        <w:rPr>
          <w:b/>
          <w:sz w:val="24"/>
          <w:szCs w:val="24"/>
          <w:vertAlign w:val="superscript"/>
          <w:lang w:val="es-ES"/>
        </w:rPr>
        <w:t xml:space="preserve"> </w:t>
      </w:r>
      <w:r w:rsidRPr="00764590">
        <w:rPr>
          <w:b/>
          <w:sz w:val="24"/>
          <w:szCs w:val="24"/>
          <w:lang w:val="es-ES"/>
        </w:rPr>
        <w:t>ordinario)</w:t>
      </w:r>
    </w:p>
    <w:p w:rsidR="00904048" w:rsidRPr="00764590" w:rsidRDefault="00904048" w:rsidP="00904048">
      <w:pPr>
        <w:rPr>
          <w:b/>
          <w:sz w:val="24"/>
          <w:szCs w:val="24"/>
          <w:lang w:val="es-ES"/>
        </w:rPr>
      </w:pPr>
      <w:r w:rsidRPr="00764590">
        <w:rPr>
          <w:b/>
          <w:sz w:val="24"/>
          <w:szCs w:val="24"/>
          <w:lang w:val="es-ES"/>
        </w:rPr>
        <w:t>Ginebra, 5 a 14 de octubre de 2015</w:t>
      </w:r>
    </w:p>
    <w:p w:rsidR="00E830F4" w:rsidRPr="00764590" w:rsidRDefault="00E830F4" w:rsidP="008B2CC1">
      <w:pPr>
        <w:rPr>
          <w:lang w:val="es-ES"/>
        </w:rPr>
      </w:pPr>
    </w:p>
    <w:p w:rsidR="00E830F4" w:rsidRPr="00764590" w:rsidRDefault="00E830F4" w:rsidP="008B2CC1">
      <w:pPr>
        <w:rPr>
          <w:lang w:val="es-ES"/>
        </w:rPr>
      </w:pPr>
    </w:p>
    <w:p w:rsidR="00E830F4" w:rsidRPr="00764590" w:rsidRDefault="00E830F4" w:rsidP="008B2CC1">
      <w:pPr>
        <w:rPr>
          <w:lang w:val="es-ES"/>
        </w:rPr>
      </w:pPr>
    </w:p>
    <w:p w:rsidR="00033F1B" w:rsidRPr="00764590" w:rsidRDefault="006C0257" w:rsidP="00033F1B">
      <w:pPr>
        <w:rPr>
          <w:caps/>
          <w:sz w:val="24"/>
          <w:lang w:val="es-ES"/>
        </w:rPr>
      </w:pPr>
      <w:bookmarkStart w:id="3" w:name="TitleOfDoc"/>
      <w:bookmarkEnd w:id="3"/>
      <w:r w:rsidRPr="00764590">
        <w:rPr>
          <w:caps/>
          <w:sz w:val="24"/>
          <w:lang w:val="es-ES"/>
        </w:rPr>
        <w:t>INFORME FINAL SOBRE EL PROGRAMA DE MODERNIZACIÓN DE LAS TECNOLOGÍAS DE LA INFORMACIÓN</w:t>
      </w:r>
      <w:r w:rsidR="003A6F9E" w:rsidRPr="00764590">
        <w:rPr>
          <w:caps/>
          <w:sz w:val="24"/>
          <w:lang w:val="es-ES"/>
        </w:rPr>
        <w:t xml:space="preserve"> </w:t>
      </w:r>
      <w:r w:rsidR="00033F1B" w:rsidRPr="00764590">
        <w:rPr>
          <w:caps/>
          <w:sz w:val="24"/>
          <w:lang w:val="es-ES"/>
        </w:rPr>
        <w:t>(</w:t>
      </w:r>
      <w:r w:rsidRPr="00764590">
        <w:rPr>
          <w:caps/>
          <w:sz w:val="24"/>
          <w:lang w:val="es-ES"/>
        </w:rPr>
        <w:t xml:space="preserve">SISTEMA DE </w:t>
      </w:r>
      <w:r w:rsidR="004851F5">
        <w:rPr>
          <w:caps/>
          <w:sz w:val="24"/>
          <w:lang w:val="es-ES"/>
        </w:rPr>
        <w:t xml:space="preserve">LA HAYA DE </w:t>
      </w:r>
      <w:r w:rsidRPr="00764590">
        <w:rPr>
          <w:caps/>
          <w:sz w:val="24"/>
          <w:lang w:val="es-ES"/>
        </w:rPr>
        <w:t>REGISTRO INTERNACIONAL</w:t>
      </w:r>
      <w:r w:rsidR="00033F1B" w:rsidRPr="00764590">
        <w:rPr>
          <w:caps/>
          <w:sz w:val="24"/>
          <w:lang w:val="es-ES"/>
        </w:rPr>
        <w:t>)</w:t>
      </w:r>
    </w:p>
    <w:p w:rsidR="00E830F4" w:rsidRPr="00764590" w:rsidRDefault="00E830F4" w:rsidP="008B2CC1">
      <w:pPr>
        <w:rPr>
          <w:lang w:val="es-ES"/>
        </w:rPr>
      </w:pPr>
    </w:p>
    <w:p w:rsidR="00E830F4" w:rsidRPr="00764590" w:rsidRDefault="006C0257" w:rsidP="008B2CC1">
      <w:pPr>
        <w:rPr>
          <w:i/>
          <w:lang w:val="es-ES"/>
        </w:rPr>
      </w:pPr>
      <w:bookmarkStart w:id="4" w:name="Prepared"/>
      <w:bookmarkEnd w:id="4"/>
      <w:proofErr w:type="gramStart"/>
      <w:r w:rsidRPr="00764590">
        <w:rPr>
          <w:i/>
          <w:lang w:val="es-ES"/>
        </w:rPr>
        <w:t>preparado</w:t>
      </w:r>
      <w:proofErr w:type="gramEnd"/>
      <w:r w:rsidRPr="00764590">
        <w:rPr>
          <w:i/>
          <w:lang w:val="es-ES"/>
        </w:rPr>
        <w:t xml:space="preserve"> por la Oficina </w:t>
      </w:r>
      <w:r w:rsidR="007D0804">
        <w:rPr>
          <w:i/>
          <w:lang w:val="es-ES"/>
        </w:rPr>
        <w:t>I</w:t>
      </w:r>
      <w:r w:rsidRPr="00764590">
        <w:rPr>
          <w:i/>
          <w:lang w:val="es-ES"/>
        </w:rPr>
        <w:t>nternacional</w:t>
      </w:r>
      <w:r w:rsidR="00E830F4" w:rsidRPr="00764590">
        <w:rPr>
          <w:i/>
          <w:lang w:val="es-ES"/>
        </w:rPr>
        <w:t xml:space="preserve"> </w:t>
      </w:r>
    </w:p>
    <w:p w:rsidR="00E830F4" w:rsidRPr="00764590" w:rsidRDefault="00E830F4">
      <w:pPr>
        <w:rPr>
          <w:lang w:val="es-ES"/>
        </w:rPr>
      </w:pPr>
    </w:p>
    <w:p w:rsidR="00E830F4" w:rsidRPr="00764590" w:rsidRDefault="00E830F4">
      <w:pPr>
        <w:rPr>
          <w:lang w:val="es-ES"/>
        </w:rPr>
      </w:pPr>
    </w:p>
    <w:p w:rsidR="00E830F4" w:rsidRPr="00764590" w:rsidRDefault="00E830F4">
      <w:pPr>
        <w:rPr>
          <w:lang w:val="es-ES"/>
        </w:rPr>
      </w:pPr>
    </w:p>
    <w:p w:rsidR="00E830F4" w:rsidRPr="00764590" w:rsidRDefault="006C0257" w:rsidP="00F42279">
      <w:pPr>
        <w:pStyle w:val="Heading1"/>
        <w:rPr>
          <w:lang w:val="es-ES"/>
        </w:rPr>
      </w:pPr>
      <w:r w:rsidRPr="00764590">
        <w:rPr>
          <w:lang w:val="es-ES"/>
        </w:rPr>
        <w:t>INTRODUCCIÓN</w:t>
      </w:r>
    </w:p>
    <w:p w:rsidR="00E830F4" w:rsidRPr="00764590" w:rsidRDefault="00E830F4" w:rsidP="0053057A">
      <w:pPr>
        <w:rPr>
          <w:lang w:val="es-ES"/>
        </w:rPr>
      </w:pPr>
    </w:p>
    <w:p w:rsidR="006C0257" w:rsidRPr="00764590" w:rsidRDefault="003A6F9E" w:rsidP="00E12D39">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6C0257" w:rsidRPr="00764590">
        <w:rPr>
          <w:lang w:val="es-ES"/>
        </w:rPr>
        <w:t>La finalidad del presente documento es reseñar los avances del programa de modernización de las tecnologías de la información (T.I.) (denominado, en adelante, “el programa”) desde el último período de sesiones de la Asamblea de la Unión de La Haya (denominada, en lo sucesivo, “la Asamblea”), celebrado en septiembre de 2014.  Con este motivo, el documento sirve también de informe final para proporcionar información actualizada a los miembros de la Asamblea acerca de la ejecución del programa.</w:t>
      </w:r>
    </w:p>
    <w:p w:rsidR="00E12D39" w:rsidRPr="00764590" w:rsidRDefault="00E12D39" w:rsidP="0053057A">
      <w:pPr>
        <w:rPr>
          <w:lang w:val="es-ES"/>
        </w:rPr>
      </w:pPr>
    </w:p>
    <w:p w:rsidR="00E830F4" w:rsidRPr="00764590" w:rsidRDefault="003A6F9E" w:rsidP="003E4897">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6C0257" w:rsidRPr="00764590">
        <w:rPr>
          <w:lang w:val="es-ES"/>
        </w:rPr>
        <w:t>El d</w:t>
      </w:r>
      <w:r w:rsidR="00E830F4" w:rsidRPr="00764590">
        <w:rPr>
          <w:lang w:val="es-ES"/>
        </w:rPr>
        <w:t>ocument</w:t>
      </w:r>
      <w:r w:rsidR="006C0257" w:rsidRPr="00764590">
        <w:rPr>
          <w:lang w:val="es-ES"/>
        </w:rPr>
        <w:t>o</w:t>
      </w:r>
      <w:r w:rsidR="00E830F4" w:rsidRPr="00764590">
        <w:rPr>
          <w:lang w:val="es-ES"/>
        </w:rPr>
        <w:t xml:space="preserve"> H/A/</w:t>
      </w:r>
      <w:r w:rsidR="00033F1B" w:rsidRPr="00764590">
        <w:rPr>
          <w:lang w:val="es-ES"/>
        </w:rPr>
        <w:t>34</w:t>
      </w:r>
      <w:r w:rsidR="00E830F4" w:rsidRPr="00764590">
        <w:rPr>
          <w:lang w:val="es-ES"/>
        </w:rPr>
        <w:t xml:space="preserve">/1 </w:t>
      </w:r>
      <w:r w:rsidR="006C0257" w:rsidRPr="00764590">
        <w:rPr>
          <w:lang w:val="es-ES"/>
        </w:rPr>
        <w:t>contiene el anterior informe sobre la marcha de las actividades del programa</w:t>
      </w:r>
      <w:r w:rsidR="00E830F4" w:rsidRPr="00764590">
        <w:rPr>
          <w:lang w:val="es-ES"/>
        </w:rPr>
        <w:t>.</w:t>
      </w:r>
    </w:p>
    <w:p w:rsidR="00E830F4" w:rsidRPr="00764590" w:rsidRDefault="00E830F4" w:rsidP="003E4897">
      <w:pPr>
        <w:rPr>
          <w:lang w:val="es-ES"/>
        </w:rPr>
      </w:pPr>
    </w:p>
    <w:p w:rsidR="006C0257" w:rsidRPr="00764590" w:rsidRDefault="003A6F9E" w:rsidP="00E12D39">
      <w:pPr>
        <w:autoSpaceDE w:val="0"/>
        <w:autoSpaceDN w:val="0"/>
        <w:adjustRightInd w:val="0"/>
        <w:rPr>
          <w:rFonts w:eastAsia="Times New Roman"/>
          <w:szCs w:val="22"/>
          <w:lang w:val="es-ES" w:eastAsia="en-U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6C0257" w:rsidRPr="00764590">
        <w:rPr>
          <w:lang w:val="es-ES"/>
        </w:rPr>
        <w:t xml:space="preserve">Se recuerda que el programa ha de ejecutarse en tres fases: </w:t>
      </w:r>
      <w:r w:rsidR="00743A8D" w:rsidRPr="00764590">
        <w:rPr>
          <w:lang w:val="es-ES"/>
        </w:rPr>
        <w:t>la fase I, la fase II y la fase </w:t>
      </w:r>
      <w:r w:rsidR="006C0257" w:rsidRPr="00764590">
        <w:rPr>
          <w:lang w:val="es-ES"/>
        </w:rPr>
        <w:t>III.  La fase I consta de subproyectos destinados a producir resultados positivos inmediatos o a servir para sentar las bases técnicas de la fase II.  La fase II corresponde a la migración técnica propiamente dicha de cada uno de los componentes del sistema de T.I. existente, que se utiliza tanto para los procedimientos de registro internacional del Sistema de Madrid como para los procedimientos del Sistema de La Haya, a un</w:t>
      </w:r>
      <w:r w:rsidR="001A5CC1">
        <w:rPr>
          <w:lang w:val="es-ES"/>
        </w:rPr>
        <w:t>a</w:t>
      </w:r>
      <w:r w:rsidR="006C0257" w:rsidRPr="00764590">
        <w:rPr>
          <w:lang w:val="es-ES"/>
        </w:rPr>
        <w:t xml:space="preserve"> tecnología moderna que permita garantizar que las partes interesadas de los Sistemas de Madrid y de La</w:t>
      </w:r>
      <w:r w:rsidR="007D0804">
        <w:rPr>
          <w:lang w:val="es-ES"/>
        </w:rPr>
        <w:t> </w:t>
      </w:r>
      <w:r w:rsidR="006C0257" w:rsidRPr="00764590">
        <w:rPr>
          <w:lang w:val="es-ES"/>
        </w:rPr>
        <w:t xml:space="preserve">Haya se </w:t>
      </w:r>
      <w:r w:rsidR="006C0257" w:rsidRPr="00764590">
        <w:rPr>
          <w:lang w:val="es-ES"/>
        </w:rPr>
        <w:lastRenderedPageBreak/>
        <w:t xml:space="preserve">beneficien en años venideros de una plataforma técnica equiparable a otras del sector.  La fase </w:t>
      </w:r>
      <w:r w:rsidR="006C0257" w:rsidRPr="00764590">
        <w:rPr>
          <w:rFonts w:eastAsia="Times New Roman"/>
          <w:szCs w:val="22"/>
          <w:lang w:val="es-ES" w:eastAsia="en-US"/>
        </w:rPr>
        <w:t>III es una fase facultativa que emprenderá la Oficina Internacional a fin de ocuparse de las actividades de estabilización necesarias del nuevo sistema, junto con los ajustes ergonómicos que sean necesarios después de la fecha oficial de su puesta en funcionamiento.</w:t>
      </w:r>
    </w:p>
    <w:p w:rsidR="006C0257" w:rsidRPr="00764590" w:rsidRDefault="006C0257" w:rsidP="00E12D39">
      <w:pPr>
        <w:autoSpaceDE w:val="0"/>
        <w:autoSpaceDN w:val="0"/>
        <w:adjustRightInd w:val="0"/>
        <w:rPr>
          <w:rFonts w:eastAsia="Times New Roman"/>
          <w:szCs w:val="22"/>
          <w:lang w:val="es-ES" w:eastAsia="en-US"/>
        </w:rPr>
      </w:pPr>
    </w:p>
    <w:p w:rsidR="006C0257" w:rsidRPr="00764590" w:rsidRDefault="003A6F9E" w:rsidP="003A6F9E">
      <w:pPr>
        <w:autoSpaceDE w:val="0"/>
        <w:autoSpaceDN w:val="0"/>
        <w:adjustRightInd w:val="0"/>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6C0257" w:rsidRPr="00764590">
        <w:rPr>
          <w:lang w:val="es-ES"/>
        </w:rPr>
        <w:t>En el d</w:t>
      </w:r>
      <w:r w:rsidR="00033F1B" w:rsidRPr="00764590">
        <w:rPr>
          <w:lang w:val="es-ES"/>
        </w:rPr>
        <w:t>ocument</w:t>
      </w:r>
      <w:r w:rsidR="006C0257" w:rsidRPr="00764590">
        <w:rPr>
          <w:lang w:val="es-ES"/>
        </w:rPr>
        <w:t>o</w:t>
      </w:r>
      <w:r w:rsidR="00033F1B" w:rsidRPr="00764590">
        <w:rPr>
          <w:lang w:val="es-ES"/>
        </w:rPr>
        <w:t xml:space="preserve"> H/A/34/1 </w:t>
      </w:r>
      <w:r w:rsidR="006C0257" w:rsidRPr="00764590">
        <w:rPr>
          <w:lang w:val="es-ES"/>
        </w:rPr>
        <w:t>se daba cuenta de todas las actividades de la fase I, junto con la información correspondiente a la recepción de un componente principal de la fase II del programa, a saber, la versión beta del Sistema de Información de los Registros Internacionales de Dibujos y Modelos (DIRIS), que ya había recibido en esa época la Oficina Internacional, y que estaba list</w:t>
      </w:r>
      <w:r w:rsidR="0010048A" w:rsidRPr="00764590">
        <w:rPr>
          <w:lang w:val="es-ES"/>
        </w:rPr>
        <w:t>a</w:t>
      </w:r>
      <w:r w:rsidR="006C0257" w:rsidRPr="00764590">
        <w:rPr>
          <w:lang w:val="es-ES"/>
        </w:rPr>
        <w:t xml:space="preserve"> para su ejecución técnica, que iría seguida de una serie de pruebas del sistema.</w:t>
      </w:r>
    </w:p>
    <w:p w:rsidR="006C0257" w:rsidRPr="00764590" w:rsidRDefault="006C0257" w:rsidP="003A6F9E">
      <w:pPr>
        <w:autoSpaceDE w:val="0"/>
        <w:autoSpaceDN w:val="0"/>
        <w:adjustRightInd w:val="0"/>
        <w:rPr>
          <w:lang w:val="es-ES"/>
        </w:rPr>
      </w:pPr>
    </w:p>
    <w:p w:rsidR="006C0257" w:rsidRPr="00764590" w:rsidRDefault="003A6F9E" w:rsidP="003A6F9E">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6C0257" w:rsidRPr="00764590">
        <w:rPr>
          <w:lang w:val="es-ES"/>
        </w:rPr>
        <w:t>En el d</w:t>
      </w:r>
      <w:r w:rsidR="00E97166" w:rsidRPr="00764590">
        <w:rPr>
          <w:lang w:val="es-ES"/>
        </w:rPr>
        <w:t>ocument</w:t>
      </w:r>
      <w:r w:rsidR="006C0257" w:rsidRPr="00764590">
        <w:rPr>
          <w:lang w:val="es-ES"/>
        </w:rPr>
        <w:t>o</w:t>
      </w:r>
      <w:r w:rsidR="00E97166" w:rsidRPr="00764590">
        <w:rPr>
          <w:lang w:val="es-ES"/>
        </w:rPr>
        <w:t xml:space="preserve"> H/A/34/1 </w:t>
      </w:r>
      <w:r w:rsidR="006C0257" w:rsidRPr="00764590">
        <w:rPr>
          <w:lang w:val="es-ES"/>
        </w:rPr>
        <w:t>también se informaba de que antes del final de 2013, era evidente que al aproximarse la adhesión de nuev</w:t>
      </w:r>
      <w:r w:rsidR="0010048A" w:rsidRPr="00764590">
        <w:rPr>
          <w:lang w:val="es-ES"/>
        </w:rPr>
        <w:t xml:space="preserve">os Estados miembros (China, </w:t>
      </w:r>
      <w:r w:rsidR="006C0257" w:rsidRPr="00764590">
        <w:rPr>
          <w:lang w:val="es-ES"/>
        </w:rPr>
        <w:t xml:space="preserve">Estados Unidos de América, Japón y República de Corea) al Arreglo de La Haya relativo al </w:t>
      </w:r>
      <w:r w:rsidR="007D0804">
        <w:rPr>
          <w:lang w:val="es-ES"/>
        </w:rPr>
        <w:t>R</w:t>
      </w:r>
      <w:r w:rsidR="006C0257" w:rsidRPr="00764590">
        <w:rPr>
          <w:lang w:val="es-ES"/>
        </w:rPr>
        <w:t xml:space="preserve">egistro </w:t>
      </w:r>
      <w:r w:rsidR="007D0804">
        <w:rPr>
          <w:lang w:val="es-ES"/>
        </w:rPr>
        <w:t>I</w:t>
      </w:r>
      <w:r w:rsidR="006C0257" w:rsidRPr="00764590">
        <w:rPr>
          <w:lang w:val="es-ES"/>
        </w:rPr>
        <w:t xml:space="preserve">nternacional de </w:t>
      </w:r>
      <w:r w:rsidR="007D0804">
        <w:rPr>
          <w:lang w:val="es-ES"/>
        </w:rPr>
        <w:t>D</w:t>
      </w:r>
      <w:r w:rsidR="006C0257" w:rsidRPr="00764590">
        <w:rPr>
          <w:lang w:val="es-ES"/>
        </w:rPr>
        <w:t xml:space="preserve">ibujos y </w:t>
      </w:r>
      <w:r w:rsidR="007D0804">
        <w:rPr>
          <w:lang w:val="es-ES"/>
        </w:rPr>
        <w:t>M</w:t>
      </w:r>
      <w:r w:rsidR="006C0257" w:rsidRPr="00764590">
        <w:rPr>
          <w:lang w:val="es-ES"/>
        </w:rPr>
        <w:t xml:space="preserve">odelos </w:t>
      </w:r>
      <w:r w:rsidR="007D0804">
        <w:rPr>
          <w:lang w:val="es-ES"/>
        </w:rPr>
        <w:t>I</w:t>
      </w:r>
      <w:r w:rsidR="006C0257" w:rsidRPr="00764590">
        <w:rPr>
          <w:lang w:val="es-ES"/>
        </w:rPr>
        <w:t xml:space="preserve">ndustriales, sería necesario introducir modificaciones en los procedimientos del Sistema de La Haya y, por ello, en el sistema </w:t>
      </w:r>
      <w:r w:rsidR="00BE359B" w:rsidRPr="00764590">
        <w:rPr>
          <w:lang w:val="es-ES"/>
        </w:rPr>
        <w:t xml:space="preserve">de TIC </w:t>
      </w:r>
      <w:r w:rsidR="006C0257" w:rsidRPr="00764590">
        <w:rPr>
          <w:lang w:val="es-ES"/>
        </w:rPr>
        <w:t>existente</w:t>
      </w:r>
      <w:r w:rsidR="00BE359B" w:rsidRPr="00764590">
        <w:rPr>
          <w:lang w:val="es-ES"/>
        </w:rPr>
        <w:t xml:space="preserve"> (DMAPS)</w:t>
      </w:r>
      <w:r w:rsidR="006C0257" w:rsidRPr="00764590">
        <w:rPr>
          <w:lang w:val="es-ES"/>
        </w:rPr>
        <w:t>.  Por lo tanto, para minimizar el riesgo operativo que supondría desarrollar externamente esas nuevas funciones, se decidió que ese importante requisito f</w:t>
      </w:r>
      <w:r w:rsidR="0010048A" w:rsidRPr="00764590">
        <w:rPr>
          <w:lang w:val="es-ES"/>
        </w:rPr>
        <w:t>uncional se abordar</w:t>
      </w:r>
      <w:r w:rsidR="006C0257" w:rsidRPr="00764590">
        <w:rPr>
          <w:lang w:val="es-ES"/>
        </w:rPr>
        <w:t>a con recursos internos, y directamente en el mar</w:t>
      </w:r>
      <w:r w:rsidR="00BE359B" w:rsidRPr="00764590">
        <w:rPr>
          <w:lang w:val="es-ES"/>
        </w:rPr>
        <w:t>co del sistema existente, DMAPS, y</w:t>
      </w:r>
      <w:r w:rsidR="006C0257" w:rsidRPr="00764590">
        <w:rPr>
          <w:lang w:val="es-ES"/>
        </w:rPr>
        <w:t xml:space="preserve"> se decidió asimismo que la</w:t>
      </w:r>
      <w:r w:rsidR="0010048A" w:rsidRPr="00764590">
        <w:rPr>
          <w:lang w:val="es-ES"/>
        </w:rPr>
        <w:t xml:space="preserve"> conversión técnica se reanudar</w:t>
      </w:r>
      <w:r w:rsidR="006C0257" w:rsidRPr="00764590">
        <w:rPr>
          <w:lang w:val="es-ES"/>
        </w:rPr>
        <w:t xml:space="preserve">a en una etapa ulterior.   </w:t>
      </w:r>
      <w:r w:rsidR="00BE359B" w:rsidRPr="00764590">
        <w:rPr>
          <w:lang w:val="es-ES"/>
        </w:rPr>
        <w:t>En consecuencia, se informó rápidamente al asociado externo que interrumpiera las actividades relativas a la conversión técnica del DMAPS, hasta que se hubieran ejecutado y estabilizado las modificaciones necesarias p</w:t>
      </w:r>
      <w:r w:rsidR="0010048A" w:rsidRPr="00764590">
        <w:rPr>
          <w:lang w:val="es-ES"/>
        </w:rPr>
        <w:t>ara el sistema existente</w:t>
      </w:r>
      <w:r w:rsidR="00BE359B" w:rsidRPr="00764590">
        <w:rPr>
          <w:lang w:val="es-ES"/>
        </w:rPr>
        <w:t>.</w:t>
      </w:r>
    </w:p>
    <w:p w:rsidR="006C0257" w:rsidRPr="00764590" w:rsidRDefault="006C0257" w:rsidP="003A6F9E">
      <w:pPr>
        <w:rPr>
          <w:lang w:val="es-ES"/>
        </w:rPr>
      </w:pPr>
    </w:p>
    <w:p w:rsidR="00BE359B" w:rsidRPr="00764590" w:rsidRDefault="004B481E" w:rsidP="00EF7E59">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BE359B" w:rsidRPr="00764590">
        <w:rPr>
          <w:lang w:val="es-ES"/>
        </w:rPr>
        <w:t>El Sistema de La Haya entró en vigor respecto de la Repú</w:t>
      </w:r>
      <w:r w:rsidR="00764590" w:rsidRPr="00764590">
        <w:rPr>
          <w:lang w:val="es-ES"/>
        </w:rPr>
        <w:t>blica de Corea el 1 de julio de </w:t>
      </w:r>
      <w:r w:rsidR="00BE359B" w:rsidRPr="00764590">
        <w:rPr>
          <w:lang w:val="es-ES"/>
        </w:rPr>
        <w:t>2014, y respecto del Japón y los Estados Unidos de América, el 13 de mayo de 2015, y actualmente está siendo administrado por el Registro de La Haya, que utiliza el sistema de TIC existente, DMAPS.</w:t>
      </w:r>
    </w:p>
    <w:p w:rsidR="00EF7E59" w:rsidRPr="00764590" w:rsidRDefault="00BE359B" w:rsidP="00EF7E59">
      <w:pPr>
        <w:pStyle w:val="Heading1"/>
        <w:rPr>
          <w:szCs w:val="22"/>
          <w:lang w:val="es-ES"/>
        </w:rPr>
      </w:pPr>
      <w:r w:rsidRPr="00764590">
        <w:rPr>
          <w:szCs w:val="22"/>
          <w:lang w:val="es-ES"/>
        </w:rPr>
        <w:t>SITUACIÓN DE LA EJECUCIÓN DEL PROGRAMA</w:t>
      </w:r>
    </w:p>
    <w:p w:rsidR="00EF7E59" w:rsidRPr="00764590" w:rsidRDefault="00EF7E59" w:rsidP="00EF7E59">
      <w:pPr>
        <w:rPr>
          <w:lang w:val="es-ES"/>
        </w:rPr>
      </w:pPr>
    </w:p>
    <w:p w:rsidR="00EF7E59" w:rsidRPr="00764590" w:rsidRDefault="004B481E" w:rsidP="00EF7E59">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BE359B" w:rsidRPr="00764590">
        <w:rPr>
          <w:lang w:val="es-ES"/>
        </w:rPr>
        <w:t>En el d</w:t>
      </w:r>
      <w:r w:rsidR="00EF7E59" w:rsidRPr="00764590">
        <w:rPr>
          <w:lang w:val="es-ES"/>
        </w:rPr>
        <w:t>ocument</w:t>
      </w:r>
      <w:r w:rsidR="00BE359B" w:rsidRPr="00764590">
        <w:rPr>
          <w:lang w:val="es-ES"/>
        </w:rPr>
        <w:t>o</w:t>
      </w:r>
      <w:r w:rsidR="00EF7E59" w:rsidRPr="00764590">
        <w:rPr>
          <w:lang w:val="es-ES"/>
        </w:rPr>
        <w:t xml:space="preserve"> H/A/34/1 </w:t>
      </w:r>
      <w:r w:rsidR="00BE359B" w:rsidRPr="00764590">
        <w:rPr>
          <w:lang w:val="es-ES"/>
        </w:rPr>
        <w:t>también se informaba de que las dificultades que se le planteaban al Registro de La Haya cuando comenzó el programa de modernización de las T.I. en 2008 eran esencialmente distintas de los problemas actuales.  Dada la naturaleza sumamente dinámica y fluida de los procedimientos de registro internacional del Sistema de La</w:t>
      </w:r>
      <w:r w:rsidR="007D0804">
        <w:rPr>
          <w:lang w:val="es-ES"/>
        </w:rPr>
        <w:t> </w:t>
      </w:r>
      <w:r w:rsidR="00BE359B" w:rsidRPr="00764590">
        <w:rPr>
          <w:lang w:val="es-ES"/>
        </w:rPr>
        <w:t xml:space="preserve">Haya, es muy importante que el sistema DIRIS pueda hacer frente tanto a los desafíos </w:t>
      </w:r>
      <w:r w:rsidR="001A5CC1">
        <w:rPr>
          <w:lang w:val="es-ES"/>
        </w:rPr>
        <w:t>originales</w:t>
      </w:r>
      <w:r w:rsidR="00BE359B" w:rsidRPr="00764590">
        <w:rPr>
          <w:lang w:val="es-ES"/>
        </w:rPr>
        <w:t xml:space="preserve"> como a cualquier otro tipo de desafío que surja.  A fin de mitigar los riesgos que ello conlleva, a finales del segundo trimestre de 2014 se había iniciado el programa de modernización de las T.I., observando </w:t>
      </w:r>
      <w:r w:rsidR="003F3619" w:rsidRPr="00764590">
        <w:rPr>
          <w:lang w:val="es-ES"/>
        </w:rPr>
        <w:t xml:space="preserve">al mismo tiempo </w:t>
      </w:r>
      <w:r w:rsidR="00BE359B" w:rsidRPr="00764590">
        <w:rPr>
          <w:lang w:val="es-ES"/>
        </w:rPr>
        <w:t xml:space="preserve">que, tras una auditoría interna de los procesos de gestión de los ingresos del Sector de Marcas y Diseños, </w:t>
      </w:r>
      <w:r w:rsidR="003F3619" w:rsidRPr="00764590">
        <w:rPr>
          <w:lang w:val="es-ES"/>
        </w:rPr>
        <w:t xml:space="preserve">se recomendó llevar a cabo una revisión posterior a la ejecución de la fase II del programa de modernización de las T.I.  El mandato de la revisión incluye el enfoque general, la funcionalidad del sistema, su desempeño, los procesos de prueba y las estrategias de asignación del trabajo.  Esa revisión permitirá a la Oficina Internacional determinar con mayor exactitud la fecha prevista de entrada en funcionamiento de DIRIS. </w:t>
      </w:r>
    </w:p>
    <w:p w:rsidR="00EF7E59" w:rsidRPr="00764590" w:rsidRDefault="00EF7E59" w:rsidP="00EF7E59">
      <w:pPr>
        <w:rPr>
          <w:lang w:val="es-ES"/>
        </w:rPr>
      </w:pPr>
    </w:p>
    <w:p w:rsidR="000B7CF0" w:rsidRPr="00764590" w:rsidRDefault="004B481E" w:rsidP="004B481E">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0B7CF0" w:rsidRPr="00764590">
        <w:rPr>
          <w:lang w:val="es-ES"/>
        </w:rPr>
        <w:t>La revisión, denominada ejercicio de validación y verificación independiente, se terminó de realizar en 2014.  En ella, se c</w:t>
      </w:r>
      <w:r w:rsidR="00DD6FBB" w:rsidRPr="00764590">
        <w:rPr>
          <w:lang w:val="es-ES"/>
        </w:rPr>
        <w:t>onfirmó el enfoque general y la funcionalidad</w:t>
      </w:r>
      <w:r w:rsidR="000B7CF0" w:rsidRPr="00764590">
        <w:rPr>
          <w:lang w:val="es-ES"/>
        </w:rPr>
        <w:t xml:space="preserve"> del sistema, a la vez que se plantearon cuestiones relativas a los procesos de prueba del sistema y las estrategias de asignación del trabajo.  Una de sus recomendaciones más importantes consistía en la designación de una nueva función, la de administrador de la </w:t>
      </w:r>
      <w:r w:rsidR="00135395" w:rsidRPr="00764590">
        <w:rPr>
          <w:lang w:val="es-ES"/>
        </w:rPr>
        <w:t>transición</w:t>
      </w:r>
      <w:r w:rsidR="000B7CF0" w:rsidRPr="00764590">
        <w:rPr>
          <w:lang w:val="es-ES"/>
        </w:rPr>
        <w:t xml:space="preserve"> en la División de Apoyo a los Registros, concebida para prestar asistencia al fomento de los niveles de desarrollo operacional de los procesos de ejecución de los servicios de TIC.  Tras el concurso, el administrador de la </w:t>
      </w:r>
      <w:r w:rsidR="00135395" w:rsidRPr="00764590">
        <w:rPr>
          <w:lang w:val="es-ES"/>
        </w:rPr>
        <w:t xml:space="preserve">transición </w:t>
      </w:r>
      <w:r w:rsidR="000B7CF0" w:rsidRPr="00764590">
        <w:rPr>
          <w:lang w:val="es-ES"/>
        </w:rPr>
        <w:t xml:space="preserve">comenzó a desempeñar sus funciones en la División de Apoyo </w:t>
      </w:r>
      <w:r w:rsidR="000B7CF0" w:rsidRPr="00764590">
        <w:rPr>
          <w:lang w:val="es-ES"/>
        </w:rPr>
        <w:lastRenderedPageBreak/>
        <w:t>a los Registros en mayo de 2015.  En el Anexo I se enumeran las demás recomendaciones de la revisión, que se aplicarán progresivamente durante el resto del presente año y más adelante.</w:t>
      </w:r>
    </w:p>
    <w:p w:rsidR="004B481E" w:rsidRPr="00764590" w:rsidRDefault="004B481E" w:rsidP="00EF7E59">
      <w:pPr>
        <w:autoSpaceDE w:val="0"/>
        <w:autoSpaceDN w:val="0"/>
        <w:adjustRightInd w:val="0"/>
        <w:rPr>
          <w:lang w:val="es-ES"/>
        </w:rPr>
      </w:pPr>
    </w:p>
    <w:p w:rsidR="00EF7E59" w:rsidRPr="00764590" w:rsidRDefault="004B481E" w:rsidP="00135395">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135395" w:rsidRPr="00764590">
        <w:rPr>
          <w:lang w:val="es-ES"/>
        </w:rPr>
        <w:t>Los procesos y procedimientos internos que rigen la recepción de las nuevas versiones del sistema DIRIS entregadas por el proveedor externo, junto con las actividades técnicas relativas a la instalación de nuevas versiones de</w:t>
      </w:r>
      <w:r w:rsidR="00DD6FBB" w:rsidRPr="00764590">
        <w:rPr>
          <w:lang w:val="es-ES"/>
        </w:rPr>
        <w:t>l</w:t>
      </w:r>
      <w:r w:rsidR="00135395" w:rsidRPr="00764590">
        <w:rPr>
          <w:lang w:val="es-ES"/>
        </w:rPr>
        <w:t xml:space="preserve"> DIRIS en un entorno </w:t>
      </w:r>
      <w:r w:rsidR="001A5CC1">
        <w:rPr>
          <w:lang w:val="es-ES"/>
        </w:rPr>
        <w:t>técnico</w:t>
      </w:r>
      <w:r w:rsidR="00135395" w:rsidRPr="00764590">
        <w:rPr>
          <w:lang w:val="es-ES"/>
        </w:rPr>
        <w:t xml:space="preserve"> en el que tengan lugar pruebas de usuarios y sistemas, se han puesto a prueba mediante la recepción </w:t>
      </w:r>
      <w:r w:rsidR="00DD6FBB" w:rsidRPr="00764590">
        <w:rPr>
          <w:lang w:val="es-ES"/>
        </w:rPr>
        <w:t xml:space="preserve">e </w:t>
      </w:r>
      <w:r w:rsidR="00135395" w:rsidRPr="00764590">
        <w:rPr>
          <w:lang w:val="es-ES"/>
        </w:rPr>
        <w:t>instalación de varias versiones de</w:t>
      </w:r>
      <w:r w:rsidR="00DD6FBB" w:rsidRPr="00764590">
        <w:rPr>
          <w:lang w:val="es-ES"/>
        </w:rPr>
        <w:t>l</w:t>
      </w:r>
      <w:r w:rsidR="00135395" w:rsidRPr="00764590">
        <w:rPr>
          <w:lang w:val="es-ES"/>
        </w:rPr>
        <w:t xml:space="preserve"> DIRIS con fines de prueba.  Esos procesos y procedimientos establecidos podrán repetirse en el caso de las futuras versiones de</w:t>
      </w:r>
      <w:r w:rsidR="00DD6FBB" w:rsidRPr="00764590">
        <w:rPr>
          <w:lang w:val="es-ES"/>
        </w:rPr>
        <w:t>l</w:t>
      </w:r>
      <w:r w:rsidR="00135395" w:rsidRPr="00764590">
        <w:rPr>
          <w:lang w:val="es-ES"/>
        </w:rPr>
        <w:t xml:space="preserve"> </w:t>
      </w:r>
      <w:r w:rsidR="00EF7E59" w:rsidRPr="00764590">
        <w:rPr>
          <w:lang w:val="es-ES"/>
        </w:rPr>
        <w:t>DIRIS.</w:t>
      </w:r>
    </w:p>
    <w:p w:rsidR="00EF7E59" w:rsidRPr="00764590" w:rsidRDefault="00EF7E59" w:rsidP="008059FE">
      <w:pPr>
        <w:rPr>
          <w:lang w:val="es-ES"/>
        </w:rPr>
      </w:pPr>
    </w:p>
    <w:p w:rsidR="00135395" w:rsidRPr="00764590" w:rsidRDefault="004B481E" w:rsidP="00135395">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135395" w:rsidRPr="00764590">
        <w:rPr>
          <w:lang w:val="es-ES"/>
        </w:rPr>
        <w:t xml:space="preserve">Tras la entrega del componente principal de la fase II </w:t>
      </w:r>
      <w:r w:rsidR="00EF7E59" w:rsidRPr="00764590">
        <w:rPr>
          <w:lang w:val="es-ES"/>
        </w:rPr>
        <w:t xml:space="preserve">(DIRIS Beta), </w:t>
      </w:r>
      <w:r w:rsidR="00135395" w:rsidRPr="00764590">
        <w:rPr>
          <w:lang w:val="es-ES"/>
        </w:rPr>
        <w:t xml:space="preserve">junto con los procesos y procedimientos repetibles para </w:t>
      </w:r>
      <w:r w:rsidR="004E7978" w:rsidRPr="00764590">
        <w:rPr>
          <w:lang w:val="es-ES"/>
        </w:rPr>
        <w:t>la</w:t>
      </w:r>
      <w:r w:rsidR="00135395" w:rsidRPr="00764590">
        <w:rPr>
          <w:lang w:val="es-ES"/>
        </w:rPr>
        <w:t xml:space="preserve"> recepción e insta</w:t>
      </w:r>
      <w:r w:rsidR="004E7978" w:rsidRPr="00764590">
        <w:rPr>
          <w:lang w:val="es-ES"/>
        </w:rPr>
        <w:t>lación de versiones de DIRIS,</w:t>
      </w:r>
      <w:r w:rsidR="00135395" w:rsidRPr="00764590">
        <w:rPr>
          <w:lang w:val="es-ES"/>
        </w:rPr>
        <w:t xml:space="preserve"> se considera que se ha llevado a término el </w:t>
      </w:r>
      <w:r w:rsidR="004E7978" w:rsidRPr="00764590">
        <w:rPr>
          <w:lang w:val="es-ES"/>
        </w:rPr>
        <w:t>programa</w:t>
      </w:r>
      <w:r w:rsidR="00135395" w:rsidRPr="00764590">
        <w:rPr>
          <w:lang w:val="es-ES"/>
        </w:rPr>
        <w:t>.  Todas las actividades restantes relacionadas con la ejecución técnica a los fines de la producción de versiones posteriores de</w:t>
      </w:r>
      <w:r w:rsidR="00DD6FBB" w:rsidRPr="00764590">
        <w:rPr>
          <w:lang w:val="es-ES"/>
        </w:rPr>
        <w:t>l</w:t>
      </w:r>
      <w:r w:rsidR="00135395" w:rsidRPr="00764590">
        <w:rPr>
          <w:lang w:val="es-ES"/>
        </w:rPr>
        <w:t xml:space="preserve"> DIRIS, tras la puesta a prueba y aceptación de los usuarios, serán llevadas a cabo por el personal interno.  Los fondos restantes del programa se han asignado a esas versiones posteriores de</w:t>
      </w:r>
      <w:r w:rsidR="00DD6FBB" w:rsidRPr="00764590">
        <w:rPr>
          <w:lang w:val="es-ES"/>
        </w:rPr>
        <w:t>l</w:t>
      </w:r>
      <w:r w:rsidR="00135395" w:rsidRPr="00764590">
        <w:rPr>
          <w:lang w:val="es-ES"/>
        </w:rPr>
        <w:t xml:space="preserve"> DIRIS.  En el Anexo II se expone una lista de componentes del programa</w:t>
      </w:r>
    </w:p>
    <w:p w:rsidR="00135395" w:rsidRPr="00764590" w:rsidRDefault="00135395" w:rsidP="00135395">
      <w:pPr>
        <w:rPr>
          <w:lang w:val="es-ES"/>
        </w:rPr>
      </w:pPr>
    </w:p>
    <w:p w:rsidR="00F056CD" w:rsidRPr="00764590" w:rsidRDefault="00924B50" w:rsidP="00F056CD">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F056CD" w:rsidRPr="00764590">
        <w:rPr>
          <w:lang w:val="es-ES"/>
        </w:rPr>
        <w:t>Tal como se indicara en informes anteriores sobre la marcha de las actividades del programa de modernización de las T.I, y solo de ser necesario, la Oficina Internacional propondrá iniciar la ejecución de la fase III del programa para dar cabida a las actividades que han de realizarse con posterioridad a la entrada en funcionamiento, por ejemplo, la corrección de errores del programa, la mejora del rendimiento, así como la transformación de la interfaz de usuario y la eventual reorganización de los procesos.  Como la necesidad de ejecutar la fase III solo podrá evaluarse tras la puesta en funcionamiento de la fase II, los pormenores de una eventual fase III se examinarán en detalle a su debido tiempo, como parte de las actividades corrientes del mantenimiento del ciclo de vida del sistema, y se financiarán por medio del presupuesto ordinario.</w:t>
      </w:r>
    </w:p>
    <w:p w:rsidR="00EF7E59" w:rsidRPr="00764590" w:rsidRDefault="00EF7E59" w:rsidP="00EF7E59">
      <w:pPr>
        <w:pStyle w:val="Heading1"/>
        <w:rPr>
          <w:szCs w:val="22"/>
          <w:lang w:val="es-ES"/>
        </w:rPr>
      </w:pPr>
      <w:r w:rsidRPr="00764590">
        <w:rPr>
          <w:szCs w:val="22"/>
          <w:lang w:val="es-ES"/>
        </w:rPr>
        <w:t>PLAN</w:t>
      </w:r>
      <w:r w:rsidR="00316C2B" w:rsidRPr="00764590">
        <w:rPr>
          <w:szCs w:val="22"/>
          <w:lang w:val="es-ES"/>
        </w:rPr>
        <w:t xml:space="preserve"> DE EJECUCIÓN DE LA FASE II</w:t>
      </w:r>
    </w:p>
    <w:p w:rsidR="00EF7E59" w:rsidRPr="00764590" w:rsidRDefault="00EF7E59" w:rsidP="00EF7E59">
      <w:pPr>
        <w:autoSpaceDE w:val="0"/>
        <w:autoSpaceDN w:val="0"/>
        <w:adjustRightInd w:val="0"/>
        <w:rPr>
          <w:rFonts w:eastAsia="Times New Roman"/>
          <w:sz w:val="20"/>
          <w:lang w:val="es-ES" w:eastAsia="en-US"/>
        </w:rPr>
      </w:pPr>
    </w:p>
    <w:p w:rsidR="00EF7E59" w:rsidRPr="00764590" w:rsidRDefault="008F7B9C" w:rsidP="00EF7E59">
      <w:pPr>
        <w:autoSpaceDE w:val="0"/>
        <w:autoSpaceDN w:val="0"/>
        <w:adjustRightInd w:val="0"/>
        <w:rPr>
          <w:rFonts w:eastAsia="Times New Roman"/>
          <w:szCs w:val="22"/>
          <w:lang w:val="es-ES" w:eastAsia="en-US"/>
        </w:rPr>
      </w:pPr>
      <w:r w:rsidRPr="00764590">
        <w:rPr>
          <w:rFonts w:eastAsia="Times New Roman"/>
          <w:szCs w:val="22"/>
          <w:lang w:val="es-ES" w:eastAsia="en-US"/>
        </w:rPr>
        <w:fldChar w:fldCharType="begin"/>
      </w:r>
      <w:r w:rsidRPr="00764590">
        <w:rPr>
          <w:rFonts w:eastAsia="Times New Roman"/>
          <w:szCs w:val="22"/>
          <w:lang w:val="es-ES" w:eastAsia="en-US"/>
        </w:rPr>
        <w:instrText xml:space="preserve"> AUTONUM  </w:instrText>
      </w:r>
      <w:r w:rsidRPr="00764590">
        <w:rPr>
          <w:rFonts w:eastAsia="Times New Roman"/>
          <w:szCs w:val="22"/>
          <w:lang w:val="es-ES" w:eastAsia="en-US"/>
        </w:rPr>
        <w:fldChar w:fldCharType="end"/>
      </w:r>
      <w:r w:rsidRPr="00764590">
        <w:rPr>
          <w:rFonts w:eastAsia="Times New Roman"/>
          <w:szCs w:val="22"/>
          <w:lang w:val="es-ES" w:eastAsia="en-US"/>
        </w:rPr>
        <w:tab/>
      </w:r>
      <w:r w:rsidR="00F5582A" w:rsidRPr="00764590">
        <w:rPr>
          <w:rFonts w:eastAsia="Times New Roman"/>
          <w:szCs w:val="22"/>
          <w:lang w:val="es-ES" w:eastAsia="en-US"/>
        </w:rPr>
        <w:t xml:space="preserve">El sistema DIRIS comparte una plataforma común con el MIRIS, su equivalente del Registro de Madrid, que está previsto que se ponga a prueba </w:t>
      </w:r>
      <w:r w:rsidR="008059FE" w:rsidRPr="00764590">
        <w:rPr>
          <w:rFonts w:eastAsia="Times New Roman"/>
          <w:szCs w:val="22"/>
          <w:lang w:val="es-ES" w:eastAsia="en-US"/>
        </w:rPr>
        <w:t>y se instale entre el verano de </w:t>
      </w:r>
      <w:r w:rsidR="00F5582A" w:rsidRPr="00764590">
        <w:rPr>
          <w:rFonts w:eastAsia="Times New Roman"/>
          <w:szCs w:val="22"/>
          <w:lang w:val="es-ES" w:eastAsia="en-US"/>
        </w:rPr>
        <w:t>2015 y abril de 2016.  A fin de evitar la duplicación de los esfuerzos y la excesiva asignación de recursos esenciales, se ha decidido instalar en primer lugar el MIRIS de modo que las iniciativas de pruebas e instalación del DIRIS se centren sobre todo en los elementos no compartidos del sistema que prestan apoyo específico a las funciones del Registro de La Haya.</w:t>
      </w:r>
    </w:p>
    <w:p w:rsidR="00B651B6" w:rsidRPr="00764590" w:rsidRDefault="00B651B6" w:rsidP="00EF7E59">
      <w:pPr>
        <w:autoSpaceDE w:val="0"/>
        <w:autoSpaceDN w:val="0"/>
        <w:adjustRightInd w:val="0"/>
        <w:rPr>
          <w:rFonts w:eastAsia="Times New Roman"/>
          <w:szCs w:val="22"/>
          <w:lang w:val="es-ES" w:eastAsia="en-US"/>
        </w:rPr>
      </w:pPr>
    </w:p>
    <w:p w:rsidR="00B651B6" w:rsidRPr="00764590" w:rsidRDefault="008F7B9C" w:rsidP="00EF7E59">
      <w:pPr>
        <w:autoSpaceDE w:val="0"/>
        <w:autoSpaceDN w:val="0"/>
        <w:adjustRightInd w:val="0"/>
        <w:rPr>
          <w:rFonts w:eastAsia="Times New Roman"/>
          <w:szCs w:val="22"/>
          <w:lang w:val="es-ES" w:eastAsia="en-US"/>
        </w:rPr>
      </w:pPr>
      <w:r w:rsidRPr="00764590">
        <w:rPr>
          <w:rFonts w:eastAsia="Times New Roman"/>
          <w:szCs w:val="22"/>
          <w:lang w:val="es-ES" w:eastAsia="en-US"/>
        </w:rPr>
        <w:fldChar w:fldCharType="begin"/>
      </w:r>
      <w:r w:rsidRPr="00764590">
        <w:rPr>
          <w:rFonts w:eastAsia="Times New Roman"/>
          <w:szCs w:val="22"/>
          <w:lang w:val="es-ES" w:eastAsia="en-US"/>
        </w:rPr>
        <w:instrText xml:space="preserve"> AUTONUM  </w:instrText>
      </w:r>
      <w:r w:rsidRPr="00764590">
        <w:rPr>
          <w:rFonts w:eastAsia="Times New Roman"/>
          <w:szCs w:val="22"/>
          <w:lang w:val="es-ES" w:eastAsia="en-US"/>
        </w:rPr>
        <w:fldChar w:fldCharType="end"/>
      </w:r>
      <w:r w:rsidRPr="00764590">
        <w:rPr>
          <w:rFonts w:eastAsia="Times New Roman"/>
          <w:szCs w:val="22"/>
          <w:lang w:val="es-ES" w:eastAsia="en-US"/>
        </w:rPr>
        <w:tab/>
      </w:r>
      <w:r w:rsidR="001A5CC1">
        <w:rPr>
          <w:rFonts w:eastAsia="Times New Roman"/>
          <w:szCs w:val="22"/>
          <w:lang w:val="es-ES" w:eastAsia="en-US"/>
        </w:rPr>
        <w:t>Una</w:t>
      </w:r>
      <w:r w:rsidR="00F5582A" w:rsidRPr="00764590">
        <w:rPr>
          <w:rFonts w:eastAsia="Times New Roman"/>
          <w:szCs w:val="22"/>
          <w:lang w:val="es-ES" w:eastAsia="en-US"/>
        </w:rPr>
        <w:t xml:space="preserve"> consecuencia </w:t>
      </w:r>
      <w:r w:rsidR="001A5CC1">
        <w:rPr>
          <w:rFonts w:eastAsia="Times New Roman"/>
          <w:szCs w:val="22"/>
          <w:lang w:val="es-ES" w:eastAsia="en-US"/>
        </w:rPr>
        <w:t xml:space="preserve">adicional en el programa </w:t>
      </w:r>
      <w:r w:rsidR="00F5582A" w:rsidRPr="00764590">
        <w:rPr>
          <w:rFonts w:eastAsia="Times New Roman"/>
          <w:szCs w:val="22"/>
          <w:lang w:val="es-ES" w:eastAsia="en-US"/>
        </w:rPr>
        <w:t xml:space="preserve">general es la </w:t>
      </w:r>
      <w:r w:rsidR="004E7978" w:rsidRPr="00764590">
        <w:rPr>
          <w:rFonts w:eastAsia="Times New Roman"/>
          <w:szCs w:val="22"/>
          <w:lang w:val="es-ES" w:eastAsia="en-US"/>
        </w:rPr>
        <w:t>adhesión</w:t>
      </w:r>
      <w:r w:rsidR="00F5582A" w:rsidRPr="00764590">
        <w:rPr>
          <w:rFonts w:eastAsia="Times New Roman"/>
          <w:szCs w:val="22"/>
          <w:lang w:val="es-ES" w:eastAsia="en-US"/>
        </w:rPr>
        <w:t xml:space="preserve"> del Japón y de los Estados Unidos de América al Arreglo de la Haya, que ha hecho necesaria la aplicación inmediata de cambios en el sistema existente, DMAPS.  Esos cambios ya se han efectuado, pero deben ir seguidos de un período de seis meses de estabilización de los sistemas (que está previsto finalice en diciembre de 2015) a fin de evitar la interrupción imprevista de las actividades.</w:t>
      </w:r>
    </w:p>
    <w:p w:rsidR="00EF7E59" w:rsidRPr="00764590" w:rsidRDefault="00EF7E59" w:rsidP="00EF7E59">
      <w:pPr>
        <w:autoSpaceDE w:val="0"/>
        <w:autoSpaceDN w:val="0"/>
        <w:adjustRightInd w:val="0"/>
        <w:rPr>
          <w:rFonts w:eastAsia="Times New Roman"/>
          <w:szCs w:val="22"/>
          <w:lang w:val="es-ES" w:eastAsia="en-US"/>
        </w:rPr>
      </w:pPr>
    </w:p>
    <w:p w:rsidR="00F5582A" w:rsidRPr="00764590" w:rsidRDefault="008F7B9C" w:rsidP="00EA1C16">
      <w:pPr>
        <w:rPr>
          <w:szCs w:val="22"/>
          <w:lang w:val="es-ES"/>
        </w:rPr>
      </w:pPr>
      <w:r w:rsidRPr="00764590">
        <w:rPr>
          <w:szCs w:val="22"/>
          <w:lang w:val="es-ES"/>
        </w:rPr>
        <w:fldChar w:fldCharType="begin"/>
      </w:r>
      <w:r w:rsidRPr="00764590">
        <w:rPr>
          <w:szCs w:val="22"/>
          <w:lang w:val="es-ES"/>
        </w:rPr>
        <w:instrText xml:space="preserve"> AUTONUM  </w:instrText>
      </w:r>
      <w:r w:rsidRPr="00764590">
        <w:rPr>
          <w:szCs w:val="22"/>
          <w:lang w:val="es-ES"/>
        </w:rPr>
        <w:fldChar w:fldCharType="end"/>
      </w:r>
      <w:r w:rsidRPr="00764590">
        <w:rPr>
          <w:szCs w:val="22"/>
          <w:lang w:val="es-ES"/>
        </w:rPr>
        <w:tab/>
      </w:r>
      <w:r w:rsidR="00F5582A" w:rsidRPr="00764590">
        <w:rPr>
          <w:szCs w:val="22"/>
          <w:lang w:val="es-ES"/>
        </w:rPr>
        <w:t xml:space="preserve">En septiembre y octubre de 2015 tendrá lugar la planificación detallada de las pruebas finales y de la instalación del DIRIS.  Este calendario es necesario a fin de tener en cuenta la incorporación de los avances </w:t>
      </w:r>
      <w:r w:rsidR="00DD6FBB" w:rsidRPr="00764590">
        <w:rPr>
          <w:szCs w:val="22"/>
          <w:lang w:val="es-ES"/>
        </w:rPr>
        <w:t xml:space="preserve">realizados en el </w:t>
      </w:r>
      <w:r w:rsidR="00F5582A" w:rsidRPr="00764590">
        <w:rPr>
          <w:szCs w:val="22"/>
          <w:lang w:val="es-ES"/>
        </w:rPr>
        <w:t xml:space="preserve">proyecto de instalación del MIRIS </w:t>
      </w:r>
      <w:r w:rsidR="00DD6FBB" w:rsidRPr="00764590">
        <w:rPr>
          <w:szCs w:val="22"/>
          <w:lang w:val="es-ES"/>
        </w:rPr>
        <w:t xml:space="preserve">y las previsiones respecto de dicho proyecto </w:t>
      </w:r>
      <w:r w:rsidR="00F5582A" w:rsidRPr="00764590">
        <w:rPr>
          <w:szCs w:val="22"/>
          <w:lang w:val="es-ES"/>
        </w:rPr>
        <w:t xml:space="preserve">(que, para entonces, ya estará suficientemente adelantado para disponer de unas previsiones fiables </w:t>
      </w:r>
      <w:r w:rsidR="00DD6FBB" w:rsidRPr="00764590">
        <w:rPr>
          <w:szCs w:val="22"/>
          <w:lang w:val="es-ES"/>
        </w:rPr>
        <w:t>acerca d</w:t>
      </w:r>
      <w:r w:rsidR="00F5582A" w:rsidRPr="00764590">
        <w:rPr>
          <w:szCs w:val="22"/>
          <w:lang w:val="es-ES"/>
        </w:rPr>
        <w:t xml:space="preserve">el calendario) junto con </w:t>
      </w:r>
      <w:r w:rsidR="00DC00F3" w:rsidRPr="00764590">
        <w:rPr>
          <w:szCs w:val="22"/>
          <w:lang w:val="es-ES"/>
        </w:rPr>
        <w:t xml:space="preserve">la labor adicional de </w:t>
      </w:r>
      <w:r w:rsidR="00DD6FBB" w:rsidRPr="00764590">
        <w:rPr>
          <w:szCs w:val="22"/>
          <w:lang w:val="es-ES"/>
        </w:rPr>
        <w:t xml:space="preserve">configuración </w:t>
      </w:r>
      <w:r w:rsidR="00DC00F3" w:rsidRPr="00764590">
        <w:rPr>
          <w:szCs w:val="22"/>
          <w:lang w:val="es-ES"/>
        </w:rPr>
        <w:t xml:space="preserve">y </w:t>
      </w:r>
      <w:r w:rsidR="00DD6FBB" w:rsidRPr="00764590">
        <w:rPr>
          <w:szCs w:val="22"/>
          <w:lang w:val="es-ES"/>
        </w:rPr>
        <w:t xml:space="preserve">programación </w:t>
      </w:r>
      <w:r w:rsidR="00DC00F3" w:rsidRPr="00764590">
        <w:rPr>
          <w:szCs w:val="22"/>
          <w:lang w:val="es-ES"/>
        </w:rPr>
        <w:t xml:space="preserve">que se prevé acometer a partir de otras iniciativas de fomento de la funcionalidad del Sistema de La Haya, como el </w:t>
      </w:r>
      <w:r w:rsidR="0065005C" w:rsidRPr="00764590">
        <w:rPr>
          <w:szCs w:val="22"/>
          <w:lang w:val="es-ES"/>
        </w:rPr>
        <w:t>proyecto</w:t>
      </w:r>
      <w:r w:rsidR="00DC00F3" w:rsidRPr="00764590">
        <w:rPr>
          <w:szCs w:val="22"/>
          <w:lang w:val="es-ES"/>
        </w:rPr>
        <w:t xml:space="preserve"> </w:t>
      </w:r>
      <w:r w:rsidR="004851F5">
        <w:rPr>
          <w:szCs w:val="22"/>
          <w:lang w:val="es-ES"/>
        </w:rPr>
        <w:t>de diseño granular</w:t>
      </w:r>
      <w:r w:rsidR="00DC00F3" w:rsidRPr="00764590">
        <w:rPr>
          <w:szCs w:val="22"/>
          <w:lang w:val="es-ES"/>
        </w:rPr>
        <w:t>, que tendrá lugar entre julio y septiembre de 2015.</w:t>
      </w:r>
    </w:p>
    <w:p w:rsidR="00F86780" w:rsidRPr="00764590" w:rsidRDefault="00F86780" w:rsidP="00EA1C16">
      <w:pPr>
        <w:rPr>
          <w:szCs w:val="22"/>
          <w:lang w:val="es-ES"/>
        </w:rPr>
      </w:pPr>
    </w:p>
    <w:p w:rsidR="00F86780" w:rsidRPr="00764590" w:rsidRDefault="008F7B9C" w:rsidP="00EA1C16">
      <w:pPr>
        <w:rPr>
          <w:szCs w:val="22"/>
          <w:lang w:val="es-ES"/>
        </w:rPr>
      </w:pPr>
      <w:r w:rsidRPr="00764590">
        <w:rPr>
          <w:szCs w:val="22"/>
          <w:lang w:val="es-ES"/>
        </w:rPr>
        <w:lastRenderedPageBreak/>
        <w:fldChar w:fldCharType="begin"/>
      </w:r>
      <w:r w:rsidRPr="00764590">
        <w:rPr>
          <w:szCs w:val="22"/>
          <w:lang w:val="es-ES"/>
        </w:rPr>
        <w:instrText xml:space="preserve"> AUTONUM  </w:instrText>
      </w:r>
      <w:r w:rsidRPr="00764590">
        <w:rPr>
          <w:szCs w:val="22"/>
          <w:lang w:val="es-ES"/>
        </w:rPr>
        <w:fldChar w:fldCharType="end"/>
      </w:r>
      <w:r w:rsidRPr="00764590">
        <w:rPr>
          <w:szCs w:val="22"/>
          <w:lang w:val="es-ES"/>
        </w:rPr>
        <w:tab/>
      </w:r>
      <w:r w:rsidR="00C8416C" w:rsidRPr="00764590">
        <w:rPr>
          <w:szCs w:val="22"/>
          <w:lang w:val="es-ES"/>
        </w:rPr>
        <w:t xml:space="preserve">Con </w:t>
      </w:r>
      <w:r w:rsidR="004E7978" w:rsidRPr="00764590">
        <w:rPr>
          <w:szCs w:val="22"/>
          <w:lang w:val="es-ES"/>
        </w:rPr>
        <w:t>sujeción</w:t>
      </w:r>
      <w:r w:rsidR="00C8416C" w:rsidRPr="00764590">
        <w:rPr>
          <w:szCs w:val="22"/>
          <w:lang w:val="es-ES"/>
        </w:rPr>
        <w:t xml:space="preserve"> a la </w:t>
      </w:r>
      <w:r w:rsidR="004E7978" w:rsidRPr="00764590">
        <w:rPr>
          <w:szCs w:val="22"/>
          <w:lang w:val="es-ES"/>
        </w:rPr>
        <w:t>planificación</w:t>
      </w:r>
      <w:r w:rsidR="00C8416C" w:rsidRPr="00764590">
        <w:rPr>
          <w:szCs w:val="22"/>
          <w:lang w:val="es-ES"/>
        </w:rPr>
        <w:t xml:space="preserve"> final y detallada que se describe anteriormente, está previsto que la confi</w:t>
      </w:r>
      <w:bookmarkStart w:id="5" w:name="_GoBack"/>
      <w:bookmarkEnd w:id="5"/>
      <w:r w:rsidR="00C8416C" w:rsidRPr="00764590">
        <w:rPr>
          <w:szCs w:val="22"/>
          <w:lang w:val="es-ES"/>
        </w:rPr>
        <w:t>guración técnica del DIRIS tenga lugar entre enero y abril de 2016, y que las pruebas finales y la instalación se ejecuten entre mayo y agosto de 2016.</w:t>
      </w:r>
    </w:p>
    <w:p w:rsidR="006C02BC" w:rsidRPr="00764590" w:rsidRDefault="006C02BC" w:rsidP="00A5527F">
      <w:pPr>
        <w:jc w:val="both"/>
        <w:rPr>
          <w:lang w:val="es-ES"/>
        </w:rPr>
      </w:pPr>
    </w:p>
    <w:p w:rsidR="00E830F4" w:rsidRPr="00764590" w:rsidRDefault="0068444B" w:rsidP="00EA1C16">
      <w:pPr>
        <w:pStyle w:val="Caption"/>
        <w:jc w:val="center"/>
        <w:rPr>
          <w:sz w:val="16"/>
          <w:szCs w:val="16"/>
          <w:lang w:val="es-ES"/>
        </w:rPr>
      </w:pPr>
      <w:r w:rsidRPr="001C782A">
        <w:rPr>
          <w:noProof/>
          <w:lang w:eastAsia="en-US"/>
        </w:rPr>
        <w:drawing>
          <wp:inline distT="0" distB="0" distL="0" distR="0" wp14:anchorId="6BE19B26" wp14:editId="4909F638">
            <wp:extent cx="6154310" cy="346676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033" cy="3470556"/>
                    </a:xfrm>
                    <a:prstGeom prst="rect">
                      <a:avLst/>
                    </a:prstGeom>
                    <a:noFill/>
                    <a:ln>
                      <a:noFill/>
                    </a:ln>
                  </pic:spPr>
                </pic:pic>
              </a:graphicData>
            </a:graphic>
          </wp:inline>
        </w:drawing>
      </w:r>
      <w:r w:rsidR="00916596" w:rsidRPr="00764590">
        <w:rPr>
          <w:sz w:val="16"/>
          <w:szCs w:val="16"/>
          <w:lang w:val="es-ES"/>
        </w:rPr>
        <w:t>Gráfico</w:t>
      </w:r>
      <w:r w:rsidR="00E830F4" w:rsidRPr="00764590">
        <w:rPr>
          <w:sz w:val="16"/>
          <w:szCs w:val="16"/>
          <w:lang w:val="es-ES"/>
        </w:rPr>
        <w:t xml:space="preserve"> 1- </w:t>
      </w:r>
      <w:r w:rsidR="00916596" w:rsidRPr="00764590">
        <w:rPr>
          <w:sz w:val="16"/>
          <w:szCs w:val="16"/>
          <w:lang w:val="es-ES"/>
        </w:rPr>
        <w:t xml:space="preserve">Plan de alto nivel para la fase </w:t>
      </w:r>
      <w:r w:rsidR="00E830F4" w:rsidRPr="00764590">
        <w:rPr>
          <w:sz w:val="16"/>
          <w:szCs w:val="16"/>
          <w:lang w:val="es-ES"/>
        </w:rPr>
        <w:t xml:space="preserve">II </w:t>
      </w:r>
      <w:r w:rsidR="00916596" w:rsidRPr="00764590">
        <w:rPr>
          <w:sz w:val="16"/>
          <w:szCs w:val="16"/>
          <w:lang w:val="es-ES"/>
        </w:rPr>
        <w:t>(proyecto DIRIS)</w:t>
      </w:r>
    </w:p>
    <w:p w:rsidR="009D3BB8" w:rsidRDefault="009D3BB8" w:rsidP="00B96686">
      <w:pPr>
        <w:rPr>
          <w:lang w:val="es-ES"/>
        </w:rPr>
      </w:pPr>
    </w:p>
    <w:p w:rsidR="00A5527F" w:rsidRPr="00764590" w:rsidRDefault="00A5527F" w:rsidP="00B96686">
      <w:pPr>
        <w:rPr>
          <w:lang w:val="es-ES"/>
        </w:rPr>
      </w:pPr>
    </w:p>
    <w:p w:rsidR="00FF0B4A" w:rsidRPr="00764590" w:rsidRDefault="0087158B" w:rsidP="00FF0B4A">
      <w:pPr>
        <w:rPr>
          <w:b/>
          <w:lang w:val="es-ES"/>
        </w:rPr>
      </w:pPr>
      <w:r w:rsidRPr="00764590">
        <w:rPr>
          <w:b/>
          <w:lang w:val="es-ES"/>
        </w:rPr>
        <w:t>UTILIZACIÓN DEL PRESUPUESTO</w:t>
      </w:r>
    </w:p>
    <w:p w:rsidR="00FF0B4A" w:rsidRPr="00764590" w:rsidRDefault="00FF0B4A" w:rsidP="00B96686">
      <w:pPr>
        <w:rPr>
          <w:lang w:val="es-ES"/>
        </w:rPr>
      </w:pPr>
    </w:p>
    <w:p w:rsidR="001C2A8C" w:rsidRPr="00764590" w:rsidRDefault="001C2A8C">
      <w:pPr>
        <w:rPr>
          <w:lang w:val="es-ES"/>
        </w:rPr>
      </w:pPr>
      <w:r w:rsidRPr="00764590">
        <w:rPr>
          <w:lang w:val="es-ES"/>
        </w:rPr>
        <w:fldChar w:fldCharType="begin"/>
      </w:r>
      <w:r w:rsidRPr="00764590">
        <w:rPr>
          <w:lang w:val="es-ES"/>
        </w:rPr>
        <w:instrText xml:space="preserve"> AUTONUM  </w:instrText>
      </w:r>
      <w:r w:rsidRPr="00764590">
        <w:rPr>
          <w:lang w:val="es-ES"/>
        </w:rPr>
        <w:fldChar w:fldCharType="end"/>
      </w:r>
      <w:r w:rsidRPr="00764590">
        <w:rPr>
          <w:lang w:val="es-ES"/>
        </w:rPr>
        <w:tab/>
      </w:r>
      <w:r w:rsidR="001E1E11" w:rsidRPr="00764590">
        <w:rPr>
          <w:lang w:val="es-ES"/>
        </w:rPr>
        <w:t>Se aprobó una asignación total de recursos de13.804.000 francos suizos para el proyecto (10.804.000 francos suizos con cargo a la Asamblea de la Unión de Madrid y 3 millones de francos suizos con cargo a la Asamblea de la Unión de La Haya).  Hasta la fecha, el gasto efectivo en el proyecto asciende a 13.527.000 francos suizos, es decir, un 98% del presupuesto del proyecto.</w:t>
      </w:r>
    </w:p>
    <w:p w:rsidR="009D3BB8" w:rsidRPr="00764590" w:rsidRDefault="009D3BB8">
      <w:pPr>
        <w:rPr>
          <w:lang w:val="es-ES"/>
        </w:rPr>
      </w:pPr>
    </w:p>
    <w:p w:rsidR="001C2A8C" w:rsidRPr="00764590" w:rsidRDefault="001C2A8C" w:rsidP="001C2A8C">
      <w:pPr>
        <w:rPr>
          <w:lang w:val="es-ES"/>
        </w:rPr>
      </w:pPr>
    </w:p>
    <w:p w:rsidR="001C2A8C" w:rsidRPr="00764590" w:rsidRDefault="001E1E11" w:rsidP="001C2A8C">
      <w:pPr>
        <w:pStyle w:val="Caption"/>
        <w:keepNext/>
        <w:jc w:val="center"/>
        <w:rPr>
          <w:lang w:val="es-ES"/>
        </w:rPr>
      </w:pPr>
      <w:r w:rsidRPr="00764590">
        <w:rPr>
          <w:lang w:val="es-ES"/>
        </w:rPr>
        <w:t>Cuadro</w:t>
      </w:r>
      <w:r w:rsidR="001C2A8C" w:rsidRPr="00764590">
        <w:rPr>
          <w:lang w:val="es-ES"/>
        </w:rPr>
        <w:t xml:space="preserve"> </w:t>
      </w:r>
      <w:r w:rsidR="00E43C3D" w:rsidRPr="00764590">
        <w:rPr>
          <w:lang w:val="es-ES"/>
        </w:rPr>
        <w:fldChar w:fldCharType="begin"/>
      </w:r>
      <w:r w:rsidR="00E43C3D" w:rsidRPr="00764590">
        <w:rPr>
          <w:lang w:val="es-ES"/>
        </w:rPr>
        <w:instrText xml:space="preserve"> SEQ Table \* ARABIC </w:instrText>
      </w:r>
      <w:r w:rsidR="00E43C3D" w:rsidRPr="00764590">
        <w:rPr>
          <w:lang w:val="es-ES"/>
        </w:rPr>
        <w:fldChar w:fldCharType="separate"/>
      </w:r>
      <w:r w:rsidR="0010048A" w:rsidRPr="00764590">
        <w:rPr>
          <w:noProof/>
          <w:lang w:val="es-ES"/>
        </w:rPr>
        <w:t>1</w:t>
      </w:r>
      <w:r w:rsidR="00E43C3D" w:rsidRPr="00764590">
        <w:rPr>
          <w:noProof/>
          <w:lang w:val="es-ES"/>
        </w:rPr>
        <w:fldChar w:fldCharType="end"/>
      </w:r>
      <w:r w:rsidR="001C2A8C" w:rsidRPr="00764590">
        <w:rPr>
          <w:lang w:val="es-ES"/>
        </w:rPr>
        <w:t xml:space="preserve"> </w:t>
      </w:r>
      <w:r w:rsidR="003D0EDF" w:rsidRPr="00764590">
        <w:rPr>
          <w:lang w:val="es-ES"/>
        </w:rPr>
        <w:t>–</w:t>
      </w:r>
      <w:r w:rsidR="001C2A8C" w:rsidRPr="00764590">
        <w:rPr>
          <w:lang w:val="es-ES"/>
        </w:rPr>
        <w:t xml:space="preserve"> </w:t>
      </w:r>
      <w:r w:rsidR="003D0EDF" w:rsidRPr="00764590">
        <w:rPr>
          <w:lang w:val="es-ES"/>
        </w:rPr>
        <w:t xml:space="preserve">Situación de la financiación </w:t>
      </w:r>
      <w:r w:rsidR="001C2A8C" w:rsidRPr="00764590">
        <w:rPr>
          <w:lang w:val="es-ES"/>
        </w:rPr>
        <w:t>(</w:t>
      </w:r>
      <w:r w:rsidR="003D0EDF" w:rsidRPr="00764590">
        <w:rPr>
          <w:lang w:val="es-ES"/>
        </w:rPr>
        <w:t>en miles de francos suizos</w:t>
      </w:r>
      <w:r w:rsidR="00682CCF" w:rsidRPr="00764590">
        <w:rPr>
          <w:lang w:val="es-ES"/>
        </w:rPr>
        <w:t>)</w:t>
      </w:r>
    </w:p>
    <w:p w:rsidR="009E5E95" w:rsidRPr="00764590" w:rsidRDefault="008059FE" w:rsidP="009E5E95">
      <w:pPr>
        <w:rPr>
          <w:lang w:val="es-ES"/>
        </w:rPr>
      </w:pPr>
      <w:r w:rsidRPr="00764590">
        <w:rPr>
          <w:noProof/>
          <w:lang w:eastAsia="en-US"/>
        </w:rPr>
        <w:drawing>
          <wp:inline distT="0" distB="0" distL="0" distR="0" wp14:anchorId="60708616" wp14:editId="57D4EA15">
            <wp:extent cx="5940425" cy="21665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166595"/>
                    </a:xfrm>
                    <a:prstGeom prst="rect">
                      <a:avLst/>
                    </a:prstGeom>
                    <a:noFill/>
                    <a:ln>
                      <a:noFill/>
                    </a:ln>
                  </pic:spPr>
                </pic:pic>
              </a:graphicData>
            </a:graphic>
          </wp:inline>
        </w:drawing>
      </w:r>
    </w:p>
    <w:p w:rsidR="009D3BB8" w:rsidRPr="00764590" w:rsidRDefault="009D3BB8">
      <w:pPr>
        <w:rPr>
          <w:lang w:val="es-ES"/>
        </w:rPr>
      </w:pPr>
      <w:r w:rsidRPr="00764590">
        <w:rPr>
          <w:lang w:val="es-ES"/>
        </w:rPr>
        <w:br w:type="page"/>
      </w:r>
    </w:p>
    <w:p w:rsidR="00E830F4" w:rsidRPr="00764590" w:rsidRDefault="00E830F4" w:rsidP="009D3BB8">
      <w:pPr>
        <w:ind w:left="5533"/>
        <w:rPr>
          <w:i/>
          <w:lang w:val="es-ES"/>
        </w:rPr>
      </w:pPr>
      <w:r w:rsidRPr="00764590">
        <w:rPr>
          <w:i/>
          <w:lang w:val="es-ES"/>
        </w:rPr>
        <w:lastRenderedPageBreak/>
        <w:fldChar w:fldCharType="begin"/>
      </w:r>
      <w:r w:rsidRPr="00764590">
        <w:rPr>
          <w:i/>
          <w:lang w:val="es-ES"/>
        </w:rPr>
        <w:instrText xml:space="preserve"> AUTONUM  </w:instrText>
      </w:r>
      <w:r w:rsidRPr="00764590">
        <w:rPr>
          <w:i/>
          <w:lang w:val="es-ES"/>
        </w:rPr>
        <w:fldChar w:fldCharType="end"/>
      </w:r>
      <w:r w:rsidRPr="00764590">
        <w:rPr>
          <w:lang w:val="es-ES"/>
        </w:rPr>
        <w:tab/>
      </w:r>
      <w:r w:rsidR="003D0EDF" w:rsidRPr="00764590">
        <w:rPr>
          <w:i/>
          <w:lang w:val="es-ES"/>
        </w:rPr>
        <w:t xml:space="preserve">Se invita a la Asamblea a tomar nota del </w:t>
      </w:r>
      <w:r w:rsidR="00421BBF" w:rsidRPr="00764590">
        <w:rPr>
          <w:i/>
          <w:lang w:val="es-ES"/>
        </w:rPr>
        <w:t>“</w:t>
      </w:r>
      <w:r w:rsidR="003D0EDF" w:rsidRPr="00764590">
        <w:rPr>
          <w:i/>
          <w:lang w:val="es-ES"/>
        </w:rPr>
        <w:t>Informe f</w:t>
      </w:r>
      <w:r w:rsidR="009D3BB8" w:rsidRPr="00764590">
        <w:rPr>
          <w:i/>
          <w:lang w:val="es-ES"/>
        </w:rPr>
        <w:t xml:space="preserve">inal </w:t>
      </w:r>
      <w:r w:rsidR="003D0EDF" w:rsidRPr="00764590">
        <w:rPr>
          <w:i/>
          <w:lang w:val="es-ES"/>
        </w:rPr>
        <w:t xml:space="preserve">sobre el programa de modernización de las tecnologías de la información </w:t>
      </w:r>
      <w:r w:rsidR="009D3BB8" w:rsidRPr="00764590">
        <w:rPr>
          <w:i/>
          <w:lang w:val="es-ES"/>
        </w:rPr>
        <w:t>(</w:t>
      </w:r>
      <w:r w:rsidR="003D0EDF" w:rsidRPr="00764590">
        <w:rPr>
          <w:i/>
          <w:lang w:val="es-ES"/>
        </w:rPr>
        <w:t>Sistema</w:t>
      </w:r>
      <w:r w:rsidR="002540EF">
        <w:rPr>
          <w:i/>
          <w:lang w:val="es-ES"/>
        </w:rPr>
        <w:t xml:space="preserve"> de La Haya</w:t>
      </w:r>
      <w:r w:rsidR="003D0EDF" w:rsidRPr="00764590">
        <w:rPr>
          <w:i/>
          <w:lang w:val="es-ES"/>
        </w:rPr>
        <w:t xml:space="preserve"> de Registro Internacional</w:t>
      </w:r>
      <w:r w:rsidR="00C37736" w:rsidRPr="00764590">
        <w:rPr>
          <w:i/>
          <w:lang w:val="es-ES"/>
        </w:rPr>
        <w:t>)</w:t>
      </w:r>
      <w:r w:rsidR="00421BBF" w:rsidRPr="00764590">
        <w:rPr>
          <w:i/>
          <w:lang w:val="es-ES"/>
        </w:rPr>
        <w:t>”</w:t>
      </w:r>
      <w:r w:rsidR="00C37736" w:rsidRPr="00764590">
        <w:rPr>
          <w:i/>
          <w:lang w:val="es-ES"/>
        </w:rPr>
        <w:t xml:space="preserve"> </w:t>
      </w:r>
      <w:r w:rsidR="00E14A03" w:rsidRPr="00764590">
        <w:rPr>
          <w:i/>
          <w:lang w:val="es-ES"/>
        </w:rPr>
        <w:t>(document</w:t>
      </w:r>
      <w:r w:rsidR="003D0EDF" w:rsidRPr="00764590">
        <w:rPr>
          <w:i/>
          <w:lang w:val="es-ES"/>
        </w:rPr>
        <w:t>o</w:t>
      </w:r>
      <w:r w:rsidR="009D72E0" w:rsidRPr="00764590">
        <w:rPr>
          <w:i/>
          <w:lang w:val="es-ES"/>
        </w:rPr>
        <w:t> </w:t>
      </w:r>
      <w:r w:rsidR="009D3BB8" w:rsidRPr="00764590">
        <w:rPr>
          <w:i/>
          <w:lang w:val="es-ES"/>
        </w:rPr>
        <w:t>H/A/35</w:t>
      </w:r>
      <w:r w:rsidR="00E14A03" w:rsidRPr="00764590">
        <w:rPr>
          <w:i/>
          <w:lang w:val="es-ES"/>
        </w:rPr>
        <w:t>/1).</w:t>
      </w:r>
      <w:r w:rsidRPr="00764590">
        <w:rPr>
          <w:i/>
          <w:lang w:val="es-ES"/>
        </w:rPr>
        <w:t xml:space="preserve"> </w:t>
      </w:r>
    </w:p>
    <w:p w:rsidR="00E830F4" w:rsidRPr="00764590" w:rsidRDefault="00E830F4" w:rsidP="008059FE">
      <w:pPr>
        <w:rPr>
          <w:lang w:val="es-ES"/>
        </w:rPr>
      </w:pPr>
    </w:p>
    <w:p w:rsidR="00E830F4" w:rsidRPr="00764590" w:rsidRDefault="00E830F4" w:rsidP="008059FE">
      <w:pPr>
        <w:rPr>
          <w:lang w:val="es-ES"/>
        </w:rPr>
      </w:pPr>
    </w:p>
    <w:p w:rsidR="00BC33F3" w:rsidRPr="00764590" w:rsidRDefault="00BC33F3" w:rsidP="009D2934">
      <w:pPr>
        <w:ind w:left="5533"/>
        <w:rPr>
          <w:lang w:val="es-ES"/>
        </w:rPr>
      </w:pPr>
      <w:r w:rsidRPr="00764590">
        <w:rPr>
          <w:lang w:val="es-ES"/>
        </w:rPr>
        <w:t>[</w:t>
      </w:r>
      <w:r w:rsidR="003D0EDF" w:rsidRPr="00764590">
        <w:rPr>
          <w:lang w:val="es-ES"/>
        </w:rPr>
        <w:t>Siguen los Anexos</w:t>
      </w:r>
      <w:r w:rsidR="00E830F4" w:rsidRPr="00764590">
        <w:rPr>
          <w:lang w:val="es-ES"/>
        </w:rPr>
        <w:t>]</w:t>
      </w:r>
    </w:p>
    <w:p w:rsidR="008059FE" w:rsidRPr="00764590" w:rsidRDefault="008059FE" w:rsidP="008059FE">
      <w:pPr>
        <w:rPr>
          <w:lang w:val="es-ES"/>
        </w:rPr>
      </w:pPr>
    </w:p>
    <w:p w:rsidR="008059FE" w:rsidRPr="00764590" w:rsidRDefault="008059FE" w:rsidP="009D2934">
      <w:pPr>
        <w:ind w:left="5533"/>
        <w:rPr>
          <w:lang w:val="es-ES"/>
        </w:rPr>
      </w:pPr>
    </w:p>
    <w:p w:rsidR="008059FE" w:rsidRPr="00764590" w:rsidRDefault="008059FE" w:rsidP="009D2934">
      <w:pPr>
        <w:ind w:left="5533"/>
        <w:rPr>
          <w:lang w:val="es-ES"/>
        </w:rPr>
        <w:sectPr w:rsidR="008059FE" w:rsidRPr="00764590" w:rsidSect="003E4897">
          <w:headerReference w:type="default" r:id="rId12"/>
          <w:endnotePr>
            <w:numFmt w:val="decimal"/>
          </w:endnotePr>
          <w:pgSz w:w="11907" w:h="16840" w:code="9"/>
          <w:pgMar w:top="567" w:right="1134" w:bottom="1418" w:left="1418" w:header="510" w:footer="1021" w:gutter="0"/>
          <w:cols w:space="720"/>
          <w:titlePg/>
          <w:docGrid w:linePitch="299"/>
        </w:sectPr>
      </w:pPr>
    </w:p>
    <w:p w:rsidR="00764590" w:rsidRPr="00764590" w:rsidRDefault="00764590" w:rsidP="00421BBF">
      <w:pPr>
        <w:rPr>
          <w:b/>
          <w:lang w:val="es-ES"/>
        </w:rPr>
      </w:pPr>
    </w:p>
    <w:p w:rsidR="000D03CB" w:rsidRPr="00764590" w:rsidRDefault="000D03CB" w:rsidP="00421BBF">
      <w:pPr>
        <w:rPr>
          <w:b/>
          <w:lang w:val="es-ES"/>
        </w:rPr>
      </w:pPr>
      <w:r w:rsidRPr="00764590">
        <w:rPr>
          <w:b/>
          <w:lang w:val="es-ES"/>
        </w:rPr>
        <w:t>RECOMENDACIONES PERTINENTES DEL INFORME DE VERIFICACIÓN Y VALIDACIÓN INDEPENDIENTE DEL PROGRAMA DE MODERNIZACIÓN DE LAS T</w:t>
      </w:r>
      <w:r w:rsidR="00BC4841" w:rsidRPr="00764590">
        <w:rPr>
          <w:b/>
          <w:lang w:val="es-ES"/>
        </w:rPr>
        <w:t>.</w:t>
      </w:r>
      <w:r w:rsidRPr="00764590">
        <w:rPr>
          <w:b/>
          <w:lang w:val="es-ES"/>
        </w:rPr>
        <w:t>I</w:t>
      </w:r>
      <w:r w:rsidR="00BC4841" w:rsidRPr="00764590">
        <w:rPr>
          <w:b/>
          <w:lang w:val="es-ES"/>
        </w:rPr>
        <w:t>.</w:t>
      </w:r>
    </w:p>
    <w:p w:rsidR="00BC33F3" w:rsidRPr="00764590" w:rsidRDefault="00BC33F3" w:rsidP="00764590">
      <w:pPr>
        <w:rPr>
          <w:lang w:val="es-ES"/>
        </w:rPr>
      </w:pPr>
    </w:p>
    <w:p w:rsidR="00BC33F3" w:rsidRPr="00764590" w:rsidRDefault="00BC33F3" w:rsidP="00BC33F3">
      <w:pPr>
        <w:rPr>
          <w:lang w:val="es-ES"/>
        </w:rPr>
      </w:pPr>
    </w:p>
    <w:p w:rsidR="00451956" w:rsidRPr="00764590" w:rsidRDefault="00451956" w:rsidP="00BC33F3">
      <w:pPr>
        <w:rPr>
          <w:lang w:val="es-ES"/>
        </w:rPr>
      </w:pPr>
      <w:r w:rsidRPr="00764590">
        <w:rPr>
          <w:lang w:val="es-ES"/>
        </w:rPr>
        <w:t>1.</w:t>
      </w:r>
      <w:r w:rsidRPr="00764590">
        <w:rPr>
          <w:lang w:val="es-ES"/>
        </w:rPr>
        <w:tab/>
        <w:t xml:space="preserve">Definir todos los proyectos vigentes y previstos con arreglo a las normas </w:t>
      </w:r>
      <w:r w:rsidR="004E7978" w:rsidRPr="00764590">
        <w:rPr>
          <w:lang w:val="es-ES"/>
        </w:rPr>
        <w:t>aceptables</w:t>
      </w:r>
      <w:r w:rsidRPr="00764590">
        <w:rPr>
          <w:lang w:val="es-ES"/>
        </w:rPr>
        <w:t>.</w:t>
      </w:r>
    </w:p>
    <w:p w:rsidR="00BC33F3" w:rsidRPr="00764590" w:rsidRDefault="00BC33F3" w:rsidP="00BC33F3">
      <w:pPr>
        <w:rPr>
          <w:lang w:val="es-ES"/>
        </w:rPr>
      </w:pPr>
    </w:p>
    <w:p w:rsidR="00BC33F3" w:rsidRPr="00764590" w:rsidRDefault="00BC33F3" w:rsidP="007D0804">
      <w:pPr>
        <w:ind w:left="567" w:hanging="567"/>
        <w:rPr>
          <w:lang w:val="es-ES"/>
        </w:rPr>
      </w:pPr>
      <w:r w:rsidRPr="00764590">
        <w:rPr>
          <w:lang w:val="es-ES"/>
        </w:rPr>
        <w:t>2.</w:t>
      </w:r>
      <w:r w:rsidRPr="00764590">
        <w:rPr>
          <w:lang w:val="es-ES"/>
        </w:rPr>
        <w:tab/>
      </w:r>
      <w:r w:rsidR="00451956" w:rsidRPr="00764590">
        <w:rPr>
          <w:lang w:val="es-ES"/>
        </w:rPr>
        <w:t>Poner en marcha la evaluación de proyectos y programas y la presentación de informes sobre la marcha de la labor</w:t>
      </w:r>
      <w:r w:rsidRPr="00764590">
        <w:rPr>
          <w:lang w:val="es-ES"/>
        </w:rPr>
        <w:t>.</w:t>
      </w:r>
    </w:p>
    <w:p w:rsidR="00BC33F3" w:rsidRPr="00764590" w:rsidRDefault="00BC33F3" w:rsidP="00BC33F3">
      <w:pPr>
        <w:rPr>
          <w:lang w:val="es-ES"/>
        </w:rPr>
      </w:pPr>
    </w:p>
    <w:p w:rsidR="00451956" w:rsidRPr="00764590" w:rsidRDefault="00BC33F3" w:rsidP="00BC33F3">
      <w:pPr>
        <w:rPr>
          <w:lang w:val="es-ES"/>
        </w:rPr>
      </w:pPr>
      <w:r w:rsidRPr="00764590">
        <w:rPr>
          <w:lang w:val="es-ES"/>
        </w:rPr>
        <w:t>3.</w:t>
      </w:r>
      <w:r w:rsidRPr="00764590">
        <w:rPr>
          <w:lang w:val="es-ES"/>
        </w:rPr>
        <w:tab/>
      </w:r>
      <w:r w:rsidR="00451956" w:rsidRPr="00764590">
        <w:rPr>
          <w:lang w:val="es-ES"/>
        </w:rPr>
        <w:t>Introducir una disciplina contable de los proyectos.</w:t>
      </w:r>
      <w:r w:rsidRPr="00764590">
        <w:rPr>
          <w:lang w:val="es-ES"/>
        </w:rPr>
        <w:t xml:space="preserve"> </w:t>
      </w:r>
    </w:p>
    <w:p w:rsidR="00BC33F3" w:rsidRPr="00764590" w:rsidRDefault="00BC33F3" w:rsidP="00BC33F3">
      <w:pPr>
        <w:rPr>
          <w:lang w:val="es-ES"/>
        </w:rPr>
      </w:pPr>
    </w:p>
    <w:p w:rsidR="00BC33F3" w:rsidRPr="00764590" w:rsidRDefault="00451956" w:rsidP="007D0804">
      <w:pPr>
        <w:ind w:left="567" w:hanging="567"/>
        <w:rPr>
          <w:lang w:val="es-ES"/>
        </w:rPr>
      </w:pPr>
      <w:r w:rsidRPr="00764590">
        <w:rPr>
          <w:lang w:val="es-ES"/>
        </w:rPr>
        <w:t>4.</w:t>
      </w:r>
      <w:r w:rsidRPr="00764590">
        <w:rPr>
          <w:lang w:val="es-ES"/>
        </w:rPr>
        <w:tab/>
        <w:t xml:space="preserve">Trasladar la </w:t>
      </w:r>
      <w:r w:rsidR="004E7978" w:rsidRPr="00764590">
        <w:rPr>
          <w:lang w:val="es-ES"/>
        </w:rPr>
        <w:t>supervisión</w:t>
      </w:r>
      <w:r w:rsidRPr="00764590">
        <w:rPr>
          <w:lang w:val="es-ES"/>
        </w:rPr>
        <w:t xml:space="preserve"> del presupuesto de la cartera a la Junta / Equipo Técnico del Programa de Reforma</w:t>
      </w:r>
      <w:r w:rsidR="00BC33F3" w:rsidRPr="00764590">
        <w:rPr>
          <w:lang w:val="es-ES"/>
        </w:rPr>
        <w:t>.</w:t>
      </w:r>
    </w:p>
    <w:p w:rsidR="00BC33F3" w:rsidRPr="00764590" w:rsidRDefault="00BC33F3" w:rsidP="00BC33F3">
      <w:pPr>
        <w:rPr>
          <w:lang w:val="es-ES"/>
        </w:rPr>
      </w:pPr>
    </w:p>
    <w:p w:rsidR="00BC33F3" w:rsidRPr="00764590" w:rsidRDefault="00BC33F3" w:rsidP="007D0804">
      <w:pPr>
        <w:ind w:left="567" w:hanging="567"/>
        <w:rPr>
          <w:lang w:val="es-ES"/>
        </w:rPr>
      </w:pPr>
      <w:r w:rsidRPr="00764590">
        <w:rPr>
          <w:lang w:val="es-ES"/>
        </w:rPr>
        <w:t>5.</w:t>
      </w:r>
      <w:r w:rsidRPr="00764590">
        <w:rPr>
          <w:lang w:val="es-ES"/>
        </w:rPr>
        <w:tab/>
      </w:r>
      <w:r w:rsidR="00451956" w:rsidRPr="00764590">
        <w:rPr>
          <w:lang w:val="es-ES"/>
        </w:rPr>
        <w:t xml:space="preserve">Volver a </w:t>
      </w:r>
      <w:r w:rsidR="007979CB" w:rsidRPr="00764590">
        <w:rPr>
          <w:lang w:val="es-ES"/>
        </w:rPr>
        <w:t>examina</w:t>
      </w:r>
      <w:r w:rsidR="00451956" w:rsidRPr="00764590">
        <w:rPr>
          <w:lang w:val="es-ES"/>
        </w:rPr>
        <w:t xml:space="preserve">r y verificar el documento de puesta en marcha del proyecto respecto del </w:t>
      </w:r>
      <w:r w:rsidRPr="00764590">
        <w:rPr>
          <w:lang w:val="es-ES"/>
        </w:rPr>
        <w:t>MIRIS.</w:t>
      </w:r>
    </w:p>
    <w:p w:rsidR="00BC33F3" w:rsidRPr="00764590" w:rsidRDefault="00BC33F3" w:rsidP="00BC33F3">
      <w:pPr>
        <w:rPr>
          <w:lang w:val="es-ES"/>
        </w:rPr>
      </w:pPr>
    </w:p>
    <w:p w:rsidR="00BC33F3" w:rsidRPr="00764590" w:rsidRDefault="00BC33F3" w:rsidP="00451956">
      <w:pPr>
        <w:rPr>
          <w:lang w:val="es-ES"/>
        </w:rPr>
      </w:pPr>
      <w:r w:rsidRPr="00764590">
        <w:rPr>
          <w:lang w:val="es-ES"/>
        </w:rPr>
        <w:t>6.</w:t>
      </w:r>
      <w:r w:rsidRPr="00764590">
        <w:rPr>
          <w:lang w:val="es-ES"/>
        </w:rPr>
        <w:tab/>
      </w:r>
      <w:r w:rsidR="00451956" w:rsidRPr="00764590">
        <w:rPr>
          <w:lang w:val="es-ES"/>
        </w:rPr>
        <w:t xml:space="preserve">Examinar y verificar el plan de instalación del </w:t>
      </w:r>
      <w:r w:rsidRPr="00764590">
        <w:rPr>
          <w:lang w:val="es-ES"/>
        </w:rPr>
        <w:t>MIRIS.</w:t>
      </w:r>
    </w:p>
    <w:p w:rsidR="00BC33F3" w:rsidRPr="00764590" w:rsidRDefault="00BC33F3" w:rsidP="00BC33F3">
      <w:pPr>
        <w:rPr>
          <w:lang w:val="es-ES"/>
        </w:rPr>
      </w:pPr>
    </w:p>
    <w:p w:rsidR="00451956" w:rsidRPr="00764590" w:rsidRDefault="00BC33F3" w:rsidP="007D0804">
      <w:pPr>
        <w:ind w:left="567" w:hanging="567"/>
        <w:rPr>
          <w:lang w:val="es-ES"/>
        </w:rPr>
      </w:pPr>
      <w:r w:rsidRPr="00764590">
        <w:rPr>
          <w:lang w:val="es-ES"/>
        </w:rPr>
        <w:t>7.</w:t>
      </w:r>
      <w:r w:rsidRPr="00764590">
        <w:rPr>
          <w:lang w:val="es-ES"/>
        </w:rPr>
        <w:tab/>
      </w:r>
      <w:r w:rsidR="00451956" w:rsidRPr="00764590">
        <w:rPr>
          <w:lang w:val="es-ES"/>
        </w:rPr>
        <w:t xml:space="preserve">Poner en marcha un nuevo proyecto de análisis exhaustivo de los requisitos integrales de todas las operaciones </w:t>
      </w:r>
      <w:r w:rsidR="00903A8A" w:rsidRPr="00764590">
        <w:rPr>
          <w:lang w:val="es-ES"/>
        </w:rPr>
        <w:t xml:space="preserve">en el ámbito de competencia del </w:t>
      </w:r>
      <w:r w:rsidR="00780D14" w:rsidRPr="00764590">
        <w:rPr>
          <w:lang w:val="es-ES"/>
        </w:rPr>
        <w:t>p</w:t>
      </w:r>
      <w:r w:rsidR="00903A8A" w:rsidRPr="00764590">
        <w:rPr>
          <w:lang w:val="es-ES"/>
        </w:rPr>
        <w:t xml:space="preserve">rograma de </w:t>
      </w:r>
      <w:r w:rsidR="00780D14" w:rsidRPr="00764590">
        <w:rPr>
          <w:lang w:val="es-ES"/>
        </w:rPr>
        <w:t>r</w:t>
      </w:r>
      <w:r w:rsidR="00903A8A" w:rsidRPr="00764590">
        <w:rPr>
          <w:lang w:val="es-ES"/>
        </w:rPr>
        <w:t>eforma.</w:t>
      </w:r>
    </w:p>
    <w:p w:rsidR="00451956" w:rsidRPr="00764590" w:rsidRDefault="00451956" w:rsidP="00BC33F3">
      <w:pPr>
        <w:rPr>
          <w:lang w:val="es-ES"/>
        </w:rPr>
      </w:pPr>
    </w:p>
    <w:p w:rsidR="00903A8A" w:rsidRPr="00764590" w:rsidRDefault="00903A8A" w:rsidP="007D0804">
      <w:pPr>
        <w:ind w:left="567" w:hanging="567"/>
        <w:rPr>
          <w:lang w:val="es-ES"/>
        </w:rPr>
      </w:pPr>
      <w:r w:rsidRPr="00764590">
        <w:rPr>
          <w:lang w:val="es-ES"/>
        </w:rPr>
        <w:t>8.</w:t>
      </w:r>
      <w:r w:rsidRPr="00764590">
        <w:rPr>
          <w:lang w:val="es-ES"/>
        </w:rPr>
        <w:tab/>
        <w:t xml:space="preserve">Establecer procesos transversales para ocuparse de las peticiones de mejoras y arreglos esenciales.  </w:t>
      </w:r>
    </w:p>
    <w:p w:rsidR="00903A8A" w:rsidRPr="00764590" w:rsidRDefault="00903A8A" w:rsidP="00BC33F3">
      <w:pPr>
        <w:rPr>
          <w:lang w:val="es-ES"/>
        </w:rPr>
      </w:pPr>
    </w:p>
    <w:p w:rsidR="00903A8A" w:rsidRPr="00764590" w:rsidRDefault="00903A8A" w:rsidP="00BC33F3">
      <w:pPr>
        <w:rPr>
          <w:lang w:val="es-ES"/>
        </w:rPr>
      </w:pPr>
      <w:r w:rsidRPr="00764590">
        <w:rPr>
          <w:lang w:val="es-ES"/>
        </w:rPr>
        <w:t>9.</w:t>
      </w:r>
      <w:r w:rsidRPr="00764590">
        <w:rPr>
          <w:lang w:val="es-ES"/>
        </w:rPr>
        <w:tab/>
        <w:t>Revisar el registro y gestión de riesgos y cuestiones problemáticas.</w:t>
      </w:r>
    </w:p>
    <w:p w:rsidR="00BC33F3" w:rsidRPr="00764590" w:rsidRDefault="00BC33F3" w:rsidP="00BC33F3">
      <w:pPr>
        <w:rPr>
          <w:lang w:val="es-ES"/>
        </w:rPr>
      </w:pPr>
    </w:p>
    <w:p w:rsidR="003320D1" w:rsidRPr="00764590" w:rsidRDefault="00BC33F3" w:rsidP="007D0804">
      <w:pPr>
        <w:ind w:left="567" w:hanging="567"/>
        <w:rPr>
          <w:lang w:val="es-ES"/>
        </w:rPr>
      </w:pPr>
      <w:r w:rsidRPr="00764590">
        <w:rPr>
          <w:lang w:val="es-ES"/>
        </w:rPr>
        <w:t>10.</w:t>
      </w:r>
      <w:r w:rsidRPr="00764590">
        <w:rPr>
          <w:lang w:val="es-ES"/>
        </w:rPr>
        <w:tab/>
      </w:r>
      <w:r w:rsidR="003320D1" w:rsidRPr="00764590">
        <w:rPr>
          <w:lang w:val="es-ES"/>
        </w:rPr>
        <w:t xml:space="preserve">Asignar de manera pertinente la </w:t>
      </w:r>
      <w:r w:rsidR="001A5CC1">
        <w:rPr>
          <w:lang w:val="es-ES"/>
        </w:rPr>
        <w:t>propiedad</w:t>
      </w:r>
      <w:r w:rsidR="003320D1" w:rsidRPr="00764590">
        <w:rPr>
          <w:lang w:val="es-ES"/>
        </w:rPr>
        <w:t xml:space="preserve"> de los datos entre los usuarios, el apoyo</w:t>
      </w:r>
      <w:r w:rsidR="00F57550" w:rsidRPr="00764590">
        <w:rPr>
          <w:lang w:val="es-ES"/>
        </w:rPr>
        <w:t xml:space="preserve"> técnico</w:t>
      </w:r>
      <w:r w:rsidR="003320D1" w:rsidRPr="00764590">
        <w:rPr>
          <w:lang w:val="es-ES"/>
        </w:rPr>
        <w:t xml:space="preserve"> y la administración del sistema.</w:t>
      </w:r>
    </w:p>
    <w:p w:rsidR="00BC33F3" w:rsidRPr="00764590" w:rsidRDefault="00BC33F3" w:rsidP="00BC33F3">
      <w:pPr>
        <w:rPr>
          <w:lang w:val="es-ES"/>
        </w:rPr>
      </w:pPr>
    </w:p>
    <w:p w:rsidR="003320D1" w:rsidRPr="00764590" w:rsidRDefault="003320D1" w:rsidP="007D0804">
      <w:pPr>
        <w:ind w:left="567" w:hanging="567"/>
        <w:rPr>
          <w:lang w:val="es-ES"/>
        </w:rPr>
      </w:pPr>
      <w:r w:rsidRPr="00764590">
        <w:rPr>
          <w:lang w:val="es-ES"/>
        </w:rPr>
        <w:t>11.</w:t>
      </w:r>
      <w:r w:rsidRPr="00764590">
        <w:rPr>
          <w:lang w:val="es-ES"/>
        </w:rPr>
        <w:tab/>
        <w:t>Definir las funciones de director técnico, director de publicación y director de control de cambios.</w:t>
      </w:r>
    </w:p>
    <w:p w:rsidR="00BC33F3" w:rsidRPr="00764590" w:rsidRDefault="00BC33F3" w:rsidP="00BC33F3">
      <w:pPr>
        <w:rPr>
          <w:lang w:val="es-ES"/>
        </w:rPr>
      </w:pPr>
    </w:p>
    <w:p w:rsidR="003320D1" w:rsidRPr="00764590" w:rsidRDefault="003320D1" w:rsidP="007D0804">
      <w:pPr>
        <w:ind w:left="567" w:hanging="567"/>
        <w:rPr>
          <w:lang w:val="es-ES"/>
        </w:rPr>
      </w:pPr>
      <w:r w:rsidRPr="00764590">
        <w:rPr>
          <w:lang w:val="es-ES"/>
        </w:rPr>
        <w:t>12.</w:t>
      </w:r>
      <w:r w:rsidRPr="00764590">
        <w:rPr>
          <w:lang w:val="es-ES"/>
        </w:rPr>
        <w:tab/>
        <w:t>Definir los niveles de apoyo necesarios para las tres funciones mencionadas en el punto</w:t>
      </w:r>
      <w:r w:rsidR="007D0804">
        <w:rPr>
          <w:lang w:val="es-ES"/>
        </w:rPr>
        <w:t> </w:t>
      </w:r>
      <w:r w:rsidRPr="00764590">
        <w:rPr>
          <w:lang w:val="es-ES"/>
        </w:rPr>
        <w:t>11, los distintos niveles de apoyo técnico y apoyo a los usuarios.</w:t>
      </w:r>
    </w:p>
    <w:p w:rsidR="00BC33F3" w:rsidRPr="00764590" w:rsidRDefault="00BC33F3" w:rsidP="00BC33F3">
      <w:pPr>
        <w:rPr>
          <w:lang w:val="es-ES"/>
        </w:rPr>
      </w:pPr>
    </w:p>
    <w:p w:rsidR="003320D1" w:rsidRPr="00764590" w:rsidRDefault="00BC33F3" w:rsidP="007D0804">
      <w:pPr>
        <w:ind w:left="567" w:hanging="567"/>
        <w:rPr>
          <w:lang w:val="es-ES"/>
        </w:rPr>
      </w:pPr>
      <w:r w:rsidRPr="00764590">
        <w:rPr>
          <w:lang w:val="es-ES"/>
        </w:rPr>
        <w:t>13.</w:t>
      </w:r>
      <w:r w:rsidRPr="00764590">
        <w:rPr>
          <w:lang w:val="es-ES"/>
        </w:rPr>
        <w:tab/>
      </w:r>
      <w:r w:rsidR="003320D1" w:rsidRPr="00764590">
        <w:rPr>
          <w:lang w:val="es-ES"/>
        </w:rPr>
        <w:t xml:space="preserve">Poner en marcha procesos transversales en relación con el programa de mejora continua del equipo operativo y el proceso de control de cambios de la División de Apoyo a los Registros. </w:t>
      </w:r>
      <w:r w:rsidRPr="00764590">
        <w:rPr>
          <w:lang w:val="es-ES"/>
        </w:rPr>
        <w:t xml:space="preserve"> </w:t>
      </w:r>
    </w:p>
    <w:p w:rsidR="003320D1" w:rsidRPr="00764590" w:rsidRDefault="003320D1" w:rsidP="00BC33F3">
      <w:pPr>
        <w:rPr>
          <w:lang w:val="es-ES"/>
        </w:rPr>
      </w:pPr>
    </w:p>
    <w:p w:rsidR="00BC33F3" w:rsidRPr="00764590" w:rsidRDefault="003320D1" w:rsidP="00BC33F3">
      <w:pPr>
        <w:rPr>
          <w:lang w:val="es-ES"/>
        </w:rPr>
      </w:pPr>
      <w:r w:rsidRPr="00764590">
        <w:rPr>
          <w:lang w:val="es-ES"/>
        </w:rPr>
        <w:t>14.</w:t>
      </w:r>
      <w:r w:rsidRPr="00764590">
        <w:rPr>
          <w:lang w:val="es-ES"/>
        </w:rPr>
        <w:tab/>
        <w:t>Establecer una biblioteca del proyecto a nivel interno</w:t>
      </w:r>
      <w:r w:rsidR="00BC33F3" w:rsidRPr="00764590">
        <w:rPr>
          <w:lang w:val="es-ES"/>
        </w:rPr>
        <w:t>.</w:t>
      </w:r>
    </w:p>
    <w:p w:rsidR="00BC33F3" w:rsidRPr="00764590" w:rsidRDefault="00BC33F3" w:rsidP="00BC33F3">
      <w:pPr>
        <w:rPr>
          <w:lang w:val="es-ES"/>
        </w:rPr>
      </w:pPr>
    </w:p>
    <w:p w:rsidR="003320D1" w:rsidRPr="00764590" w:rsidRDefault="00BC33F3" w:rsidP="00BC33F3">
      <w:pPr>
        <w:rPr>
          <w:lang w:val="es-ES"/>
        </w:rPr>
      </w:pPr>
      <w:r w:rsidRPr="00764590">
        <w:rPr>
          <w:lang w:val="es-ES"/>
        </w:rPr>
        <w:t>15.</w:t>
      </w:r>
      <w:r w:rsidRPr="00764590">
        <w:rPr>
          <w:lang w:val="es-ES"/>
        </w:rPr>
        <w:tab/>
      </w:r>
      <w:r w:rsidR="003320D1" w:rsidRPr="00764590">
        <w:rPr>
          <w:lang w:val="es-ES"/>
        </w:rPr>
        <w:t xml:space="preserve">Aplicar normas prácticas para los documentos del proyecto. </w:t>
      </w:r>
    </w:p>
    <w:p w:rsidR="00BC33F3" w:rsidRPr="00764590" w:rsidRDefault="00BC33F3" w:rsidP="00BC33F3">
      <w:pPr>
        <w:rPr>
          <w:lang w:val="es-ES"/>
        </w:rPr>
      </w:pPr>
    </w:p>
    <w:p w:rsidR="003320D1" w:rsidRPr="00764590" w:rsidRDefault="003320D1" w:rsidP="00BC33F3">
      <w:pPr>
        <w:rPr>
          <w:lang w:val="es-ES"/>
        </w:rPr>
      </w:pPr>
      <w:r w:rsidRPr="00764590">
        <w:rPr>
          <w:lang w:val="es-ES"/>
        </w:rPr>
        <w:t>16.</w:t>
      </w:r>
      <w:r w:rsidRPr="00764590">
        <w:rPr>
          <w:lang w:val="es-ES"/>
        </w:rPr>
        <w:tab/>
        <w:t>Asignar un director de formación a las Juntas del Programa y del Proyecto.</w:t>
      </w:r>
    </w:p>
    <w:p w:rsidR="00BC33F3" w:rsidRPr="00764590" w:rsidRDefault="00BC33F3" w:rsidP="00BC33F3">
      <w:pPr>
        <w:rPr>
          <w:lang w:val="es-ES"/>
        </w:rPr>
      </w:pPr>
    </w:p>
    <w:p w:rsidR="00BC33F3" w:rsidRPr="00764590" w:rsidRDefault="003320D1" w:rsidP="00BC33F3">
      <w:pPr>
        <w:rPr>
          <w:lang w:val="es-ES"/>
        </w:rPr>
      </w:pPr>
      <w:r w:rsidRPr="00764590">
        <w:rPr>
          <w:lang w:val="es-ES"/>
        </w:rPr>
        <w:t>17.</w:t>
      </w:r>
      <w:r w:rsidRPr="00764590">
        <w:rPr>
          <w:lang w:val="es-ES"/>
        </w:rPr>
        <w:tab/>
        <w:t>Añadir la evaluación de la incidencia de la formación en el proceso de cambio</w:t>
      </w:r>
      <w:r w:rsidR="00BC33F3" w:rsidRPr="00764590">
        <w:rPr>
          <w:lang w:val="es-ES"/>
        </w:rPr>
        <w:t>.</w:t>
      </w:r>
    </w:p>
    <w:p w:rsidR="00BC33F3" w:rsidRPr="00764590" w:rsidRDefault="00BC33F3" w:rsidP="00BC33F3">
      <w:pPr>
        <w:rPr>
          <w:lang w:val="es-ES"/>
        </w:rPr>
      </w:pPr>
    </w:p>
    <w:p w:rsidR="00BC33F3" w:rsidRPr="00764590" w:rsidRDefault="00BC33F3" w:rsidP="00BC33F3">
      <w:pPr>
        <w:rPr>
          <w:lang w:val="es-ES"/>
        </w:rPr>
      </w:pPr>
      <w:r w:rsidRPr="00764590">
        <w:rPr>
          <w:lang w:val="es-ES"/>
        </w:rPr>
        <w:t>18.</w:t>
      </w:r>
      <w:r w:rsidRPr="00764590">
        <w:rPr>
          <w:lang w:val="es-ES"/>
        </w:rPr>
        <w:tab/>
      </w:r>
      <w:r w:rsidR="003320D1" w:rsidRPr="00764590">
        <w:rPr>
          <w:lang w:val="es-ES"/>
        </w:rPr>
        <w:t>Catalogar los procesos y datos de las operaciones</w:t>
      </w:r>
      <w:r w:rsidRPr="00764590">
        <w:rPr>
          <w:lang w:val="es-ES"/>
        </w:rPr>
        <w:t>.</w:t>
      </w:r>
    </w:p>
    <w:p w:rsidR="00BC33F3" w:rsidRPr="00764590" w:rsidRDefault="00BC33F3" w:rsidP="00BC33F3">
      <w:pPr>
        <w:rPr>
          <w:lang w:val="es-ES"/>
        </w:rPr>
      </w:pPr>
    </w:p>
    <w:p w:rsidR="00BC33F3" w:rsidRPr="00764590" w:rsidRDefault="003320D1" w:rsidP="00BC33F3">
      <w:pPr>
        <w:rPr>
          <w:lang w:val="es-ES"/>
        </w:rPr>
      </w:pPr>
      <w:r w:rsidRPr="00764590">
        <w:rPr>
          <w:lang w:val="es-ES"/>
        </w:rPr>
        <w:t>19.</w:t>
      </w:r>
      <w:r w:rsidRPr="00764590">
        <w:rPr>
          <w:lang w:val="es-ES"/>
        </w:rPr>
        <w:tab/>
        <w:t xml:space="preserve">Añadir los requisitos / limitaciones de rendimiento para la definición del proyecto </w:t>
      </w:r>
      <w:r w:rsidR="00BC33F3" w:rsidRPr="00764590">
        <w:rPr>
          <w:lang w:val="es-ES"/>
        </w:rPr>
        <w:t>MIRIS.</w:t>
      </w:r>
    </w:p>
    <w:p w:rsidR="00BC33F3" w:rsidRPr="00764590" w:rsidRDefault="00BC33F3" w:rsidP="00BC33F3">
      <w:pPr>
        <w:rPr>
          <w:lang w:val="es-ES"/>
        </w:rPr>
      </w:pPr>
    </w:p>
    <w:p w:rsidR="00BC33F3" w:rsidRPr="00764590" w:rsidRDefault="00BC33F3" w:rsidP="00DF4209">
      <w:pPr>
        <w:rPr>
          <w:lang w:val="es-ES"/>
        </w:rPr>
      </w:pPr>
      <w:r w:rsidRPr="00764590">
        <w:rPr>
          <w:lang w:val="es-ES"/>
        </w:rPr>
        <w:t>20.</w:t>
      </w:r>
      <w:r w:rsidRPr="00764590">
        <w:rPr>
          <w:lang w:val="es-ES"/>
        </w:rPr>
        <w:tab/>
      </w:r>
      <w:r w:rsidR="00DF4209" w:rsidRPr="00764590">
        <w:rPr>
          <w:lang w:val="es-ES"/>
        </w:rPr>
        <w:t xml:space="preserve">Poner en marcha procesos de gestión independiente de la interfaz entre la División de </w:t>
      </w:r>
      <w:r w:rsidR="007D0804">
        <w:rPr>
          <w:lang w:val="es-ES"/>
        </w:rPr>
        <w:tab/>
      </w:r>
      <w:r w:rsidR="00DF4209" w:rsidRPr="00764590">
        <w:rPr>
          <w:lang w:val="es-ES"/>
        </w:rPr>
        <w:t>Apoyo a los Registros y el equipo de apoyo al sistema AIMS</w:t>
      </w:r>
      <w:r w:rsidRPr="00764590">
        <w:rPr>
          <w:lang w:val="es-ES"/>
        </w:rPr>
        <w:t>.</w:t>
      </w:r>
    </w:p>
    <w:p w:rsidR="00BC33F3" w:rsidRPr="00764590" w:rsidRDefault="00BC33F3" w:rsidP="00BC33F3">
      <w:pPr>
        <w:rPr>
          <w:lang w:val="es-ES"/>
        </w:rPr>
      </w:pPr>
    </w:p>
    <w:p w:rsidR="00BC33F3" w:rsidRPr="00764590" w:rsidRDefault="00DF4209" w:rsidP="00BC33F3">
      <w:pPr>
        <w:rPr>
          <w:lang w:val="es-ES"/>
        </w:rPr>
      </w:pPr>
      <w:r w:rsidRPr="00764590">
        <w:rPr>
          <w:lang w:val="es-ES"/>
        </w:rPr>
        <w:lastRenderedPageBreak/>
        <w:t>21.</w:t>
      </w:r>
      <w:r w:rsidRPr="00764590">
        <w:rPr>
          <w:lang w:val="es-ES"/>
        </w:rPr>
        <w:tab/>
        <w:t>Incluir las dependencias externas en la planificación del proyecto.</w:t>
      </w:r>
    </w:p>
    <w:p w:rsidR="00BC33F3" w:rsidRPr="00764590" w:rsidRDefault="00BC33F3" w:rsidP="00BC33F3">
      <w:pPr>
        <w:rPr>
          <w:lang w:val="es-ES"/>
        </w:rPr>
      </w:pPr>
    </w:p>
    <w:p w:rsidR="00DF4209" w:rsidRPr="00764590" w:rsidRDefault="00BC33F3" w:rsidP="007D0804">
      <w:pPr>
        <w:ind w:left="567" w:hanging="567"/>
        <w:rPr>
          <w:lang w:val="es-ES"/>
        </w:rPr>
      </w:pPr>
      <w:r w:rsidRPr="00764590">
        <w:rPr>
          <w:lang w:val="es-ES"/>
        </w:rPr>
        <w:t>22.</w:t>
      </w:r>
      <w:r w:rsidRPr="00764590">
        <w:rPr>
          <w:lang w:val="es-ES"/>
        </w:rPr>
        <w:tab/>
      </w:r>
      <w:r w:rsidR="00DF4209" w:rsidRPr="00764590">
        <w:rPr>
          <w:lang w:val="es-ES"/>
        </w:rPr>
        <w:t>Volver a planificar y preparar las pruebas teniendo en cuenta los resultados de los requisitos operacionales y la actividad de catalogación de datos.</w:t>
      </w:r>
    </w:p>
    <w:p w:rsidR="00BC33F3" w:rsidRPr="00764590" w:rsidRDefault="00BC33F3" w:rsidP="00BC33F3">
      <w:pPr>
        <w:rPr>
          <w:lang w:val="es-ES"/>
        </w:rPr>
      </w:pPr>
    </w:p>
    <w:p w:rsidR="00DF4209" w:rsidRPr="00764590" w:rsidRDefault="00BC33F3" w:rsidP="00BC33F3">
      <w:pPr>
        <w:rPr>
          <w:lang w:val="es-ES"/>
        </w:rPr>
      </w:pPr>
      <w:r w:rsidRPr="00764590">
        <w:rPr>
          <w:lang w:val="es-ES"/>
        </w:rPr>
        <w:t>23.</w:t>
      </w:r>
      <w:r w:rsidRPr="00764590">
        <w:rPr>
          <w:lang w:val="es-ES"/>
        </w:rPr>
        <w:tab/>
      </w:r>
      <w:r w:rsidR="001A5CC1">
        <w:rPr>
          <w:lang w:val="es-ES"/>
        </w:rPr>
        <w:t>Implementar</w:t>
      </w:r>
      <w:r w:rsidR="00DF4209" w:rsidRPr="00764590">
        <w:rPr>
          <w:lang w:val="es-ES"/>
        </w:rPr>
        <w:t xml:space="preserve"> los procesos de gestión de cambios operacionales.</w:t>
      </w:r>
    </w:p>
    <w:p w:rsidR="00BC33F3" w:rsidRPr="00764590" w:rsidRDefault="00BC33F3" w:rsidP="00DF4209">
      <w:pPr>
        <w:rPr>
          <w:lang w:val="es-ES"/>
        </w:rPr>
      </w:pPr>
    </w:p>
    <w:p w:rsidR="00BC33F3" w:rsidRPr="00764590" w:rsidRDefault="00BC33F3" w:rsidP="00BC33F3">
      <w:pPr>
        <w:ind w:left="5533"/>
        <w:rPr>
          <w:lang w:val="es-ES"/>
        </w:rPr>
      </w:pPr>
      <w:r w:rsidRPr="00764590">
        <w:rPr>
          <w:lang w:val="es-ES"/>
        </w:rPr>
        <w:t>[</w:t>
      </w:r>
      <w:r w:rsidR="00FE4027" w:rsidRPr="00764590">
        <w:rPr>
          <w:lang w:val="es-ES"/>
        </w:rPr>
        <w:t>Sigue el Anexo</w:t>
      </w:r>
      <w:r w:rsidRPr="00764590">
        <w:rPr>
          <w:lang w:val="es-ES"/>
        </w:rPr>
        <w:t xml:space="preserve"> II]</w:t>
      </w:r>
    </w:p>
    <w:p w:rsidR="00764590" w:rsidRPr="00764590" w:rsidRDefault="00764590" w:rsidP="00BC33F3">
      <w:pPr>
        <w:ind w:left="5533"/>
        <w:rPr>
          <w:lang w:val="es-ES"/>
        </w:rPr>
      </w:pPr>
    </w:p>
    <w:p w:rsidR="00764590" w:rsidRPr="00764590" w:rsidRDefault="00764590" w:rsidP="00BC33F3">
      <w:pPr>
        <w:ind w:left="5533"/>
        <w:rPr>
          <w:lang w:val="es-ES"/>
        </w:rPr>
      </w:pPr>
    </w:p>
    <w:p w:rsidR="00764590" w:rsidRPr="00764590" w:rsidRDefault="00764590" w:rsidP="00BC33F3">
      <w:pPr>
        <w:ind w:left="5533"/>
        <w:rPr>
          <w:lang w:val="es-ES"/>
        </w:rPr>
        <w:sectPr w:rsidR="00764590" w:rsidRPr="00764590" w:rsidSect="00764590">
          <w:headerReference w:type="default" r:id="rId13"/>
          <w:headerReference w:type="first" r:id="rId14"/>
          <w:endnotePr>
            <w:numFmt w:val="decimal"/>
          </w:endnotePr>
          <w:pgSz w:w="11907" w:h="16840" w:code="9"/>
          <w:pgMar w:top="567" w:right="1134" w:bottom="1260" w:left="1418" w:header="510" w:footer="1021" w:gutter="0"/>
          <w:pgNumType w:start="1"/>
          <w:cols w:space="720"/>
          <w:titlePg/>
          <w:docGrid w:linePitch="299"/>
        </w:sectPr>
      </w:pPr>
    </w:p>
    <w:p w:rsidR="00BC33F3" w:rsidRPr="00764590" w:rsidRDefault="00BC33F3" w:rsidP="00764590">
      <w:pPr>
        <w:rPr>
          <w:szCs w:val="22"/>
          <w:lang w:val="es-ES"/>
        </w:rPr>
      </w:pPr>
    </w:p>
    <w:p w:rsidR="00BC33F3" w:rsidRPr="00764590" w:rsidRDefault="00FE4027" w:rsidP="00421BBF">
      <w:pPr>
        <w:rPr>
          <w:b/>
          <w:lang w:val="es-ES"/>
        </w:rPr>
      </w:pPr>
      <w:r w:rsidRPr="00764590">
        <w:rPr>
          <w:b/>
          <w:lang w:val="es-ES"/>
        </w:rPr>
        <w:t xml:space="preserve">LOGROS DEL </w:t>
      </w:r>
      <w:r w:rsidR="00BC33F3" w:rsidRPr="00764590">
        <w:rPr>
          <w:b/>
          <w:lang w:val="es-ES"/>
        </w:rPr>
        <w:t>PROGRAM</w:t>
      </w:r>
      <w:r w:rsidRPr="00764590">
        <w:rPr>
          <w:b/>
          <w:lang w:val="es-ES"/>
        </w:rPr>
        <w:t>A</w:t>
      </w:r>
      <w:r w:rsidR="00BC33F3" w:rsidRPr="00764590">
        <w:rPr>
          <w:b/>
          <w:lang w:val="es-ES"/>
        </w:rPr>
        <w:t xml:space="preserve"> </w:t>
      </w:r>
      <w:r w:rsidRPr="00764590">
        <w:rPr>
          <w:b/>
          <w:lang w:val="es-ES"/>
        </w:rPr>
        <w:t>DE MODERNIZACIÓN DE LAS T</w:t>
      </w:r>
      <w:r w:rsidR="00BC4841" w:rsidRPr="00764590">
        <w:rPr>
          <w:b/>
          <w:lang w:val="es-ES"/>
        </w:rPr>
        <w:t>.</w:t>
      </w:r>
      <w:r w:rsidRPr="00764590">
        <w:rPr>
          <w:b/>
          <w:lang w:val="es-ES"/>
        </w:rPr>
        <w:t>I</w:t>
      </w:r>
      <w:r w:rsidR="00BC4841" w:rsidRPr="00764590">
        <w:rPr>
          <w:b/>
          <w:lang w:val="es-ES"/>
        </w:rPr>
        <w:t>.</w:t>
      </w:r>
    </w:p>
    <w:p w:rsidR="00BC33F3" w:rsidRPr="00764590" w:rsidRDefault="00BC33F3" w:rsidP="00764590">
      <w:pPr>
        <w:rPr>
          <w:lang w:val="es-ES"/>
        </w:rPr>
      </w:pPr>
    </w:p>
    <w:p w:rsidR="00FE4027" w:rsidRPr="00764590" w:rsidRDefault="00BC33F3" w:rsidP="00764590">
      <w:pPr>
        <w:ind w:left="567" w:hanging="567"/>
        <w:rPr>
          <w:lang w:val="es-ES"/>
        </w:rPr>
      </w:pPr>
      <w:r w:rsidRPr="00764590">
        <w:rPr>
          <w:lang w:val="es-ES"/>
        </w:rPr>
        <w:t>1.</w:t>
      </w:r>
      <w:r w:rsidRPr="00764590">
        <w:rPr>
          <w:lang w:val="es-ES"/>
        </w:rPr>
        <w:tab/>
        <w:t>Mi</w:t>
      </w:r>
      <w:r w:rsidR="00FE4027" w:rsidRPr="00764590">
        <w:rPr>
          <w:lang w:val="es-ES"/>
        </w:rPr>
        <w:t>gración</w:t>
      </w:r>
      <w:r w:rsidR="008976F7" w:rsidRPr="00764590">
        <w:rPr>
          <w:lang w:val="es-ES"/>
        </w:rPr>
        <w:t xml:space="preserve"> del sistema actual que funciona en un entorno de sistema central a un entorno UNIX.</w:t>
      </w:r>
    </w:p>
    <w:p w:rsidR="00BC33F3" w:rsidRPr="00764590" w:rsidRDefault="00BC33F3" w:rsidP="00BC33F3">
      <w:pPr>
        <w:rPr>
          <w:lang w:val="es-ES"/>
        </w:rPr>
      </w:pPr>
    </w:p>
    <w:p w:rsidR="00BC33F3" w:rsidRPr="00764590" w:rsidRDefault="008976F7" w:rsidP="00BC33F3">
      <w:pPr>
        <w:rPr>
          <w:lang w:val="es-ES"/>
        </w:rPr>
      </w:pPr>
      <w:r w:rsidRPr="00764590">
        <w:rPr>
          <w:lang w:val="es-ES"/>
        </w:rPr>
        <w:t>2.</w:t>
      </w:r>
      <w:r w:rsidRPr="00764590">
        <w:rPr>
          <w:lang w:val="es-ES"/>
        </w:rPr>
        <w:tab/>
        <w:t>Nueva prueba de concepto de infraestructura de T</w:t>
      </w:r>
      <w:r w:rsidR="00BC4841" w:rsidRPr="00764590">
        <w:rPr>
          <w:lang w:val="es-ES"/>
        </w:rPr>
        <w:t>.</w:t>
      </w:r>
      <w:r w:rsidR="00BC33F3" w:rsidRPr="00764590">
        <w:rPr>
          <w:lang w:val="es-ES"/>
        </w:rPr>
        <w:t>I.</w:t>
      </w:r>
    </w:p>
    <w:p w:rsidR="00BC33F3" w:rsidRPr="00764590" w:rsidRDefault="00BC33F3" w:rsidP="00BC33F3">
      <w:pPr>
        <w:rPr>
          <w:lang w:val="es-ES"/>
        </w:rPr>
      </w:pPr>
    </w:p>
    <w:p w:rsidR="00BC33F3" w:rsidRPr="00764590" w:rsidRDefault="008976F7" w:rsidP="00BC33F3">
      <w:pPr>
        <w:rPr>
          <w:lang w:val="es-ES"/>
        </w:rPr>
      </w:pPr>
      <w:r w:rsidRPr="00764590">
        <w:rPr>
          <w:lang w:val="es-ES"/>
        </w:rPr>
        <w:t>3.</w:t>
      </w:r>
      <w:r w:rsidRPr="00764590">
        <w:rPr>
          <w:lang w:val="es-ES"/>
        </w:rPr>
        <w:tab/>
        <w:t>Nuevo proyecto piloto de infraestructura de T</w:t>
      </w:r>
      <w:r w:rsidR="00BC4841" w:rsidRPr="00764590">
        <w:rPr>
          <w:lang w:val="es-ES"/>
        </w:rPr>
        <w:t>.</w:t>
      </w:r>
      <w:r w:rsidRPr="00764590">
        <w:rPr>
          <w:lang w:val="es-ES"/>
        </w:rPr>
        <w:t>I</w:t>
      </w:r>
      <w:r w:rsidR="00BC4841" w:rsidRPr="00764590">
        <w:rPr>
          <w:lang w:val="es-ES"/>
        </w:rPr>
        <w:t>.</w:t>
      </w:r>
      <w:r w:rsidRPr="00764590">
        <w:rPr>
          <w:lang w:val="es-ES"/>
        </w:rPr>
        <w:t xml:space="preserve">:  </w:t>
      </w:r>
      <w:r w:rsidR="00BC33F3" w:rsidRPr="00764590">
        <w:rPr>
          <w:lang w:val="es-ES"/>
        </w:rPr>
        <w:t>Madrid eFiling.</w:t>
      </w:r>
    </w:p>
    <w:p w:rsidR="00BC33F3" w:rsidRPr="00764590" w:rsidRDefault="00BC33F3" w:rsidP="00BC33F3">
      <w:pPr>
        <w:rPr>
          <w:lang w:val="es-ES"/>
        </w:rPr>
      </w:pPr>
    </w:p>
    <w:p w:rsidR="00BC33F3" w:rsidRPr="00764590" w:rsidRDefault="00BC33F3" w:rsidP="00BC33F3">
      <w:pPr>
        <w:rPr>
          <w:lang w:val="es-ES"/>
        </w:rPr>
      </w:pPr>
      <w:r w:rsidRPr="00764590">
        <w:rPr>
          <w:lang w:val="es-ES"/>
        </w:rPr>
        <w:t>4.</w:t>
      </w:r>
      <w:r w:rsidRPr="00764590">
        <w:rPr>
          <w:lang w:val="es-ES"/>
        </w:rPr>
        <w:tab/>
      </w:r>
      <w:r w:rsidR="0086481D" w:rsidRPr="00764590">
        <w:rPr>
          <w:lang w:val="es-ES"/>
        </w:rPr>
        <w:t xml:space="preserve">Renovación electrónica </w:t>
      </w:r>
      <w:r w:rsidR="001D063D" w:rsidRPr="00764590">
        <w:rPr>
          <w:lang w:val="es-ES"/>
        </w:rPr>
        <w:t xml:space="preserve">(eRenewal) </w:t>
      </w:r>
      <w:r w:rsidR="0086481D" w:rsidRPr="00764590">
        <w:rPr>
          <w:lang w:val="es-ES"/>
        </w:rPr>
        <w:t>en el Sistema de La Haya</w:t>
      </w:r>
      <w:r w:rsidRPr="00764590">
        <w:rPr>
          <w:lang w:val="es-ES"/>
        </w:rPr>
        <w:t>.</w:t>
      </w:r>
    </w:p>
    <w:p w:rsidR="00BC33F3" w:rsidRPr="00764590" w:rsidRDefault="00BC33F3" w:rsidP="00BC33F3">
      <w:pPr>
        <w:rPr>
          <w:lang w:val="es-ES"/>
        </w:rPr>
      </w:pPr>
    </w:p>
    <w:p w:rsidR="00BC33F3" w:rsidRPr="00764590" w:rsidRDefault="00BC33F3" w:rsidP="00BC33F3">
      <w:pPr>
        <w:rPr>
          <w:lang w:val="es-ES"/>
        </w:rPr>
      </w:pPr>
      <w:r w:rsidRPr="00764590">
        <w:rPr>
          <w:lang w:val="es-ES"/>
        </w:rPr>
        <w:t>5.</w:t>
      </w:r>
      <w:r w:rsidRPr="00764590">
        <w:rPr>
          <w:lang w:val="es-ES"/>
        </w:rPr>
        <w:tab/>
      </w:r>
      <w:r w:rsidR="0086481D" w:rsidRPr="00764590">
        <w:rPr>
          <w:lang w:val="es-ES"/>
        </w:rPr>
        <w:t>Revisión del sistema de presentación electrónica del Sistema de La Haya</w:t>
      </w:r>
      <w:r w:rsidRPr="00764590">
        <w:rPr>
          <w:lang w:val="es-ES"/>
        </w:rPr>
        <w:t>.</w:t>
      </w:r>
    </w:p>
    <w:p w:rsidR="00BC33F3" w:rsidRPr="00764590" w:rsidRDefault="00BC33F3" w:rsidP="00BC33F3">
      <w:pPr>
        <w:rPr>
          <w:lang w:val="es-ES"/>
        </w:rPr>
      </w:pPr>
    </w:p>
    <w:p w:rsidR="00BC33F3" w:rsidRPr="00764590" w:rsidRDefault="00BC33F3" w:rsidP="00BC33F3">
      <w:pPr>
        <w:rPr>
          <w:lang w:val="es-ES"/>
        </w:rPr>
      </w:pPr>
      <w:r w:rsidRPr="00764590">
        <w:rPr>
          <w:lang w:val="es-ES"/>
        </w:rPr>
        <w:t>6.</w:t>
      </w:r>
      <w:r w:rsidRPr="00764590">
        <w:rPr>
          <w:lang w:val="es-ES"/>
        </w:rPr>
        <w:tab/>
      </w:r>
      <w:r w:rsidR="0086481D" w:rsidRPr="00764590">
        <w:rPr>
          <w:lang w:val="es-ES"/>
        </w:rPr>
        <w:t>Sistema de administración de cartera del Sistema de La Haya</w:t>
      </w:r>
      <w:r w:rsidRPr="00764590">
        <w:rPr>
          <w:lang w:val="es-ES"/>
        </w:rPr>
        <w:t>.</w:t>
      </w:r>
    </w:p>
    <w:p w:rsidR="00BC33F3" w:rsidRPr="00764590" w:rsidRDefault="00BC33F3" w:rsidP="00BC33F3">
      <w:pPr>
        <w:rPr>
          <w:lang w:val="es-ES"/>
        </w:rPr>
      </w:pPr>
    </w:p>
    <w:p w:rsidR="0086481D" w:rsidRPr="00764590" w:rsidRDefault="00BC33F3" w:rsidP="00764590">
      <w:pPr>
        <w:ind w:left="567" w:hanging="567"/>
        <w:rPr>
          <w:lang w:val="es-ES"/>
        </w:rPr>
      </w:pPr>
      <w:r w:rsidRPr="00764590">
        <w:rPr>
          <w:lang w:val="es-ES"/>
        </w:rPr>
        <w:t>7.</w:t>
      </w:r>
      <w:r w:rsidRPr="00764590">
        <w:rPr>
          <w:lang w:val="es-ES"/>
        </w:rPr>
        <w:tab/>
      </w:r>
      <w:r w:rsidR="0086481D" w:rsidRPr="00764590">
        <w:rPr>
          <w:lang w:val="es-ES"/>
        </w:rPr>
        <w:t xml:space="preserve">Instalación de la herramienta de traducción </w:t>
      </w:r>
      <w:r w:rsidRPr="00764590">
        <w:rPr>
          <w:lang w:val="es-ES"/>
        </w:rPr>
        <w:t xml:space="preserve">SDL WorldServer </w:t>
      </w:r>
      <w:r w:rsidR="0086481D" w:rsidRPr="00764590">
        <w:rPr>
          <w:lang w:val="es-ES"/>
        </w:rPr>
        <w:t xml:space="preserve">para todas las traducciones de los </w:t>
      </w:r>
      <w:r w:rsidR="007D0804">
        <w:rPr>
          <w:lang w:val="es-ES"/>
        </w:rPr>
        <w:t>S</w:t>
      </w:r>
      <w:r w:rsidR="0086481D" w:rsidRPr="00764590">
        <w:rPr>
          <w:lang w:val="es-ES"/>
        </w:rPr>
        <w:t>istemas de Madrid y de La Haya.</w:t>
      </w:r>
    </w:p>
    <w:p w:rsidR="00BC33F3" w:rsidRPr="00764590" w:rsidRDefault="00BC33F3" w:rsidP="00BC33F3">
      <w:pPr>
        <w:rPr>
          <w:lang w:val="es-ES"/>
        </w:rPr>
      </w:pPr>
    </w:p>
    <w:p w:rsidR="00BC33F3" w:rsidRPr="00764590" w:rsidRDefault="00BC33F3" w:rsidP="0086481D">
      <w:pPr>
        <w:rPr>
          <w:lang w:val="es-ES"/>
        </w:rPr>
      </w:pPr>
      <w:r w:rsidRPr="00764590">
        <w:rPr>
          <w:lang w:val="es-ES"/>
        </w:rPr>
        <w:t>8.</w:t>
      </w:r>
      <w:r w:rsidRPr="00764590">
        <w:rPr>
          <w:lang w:val="es-ES"/>
        </w:rPr>
        <w:tab/>
      </w:r>
      <w:r w:rsidR="0086481D" w:rsidRPr="00764590">
        <w:rPr>
          <w:lang w:val="es-ES"/>
        </w:rPr>
        <w:t xml:space="preserve">Instalación de la herramienta de traducción automática </w:t>
      </w:r>
      <w:r w:rsidRPr="00764590">
        <w:rPr>
          <w:lang w:val="es-ES"/>
        </w:rPr>
        <w:t>TAPTA.</w:t>
      </w:r>
    </w:p>
    <w:p w:rsidR="00BC33F3" w:rsidRPr="00764590" w:rsidRDefault="00BC33F3" w:rsidP="00BC33F3">
      <w:pPr>
        <w:rPr>
          <w:lang w:val="es-ES"/>
        </w:rPr>
      </w:pPr>
    </w:p>
    <w:p w:rsidR="00BC33F3" w:rsidRPr="00A5527F" w:rsidRDefault="00BC33F3" w:rsidP="00BC33F3">
      <w:r w:rsidRPr="00A5527F">
        <w:t>9.</w:t>
      </w:r>
      <w:r w:rsidRPr="00A5527F">
        <w:tab/>
      </w:r>
      <w:r w:rsidRPr="00A5527F">
        <w:rPr>
          <w:i/>
        </w:rPr>
        <w:t>Madrid Portfolio Manager (MPM)</w:t>
      </w:r>
      <w:r w:rsidRPr="00A5527F">
        <w:t>.</w:t>
      </w:r>
    </w:p>
    <w:p w:rsidR="00BC33F3" w:rsidRPr="00A5527F" w:rsidRDefault="00BC33F3" w:rsidP="00BC33F3"/>
    <w:p w:rsidR="00BC33F3" w:rsidRPr="00A5527F" w:rsidRDefault="00BC33F3" w:rsidP="00BC33F3">
      <w:r w:rsidRPr="00A5527F">
        <w:t>10.</w:t>
      </w:r>
      <w:r w:rsidRPr="00A5527F">
        <w:tab/>
      </w:r>
      <w:r w:rsidRPr="00A5527F">
        <w:rPr>
          <w:i/>
        </w:rPr>
        <w:t>Madrid Electronic Alert (MEA)</w:t>
      </w:r>
      <w:r w:rsidRPr="00A5527F">
        <w:t>.</w:t>
      </w:r>
    </w:p>
    <w:p w:rsidR="00BC33F3" w:rsidRPr="00A5527F" w:rsidRDefault="00BC33F3" w:rsidP="00BC33F3"/>
    <w:p w:rsidR="00BC33F3" w:rsidRPr="00A5527F" w:rsidRDefault="00BC33F3" w:rsidP="00BC33F3">
      <w:r w:rsidRPr="00A5527F">
        <w:t>11.</w:t>
      </w:r>
      <w:r w:rsidRPr="00A5527F">
        <w:tab/>
      </w:r>
      <w:r w:rsidRPr="00A5527F">
        <w:rPr>
          <w:i/>
        </w:rPr>
        <w:t>Madrid Real-time Status (MRS)</w:t>
      </w:r>
      <w:r w:rsidRPr="00A5527F">
        <w:t>.</w:t>
      </w:r>
    </w:p>
    <w:p w:rsidR="00BC33F3" w:rsidRPr="00A5527F" w:rsidRDefault="00BC33F3" w:rsidP="00BC33F3"/>
    <w:p w:rsidR="00BC33F3" w:rsidRPr="00764590" w:rsidRDefault="00342CE2" w:rsidP="00BC33F3">
      <w:pPr>
        <w:rPr>
          <w:lang w:val="es-ES"/>
        </w:rPr>
      </w:pPr>
      <w:r w:rsidRPr="00764590">
        <w:rPr>
          <w:lang w:val="es-ES"/>
        </w:rPr>
        <w:t>12.</w:t>
      </w:r>
      <w:r w:rsidRPr="00764590">
        <w:rPr>
          <w:lang w:val="es-ES"/>
        </w:rPr>
        <w:tab/>
      </w:r>
      <w:r w:rsidR="00BC33F3" w:rsidRPr="001A5CC1">
        <w:rPr>
          <w:i/>
          <w:lang w:val="es-ES"/>
        </w:rPr>
        <w:t>Madrid Office Portal (MOP)</w:t>
      </w:r>
      <w:r w:rsidR="00BC33F3" w:rsidRPr="00764590">
        <w:rPr>
          <w:lang w:val="es-ES"/>
        </w:rPr>
        <w:t>.</w:t>
      </w:r>
    </w:p>
    <w:p w:rsidR="00BC33F3" w:rsidRPr="00764590" w:rsidRDefault="00BC33F3" w:rsidP="00BC33F3">
      <w:pPr>
        <w:rPr>
          <w:lang w:val="es-ES"/>
        </w:rPr>
      </w:pPr>
    </w:p>
    <w:p w:rsidR="00BC33F3" w:rsidRPr="00764590" w:rsidRDefault="00BC33F3" w:rsidP="00764590">
      <w:pPr>
        <w:ind w:left="567" w:hanging="567"/>
        <w:rPr>
          <w:lang w:val="es-ES"/>
        </w:rPr>
      </w:pPr>
      <w:r w:rsidRPr="00764590">
        <w:rPr>
          <w:lang w:val="es-ES"/>
        </w:rPr>
        <w:t>13.</w:t>
      </w:r>
      <w:r w:rsidRPr="00764590">
        <w:rPr>
          <w:lang w:val="es-ES"/>
        </w:rPr>
        <w:tab/>
      </w:r>
      <w:r w:rsidR="0086481D" w:rsidRPr="00764590">
        <w:rPr>
          <w:lang w:val="es-ES"/>
        </w:rPr>
        <w:t xml:space="preserve">Formularios web inteligentes del Sistema de Madrid </w:t>
      </w:r>
      <w:r w:rsidRPr="00764590">
        <w:rPr>
          <w:lang w:val="es-ES"/>
        </w:rPr>
        <w:t>(MM4, MM5, MM6, MM7, MM8, MM9, MM10, MM12).</w:t>
      </w:r>
    </w:p>
    <w:p w:rsidR="00BC33F3" w:rsidRPr="00764590" w:rsidRDefault="00BC33F3" w:rsidP="00BC33F3">
      <w:pPr>
        <w:rPr>
          <w:lang w:val="es-ES"/>
        </w:rPr>
      </w:pPr>
    </w:p>
    <w:p w:rsidR="00BC33F3" w:rsidRPr="00764590" w:rsidRDefault="00BC33F3" w:rsidP="00764590">
      <w:pPr>
        <w:ind w:left="567" w:hanging="567"/>
        <w:rPr>
          <w:lang w:val="es-ES"/>
        </w:rPr>
      </w:pPr>
      <w:r w:rsidRPr="00764590">
        <w:rPr>
          <w:lang w:val="es-ES"/>
        </w:rPr>
        <w:t>14.</w:t>
      </w:r>
      <w:r w:rsidRPr="00764590">
        <w:rPr>
          <w:lang w:val="es-ES"/>
        </w:rPr>
        <w:tab/>
      </w:r>
      <w:r w:rsidR="0086481D" w:rsidRPr="00764590">
        <w:rPr>
          <w:lang w:val="es-ES"/>
        </w:rPr>
        <w:t xml:space="preserve">Revisión del sistema de publicación y notificación de los </w:t>
      </w:r>
      <w:r w:rsidR="007D0804">
        <w:rPr>
          <w:lang w:val="es-ES"/>
        </w:rPr>
        <w:t>S</w:t>
      </w:r>
      <w:r w:rsidR="0086481D" w:rsidRPr="00764590">
        <w:rPr>
          <w:lang w:val="es-ES"/>
        </w:rPr>
        <w:t>istemas de Madrid y de La</w:t>
      </w:r>
      <w:r w:rsidR="007D0804">
        <w:rPr>
          <w:lang w:val="es-ES"/>
        </w:rPr>
        <w:t> </w:t>
      </w:r>
      <w:r w:rsidR="0086481D" w:rsidRPr="00764590">
        <w:rPr>
          <w:lang w:val="es-ES"/>
        </w:rPr>
        <w:t>Haya.</w:t>
      </w:r>
    </w:p>
    <w:p w:rsidR="00BC33F3" w:rsidRPr="00764590" w:rsidRDefault="00BC33F3" w:rsidP="00BC33F3">
      <w:pPr>
        <w:rPr>
          <w:lang w:val="es-ES"/>
        </w:rPr>
      </w:pPr>
    </w:p>
    <w:p w:rsidR="00BC33F3" w:rsidRPr="00764590" w:rsidRDefault="00BC33F3" w:rsidP="00BC33F3">
      <w:pPr>
        <w:rPr>
          <w:lang w:val="es-ES"/>
        </w:rPr>
      </w:pPr>
    </w:p>
    <w:p w:rsidR="00BC33F3" w:rsidRPr="00764590" w:rsidRDefault="00BC33F3" w:rsidP="00764590">
      <w:pPr>
        <w:rPr>
          <w:lang w:val="es-ES"/>
        </w:rPr>
      </w:pPr>
    </w:p>
    <w:p w:rsidR="00BC33F3" w:rsidRPr="00764590" w:rsidRDefault="00BC33F3" w:rsidP="00BC33F3">
      <w:pPr>
        <w:ind w:left="5533"/>
        <w:rPr>
          <w:i/>
          <w:lang w:val="es-ES"/>
        </w:rPr>
      </w:pPr>
      <w:r w:rsidRPr="00764590">
        <w:rPr>
          <w:lang w:val="es-ES"/>
        </w:rPr>
        <w:t>[</w:t>
      </w:r>
      <w:r w:rsidR="00C31D88" w:rsidRPr="00764590">
        <w:rPr>
          <w:lang w:val="es-ES"/>
        </w:rPr>
        <w:t>Fin del</w:t>
      </w:r>
      <w:r w:rsidRPr="00764590">
        <w:rPr>
          <w:lang w:val="es-ES"/>
        </w:rPr>
        <w:t xml:space="preserve"> </w:t>
      </w:r>
      <w:r w:rsidR="00C31D88" w:rsidRPr="00764590">
        <w:rPr>
          <w:lang w:val="es-ES"/>
        </w:rPr>
        <w:t>A</w:t>
      </w:r>
      <w:r w:rsidRPr="00764590">
        <w:rPr>
          <w:lang w:val="es-ES"/>
        </w:rPr>
        <w:t>nex</w:t>
      </w:r>
      <w:r w:rsidR="00C31D88" w:rsidRPr="00764590">
        <w:rPr>
          <w:lang w:val="es-ES"/>
        </w:rPr>
        <w:t>o</w:t>
      </w:r>
      <w:r w:rsidRPr="00764590">
        <w:rPr>
          <w:lang w:val="es-ES"/>
        </w:rPr>
        <w:t xml:space="preserve"> II </w:t>
      </w:r>
      <w:r w:rsidR="00C31D88" w:rsidRPr="00764590">
        <w:rPr>
          <w:lang w:val="es-ES"/>
        </w:rPr>
        <w:t xml:space="preserve">y del </w:t>
      </w:r>
      <w:r w:rsidRPr="00764590">
        <w:rPr>
          <w:lang w:val="es-ES"/>
        </w:rPr>
        <w:t>document</w:t>
      </w:r>
      <w:r w:rsidR="00C31D88" w:rsidRPr="00764590">
        <w:rPr>
          <w:lang w:val="es-ES"/>
        </w:rPr>
        <w:t>o</w:t>
      </w:r>
      <w:r w:rsidRPr="00764590">
        <w:rPr>
          <w:lang w:val="es-ES"/>
        </w:rPr>
        <w:t>]</w:t>
      </w:r>
    </w:p>
    <w:sectPr w:rsidR="00BC33F3" w:rsidRPr="00764590" w:rsidSect="00BC33F3">
      <w:headerReference w:type="first" r:id="rId15"/>
      <w:endnotePr>
        <w:numFmt w:val="decimal"/>
      </w:endnotePr>
      <w:pgSz w:w="11907" w:h="16840" w:code="9"/>
      <w:pgMar w:top="567" w:right="1134" w:bottom="126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62" w:rsidRDefault="00D21962">
      <w:r>
        <w:separator/>
      </w:r>
    </w:p>
  </w:endnote>
  <w:endnote w:type="continuationSeparator" w:id="0">
    <w:p w:rsidR="00D21962" w:rsidRDefault="00D21962" w:rsidP="003B38C1">
      <w:r>
        <w:separator/>
      </w:r>
    </w:p>
    <w:p w:rsidR="00D21962" w:rsidRPr="003B38C1" w:rsidRDefault="00D21962" w:rsidP="003B38C1">
      <w:pPr>
        <w:spacing w:after="60"/>
        <w:rPr>
          <w:sz w:val="17"/>
        </w:rPr>
      </w:pPr>
      <w:r>
        <w:rPr>
          <w:sz w:val="17"/>
        </w:rPr>
        <w:t>[Endnote continued from previous page]</w:t>
      </w:r>
    </w:p>
  </w:endnote>
  <w:endnote w:type="continuationNotice" w:id="1">
    <w:p w:rsidR="00D21962" w:rsidRPr="003B38C1" w:rsidRDefault="00D219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62" w:rsidRDefault="00D21962">
      <w:r>
        <w:separator/>
      </w:r>
    </w:p>
  </w:footnote>
  <w:footnote w:type="continuationSeparator" w:id="0">
    <w:p w:rsidR="00D21962" w:rsidRDefault="00D21962" w:rsidP="008B60B2">
      <w:r>
        <w:separator/>
      </w:r>
    </w:p>
    <w:p w:rsidR="00D21962" w:rsidRPr="00ED77FB" w:rsidRDefault="00D21962" w:rsidP="008B60B2">
      <w:pPr>
        <w:spacing w:after="60"/>
        <w:rPr>
          <w:sz w:val="17"/>
          <w:szCs w:val="17"/>
        </w:rPr>
      </w:pPr>
      <w:r w:rsidRPr="00ED77FB">
        <w:rPr>
          <w:sz w:val="17"/>
          <w:szCs w:val="17"/>
        </w:rPr>
        <w:t>[Footnote continued from previous page]</w:t>
      </w:r>
    </w:p>
  </w:footnote>
  <w:footnote w:type="continuationNotice" w:id="1">
    <w:p w:rsidR="00D21962" w:rsidRPr="00ED77FB" w:rsidRDefault="00D2196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494057"/>
      <w:docPartObj>
        <w:docPartGallery w:val="Page Numbers (Top of Page)"/>
        <w:docPartUnique/>
      </w:docPartObj>
    </w:sdtPr>
    <w:sdtEndPr>
      <w:rPr>
        <w:noProof/>
      </w:rPr>
    </w:sdtEndPr>
    <w:sdtContent>
      <w:p w:rsidR="00743A8D" w:rsidRDefault="00743A8D" w:rsidP="00743A8D">
        <w:pPr>
          <w:pStyle w:val="Header"/>
          <w:jc w:val="right"/>
        </w:pPr>
        <w:r>
          <w:t>H/A/35/1</w:t>
        </w:r>
      </w:p>
      <w:p w:rsidR="00743A8D" w:rsidRDefault="00743A8D" w:rsidP="00743A8D">
        <w:pPr>
          <w:pStyle w:val="Header"/>
          <w:jc w:val="right"/>
        </w:pPr>
        <w:r>
          <w:t xml:space="preserve">página </w:t>
        </w:r>
        <w:r>
          <w:fldChar w:fldCharType="begin"/>
        </w:r>
        <w:r>
          <w:instrText xml:space="preserve"> PAGE   \* MERGEFORMAT </w:instrText>
        </w:r>
        <w:r>
          <w:fldChar w:fldCharType="separate"/>
        </w:r>
        <w:r w:rsidR="0068444B">
          <w:rPr>
            <w:noProof/>
          </w:rPr>
          <w:t>4</w:t>
        </w:r>
        <w:r>
          <w:rPr>
            <w:noProof/>
          </w:rPr>
          <w:fldChar w:fldCharType="end"/>
        </w:r>
      </w:p>
    </w:sdtContent>
  </w:sdt>
  <w:p w:rsidR="00743A8D" w:rsidRDefault="00743A8D" w:rsidP="00743A8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164270"/>
      <w:docPartObj>
        <w:docPartGallery w:val="Page Numbers (Top of Page)"/>
        <w:docPartUnique/>
      </w:docPartObj>
    </w:sdtPr>
    <w:sdtEndPr>
      <w:rPr>
        <w:noProof/>
      </w:rPr>
    </w:sdtEndPr>
    <w:sdtContent>
      <w:p w:rsidR="00764590" w:rsidRDefault="00764590" w:rsidP="00743A8D">
        <w:pPr>
          <w:pStyle w:val="Header"/>
          <w:jc w:val="right"/>
        </w:pPr>
        <w:r>
          <w:t>H/A/35/1</w:t>
        </w:r>
      </w:p>
      <w:p w:rsidR="00764590" w:rsidRDefault="00764590" w:rsidP="00743A8D">
        <w:pPr>
          <w:pStyle w:val="Header"/>
          <w:jc w:val="right"/>
        </w:pPr>
        <w:r>
          <w:t xml:space="preserve">Anexo I, página </w:t>
        </w:r>
        <w:r>
          <w:fldChar w:fldCharType="begin"/>
        </w:r>
        <w:r>
          <w:instrText xml:space="preserve"> PAGE   \* MERGEFORMAT </w:instrText>
        </w:r>
        <w:r>
          <w:fldChar w:fldCharType="separate"/>
        </w:r>
        <w:r w:rsidR="0068444B">
          <w:rPr>
            <w:noProof/>
          </w:rPr>
          <w:t>2</w:t>
        </w:r>
        <w:r>
          <w:rPr>
            <w:noProof/>
          </w:rPr>
          <w:fldChar w:fldCharType="end"/>
        </w:r>
      </w:p>
    </w:sdtContent>
  </w:sdt>
  <w:p w:rsidR="00764590" w:rsidRDefault="00764590" w:rsidP="00743A8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513744"/>
      <w:docPartObj>
        <w:docPartGallery w:val="Page Numbers (Top of Page)"/>
        <w:docPartUnique/>
      </w:docPartObj>
    </w:sdtPr>
    <w:sdtEndPr>
      <w:rPr>
        <w:noProof/>
      </w:rPr>
    </w:sdtEndPr>
    <w:sdtContent>
      <w:p w:rsidR="008059FE" w:rsidRDefault="008059FE" w:rsidP="008059FE">
        <w:pPr>
          <w:pStyle w:val="Header"/>
          <w:jc w:val="right"/>
        </w:pPr>
        <w:r>
          <w:t>H/A/35/1</w:t>
        </w:r>
      </w:p>
      <w:p w:rsidR="008059FE" w:rsidRDefault="00764590" w:rsidP="008059FE">
        <w:pPr>
          <w:pStyle w:val="Header"/>
          <w:jc w:val="right"/>
        </w:pPr>
        <w:r>
          <w:t>ANEXO I</w:t>
        </w:r>
      </w:p>
    </w:sdtContent>
  </w:sdt>
  <w:p w:rsidR="008059FE" w:rsidRDefault="008059FE" w:rsidP="00764590">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012940"/>
      <w:docPartObj>
        <w:docPartGallery w:val="Page Numbers (Top of Page)"/>
        <w:docPartUnique/>
      </w:docPartObj>
    </w:sdtPr>
    <w:sdtEndPr>
      <w:rPr>
        <w:noProof/>
      </w:rPr>
    </w:sdtEndPr>
    <w:sdtContent>
      <w:p w:rsidR="00764590" w:rsidRDefault="00764590" w:rsidP="00764590">
        <w:pPr>
          <w:pStyle w:val="Header"/>
          <w:jc w:val="right"/>
        </w:pPr>
        <w:r>
          <w:t>H/A/35/1</w:t>
        </w:r>
      </w:p>
      <w:p w:rsidR="00764590" w:rsidRDefault="00764590" w:rsidP="00764590">
        <w:pPr>
          <w:pStyle w:val="Header"/>
          <w:jc w:val="right"/>
        </w:pPr>
        <w:r>
          <w:t>ANEXO II</w:t>
        </w:r>
      </w:p>
    </w:sdtContent>
  </w:sdt>
  <w:p w:rsidR="00BC33F3" w:rsidRPr="00D80AE2" w:rsidRDefault="00BC33F3" w:rsidP="0076459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AC8DC82"/>
    <w:lvl w:ilvl="0">
      <w:start w:val="1"/>
      <w:numFmt w:val="decimal"/>
      <w:lvlText w:val="%1."/>
      <w:lvlJc w:val="left"/>
      <w:pPr>
        <w:tabs>
          <w:tab w:val="num" w:pos="360"/>
        </w:tabs>
        <w:ind w:left="360" w:hanging="360"/>
      </w:pPr>
      <w:rPr>
        <w:rFonts w:cs="Times New Roman"/>
      </w:rPr>
    </w:lvl>
  </w:abstractNum>
  <w:abstractNum w:abstractNumId="1">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208C4C7A"/>
    <w:multiLevelType w:val="hybridMultilevel"/>
    <w:tmpl w:val="FD1481D4"/>
    <w:lvl w:ilvl="0" w:tplc="4D9EF9DC">
      <w:start w:val="2"/>
      <w:numFmt w:val="lowerRoman"/>
      <w:lvlText w:val="(%1)"/>
      <w:lvlJc w:val="left"/>
      <w:pPr>
        <w:tabs>
          <w:tab w:val="num" w:pos="6990"/>
        </w:tabs>
        <w:ind w:left="6990" w:hanging="720"/>
      </w:pPr>
      <w:rPr>
        <w:rFonts w:cs="Times New Roman" w:hint="default"/>
      </w:rPr>
    </w:lvl>
    <w:lvl w:ilvl="1" w:tplc="04090019" w:tentative="1">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3">
    <w:nsid w:val="268A301A"/>
    <w:multiLevelType w:val="multilevel"/>
    <w:tmpl w:val="81EA6450"/>
    <w:lvl w:ilvl="0">
      <w:start w:val="1"/>
      <w:numFmt w:val="none"/>
      <w:lvlRestart w:val="0"/>
      <w:pStyle w:val="ONUME"/>
      <w:lvlText w:val="(i)"/>
      <w:lvlJc w:val="left"/>
      <w:pPr>
        <w:tabs>
          <w:tab w:val="num" w:pos="1701"/>
        </w:tabs>
        <w:ind w:left="1134"/>
      </w:pPr>
      <w:rPr>
        <w:rFonts w:cs="Times New Roman" w:hint="default"/>
      </w:rPr>
    </w:lvl>
    <w:lvl w:ilvl="1">
      <w:start w:val="1"/>
      <w:numFmt w:val="lowerLetter"/>
      <w:lvlText w:val="(%2)"/>
      <w:lvlJc w:val="left"/>
      <w:pPr>
        <w:tabs>
          <w:tab w:val="num" w:pos="2268"/>
        </w:tabs>
        <w:ind w:left="1701"/>
      </w:pPr>
      <w:rPr>
        <w:rFonts w:cs="Times New Roman" w:hint="default"/>
      </w:rPr>
    </w:lvl>
    <w:lvl w:ilvl="2">
      <w:start w:val="1"/>
      <w:numFmt w:val="lowerRoman"/>
      <w:lvlText w:val="(%3)"/>
      <w:lvlJc w:val="left"/>
      <w:pPr>
        <w:tabs>
          <w:tab w:val="num" w:pos="2835"/>
        </w:tabs>
        <w:ind w:left="2268"/>
      </w:pPr>
      <w:rPr>
        <w:rFonts w:cs="Times New Roman" w:hint="default"/>
      </w:rPr>
    </w:lvl>
    <w:lvl w:ilvl="3">
      <w:start w:val="1"/>
      <w:numFmt w:val="bullet"/>
      <w:lvlText w:val=""/>
      <w:lvlJc w:val="left"/>
      <w:pPr>
        <w:tabs>
          <w:tab w:val="num" w:pos="3402"/>
        </w:tabs>
        <w:ind w:left="2835"/>
      </w:pPr>
      <w:rPr>
        <w:rFonts w:hint="default"/>
      </w:rPr>
    </w:lvl>
    <w:lvl w:ilvl="4">
      <w:start w:val="1"/>
      <w:numFmt w:val="bullet"/>
      <w:lvlText w:val=""/>
      <w:lvlJc w:val="left"/>
      <w:pPr>
        <w:tabs>
          <w:tab w:val="num" w:pos="3969"/>
        </w:tabs>
        <w:ind w:left="3402"/>
      </w:pPr>
      <w:rPr>
        <w:rFonts w:hint="default"/>
      </w:rPr>
    </w:lvl>
    <w:lvl w:ilvl="5">
      <w:start w:val="1"/>
      <w:numFmt w:val="bullet"/>
      <w:lvlText w:val=""/>
      <w:lvlJc w:val="left"/>
      <w:pPr>
        <w:tabs>
          <w:tab w:val="num" w:pos="4536"/>
        </w:tabs>
        <w:ind w:left="3969"/>
      </w:pPr>
      <w:rPr>
        <w:rFonts w:hint="default"/>
      </w:rPr>
    </w:lvl>
    <w:lvl w:ilvl="6">
      <w:start w:val="1"/>
      <w:numFmt w:val="bullet"/>
      <w:lvlText w:val=""/>
      <w:lvlJc w:val="left"/>
      <w:pPr>
        <w:tabs>
          <w:tab w:val="num" w:pos="5103"/>
        </w:tabs>
        <w:ind w:left="4536"/>
      </w:pPr>
      <w:rPr>
        <w:rFonts w:hint="default"/>
      </w:rPr>
    </w:lvl>
    <w:lvl w:ilvl="7">
      <w:start w:val="1"/>
      <w:numFmt w:val="bullet"/>
      <w:lvlText w:val=""/>
      <w:lvlJc w:val="left"/>
      <w:pPr>
        <w:tabs>
          <w:tab w:val="num" w:pos="5669"/>
        </w:tabs>
        <w:ind w:left="5103"/>
      </w:pPr>
      <w:rPr>
        <w:rFonts w:hint="default"/>
      </w:rPr>
    </w:lvl>
    <w:lvl w:ilvl="8">
      <w:start w:val="1"/>
      <w:numFmt w:val="bullet"/>
      <w:lvlText w:val=""/>
      <w:lvlJc w:val="left"/>
      <w:pPr>
        <w:tabs>
          <w:tab w:val="num" w:pos="6236"/>
        </w:tabs>
        <w:ind w:left="5669"/>
      </w:pPr>
      <w:rPr>
        <w:rFont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4"/>
  </w:num>
  <w:num w:numId="19">
    <w:abstractNumId w:val="1"/>
  </w:num>
  <w:num w:numId="20">
    <w:abstractNumId w:val="3"/>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97"/>
    <w:rsid w:val="00001A1F"/>
    <w:rsid w:val="000035BE"/>
    <w:rsid w:val="00004B2B"/>
    <w:rsid w:val="00006DB8"/>
    <w:rsid w:val="00010A6C"/>
    <w:rsid w:val="00013432"/>
    <w:rsid w:val="0001682D"/>
    <w:rsid w:val="00025437"/>
    <w:rsid w:val="00030B2C"/>
    <w:rsid w:val="00031BD9"/>
    <w:rsid w:val="00033F1B"/>
    <w:rsid w:val="00034381"/>
    <w:rsid w:val="000379B4"/>
    <w:rsid w:val="00041745"/>
    <w:rsid w:val="00042E44"/>
    <w:rsid w:val="00043CAA"/>
    <w:rsid w:val="00045613"/>
    <w:rsid w:val="00047B16"/>
    <w:rsid w:val="00052993"/>
    <w:rsid w:val="000539F4"/>
    <w:rsid w:val="00053DA1"/>
    <w:rsid w:val="00056F04"/>
    <w:rsid w:val="00064445"/>
    <w:rsid w:val="000648CA"/>
    <w:rsid w:val="0007091D"/>
    <w:rsid w:val="000745FE"/>
    <w:rsid w:val="00075432"/>
    <w:rsid w:val="0007682F"/>
    <w:rsid w:val="000848BF"/>
    <w:rsid w:val="00093BD8"/>
    <w:rsid w:val="000968ED"/>
    <w:rsid w:val="00097A31"/>
    <w:rsid w:val="000A00CC"/>
    <w:rsid w:val="000A0941"/>
    <w:rsid w:val="000A322E"/>
    <w:rsid w:val="000A4648"/>
    <w:rsid w:val="000B266B"/>
    <w:rsid w:val="000B7CF0"/>
    <w:rsid w:val="000C12A9"/>
    <w:rsid w:val="000C1BE1"/>
    <w:rsid w:val="000C1CC2"/>
    <w:rsid w:val="000D03CB"/>
    <w:rsid w:val="000D5455"/>
    <w:rsid w:val="000F137E"/>
    <w:rsid w:val="000F5E56"/>
    <w:rsid w:val="0010048A"/>
    <w:rsid w:val="00102B47"/>
    <w:rsid w:val="00103281"/>
    <w:rsid w:val="00104636"/>
    <w:rsid w:val="0010788E"/>
    <w:rsid w:val="00111502"/>
    <w:rsid w:val="00114826"/>
    <w:rsid w:val="001328C5"/>
    <w:rsid w:val="00134376"/>
    <w:rsid w:val="00135395"/>
    <w:rsid w:val="001362EE"/>
    <w:rsid w:val="001413E9"/>
    <w:rsid w:val="00150687"/>
    <w:rsid w:val="00152E5D"/>
    <w:rsid w:val="00154263"/>
    <w:rsid w:val="00157763"/>
    <w:rsid w:val="0015797F"/>
    <w:rsid w:val="001720BB"/>
    <w:rsid w:val="00175B41"/>
    <w:rsid w:val="001832A6"/>
    <w:rsid w:val="00186B93"/>
    <w:rsid w:val="00193E38"/>
    <w:rsid w:val="001A5CC1"/>
    <w:rsid w:val="001B0257"/>
    <w:rsid w:val="001C1D0F"/>
    <w:rsid w:val="001C2A8C"/>
    <w:rsid w:val="001C63E0"/>
    <w:rsid w:val="001D03B1"/>
    <w:rsid w:val="001D063D"/>
    <w:rsid w:val="001D6859"/>
    <w:rsid w:val="001E1AE9"/>
    <w:rsid w:val="001E1E11"/>
    <w:rsid w:val="001E27AB"/>
    <w:rsid w:val="001E4F1B"/>
    <w:rsid w:val="001E70ED"/>
    <w:rsid w:val="001F15BD"/>
    <w:rsid w:val="001F5BF5"/>
    <w:rsid w:val="00205C7D"/>
    <w:rsid w:val="0021499A"/>
    <w:rsid w:val="00214ADE"/>
    <w:rsid w:val="0021549B"/>
    <w:rsid w:val="002229C7"/>
    <w:rsid w:val="002277D1"/>
    <w:rsid w:val="00236CC8"/>
    <w:rsid w:val="002540EF"/>
    <w:rsid w:val="00254F0E"/>
    <w:rsid w:val="00255062"/>
    <w:rsid w:val="0025665D"/>
    <w:rsid w:val="002610F6"/>
    <w:rsid w:val="002634C4"/>
    <w:rsid w:val="00266F63"/>
    <w:rsid w:val="002707AF"/>
    <w:rsid w:val="00271E81"/>
    <w:rsid w:val="00272965"/>
    <w:rsid w:val="00273875"/>
    <w:rsid w:val="00275192"/>
    <w:rsid w:val="0028552A"/>
    <w:rsid w:val="00285A84"/>
    <w:rsid w:val="002928D3"/>
    <w:rsid w:val="00295494"/>
    <w:rsid w:val="002B479A"/>
    <w:rsid w:val="002C673B"/>
    <w:rsid w:val="002D1155"/>
    <w:rsid w:val="002D11F2"/>
    <w:rsid w:val="002D17E0"/>
    <w:rsid w:val="002D5C25"/>
    <w:rsid w:val="002D6F89"/>
    <w:rsid w:val="002F1799"/>
    <w:rsid w:val="002F1FE6"/>
    <w:rsid w:val="002F397B"/>
    <w:rsid w:val="002F4E68"/>
    <w:rsid w:val="002F5B0A"/>
    <w:rsid w:val="002F62C8"/>
    <w:rsid w:val="002F69DE"/>
    <w:rsid w:val="00307EF0"/>
    <w:rsid w:val="003123A0"/>
    <w:rsid w:val="00312F7F"/>
    <w:rsid w:val="003134C2"/>
    <w:rsid w:val="00314694"/>
    <w:rsid w:val="00316C2B"/>
    <w:rsid w:val="00331CC2"/>
    <w:rsid w:val="003320D1"/>
    <w:rsid w:val="00342CE2"/>
    <w:rsid w:val="00346582"/>
    <w:rsid w:val="003673CF"/>
    <w:rsid w:val="00370848"/>
    <w:rsid w:val="003711EC"/>
    <w:rsid w:val="0037749C"/>
    <w:rsid w:val="00377A03"/>
    <w:rsid w:val="0038118F"/>
    <w:rsid w:val="003845C1"/>
    <w:rsid w:val="00385969"/>
    <w:rsid w:val="00395C4F"/>
    <w:rsid w:val="00397946"/>
    <w:rsid w:val="003A0330"/>
    <w:rsid w:val="003A6F89"/>
    <w:rsid w:val="003A6F9E"/>
    <w:rsid w:val="003A70D8"/>
    <w:rsid w:val="003B04B5"/>
    <w:rsid w:val="003B38C1"/>
    <w:rsid w:val="003B462E"/>
    <w:rsid w:val="003B5432"/>
    <w:rsid w:val="003B7C04"/>
    <w:rsid w:val="003D0EDF"/>
    <w:rsid w:val="003E0DA5"/>
    <w:rsid w:val="003E4218"/>
    <w:rsid w:val="003E4897"/>
    <w:rsid w:val="003F3619"/>
    <w:rsid w:val="00405DDE"/>
    <w:rsid w:val="00406017"/>
    <w:rsid w:val="00413674"/>
    <w:rsid w:val="00421BBF"/>
    <w:rsid w:val="004231A3"/>
    <w:rsid w:val="00423E3E"/>
    <w:rsid w:val="00426D81"/>
    <w:rsid w:val="00427AF4"/>
    <w:rsid w:val="00432E9B"/>
    <w:rsid w:val="0044268F"/>
    <w:rsid w:val="00443B0A"/>
    <w:rsid w:val="00445BA0"/>
    <w:rsid w:val="00446425"/>
    <w:rsid w:val="00451956"/>
    <w:rsid w:val="0045736E"/>
    <w:rsid w:val="004647DA"/>
    <w:rsid w:val="00466D1D"/>
    <w:rsid w:val="00473C20"/>
    <w:rsid w:val="00474062"/>
    <w:rsid w:val="00477D6B"/>
    <w:rsid w:val="004819F1"/>
    <w:rsid w:val="004851F5"/>
    <w:rsid w:val="00485FB1"/>
    <w:rsid w:val="00495938"/>
    <w:rsid w:val="00497537"/>
    <w:rsid w:val="00497B89"/>
    <w:rsid w:val="004A06B2"/>
    <w:rsid w:val="004A18AA"/>
    <w:rsid w:val="004A4A47"/>
    <w:rsid w:val="004B390A"/>
    <w:rsid w:val="004B481E"/>
    <w:rsid w:val="004B7572"/>
    <w:rsid w:val="004C53A5"/>
    <w:rsid w:val="004C71AC"/>
    <w:rsid w:val="004E0752"/>
    <w:rsid w:val="004E60D3"/>
    <w:rsid w:val="004E7978"/>
    <w:rsid w:val="004E7B4A"/>
    <w:rsid w:val="004F3731"/>
    <w:rsid w:val="00505B8F"/>
    <w:rsid w:val="0050613B"/>
    <w:rsid w:val="005075AB"/>
    <w:rsid w:val="00507A26"/>
    <w:rsid w:val="00514558"/>
    <w:rsid w:val="005259C9"/>
    <w:rsid w:val="00526FD9"/>
    <w:rsid w:val="0053057A"/>
    <w:rsid w:val="005305C5"/>
    <w:rsid w:val="00533A70"/>
    <w:rsid w:val="00535C5E"/>
    <w:rsid w:val="00543240"/>
    <w:rsid w:val="00560A29"/>
    <w:rsid w:val="00560CD4"/>
    <w:rsid w:val="00574BDB"/>
    <w:rsid w:val="00580046"/>
    <w:rsid w:val="00595C16"/>
    <w:rsid w:val="005975F4"/>
    <w:rsid w:val="005A2285"/>
    <w:rsid w:val="005B1E4A"/>
    <w:rsid w:val="005B5890"/>
    <w:rsid w:val="005B6FB1"/>
    <w:rsid w:val="005C6730"/>
    <w:rsid w:val="005D0266"/>
    <w:rsid w:val="005D78FE"/>
    <w:rsid w:val="005E0C36"/>
    <w:rsid w:val="005E1D45"/>
    <w:rsid w:val="005F0978"/>
    <w:rsid w:val="005F1B3E"/>
    <w:rsid w:val="005F3442"/>
    <w:rsid w:val="005F50EC"/>
    <w:rsid w:val="005F7017"/>
    <w:rsid w:val="00601F15"/>
    <w:rsid w:val="00605827"/>
    <w:rsid w:val="006101DF"/>
    <w:rsid w:val="00640880"/>
    <w:rsid w:val="00646050"/>
    <w:rsid w:val="0065005C"/>
    <w:rsid w:val="00654B7D"/>
    <w:rsid w:val="00661557"/>
    <w:rsid w:val="006713CA"/>
    <w:rsid w:val="0067411E"/>
    <w:rsid w:val="00676C5C"/>
    <w:rsid w:val="00677E19"/>
    <w:rsid w:val="00682CCF"/>
    <w:rsid w:val="00682FA1"/>
    <w:rsid w:val="0068444B"/>
    <w:rsid w:val="00690C33"/>
    <w:rsid w:val="00692535"/>
    <w:rsid w:val="006A130B"/>
    <w:rsid w:val="006A4580"/>
    <w:rsid w:val="006A54ED"/>
    <w:rsid w:val="006A60C3"/>
    <w:rsid w:val="006B2F48"/>
    <w:rsid w:val="006B60E0"/>
    <w:rsid w:val="006C0257"/>
    <w:rsid w:val="006C02BC"/>
    <w:rsid w:val="006C263E"/>
    <w:rsid w:val="006C6504"/>
    <w:rsid w:val="006C73E3"/>
    <w:rsid w:val="006D5A91"/>
    <w:rsid w:val="006E4351"/>
    <w:rsid w:val="006E78DA"/>
    <w:rsid w:val="006F063F"/>
    <w:rsid w:val="006F148A"/>
    <w:rsid w:val="006F29B9"/>
    <w:rsid w:val="0071351F"/>
    <w:rsid w:val="0071513A"/>
    <w:rsid w:val="00715159"/>
    <w:rsid w:val="00721585"/>
    <w:rsid w:val="00722A61"/>
    <w:rsid w:val="00743A8D"/>
    <w:rsid w:val="007461EA"/>
    <w:rsid w:val="007544EC"/>
    <w:rsid w:val="00761A8D"/>
    <w:rsid w:val="007638A0"/>
    <w:rsid w:val="00763CDF"/>
    <w:rsid w:val="00764590"/>
    <w:rsid w:val="00777317"/>
    <w:rsid w:val="00780721"/>
    <w:rsid w:val="00780D14"/>
    <w:rsid w:val="00785DE1"/>
    <w:rsid w:val="00794F0C"/>
    <w:rsid w:val="007979CB"/>
    <w:rsid w:val="007A002F"/>
    <w:rsid w:val="007A58AF"/>
    <w:rsid w:val="007B1DD6"/>
    <w:rsid w:val="007B7D71"/>
    <w:rsid w:val="007C23F7"/>
    <w:rsid w:val="007D0616"/>
    <w:rsid w:val="007D0804"/>
    <w:rsid w:val="007D1613"/>
    <w:rsid w:val="007D4437"/>
    <w:rsid w:val="007E699F"/>
    <w:rsid w:val="007E7E4C"/>
    <w:rsid w:val="008059FE"/>
    <w:rsid w:val="0081568A"/>
    <w:rsid w:val="00847246"/>
    <w:rsid w:val="0086362E"/>
    <w:rsid w:val="0086481D"/>
    <w:rsid w:val="0087158B"/>
    <w:rsid w:val="00874202"/>
    <w:rsid w:val="008845D9"/>
    <w:rsid w:val="008976F7"/>
    <w:rsid w:val="008A3E99"/>
    <w:rsid w:val="008B13FF"/>
    <w:rsid w:val="008B2CC1"/>
    <w:rsid w:val="008B36D8"/>
    <w:rsid w:val="008B37BF"/>
    <w:rsid w:val="008B60B2"/>
    <w:rsid w:val="008C0023"/>
    <w:rsid w:val="008C11A3"/>
    <w:rsid w:val="008C5B56"/>
    <w:rsid w:val="008C6E4B"/>
    <w:rsid w:val="008D0DCC"/>
    <w:rsid w:val="008D6555"/>
    <w:rsid w:val="008E4E59"/>
    <w:rsid w:val="008F5EA7"/>
    <w:rsid w:val="008F7B9C"/>
    <w:rsid w:val="009027C8"/>
    <w:rsid w:val="00902ED7"/>
    <w:rsid w:val="00903516"/>
    <w:rsid w:val="00903930"/>
    <w:rsid w:val="00903A8A"/>
    <w:rsid w:val="00904048"/>
    <w:rsid w:val="0090731E"/>
    <w:rsid w:val="00916596"/>
    <w:rsid w:val="00916EE2"/>
    <w:rsid w:val="00924B50"/>
    <w:rsid w:val="0093438D"/>
    <w:rsid w:val="0093778E"/>
    <w:rsid w:val="00937A85"/>
    <w:rsid w:val="0094200B"/>
    <w:rsid w:val="00966A22"/>
    <w:rsid w:val="00967184"/>
    <w:rsid w:val="0096722F"/>
    <w:rsid w:val="00970043"/>
    <w:rsid w:val="00970D6F"/>
    <w:rsid w:val="009751CE"/>
    <w:rsid w:val="00980843"/>
    <w:rsid w:val="0099483F"/>
    <w:rsid w:val="009A185E"/>
    <w:rsid w:val="009A6101"/>
    <w:rsid w:val="009C64E9"/>
    <w:rsid w:val="009D2934"/>
    <w:rsid w:val="009D2A86"/>
    <w:rsid w:val="009D3BB8"/>
    <w:rsid w:val="009D6B6B"/>
    <w:rsid w:val="009D72E0"/>
    <w:rsid w:val="009E2791"/>
    <w:rsid w:val="009E3F6F"/>
    <w:rsid w:val="009E3FB2"/>
    <w:rsid w:val="009E5E95"/>
    <w:rsid w:val="009F373B"/>
    <w:rsid w:val="009F499F"/>
    <w:rsid w:val="009F6BDA"/>
    <w:rsid w:val="009F7EC1"/>
    <w:rsid w:val="00A025BC"/>
    <w:rsid w:val="00A06A85"/>
    <w:rsid w:val="00A11B67"/>
    <w:rsid w:val="00A1235C"/>
    <w:rsid w:val="00A22CCB"/>
    <w:rsid w:val="00A247DC"/>
    <w:rsid w:val="00A33E5A"/>
    <w:rsid w:val="00A411AF"/>
    <w:rsid w:val="00A41FF4"/>
    <w:rsid w:val="00A42DAF"/>
    <w:rsid w:val="00A45BD8"/>
    <w:rsid w:val="00A52B7A"/>
    <w:rsid w:val="00A5527F"/>
    <w:rsid w:val="00A66C02"/>
    <w:rsid w:val="00A74673"/>
    <w:rsid w:val="00A81366"/>
    <w:rsid w:val="00A977F0"/>
    <w:rsid w:val="00AA0F8D"/>
    <w:rsid w:val="00AC0B60"/>
    <w:rsid w:val="00AC10DD"/>
    <w:rsid w:val="00AC205C"/>
    <w:rsid w:val="00AD0C6E"/>
    <w:rsid w:val="00AD4325"/>
    <w:rsid w:val="00AD43F3"/>
    <w:rsid w:val="00AD56FB"/>
    <w:rsid w:val="00AD7719"/>
    <w:rsid w:val="00AE48EF"/>
    <w:rsid w:val="00AE5A71"/>
    <w:rsid w:val="00AF0A6B"/>
    <w:rsid w:val="00AF1D1D"/>
    <w:rsid w:val="00AF2945"/>
    <w:rsid w:val="00AF2D3A"/>
    <w:rsid w:val="00AF3F7B"/>
    <w:rsid w:val="00AF5A05"/>
    <w:rsid w:val="00AF5FAE"/>
    <w:rsid w:val="00B05A69"/>
    <w:rsid w:val="00B13F1A"/>
    <w:rsid w:val="00B13FED"/>
    <w:rsid w:val="00B3105B"/>
    <w:rsid w:val="00B34109"/>
    <w:rsid w:val="00B37DEC"/>
    <w:rsid w:val="00B45278"/>
    <w:rsid w:val="00B474CC"/>
    <w:rsid w:val="00B60F45"/>
    <w:rsid w:val="00B6267A"/>
    <w:rsid w:val="00B651B6"/>
    <w:rsid w:val="00B6707B"/>
    <w:rsid w:val="00B73D72"/>
    <w:rsid w:val="00B86BA3"/>
    <w:rsid w:val="00B92B5A"/>
    <w:rsid w:val="00B96686"/>
    <w:rsid w:val="00B9734B"/>
    <w:rsid w:val="00BA228A"/>
    <w:rsid w:val="00BA67B0"/>
    <w:rsid w:val="00BA77CF"/>
    <w:rsid w:val="00BB0D9B"/>
    <w:rsid w:val="00BC2A52"/>
    <w:rsid w:val="00BC33F3"/>
    <w:rsid w:val="00BC4841"/>
    <w:rsid w:val="00BC7F75"/>
    <w:rsid w:val="00BD1B76"/>
    <w:rsid w:val="00BE228C"/>
    <w:rsid w:val="00BE359B"/>
    <w:rsid w:val="00BE7536"/>
    <w:rsid w:val="00BF5AC1"/>
    <w:rsid w:val="00BF5DC9"/>
    <w:rsid w:val="00C0664D"/>
    <w:rsid w:val="00C11BFE"/>
    <w:rsid w:val="00C149F9"/>
    <w:rsid w:val="00C27D2D"/>
    <w:rsid w:val="00C31D88"/>
    <w:rsid w:val="00C32AC3"/>
    <w:rsid w:val="00C37736"/>
    <w:rsid w:val="00C44565"/>
    <w:rsid w:val="00C47032"/>
    <w:rsid w:val="00C52FFE"/>
    <w:rsid w:val="00C64E9F"/>
    <w:rsid w:val="00C72CEB"/>
    <w:rsid w:val="00C76E8F"/>
    <w:rsid w:val="00C774DA"/>
    <w:rsid w:val="00C8416C"/>
    <w:rsid w:val="00C86093"/>
    <w:rsid w:val="00C9269A"/>
    <w:rsid w:val="00C92A8B"/>
    <w:rsid w:val="00C92D80"/>
    <w:rsid w:val="00C96966"/>
    <w:rsid w:val="00CA5ECB"/>
    <w:rsid w:val="00CA6965"/>
    <w:rsid w:val="00CB2063"/>
    <w:rsid w:val="00CB37EE"/>
    <w:rsid w:val="00CB70A0"/>
    <w:rsid w:val="00CC00C4"/>
    <w:rsid w:val="00CC5609"/>
    <w:rsid w:val="00CC6F64"/>
    <w:rsid w:val="00CD2539"/>
    <w:rsid w:val="00CD3015"/>
    <w:rsid w:val="00CD4DBF"/>
    <w:rsid w:val="00CE05D2"/>
    <w:rsid w:val="00CE7AED"/>
    <w:rsid w:val="00CF00E3"/>
    <w:rsid w:val="00D06321"/>
    <w:rsid w:val="00D21962"/>
    <w:rsid w:val="00D23F17"/>
    <w:rsid w:val="00D45252"/>
    <w:rsid w:val="00D45D03"/>
    <w:rsid w:val="00D52ED3"/>
    <w:rsid w:val="00D54EF5"/>
    <w:rsid w:val="00D577E3"/>
    <w:rsid w:val="00D62ED8"/>
    <w:rsid w:val="00D63E7E"/>
    <w:rsid w:val="00D66495"/>
    <w:rsid w:val="00D71B4D"/>
    <w:rsid w:val="00D80AE2"/>
    <w:rsid w:val="00D818C7"/>
    <w:rsid w:val="00D90D6E"/>
    <w:rsid w:val="00D93D55"/>
    <w:rsid w:val="00DA2C87"/>
    <w:rsid w:val="00DA57C0"/>
    <w:rsid w:val="00DB46E2"/>
    <w:rsid w:val="00DC00F3"/>
    <w:rsid w:val="00DC09AB"/>
    <w:rsid w:val="00DC36F7"/>
    <w:rsid w:val="00DC3B81"/>
    <w:rsid w:val="00DD5099"/>
    <w:rsid w:val="00DD6FBB"/>
    <w:rsid w:val="00DE6F8B"/>
    <w:rsid w:val="00DF4209"/>
    <w:rsid w:val="00E018B9"/>
    <w:rsid w:val="00E05E58"/>
    <w:rsid w:val="00E10498"/>
    <w:rsid w:val="00E12D39"/>
    <w:rsid w:val="00E1488A"/>
    <w:rsid w:val="00E14A03"/>
    <w:rsid w:val="00E31A9F"/>
    <w:rsid w:val="00E335FE"/>
    <w:rsid w:val="00E43C3D"/>
    <w:rsid w:val="00E44062"/>
    <w:rsid w:val="00E45380"/>
    <w:rsid w:val="00E5190E"/>
    <w:rsid w:val="00E53D6E"/>
    <w:rsid w:val="00E57FEB"/>
    <w:rsid w:val="00E605B0"/>
    <w:rsid w:val="00E61832"/>
    <w:rsid w:val="00E63C85"/>
    <w:rsid w:val="00E75D0B"/>
    <w:rsid w:val="00E8292D"/>
    <w:rsid w:val="00E830F4"/>
    <w:rsid w:val="00E93ABF"/>
    <w:rsid w:val="00E95636"/>
    <w:rsid w:val="00E97166"/>
    <w:rsid w:val="00EA1263"/>
    <w:rsid w:val="00EA1C16"/>
    <w:rsid w:val="00EB05DB"/>
    <w:rsid w:val="00EC4E49"/>
    <w:rsid w:val="00ED06D6"/>
    <w:rsid w:val="00ED2526"/>
    <w:rsid w:val="00ED3447"/>
    <w:rsid w:val="00ED558C"/>
    <w:rsid w:val="00ED77FB"/>
    <w:rsid w:val="00EE45FA"/>
    <w:rsid w:val="00EF7E59"/>
    <w:rsid w:val="00F03D37"/>
    <w:rsid w:val="00F0458E"/>
    <w:rsid w:val="00F056CD"/>
    <w:rsid w:val="00F25043"/>
    <w:rsid w:val="00F27E23"/>
    <w:rsid w:val="00F35183"/>
    <w:rsid w:val="00F378ED"/>
    <w:rsid w:val="00F42279"/>
    <w:rsid w:val="00F4771F"/>
    <w:rsid w:val="00F477B0"/>
    <w:rsid w:val="00F5582A"/>
    <w:rsid w:val="00F57550"/>
    <w:rsid w:val="00F61647"/>
    <w:rsid w:val="00F66152"/>
    <w:rsid w:val="00F66E9E"/>
    <w:rsid w:val="00F74219"/>
    <w:rsid w:val="00F81B11"/>
    <w:rsid w:val="00F86780"/>
    <w:rsid w:val="00F87730"/>
    <w:rsid w:val="00F90591"/>
    <w:rsid w:val="00F93792"/>
    <w:rsid w:val="00FB1E9B"/>
    <w:rsid w:val="00FC0519"/>
    <w:rsid w:val="00FD0F5F"/>
    <w:rsid w:val="00FD7AB4"/>
    <w:rsid w:val="00FE4027"/>
    <w:rsid w:val="00FF0B4A"/>
    <w:rsid w:val="00FF0C61"/>
    <w:rsid w:val="00FF1767"/>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64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A4648"/>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A4648"/>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A4648"/>
    <w:rPr>
      <w:rFonts w:ascii="Calibri"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0A4648"/>
    <w:rPr>
      <w:rFonts w:ascii="Arial" w:eastAsia="SimSun" w:hAnsi="Arial" w:cs="Arial"/>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0A4648"/>
    <w:rPr>
      <w:rFonts w:ascii="Arial" w:eastAsia="SimSun" w:hAnsi="Arial" w:cs="Arial"/>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0A4648"/>
    <w:rPr>
      <w:rFonts w:ascii="Arial" w:eastAsia="SimSun" w:hAnsi="Arial" w:cs="Arial"/>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0A4648"/>
    <w:rPr>
      <w:rFonts w:ascii="Arial" w:eastAsia="SimSun" w:hAnsi="Arial" w:cs="Arial"/>
      <w:sz w:val="22"/>
      <w:lang w:eastAsia="zh-CN"/>
    </w:rPr>
  </w:style>
  <w:style w:type="paragraph" w:customStyle="1" w:styleId="Assembly">
    <w:name w:val="Assembly"/>
    <w:basedOn w:val="Normal"/>
    <w:next w:val="Normal"/>
    <w:uiPriority w:val="99"/>
    <w:rsid w:val="00093BD8"/>
    <w:pPr>
      <w:spacing w:before="480" w:line="336" w:lineRule="exact"/>
      <w:ind w:left="1021"/>
      <w:contextualSpacing/>
    </w:pPr>
    <w:rPr>
      <w:rFonts w:eastAsia="MS Mincho" w:cs="Times New Roman"/>
      <w:b/>
      <w:sz w:val="28"/>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0A4648"/>
    <w:rPr>
      <w:rFonts w:ascii="Arial" w:eastAsia="SimSun" w:hAnsi="Arial" w:cs="Arial"/>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locked/>
    <w:rsid w:val="000A4648"/>
    <w:rPr>
      <w:rFonts w:ascii="Arial" w:eastAsia="SimSun" w:hAnsi="Arial" w:cs="Arial"/>
      <w:sz w:val="22"/>
      <w:lang w:eastAsia="zh-CN"/>
    </w:rPr>
  </w:style>
  <w:style w:type="paragraph" w:styleId="ListNumber">
    <w:name w:val="List Number"/>
    <w:basedOn w:val="Normal"/>
    <w:uiPriority w:val="99"/>
    <w:semiHidden/>
    <w:rsid w:val="00676C5C"/>
    <w:pPr>
      <w:numPr>
        <w:numId w:val="18"/>
      </w:numPr>
    </w:pPr>
  </w:style>
  <w:style w:type="paragraph" w:customStyle="1" w:styleId="ONUME">
    <w:name w:val="ONUM E"/>
    <w:basedOn w:val="BodyText"/>
    <w:uiPriority w:val="99"/>
    <w:rsid w:val="00676C5C"/>
    <w:pPr>
      <w:numPr>
        <w:numId w:val="20"/>
      </w:numPr>
    </w:pPr>
  </w:style>
  <w:style w:type="paragraph" w:customStyle="1" w:styleId="ONUMFS">
    <w:name w:val="ONUM FS"/>
    <w:basedOn w:val="BodyText"/>
    <w:uiPriority w:val="99"/>
    <w:rsid w:val="00676C5C"/>
    <w:pPr>
      <w:numPr>
        <w:numId w:val="19"/>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0A4648"/>
    <w:rPr>
      <w:rFonts w:ascii="Arial" w:eastAsia="SimSun" w:hAnsi="Arial" w:cs="Arial"/>
      <w:sz w:val="22"/>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0A4648"/>
    <w:rPr>
      <w:rFonts w:ascii="Arial" w:eastAsia="SimSun" w:hAnsi="Arial" w:cs="Arial"/>
      <w:sz w:val="22"/>
      <w:lang w:eastAsia="zh-CN"/>
    </w:rPr>
  </w:style>
  <w:style w:type="character" w:styleId="CommentReference">
    <w:name w:val="annotation reference"/>
    <w:basedOn w:val="DefaultParagraphFont"/>
    <w:uiPriority w:val="99"/>
    <w:semiHidden/>
    <w:rsid w:val="003E4897"/>
    <w:rPr>
      <w:rFonts w:cs="Times New Roman"/>
      <w:sz w:val="16"/>
    </w:rPr>
  </w:style>
  <w:style w:type="paragraph" w:styleId="BalloonText">
    <w:name w:val="Balloon Text"/>
    <w:basedOn w:val="Normal"/>
    <w:link w:val="BalloonTextChar"/>
    <w:uiPriority w:val="99"/>
    <w:semiHidden/>
    <w:rsid w:val="003E4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648"/>
    <w:rPr>
      <w:rFonts w:eastAsia="SimSun" w:cs="Arial"/>
      <w:sz w:val="2"/>
      <w:lang w:eastAsia="zh-CN"/>
    </w:rPr>
  </w:style>
  <w:style w:type="paragraph" w:customStyle="1" w:styleId="Endofdocument">
    <w:name w:val="End of document"/>
    <w:basedOn w:val="Normal"/>
    <w:uiPriority w:val="99"/>
    <w:rsid w:val="00B13FED"/>
    <w:pPr>
      <w:spacing w:after="120" w:line="260" w:lineRule="atLeast"/>
      <w:ind w:left="5534"/>
      <w:contextualSpacing/>
    </w:pPr>
    <w:rPr>
      <w:rFonts w:eastAsia="MS Mincho" w:cs="Times New Roman"/>
      <w:sz w:val="20"/>
      <w:lang w:eastAsia="en-US"/>
    </w:rPr>
  </w:style>
  <w:style w:type="character" w:styleId="PageNumber">
    <w:name w:val="page number"/>
    <w:basedOn w:val="DefaultParagraphFont"/>
    <w:uiPriority w:val="99"/>
    <w:rsid w:val="004B7572"/>
    <w:rPr>
      <w:rFonts w:cs="Times New Roman"/>
    </w:rPr>
  </w:style>
  <w:style w:type="paragraph" w:styleId="DocumentMap">
    <w:name w:val="Document Map"/>
    <w:basedOn w:val="Normal"/>
    <w:link w:val="DocumentMapChar"/>
    <w:uiPriority w:val="99"/>
    <w:semiHidden/>
    <w:rsid w:val="00D664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A4648"/>
    <w:rPr>
      <w:rFonts w:eastAsia="SimSun" w:cs="Arial"/>
      <w:sz w:val="2"/>
      <w:lang w:eastAsia="zh-CN"/>
    </w:rPr>
  </w:style>
  <w:style w:type="paragraph" w:styleId="CommentSubject">
    <w:name w:val="annotation subject"/>
    <w:basedOn w:val="CommentText"/>
    <w:next w:val="CommentText"/>
    <w:link w:val="CommentSubjectChar"/>
    <w:uiPriority w:val="99"/>
    <w:semiHidden/>
    <w:rsid w:val="00B60F45"/>
    <w:rPr>
      <w:b/>
      <w:bCs/>
      <w:sz w:val="20"/>
    </w:rPr>
  </w:style>
  <w:style w:type="character" w:customStyle="1" w:styleId="CommentSubjectChar">
    <w:name w:val="Comment Subject Char"/>
    <w:basedOn w:val="CommentTextChar"/>
    <w:link w:val="CommentSubject"/>
    <w:uiPriority w:val="99"/>
    <w:semiHidden/>
    <w:locked/>
    <w:rsid w:val="000A4648"/>
    <w:rPr>
      <w:rFonts w:ascii="Arial" w:eastAsia="SimSun" w:hAnsi="Arial" w:cs="Arial"/>
      <w:b/>
      <w:bCs/>
      <w:lang w:eastAsia="zh-CN"/>
    </w:rPr>
  </w:style>
  <w:style w:type="paragraph" w:styleId="ListParagraph">
    <w:name w:val="List Paragraph"/>
    <w:basedOn w:val="Normal"/>
    <w:uiPriority w:val="34"/>
    <w:qFormat/>
    <w:rsid w:val="00451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64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A4648"/>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A4648"/>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A4648"/>
    <w:rPr>
      <w:rFonts w:ascii="Calibri"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0A4648"/>
    <w:rPr>
      <w:rFonts w:ascii="Arial" w:eastAsia="SimSun" w:hAnsi="Arial" w:cs="Arial"/>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0A4648"/>
    <w:rPr>
      <w:rFonts w:ascii="Arial" w:eastAsia="SimSun" w:hAnsi="Arial" w:cs="Arial"/>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0A4648"/>
    <w:rPr>
      <w:rFonts w:ascii="Arial" w:eastAsia="SimSun" w:hAnsi="Arial" w:cs="Arial"/>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0A4648"/>
    <w:rPr>
      <w:rFonts w:ascii="Arial" w:eastAsia="SimSun" w:hAnsi="Arial" w:cs="Arial"/>
      <w:sz w:val="22"/>
      <w:lang w:eastAsia="zh-CN"/>
    </w:rPr>
  </w:style>
  <w:style w:type="paragraph" w:customStyle="1" w:styleId="Assembly">
    <w:name w:val="Assembly"/>
    <w:basedOn w:val="Normal"/>
    <w:next w:val="Normal"/>
    <w:uiPriority w:val="99"/>
    <w:rsid w:val="00093BD8"/>
    <w:pPr>
      <w:spacing w:before="480" w:line="336" w:lineRule="exact"/>
      <w:ind w:left="1021"/>
      <w:contextualSpacing/>
    </w:pPr>
    <w:rPr>
      <w:rFonts w:eastAsia="MS Mincho" w:cs="Times New Roman"/>
      <w:b/>
      <w:sz w:val="28"/>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0A4648"/>
    <w:rPr>
      <w:rFonts w:ascii="Arial" w:eastAsia="SimSun" w:hAnsi="Arial" w:cs="Arial"/>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locked/>
    <w:rsid w:val="000A4648"/>
    <w:rPr>
      <w:rFonts w:ascii="Arial" w:eastAsia="SimSun" w:hAnsi="Arial" w:cs="Arial"/>
      <w:sz w:val="22"/>
      <w:lang w:eastAsia="zh-CN"/>
    </w:rPr>
  </w:style>
  <w:style w:type="paragraph" w:styleId="ListNumber">
    <w:name w:val="List Number"/>
    <w:basedOn w:val="Normal"/>
    <w:uiPriority w:val="99"/>
    <w:semiHidden/>
    <w:rsid w:val="00676C5C"/>
    <w:pPr>
      <w:numPr>
        <w:numId w:val="18"/>
      </w:numPr>
    </w:pPr>
  </w:style>
  <w:style w:type="paragraph" w:customStyle="1" w:styleId="ONUME">
    <w:name w:val="ONUM E"/>
    <w:basedOn w:val="BodyText"/>
    <w:uiPriority w:val="99"/>
    <w:rsid w:val="00676C5C"/>
    <w:pPr>
      <w:numPr>
        <w:numId w:val="20"/>
      </w:numPr>
    </w:pPr>
  </w:style>
  <w:style w:type="paragraph" w:customStyle="1" w:styleId="ONUMFS">
    <w:name w:val="ONUM FS"/>
    <w:basedOn w:val="BodyText"/>
    <w:uiPriority w:val="99"/>
    <w:rsid w:val="00676C5C"/>
    <w:pPr>
      <w:numPr>
        <w:numId w:val="19"/>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0A4648"/>
    <w:rPr>
      <w:rFonts w:ascii="Arial" w:eastAsia="SimSun" w:hAnsi="Arial" w:cs="Arial"/>
      <w:sz w:val="22"/>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0A4648"/>
    <w:rPr>
      <w:rFonts w:ascii="Arial" w:eastAsia="SimSun" w:hAnsi="Arial" w:cs="Arial"/>
      <w:sz w:val="22"/>
      <w:lang w:eastAsia="zh-CN"/>
    </w:rPr>
  </w:style>
  <w:style w:type="character" w:styleId="CommentReference">
    <w:name w:val="annotation reference"/>
    <w:basedOn w:val="DefaultParagraphFont"/>
    <w:uiPriority w:val="99"/>
    <w:semiHidden/>
    <w:rsid w:val="003E4897"/>
    <w:rPr>
      <w:rFonts w:cs="Times New Roman"/>
      <w:sz w:val="16"/>
    </w:rPr>
  </w:style>
  <w:style w:type="paragraph" w:styleId="BalloonText">
    <w:name w:val="Balloon Text"/>
    <w:basedOn w:val="Normal"/>
    <w:link w:val="BalloonTextChar"/>
    <w:uiPriority w:val="99"/>
    <w:semiHidden/>
    <w:rsid w:val="003E4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648"/>
    <w:rPr>
      <w:rFonts w:eastAsia="SimSun" w:cs="Arial"/>
      <w:sz w:val="2"/>
      <w:lang w:eastAsia="zh-CN"/>
    </w:rPr>
  </w:style>
  <w:style w:type="paragraph" w:customStyle="1" w:styleId="Endofdocument">
    <w:name w:val="End of document"/>
    <w:basedOn w:val="Normal"/>
    <w:uiPriority w:val="99"/>
    <w:rsid w:val="00B13FED"/>
    <w:pPr>
      <w:spacing w:after="120" w:line="260" w:lineRule="atLeast"/>
      <w:ind w:left="5534"/>
      <w:contextualSpacing/>
    </w:pPr>
    <w:rPr>
      <w:rFonts w:eastAsia="MS Mincho" w:cs="Times New Roman"/>
      <w:sz w:val="20"/>
      <w:lang w:eastAsia="en-US"/>
    </w:rPr>
  </w:style>
  <w:style w:type="character" w:styleId="PageNumber">
    <w:name w:val="page number"/>
    <w:basedOn w:val="DefaultParagraphFont"/>
    <w:uiPriority w:val="99"/>
    <w:rsid w:val="004B7572"/>
    <w:rPr>
      <w:rFonts w:cs="Times New Roman"/>
    </w:rPr>
  </w:style>
  <w:style w:type="paragraph" w:styleId="DocumentMap">
    <w:name w:val="Document Map"/>
    <w:basedOn w:val="Normal"/>
    <w:link w:val="DocumentMapChar"/>
    <w:uiPriority w:val="99"/>
    <w:semiHidden/>
    <w:rsid w:val="00D664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A4648"/>
    <w:rPr>
      <w:rFonts w:eastAsia="SimSun" w:cs="Arial"/>
      <w:sz w:val="2"/>
      <w:lang w:eastAsia="zh-CN"/>
    </w:rPr>
  </w:style>
  <w:style w:type="paragraph" w:styleId="CommentSubject">
    <w:name w:val="annotation subject"/>
    <w:basedOn w:val="CommentText"/>
    <w:next w:val="CommentText"/>
    <w:link w:val="CommentSubjectChar"/>
    <w:uiPriority w:val="99"/>
    <w:semiHidden/>
    <w:rsid w:val="00B60F45"/>
    <w:rPr>
      <w:b/>
      <w:bCs/>
      <w:sz w:val="20"/>
    </w:rPr>
  </w:style>
  <w:style w:type="character" w:customStyle="1" w:styleId="CommentSubjectChar">
    <w:name w:val="Comment Subject Char"/>
    <w:basedOn w:val="CommentTextChar"/>
    <w:link w:val="CommentSubject"/>
    <w:uiPriority w:val="99"/>
    <w:semiHidden/>
    <w:locked/>
    <w:rsid w:val="000A4648"/>
    <w:rPr>
      <w:rFonts w:ascii="Arial" w:eastAsia="SimSun" w:hAnsi="Arial" w:cs="Arial"/>
      <w:b/>
      <w:bCs/>
      <w:lang w:eastAsia="zh-CN"/>
    </w:rPr>
  </w:style>
  <w:style w:type="paragraph" w:styleId="ListParagraph">
    <w:name w:val="List Paragraph"/>
    <w:basedOn w:val="Normal"/>
    <w:uiPriority w:val="34"/>
    <w:qFormat/>
    <w:rsid w:val="00451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274">
      <w:bodyDiv w:val="1"/>
      <w:marLeft w:val="0"/>
      <w:marRight w:val="0"/>
      <w:marTop w:val="0"/>
      <w:marBottom w:val="0"/>
      <w:divBdr>
        <w:top w:val="none" w:sz="0" w:space="0" w:color="auto"/>
        <w:left w:val="none" w:sz="0" w:space="0" w:color="auto"/>
        <w:bottom w:val="none" w:sz="0" w:space="0" w:color="auto"/>
        <w:right w:val="none" w:sz="0" w:space="0" w:color="auto"/>
      </w:divBdr>
    </w:div>
    <w:div w:id="987972864">
      <w:bodyDiv w:val="1"/>
      <w:marLeft w:val="0"/>
      <w:marRight w:val="0"/>
      <w:marTop w:val="0"/>
      <w:marBottom w:val="0"/>
      <w:divBdr>
        <w:top w:val="none" w:sz="0" w:space="0" w:color="auto"/>
        <w:left w:val="none" w:sz="0" w:space="0" w:color="auto"/>
        <w:bottom w:val="none" w:sz="0" w:space="0" w:color="auto"/>
        <w:right w:val="none" w:sz="0" w:space="0" w:color="auto"/>
      </w:divBdr>
    </w:div>
    <w:div w:id="1010107636">
      <w:marLeft w:val="0"/>
      <w:marRight w:val="0"/>
      <w:marTop w:val="0"/>
      <w:marBottom w:val="0"/>
      <w:divBdr>
        <w:top w:val="none" w:sz="0" w:space="0" w:color="auto"/>
        <w:left w:val="none" w:sz="0" w:space="0" w:color="auto"/>
        <w:bottom w:val="none" w:sz="0" w:space="0" w:color="auto"/>
        <w:right w:val="none" w:sz="0" w:space="0" w:color="auto"/>
      </w:divBdr>
    </w:div>
    <w:div w:id="1131173493">
      <w:bodyDiv w:val="1"/>
      <w:marLeft w:val="0"/>
      <w:marRight w:val="0"/>
      <w:marTop w:val="0"/>
      <w:marBottom w:val="0"/>
      <w:divBdr>
        <w:top w:val="none" w:sz="0" w:space="0" w:color="auto"/>
        <w:left w:val="none" w:sz="0" w:space="0" w:color="auto"/>
        <w:bottom w:val="none" w:sz="0" w:space="0" w:color="auto"/>
        <w:right w:val="none" w:sz="0" w:space="0" w:color="auto"/>
      </w:divBdr>
    </w:div>
    <w:div w:id="1681006543">
      <w:bodyDiv w:val="1"/>
      <w:marLeft w:val="0"/>
      <w:marRight w:val="0"/>
      <w:marTop w:val="0"/>
      <w:marBottom w:val="0"/>
      <w:divBdr>
        <w:top w:val="none" w:sz="0" w:space="0" w:color="auto"/>
        <w:left w:val="none" w:sz="0" w:space="0" w:color="auto"/>
        <w:bottom w:val="none" w:sz="0" w:space="0" w:color="auto"/>
        <w:right w:val="none" w:sz="0" w:space="0" w:color="auto"/>
      </w:divBdr>
      <w:divsChild>
        <w:div w:id="1407218173">
          <w:marLeft w:val="0"/>
          <w:marRight w:val="0"/>
          <w:marTop w:val="0"/>
          <w:marBottom w:val="0"/>
          <w:divBdr>
            <w:top w:val="none" w:sz="0" w:space="0" w:color="auto"/>
            <w:left w:val="none" w:sz="0" w:space="0" w:color="auto"/>
            <w:bottom w:val="none" w:sz="0" w:space="0" w:color="auto"/>
            <w:right w:val="none" w:sz="0" w:space="0" w:color="auto"/>
          </w:divBdr>
        </w:div>
        <w:div w:id="668017701">
          <w:marLeft w:val="0"/>
          <w:marRight w:val="0"/>
          <w:marTop w:val="0"/>
          <w:marBottom w:val="0"/>
          <w:divBdr>
            <w:top w:val="none" w:sz="0" w:space="0" w:color="auto"/>
            <w:left w:val="none" w:sz="0" w:space="0" w:color="auto"/>
            <w:bottom w:val="none" w:sz="0" w:space="0" w:color="auto"/>
            <w:right w:val="none" w:sz="0" w:space="0" w:color="auto"/>
          </w:divBdr>
        </w:div>
        <w:div w:id="1059717134">
          <w:marLeft w:val="0"/>
          <w:marRight w:val="0"/>
          <w:marTop w:val="0"/>
          <w:marBottom w:val="0"/>
          <w:divBdr>
            <w:top w:val="none" w:sz="0" w:space="0" w:color="auto"/>
            <w:left w:val="none" w:sz="0" w:space="0" w:color="auto"/>
            <w:bottom w:val="none" w:sz="0" w:space="0" w:color="auto"/>
            <w:right w:val="none" w:sz="0" w:space="0" w:color="auto"/>
          </w:divBdr>
        </w:div>
        <w:div w:id="864637617">
          <w:marLeft w:val="0"/>
          <w:marRight w:val="0"/>
          <w:marTop w:val="0"/>
          <w:marBottom w:val="0"/>
          <w:divBdr>
            <w:top w:val="none" w:sz="0" w:space="0" w:color="auto"/>
            <w:left w:val="none" w:sz="0" w:space="0" w:color="auto"/>
            <w:bottom w:val="none" w:sz="0" w:space="0" w:color="auto"/>
            <w:right w:val="none" w:sz="0" w:space="0" w:color="auto"/>
          </w:divBdr>
        </w:div>
        <w:div w:id="2092046499">
          <w:marLeft w:val="0"/>
          <w:marRight w:val="0"/>
          <w:marTop w:val="0"/>
          <w:marBottom w:val="0"/>
          <w:divBdr>
            <w:top w:val="none" w:sz="0" w:space="0" w:color="auto"/>
            <w:left w:val="none" w:sz="0" w:space="0" w:color="auto"/>
            <w:bottom w:val="none" w:sz="0" w:space="0" w:color="auto"/>
            <w:right w:val="none" w:sz="0" w:space="0" w:color="auto"/>
          </w:divBdr>
        </w:div>
        <w:div w:id="105743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C9B9-2E63-4B86-B5C5-522213CE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2015-06-30T12:41:00Z</dcterms:created>
  <dcterms:modified xsi:type="dcterms:W3CDTF">2015-06-30T13:14:00Z</dcterms:modified>
</cp:coreProperties>
</file>