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13BE3" w:rsidRPr="00993B31" w:rsidTr="000F0BA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13BE3" w:rsidRPr="00A16A7D" w:rsidRDefault="00313BE3" w:rsidP="000F0BA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3BE3" w:rsidRPr="00993B31" w:rsidRDefault="00313BE3" w:rsidP="000F0BAB">
            <w:r w:rsidRPr="00993B31">
              <w:rPr>
                <w:noProof/>
                <w:lang w:val="en-US" w:eastAsia="en-US"/>
              </w:rPr>
              <w:drawing>
                <wp:inline distT="0" distB="0" distL="0" distR="0" wp14:anchorId="4EC89D8E" wp14:editId="015120D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3BE3" w:rsidRPr="00993B31" w:rsidRDefault="00313BE3" w:rsidP="000F0BAB">
            <w:pPr>
              <w:jc w:val="right"/>
            </w:pPr>
            <w:r w:rsidRPr="00993B31">
              <w:rPr>
                <w:b/>
                <w:sz w:val="40"/>
                <w:szCs w:val="40"/>
              </w:rPr>
              <w:t>S</w:t>
            </w:r>
          </w:p>
        </w:tc>
      </w:tr>
      <w:tr w:rsidR="00313BE3" w:rsidRPr="00993B31" w:rsidTr="000F0BA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13BE3" w:rsidRPr="00993B31" w:rsidRDefault="00313BE3" w:rsidP="00313B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B31">
              <w:rPr>
                <w:rFonts w:ascii="Arial Black" w:hAnsi="Arial Black"/>
                <w:caps/>
                <w:sz w:val="15"/>
              </w:rPr>
              <w:t>H/A/34/</w:t>
            </w:r>
            <w:bookmarkStart w:id="0" w:name="Code"/>
            <w:bookmarkEnd w:id="0"/>
            <w:r w:rsidRPr="00993B31">
              <w:rPr>
                <w:rFonts w:ascii="Arial Black" w:hAnsi="Arial Black"/>
                <w:caps/>
                <w:sz w:val="15"/>
              </w:rPr>
              <w:t xml:space="preserve">1   </w:t>
            </w:r>
          </w:p>
        </w:tc>
      </w:tr>
      <w:tr w:rsidR="00313BE3" w:rsidRPr="00993B31" w:rsidTr="000F0B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13BE3" w:rsidRPr="00993B31" w:rsidRDefault="00313BE3" w:rsidP="000F0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B31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1" w:name="Original"/>
            <w:bookmarkEnd w:id="1"/>
            <w:r w:rsidRPr="00993B3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313BE3" w:rsidRPr="00993B31" w:rsidTr="000F0B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13BE3" w:rsidRPr="00993B31" w:rsidRDefault="00313BE3" w:rsidP="00313B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3B31">
              <w:rPr>
                <w:rFonts w:ascii="Arial Black" w:hAnsi="Arial Black"/>
                <w:caps/>
                <w:sz w:val="15"/>
              </w:rPr>
              <w:t xml:space="preserve">fecha:  </w:t>
            </w:r>
            <w:bookmarkStart w:id="2" w:name="Date"/>
            <w:bookmarkEnd w:id="2"/>
            <w:r w:rsidRPr="00993B31">
              <w:rPr>
                <w:rFonts w:ascii="Arial Black" w:hAnsi="Arial Black"/>
                <w:caps/>
                <w:sz w:val="15"/>
              </w:rPr>
              <w:t>23 de junio de 2014</w:t>
            </w:r>
          </w:p>
        </w:tc>
      </w:tr>
    </w:tbl>
    <w:p w:rsidR="00313BE3" w:rsidRPr="00993B31" w:rsidRDefault="00313BE3" w:rsidP="00313BE3"/>
    <w:p w:rsidR="00313BE3" w:rsidRPr="00993B31" w:rsidRDefault="00313BE3" w:rsidP="00313BE3"/>
    <w:p w:rsidR="00313BE3" w:rsidRPr="00993B31" w:rsidRDefault="00313BE3" w:rsidP="00313BE3"/>
    <w:p w:rsidR="00313BE3" w:rsidRPr="00993B31" w:rsidRDefault="00313BE3" w:rsidP="00313BE3"/>
    <w:p w:rsidR="00313BE3" w:rsidRPr="00993B31" w:rsidRDefault="00313BE3" w:rsidP="00313BE3"/>
    <w:p w:rsidR="00A12311" w:rsidRPr="00993B31" w:rsidRDefault="00BF324A" w:rsidP="00A12311">
      <w:pPr>
        <w:rPr>
          <w:b/>
          <w:sz w:val="28"/>
          <w:szCs w:val="28"/>
        </w:rPr>
      </w:pPr>
      <w:r w:rsidRPr="00993B31">
        <w:rPr>
          <w:b/>
          <w:sz w:val="28"/>
          <w:szCs w:val="28"/>
        </w:rPr>
        <w:t>Unión Particular para el Depósito Internacional de Dibujos y Modelos Industriales (Unión de La Haya)</w:t>
      </w:r>
    </w:p>
    <w:p w:rsidR="00A12311" w:rsidRPr="00993B31" w:rsidRDefault="00A12311" w:rsidP="003845C1"/>
    <w:p w:rsidR="00A12311" w:rsidRPr="00993B31" w:rsidRDefault="00A12311" w:rsidP="003845C1"/>
    <w:p w:rsidR="00A12311" w:rsidRPr="00993B31" w:rsidRDefault="00BF324A" w:rsidP="00A12311">
      <w:pPr>
        <w:outlineLvl w:val="0"/>
        <w:rPr>
          <w:b/>
          <w:sz w:val="28"/>
          <w:szCs w:val="28"/>
        </w:rPr>
      </w:pPr>
      <w:r w:rsidRPr="00993B31">
        <w:rPr>
          <w:b/>
          <w:sz w:val="28"/>
          <w:szCs w:val="28"/>
        </w:rPr>
        <w:t>Asamblea</w:t>
      </w:r>
    </w:p>
    <w:p w:rsidR="00A12311" w:rsidRPr="00993B31" w:rsidRDefault="00A12311" w:rsidP="003845C1"/>
    <w:p w:rsidR="00A12311" w:rsidRPr="00993B31" w:rsidRDefault="00A12311" w:rsidP="003845C1"/>
    <w:p w:rsidR="00A12311" w:rsidRPr="00993B31" w:rsidRDefault="00A33E5A" w:rsidP="00AD0C6E">
      <w:pPr>
        <w:outlineLvl w:val="0"/>
        <w:rPr>
          <w:b/>
          <w:sz w:val="24"/>
          <w:szCs w:val="24"/>
        </w:rPr>
      </w:pPr>
      <w:r w:rsidRPr="00993B31">
        <w:rPr>
          <w:b/>
          <w:sz w:val="24"/>
          <w:szCs w:val="24"/>
        </w:rPr>
        <w:t>T</w:t>
      </w:r>
      <w:r w:rsidR="00BF324A" w:rsidRPr="00993B31">
        <w:rPr>
          <w:b/>
          <w:sz w:val="24"/>
          <w:szCs w:val="24"/>
        </w:rPr>
        <w:t xml:space="preserve">rigésimo cuarto </w:t>
      </w:r>
      <w:r w:rsidR="00773683" w:rsidRPr="00993B31">
        <w:rPr>
          <w:b/>
          <w:sz w:val="24"/>
          <w:szCs w:val="24"/>
        </w:rPr>
        <w:t>período</w:t>
      </w:r>
      <w:r w:rsidR="00BF324A" w:rsidRPr="00993B31">
        <w:rPr>
          <w:b/>
          <w:sz w:val="24"/>
          <w:szCs w:val="24"/>
        </w:rPr>
        <w:t xml:space="preserve"> de sesiones</w:t>
      </w:r>
      <w:r w:rsidR="00A22CCB" w:rsidRPr="00993B31">
        <w:rPr>
          <w:b/>
          <w:sz w:val="24"/>
          <w:szCs w:val="24"/>
        </w:rPr>
        <w:t xml:space="preserve"> </w:t>
      </w:r>
      <w:r w:rsidRPr="00993B31">
        <w:rPr>
          <w:b/>
          <w:sz w:val="24"/>
          <w:szCs w:val="24"/>
        </w:rPr>
        <w:t>(15</w:t>
      </w:r>
      <w:r w:rsidR="00BF324A" w:rsidRPr="00993B31">
        <w:rPr>
          <w:b/>
          <w:sz w:val="24"/>
          <w:szCs w:val="24"/>
        </w:rPr>
        <w:t>º</w:t>
      </w:r>
      <w:r w:rsidR="00B85A28" w:rsidRPr="00993B31">
        <w:rPr>
          <w:b/>
          <w:sz w:val="24"/>
          <w:szCs w:val="24"/>
        </w:rPr>
        <w:t xml:space="preserve"> </w:t>
      </w:r>
      <w:r w:rsidR="00BF324A" w:rsidRPr="00993B31">
        <w:rPr>
          <w:b/>
          <w:sz w:val="24"/>
          <w:szCs w:val="24"/>
        </w:rPr>
        <w:t>e</w:t>
      </w:r>
      <w:r w:rsidR="00A22CCB" w:rsidRPr="00993B31">
        <w:rPr>
          <w:b/>
          <w:sz w:val="24"/>
          <w:szCs w:val="24"/>
        </w:rPr>
        <w:t>xtrao</w:t>
      </w:r>
      <w:r w:rsidR="00E830F4" w:rsidRPr="00993B31">
        <w:rPr>
          <w:b/>
          <w:sz w:val="24"/>
          <w:szCs w:val="24"/>
        </w:rPr>
        <w:t>rdinari</w:t>
      </w:r>
      <w:r w:rsidR="00BF324A" w:rsidRPr="00993B31">
        <w:rPr>
          <w:b/>
          <w:sz w:val="24"/>
          <w:szCs w:val="24"/>
        </w:rPr>
        <w:t>o)</w:t>
      </w:r>
    </w:p>
    <w:p w:rsidR="00A12311" w:rsidRPr="00993B31" w:rsidRDefault="00A12311" w:rsidP="00A12311">
      <w:pPr>
        <w:outlineLvl w:val="0"/>
        <w:rPr>
          <w:b/>
          <w:sz w:val="24"/>
          <w:szCs w:val="24"/>
        </w:rPr>
      </w:pPr>
      <w:r w:rsidRPr="00993B31">
        <w:rPr>
          <w:b/>
          <w:sz w:val="24"/>
          <w:szCs w:val="24"/>
        </w:rPr>
        <w:t>Ginebra, 22 a 30 de septiembre de 2014</w:t>
      </w:r>
    </w:p>
    <w:p w:rsidR="00A12311" w:rsidRPr="00993B31" w:rsidRDefault="00A12311" w:rsidP="008B2CC1"/>
    <w:p w:rsidR="00A12311" w:rsidRPr="00993B31" w:rsidRDefault="00A12311" w:rsidP="008B2CC1"/>
    <w:p w:rsidR="00A12311" w:rsidRPr="00993B31" w:rsidRDefault="00A12311" w:rsidP="008B2CC1"/>
    <w:p w:rsidR="00A12311" w:rsidRPr="00993B31" w:rsidRDefault="002A58C9" w:rsidP="002A58C9">
      <w:pPr>
        <w:rPr>
          <w:caps/>
          <w:sz w:val="24"/>
        </w:rPr>
      </w:pPr>
      <w:bookmarkStart w:id="3" w:name="TitleOfDoc"/>
      <w:bookmarkEnd w:id="3"/>
      <w:r w:rsidRPr="00993B31">
        <w:rPr>
          <w:caps/>
          <w:sz w:val="24"/>
        </w:rPr>
        <w:t>PROGRAMA DE MODERNIZACIÓN DE LAS TECNOLOGÍAS DE LA INFORMACIÓN (SISTEMA DE LA HAYA DE REGISTRO INTERNACIONAL):</w:t>
      </w:r>
      <w:r w:rsidR="00B85A28" w:rsidRPr="00993B31">
        <w:rPr>
          <w:caps/>
          <w:sz w:val="24"/>
        </w:rPr>
        <w:t xml:space="preserve"> </w:t>
      </w:r>
      <w:r w:rsidRPr="00993B31">
        <w:rPr>
          <w:caps/>
          <w:sz w:val="24"/>
        </w:rPr>
        <w:t xml:space="preserve"> INFORME SOBRE LA MARCHA DE LAS ACTIVIDADES</w:t>
      </w:r>
    </w:p>
    <w:p w:rsidR="002A58C9" w:rsidRPr="00993B31" w:rsidRDefault="002A58C9" w:rsidP="002A58C9"/>
    <w:p w:rsidR="00A12311" w:rsidRPr="00993B31" w:rsidRDefault="00A12311" w:rsidP="00A12311">
      <w:pPr>
        <w:rPr>
          <w:i/>
        </w:rPr>
      </w:pPr>
      <w:bookmarkStart w:id="4" w:name="Prepared"/>
      <w:bookmarkEnd w:id="4"/>
      <w:r w:rsidRPr="00993B31">
        <w:rPr>
          <w:i/>
        </w:rPr>
        <w:t>preparado por la Oficina Internacional</w:t>
      </w:r>
    </w:p>
    <w:p w:rsidR="00A12311" w:rsidRPr="00993B31" w:rsidRDefault="00A12311"/>
    <w:p w:rsidR="00A12311" w:rsidRPr="00993B31" w:rsidRDefault="00A12311"/>
    <w:p w:rsidR="00A12311" w:rsidRPr="00993B31" w:rsidRDefault="00A12311"/>
    <w:p w:rsidR="00A12311" w:rsidRPr="00993B31" w:rsidRDefault="00A12311" w:rsidP="00A12311">
      <w:pPr>
        <w:pStyle w:val="Heading1"/>
      </w:pPr>
      <w:r w:rsidRPr="00993B31">
        <w:t>INTRODUCCIÓN</w:t>
      </w:r>
    </w:p>
    <w:p w:rsidR="00A12311" w:rsidRPr="00993B31" w:rsidRDefault="00A12311"/>
    <w:p w:rsidR="002A58C9" w:rsidRPr="00993B31" w:rsidRDefault="00E830F4" w:rsidP="002A58C9">
      <w:pPr>
        <w:autoSpaceDE w:val="0"/>
        <w:autoSpaceDN w:val="0"/>
        <w:adjustRightInd w:val="0"/>
        <w:rPr>
          <w:rFonts w:eastAsia="MS Mincho"/>
          <w:sz w:val="21"/>
          <w:szCs w:val="21"/>
          <w:lang w:eastAsia="en-US"/>
        </w:rPr>
      </w:pPr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2A58C9" w:rsidRPr="00993B31">
        <w:rPr>
          <w:rFonts w:eastAsia="MS Mincho"/>
          <w:sz w:val="21"/>
          <w:szCs w:val="21"/>
          <w:lang w:eastAsia="en-US"/>
        </w:rPr>
        <w:t>La finalidad del presente documento es reseñar los avances del programa de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modernización de las tecnologías de la información (T.I.) (denominado, en adelante,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“el programa”) desde el último período de sesiones de la Asamblea de la Unión de La Haya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(denominada, en lo sucesivo, “la Asamblea”), celebrado en octubre d</w:t>
      </w:r>
      <w:r w:rsidR="00E44B81" w:rsidRPr="00993B31">
        <w:rPr>
          <w:rFonts w:eastAsia="MS Mincho"/>
          <w:sz w:val="21"/>
          <w:szCs w:val="21"/>
          <w:lang w:eastAsia="en-US"/>
        </w:rPr>
        <w:t>e 2</w:t>
      </w:r>
      <w:r w:rsidR="002A58C9" w:rsidRPr="00993B31">
        <w:rPr>
          <w:rFonts w:eastAsia="MS Mincho"/>
          <w:sz w:val="21"/>
          <w:szCs w:val="21"/>
          <w:lang w:eastAsia="en-US"/>
        </w:rPr>
        <w:t>013.  Además, el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presente documento contiene información actualizada destinada a los Estados miembros de la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Asamblea</w:t>
      </w:r>
      <w:r w:rsidR="00B85A28" w:rsidRPr="00993B31">
        <w:rPr>
          <w:rFonts w:eastAsia="MS Mincho"/>
          <w:sz w:val="21"/>
          <w:szCs w:val="21"/>
          <w:lang w:eastAsia="en-US"/>
        </w:rPr>
        <w:t>,</w:t>
      </w:r>
      <w:r w:rsidR="002A58C9" w:rsidRPr="00993B31">
        <w:rPr>
          <w:rFonts w:eastAsia="MS Mincho"/>
          <w:sz w:val="21"/>
          <w:szCs w:val="21"/>
          <w:lang w:eastAsia="en-US"/>
        </w:rPr>
        <w:t xml:space="preserve"> relativa a las modificaciones introducidas en el enfoque general aplicado con miras a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finalizar el programa, y se notifican los cambios del calendario del programa.</w:t>
      </w:r>
    </w:p>
    <w:p w:rsidR="00A12311" w:rsidRPr="00993B31" w:rsidRDefault="00A12311" w:rsidP="002A58C9"/>
    <w:p w:rsidR="002A58C9" w:rsidRPr="00993B31" w:rsidRDefault="00E830F4" w:rsidP="00B2639A">
      <w:pPr>
        <w:autoSpaceDE w:val="0"/>
        <w:autoSpaceDN w:val="0"/>
        <w:adjustRightInd w:val="0"/>
        <w:rPr>
          <w:rFonts w:eastAsia="MS Mincho"/>
          <w:sz w:val="21"/>
          <w:szCs w:val="21"/>
          <w:lang w:eastAsia="en-US"/>
        </w:rPr>
      </w:pPr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2A58C9" w:rsidRPr="00993B31">
        <w:rPr>
          <w:rFonts w:eastAsia="MS Mincho"/>
          <w:sz w:val="21"/>
          <w:szCs w:val="21"/>
          <w:lang w:eastAsia="en-US"/>
        </w:rPr>
        <w:t>El documento H/A/32/1 contiene el informe anterior sobre la marcha de las actividades</w:t>
      </w:r>
      <w:r w:rsidR="00643883" w:rsidRPr="00993B31">
        <w:rPr>
          <w:rFonts w:eastAsia="MS Mincho"/>
          <w:sz w:val="21"/>
          <w:szCs w:val="21"/>
          <w:lang w:eastAsia="en-US"/>
        </w:rPr>
        <w:t xml:space="preserve"> </w:t>
      </w:r>
      <w:r w:rsidR="002A58C9" w:rsidRPr="00993B31">
        <w:rPr>
          <w:rFonts w:eastAsia="MS Mincho"/>
          <w:sz w:val="21"/>
          <w:szCs w:val="21"/>
          <w:lang w:eastAsia="en-US"/>
        </w:rPr>
        <w:t>del programa.</w:t>
      </w:r>
    </w:p>
    <w:p w:rsidR="002A58C9" w:rsidRPr="00993B31" w:rsidRDefault="002A58C9" w:rsidP="00B2639A">
      <w:pPr>
        <w:autoSpaceDE w:val="0"/>
        <w:autoSpaceDN w:val="0"/>
        <w:adjustRightInd w:val="0"/>
        <w:rPr>
          <w:rFonts w:eastAsia="MS Mincho"/>
          <w:sz w:val="21"/>
          <w:szCs w:val="21"/>
          <w:lang w:eastAsia="en-US"/>
        </w:rPr>
      </w:pPr>
    </w:p>
    <w:p w:rsidR="00643883" w:rsidRDefault="002A58C9" w:rsidP="00B2639A">
      <w:pPr>
        <w:autoSpaceDE w:val="0"/>
        <w:autoSpaceDN w:val="0"/>
        <w:adjustRightInd w:val="0"/>
      </w:pPr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643883" w:rsidRPr="00993B31">
        <w:t xml:space="preserve">Se recuerda que el programa ha de ejecutarse en tres fases:  la fase I, la fase II y la fase III.  La fase I consta de subproyectos destinados a producir resultados positivos inmediatos o a sentar las bases técnicas de la fase II.  La fase II corresponde a la migración técnica propiamente dicha de cada uno de los componentes del sistema de T.I. existente, que se utiliza tanto para los procedimientos de registro internacional del </w:t>
      </w:r>
      <w:r w:rsidR="00B85A28" w:rsidRPr="00993B31">
        <w:t xml:space="preserve">Sistema </w:t>
      </w:r>
      <w:r w:rsidR="00643883" w:rsidRPr="00993B31">
        <w:t xml:space="preserve">de Madrid como para los procedimientos del </w:t>
      </w:r>
      <w:r w:rsidR="00B85A28" w:rsidRPr="00993B31">
        <w:t xml:space="preserve">Sistema </w:t>
      </w:r>
      <w:r w:rsidR="00643883" w:rsidRPr="00993B31">
        <w:t xml:space="preserve">de La Haya, a un sistema de tecnología moderna que </w:t>
      </w:r>
      <w:r w:rsidR="00643883" w:rsidRPr="00993B31">
        <w:lastRenderedPageBreak/>
        <w:t xml:space="preserve">permitirá garantizar que las partes interesadas de los </w:t>
      </w:r>
      <w:r w:rsidR="00B85A28" w:rsidRPr="00993B31">
        <w:t xml:space="preserve">Sistemas </w:t>
      </w:r>
      <w:r w:rsidR="00643883" w:rsidRPr="00993B31">
        <w:t xml:space="preserve">de Madrid y </w:t>
      </w:r>
      <w:r w:rsidR="00B85A28" w:rsidRPr="00993B31">
        <w:t xml:space="preserve">de </w:t>
      </w:r>
      <w:r w:rsidR="00964916">
        <w:t>La </w:t>
      </w:r>
      <w:r w:rsidR="00643883" w:rsidRPr="00993B31">
        <w:t xml:space="preserve">Haya se beneficien en años venideros de una plataforma técnica equiparable a otras del sector.  La fase III es la fase facultativa que la Oficina Internacional </w:t>
      </w:r>
      <w:r w:rsidR="00B85A28" w:rsidRPr="00993B31">
        <w:t xml:space="preserve">podría </w:t>
      </w:r>
      <w:r w:rsidR="00643883" w:rsidRPr="00993B31">
        <w:t xml:space="preserve">emprender para </w:t>
      </w:r>
      <w:r w:rsidR="00B85A28" w:rsidRPr="00993B31">
        <w:t xml:space="preserve">estabilizar </w:t>
      </w:r>
      <w:r w:rsidR="00643883" w:rsidRPr="00993B31">
        <w:t>el nuevo sistema</w:t>
      </w:r>
      <w:r w:rsidR="00B85A28" w:rsidRPr="00993B31">
        <w:t>, una vez que haya</w:t>
      </w:r>
      <w:r w:rsidR="00643883" w:rsidRPr="00993B31">
        <w:t xml:space="preserve"> </w:t>
      </w:r>
      <w:r w:rsidR="00B85A28" w:rsidRPr="00993B31">
        <w:t>entrado</w:t>
      </w:r>
      <w:r w:rsidR="00643883" w:rsidRPr="00993B31">
        <w:t xml:space="preserve"> en funcionamiento.</w:t>
      </w:r>
    </w:p>
    <w:p w:rsidR="00D0798A" w:rsidRPr="00993B31" w:rsidRDefault="00D0798A" w:rsidP="00B2639A">
      <w:pPr>
        <w:autoSpaceDE w:val="0"/>
        <w:autoSpaceDN w:val="0"/>
        <w:adjustRightInd w:val="0"/>
      </w:pPr>
    </w:p>
    <w:p w:rsidR="00A12311" w:rsidRDefault="00773683" w:rsidP="00B2639A">
      <w:pPr>
        <w:pStyle w:val="Heading1"/>
      </w:pPr>
      <w:r w:rsidRPr="00993B31">
        <w:t>F</w:t>
      </w:r>
      <w:r w:rsidR="00034381" w:rsidRPr="00993B31">
        <w:t xml:space="preserve">ase i – </w:t>
      </w:r>
      <w:r w:rsidRPr="00993B31">
        <w:t>ESTADO DE EJECUCIÓN</w:t>
      </w:r>
    </w:p>
    <w:p w:rsidR="005B0E18" w:rsidRPr="005B0E18" w:rsidRDefault="005B0E18" w:rsidP="005B0E18"/>
    <w:p w:rsidR="00A12311" w:rsidRDefault="00E830F4" w:rsidP="00B2639A">
      <w:pPr>
        <w:rPr>
          <w:szCs w:val="22"/>
        </w:rPr>
      </w:pPr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773683" w:rsidRPr="00993B31">
        <w:t>Tras la puesta en marcha con éxito del nuevo</w:t>
      </w:r>
      <w:r w:rsidR="00001A1F" w:rsidRPr="00993B31">
        <w:t xml:space="preserve"> </w:t>
      </w:r>
      <w:r w:rsidR="00773683" w:rsidRPr="00993B31">
        <w:t>programa informático de presentación electrónica de solicitudes por Internet, en junio d</w:t>
      </w:r>
      <w:r w:rsidR="00E44B81" w:rsidRPr="00993B31">
        <w:t>e 2</w:t>
      </w:r>
      <w:r w:rsidR="00001A1F" w:rsidRPr="00993B31">
        <w:t xml:space="preserve">013, </w:t>
      </w:r>
      <w:r w:rsidR="00773683" w:rsidRPr="00993B31">
        <w:t>la fase</w:t>
      </w:r>
      <w:r w:rsidR="00001A1F" w:rsidRPr="00993B31">
        <w:t xml:space="preserve"> I </w:t>
      </w:r>
      <w:r w:rsidR="000411F0" w:rsidRPr="00993B31">
        <w:t>del</w:t>
      </w:r>
      <w:r w:rsidR="00001A1F" w:rsidRPr="00993B31">
        <w:t xml:space="preserve"> </w:t>
      </w:r>
      <w:r w:rsidR="00A12311" w:rsidRPr="00993B31">
        <w:t>Programa</w:t>
      </w:r>
      <w:r w:rsidR="00001A1F" w:rsidRPr="00993B31">
        <w:t xml:space="preserve"> </w:t>
      </w:r>
      <w:r w:rsidR="00773683" w:rsidRPr="00993B31">
        <w:t>se ha completado satisfactoriamente</w:t>
      </w:r>
      <w:r w:rsidR="00001A1F" w:rsidRPr="00993B31">
        <w:rPr>
          <w:szCs w:val="22"/>
        </w:rPr>
        <w:t xml:space="preserve">.  </w:t>
      </w:r>
      <w:r w:rsidR="00773683" w:rsidRPr="00993B31">
        <w:rPr>
          <w:szCs w:val="22"/>
        </w:rPr>
        <w:t xml:space="preserve">En </w:t>
      </w:r>
      <w:r w:rsidR="00B646C1" w:rsidRPr="00993B31">
        <w:rPr>
          <w:szCs w:val="22"/>
        </w:rPr>
        <w:t>consecuencia</w:t>
      </w:r>
      <w:r w:rsidR="00001A1F" w:rsidRPr="00993B31">
        <w:rPr>
          <w:szCs w:val="22"/>
        </w:rPr>
        <w:t xml:space="preserve">, </w:t>
      </w:r>
      <w:r w:rsidR="00773683" w:rsidRPr="00993B31">
        <w:rPr>
          <w:szCs w:val="22"/>
        </w:rPr>
        <w:t>los fondos restantes de la</w:t>
      </w:r>
      <w:r w:rsidR="000035BE" w:rsidRPr="00993B31">
        <w:rPr>
          <w:szCs w:val="22"/>
        </w:rPr>
        <w:t xml:space="preserve"> </w:t>
      </w:r>
      <w:r w:rsidR="00773683" w:rsidRPr="00993B31">
        <w:rPr>
          <w:szCs w:val="22"/>
        </w:rPr>
        <w:t>fase</w:t>
      </w:r>
      <w:r w:rsidR="000035BE" w:rsidRPr="00993B31">
        <w:rPr>
          <w:szCs w:val="22"/>
        </w:rPr>
        <w:t xml:space="preserve"> I </w:t>
      </w:r>
      <w:r w:rsidR="00773683" w:rsidRPr="00993B31">
        <w:rPr>
          <w:szCs w:val="22"/>
        </w:rPr>
        <w:t>se utilizarán en la</w:t>
      </w:r>
      <w:r w:rsidR="007544EC" w:rsidRPr="00993B31">
        <w:rPr>
          <w:szCs w:val="22"/>
        </w:rPr>
        <w:t xml:space="preserve"> </w:t>
      </w:r>
      <w:r w:rsidR="00773683" w:rsidRPr="00993B31">
        <w:rPr>
          <w:szCs w:val="22"/>
        </w:rPr>
        <w:t>fase</w:t>
      </w:r>
      <w:r w:rsidR="007544EC" w:rsidRPr="00993B31">
        <w:rPr>
          <w:szCs w:val="22"/>
        </w:rPr>
        <w:t xml:space="preserve"> II</w:t>
      </w:r>
      <w:r w:rsidR="000035BE" w:rsidRPr="00993B31">
        <w:rPr>
          <w:szCs w:val="22"/>
        </w:rPr>
        <w:t xml:space="preserve"> </w:t>
      </w:r>
      <w:r w:rsidR="00773683" w:rsidRPr="00993B31">
        <w:rPr>
          <w:szCs w:val="22"/>
        </w:rPr>
        <w:t xml:space="preserve">y, de </w:t>
      </w:r>
      <w:r w:rsidR="00B2639A" w:rsidRPr="00993B31">
        <w:rPr>
          <w:szCs w:val="22"/>
        </w:rPr>
        <w:t>ahora</w:t>
      </w:r>
      <w:r w:rsidR="00773683" w:rsidRPr="00993B31">
        <w:rPr>
          <w:szCs w:val="22"/>
        </w:rPr>
        <w:t xml:space="preserve"> en adelante, </w:t>
      </w:r>
      <w:r w:rsidR="00B85A28" w:rsidRPr="00993B31">
        <w:rPr>
          <w:szCs w:val="22"/>
        </w:rPr>
        <w:t xml:space="preserve">ya </w:t>
      </w:r>
      <w:r w:rsidR="00773683" w:rsidRPr="00993B31">
        <w:rPr>
          <w:szCs w:val="22"/>
        </w:rPr>
        <w:t xml:space="preserve">no se informará sobre la fase I del programa en </w:t>
      </w:r>
      <w:r w:rsidR="00D0798A">
        <w:rPr>
          <w:szCs w:val="22"/>
        </w:rPr>
        <w:t>los documentos de las Asambleas.</w:t>
      </w:r>
    </w:p>
    <w:p w:rsidR="00776C8F" w:rsidRPr="00993B31" w:rsidRDefault="00776C8F" w:rsidP="00B2639A"/>
    <w:p w:rsidR="00A12311" w:rsidRDefault="00773683" w:rsidP="00B2639A">
      <w:pPr>
        <w:pStyle w:val="Heading1"/>
      </w:pPr>
      <w:r w:rsidRPr="00993B31">
        <w:t>Fase</w:t>
      </w:r>
      <w:r w:rsidR="00034381" w:rsidRPr="00993B31">
        <w:t xml:space="preserve"> ii – </w:t>
      </w:r>
      <w:r w:rsidRPr="00993B31">
        <w:t>antecedentes</w:t>
      </w:r>
    </w:p>
    <w:p w:rsidR="00480009" w:rsidRPr="00480009" w:rsidRDefault="00480009" w:rsidP="00480009"/>
    <w:p w:rsidR="00A12311" w:rsidRPr="00993B31" w:rsidRDefault="00E830F4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773683" w:rsidRPr="00993B31">
        <w:t>Cabe recordar que el método aprobado a los fines de la ejecución de la fase II del</w:t>
      </w:r>
      <w:r w:rsidR="000411F0" w:rsidRPr="00993B31">
        <w:t xml:space="preserve"> </w:t>
      </w:r>
      <w:r w:rsidR="00773683" w:rsidRPr="00993B31">
        <w:t>programa consiste en proceder a una migración técnica de cada uno de los componentes del</w:t>
      </w:r>
      <w:r w:rsidR="000411F0" w:rsidRPr="00993B31">
        <w:t xml:space="preserve"> </w:t>
      </w:r>
      <w:r w:rsidR="00773683" w:rsidRPr="00993B31">
        <w:t>sistema de T.I. existente a una estructura moderna utilizando una arquitectura orientada a</w:t>
      </w:r>
      <w:r w:rsidR="000411F0" w:rsidRPr="00993B31">
        <w:t xml:space="preserve"> </w:t>
      </w:r>
      <w:r w:rsidR="00773683" w:rsidRPr="00993B31">
        <w:t>servicios mediante la selección de un socio externo cualificado en tecnologías de la</w:t>
      </w:r>
      <w:r w:rsidR="000411F0" w:rsidRPr="00993B31">
        <w:t xml:space="preserve"> </w:t>
      </w:r>
      <w:r w:rsidR="00773683" w:rsidRPr="00993B31">
        <w:t>información</w:t>
      </w:r>
      <w:r w:rsidR="00E44B81" w:rsidRPr="00993B31">
        <w:t>.  (</w:t>
      </w:r>
      <w:r w:rsidR="00034381" w:rsidRPr="00993B31">
        <w:rPr>
          <w:i/>
        </w:rPr>
        <w:t>ELCA</w:t>
      </w:r>
      <w:r w:rsidR="00F93792" w:rsidRPr="00993B31">
        <w:rPr>
          <w:i/>
        </w:rPr>
        <w:t> Informatique SA</w:t>
      </w:r>
      <w:r w:rsidR="00034381" w:rsidRPr="00993B31">
        <w:t>)</w:t>
      </w:r>
      <w:r w:rsidRPr="00993B31">
        <w:t>.</w:t>
      </w:r>
    </w:p>
    <w:p w:rsidR="00A12311" w:rsidRPr="00993B31" w:rsidRDefault="00A12311" w:rsidP="00B2639A">
      <w:pPr>
        <w:rPr>
          <w:sz w:val="18"/>
          <w:szCs w:val="18"/>
        </w:rPr>
      </w:pPr>
    </w:p>
    <w:p w:rsidR="00811589" w:rsidRDefault="00E830F4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773683" w:rsidRPr="00993B31">
        <w:t xml:space="preserve">El objetivo de la migración técnica es la conversión de la aplicación, la base de datos y el </w:t>
      </w:r>
      <w:r w:rsidR="00C17DE8" w:rsidRPr="00993B31">
        <w:t xml:space="preserve">sistema específico de </w:t>
      </w:r>
      <w:r w:rsidR="00773683" w:rsidRPr="00993B31">
        <w:t>flujo de trabajo interno</w:t>
      </w:r>
      <w:r w:rsidR="00B85A28" w:rsidRPr="00993B31">
        <w:t xml:space="preserve"> existentes</w:t>
      </w:r>
      <w:r w:rsidR="00773683" w:rsidRPr="00993B31">
        <w:t>, pasando del lenguaje de programación Natural y el sistema de gestión de bases de datos Adabas al lenguaje de programación Java y el sistema de gestión de bases de datos Oracle, lo que comprende la introducción de una herramienta moderna de gestión de actividades (</w:t>
      </w:r>
      <w:r w:rsidR="00773683" w:rsidRPr="00993B31">
        <w:rPr>
          <w:i/>
        </w:rPr>
        <w:t>Business Process Management</w:t>
      </w:r>
      <w:r w:rsidR="00773683" w:rsidRPr="00993B31">
        <w:t>, BPM)</w:t>
      </w:r>
      <w:r w:rsidR="00E44B81" w:rsidRPr="00993B31">
        <w:t>.  C</w:t>
      </w:r>
      <w:r w:rsidR="00773683" w:rsidRPr="00993B31">
        <w:t>on esa migración se evitará el riesgo de que la infraestructura actual quede obsoleta</w:t>
      </w:r>
      <w:r w:rsidR="00811589" w:rsidRPr="00993B31">
        <w:t>.</w:t>
      </w:r>
    </w:p>
    <w:p w:rsidR="00776C8F" w:rsidRPr="00993B31" w:rsidRDefault="00776C8F" w:rsidP="00B2639A"/>
    <w:p w:rsidR="00A12311" w:rsidRDefault="00773683" w:rsidP="00B2639A">
      <w:pPr>
        <w:pStyle w:val="Heading1"/>
      </w:pPr>
      <w:r w:rsidRPr="00993B31">
        <w:t>fase</w:t>
      </w:r>
      <w:r w:rsidR="008B36D8" w:rsidRPr="00993B31">
        <w:t xml:space="preserve"> ii –</w:t>
      </w:r>
      <w:r w:rsidR="00C17DE8" w:rsidRPr="00993B31">
        <w:t xml:space="preserve"> </w:t>
      </w:r>
      <w:r w:rsidR="00E830F4" w:rsidRPr="00993B31">
        <w:t>RESULT</w:t>
      </w:r>
      <w:r w:rsidR="00C17DE8" w:rsidRPr="00993B31">
        <w:t>ado</w:t>
      </w:r>
      <w:r w:rsidR="00E830F4" w:rsidRPr="00993B31">
        <w:t xml:space="preserve">S </w:t>
      </w:r>
      <w:r w:rsidR="00C17DE8" w:rsidRPr="00993B31">
        <w:t>obtenidos</w:t>
      </w:r>
    </w:p>
    <w:p w:rsidR="00480009" w:rsidRPr="00480009" w:rsidRDefault="00480009" w:rsidP="00480009"/>
    <w:p w:rsidR="00A12311" w:rsidRPr="00993B31" w:rsidRDefault="00E830F4" w:rsidP="00B2639A">
      <w:pPr>
        <w:autoSpaceDE w:val="0"/>
        <w:autoSpaceDN w:val="0"/>
        <w:adjustRightInd w:val="0"/>
      </w:pPr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C17DE8" w:rsidRPr="00993B31">
        <w:t>Tras haber finalizado satisfactoriamente las etapa</w:t>
      </w:r>
      <w:r w:rsidR="00E44B81" w:rsidRPr="00993B31">
        <w:t>s 1</w:t>
      </w:r>
      <w:r w:rsidR="002B479A" w:rsidRPr="00993B31">
        <w:t xml:space="preserve"> </w:t>
      </w:r>
      <w:r w:rsidR="00E44B81" w:rsidRPr="00993B31">
        <w:t>y 2</w:t>
      </w:r>
      <w:r w:rsidR="002B479A" w:rsidRPr="00993B31">
        <w:t xml:space="preserve"> </w:t>
      </w:r>
      <w:r w:rsidR="00C17DE8" w:rsidRPr="00993B31">
        <w:t xml:space="preserve">del proyecto </w:t>
      </w:r>
      <w:r w:rsidR="002B479A" w:rsidRPr="00993B31">
        <w:t>(</w:t>
      </w:r>
      <w:r w:rsidR="00C17DE8" w:rsidRPr="00993B31">
        <w:t>análisis y diseño</w:t>
      </w:r>
      <w:r w:rsidR="002B479A" w:rsidRPr="00993B31">
        <w:t xml:space="preserve">) </w:t>
      </w:r>
      <w:r w:rsidR="00C17DE8" w:rsidRPr="00993B31">
        <w:t xml:space="preserve">el </w:t>
      </w:r>
      <w:r w:rsidR="00C17DE8" w:rsidRPr="00993B31">
        <w:rPr>
          <w:rFonts w:eastAsia="MS Mincho"/>
          <w:sz w:val="21"/>
          <w:szCs w:val="21"/>
          <w:lang w:eastAsia="en-US"/>
        </w:rPr>
        <w:t>socio externo de T.I. seleccionado</w:t>
      </w:r>
      <w:r w:rsidR="00C17DE8" w:rsidRPr="00993B31">
        <w:t xml:space="preserve"> dio inicio</w:t>
      </w:r>
      <w:r w:rsidR="00B85A28" w:rsidRPr="00993B31">
        <w:t xml:space="preserve"> a fines d</w:t>
      </w:r>
      <w:r w:rsidR="00E44B81" w:rsidRPr="00993B31">
        <w:t>e 2</w:t>
      </w:r>
      <w:r w:rsidR="00B85A28" w:rsidRPr="00993B31">
        <w:t>013</w:t>
      </w:r>
      <w:r w:rsidR="00C17DE8" w:rsidRPr="00993B31">
        <w:t xml:space="preserve">, según los planes, a la conversión técnica del sistema existente, denominado </w:t>
      </w:r>
      <w:r w:rsidR="00466D1D" w:rsidRPr="00993B31">
        <w:t>DMAPS.</w:t>
      </w:r>
    </w:p>
    <w:p w:rsidR="00A12311" w:rsidRPr="00993B31" w:rsidRDefault="00A12311" w:rsidP="00B2639A"/>
    <w:p w:rsidR="00A12311" w:rsidRPr="00993B31" w:rsidRDefault="0025665D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C17DE8" w:rsidRPr="00993B31">
        <w:t>Antes de finales d</w:t>
      </w:r>
      <w:r w:rsidR="00E44B81" w:rsidRPr="00993B31">
        <w:t>e 2</w:t>
      </w:r>
      <w:r w:rsidR="00970D6F" w:rsidRPr="00993B31">
        <w:t>013</w:t>
      </w:r>
      <w:r w:rsidR="00466D1D" w:rsidRPr="00993B31">
        <w:t xml:space="preserve">, </w:t>
      </w:r>
      <w:r w:rsidR="00C17DE8" w:rsidRPr="00993B31">
        <w:t>resultó evidente</w:t>
      </w:r>
      <w:r w:rsidR="00466D1D" w:rsidRPr="00993B31">
        <w:t xml:space="preserve"> </w:t>
      </w:r>
      <w:r w:rsidR="00C17DE8" w:rsidRPr="00993B31">
        <w:t>que</w:t>
      </w:r>
      <w:r w:rsidR="00B2639A" w:rsidRPr="00993B31">
        <w:t xml:space="preserve"> al aproximarse la</w:t>
      </w:r>
      <w:r w:rsidR="00C17DE8" w:rsidRPr="00993B31">
        <w:t xml:space="preserve"> adhesión de nuevos Estados miembros</w:t>
      </w:r>
      <w:r w:rsidR="00E53D6E" w:rsidRPr="00993B31">
        <w:t xml:space="preserve"> </w:t>
      </w:r>
      <w:r w:rsidR="007A58AF" w:rsidRPr="00993B31">
        <w:t>(</w:t>
      </w:r>
      <w:r w:rsidR="00A12311" w:rsidRPr="00993B31">
        <w:t>China</w:t>
      </w:r>
      <w:r w:rsidR="00970D6F" w:rsidRPr="00993B31">
        <w:t xml:space="preserve">, </w:t>
      </w:r>
      <w:r w:rsidR="00B85A28" w:rsidRPr="00993B31">
        <w:t xml:space="preserve">los Estados Unidos de América, </w:t>
      </w:r>
      <w:r w:rsidR="00C17DE8" w:rsidRPr="00993B31">
        <w:t xml:space="preserve">el </w:t>
      </w:r>
      <w:r w:rsidR="00A12311" w:rsidRPr="00993B31">
        <w:t>Japón</w:t>
      </w:r>
      <w:r w:rsidR="00B85A28" w:rsidRPr="00993B31">
        <w:t xml:space="preserve"> y</w:t>
      </w:r>
      <w:r w:rsidR="00970D6F" w:rsidRPr="00993B31">
        <w:t xml:space="preserve"> </w:t>
      </w:r>
      <w:r w:rsidR="00C17DE8" w:rsidRPr="00993B31">
        <w:t xml:space="preserve">la </w:t>
      </w:r>
      <w:r w:rsidR="00A12311" w:rsidRPr="00993B31">
        <w:t>República de Corea</w:t>
      </w:r>
      <w:r w:rsidR="007A58AF" w:rsidRPr="00993B31">
        <w:t>)</w:t>
      </w:r>
      <w:r w:rsidR="005E0C36" w:rsidRPr="00993B31">
        <w:t xml:space="preserve"> </w:t>
      </w:r>
      <w:r w:rsidR="00C17DE8" w:rsidRPr="00993B31">
        <w:t>al</w:t>
      </w:r>
      <w:r w:rsidR="005E0C36" w:rsidRPr="00993B31">
        <w:t xml:space="preserve"> </w:t>
      </w:r>
      <w:r w:rsidR="00A12311" w:rsidRPr="00993B31">
        <w:t>Arreglo de La Haya relativo al registro internacional de dibujos y modelos industriales</w:t>
      </w:r>
      <w:r w:rsidR="00255062" w:rsidRPr="00993B31">
        <w:t xml:space="preserve">, </w:t>
      </w:r>
      <w:r w:rsidR="00B2639A" w:rsidRPr="00993B31">
        <w:t xml:space="preserve">sería necesario </w:t>
      </w:r>
      <w:r w:rsidR="00C17DE8" w:rsidRPr="00993B31">
        <w:t>introducir modificaciones</w:t>
      </w:r>
      <w:r w:rsidR="00970D6F" w:rsidRPr="00993B31">
        <w:t xml:space="preserve"> </w:t>
      </w:r>
      <w:r w:rsidR="00C17DE8" w:rsidRPr="00993B31">
        <w:t>en los procedimientos del</w:t>
      </w:r>
      <w:r w:rsidR="00255062" w:rsidRPr="00993B31">
        <w:t xml:space="preserve"> </w:t>
      </w:r>
      <w:r w:rsidR="00A12311" w:rsidRPr="00993B31">
        <w:t>Sistema de La Haya</w:t>
      </w:r>
      <w:r w:rsidR="00255062" w:rsidRPr="00993B31">
        <w:t xml:space="preserve"> </w:t>
      </w:r>
      <w:r w:rsidR="00C17DE8" w:rsidRPr="00993B31">
        <w:t>y, por ello, en el sistema</w:t>
      </w:r>
      <w:r w:rsidR="00255062" w:rsidRPr="00993B31">
        <w:t xml:space="preserve"> DMAPS</w:t>
      </w:r>
      <w:r w:rsidR="00C17DE8" w:rsidRPr="00993B31">
        <w:t xml:space="preserve"> existente</w:t>
      </w:r>
      <w:r w:rsidR="008C5B56" w:rsidRPr="00993B31">
        <w:t>.</w:t>
      </w:r>
    </w:p>
    <w:p w:rsidR="00A12311" w:rsidRPr="00993B31" w:rsidRDefault="00A12311" w:rsidP="00B2639A"/>
    <w:p w:rsidR="00A12311" w:rsidRPr="00993B31" w:rsidRDefault="00255062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C17DE8" w:rsidRPr="00993B31">
        <w:t>Por lo tanto</w:t>
      </w:r>
      <w:r w:rsidR="00970D6F" w:rsidRPr="00993B31">
        <w:t xml:space="preserve">, </w:t>
      </w:r>
      <w:r w:rsidR="00C17DE8" w:rsidRPr="00993B31">
        <w:t>para minimizar</w:t>
      </w:r>
      <w:r w:rsidR="008C5B56" w:rsidRPr="00993B31">
        <w:t xml:space="preserve"> </w:t>
      </w:r>
      <w:r w:rsidR="00C17DE8" w:rsidRPr="00993B31">
        <w:t>el</w:t>
      </w:r>
      <w:r w:rsidRPr="00993B31">
        <w:t xml:space="preserve"> </w:t>
      </w:r>
      <w:r w:rsidR="00114F19" w:rsidRPr="00993B31">
        <w:t xml:space="preserve">riesgo operativo </w:t>
      </w:r>
      <w:r w:rsidR="009454AD" w:rsidRPr="00993B31">
        <w:t>que supondría desarrollar externamente esas nuevas funciones</w:t>
      </w:r>
      <w:r w:rsidRPr="00993B31">
        <w:t xml:space="preserve">, </w:t>
      </w:r>
      <w:r w:rsidR="009454AD" w:rsidRPr="00993B31">
        <w:t>se decidió que ese importante requisito funciona</w:t>
      </w:r>
      <w:r w:rsidR="00D04177" w:rsidRPr="00993B31">
        <w:t>l</w:t>
      </w:r>
      <w:r w:rsidR="009454AD" w:rsidRPr="00993B31">
        <w:t xml:space="preserve"> se abordaría con recursos internos</w:t>
      </w:r>
      <w:r w:rsidRPr="00993B31">
        <w:t xml:space="preserve">, </w:t>
      </w:r>
      <w:r w:rsidR="00D04177" w:rsidRPr="00993B31">
        <w:t xml:space="preserve">y directamente en el marco del sistema existente, DMAPS;  se decidió asimismo que la conversión técnica </w:t>
      </w:r>
      <w:r w:rsidR="00B85A28" w:rsidRPr="00993B31">
        <w:t xml:space="preserve">se reanudaría </w:t>
      </w:r>
      <w:r w:rsidR="00D04177" w:rsidRPr="00993B31">
        <w:t>en una etapa ulterior</w:t>
      </w:r>
      <w:r w:rsidRPr="00993B31">
        <w:t>.</w:t>
      </w:r>
    </w:p>
    <w:p w:rsidR="00A12311" w:rsidRPr="00993B31" w:rsidRDefault="00A12311" w:rsidP="00B2639A"/>
    <w:p w:rsidR="00A12311" w:rsidRPr="00993B31" w:rsidRDefault="00255062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D04177" w:rsidRPr="00993B31">
        <w:t>Se dio prontamente indicación al socio externo encargado de la ejecución para qu</w:t>
      </w:r>
      <w:r w:rsidR="00E44B81" w:rsidRPr="00993B31">
        <w:t>e</w:t>
      </w:r>
      <w:r w:rsidR="005B0E18">
        <w:t xml:space="preserve"> </w:t>
      </w:r>
      <w:r w:rsidR="00E44B81" w:rsidRPr="00993B31">
        <w:t>1</w:t>
      </w:r>
      <w:r w:rsidR="005C6730" w:rsidRPr="00993B31">
        <w:t>)</w:t>
      </w:r>
      <w:r w:rsidR="005B0E18">
        <w:t> </w:t>
      </w:r>
      <w:r w:rsidR="00970D6F" w:rsidRPr="00993B31">
        <w:t>s</w:t>
      </w:r>
      <w:r w:rsidR="00ED2526" w:rsidRPr="00993B31">
        <w:t>uspend</w:t>
      </w:r>
      <w:r w:rsidR="00D04177" w:rsidRPr="00993B31">
        <w:t xml:space="preserve">iese las actividades relacionadas con la </w:t>
      </w:r>
      <w:r w:rsidR="001D1A58" w:rsidRPr="00993B31">
        <w:t>conversión</w:t>
      </w:r>
      <w:r w:rsidR="00ED2526" w:rsidRPr="00993B31">
        <w:t xml:space="preserve"> </w:t>
      </w:r>
      <w:r w:rsidR="001D1A58" w:rsidRPr="00993B31">
        <w:t>técnica</w:t>
      </w:r>
      <w:r w:rsidR="00D04177" w:rsidRPr="00993B31">
        <w:t xml:space="preserve"> de</w:t>
      </w:r>
      <w:r w:rsidR="00ED2526" w:rsidRPr="00993B31">
        <w:t xml:space="preserve"> DMAPS, </w:t>
      </w:r>
      <w:r w:rsidR="00D04177" w:rsidRPr="00993B31">
        <w:t xml:space="preserve">si bien una </w:t>
      </w:r>
      <w:r w:rsidR="001D1A58" w:rsidRPr="00993B31">
        <w:t>conversión</w:t>
      </w:r>
      <w:r w:rsidR="00D04177" w:rsidRPr="00993B31">
        <w:t xml:space="preserve"> </w:t>
      </w:r>
      <w:r w:rsidR="005E0C36" w:rsidRPr="00993B31">
        <w:t>p</w:t>
      </w:r>
      <w:r w:rsidR="00D04177" w:rsidRPr="00993B31">
        <w:t>reliminar</w:t>
      </w:r>
      <w:r w:rsidR="008C5B56" w:rsidRPr="00993B31">
        <w:t xml:space="preserve"> </w:t>
      </w:r>
      <w:r w:rsidR="00D04177" w:rsidRPr="00993B31">
        <w:t xml:space="preserve">de </w:t>
      </w:r>
      <w:r w:rsidR="008C5B56" w:rsidRPr="00993B31">
        <w:t>DMAPS</w:t>
      </w:r>
      <w:r w:rsidR="005E0C36" w:rsidRPr="00993B31">
        <w:t xml:space="preserve"> </w:t>
      </w:r>
      <w:r w:rsidR="00B85A28" w:rsidRPr="00993B31">
        <w:t>al nuevo sistema, denominado recientemente</w:t>
      </w:r>
      <w:r w:rsidR="003B2F80" w:rsidRPr="00993B31">
        <w:t xml:space="preserve"> Sistema de Información </w:t>
      </w:r>
      <w:r w:rsidR="00B85A28" w:rsidRPr="00993B31">
        <w:t>de los</w:t>
      </w:r>
      <w:r w:rsidR="003B2F80" w:rsidRPr="00993B31">
        <w:t xml:space="preserve"> Registros Internacionales </w:t>
      </w:r>
      <w:r w:rsidR="00B85A28" w:rsidRPr="00993B31">
        <w:t>–</w:t>
      </w:r>
      <w:r w:rsidR="003B2F80" w:rsidRPr="00993B31">
        <w:t xml:space="preserve"> Dibujos y Modelos</w:t>
      </w:r>
      <w:r w:rsidR="001D1A58" w:rsidRPr="00993B31">
        <w:t xml:space="preserve"> (DIRIS</w:t>
      </w:r>
      <w:r w:rsidR="00B85A28" w:rsidRPr="00993B31">
        <w:t>, por sus iniciales en inglés</w:t>
      </w:r>
      <w:r w:rsidR="001D1A58" w:rsidRPr="00993B31">
        <w:t xml:space="preserve">), </w:t>
      </w:r>
      <w:r w:rsidR="007E7E4C" w:rsidRPr="00993B31">
        <w:t>ha</w:t>
      </w:r>
      <w:r w:rsidR="001D1A58" w:rsidRPr="00993B31">
        <w:t>bía sido presentada a la</w:t>
      </w:r>
      <w:r w:rsidR="005E0C36" w:rsidRPr="00993B31">
        <w:t xml:space="preserve"> </w:t>
      </w:r>
      <w:r w:rsidR="00A12311" w:rsidRPr="00993B31">
        <w:t>Oficina Internacional</w:t>
      </w:r>
      <w:r w:rsidR="001D1A58" w:rsidRPr="00993B31">
        <w:t xml:space="preserve">, </w:t>
      </w:r>
      <w:r w:rsidR="00E44B81" w:rsidRPr="00993B31">
        <w:t>y 2</w:t>
      </w:r>
      <w:r w:rsidR="005C6730" w:rsidRPr="00993B31">
        <w:t xml:space="preserve">) </w:t>
      </w:r>
      <w:r w:rsidR="00B646C1" w:rsidRPr="00993B31">
        <w:t>pusiera</w:t>
      </w:r>
      <w:r w:rsidR="001D1A58" w:rsidRPr="00993B31">
        <w:t xml:space="preserve"> en espera el componente</w:t>
      </w:r>
      <w:r w:rsidR="008C5B56" w:rsidRPr="00993B31">
        <w:t xml:space="preserve"> DIRIS </w:t>
      </w:r>
      <w:r w:rsidR="001D1A58" w:rsidRPr="00993B31">
        <w:t xml:space="preserve">del </w:t>
      </w:r>
      <w:r w:rsidR="00B646C1" w:rsidRPr="00993B31">
        <w:t>programa de modernización de las T.I</w:t>
      </w:r>
      <w:r w:rsidR="00E44B81" w:rsidRPr="00993B31">
        <w:t>. (</w:t>
      </w:r>
      <w:r w:rsidR="00B646C1" w:rsidRPr="00993B31">
        <w:t>la verdadera y propia</w:t>
      </w:r>
      <w:r w:rsidR="008C5B56" w:rsidRPr="00993B31">
        <w:t xml:space="preserve"> </w:t>
      </w:r>
      <w:r w:rsidR="000411F0" w:rsidRPr="00993B31">
        <w:t>conversión</w:t>
      </w:r>
      <w:r w:rsidR="008C5B56" w:rsidRPr="00993B31">
        <w:t xml:space="preserve"> </w:t>
      </w:r>
      <w:r w:rsidR="00B646C1" w:rsidRPr="00993B31">
        <w:t xml:space="preserve">del sistema </w:t>
      </w:r>
      <w:r w:rsidR="008C5B56" w:rsidRPr="00993B31">
        <w:lastRenderedPageBreak/>
        <w:t xml:space="preserve">DMAPS </w:t>
      </w:r>
      <w:r w:rsidR="00B646C1" w:rsidRPr="00993B31">
        <w:t xml:space="preserve">en la nueva plataforma de </w:t>
      </w:r>
      <w:r w:rsidR="00B646C1" w:rsidRPr="00993B31">
        <w:rPr>
          <w:i/>
        </w:rPr>
        <w:t>software</w:t>
      </w:r>
      <w:r w:rsidR="00E53D6E" w:rsidRPr="00993B31">
        <w:t>)</w:t>
      </w:r>
      <w:r w:rsidR="008C5B56" w:rsidRPr="00993B31">
        <w:t xml:space="preserve"> </w:t>
      </w:r>
      <w:r w:rsidR="00B646C1" w:rsidRPr="00993B31">
        <w:t xml:space="preserve">hasta tanto se hubiesen estabilizado completamente las modificaciones que es necesario introducir en el sistema </w:t>
      </w:r>
      <w:r w:rsidR="00E53D6E" w:rsidRPr="00993B31">
        <w:t xml:space="preserve">DMAPS </w:t>
      </w:r>
      <w:r w:rsidR="00B646C1" w:rsidRPr="00993B31">
        <w:t>existente</w:t>
      </w:r>
      <w:r w:rsidR="00E53D6E" w:rsidRPr="00993B31">
        <w:t xml:space="preserve">.  </w:t>
      </w:r>
      <w:r w:rsidR="00B646C1" w:rsidRPr="00993B31">
        <w:t>En ese momento</w:t>
      </w:r>
      <w:r w:rsidR="00C0664D" w:rsidRPr="00993B31">
        <w:t>,</w:t>
      </w:r>
      <w:r w:rsidR="00ED2526" w:rsidRPr="00993B31">
        <w:t xml:space="preserve"> </w:t>
      </w:r>
      <w:r w:rsidR="00B646C1" w:rsidRPr="00993B31">
        <w:t xml:space="preserve">un socio externo encargado de la ejecución podría </w:t>
      </w:r>
      <w:r w:rsidR="00B85A28" w:rsidRPr="00993B31">
        <w:t>reanu</w:t>
      </w:r>
      <w:r w:rsidR="00B646C1" w:rsidRPr="00993B31">
        <w:t xml:space="preserve">dar </w:t>
      </w:r>
      <w:r w:rsidR="00B85A28" w:rsidRPr="00993B31">
        <w:t>prontamente</w:t>
      </w:r>
      <w:r w:rsidR="00B646C1" w:rsidRPr="00993B31">
        <w:t xml:space="preserve"> la</w:t>
      </w:r>
      <w:r w:rsidR="00E53D6E" w:rsidRPr="00993B31">
        <w:t xml:space="preserve"> </w:t>
      </w:r>
      <w:r w:rsidR="00B646C1" w:rsidRPr="00993B31">
        <w:t>conversión</w:t>
      </w:r>
      <w:r w:rsidR="00E53D6E" w:rsidRPr="00993B31">
        <w:t xml:space="preserve"> </w:t>
      </w:r>
      <w:r w:rsidR="00B646C1" w:rsidRPr="00993B31">
        <w:t>técnica del sistema</w:t>
      </w:r>
      <w:r w:rsidR="0025665D" w:rsidRPr="00993B31">
        <w:t xml:space="preserve"> DMAPS</w:t>
      </w:r>
      <w:r w:rsidR="00E53D6E" w:rsidRPr="00993B31">
        <w:t>.</w:t>
      </w:r>
    </w:p>
    <w:p w:rsidR="00A12311" w:rsidRPr="00993B31" w:rsidRDefault="00A12311" w:rsidP="00B2639A"/>
    <w:p w:rsidR="00A12311" w:rsidRDefault="000A0941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D41364" w:rsidRPr="00993B31">
        <w:t>Si bien</w:t>
      </w:r>
      <w:r w:rsidR="007A58AF" w:rsidRPr="00993B31">
        <w:t xml:space="preserve"> </w:t>
      </w:r>
      <w:r w:rsidR="007E7E4C" w:rsidRPr="00993B31">
        <w:t xml:space="preserve">DIRIS </w:t>
      </w:r>
      <w:r w:rsidR="00671511" w:rsidRPr="00993B31">
        <w:t>queda en espera</w:t>
      </w:r>
      <w:r w:rsidRPr="00993B31">
        <w:t xml:space="preserve">, </w:t>
      </w:r>
      <w:r w:rsidR="00671511" w:rsidRPr="00993B31">
        <w:t xml:space="preserve">está en curso la puesta en funcionamiento de la aplicación informática </w:t>
      </w:r>
      <w:r w:rsidR="00B85A28" w:rsidRPr="00993B31">
        <w:t xml:space="preserve">equivalente </w:t>
      </w:r>
      <w:r w:rsidR="007A58AF" w:rsidRPr="00993B31">
        <w:t>MIRIS (</w:t>
      </w:r>
      <w:r w:rsidR="00B85A28" w:rsidRPr="00993B31">
        <w:t xml:space="preserve">Sistema de Información de los Registros Internacionales – </w:t>
      </w:r>
      <w:r w:rsidR="007A58AF" w:rsidRPr="00993B31">
        <w:t>Madrid)</w:t>
      </w:r>
      <w:r w:rsidRPr="00993B31">
        <w:t>.</w:t>
      </w:r>
      <w:r w:rsidR="00D23F17" w:rsidRPr="00993B31">
        <w:t xml:space="preserve"> </w:t>
      </w:r>
      <w:r w:rsidRPr="00993B31">
        <w:t xml:space="preserve"> </w:t>
      </w:r>
      <w:r w:rsidR="00671511" w:rsidRPr="00993B31">
        <w:t>Por lo tanto</w:t>
      </w:r>
      <w:r w:rsidRPr="00993B31">
        <w:t xml:space="preserve">, </w:t>
      </w:r>
      <w:r w:rsidR="00671511" w:rsidRPr="00993B31">
        <w:t>cuando se reanude la conversión de</w:t>
      </w:r>
      <w:r w:rsidR="007A58AF" w:rsidRPr="00993B31">
        <w:t xml:space="preserve"> </w:t>
      </w:r>
      <w:r w:rsidR="00ED2526" w:rsidRPr="00993B31">
        <w:t xml:space="preserve">DMAPS </w:t>
      </w:r>
      <w:r w:rsidR="00671511" w:rsidRPr="00993B31">
        <w:t xml:space="preserve">se </w:t>
      </w:r>
      <w:r w:rsidR="000411F0" w:rsidRPr="00993B31">
        <w:t>aprovechará</w:t>
      </w:r>
      <w:r w:rsidR="00671511" w:rsidRPr="00993B31">
        <w:t xml:space="preserve"> la experiencia adquirida </w:t>
      </w:r>
      <w:r w:rsidR="00B2639A" w:rsidRPr="00993B31">
        <w:t>en</w:t>
      </w:r>
      <w:r w:rsidR="00671511" w:rsidRPr="00993B31">
        <w:t xml:space="preserve"> la puesta en </w:t>
      </w:r>
      <w:r w:rsidR="00B2639A" w:rsidRPr="00993B31">
        <w:t xml:space="preserve">pleno </w:t>
      </w:r>
      <w:r w:rsidR="00671511" w:rsidRPr="00993B31">
        <w:t>funcionamiento de</w:t>
      </w:r>
      <w:r w:rsidR="007A58AF" w:rsidRPr="00993B31">
        <w:t xml:space="preserve"> MIRIS</w:t>
      </w:r>
      <w:r w:rsidRPr="00993B31">
        <w:t>.</w:t>
      </w:r>
    </w:p>
    <w:p w:rsidR="00776C8F" w:rsidRPr="00993B31" w:rsidRDefault="00776C8F" w:rsidP="00B2639A"/>
    <w:p w:rsidR="00A12311" w:rsidRDefault="00773683" w:rsidP="00B2639A">
      <w:pPr>
        <w:pStyle w:val="Heading1"/>
      </w:pPr>
      <w:r w:rsidRPr="00993B31">
        <w:t>FASE</w:t>
      </w:r>
      <w:r w:rsidR="00D23F17" w:rsidRPr="00993B31">
        <w:t xml:space="preserve"> II – </w:t>
      </w:r>
      <w:r w:rsidR="00671511" w:rsidRPr="00993B31">
        <w:t>PLAN DE ALTO NIVEL PARA EL PROYECTO</w:t>
      </w:r>
    </w:p>
    <w:p w:rsidR="00480009" w:rsidRPr="00480009" w:rsidRDefault="00480009" w:rsidP="00480009"/>
    <w:p w:rsidR="00A12311" w:rsidRPr="00993B31" w:rsidRDefault="00E830F4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671511" w:rsidRPr="00993B31">
        <w:t xml:space="preserve">Los desafíos que se plantearon </w:t>
      </w:r>
      <w:r w:rsidR="00B2639A" w:rsidRPr="00993B31">
        <w:t>en</w:t>
      </w:r>
      <w:r w:rsidR="00671511" w:rsidRPr="00993B31">
        <w:t xml:space="preserve"> el </w:t>
      </w:r>
      <w:r w:rsidR="00B2639A" w:rsidRPr="00993B31">
        <w:t xml:space="preserve">marco del </w:t>
      </w:r>
      <w:r w:rsidR="00671511" w:rsidRPr="00993B31">
        <w:t>Registro de La Haya cuando comenzó el programa de modernización de las T.I. e</w:t>
      </w:r>
      <w:r w:rsidR="00E44B81" w:rsidRPr="00993B31">
        <w:t>n 2</w:t>
      </w:r>
      <w:r w:rsidR="00C44565" w:rsidRPr="00993B31">
        <w:t xml:space="preserve">008 </w:t>
      </w:r>
      <w:r w:rsidR="00671511" w:rsidRPr="00993B31">
        <w:t>son fundamentalmente distintos de los que se plantean hoy en día</w:t>
      </w:r>
      <w:r w:rsidR="00C44565" w:rsidRPr="00993B31">
        <w:t xml:space="preserve">. </w:t>
      </w:r>
      <w:r w:rsidR="00D23F17" w:rsidRPr="00993B31">
        <w:t xml:space="preserve"> </w:t>
      </w:r>
      <w:r w:rsidR="00671511" w:rsidRPr="00993B31">
        <w:t>A la luz de la naturaleza particularmente dinámica y fluida</w:t>
      </w:r>
      <w:r w:rsidR="00C44565" w:rsidRPr="00993B31">
        <w:t xml:space="preserve"> </w:t>
      </w:r>
      <w:r w:rsidR="00671511" w:rsidRPr="00993B31">
        <w:t xml:space="preserve">de los procedimientos de registro </w:t>
      </w:r>
      <w:r w:rsidR="000411F0" w:rsidRPr="00993B31">
        <w:t>internacional</w:t>
      </w:r>
      <w:r w:rsidR="00B2639A" w:rsidRPr="00993B31">
        <w:t xml:space="preserve"> del Sistema de La Haya</w:t>
      </w:r>
      <w:r w:rsidR="00C44565" w:rsidRPr="00993B31">
        <w:t xml:space="preserve">, </w:t>
      </w:r>
      <w:r w:rsidR="00671511" w:rsidRPr="00993B31">
        <w:t xml:space="preserve">es sumamente </w:t>
      </w:r>
      <w:r w:rsidR="000411F0" w:rsidRPr="00993B31">
        <w:t>importante</w:t>
      </w:r>
      <w:r w:rsidR="00C44565" w:rsidRPr="00993B31">
        <w:t xml:space="preserve"> </w:t>
      </w:r>
      <w:r w:rsidR="00671511" w:rsidRPr="00993B31">
        <w:t>que el sistema</w:t>
      </w:r>
      <w:r w:rsidR="00C44565" w:rsidRPr="00993B31">
        <w:t xml:space="preserve"> DIRIS </w:t>
      </w:r>
      <w:r w:rsidR="00671511" w:rsidRPr="00993B31">
        <w:t xml:space="preserve">pueda hacer frente </w:t>
      </w:r>
      <w:r w:rsidR="00B2639A" w:rsidRPr="00993B31">
        <w:t xml:space="preserve">tanto </w:t>
      </w:r>
      <w:r w:rsidR="00671511" w:rsidRPr="00993B31">
        <w:t xml:space="preserve">a los desafíos </w:t>
      </w:r>
      <w:r w:rsidR="000411F0" w:rsidRPr="00993B31">
        <w:t>originales</w:t>
      </w:r>
      <w:r w:rsidR="00671511" w:rsidRPr="00993B31">
        <w:t xml:space="preserve"> como a los nuevos</w:t>
      </w:r>
      <w:r w:rsidR="00C44565" w:rsidRPr="00993B31">
        <w:t xml:space="preserve">. </w:t>
      </w:r>
      <w:r w:rsidR="00D23F17" w:rsidRPr="00993B31">
        <w:t xml:space="preserve"> </w:t>
      </w:r>
      <w:r w:rsidR="00671511" w:rsidRPr="00993B31">
        <w:t>Para mitigar todo riesgo conexo</w:t>
      </w:r>
      <w:r w:rsidR="00C44565" w:rsidRPr="00993B31">
        <w:t>,</w:t>
      </w:r>
      <w:r w:rsidR="00671511" w:rsidRPr="00993B31">
        <w:t xml:space="preserve"> se inició a finales del segundo </w:t>
      </w:r>
      <w:r w:rsidR="000411F0" w:rsidRPr="00993B31">
        <w:t>trimestre</w:t>
      </w:r>
      <w:r w:rsidR="00671511" w:rsidRPr="00993B31">
        <w:t xml:space="preserve"> d</w:t>
      </w:r>
      <w:r w:rsidR="00E44B81" w:rsidRPr="00993B31">
        <w:t>e 2</w:t>
      </w:r>
      <w:r w:rsidR="00671511" w:rsidRPr="00993B31">
        <w:t xml:space="preserve">014 una </w:t>
      </w:r>
      <w:r w:rsidR="000411F0" w:rsidRPr="00993B31">
        <w:t>revisión</w:t>
      </w:r>
      <w:r w:rsidR="00671511" w:rsidRPr="00993B31">
        <w:t xml:space="preserve"> externa del programa de modernización de las T.I.</w:t>
      </w:r>
      <w:r w:rsidR="00C44565" w:rsidRPr="00993B31">
        <w:t xml:space="preserve">, </w:t>
      </w:r>
      <w:r w:rsidR="00671511" w:rsidRPr="00993B31">
        <w:t>observando al mismo tiempo que</w:t>
      </w:r>
      <w:r w:rsidR="00C44565" w:rsidRPr="00993B31">
        <w:t xml:space="preserve">, </w:t>
      </w:r>
      <w:r w:rsidR="00671511" w:rsidRPr="00993B31">
        <w:t xml:space="preserve">tras la realización de una auditoría </w:t>
      </w:r>
      <w:r w:rsidR="000411F0" w:rsidRPr="00993B31">
        <w:t>interna</w:t>
      </w:r>
      <w:r w:rsidR="00C44565" w:rsidRPr="00993B31">
        <w:t xml:space="preserve"> </w:t>
      </w:r>
      <w:r w:rsidR="00775D52" w:rsidRPr="00993B31">
        <w:t>del proceso de generación de ingresos del Sector de Marcas y Diseños</w:t>
      </w:r>
      <w:r w:rsidR="00C44565" w:rsidRPr="00993B31">
        <w:t xml:space="preserve">, </w:t>
      </w:r>
      <w:r w:rsidR="00775D52" w:rsidRPr="00993B31">
        <w:t xml:space="preserve">se recomendó la realización de una revisión posterior a la ejecución de la fase II </w:t>
      </w:r>
      <w:r w:rsidR="00B2639A" w:rsidRPr="00993B31">
        <w:t xml:space="preserve">del programa </w:t>
      </w:r>
      <w:r w:rsidR="00775D52" w:rsidRPr="00993B31">
        <w:t>de modernización de las T.</w:t>
      </w:r>
      <w:r w:rsidR="00C44565" w:rsidRPr="00993B31">
        <w:t xml:space="preserve">I.  </w:t>
      </w:r>
      <w:r w:rsidR="00775D52" w:rsidRPr="00993B31">
        <w:t xml:space="preserve">El mandato de la </w:t>
      </w:r>
      <w:r w:rsidR="000411F0" w:rsidRPr="00993B31">
        <w:t>revisión</w:t>
      </w:r>
      <w:r w:rsidR="00775D52" w:rsidRPr="00993B31">
        <w:t xml:space="preserve"> </w:t>
      </w:r>
      <w:r w:rsidR="000411F0" w:rsidRPr="00993B31">
        <w:t>incluye</w:t>
      </w:r>
      <w:r w:rsidR="00C44565" w:rsidRPr="00993B31">
        <w:t xml:space="preserve"> </w:t>
      </w:r>
      <w:r w:rsidR="00775D52" w:rsidRPr="00993B31">
        <w:t>el enfoque general</w:t>
      </w:r>
      <w:r w:rsidR="00C44565" w:rsidRPr="00993B31">
        <w:t xml:space="preserve">, </w:t>
      </w:r>
      <w:r w:rsidR="00775D52" w:rsidRPr="00993B31">
        <w:t>la funcionalidad del sistema</w:t>
      </w:r>
      <w:r w:rsidR="00C44565" w:rsidRPr="00993B31">
        <w:t xml:space="preserve">, </w:t>
      </w:r>
      <w:r w:rsidR="00775D52" w:rsidRPr="00993B31">
        <w:t>su desempeño</w:t>
      </w:r>
      <w:r w:rsidR="00C44565" w:rsidRPr="00993B31">
        <w:t xml:space="preserve">, </w:t>
      </w:r>
      <w:r w:rsidR="00775D52" w:rsidRPr="00993B31">
        <w:t>los procesos de prueba</w:t>
      </w:r>
      <w:r w:rsidR="00C44565" w:rsidRPr="00993B31">
        <w:t xml:space="preserve"> </w:t>
      </w:r>
      <w:r w:rsidR="00775D52" w:rsidRPr="00993B31">
        <w:t>y las estrategias de</w:t>
      </w:r>
      <w:r w:rsidR="00C44565" w:rsidRPr="00993B31">
        <w:t xml:space="preserve"> </w:t>
      </w:r>
      <w:r w:rsidR="00B2639A" w:rsidRPr="00993B31">
        <w:t>asignación del trabajo</w:t>
      </w:r>
      <w:r w:rsidR="00C44565" w:rsidRPr="00993B31">
        <w:t xml:space="preserve">.  </w:t>
      </w:r>
      <w:r w:rsidR="00775D52" w:rsidRPr="00993B31">
        <w:t xml:space="preserve">Esa </w:t>
      </w:r>
      <w:r w:rsidR="000411F0" w:rsidRPr="00993B31">
        <w:t>revisión</w:t>
      </w:r>
      <w:r w:rsidR="00775D52" w:rsidRPr="00993B31">
        <w:t xml:space="preserve"> permitirá a la Oficina Internacional </w:t>
      </w:r>
      <w:r w:rsidR="000411F0" w:rsidRPr="00993B31">
        <w:t>determinar</w:t>
      </w:r>
      <w:r w:rsidR="00775D52" w:rsidRPr="00993B31">
        <w:t xml:space="preserve"> con mayor </w:t>
      </w:r>
      <w:r w:rsidR="000411F0" w:rsidRPr="00993B31">
        <w:t>exactitud</w:t>
      </w:r>
      <w:r w:rsidR="00775D52" w:rsidRPr="00993B31">
        <w:t xml:space="preserve"> la fecha prevista de </w:t>
      </w:r>
      <w:r w:rsidR="00DB3440" w:rsidRPr="00993B31">
        <w:t>entrada en funcionamiento de</w:t>
      </w:r>
      <w:r w:rsidR="00671511" w:rsidRPr="00993B31">
        <w:t xml:space="preserve"> DIRIS.</w:t>
      </w:r>
    </w:p>
    <w:p w:rsidR="00A12311" w:rsidRPr="00993B31" w:rsidRDefault="00A12311" w:rsidP="00B2639A"/>
    <w:p w:rsidR="00A12311" w:rsidRPr="00993B31" w:rsidRDefault="00C44565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DB3440" w:rsidRPr="00993B31">
        <w:t>La fase II del programa comenzó en el tercer trimestre d</w:t>
      </w:r>
      <w:r w:rsidR="00E44B81" w:rsidRPr="00993B31">
        <w:t>e 2</w:t>
      </w:r>
      <w:r w:rsidR="00DB3440" w:rsidRPr="00993B31">
        <w:t>010.  Ya se han completado las tarea</w:t>
      </w:r>
      <w:r w:rsidR="00E44B81" w:rsidRPr="00993B31">
        <w:t>s 1</w:t>
      </w:r>
      <w:r w:rsidR="00DB3440" w:rsidRPr="00993B31">
        <w:t xml:space="preserve"> </w:t>
      </w:r>
      <w:r w:rsidR="00E44B81" w:rsidRPr="00993B31">
        <w:t>a 1</w:t>
      </w:r>
      <w:r w:rsidR="00DB3440" w:rsidRPr="00993B31">
        <w:t>0 del plan de alto nivel para el proyecto presentado en el gráfic</w:t>
      </w:r>
      <w:r w:rsidR="00E44B81" w:rsidRPr="00993B31">
        <w:t>o 1</w:t>
      </w:r>
      <w:r w:rsidR="00DB3440" w:rsidRPr="00993B31">
        <w:t xml:space="preserve">, </w:t>
      </w:r>
      <w:r w:rsidR="00DB3440" w:rsidRPr="00993B31">
        <w:rPr>
          <w:i/>
        </w:rPr>
        <w:t>infra</w:t>
      </w:r>
      <w:r w:rsidR="00DB3440" w:rsidRPr="00993B31">
        <w:t>.  La tare</w:t>
      </w:r>
      <w:r w:rsidR="00E44B81" w:rsidRPr="00993B31">
        <w:t>a 1</w:t>
      </w:r>
      <w:r w:rsidR="00DB3440" w:rsidRPr="00993B31">
        <w:t>1 se ha puesto en espera y la fecha prevista para reanudarla es e</w:t>
      </w:r>
      <w:r w:rsidR="00E44B81" w:rsidRPr="00993B31">
        <w:t>l 1</w:t>
      </w:r>
      <w:r w:rsidR="00DB3440" w:rsidRPr="00993B31">
        <w:t xml:space="preserve"> de enero d</w:t>
      </w:r>
      <w:r w:rsidR="00E44B81" w:rsidRPr="00993B31">
        <w:t>e 2</w:t>
      </w:r>
      <w:r w:rsidR="00DB3440" w:rsidRPr="00993B31">
        <w:t>015.  El programa avanza con arreglo al calendario que figura a continuación:</w:t>
      </w:r>
    </w:p>
    <w:p w:rsidR="00A12311" w:rsidRPr="00993B31" w:rsidRDefault="00A12311" w:rsidP="00B2639A"/>
    <w:p w:rsidR="00A12311" w:rsidRPr="00993B31" w:rsidRDefault="0039765F" w:rsidP="00B2639A">
      <w:r w:rsidRPr="00993B31">
        <w:object w:dxaOrig="16410" w:dyaOrig="6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210pt" o:ole="">
            <v:imagedata r:id="rId10" o:title=""/>
          </v:shape>
          <o:OLEObject Type="Embed" ProgID="Visio.Drawing.11" ShapeID="_x0000_i1025" DrawAspect="Content" ObjectID="_1465883017" r:id="rId11"/>
        </w:object>
      </w:r>
    </w:p>
    <w:p w:rsidR="00A12311" w:rsidRPr="00993B31" w:rsidRDefault="00DB3440" w:rsidP="00B2639A">
      <w:pPr>
        <w:pStyle w:val="Caption"/>
        <w:jc w:val="center"/>
        <w:rPr>
          <w:sz w:val="16"/>
          <w:szCs w:val="16"/>
        </w:rPr>
      </w:pPr>
      <w:r w:rsidRPr="00993B31">
        <w:rPr>
          <w:sz w:val="16"/>
          <w:szCs w:val="16"/>
        </w:rPr>
        <w:t>Gráfic</w:t>
      </w:r>
      <w:r w:rsidR="00E44B81" w:rsidRPr="00993B31">
        <w:rPr>
          <w:sz w:val="16"/>
          <w:szCs w:val="16"/>
        </w:rPr>
        <w:t>o 1</w:t>
      </w:r>
      <w:r w:rsidRPr="00993B31">
        <w:rPr>
          <w:sz w:val="16"/>
          <w:szCs w:val="16"/>
        </w:rPr>
        <w:t xml:space="preserve"> </w:t>
      </w:r>
      <w:r w:rsidR="00E830F4" w:rsidRPr="00993B31">
        <w:rPr>
          <w:sz w:val="16"/>
          <w:szCs w:val="16"/>
        </w:rPr>
        <w:t xml:space="preserve">- </w:t>
      </w:r>
      <w:r w:rsidRPr="00993B31">
        <w:rPr>
          <w:sz w:val="16"/>
          <w:szCs w:val="16"/>
        </w:rPr>
        <w:t xml:space="preserve">Fase </w:t>
      </w:r>
      <w:r w:rsidR="00E830F4" w:rsidRPr="00993B31">
        <w:rPr>
          <w:sz w:val="16"/>
          <w:szCs w:val="16"/>
        </w:rPr>
        <w:t>II</w:t>
      </w:r>
      <w:proofErr w:type="gramStart"/>
      <w:r w:rsidRPr="00993B31">
        <w:rPr>
          <w:sz w:val="16"/>
          <w:szCs w:val="16"/>
        </w:rPr>
        <w:t xml:space="preserve">:  </w:t>
      </w:r>
      <w:r w:rsidR="00B2639A" w:rsidRPr="00993B31">
        <w:rPr>
          <w:sz w:val="16"/>
          <w:szCs w:val="16"/>
        </w:rPr>
        <w:t>Plan</w:t>
      </w:r>
      <w:proofErr w:type="gramEnd"/>
      <w:r w:rsidR="00B2639A" w:rsidRPr="00993B31">
        <w:rPr>
          <w:sz w:val="16"/>
          <w:szCs w:val="16"/>
        </w:rPr>
        <w:t xml:space="preserve"> </w:t>
      </w:r>
      <w:r w:rsidRPr="00993B31">
        <w:rPr>
          <w:sz w:val="16"/>
          <w:szCs w:val="16"/>
        </w:rPr>
        <w:t xml:space="preserve">de alto </w:t>
      </w:r>
      <w:r w:rsidR="00A12311" w:rsidRPr="00993B31">
        <w:rPr>
          <w:sz w:val="16"/>
          <w:szCs w:val="16"/>
        </w:rPr>
        <w:t>nivel</w:t>
      </w:r>
      <w:r w:rsidRPr="00993B31">
        <w:rPr>
          <w:sz w:val="16"/>
          <w:szCs w:val="16"/>
        </w:rPr>
        <w:t xml:space="preserve"> para el proyecto</w:t>
      </w:r>
    </w:p>
    <w:p w:rsidR="00A12311" w:rsidRPr="00993B31" w:rsidRDefault="00A12311" w:rsidP="00B2639A"/>
    <w:p w:rsidR="00A12311" w:rsidRDefault="00B96686" w:rsidP="00904496">
      <w:pPr>
        <w:keepLines/>
      </w:pPr>
      <w:r w:rsidRPr="00993B31">
        <w:lastRenderedPageBreak/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DB3440" w:rsidRPr="00993B31">
        <w:t>Ta</w:t>
      </w:r>
      <w:r w:rsidR="00B3446D" w:rsidRPr="00993B31">
        <w:t>l</w:t>
      </w:r>
      <w:r w:rsidR="00DB3440" w:rsidRPr="00993B31">
        <w:t xml:space="preserve"> como se indicara en informes anteriores sobre la marcha de las actividades del programa de modernización de las T.I</w:t>
      </w:r>
      <w:r w:rsidRPr="00993B31">
        <w:t xml:space="preserve">, </w:t>
      </w:r>
      <w:r w:rsidR="00DB3440" w:rsidRPr="00993B31">
        <w:t>y solo de ser necesario</w:t>
      </w:r>
      <w:r w:rsidRPr="00993B31">
        <w:t xml:space="preserve">, </w:t>
      </w:r>
      <w:r w:rsidR="00DB3440" w:rsidRPr="00993B31">
        <w:t>la</w:t>
      </w:r>
      <w:r w:rsidRPr="00993B31">
        <w:t xml:space="preserve"> </w:t>
      </w:r>
      <w:r w:rsidR="00A12311" w:rsidRPr="00993B31">
        <w:t>Oficina Internacional</w:t>
      </w:r>
      <w:r w:rsidRPr="00993B31">
        <w:t xml:space="preserve"> </w:t>
      </w:r>
      <w:r w:rsidR="00DB3440" w:rsidRPr="00993B31">
        <w:t xml:space="preserve">propondrá </w:t>
      </w:r>
      <w:r w:rsidR="00B3446D" w:rsidRPr="00993B31">
        <w:t xml:space="preserve">iniciar la </w:t>
      </w:r>
      <w:r w:rsidR="000411F0" w:rsidRPr="00993B31">
        <w:t>ejecución</w:t>
      </w:r>
      <w:r w:rsidRPr="00993B31">
        <w:t xml:space="preserve"> </w:t>
      </w:r>
      <w:r w:rsidR="00B3446D" w:rsidRPr="00993B31">
        <w:t>de la</w:t>
      </w:r>
      <w:r w:rsidRPr="00993B31">
        <w:t xml:space="preserve"> </w:t>
      </w:r>
      <w:r w:rsidR="00773683" w:rsidRPr="00993B31">
        <w:t>fase</w:t>
      </w:r>
      <w:r w:rsidRPr="00993B31">
        <w:t xml:space="preserve"> III </w:t>
      </w:r>
      <w:r w:rsidR="00B3446D" w:rsidRPr="00993B31">
        <w:t>del</w:t>
      </w:r>
      <w:r w:rsidRPr="00993B31">
        <w:t xml:space="preserve"> </w:t>
      </w:r>
      <w:r w:rsidR="00B3446D" w:rsidRPr="00993B31">
        <w:t xml:space="preserve">programa para dar </w:t>
      </w:r>
      <w:r w:rsidR="00B2639A" w:rsidRPr="00993B31">
        <w:t>cabida</w:t>
      </w:r>
      <w:r w:rsidR="00B3446D" w:rsidRPr="00993B31">
        <w:t xml:space="preserve"> a las actividades que han de realizarse con posterioridad a la entrada en funcionamiento, por ejemplo, la corrección de errores del programa</w:t>
      </w:r>
      <w:r w:rsidRPr="00993B31">
        <w:t xml:space="preserve">, </w:t>
      </w:r>
      <w:r w:rsidR="00B3446D" w:rsidRPr="00993B31">
        <w:t>la mejora del rendimiento, así como</w:t>
      </w:r>
      <w:r w:rsidRPr="00993B31">
        <w:t xml:space="preserve"> </w:t>
      </w:r>
      <w:r w:rsidR="00B3446D" w:rsidRPr="00993B31">
        <w:t>la</w:t>
      </w:r>
      <w:r w:rsidRPr="00993B31">
        <w:t xml:space="preserve"> </w:t>
      </w:r>
      <w:r w:rsidR="000411F0" w:rsidRPr="00993B31">
        <w:t>transformación</w:t>
      </w:r>
      <w:r w:rsidRPr="00993B31">
        <w:t xml:space="preserve"> </w:t>
      </w:r>
      <w:r w:rsidR="00B3446D" w:rsidRPr="00993B31">
        <w:t>de la interfaz de usuario</w:t>
      </w:r>
      <w:r w:rsidRPr="00993B31">
        <w:t xml:space="preserve"> </w:t>
      </w:r>
      <w:r w:rsidR="00B3446D" w:rsidRPr="00993B31">
        <w:t>y la eventual reorganización de los procesos</w:t>
      </w:r>
      <w:r w:rsidRPr="00993B31">
        <w:t xml:space="preserve">.  </w:t>
      </w:r>
      <w:r w:rsidR="00B3446D" w:rsidRPr="00993B31">
        <w:t>Puesto que la necesidad de ejecutar la</w:t>
      </w:r>
      <w:r w:rsidRPr="00993B31">
        <w:t xml:space="preserve"> </w:t>
      </w:r>
      <w:r w:rsidR="00773683" w:rsidRPr="00993B31">
        <w:t>fase</w:t>
      </w:r>
      <w:r w:rsidRPr="00993B31">
        <w:t xml:space="preserve"> III </w:t>
      </w:r>
      <w:r w:rsidR="00B3446D" w:rsidRPr="00993B31">
        <w:t>solo podrá evaluarse tras la puesta en funcionamiento</w:t>
      </w:r>
      <w:r w:rsidRPr="00993B31">
        <w:t xml:space="preserve">, </w:t>
      </w:r>
      <w:r w:rsidR="00B3446D" w:rsidRPr="00993B31">
        <w:t xml:space="preserve">los </w:t>
      </w:r>
      <w:r w:rsidR="00B2639A" w:rsidRPr="00993B31">
        <w:t>pormenores</w:t>
      </w:r>
      <w:r w:rsidRPr="00993B31">
        <w:t xml:space="preserve"> </w:t>
      </w:r>
      <w:r w:rsidR="00B3446D" w:rsidRPr="00993B31">
        <w:t>de una eventual</w:t>
      </w:r>
      <w:r w:rsidRPr="00993B31">
        <w:t xml:space="preserve"> </w:t>
      </w:r>
      <w:r w:rsidR="00773683" w:rsidRPr="00993B31">
        <w:t>fase</w:t>
      </w:r>
      <w:r w:rsidRPr="00993B31">
        <w:t xml:space="preserve"> III </w:t>
      </w:r>
      <w:r w:rsidR="00B3446D" w:rsidRPr="00993B31">
        <w:t xml:space="preserve">se examinarán en detalle en el próximo informe sobre la </w:t>
      </w:r>
      <w:r w:rsidR="000411F0" w:rsidRPr="00993B31">
        <w:t>marcha</w:t>
      </w:r>
      <w:r w:rsidR="00B3446D" w:rsidRPr="00993B31">
        <w:t xml:space="preserve"> de las actividades</w:t>
      </w:r>
      <w:r w:rsidRPr="00993B31">
        <w:t>.</w:t>
      </w:r>
    </w:p>
    <w:p w:rsidR="00776C8F" w:rsidRPr="00993B31" w:rsidRDefault="00776C8F" w:rsidP="00B2639A"/>
    <w:p w:rsidR="00A12311" w:rsidRDefault="00A12311" w:rsidP="00B2639A">
      <w:pPr>
        <w:pStyle w:val="Heading1"/>
      </w:pPr>
      <w:r w:rsidRPr="00993B31">
        <w:t>UTILIZACIÓN DEL PRESUPUESTO</w:t>
      </w:r>
    </w:p>
    <w:p w:rsidR="00480009" w:rsidRPr="00480009" w:rsidRDefault="00480009" w:rsidP="00480009"/>
    <w:p w:rsidR="00A12311" w:rsidRPr="00993B31" w:rsidRDefault="001C2A8C" w:rsidP="00B2639A">
      <w:r w:rsidRPr="00993B31">
        <w:fldChar w:fldCharType="begin"/>
      </w:r>
      <w:r w:rsidRPr="00993B31">
        <w:instrText xml:space="preserve"> AUTONUM  </w:instrText>
      </w:r>
      <w:r w:rsidRPr="00993B31">
        <w:fldChar w:fldCharType="end"/>
      </w:r>
      <w:r w:rsidRPr="00993B31">
        <w:tab/>
      </w:r>
      <w:r w:rsidR="00B3446D" w:rsidRPr="00993B31">
        <w:t xml:space="preserve">Se aprobó para el proyecto una asignación de recursos </w:t>
      </w:r>
      <w:r w:rsidRPr="00993B31">
        <w:t xml:space="preserve">total </w:t>
      </w:r>
      <w:r w:rsidR="00B3446D" w:rsidRPr="00993B31">
        <w:t>d</w:t>
      </w:r>
      <w:r w:rsidR="00E44B81" w:rsidRPr="00993B31">
        <w:t>e 1</w:t>
      </w:r>
      <w:r w:rsidR="00B3446D" w:rsidRPr="00993B31">
        <w:t>3,</w:t>
      </w:r>
      <w:r w:rsidRPr="00993B31">
        <w:t>804 millon</w:t>
      </w:r>
      <w:r w:rsidR="00B3446D" w:rsidRPr="00993B31">
        <w:t xml:space="preserve">es de francos suizos </w:t>
      </w:r>
      <w:r w:rsidRPr="00993B31">
        <w:t>(10</w:t>
      </w:r>
      <w:r w:rsidR="00B3446D" w:rsidRPr="00993B31">
        <w:t>,</w:t>
      </w:r>
      <w:r w:rsidRPr="00993B31">
        <w:t>804 millon</w:t>
      </w:r>
      <w:r w:rsidR="00B3446D" w:rsidRPr="00993B31">
        <w:t>e</w:t>
      </w:r>
      <w:r w:rsidRPr="00993B31">
        <w:t xml:space="preserve">s </w:t>
      </w:r>
      <w:r w:rsidR="00B3446D" w:rsidRPr="00993B31">
        <w:t xml:space="preserve">de </w:t>
      </w:r>
      <w:r w:rsidR="000411F0" w:rsidRPr="00993B31">
        <w:t>francos</w:t>
      </w:r>
      <w:r w:rsidRPr="00993B31">
        <w:t xml:space="preserve"> </w:t>
      </w:r>
      <w:r w:rsidR="00B3446D" w:rsidRPr="00993B31">
        <w:t xml:space="preserve">suizos </w:t>
      </w:r>
      <w:r w:rsidR="00817BE0" w:rsidRPr="00993B31">
        <w:t xml:space="preserve">aprobados </w:t>
      </w:r>
      <w:r w:rsidR="00B3446D" w:rsidRPr="00993B31">
        <w:t>por la Asamblea de la Unión de</w:t>
      </w:r>
      <w:r w:rsidRPr="00993B31">
        <w:t xml:space="preserve"> Madrid </w:t>
      </w:r>
      <w:r w:rsidR="00B3446D" w:rsidRPr="00993B31">
        <w:t xml:space="preserve">y 3 </w:t>
      </w:r>
      <w:r w:rsidRPr="00993B31">
        <w:t>millon</w:t>
      </w:r>
      <w:r w:rsidR="00817BE0" w:rsidRPr="00993B31">
        <w:t>e</w:t>
      </w:r>
      <w:r w:rsidRPr="00993B31">
        <w:t xml:space="preserve">s </w:t>
      </w:r>
      <w:r w:rsidR="00817BE0" w:rsidRPr="00993B31">
        <w:t xml:space="preserve">de </w:t>
      </w:r>
      <w:r w:rsidR="000411F0" w:rsidRPr="00993B31">
        <w:t>francos</w:t>
      </w:r>
      <w:r w:rsidRPr="00993B31">
        <w:t xml:space="preserve"> </w:t>
      </w:r>
      <w:r w:rsidR="00817BE0" w:rsidRPr="00993B31">
        <w:t>suizos por la Asamblea de la Unión de La Haya</w:t>
      </w:r>
      <w:r w:rsidRPr="00993B31">
        <w:t xml:space="preserve">).  </w:t>
      </w:r>
      <w:r w:rsidR="00817BE0" w:rsidRPr="00993B31">
        <w:t xml:space="preserve">De </w:t>
      </w:r>
      <w:r w:rsidR="000411F0" w:rsidRPr="00993B31">
        <w:t>momento</w:t>
      </w:r>
      <w:r w:rsidR="005B6FB1" w:rsidRPr="00993B31">
        <w:t>,</w:t>
      </w:r>
      <w:r w:rsidRPr="00993B31">
        <w:t xml:space="preserve"> </w:t>
      </w:r>
      <w:r w:rsidR="00817BE0" w:rsidRPr="00993B31">
        <w:t xml:space="preserve">el gasto real del proyecto asciende </w:t>
      </w:r>
      <w:r w:rsidR="00E44B81" w:rsidRPr="00993B31">
        <w:t>a 1</w:t>
      </w:r>
      <w:r w:rsidRPr="00993B31">
        <w:t>0</w:t>
      </w:r>
      <w:r w:rsidR="00817BE0" w:rsidRPr="00993B31">
        <w:t>,</w:t>
      </w:r>
      <w:r w:rsidRPr="00993B31">
        <w:t>464 millon</w:t>
      </w:r>
      <w:r w:rsidR="00817BE0" w:rsidRPr="00993B31">
        <w:t>e</w:t>
      </w:r>
      <w:r w:rsidRPr="00993B31">
        <w:t>s</w:t>
      </w:r>
      <w:r w:rsidR="00817BE0" w:rsidRPr="00993B31">
        <w:t xml:space="preserve"> de</w:t>
      </w:r>
      <w:r w:rsidRPr="00993B31">
        <w:t xml:space="preserve"> </w:t>
      </w:r>
      <w:r w:rsidR="000411F0" w:rsidRPr="00993B31">
        <w:t>francos</w:t>
      </w:r>
      <w:r w:rsidR="00817BE0" w:rsidRPr="00993B31">
        <w:t xml:space="preserve"> suizos, es decir</w:t>
      </w:r>
      <w:r w:rsidRPr="00993B31">
        <w:t xml:space="preserve">, </w:t>
      </w:r>
      <w:r w:rsidR="00817BE0" w:rsidRPr="00993B31">
        <w:t>e</w:t>
      </w:r>
      <w:r w:rsidR="00E44B81" w:rsidRPr="00993B31">
        <w:t>l 7</w:t>
      </w:r>
      <w:r w:rsidRPr="00993B31">
        <w:t>6</w:t>
      </w:r>
      <w:r w:rsidR="00817BE0" w:rsidRPr="00993B31">
        <w:t>%</w:t>
      </w:r>
      <w:r w:rsidRPr="00993B31">
        <w:t xml:space="preserve"> </w:t>
      </w:r>
      <w:r w:rsidR="00817BE0" w:rsidRPr="00993B31">
        <w:t>del presupuesto del</w:t>
      </w:r>
      <w:r w:rsidRPr="00993B31">
        <w:t xml:space="preserve"> </w:t>
      </w:r>
      <w:r w:rsidR="00817BE0" w:rsidRPr="00993B31">
        <w:t>proyecto</w:t>
      </w:r>
      <w:r w:rsidRPr="00993B31">
        <w:t xml:space="preserve">.  </w:t>
      </w:r>
      <w:r w:rsidR="00817BE0" w:rsidRPr="00993B31">
        <w:t xml:space="preserve">Se prevé que los recursos restantes serán </w:t>
      </w:r>
      <w:r w:rsidR="000411F0" w:rsidRPr="00993B31">
        <w:t>suficientes</w:t>
      </w:r>
      <w:r w:rsidR="00817BE0" w:rsidRPr="00993B31">
        <w:t xml:space="preserve"> para </w:t>
      </w:r>
      <w:r w:rsidR="000411F0" w:rsidRPr="00993B31">
        <w:t>completar</w:t>
      </w:r>
      <w:r w:rsidR="00817BE0" w:rsidRPr="00993B31">
        <w:t xml:space="preserve"> la</w:t>
      </w:r>
      <w:r w:rsidRPr="00993B31">
        <w:t xml:space="preserve"> </w:t>
      </w:r>
      <w:r w:rsidR="00773683" w:rsidRPr="00993B31">
        <w:t>fase</w:t>
      </w:r>
      <w:r w:rsidRPr="00993B31">
        <w:t xml:space="preserve"> II </w:t>
      </w:r>
      <w:r w:rsidR="00817BE0" w:rsidRPr="00993B31">
        <w:t>del programa</w:t>
      </w:r>
      <w:r w:rsidRPr="00993B31">
        <w:t xml:space="preserve">, </w:t>
      </w:r>
      <w:r w:rsidR="00B2639A" w:rsidRPr="00993B31">
        <w:t xml:space="preserve">teniendo presente </w:t>
      </w:r>
      <w:r w:rsidR="00817BE0" w:rsidRPr="00993B31">
        <w:t xml:space="preserve">que las </w:t>
      </w:r>
      <w:r w:rsidR="000411F0" w:rsidRPr="00993B31">
        <w:t>conclusiones</w:t>
      </w:r>
      <w:r w:rsidRPr="00993B31">
        <w:t xml:space="preserve"> </w:t>
      </w:r>
      <w:r w:rsidR="00817BE0" w:rsidRPr="00993B31">
        <w:t xml:space="preserve">de la revisión </w:t>
      </w:r>
      <w:r w:rsidR="000411F0" w:rsidRPr="00993B31">
        <w:t>externa</w:t>
      </w:r>
      <w:r w:rsidRPr="00993B31">
        <w:t xml:space="preserve"> </w:t>
      </w:r>
      <w:r w:rsidR="00817BE0" w:rsidRPr="00993B31">
        <w:t>podrán suponer la asignación de recursos adicionales para garantizar de forma adecuada la gestión del riesgo y el control de calidad</w:t>
      </w:r>
      <w:r w:rsidRPr="00993B31">
        <w:t>.</w:t>
      </w:r>
    </w:p>
    <w:p w:rsidR="00A12311" w:rsidRPr="00993B31" w:rsidRDefault="00A12311" w:rsidP="00B2639A">
      <w:pPr>
        <w:rPr>
          <w:i/>
        </w:rPr>
      </w:pPr>
    </w:p>
    <w:p w:rsidR="001C2A8C" w:rsidRPr="00993B31" w:rsidRDefault="00773683" w:rsidP="00B2639A">
      <w:pPr>
        <w:pStyle w:val="Caption"/>
        <w:keepNext/>
        <w:jc w:val="center"/>
      </w:pPr>
      <w:r w:rsidRPr="00993B31">
        <w:t>Cuadro</w:t>
      </w:r>
      <w:r w:rsidR="001C2A8C" w:rsidRPr="00993B31">
        <w:t xml:space="preserve"> </w:t>
      </w:r>
      <w:r w:rsidR="00B646C1" w:rsidRPr="00993B31">
        <w:fldChar w:fldCharType="begin"/>
      </w:r>
      <w:r w:rsidR="00B646C1" w:rsidRPr="00993B31">
        <w:instrText xml:space="preserve"> SEQ Table \* ARABIC </w:instrText>
      </w:r>
      <w:r w:rsidR="00B646C1" w:rsidRPr="00993B31">
        <w:fldChar w:fldCharType="separate"/>
      </w:r>
      <w:r w:rsidR="00046963">
        <w:rPr>
          <w:noProof/>
        </w:rPr>
        <w:t>1</w:t>
      </w:r>
      <w:r w:rsidR="00B646C1" w:rsidRPr="00993B31">
        <w:fldChar w:fldCharType="end"/>
      </w:r>
      <w:r w:rsidR="001C2A8C" w:rsidRPr="00993B31">
        <w:t xml:space="preserve"> </w:t>
      </w:r>
      <w:r w:rsidR="00817BE0" w:rsidRPr="00993B31">
        <w:t>–</w:t>
      </w:r>
      <w:r w:rsidR="001C2A8C" w:rsidRPr="00993B31">
        <w:t xml:space="preserve"> </w:t>
      </w:r>
      <w:r w:rsidR="00817BE0" w:rsidRPr="00993B31">
        <w:t>Situación de la financiación (e</w:t>
      </w:r>
      <w:r w:rsidR="001C2A8C" w:rsidRPr="00993B31">
        <w:t>n</w:t>
      </w:r>
      <w:r w:rsidR="00817BE0" w:rsidRPr="00993B31">
        <w:t xml:space="preserve"> miles de francos suizos</w:t>
      </w:r>
      <w:r w:rsidR="001C2A8C" w:rsidRPr="00993B31">
        <w:t xml:space="preserve">), </w:t>
      </w:r>
      <w:r w:rsidR="00817BE0" w:rsidRPr="00993B31">
        <w:t>a finales de marzo d</w:t>
      </w:r>
      <w:r w:rsidR="00E44B81" w:rsidRPr="00993B31">
        <w:t>e 2</w:t>
      </w:r>
      <w:r w:rsidR="001C2A8C" w:rsidRPr="00993B31">
        <w:t>014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C2A8C" w:rsidRPr="00993B31" w:rsidTr="000B10DA">
        <w:tc>
          <w:tcPr>
            <w:tcW w:w="2284" w:type="dxa"/>
            <w:shd w:val="clear" w:color="auto" w:fill="4F81BD"/>
          </w:tcPr>
          <w:p w:rsidR="001C2A8C" w:rsidRPr="00776C8F" w:rsidRDefault="001C2A8C" w:rsidP="00B2639A">
            <w:pPr>
              <w:rPr>
                <w:b/>
                <w:color w:val="FFFFFF"/>
              </w:rPr>
            </w:pPr>
          </w:p>
        </w:tc>
        <w:tc>
          <w:tcPr>
            <w:tcW w:w="2393" w:type="dxa"/>
            <w:shd w:val="clear" w:color="auto" w:fill="4F81BD"/>
          </w:tcPr>
          <w:p w:rsidR="001C2A8C" w:rsidRPr="00776C8F" w:rsidRDefault="001C2A8C" w:rsidP="00B2639A">
            <w:pPr>
              <w:jc w:val="center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R</w:t>
            </w:r>
            <w:r w:rsidR="00817BE0" w:rsidRPr="00776C8F">
              <w:rPr>
                <w:b/>
                <w:color w:val="FFFFFF"/>
              </w:rPr>
              <w:t xml:space="preserve">ecursos </w:t>
            </w:r>
            <w:r w:rsidR="00B2639A" w:rsidRPr="00776C8F">
              <w:rPr>
                <w:b/>
                <w:color w:val="FFFFFF"/>
              </w:rPr>
              <w:t>correspondientes a</w:t>
            </w:r>
            <w:r w:rsidR="00817BE0" w:rsidRPr="00776C8F">
              <w:rPr>
                <w:b/>
                <w:color w:val="FFFFFF"/>
              </w:rPr>
              <w:t xml:space="preserve"> las reservas</w:t>
            </w:r>
          </w:p>
        </w:tc>
        <w:tc>
          <w:tcPr>
            <w:tcW w:w="2393" w:type="dxa"/>
            <w:shd w:val="clear" w:color="auto" w:fill="4F81BD"/>
          </w:tcPr>
          <w:p w:rsidR="00A12311" w:rsidRPr="00776C8F" w:rsidRDefault="00817BE0" w:rsidP="00B2639A">
            <w:pPr>
              <w:jc w:val="center"/>
              <w:rPr>
                <w:b/>
                <w:color w:val="FFFFFF"/>
              </w:rPr>
            </w:pPr>
            <w:r w:rsidRPr="00776C8F">
              <w:rPr>
                <w:b/>
                <w:color w:val="FFFFFF" w:themeColor="background1"/>
              </w:rPr>
              <w:t>Gastos -</w:t>
            </w:r>
          </w:p>
          <w:p w:rsidR="001C2A8C" w:rsidRPr="00776C8F" w:rsidRDefault="001C2A8C" w:rsidP="00B2639A">
            <w:pPr>
              <w:jc w:val="center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exclu</w:t>
            </w:r>
            <w:r w:rsidR="00E0393E" w:rsidRPr="00776C8F">
              <w:rPr>
                <w:b/>
                <w:color w:val="FFFFFF"/>
              </w:rPr>
              <w:t>idos</w:t>
            </w:r>
            <w:r w:rsidRPr="00776C8F">
              <w:rPr>
                <w:b/>
                <w:color w:val="FFFFFF"/>
              </w:rPr>
              <w:t xml:space="preserve"> </w:t>
            </w:r>
            <w:r w:rsidR="00E0393E" w:rsidRPr="00776C8F">
              <w:rPr>
                <w:b/>
                <w:color w:val="FFFFFF"/>
              </w:rPr>
              <w:t>los compromisos de gasto y las</w:t>
            </w:r>
            <w:r w:rsidRPr="00776C8F">
              <w:rPr>
                <w:b/>
                <w:color w:val="FFFFFF"/>
              </w:rPr>
              <w:t xml:space="preserve"> </w:t>
            </w:r>
            <w:r w:rsidR="00E0393E" w:rsidRPr="00776C8F">
              <w:rPr>
                <w:b/>
                <w:color w:val="FFFFFF"/>
              </w:rPr>
              <w:t>afectaciones</w:t>
            </w:r>
          </w:p>
        </w:tc>
        <w:tc>
          <w:tcPr>
            <w:tcW w:w="2393" w:type="dxa"/>
            <w:shd w:val="clear" w:color="auto" w:fill="4F81BD"/>
          </w:tcPr>
          <w:p w:rsidR="001C2A8C" w:rsidRPr="00776C8F" w:rsidRDefault="00E0393E" w:rsidP="00B2639A">
            <w:pPr>
              <w:jc w:val="center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Saldo a finales de marzo d</w:t>
            </w:r>
            <w:r w:rsidR="00E44B81" w:rsidRPr="00776C8F">
              <w:rPr>
                <w:b/>
                <w:color w:val="FFFFFF"/>
              </w:rPr>
              <w:t>e 2</w:t>
            </w:r>
            <w:r w:rsidR="001C2A8C" w:rsidRPr="00776C8F">
              <w:rPr>
                <w:b/>
                <w:color w:val="FFFFFF"/>
              </w:rPr>
              <w:t>014</w:t>
            </w:r>
          </w:p>
        </w:tc>
      </w:tr>
      <w:tr w:rsidR="001C2A8C" w:rsidRPr="00993B31" w:rsidTr="000B10DA">
        <w:tc>
          <w:tcPr>
            <w:tcW w:w="2284" w:type="dxa"/>
            <w:shd w:val="clear" w:color="auto" w:fill="auto"/>
          </w:tcPr>
          <w:p w:rsidR="001C2A8C" w:rsidRPr="00993B31" w:rsidRDefault="00773683" w:rsidP="00B2639A">
            <w:r w:rsidRPr="00993B31">
              <w:t xml:space="preserve">Fase </w:t>
            </w:r>
            <w:r w:rsidR="001C2A8C" w:rsidRPr="00993B31">
              <w:t>I</w:t>
            </w:r>
          </w:p>
        </w:tc>
        <w:tc>
          <w:tcPr>
            <w:tcW w:w="2393" w:type="dxa"/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3</w:t>
            </w:r>
            <w:r w:rsidR="00773683" w:rsidRPr="00993B31">
              <w:t>.</w:t>
            </w:r>
            <w:r w:rsidRPr="00993B31">
              <w:t>569</w:t>
            </w:r>
          </w:p>
        </w:tc>
        <w:tc>
          <w:tcPr>
            <w:tcW w:w="2393" w:type="dxa"/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3</w:t>
            </w:r>
            <w:r w:rsidR="00773683" w:rsidRPr="00993B31">
              <w:t>.</w:t>
            </w:r>
            <w:r w:rsidRPr="00993B31">
              <w:t>277</w:t>
            </w:r>
          </w:p>
        </w:tc>
        <w:tc>
          <w:tcPr>
            <w:tcW w:w="2393" w:type="dxa"/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292</w:t>
            </w:r>
          </w:p>
        </w:tc>
      </w:tr>
      <w:tr w:rsidR="001C2A8C" w:rsidRPr="00993B31" w:rsidTr="000B10DA"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1C2A8C" w:rsidRPr="00993B31" w:rsidRDefault="00773683" w:rsidP="00B2639A">
            <w:r w:rsidRPr="00993B31">
              <w:t xml:space="preserve">Fase </w:t>
            </w:r>
            <w:r w:rsidR="001C2A8C" w:rsidRPr="00993B31">
              <w:t>II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10</w:t>
            </w:r>
            <w:r w:rsidR="00773683" w:rsidRPr="00993B31">
              <w:t>.</w:t>
            </w:r>
            <w:r w:rsidRPr="00993B31">
              <w:t>235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7</w:t>
            </w:r>
            <w:r w:rsidR="00773683" w:rsidRPr="00993B31">
              <w:t>.</w:t>
            </w:r>
            <w:r w:rsidRPr="00993B31">
              <w:t>187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1C2A8C" w:rsidRPr="00993B31" w:rsidRDefault="001C2A8C" w:rsidP="00B2639A">
            <w:pPr>
              <w:jc w:val="right"/>
            </w:pPr>
            <w:r w:rsidRPr="00993B31">
              <w:t>3</w:t>
            </w:r>
            <w:r w:rsidR="00773683" w:rsidRPr="00993B31">
              <w:t>.</w:t>
            </w:r>
            <w:r w:rsidRPr="00993B31">
              <w:t>048</w:t>
            </w:r>
          </w:p>
        </w:tc>
      </w:tr>
      <w:tr w:rsidR="001C2A8C" w:rsidRPr="00776C8F" w:rsidTr="000B10DA">
        <w:tc>
          <w:tcPr>
            <w:tcW w:w="2284" w:type="dxa"/>
            <w:shd w:val="clear" w:color="auto" w:fill="4F81BD"/>
          </w:tcPr>
          <w:p w:rsidR="001C2A8C" w:rsidRPr="00776C8F" w:rsidRDefault="00A12311" w:rsidP="00B2639A">
            <w:pPr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Total</w:t>
            </w:r>
          </w:p>
        </w:tc>
        <w:tc>
          <w:tcPr>
            <w:tcW w:w="2393" w:type="dxa"/>
            <w:shd w:val="clear" w:color="auto" w:fill="4F81BD"/>
          </w:tcPr>
          <w:p w:rsidR="001C2A8C" w:rsidRPr="00776C8F" w:rsidRDefault="001C2A8C" w:rsidP="00B2639A">
            <w:pPr>
              <w:jc w:val="right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13</w:t>
            </w:r>
            <w:r w:rsidR="00773683" w:rsidRPr="00776C8F">
              <w:rPr>
                <w:b/>
                <w:color w:val="FFFFFF"/>
              </w:rPr>
              <w:t>.</w:t>
            </w:r>
            <w:r w:rsidRPr="00776C8F">
              <w:rPr>
                <w:b/>
                <w:color w:val="FFFFFF"/>
              </w:rPr>
              <w:t>804</w:t>
            </w:r>
          </w:p>
        </w:tc>
        <w:tc>
          <w:tcPr>
            <w:tcW w:w="2393" w:type="dxa"/>
            <w:shd w:val="clear" w:color="auto" w:fill="4F81BD"/>
          </w:tcPr>
          <w:p w:rsidR="001C2A8C" w:rsidRPr="00776C8F" w:rsidRDefault="001C2A8C" w:rsidP="00B2639A">
            <w:pPr>
              <w:jc w:val="right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10</w:t>
            </w:r>
            <w:r w:rsidR="00773683" w:rsidRPr="00776C8F">
              <w:rPr>
                <w:b/>
                <w:color w:val="FFFFFF"/>
              </w:rPr>
              <w:t>.</w:t>
            </w:r>
            <w:r w:rsidRPr="00776C8F">
              <w:rPr>
                <w:b/>
                <w:color w:val="FFFFFF"/>
              </w:rPr>
              <w:t>464</w:t>
            </w:r>
          </w:p>
        </w:tc>
        <w:tc>
          <w:tcPr>
            <w:tcW w:w="2393" w:type="dxa"/>
            <w:shd w:val="clear" w:color="auto" w:fill="4F81BD"/>
          </w:tcPr>
          <w:p w:rsidR="001C2A8C" w:rsidRPr="00776C8F" w:rsidRDefault="001C2A8C" w:rsidP="00B2639A">
            <w:pPr>
              <w:jc w:val="right"/>
              <w:rPr>
                <w:b/>
                <w:color w:val="FFFFFF"/>
              </w:rPr>
            </w:pPr>
            <w:r w:rsidRPr="00776C8F">
              <w:rPr>
                <w:b/>
                <w:color w:val="FFFFFF"/>
              </w:rPr>
              <w:t>3</w:t>
            </w:r>
            <w:r w:rsidR="00773683" w:rsidRPr="00776C8F">
              <w:rPr>
                <w:b/>
                <w:color w:val="FFFFFF"/>
              </w:rPr>
              <w:t>.</w:t>
            </w:r>
            <w:r w:rsidRPr="00776C8F">
              <w:rPr>
                <w:b/>
                <w:color w:val="FFFFFF"/>
              </w:rPr>
              <w:t>340</w:t>
            </w:r>
          </w:p>
        </w:tc>
      </w:tr>
    </w:tbl>
    <w:p w:rsidR="00A12311" w:rsidRPr="00993B31" w:rsidRDefault="00A12311" w:rsidP="00B2639A"/>
    <w:p w:rsidR="00AD09E1" w:rsidRPr="00993B31" w:rsidRDefault="00AD09E1" w:rsidP="00B2639A"/>
    <w:p w:rsidR="00A12311" w:rsidRPr="00993B31" w:rsidRDefault="00E830F4" w:rsidP="00480009">
      <w:pPr>
        <w:ind w:left="5533"/>
        <w:rPr>
          <w:i/>
        </w:rPr>
      </w:pPr>
      <w:r w:rsidRPr="00993B31">
        <w:rPr>
          <w:i/>
        </w:rPr>
        <w:fldChar w:fldCharType="begin"/>
      </w:r>
      <w:r w:rsidRPr="00993B31">
        <w:rPr>
          <w:i/>
        </w:rPr>
        <w:instrText xml:space="preserve"> AUTONUM  </w:instrText>
      </w:r>
      <w:r w:rsidRPr="00993B31">
        <w:rPr>
          <w:i/>
        </w:rPr>
        <w:fldChar w:fldCharType="end"/>
      </w:r>
      <w:r w:rsidRPr="00993B31">
        <w:tab/>
      </w:r>
      <w:r w:rsidR="00E0393E" w:rsidRPr="00993B31">
        <w:rPr>
          <w:i/>
        </w:rPr>
        <w:t>Se invita a la</w:t>
      </w:r>
      <w:r w:rsidR="000A00CC" w:rsidRPr="00993B31">
        <w:rPr>
          <w:i/>
        </w:rPr>
        <w:t xml:space="preserve"> </w:t>
      </w:r>
      <w:r w:rsidR="000411F0" w:rsidRPr="00993B31">
        <w:rPr>
          <w:i/>
        </w:rPr>
        <w:t>Asamblea</w:t>
      </w:r>
      <w:r w:rsidR="00E0393E" w:rsidRPr="00993B31">
        <w:rPr>
          <w:i/>
        </w:rPr>
        <w:t xml:space="preserve"> a tomar nota del contenido del Informe sobre la marcha de las actividades del programa de modernización de las tecnologías de la información</w:t>
      </w:r>
      <w:r w:rsidR="00E14A03" w:rsidRPr="00993B31">
        <w:rPr>
          <w:i/>
        </w:rPr>
        <w:t xml:space="preserve"> (</w:t>
      </w:r>
      <w:r w:rsidR="00E0393E" w:rsidRPr="00993B31">
        <w:rPr>
          <w:i/>
        </w:rPr>
        <w:t xml:space="preserve">Sistema </w:t>
      </w:r>
      <w:r w:rsidR="001C5F58">
        <w:rPr>
          <w:i/>
        </w:rPr>
        <w:t>de La </w:t>
      </w:r>
      <w:r w:rsidR="001C5F58" w:rsidRPr="00993B31">
        <w:rPr>
          <w:i/>
        </w:rPr>
        <w:t xml:space="preserve">Haya </w:t>
      </w:r>
      <w:r w:rsidR="00E0393E" w:rsidRPr="00993B31">
        <w:rPr>
          <w:i/>
        </w:rPr>
        <w:t xml:space="preserve">de </w:t>
      </w:r>
      <w:r w:rsidR="00BB2C6B">
        <w:rPr>
          <w:i/>
        </w:rPr>
        <w:t>R</w:t>
      </w:r>
      <w:r w:rsidR="00E0393E" w:rsidRPr="00993B31">
        <w:rPr>
          <w:i/>
        </w:rPr>
        <w:t xml:space="preserve">egistro </w:t>
      </w:r>
      <w:r w:rsidR="00BB2C6B">
        <w:rPr>
          <w:i/>
        </w:rPr>
        <w:t>I</w:t>
      </w:r>
      <w:r w:rsidR="00A12311" w:rsidRPr="00993B31">
        <w:rPr>
          <w:i/>
        </w:rPr>
        <w:t>nternacional</w:t>
      </w:r>
      <w:r w:rsidR="00C37736" w:rsidRPr="00993B31">
        <w:rPr>
          <w:i/>
        </w:rPr>
        <w:t xml:space="preserve">) </w:t>
      </w:r>
      <w:r w:rsidR="00E14A03" w:rsidRPr="00993B31">
        <w:rPr>
          <w:i/>
        </w:rPr>
        <w:t>(</w:t>
      </w:r>
      <w:r w:rsidR="000411F0" w:rsidRPr="00993B31">
        <w:rPr>
          <w:i/>
        </w:rPr>
        <w:t>documento</w:t>
      </w:r>
      <w:r w:rsidR="009D72E0" w:rsidRPr="00993B31">
        <w:rPr>
          <w:i/>
        </w:rPr>
        <w:t> </w:t>
      </w:r>
      <w:r w:rsidR="00E14A03" w:rsidRPr="00993B31">
        <w:rPr>
          <w:i/>
        </w:rPr>
        <w:t>H/A/34/1).</w:t>
      </w:r>
    </w:p>
    <w:p w:rsidR="00A12311" w:rsidRPr="00993B31" w:rsidRDefault="00A12311" w:rsidP="00480009">
      <w:pPr>
        <w:rPr>
          <w:i/>
        </w:rPr>
      </w:pPr>
    </w:p>
    <w:p w:rsidR="00A12311" w:rsidRDefault="00A12311" w:rsidP="00480009">
      <w:pPr>
        <w:pStyle w:val="ONUME"/>
        <w:numPr>
          <w:ilvl w:val="0"/>
          <w:numId w:val="0"/>
        </w:numPr>
        <w:spacing w:after="0"/>
      </w:pPr>
    </w:p>
    <w:p w:rsidR="00480009" w:rsidRPr="00993B31" w:rsidRDefault="00480009" w:rsidP="00480009">
      <w:pPr>
        <w:pStyle w:val="ONUME"/>
        <w:numPr>
          <w:ilvl w:val="0"/>
          <w:numId w:val="0"/>
        </w:numPr>
        <w:spacing w:after="0"/>
      </w:pPr>
      <w:bookmarkStart w:id="5" w:name="_GoBack"/>
      <w:bookmarkEnd w:id="5"/>
    </w:p>
    <w:p w:rsidR="00A12311" w:rsidRPr="00A16A7D" w:rsidRDefault="00A12311" w:rsidP="00B2639A">
      <w:pPr>
        <w:ind w:left="5533"/>
      </w:pPr>
      <w:r w:rsidRPr="00993B31">
        <w:t>[Fin de</w:t>
      </w:r>
      <w:r w:rsidR="00773683" w:rsidRPr="00993B31">
        <w:t>l</w:t>
      </w:r>
      <w:r w:rsidRPr="00993B31">
        <w:t xml:space="preserve"> documento]</w:t>
      </w:r>
    </w:p>
    <w:p w:rsidR="00A12311" w:rsidRPr="00A16A7D" w:rsidRDefault="00A12311" w:rsidP="00B2639A">
      <w:pPr>
        <w:ind w:left="5533"/>
      </w:pPr>
    </w:p>
    <w:p w:rsidR="00E830F4" w:rsidRPr="00A16A7D" w:rsidRDefault="00E830F4" w:rsidP="00B2639A">
      <w:pPr>
        <w:ind w:left="5533"/>
      </w:pPr>
    </w:p>
    <w:sectPr w:rsidR="00E830F4" w:rsidRPr="00A16A7D" w:rsidSect="003E4897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15" w:rsidRDefault="00601F15">
      <w:r>
        <w:separator/>
      </w:r>
    </w:p>
  </w:endnote>
  <w:endnote w:type="continuationSeparator" w:id="0">
    <w:p w:rsidR="00601F15" w:rsidRDefault="00601F15" w:rsidP="003B38C1">
      <w:r>
        <w:separator/>
      </w:r>
    </w:p>
    <w:p w:rsidR="00601F15" w:rsidRPr="00480009" w:rsidRDefault="00601F15" w:rsidP="003B38C1">
      <w:pPr>
        <w:spacing w:after="60"/>
        <w:rPr>
          <w:sz w:val="17"/>
          <w:lang w:val="en-US"/>
        </w:rPr>
      </w:pPr>
      <w:r w:rsidRPr="00480009">
        <w:rPr>
          <w:sz w:val="17"/>
          <w:lang w:val="en-US"/>
        </w:rPr>
        <w:t>[Endnote continued from previous page]</w:t>
      </w:r>
    </w:p>
  </w:endnote>
  <w:endnote w:type="continuationNotice" w:id="1">
    <w:p w:rsidR="00601F15" w:rsidRPr="00480009" w:rsidRDefault="00601F15" w:rsidP="003B38C1">
      <w:pPr>
        <w:spacing w:before="60"/>
        <w:jc w:val="right"/>
        <w:rPr>
          <w:sz w:val="17"/>
          <w:szCs w:val="17"/>
          <w:lang w:val="en-US"/>
        </w:rPr>
      </w:pPr>
      <w:r w:rsidRPr="0048000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15" w:rsidRDefault="00601F15">
      <w:r>
        <w:separator/>
      </w:r>
    </w:p>
  </w:footnote>
  <w:footnote w:type="continuationSeparator" w:id="0">
    <w:p w:rsidR="00601F15" w:rsidRDefault="00601F15" w:rsidP="008B60B2">
      <w:r>
        <w:separator/>
      </w:r>
    </w:p>
    <w:p w:rsidR="00601F15" w:rsidRPr="00480009" w:rsidRDefault="00601F15" w:rsidP="008B60B2">
      <w:pPr>
        <w:spacing w:after="60"/>
        <w:rPr>
          <w:sz w:val="17"/>
          <w:szCs w:val="17"/>
          <w:lang w:val="en-US"/>
        </w:rPr>
      </w:pPr>
      <w:r w:rsidRPr="0048000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01F15" w:rsidRPr="00480009" w:rsidRDefault="00601F15" w:rsidP="008B60B2">
      <w:pPr>
        <w:spacing w:before="60"/>
        <w:jc w:val="right"/>
        <w:rPr>
          <w:sz w:val="17"/>
          <w:szCs w:val="17"/>
          <w:lang w:val="en-US"/>
        </w:rPr>
      </w:pPr>
      <w:r w:rsidRPr="0048000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F4" w:rsidRDefault="00E830F4" w:rsidP="001C63E0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46963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E830F4" w:rsidRDefault="00E830F4" w:rsidP="004B757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F4" w:rsidRPr="000411F0" w:rsidRDefault="000411F0" w:rsidP="00A12311">
    <w:pPr>
      <w:jc w:val="right"/>
    </w:pPr>
    <w:r w:rsidRPr="000411F0">
      <w:rPr>
        <w:lang w:val="es-ES_tradnl"/>
      </w:rPr>
      <w:t>H/A/34/1</w:t>
    </w:r>
  </w:p>
  <w:p w:rsidR="00E830F4" w:rsidRPr="000411F0" w:rsidRDefault="000411F0" w:rsidP="00A12311">
    <w:pPr>
      <w:jc w:val="right"/>
    </w:pPr>
    <w:r w:rsidRPr="000411F0">
      <w:rPr>
        <w:lang w:val="es-ES_tradnl"/>
      </w:rPr>
      <w:t>página</w:t>
    </w:r>
    <w:r w:rsidRPr="000411F0">
      <w:t xml:space="preserve"> </w:t>
    </w:r>
    <w:r w:rsidR="005305C5" w:rsidRPr="000411F0">
      <w:fldChar w:fldCharType="begin"/>
    </w:r>
    <w:r w:rsidR="005305C5" w:rsidRPr="000411F0">
      <w:instrText xml:space="preserve"> PAGE  \* MERGEFORMAT </w:instrText>
    </w:r>
    <w:r w:rsidR="005305C5" w:rsidRPr="000411F0">
      <w:fldChar w:fldCharType="separate"/>
    </w:r>
    <w:r w:rsidR="00480009">
      <w:rPr>
        <w:noProof/>
      </w:rPr>
      <w:t>4</w:t>
    </w:r>
    <w:r w:rsidR="005305C5" w:rsidRPr="000411F0">
      <w:rPr>
        <w:noProof/>
      </w:rPr>
      <w:fldChar w:fldCharType="end"/>
    </w:r>
  </w:p>
  <w:p w:rsidR="00E830F4" w:rsidRDefault="00E830F4" w:rsidP="004B7572">
    <w:pPr>
      <w:jc w:val="right"/>
    </w:pPr>
  </w:p>
  <w:p w:rsidR="00E830F4" w:rsidRDefault="00E830F4" w:rsidP="00053DA1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AC8D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208C4C7A"/>
    <w:multiLevelType w:val="hybridMultilevel"/>
    <w:tmpl w:val="FD1481D4"/>
    <w:lvl w:ilvl="0" w:tplc="4D9EF9DC">
      <w:start w:val="2"/>
      <w:numFmt w:val="lowerRoman"/>
      <w:lvlText w:val="(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abstractNum w:abstractNumId="3">
    <w:nsid w:val="268A301A"/>
    <w:multiLevelType w:val="multilevel"/>
    <w:tmpl w:val="81EA6450"/>
    <w:lvl w:ilvl="0">
      <w:start w:val="1"/>
      <w:numFmt w:val="none"/>
      <w:lvlRestart w:val="0"/>
      <w:pStyle w:val="ONUME"/>
      <w:lvlText w:val="(i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/>
      </w:pPr>
      <w:rPr>
        <w:rFonts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QA34363|WorkspaceSTS\Draft\BudgetFinance\Budget_2012_13|WorkspaceSTS\Draft\BudgetFinance\Docs ref PBC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PCT docs para job 35150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3E4897"/>
    <w:rsid w:val="00001A1F"/>
    <w:rsid w:val="000035BE"/>
    <w:rsid w:val="00004B2B"/>
    <w:rsid w:val="00006DB8"/>
    <w:rsid w:val="00010A6C"/>
    <w:rsid w:val="00013432"/>
    <w:rsid w:val="0001682D"/>
    <w:rsid w:val="00030B2C"/>
    <w:rsid w:val="00031BD9"/>
    <w:rsid w:val="00034381"/>
    <w:rsid w:val="000379B4"/>
    <w:rsid w:val="000411F0"/>
    <w:rsid w:val="00041745"/>
    <w:rsid w:val="00042E44"/>
    <w:rsid w:val="00043CAA"/>
    <w:rsid w:val="00045613"/>
    <w:rsid w:val="00046963"/>
    <w:rsid w:val="00047B16"/>
    <w:rsid w:val="00052993"/>
    <w:rsid w:val="000539F4"/>
    <w:rsid w:val="00053DA1"/>
    <w:rsid w:val="00056F04"/>
    <w:rsid w:val="00064445"/>
    <w:rsid w:val="000648CA"/>
    <w:rsid w:val="0007091D"/>
    <w:rsid w:val="000745FE"/>
    <w:rsid w:val="00075432"/>
    <w:rsid w:val="0007682F"/>
    <w:rsid w:val="000848BF"/>
    <w:rsid w:val="00093BD8"/>
    <w:rsid w:val="000968ED"/>
    <w:rsid w:val="00097A31"/>
    <w:rsid w:val="000A00CC"/>
    <w:rsid w:val="000A0941"/>
    <w:rsid w:val="000A322E"/>
    <w:rsid w:val="000A4648"/>
    <w:rsid w:val="000C12A9"/>
    <w:rsid w:val="000C1BE1"/>
    <w:rsid w:val="000C1CC2"/>
    <w:rsid w:val="000D5455"/>
    <w:rsid w:val="000F137E"/>
    <w:rsid w:val="000F5E56"/>
    <w:rsid w:val="00102B47"/>
    <w:rsid w:val="00103281"/>
    <w:rsid w:val="00104636"/>
    <w:rsid w:val="0010788E"/>
    <w:rsid w:val="00114826"/>
    <w:rsid w:val="00114F19"/>
    <w:rsid w:val="001328C5"/>
    <w:rsid w:val="00134376"/>
    <w:rsid w:val="001362EE"/>
    <w:rsid w:val="001413E9"/>
    <w:rsid w:val="00150687"/>
    <w:rsid w:val="00152E5D"/>
    <w:rsid w:val="00154263"/>
    <w:rsid w:val="00157763"/>
    <w:rsid w:val="0015797F"/>
    <w:rsid w:val="001720BB"/>
    <w:rsid w:val="00175B41"/>
    <w:rsid w:val="001832A6"/>
    <w:rsid w:val="00193E38"/>
    <w:rsid w:val="001B0257"/>
    <w:rsid w:val="001C1D0F"/>
    <w:rsid w:val="001C2A8C"/>
    <w:rsid w:val="001C3448"/>
    <w:rsid w:val="001C5F58"/>
    <w:rsid w:val="001C63E0"/>
    <w:rsid w:val="001D03B1"/>
    <w:rsid w:val="001D1A58"/>
    <w:rsid w:val="001D5B07"/>
    <w:rsid w:val="001D6859"/>
    <w:rsid w:val="001E1AE9"/>
    <w:rsid w:val="001E27AB"/>
    <w:rsid w:val="001E4F1B"/>
    <w:rsid w:val="001E70ED"/>
    <w:rsid w:val="001F15BD"/>
    <w:rsid w:val="001F5BF5"/>
    <w:rsid w:val="00202E9C"/>
    <w:rsid w:val="00205C7D"/>
    <w:rsid w:val="0021499A"/>
    <w:rsid w:val="00214ADE"/>
    <w:rsid w:val="0021549B"/>
    <w:rsid w:val="002229C7"/>
    <w:rsid w:val="002277D1"/>
    <w:rsid w:val="00236CC8"/>
    <w:rsid w:val="00254F0E"/>
    <w:rsid w:val="00255062"/>
    <w:rsid w:val="0025665D"/>
    <w:rsid w:val="002610F6"/>
    <w:rsid w:val="002634C4"/>
    <w:rsid w:val="002707AF"/>
    <w:rsid w:val="00271E81"/>
    <w:rsid w:val="00272965"/>
    <w:rsid w:val="00273875"/>
    <w:rsid w:val="00275192"/>
    <w:rsid w:val="00281399"/>
    <w:rsid w:val="0028552A"/>
    <w:rsid w:val="002928D3"/>
    <w:rsid w:val="00295494"/>
    <w:rsid w:val="002A58C9"/>
    <w:rsid w:val="002B479A"/>
    <w:rsid w:val="002C673B"/>
    <w:rsid w:val="002D1155"/>
    <w:rsid w:val="002D17E0"/>
    <w:rsid w:val="002D5C25"/>
    <w:rsid w:val="002D6F89"/>
    <w:rsid w:val="002E6B2C"/>
    <w:rsid w:val="002F1799"/>
    <w:rsid w:val="002F1FE6"/>
    <w:rsid w:val="002F397B"/>
    <w:rsid w:val="002F4E68"/>
    <w:rsid w:val="002F62C8"/>
    <w:rsid w:val="002F69DE"/>
    <w:rsid w:val="00307EF0"/>
    <w:rsid w:val="003123A0"/>
    <w:rsid w:val="00312F7F"/>
    <w:rsid w:val="00313BE3"/>
    <w:rsid w:val="00314694"/>
    <w:rsid w:val="00331CC2"/>
    <w:rsid w:val="00346582"/>
    <w:rsid w:val="00351396"/>
    <w:rsid w:val="003673CF"/>
    <w:rsid w:val="003711EC"/>
    <w:rsid w:val="0037749C"/>
    <w:rsid w:val="00377A03"/>
    <w:rsid w:val="0038118F"/>
    <w:rsid w:val="003845C1"/>
    <w:rsid w:val="00385969"/>
    <w:rsid w:val="0039293F"/>
    <w:rsid w:val="0039765F"/>
    <w:rsid w:val="00397946"/>
    <w:rsid w:val="003A0330"/>
    <w:rsid w:val="003A6F89"/>
    <w:rsid w:val="003A70D8"/>
    <w:rsid w:val="003B04B5"/>
    <w:rsid w:val="003B2F80"/>
    <w:rsid w:val="003B38C1"/>
    <w:rsid w:val="003B5432"/>
    <w:rsid w:val="003B7C04"/>
    <w:rsid w:val="003E0DA5"/>
    <w:rsid w:val="003E4218"/>
    <w:rsid w:val="003E4897"/>
    <w:rsid w:val="00405DDE"/>
    <w:rsid w:val="00406017"/>
    <w:rsid w:val="00423E3E"/>
    <w:rsid w:val="00426D81"/>
    <w:rsid w:val="00427AF4"/>
    <w:rsid w:val="00432E9B"/>
    <w:rsid w:val="00436D2A"/>
    <w:rsid w:val="0044268F"/>
    <w:rsid w:val="00443B0A"/>
    <w:rsid w:val="00445BA0"/>
    <w:rsid w:val="00446425"/>
    <w:rsid w:val="0045736E"/>
    <w:rsid w:val="004647DA"/>
    <w:rsid w:val="00466D1D"/>
    <w:rsid w:val="00474062"/>
    <w:rsid w:val="00477D6B"/>
    <w:rsid w:val="00480009"/>
    <w:rsid w:val="004819F1"/>
    <w:rsid w:val="00485FB1"/>
    <w:rsid w:val="00497537"/>
    <w:rsid w:val="00497B89"/>
    <w:rsid w:val="004A06B2"/>
    <w:rsid w:val="004A18AA"/>
    <w:rsid w:val="004A4A47"/>
    <w:rsid w:val="004B7572"/>
    <w:rsid w:val="004C53A5"/>
    <w:rsid w:val="004E0752"/>
    <w:rsid w:val="004E60D3"/>
    <w:rsid w:val="004E7B4A"/>
    <w:rsid w:val="004F3731"/>
    <w:rsid w:val="0050613B"/>
    <w:rsid w:val="005075AB"/>
    <w:rsid w:val="00507A26"/>
    <w:rsid w:val="00514558"/>
    <w:rsid w:val="005259C9"/>
    <w:rsid w:val="00526FD9"/>
    <w:rsid w:val="0053057A"/>
    <w:rsid w:val="005305C5"/>
    <w:rsid w:val="00533A70"/>
    <w:rsid w:val="00535C5E"/>
    <w:rsid w:val="00543240"/>
    <w:rsid w:val="00560A29"/>
    <w:rsid w:val="00560CD4"/>
    <w:rsid w:val="00574BDB"/>
    <w:rsid w:val="00580046"/>
    <w:rsid w:val="00595C16"/>
    <w:rsid w:val="005975F4"/>
    <w:rsid w:val="005A2285"/>
    <w:rsid w:val="005B0E18"/>
    <w:rsid w:val="005B1E4A"/>
    <w:rsid w:val="005B5890"/>
    <w:rsid w:val="005B6FB1"/>
    <w:rsid w:val="005C6730"/>
    <w:rsid w:val="005D78FE"/>
    <w:rsid w:val="005E0C36"/>
    <w:rsid w:val="005E1D45"/>
    <w:rsid w:val="005F0978"/>
    <w:rsid w:val="005F1B3E"/>
    <w:rsid w:val="005F3442"/>
    <w:rsid w:val="005F50EC"/>
    <w:rsid w:val="005F7017"/>
    <w:rsid w:val="00601F15"/>
    <w:rsid w:val="00605827"/>
    <w:rsid w:val="00640880"/>
    <w:rsid w:val="00643883"/>
    <w:rsid w:val="00646050"/>
    <w:rsid w:val="00654B7D"/>
    <w:rsid w:val="00661557"/>
    <w:rsid w:val="006713CA"/>
    <w:rsid w:val="00671511"/>
    <w:rsid w:val="0067411E"/>
    <w:rsid w:val="00676C5C"/>
    <w:rsid w:val="00677E19"/>
    <w:rsid w:val="00682FA1"/>
    <w:rsid w:val="00690C33"/>
    <w:rsid w:val="006A130B"/>
    <w:rsid w:val="006A54ED"/>
    <w:rsid w:val="006A60C3"/>
    <w:rsid w:val="006B2F48"/>
    <w:rsid w:val="006B60E0"/>
    <w:rsid w:val="006C263E"/>
    <w:rsid w:val="006C6504"/>
    <w:rsid w:val="006C73E3"/>
    <w:rsid w:val="006D5A91"/>
    <w:rsid w:val="006E78DA"/>
    <w:rsid w:val="006F063F"/>
    <w:rsid w:val="006F148A"/>
    <w:rsid w:val="006F29B9"/>
    <w:rsid w:val="0071351F"/>
    <w:rsid w:val="00715159"/>
    <w:rsid w:val="00721585"/>
    <w:rsid w:val="00722A61"/>
    <w:rsid w:val="00745E93"/>
    <w:rsid w:val="007461EA"/>
    <w:rsid w:val="007544EC"/>
    <w:rsid w:val="00761A8D"/>
    <w:rsid w:val="00762DFA"/>
    <w:rsid w:val="007638A0"/>
    <w:rsid w:val="00763CDF"/>
    <w:rsid w:val="00773683"/>
    <w:rsid w:val="00775D52"/>
    <w:rsid w:val="00776C8F"/>
    <w:rsid w:val="00777317"/>
    <w:rsid w:val="00780721"/>
    <w:rsid w:val="00785DE1"/>
    <w:rsid w:val="00794F0C"/>
    <w:rsid w:val="007A002F"/>
    <w:rsid w:val="007A58AF"/>
    <w:rsid w:val="007B1DD6"/>
    <w:rsid w:val="007B7D71"/>
    <w:rsid w:val="007C23F7"/>
    <w:rsid w:val="007D0616"/>
    <w:rsid w:val="007D1613"/>
    <w:rsid w:val="007E699F"/>
    <w:rsid w:val="007E7E4C"/>
    <w:rsid w:val="00811589"/>
    <w:rsid w:val="0081568A"/>
    <w:rsid w:val="00817BE0"/>
    <w:rsid w:val="00847246"/>
    <w:rsid w:val="0086362E"/>
    <w:rsid w:val="00874202"/>
    <w:rsid w:val="008845D9"/>
    <w:rsid w:val="008A3E99"/>
    <w:rsid w:val="008B13FF"/>
    <w:rsid w:val="008B2CC1"/>
    <w:rsid w:val="008B36D8"/>
    <w:rsid w:val="008B37BF"/>
    <w:rsid w:val="008B60B2"/>
    <w:rsid w:val="008C0023"/>
    <w:rsid w:val="008C5B56"/>
    <w:rsid w:val="008C6E4B"/>
    <w:rsid w:val="008D0DCC"/>
    <w:rsid w:val="008D6555"/>
    <w:rsid w:val="008E4E59"/>
    <w:rsid w:val="008F5EA7"/>
    <w:rsid w:val="009027C8"/>
    <w:rsid w:val="00902ED7"/>
    <w:rsid w:val="00903516"/>
    <w:rsid w:val="00903930"/>
    <w:rsid w:val="00904496"/>
    <w:rsid w:val="0090731E"/>
    <w:rsid w:val="00916EE2"/>
    <w:rsid w:val="0093438D"/>
    <w:rsid w:val="0093778E"/>
    <w:rsid w:val="00937A85"/>
    <w:rsid w:val="0094200B"/>
    <w:rsid w:val="009454AD"/>
    <w:rsid w:val="00964916"/>
    <w:rsid w:val="00966A22"/>
    <w:rsid w:val="00967184"/>
    <w:rsid w:val="0096722F"/>
    <w:rsid w:val="00970043"/>
    <w:rsid w:val="00970D6F"/>
    <w:rsid w:val="009751CE"/>
    <w:rsid w:val="00980843"/>
    <w:rsid w:val="00993B31"/>
    <w:rsid w:val="009A185E"/>
    <w:rsid w:val="009A6101"/>
    <w:rsid w:val="009C64E9"/>
    <w:rsid w:val="009D2934"/>
    <w:rsid w:val="009D2A86"/>
    <w:rsid w:val="009D6B6B"/>
    <w:rsid w:val="009D72E0"/>
    <w:rsid w:val="009E2791"/>
    <w:rsid w:val="009E3F6F"/>
    <w:rsid w:val="009E3FB2"/>
    <w:rsid w:val="009F373B"/>
    <w:rsid w:val="009F499F"/>
    <w:rsid w:val="009F6BDA"/>
    <w:rsid w:val="009F7EC1"/>
    <w:rsid w:val="00A025BC"/>
    <w:rsid w:val="00A06A85"/>
    <w:rsid w:val="00A11B67"/>
    <w:rsid w:val="00A12311"/>
    <w:rsid w:val="00A1235C"/>
    <w:rsid w:val="00A16A7D"/>
    <w:rsid w:val="00A22CCB"/>
    <w:rsid w:val="00A247DC"/>
    <w:rsid w:val="00A33E5A"/>
    <w:rsid w:val="00A41FF4"/>
    <w:rsid w:val="00A42DAF"/>
    <w:rsid w:val="00A45BD8"/>
    <w:rsid w:val="00A52B7A"/>
    <w:rsid w:val="00A66C02"/>
    <w:rsid w:val="00A74673"/>
    <w:rsid w:val="00A81366"/>
    <w:rsid w:val="00A977F0"/>
    <w:rsid w:val="00AA0F8D"/>
    <w:rsid w:val="00AC0B60"/>
    <w:rsid w:val="00AC10DD"/>
    <w:rsid w:val="00AC205C"/>
    <w:rsid w:val="00AD09E1"/>
    <w:rsid w:val="00AD0C6E"/>
    <w:rsid w:val="00AD43F3"/>
    <w:rsid w:val="00AD56FB"/>
    <w:rsid w:val="00AD7719"/>
    <w:rsid w:val="00AE48EF"/>
    <w:rsid w:val="00AE5A71"/>
    <w:rsid w:val="00AF0A6B"/>
    <w:rsid w:val="00AF1D1D"/>
    <w:rsid w:val="00AF2945"/>
    <w:rsid w:val="00AF2D3A"/>
    <w:rsid w:val="00AF3F7B"/>
    <w:rsid w:val="00AF5A05"/>
    <w:rsid w:val="00AF5FAE"/>
    <w:rsid w:val="00B05A69"/>
    <w:rsid w:val="00B13F1A"/>
    <w:rsid w:val="00B13FED"/>
    <w:rsid w:val="00B2639A"/>
    <w:rsid w:val="00B3105B"/>
    <w:rsid w:val="00B34109"/>
    <w:rsid w:val="00B3446D"/>
    <w:rsid w:val="00B37DEC"/>
    <w:rsid w:val="00B474CC"/>
    <w:rsid w:val="00B60F45"/>
    <w:rsid w:val="00B6267A"/>
    <w:rsid w:val="00B646C1"/>
    <w:rsid w:val="00B73D72"/>
    <w:rsid w:val="00B85A28"/>
    <w:rsid w:val="00B86BA3"/>
    <w:rsid w:val="00B92B5A"/>
    <w:rsid w:val="00B96686"/>
    <w:rsid w:val="00B9728B"/>
    <w:rsid w:val="00B9734B"/>
    <w:rsid w:val="00BA67B0"/>
    <w:rsid w:val="00BA77CF"/>
    <w:rsid w:val="00BB0D9B"/>
    <w:rsid w:val="00BB2C6B"/>
    <w:rsid w:val="00BC2A52"/>
    <w:rsid w:val="00BD1B76"/>
    <w:rsid w:val="00BE228C"/>
    <w:rsid w:val="00BE7536"/>
    <w:rsid w:val="00BF324A"/>
    <w:rsid w:val="00BF5AC1"/>
    <w:rsid w:val="00BF5DC9"/>
    <w:rsid w:val="00C0664D"/>
    <w:rsid w:val="00C11BFE"/>
    <w:rsid w:val="00C149F9"/>
    <w:rsid w:val="00C17DE8"/>
    <w:rsid w:val="00C27D2D"/>
    <w:rsid w:val="00C32AC3"/>
    <w:rsid w:val="00C37736"/>
    <w:rsid w:val="00C44565"/>
    <w:rsid w:val="00C64E9F"/>
    <w:rsid w:val="00C72CEB"/>
    <w:rsid w:val="00C76E8F"/>
    <w:rsid w:val="00C86093"/>
    <w:rsid w:val="00C9269A"/>
    <w:rsid w:val="00C92A8B"/>
    <w:rsid w:val="00C92D80"/>
    <w:rsid w:val="00C96966"/>
    <w:rsid w:val="00CA5ECB"/>
    <w:rsid w:val="00CA6965"/>
    <w:rsid w:val="00CB37EE"/>
    <w:rsid w:val="00CB70A0"/>
    <w:rsid w:val="00CC00C4"/>
    <w:rsid w:val="00CC5609"/>
    <w:rsid w:val="00CC6F64"/>
    <w:rsid w:val="00CD2539"/>
    <w:rsid w:val="00CD4DBF"/>
    <w:rsid w:val="00CE05D2"/>
    <w:rsid w:val="00CE7AED"/>
    <w:rsid w:val="00D04177"/>
    <w:rsid w:val="00D06321"/>
    <w:rsid w:val="00D0798A"/>
    <w:rsid w:val="00D23F17"/>
    <w:rsid w:val="00D41364"/>
    <w:rsid w:val="00D43E29"/>
    <w:rsid w:val="00D45252"/>
    <w:rsid w:val="00D45D03"/>
    <w:rsid w:val="00D52ED3"/>
    <w:rsid w:val="00D54EF5"/>
    <w:rsid w:val="00D577E3"/>
    <w:rsid w:val="00D62ED8"/>
    <w:rsid w:val="00D63E7E"/>
    <w:rsid w:val="00D66495"/>
    <w:rsid w:val="00D71B4D"/>
    <w:rsid w:val="00D818C7"/>
    <w:rsid w:val="00D866BA"/>
    <w:rsid w:val="00D90D6E"/>
    <w:rsid w:val="00D93D55"/>
    <w:rsid w:val="00DA2C87"/>
    <w:rsid w:val="00DA57C0"/>
    <w:rsid w:val="00DB3440"/>
    <w:rsid w:val="00DB46E2"/>
    <w:rsid w:val="00DC09AB"/>
    <w:rsid w:val="00DC36F7"/>
    <w:rsid w:val="00DC3B81"/>
    <w:rsid w:val="00DD5099"/>
    <w:rsid w:val="00DE54CB"/>
    <w:rsid w:val="00DE6F8B"/>
    <w:rsid w:val="00E018B9"/>
    <w:rsid w:val="00E0393E"/>
    <w:rsid w:val="00E05E58"/>
    <w:rsid w:val="00E10498"/>
    <w:rsid w:val="00E1488A"/>
    <w:rsid w:val="00E14A03"/>
    <w:rsid w:val="00E31A9F"/>
    <w:rsid w:val="00E335FE"/>
    <w:rsid w:val="00E44062"/>
    <w:rsid w:val="00E44B81"/>
    <w:rsid w:val="00E45380"/>
    <w:rsid w:val="00E5190E"/>
    <w:rsid w:val="00E53D6E"/>
    <w:rsid w:val="00E57FEB"/>
    <w:rsid w:val="00E61832"/>
    <w:rsid w:val="00E630B5"/>
    <w:rsid w:val="00E742AA"/>
    <w:rsid w:val="00E75D0B"/>
    <w:rsid w:val="00E830F4"/>
    <w:rsid w:val="00E93ABF"/>
    <w:rsid w:val="00EA1263"/>
    <w:rsid w:val="00EA1C16"/>
    <w:rsid w:val="00EB05DB"/>
    <w:rsid w:val="00EC4E49"/>
    <w:rsid w:val="00ED06D6"/>
    <w:rsid w:val="00ED2526"/>
    <w:rsid w:val="00ED558C"/>
    <w:rsid w:val="00ED77FB"/>
    <w:rsid w:val="00EE45FA"/>
    <w:rsid w:val="00F03D37"/>
    <w:rsid w:val="00F0458E"/>
    <w:rsid w:val="00F25043"/>
    <w:rsid w:val="00F35183"/>
    <w:rsid w:val="00F42279"/>
    <w:rsid w:val="00F4771F"/>
    <w:rsid w:val="00F5709C"/>
    <w:rsid w:val="00F61647"/>
    <w:rsid w:val="00F66152"/>
    <w:rsid w:val="00F66E9E"/>
    <w:rsid w:val="00F74219"/>
    <w:rsid w:val="00F93792"/>
    <w:rsid w:val="00FB1E9B"/>
    <w:rsid w:val="00FC0519"/>
    <w:rsid w:val="00FD0F5F"/>
    <w:rsid w:val="00FD7AB4"/>
    <w:rsid w:val="00FF0B4A"/>
    <w:rsid w:val="00FF0C61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74F4-D375-4F23-81B5-FAF5316F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1501</Words>
  <Characters>8055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modernización de las tecnologías de la información (Sistema de La Haya de Registro Internacional):  Informe sobre la marcha de las actividades</vt:lpstr>
    </vt:vector>
  </TitlesOfParts>
  <Company>WIPO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modernización de las tecnologías de la información (Sistema de La Haya de Registro Internacional):  Informe sobre la marcha de las actividades</dc:title>
  <dc:subject>H/A/34/1</dc:subject>
  <dc:creator>MIGLIORE</dc:creator>
  <dc:description>LM
26/06/2014</dc:description>
  <cp:lastModifiedBy>MARIN-CUDRAZ DAVI Nicoletta</cp:lastModifiedBy>
  <cp:revision>4</cp:revision>
  <cp:lastPrinted>2014-07-02T15:20:00Z</cp:lastPrinted>
  <dcterms:created xsi:type="dcterms:W3CDTF">2014-07-02T15:20:00Z</dcterms:created>
  <dcterms:modified xsi:type="dcterms:W3CDTF">2014-07-03T06:57:00Z</dcterms:modified>
</cp:coreProperties>
</file>