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E5C4" w14:textId="77777777" w:rsidR="008B2CC1" w:rsidRPr="0041782C" w:rsidRDefault="008B14EA" w:rsidP="008B14EA">
      <w:pPr>
        <w:spacing w:after="120"/>
        <w:jc w:val="right"/>
        <w:rPr>
          <w:lang w:val="es-419"/>
        </w:rPr>
      </w:pPr>
      <w:r w:rsidRPr="0041782C">
        <w:rPr>
          <w:noProof/>
          <w:lang w:val="es-419" w:eastAsia="en-US"/>
        </w:rPr>
        <w:drawing>
          <wp:inline distT="0" distB="0" distL="0" distR="0" wp14:anchorId="7A8EAB57" wp14:editId="4E50192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1782C">
        <w:rPr>
          <w:rFonts w:ascii="Arial Black" w:hAnsi="Arial Black"/>
          <w:caps/>
          <w:noProof/>
          <w:sz w:val="15"/>
          <w:szCs w:val="15"/>
          <w:lang w:val="es-419" w:eastAsia="en-US"/>
        </w:rPr>
        <mc:AlternateContent>
          <mc:Choice Requires="wps">
            <w:drawing>
              <wp:inline distT="0" distB="0" distL="0" distR="0" wp14:anchorId="71E19A0C" wp14:editId="76DFB6F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053BA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AC7FFF" w14:textId="7509011E" w:rsidR="008B2CC1" w:rsidRPr="0041782C" w:rsidRDefault="00A8121F" w:rsidP="008B14EA">
      <w:pPr>
        <w:jc w:val="right"/>
        <w:rPr>
          <w:rFonts w:ascii="Arial Black" w:hAnsi="Arial Black"/>
          <w:caps/>
          <w:sz w:val="15"/>
          <w:lang w:val="es-419"/>
        </w:rPr>
      </w:pPr>
      <w:r w:rsidRPr="0041782C">
        <w:rPr>
          <w:rFonts w:ascii="Arial Black" w:hAnsi="Arial Black"/>
          <w:caps/>
          <w:sz w:val="15"/>
          <w:lang w:val="es-419"/>
        </w:rPr>
        <w:t>A/6</w:t>
      </w:r>
      <w:r w:rsidR="005A7311" w:rsidRPr="0041782C">
        <w:rPr>
          <w:rFonts w:ascii="Arial Black" w:hAnsi="Arial Black"/>
          <w:caps/>
          <w:sz w:val="15"/>
          <w:lang w:val="es-419"/>
        </w:rPr>
        <w:t>6</w:t>
      </w:r>
      <w:r w:rsidRPr="0041782C">
        <w:rPr>
          <w:rFonts w:ascii="Arial Black" w:hAnsi="Arial Black"/>
          <w:caps/>
          <w:sz w:val="15"/>
          <w:lang w:val="es-419"/>
        </w:rPr>
        <w:t>/</w:t>
      </w:r>
      <w:bookmarkStart w:id="0" w:name="Code"/>
      <w:r w:rsidR="00A61264" w:rsidRPr="0041782C">
        <w:rPr>
          <w:rFonts w:ascii="Arial Black" w:hAnsi="Arial Black"/>
          <w:caps/>
          <w:sz w:val="15"/>
          <w:lang w:val="es-419"/>
        </w:rPr>
        <w:t>6</w:t>
      </w:r>
    </w:p>
    <w:bookmarkEnd w:id="0"/>
    <w:p w14:paraId="59B733C6" w14:textId="757CCF0F" w:rsidR="008B2CC1" w:rsidRPr="0041782C" w:rsidRDefault="008B14EA" w:rsidP="008B14EA">
      <w:pPr>
        <w:jc w:val="right"/>
        <w:rPr>
          <w:rFonts w:ascii="Arial Black" w:hAnsi="Arial Black"/>
          <w:caps/>
          <w:sz w:val="15"/>
          <w:lang w:val="es-419"/>
        </w:rPr>
      </w:pPr>
      <w:r w:rsidRPr="0041782C">
        <w:rPr>
          <w:rFonts w:ascii="Arial Black" w:hAnsi="Arial Black"/>
          <w:caps/>
          <w:sz w:val="15"/>
          <w:lang w:val="es-419"/>
        </w:rPr>
        <w:t xml:space="preserve">ORIGINAL: </w:t>
      </w:r>
      <w:bookmarkStart w:id="1" w:name="Original"/>
      <w:r w:rsidR="00A61264" w:rsidRPr="0041782C">
        <w:rPr>
          <w:rFonts w:ascii="Arial Black" w:hAnsi="Arial Black"/>
          <w:caps/>
          <w:sz w:val="15"/>
          <w:lang w:val="es-419"/>
        </w:rPr>
        <w:t>INGLÉS</w:t>
      </w:r>
    </w:p>
    <w:bookmarkEnd w:id="1"/>
    <w:p w14:paraId="644A2079" w14:textId="502079B2" w:rsidR="008B2CC1" w:rsidRPr="0041782C" w:rsidRDefault="008B14EA" w:rsidP="008B14EA">
      <w:pPr>
        <w:spacing w:after="1200"/>
        <w:jc w:val="right"/>
        <w:rPr>
          <w:rFonts w:ascii="Arial Black" w:hAnsi="Arial Black"/>
          <w:caps/>
          <w:sz w:val="15"/>
          <w:lang w:val="es-419"/>
        </w:rPr>
      </w:pPr>
      <w:r w:rsidRPr="0041782C">
        <w:rPr>
          <w:rFonts w:ascii="Arial Black" w:hAnsi="Arial Black"/>
          <w:sz w:val="15"/>
          <w:lang w:val="es-419"/>
        </w:rPr>
        <w:t>FECHA</w:t>
      </w:r>
      <w:r w:rsidRPr="0041782C">
        <w:rPr>
          <w:rFonts w:ascii="Arial Black" w:hAnsi="Arial Black"/>
          <w:caps/>
          <w:sz w:val="15"/>
          <w:lang w:val="es-419"/>
        </w:rPr>
        <w:t xml:space="preserve">: </w:t>
      </w:r>
      <w:bookmarkStart w:id="2" w:name="Date"/>
      <w:r w:rsidR="00A61264" w:rsidRPr="0041782C">
        <w:rPr>
          <w:rFonts w:ascii="Arial Black" w:hAnsi="Arial Black"/>
          <w:caps/>
          <w:sz w:val="15"/>
          <w:lang w:val="es-419"/>
        </w:rPr>
        <w:t>20 DE MAYO DE 2025</w:t>
      </w:r>
    </w:p>
    <w:bookmarkEnd w:id="2"/>
    <w:p w14:paraId="0ACCB13B" w14:textId="77777777" w:rsidR="008B2CC1" w:rsidRPr="0041782C" w:rsidRDefault="00A8121F" w:rsidP="008B14EA">
      <w:pPr>
        <w:spacing w:after="600"/>
        <w:rPr>
          <w:b/>
          <w:sz w:val="28"/>
          <w:szCs w:val="28"/>
          <w:lang w:val="es-419"/>
        </w:rPr>
      </w:pPr>
      <w:r w:rsidRPr="0041782C">
        <w:rPr>
          <w:b/>
          <w:sz w:val="28"/>
          <w:szCs w:val="28"/>
          <w:lang w:val="es-419"/>
        </w:rPr>
        <w:t>Asambleas de los Estados miembros de la OMPI</w:t>
      </w:r>
    </w:p>
    <w:p w14:paraId="69B7CDCB" w14:textId="77777777" w:rsidR="00511D0C" w:rsidRPr="0041782C" w:rsidRDefault="00A8121F" w:rsidP="00511D0C">
      <w:pPr>
        <w:rPr>
          <w:b/>
          <w:sz w:val="24"/>
          <w:szCs w:val="24"/>
          <w:lang w:val="es-419"/>
        </w:rPr>
      </w:pPr>
      <w:r w:rsidRPr="0041782C">
        <w:rPr>
          <w:b/>
          <w:sz w:val="24"/>
          <w:szCs w:val="24"/>
          <w:lang w:val="es-419"/>
        </w:rPr>
        <w:t xml:space="preserve">Sexagésima </w:t>
      </w:r>
      <w:r w:rsidR="005A7311" w:rsidRPr="0041782C">
        <w:rPr>
          <w:b/>
          <w:sz w:val="24"/>
          <w:szCs w:val="24"/>
          <w:lang w:val="es-419"/>
        </w:rPr>
        <w:t xml:space="preserve">sexta </w:t>
      </w:r>
      <w:r w:rsidRPr="0041782C">
        <w:rPr>
          <w:b/>
          <w:sz w:val="24"/>
          <w:szCs w:val="24"/>
          <w:lang w:val="es-419"/>
        </w:rPr>
        <w:t>serie de reuniones</w:t>
      </w:r>
    </w:p>
    <w:p w14:paraId="4B5EC8C6" w14:textId="77777777" w:rsidR="008B2CC1" w:rsidRPr="0041782C" w:rsidRDefault="00A8121F" w:rsidP="008B14EA">
      <w:pPr>
        <w:spacing w:after="720"/>
        <w:rPr>
          <w:b/>
          <w:sz w:val="24"/>
          <w:szCs w:val="24"/>
          <w:lang w:val="es-419"/>
        </w:rPr>
      </w:pPr>
      <w:r w:rsidRPr="0041782C">
        <w:rPr>
          <w:b/>
          <w:sz w:val="24"/>
          <w:szCs w:val="24"/>
          <w:lang w:val="es-419"/>
        </w:rPr>
        <w:t xml:space="preserve">Ginebra, </w:t>
      </w:r>
      <w:r w:rsidR="005A7311" w:rsidRPr="0041782C">
        <w:rPr>
          <w:b/>
          <w:sz w:val="24"/>
          <w:szCs w:val="24"/>
          <w:lang w:val="es-419"/>
        </w:rPr>
        <w:t>8</w:t>
      </w:r>
      <w:r w:rsidR="004A7B16" w:rsidRPr="0041782C">
        <w:rPr>
          <w:b/>
          <w:sz w:val="24"/>
          <w:szCs w:val="24"/>
          <w:lang w:val="es-419"/>
        </w:rPr>
        <w:t xml:space="preserve"> a 17 de julio de 202</w:t>
      </w:r>
      <w:r w:rsidR="005A7311" w:rsidRPr="0041782C">
        <w:rPr>
          <w:b/>
          <w:sz w:val="24"/>
          <w:szCs w:val="24"/>
          <w:lang w:val="es-419"/>
        </w:rPr>
        <w:t>5</w:t>
      </w:r>
    </w:p>
    <w:p w14:paraId="0E494094" w14:textId="09103EBA" w:rsidR="008B2CC1" w:rsidRPr="0041782C" w:rsidRDefault="00A61264" w:rsidP="008B14EA">
      <w:pPr>
        <w:spacing w:after="360"/>
        <w:rPr>
          <w:caps/>
          <w:sz w:val="24"/>
          <w:szCs w:val="24"/>
          <w:lang w:val="es-419"/>
        </w:rPr>
      </w:pPr>
      <w:bookmarkStart w:id="3" w:name="TitleOfDoc"/>
      <w:r w:rsidRPr="0041782C">
        <w:rPr>
          <w:caps/>
          <w:sz w:val="24"/>
          <w:szCs w:val="24"/>
          <w:lang w:val="es-419"/>
        </w:rPr>
        <w:t>Informe del auditor externo</w:t>
      </w:r>
    </w:p>
    <w:p w14:paraId="2B3F2FC7" w14:textId="74DE3E9D" w:rsidR="008B2CC1" w:rsidRPr="0041782C" w:rsidRDefault="00A61264" w:rsidP="008B14EA">
      <w:pPr>
        <w:spacing w:after="960"/>
        <w:rPr>
          <w:i/>
          <w:lang w:val="es-419"/>
        </w:rPr>
      </w:pPr>
      <w:bookmarkStart w:id="4" w:name="Prepared"/>
      <w:bookmarkEnd w:id="3"/>
      <w:r w:rsidRPr="0041782C">
        <w:rPr>
          <w:i/>
          <w:lang w:val="es-419"/>
        </w:rPr>
        <w:t>preparado por la Secretaría</w:t>
      </w:r>
    </w:p>
    <w:bookmarkEnd w:id="4"/>
    <w:p w14:paraId="2906B996" w14:textId="77777777" w:rsidR="00A61264" w:rsidRPr="0041782C" w:rsidRDefault="00A61264" w:rsidP="00A61264">
      <w:pPr>
        <w:numPr>
          <w:ilvl w:val="0"/>
          <w:numId w:val="7"/>
        </w:numPr>
        <w:spacing w:after="220"/>
        <w:ind w:left="0" w:firstLine="0"/>
        <w:contextualSpacing/>
        <w:rPr>
          <w:rFonts w:eastAsia="Calibri"/>
          <w:szCs w:val="22"/>
          <w:lang w:val="es-419"/>
        </w:rPr>
      </w:pPr>
      <w:r w:rsidRPr="0041782C">
        <w:rPr>
          <w:lang w:val="es-419"/>
        </w:rPr>
        <w:t>El presente documento contiene el “Informe del auditor externo” (documento WO/PBC/39/4), presentado al Comité del Programa y Presupuesto (PBC) de la OMPI en su trigésima novena sesión (16 a 20 de junio de 2025).</w:t>
      </w:r>
    </w:p>
    <w:p w14:paraId="020A67C4" w14:textId="77777777" w:rsidR="00A61264" w:rsidRPr="0041782C" w:rsidRDefault="00A61264" w:rsidP="00A61264">
      <w:pPr>
        <w:spacing w:after="220" w:line="259" w:lineRule="auto"/>
        <w:contextualSpacing/>
        <w:rPr>
          <w:rFonts w:eastAsia="Calibri"/>
          <w:szCs w:val="22"/>
          <w:lang w:val="es-419"/>
        </w:rPr>
      </w:pPr>
    </w:p>
    <w:p w14:paraId="643B8D7D" w14:textId="77777777" w:rsidR="00A61264" w:rsidRPr="0041782C" w:rsidRDefault="00A61264" w:rsidP="00A61264">
      <w:pPr>
        <w:numPr>
          <w:ilvl w:val="0"/>
          <w:numId w:val="7"/>
        </w:numPr>
        <w:spacing w:after="220"/>
        <w:ind w:left="0" w:firstLine="0"/>
        <w:contextualSpacing/>
        <w:rPr>
          <w:rFonts w:eastAsia="Calibri"/>
          <w:szCs w:val="22"/>
          <w:lang w:val="es-419"/>
        </w:rPr>
      </w:pPr>
      <w:r w:rsidRPr="0041782C">
        <w:rPr>
          <w:lang w:val="es-419"/>
        </w:rPr>
        <w:t>Toda decisión del PBC relativa a esos documentos figurará en la “Lista de decisiones adoptadas por el Comité del Programa y Presupuesto” (documento A/66/7).</w:t>
      </w:r>
    </w:p>
    <w:p w14:paraId="5BAFD299" w14:textId="77777777" w:rsidR="00A61264" w:rsidRPr="0041782C" w:rsidRDefault="00A61264" w:rsidP="00A61264">
      <w:pPr>
        <w:spacing w:after="160" w:line="259" w:lineRule="auto"/>
        <w:contextualSpacing/>
        <w:rPr>
          <w:rFonts w:eastAsia="Calibri"/>
          <w:szCs w:val="22"/>
          <w:lang w:val="es-419"/>
        </w:rPr>
      </w:pPr>
    </w:p>
    <w:p w14:paraId="032F0E6E" w14:textId="77777777" w:rsidR="00A61264" w:rsidRPr="0041782C" w:rsidRDefault="00A61264" w:rsidP="00A61264">
      <w:pPr>
        <w:spacing w:after="160" w:line="259" w:lineRule="auto"/>
        <w:contextualSpacing/>
        <w:rPr>
          <w:rFonts w:eastAsia="Calibri"/>
          <w:szCs w:val="22"/>
          <w:lang w:val="es-419"/>
        </w:rPr>
      </w:pPr>
    </w:p>
    <w:p w14:paraId="3F493314" w14:textId="77777777" w:rsidR="00A61264" w:rsidRPr="0041782C" w:rsidRDefault="00A61264" w:rsidP="00A61264">
      <w:pPr>
        <w:spacing w:after="160" w:line="259" w:lineRule="auto"/>
        <w:contextualSpacing/>
        <w:rPr>
          <w:rFonts w:eastAsia="Calibri"/>
          <w:szCs w:val="22"/>
          <w:lang w:val="es-419"/>
        </w:rPr>
      </w:pPr>
    </w:p>
    <w:p w14:paraId="3218C01B" w14:textId="4CF49A04" w:rsidR="00152CEA" w:rsidRPr="0041782C" w:rsidRDefault="00A61264" w:rsidP="00A61264">
      <w:pPr>
        <w:pStyle w:val="Endofdocument-Annex"/>
        <w:rPr>
          <w:lang w:val="es-419"/>
        </w:rPr>
      </w:pPr>
      <w:r w:rsidRPr="0041782C">
        <w:rPr>
          <w:lang w:val="es-419"/>
        </w:rPr>
        <w:t>[Sigue el documento WO/PBC/39/4]</w:t>
      </w:r>
    </w:p>
    <w:p w14:paraId="42A27D6C" w14:textId="77777777" w:rsidR="00A61264" w:rsidRPr="0041782C" w:rsidRDefault="00A61264" w:rsidP="00A61264">
      <w:pPr>
        <w:spacing w:after="220"/>
        <w:contextualSpacing/>
        <w:rPr>
          <w:lang w:val="es-419"/>
        </w:rPr>
        <w:sectPr w:rsidR="00A61264" w:rsidRPr="0041782C" w:rsidSect="00A61264">
          <w:headerReference w:type="default" r:id="rId8"/>
          <w:pgSz w:w="11907" w:h="16840" w:code="9"/>
          <w:pgMar w:top="567" w:right="1134" w:bottom="1418" w:left="1418" w:header="510" w:footer="1021" w:gutter="0"/>
          <w:cols w:space="720"/>
          <w:titlePg/>
          <w:docGrid w:linePitch="299"/>
        </w:sectPr>
      </w:pPr>
    </w:p>
    <w:p w14:paraId="6EB27A63" w14:textId="77777777" w:rsidR="00A61264" w:rsidRPr="0041782C" w:rsidRDefault="00A61264" w:rsidP="00A61264">
      <w:pPr>
        <w:spacing w:after="120"/>
        <w:jc w:val="right"/>
        <w:rPr>
          <w:lang w:val="es-419"/>
        </w:rPr>
      </w:pPr>
      <w:r w:rsidRPr="0041782C">
        <w:rPr>
          <w:noProof/>
          <w:lang w:val="es-419" w:eastAsia="en-US"/>
        </w:rPr>
        <w:lastRenderedPageBreak/>
        <w:drawing>
          <wp:inline distT="0" distB="0" distL="0" distR="0" wp14:anchorId="374C5C2C" wp14:editId="0778DE0D">
            <wp:extent cx="3014550" cy="1332000"/>
            <wp:effectExtent l="0" t="0" r="0" b="1905"/>
            <wp:docPr id="713733758" name="Picture 7137337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41782C">
        <w:rPr>
          <w:rFonts w:ascii="Arial Black" w:hAnsi="Arial Black"/>
          <w:caps/>
          <w:noProof/>
          <w:sz w:val="15"/>
          <w:szCs w:val="15"/>
          <w:lang w:val="es-419" w:eastAsia="en-US"/>
        </w:rPr>
        <mc:AlternateContent>
          <mc:Choice Requires="wps">
            <w:drawing>
              <wp:inline distT="0" distB="0" distL="0" distR="0" wp14:anchorId="42EB58F0" wp14:editId="59BFBC36">
                <wp:extent cx="5935980" cy="0"/>
                <wp:effectExtent l="0" t="0" r="26670" b="19050"/>
                <wp:docPr id="2046673776" name="Straight Connector 2046673776"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DFBCB2" id="Straight Connector 2046673776"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00E2638" w14:textId="77777777" w:rsidR="00A61264" w:rsidRPr="0041782C" w:rsidRDefault="00A61264" w:rsidP="00A61264">
      <w:pPr>
        <w:jc w:val="right"/>
        <w:rPr>
          <w:rFonts w:ascii="Arial Black" w:hAnsi="Arial Black"/>
          <w:caps/>
          <w:sz w:val="15"/>
          <w:szCs w:val="15"/>
          <w:lang w:val="es-419"/>
        </w:rPr>
      </w:pPr>
      <w:r w:rsidRPr="0041782C">
        <w:rPr>
          <w:rFonts w:ascii="Arial Black" w:hAnsi="Arial Black"/>
          <w:caps/>
          <w:sz w:val="15"/>
          <w:szCs w:val="15"/>
          <w:lang w:val="es-419"/>
        </w:rPr>
        <w:t>WO/PBC/39/4</w:t>
      </w:r>
    </w:p>
    <w:p w14:paraId="49DD0EBB" w14:textId="77777777" w:rsidR="00A61264" w:rsidRPr="0041782C" w:rsidRDefault="00A61264" w:rsidP="00A61264">
      <w:pPr>
        <w:jc w:val="right"/>
        <w:rPr>
          <w:rFonts w:ascii="Arial Black" w:hAnsi="Arial Black"/>
          <w:caps/>
          <w:sz w:val="15"/>
          <w:szCs w:val="15"/>
          <w:lang w:val="es-419"/>
        </w:rPr>
      </w:pPr>
      <w:r w:rsidRPr="0041782C">
        <w:rPr>
          <w:rFonts w:ascii="Arial Black" w:hAnsi="Arial Black"/>
          <w:caps/>
          <w:sz w:val="15"/>
          <w:szCs w:val="15"/>
          <w:lang w:val="es-419"/>
        </w:rPr>
        <w:t>ORIGINAL: INGLÉS</w:t>
      </w:r>
    </w:p>
    <w:p w14:paraId="408AF459" w14:textId="77777777" w:rsidR="00A61264" w:rsidRPr="0041782C" w:rsidRDefault="00A61264" w:rsidP="00A61264">
      <w:pPr>
        <w:spacing w:after="1200"/>
        <w:jc w:val="right"/>
        <w:rPr>
          <w:rFonts w:ascii="Arial Black" w:hAnsi="Arial Black"/>
          <w:caps/>
          <w:sz w:val="15"/>
          <w:szCs w:val="15"/>
          <w:lang w:val="es-419"/>
        </w:rPr>
      </w:pPr>
      <w:r w:rsidRPr="0041782C">
        <w:rPr>
          <w:rFonts w:ascii="Arial Black" w:hAnsi="Arial Black"/>
          <w:caps/>
          <w:sz w:val="15"/>
          <w:szCs w:val="15"/>
          <w:lang w:val="es-419"/>
        </w:rPr>
        <w:t>DATE: 20 DE MAYO DE 2025</w:t>
      </w:r>
    </w:p>
    <w:p w14:paraId="2DCCE10F" w14:textId="77777777" w:rsidR="00A61264" w:rsidRPr="0041782C" w:rsidRDefault="00A61264" w:rsidP="00A61264">
      <w:pPr>
        <w:spacing w:after="600"/>
        <w:rPr>
          <w:b/>
          <w:sz w:val="28"/>
          <w:szCs w:val="28"/>
          <w:lang w:val="es-419"/>
        </w:rPr>
      </w:pPr>
      <w:r w:rsidRPr="0041782C">
        <w:rPr>
          <w:b/>
          <w:sz w:val="28"/>
          <w:szCs w:val="28"/>
          <w:lang w:val="es-419"/>
        </w:rPr>
        <w:t>Comité del Programa y Presupuesto</w:t>
      </w:r>
    </w:p>
    <w:p w14:paraId="27E2D76A" w14:textId="77777777" w:rsidR="00A61264" w:rsidRPr="0041782C" w:rsidRDefault="00A61264" w:rsidP="00A61264">
      <w:pPr>
        <w:rPr>
          <w:b/>
          <w:sz w:val="24"/>
          <w:szCs w:val="24"/>
          <w:lang w:val="es-419"/>
        </w:rPr>
      </w:pPr>
      <w:r w:rsidRPr="0041782C">
        <w:rPr>
          <w:b/>
          <w:sz w:val="24"/>
          <w:szCs w:val="24"/>
          <w:lang w:val="es-419"/>
        </w:rPr>
        <w:t>Trigésima novena sesión</w:t>
      </w:r>
    </w:p>
    <w:p w14:paraId="446EC49D" w14:textId="77777777" w:rsidR="00A61264" w:rsidRPr="0041782C" w:rsidRDefault="00A61264" w:rsidP="00A61264">
      <w:pPr>
        <w:spacing w:after="720"/>
        <w:rPr>
          <w:lang w:val="es-419"/>
        </w:rPr>
      </w:pPr>
      <w:r w:rsidRPr="0041782C">
        <w:rPr>
          <w:b/>
          <w:sz w:val="24"/>
          <w:szCs w:val="24"/>
          <w:lang w:val="es-419"/>
        </w:rPr>
        <w:t>Ginebra, 16 a 20 de junio de 2025</w:t>
      </w:r>
    </w:p>
    <w:p w14:paraId="6879A355" w14:textId="77777777" w:rsidR="00A61264" w:rsidRPr="0041782C" w:rsidRDefault="00A61264" w:rsidP="00A61264">
      <w:pPr>
        <w:spacing w:after="360"/>
        <w:rPr>
          <w:caps/>
          <w:sz w:val="24"/>
          <w:szCs w:val="24"/>
          <w:lang w:val="es-419"/>
        </w:rPr>
      </w:pPr>
      <w:r w:rsidRPr="0041782C">
        <w:rPr>
          <w:caps/>
          <w:sz w:val="24"/>
          <w:szCs w:val="24"/>
          <w:lang w:val="es-419"/>
        </w:rPr>
        <w:t>Informe del auditor externo</w:t>
      </w:r>
    </w:p>
    <w:p w14:paraId="1D7BEE17" w14:textId="77777777" w:rsidR="00A61264" w:rsidRPr="0041782C" w:rsidRDefault="00A61264" w:rsidP="00A61264">
      <w:pPr>
        <w:spacing w:after="960"/>
        <w:rPr>
          <w:i/>
          <w:lang w:val="es-419"/>
        </w:rPr>
      </w:pPr>
      <w:r w:rsidRPr="0041782C">
        <w:rPr>
          <w:i/>
          <w:lang w:val="es-419"/>
        </w:rPr>
        <w:t>preparado por la Secretaría</w:t>
      </w:r>
    </w:p>
    <w:p w14:paraId="3669A5A6" w14:textId="77777777" w:rsidR="00A61264" w:rsidRPr="0041782C" w:rsidRDefault="00A61264" w:rsidP="00A61264">
      <w:pPr>
        <w:pStyle w:val="ListParagraph"/>
        <w:numPr>
          <w:ilvl w:val="0"/>
          <w:numId w:val="8"/>
        </w:numPr>
        <w:spacing w:after="0" w:line="240" w:lineRule="auto"/>
        <w:ind w:left="0" w:firstLine="0"/>
        <w:contextualSpacing w:val="0"/>
        <w:rPr>
          <w:rFonts w:ascii="Arial" w:eastAsia="SimSun" w:hAnsi="Arial" w:cs="Arial"/>
          <w:kern w:val="0"/>
          <w:sz w:val="22"/>
          <w:szCs w:val="20"/>
          <w:lang w:val="es-419" w:eastAsia="zh-CN"/>
          <w14:ligatures w14:val="none"/>
        </w:rPr>
      </w:pPr>
      <w:r w:rsidRPr="0041782C">
        <w:rPr>
          <w:rFonts w:ascii="Arial" w:hAnsi="Arial"/>
          <w:sz w:val="22"/>
          <w:lang w:val="es-419"/>
        </w:rPr>
        <w:t>Este documento consta de los siguientes elementos:</w:t>
      </w:r>
    </w:p>
    <w:p w14:paraId="0E049B1D" w14:textId="77777777" w:rsidR="00A61264" w:rsidRPr="0041782C" w:rsidRDefault="00A61264" w:rsidP="00A61264">
      <w:pPr>
        <w:pStyle w:val="ListParagraph"/>
        <w:spacing w:after="0" w:line="240" w:lineRule="auto"/>
        <w:ind w:left="0"/>
        <w:contextualSpacing w:val="0"/>
        <w:rPr>
          <w:rFonts w:ascii="Arial" w:eastAsia="SimSun" w:hAnsi="Arial" w:cs="Arial"/>
          <w:kern w:val="0"/>
          <w:sz w:val="22"/>
          <w:szCs w:val="20"/>
          <w:lang w:val="es-419" w:eastAsia="zh-CN"/>
          <w14:ligatures w14:val="none"/>
        </w:rPr>
      </w:pPr>
    </w:p>
    <w:p w14:paraId="61BF57CA" w14:textId="77777777" w:rsidR="00A61264" w:rsidRPr="0041782C" w:rsidRDefault="00A61264" w:rsidP="00A61264">
      <w:pPr>
        <w:ind w:left="1134" w:hanging="567"/>
        <w:rPr>
          <w:lang w:val="es-419"/>
        </w:rPr>
      </w:pPr>
      <w:r w:rsidRPr="0041782C">
        <w:rPr>
          <w:lang w:val="es-419"/>
        </w:rPr>
        <w:t>i)</w:t>
      </w:r>
      <w:r w:rsidRPr="0041782C">
        <w:rPr>
          <w:lang w:val="es-419"/>
        </w:rPr>
        <w:tab/>
        <w:t>El informe del auditor independiente, que contiene el dictamen del auditor externo sobre los estados financieros de la Organización Mundial de la Propiedad Intelectual (OMPI) correspondientes al ejercicio cerrado el 31 de diciembre de 2024; y</w:t>
      </w:r>
    </w:p>
    <w:p w14:paraId="0497B954" w14:textId="77777777" w:rsidR="00A61264" w:rsidRPr="0041782C" w:rsidRDefault="00A61264" w:rsidP="00A61264">
      <w:pPr>
        <w:ind w:left="1134" w:hanging="567"/>
        <w:rPr>
          <w:lang w:val="es-419"/>
        </w:rPr>
      </w:pPr>
    </w:p>
    <w:p w14:paraId="4BAD6FEE" w14:textId="77777777" w:rsidR="00A61264" w:rsidRPr="0041782C" w:rsidRDefault="00A61264" w:rsidP="00A61264">
      <w:pPr>
        <w:ind w:left="1134" w:hanging="567"/>
        <w:rPr>
          <w:lang w:val="es-419"/>
        </w:rPr>
      </w:pPr>
      <w:r w:rsidRPr="0041782C">
        <w:rPr>
          <w:lang w:val="es-419"/>
        </w:rPr>
        <w:t>ii)</w:t>
      </w:r>
      <w:r w:rsidRPr="0041782C">
        <w:rPr>
          <w:lang w:val="es-419"/>
        </w:rPr>
        <w:tab/>
        <w:t>El informe del auditor externo correspondiente al ejercicio 2024 presentado a la 66.ª serie de reuniones de las Asambleas de los Estados miembros de la OMPI (denominado “informe detallado”).</w:t>
      </w:r>
      <w:r w:rsidRPr="0041782C">
        <w:rPr>
          <w:color w:val="FF0000"/>
          <w:lang w:val="es-419"/>
        </w:rPr>
        <w:t xml:space="preserve"> </w:t>
      </w:r>
      <w:r w:rsidRPr="0041782C">
        <w:rPr>
          <w:lang w:val="es-419"/>
        </w:rPr>
        <w:t>Este informe contiene las recomendaciones del auditor externo derivadas de la labor de auditoría realizada durante el año 2024.</w:t>
      </w:r>
    </w:p>
    <w:p w14:paraId="57ABE1F0" w14:textId="77777777" w:rsidR="00A61264" w:rsidRPr="0041782C" w:rsidRDefault="00A61264" w:rsidP="00A61264">
      <w:pPr>
        <w:rPr>
          <w:i/>
          <w:lang w:val="es-419"/>
        </w:rPr>
      </w:pPr>
    </w:p>
    <w:p w14:paraId="7807A447" w14:textId="77777777" w:rsidR="00A61264" w:rsidRPr="0041782C" w:rsidRDefault="00A61264" w:rsidP="00A61264">
      <w:pPr>
        <w:rPr>
          <w:lang w:val="es-419"/>
        </w:rPr>
      </w:pPr>
      <w:r w:rsidRPr="0041782C">
        <w:rPr>
          <w:lang w:val="es-419"/>
        </w:rPr>
        <w:t>2.</w:t>
      </w:r>
      <w:r w:rsidRPr="0041782C">
        <w:rPr>
          <w:lang w:val="es-419"/>
        </w:rPr>
        <w:tab/>
        <w:t>Se propone el siguiente párrafo de decisión:</w:t>
      </w:r>
    </w:p>
    <w:p w14:paraId="58362DCE" w14:textId="77777777" w:rsidR="00A61264" w:rsidRPr="0041782C" w:rsidRDefault="00A61264" w:rsidP="00A61264">
      <w:pPr>
        <w:rPr>
          <w:i/>
          <w:lang w:val="es-419"/>
        </w:rPr>
      </w:pPr>
    </w:p>
    <w:p w14:paraId="318814F9" w14:textId="77777777" w:rsidR="00A61264" w:rsidRPr="0041782C" w:rsidRDefault="00A61264" w:rsidP="00A61264">
      <w:pPr>
        <w:ind w:left="5534"/>
        <w:rPr>
          <w:i/>
          <w:lang w:val="es-419"/>
        </w:rPr>
      </w:pPr>
      <w:r w:rsidRPr="0041782C">
        <w:rPr>
          <w:i/>
          <w:lang w:val="es-419"/>
        </w:rPr>
        <w:t>3.</w:t>
      </w:r>
      <w:r w:rsidRPr="0041782C">
        <w:rPr>
          <w:i/>
          <w:lang w:val="es-419"/>
        </w:rPr>
        <w:tab/>
        <w:t>El Comité del Programa y Presupuesto (PBC) recomendó a las Asambleas de la OMPI, en lo que a cada una concierna, que tomaran nota del “Informe del auditor externo” (documento WO/PBC/39/4).</w:t>
      </w:r>
    </w:p>
    <w:p w14:paraId="4C9965D4" w14:textId="77777777" w:rsidR="00A61264" w:rsidRPr="0041782C" w:rsidRDefault="00A61264" w:rsidP="00A61264">
      <w:pPr>
        <w:rPr>
          <w:i/>
          <w:lang w:val="es-419"/>
        </w:rPr>
      </w:pPr>
    </w:p>
    <w:p w14:paraId="33E459E5" w14:textId="77777777" w:rsidR="00A61264" w:rsidRPr="0041782C" w:rsidRDefault="00A61264" w:rsidP="00A61264">
      <w:pPr>
        <w:pStyle w:val="Endofdocument-Annex"/>
        <w:rPr>
          <w:lang w:val="es-419"/>
        </w:rPr>
      </w:pPr>
      <w:r w:rsidRPr="0041782C">
        <w:rPr>
          <w:lang w:val="es-419"/>
        </w:rPr>
        <w:t>[Sigue el informe del auditor externo]</w:t>
      </w:r>
    </w:p>
    <w:p w14:paraId="5A5984E6" w14:textId="77777777" w:rsidR="00A61264" w:rsidRPr="0041782C" w:rsidRDefault="00A61264" w:rsidP="00A61264">
      <w:pPr>
        <w:rPr>
          <w:lang w:val="es-419"/>
        </w:rPr>
      </w:pPr>
    </w:p>
    <w:p w14:paraId="69FEE620" w14:textId="4A0CD945" w:rsidR="00A61264" w:rsidRPr="0041782C" w:rsidRDefault="00A61264">
      <w:pPr>
        <w:rPr>
          <w:lang w:val="es-419"/>
        </w:rPr>
      </w:pPr>
      <w:r w:rsidRPr="0041782C">
        <w:rPr>
          <w:lang w:val="es-419"/>
        </w:rPr>
        <w:br w:type="page"/>
      </w:r>
    </w:p>
    <w:p w14:paraId="752AEE89" w14:textId="234EAB51" w:rsidR="00A61264" w:rsidRPr="0041782C" w:rsidRDefault="00A61264" w:rsidP="00A61264">
      <w:pPr>
        <w:spacing w:after="220"/>
        <w:contextualSpacing/>
        <w:rPr>
          <w:lang w:val="es-419"/>
        </w:rPr>
      </w:pPr>
    </w:p>
    <w:p w14:paraId="30934546" w14:textId="0A9B6887" w:rsidR="00A61264" w:rsidRPr="0041782C" w:rsidRDefault="00A61264" w:rsidP="00A61264">
      <w:pPr>
        <w:spacing w:after="220"/>
        <w:contextualSpacing/>
        <w:rPr>
          <w:lang w:val="es-419"/>
        </w:rPr>
      </w:pPr>
    </w:p>
    <w:p w14:paraId="41BA947D" w14:textId="085D5BE0" w:rsidR="00A61264" w:rsidRPr="0041782C" w:rsidRDefault="00A61264" w:rsidP="00A61264">
      <w:pPr>
        <w:spacing w:after="220"/>
        <w:contextualSpacing/>
        <w:rPr>
          <w:lang w:val="es-419"/>
        </w:rPr>
      </w:pPr>
    </w:p>
    <w:p w14:paraId="5635B060" w14:textId="0515EA54" w:rsidR="00556285" w:rsidRPr="0041782C" w:rsidRDefault="00556285" w:rsidP="00A61264">
      <w:pPr>
        <w:spacing w:before="7680" w:after="220"/>
        <w:rPr>
          <w:lang w:val="es-419"/>
        </w:rPr>
      </w:pPr>
      <w:r w:rsidRPr="0041782C">
        <w:rPr>
          <w:noProof/>
          <w:lang w:val="es-419"/>
        </w:rPr>
        <mc:AlternateContent>
          <mc:Choice Requires="wps">
            <w:drawing>
              <wp:anchor distT="0" distB="0" distL="114300" distR="114300" simplePos="0" relativeHeight="251663360" behindDoc="0" locked="0" layoutInCell="1" allowOverlap="1" wp14:anchorId="091DB8BF" wp14:editId="2E1F70B2">
                <wp:simplePos x="0" y="0"/>
                <wp:positionH relativeFrom="column">
                  <wp:posOffset>-1062952</wp:posOffset>
                </wp:positionH>
                <wp:positionV relativeFrom="paragraph">
                  <wp:posOffset>8991382</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51756" id="Rectangle 14" o:spid="_x0000_s1026" style="position:absolute;margin-left:-83.7pt;margin-top:708pt;width:620.8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CIEoxC3wAAAA8BAAAPAAAAZHJzL2Rvd25yZXYueG1sTE/LToNAFN2b&#10;+A+Ta+LGtAOKtEGGxjRqd02sLFwOzBWIzB3CDC3+vZeVLs8j55HvZtuLM46+c6QgXkcgkGpnOmoU&#10;lB+vqy0IHzQZ3TtCBT/oYVdcX+U6M+5C73g+hUZwCPlMK2hDGDIpfd2i1X7tBiTWvtxodWA4NtKM&#10;+sLhtpf3UZRKqzvihlYPuG+x/j5NlnvvzOf+WFfl22E7HCYZv5SuK5W6vZmfn0AEnMOfGZb5PB0K&#10;3lS5iYwXvYJVnG4S9rKSxCnfWjzRJnkAUS3cI3OyyOX/H8UvAAAA//8DAFBLAQItABQABgAIAAAA&#10;IQC2gziS/gAAAOEBAAATAAAAAAAAAAAAAAAAAAAAAABbQ29udGVudF9UeXBlc10ueG1sUEsBAi0A&#10;FAAGAAgAAAAhADj9If/WAAAAlAEAAAsAAAAAAAAAAAAAAAAALwEAAF9yZWxzLy5yZWxzUEsBAi0A&#10;FAAGAAgAAAAhAAmgnICPAgAAmQUAAA4AAAAAAAAAAAAAAAAALgIAAGRycy9lMm9Eb2MueG1sUEsB&#10;Ai0AFAAGAAgAAAAhAIgSjELfAAAADwEAAA8AAAAAAAAAAAAAAAAA6QQAAGRycy9kb3ducmV2Lnht&#10;bFBLBQYAAAAABAAEAPMAAAD1BQAAAAA=&#10;" fillcolor="#3071c3 [2431]" stroked="f" strokeweight="2pt"/>
            </w:pict>
          </mc:Fallback>
        </mc:AlternateContent>
      </w:r>
      <w:r w:rsidRPr="0041782C">
        <w:rPr>
          <w:noProof/>
          <w:lang w:val="es-419"/>
        </w:rPr>
        <mc:AlternateContent>
          <mc:Choice Requires="wpg">
            <w:drawing>
              <wp:anchor distT="0" distB="0" distL="114300" distR="114300" simplePos="0" relativeHeight="251659264" behindDoc="0" locked="0" layoutInCell="1" allowOverlap="1" wp14:anchorId="67D14505" wp14:editId="38AFF608">
                <wp:simplePos x="0" y="0"/>
                <wp:positionH relativeFrom="column">
                  <wp:posOffset>106045</wp:posOffset>
                </wp:positionH>
                <wp:positionV relativeFrom="paragraph">
                  <wp:posOffset>152400</wp:posOffset>
                </wp:positionV>
                <wp:extent cx="5262245" cy="610870"/>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262245" cy="610870"/>
                          <a:chOff x="0" y="0"/>
                          <a:chExt cx="5262341" cy="611301"/>
                        </a:xfrm>
                      </wpg:grpSpPr>
                      <wps:wsp>
                        <wps:cNvPr id="1998171781" name="Text Box 1"/>
                        <wps:cNvSpPr txBox="1"/>
                        <wps:spPr>
                          <a:xfrm>
                            <a:off x="1742536" y="69011"/>
                            <a:ext cx="3519805" cy="542290"/>
                          </a:xfrm>
                          <a:prstGeom prst="rect">
                            <a:avLst/>
                          </a:prstGeom>
                          <a:noFill/>
                          <a:ln>
                            <a:noFill/>
                          </a:ln>
                        </wps:spPr>
                        <wps:txbx>
                          <w:txbxContent>
                            <w:p w14:paraId="3E112DA0" w14:textId="77777777" w:rsidR="00A61264" w:rsidRPr="004E2BF3" w:rsidRDefault="00A61264" w:rsidP="00A61264">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 xml:space="preserve">EL TRIBUNAL DE CUENTAS DE </w:t>
                              </w:r>
                            </w:p>
                            <w:p w14:paraId="34103163" w14:textId="77777777" w:rsidR="00A61264" w:rsidRPr="004E2BF3" w:rsidRDefault="00A61264" w:rsidP="00A61264">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LA REPÚBLICA DE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713D9D5B" w14:textId="77777777" w:rsidR="00A61264" w:rsidRPr="00F41A22" w:rsidRDefault="00A61264" w:rsidP="00A61264">
                              <w:pPr>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color w:val="000000" w:themeColor="text1"/>
                                  <w:sz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7D14505" id="Group 17" o:spid="_x0000_s1026" style="position:absolute;margin-left:8.35pt;margin-top:12pt;width:414.35pt;height:48.1pt;z-index:251659264;mso-width-relative:margin" coordsize="52623,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k4apwMAAJsKAAAOAAAAZHJzL2Uyb0RvYy54bWzsVt9v2zYQfh+w/4HQ&#10;e6MflmxLiFy4yRIUCNpgydBnmqIsohLJknTk7K/fHSW5TpyiW4a1L0MQ+Xg8Hu8+3nfk+dt915IH&#10;bqxQsgzisyggXDJVCbktgz/ur94sA2IdlRVtleRl8Mht8Hb16y/nvS54ohrVVtwQcCJt0esyaJzT&#10;RRha1vCO2jOluYTJWpmOOhiabVgZ2oP3rg2TKJqHvTKVNopxa0F7OUwGK++/rjlzH+vackfaMoDY&#10;nP8a/93gN1yd02JrqG4EG8Ogr4iio0LCpgdXl9RRsjPixFUnmFFW1e6MqS5UdS0Y9zlANnH0LJtr&#10;o3ba57It+q0+wATQPsPp1W7Zh4dro+/0rQEker0FLPwIc9nXpsNfiJLsPWSPB8j43hEGyiyZJ0ma&#10;BYTB3DyOlosRU9YA8CfLWPPb0cJZGk8L41kU42GE07bhk2B6DeVhvyJg/x0Cdw3V3ANrC0Dg1hBR&#10;QfXm+TJexIslRCVpB9V6j2m+U3viY8MgwBrBIm4PaliCMaPegvIFzOJFmmSzeUAQnTyKvT0tJvRm&#10;WZwvoxG9LE2S3KN3AIEW2lh3zVVHUCgDAwXt64w+3Fg34DWZ4PZSXYm2BT0tWvlEAT5RA7BOwaLk&#10;9pv9mMFGVY+QmFEDR6xmVwL2vKHW3VIDpAD6ANHdR/jUrerLQI1SQBpl/nxJj/ZwUjAbkB5IVgb2&#10;y44aHpD2vYQzzOM0RVb6QZotEhiY45nN8YzcdRcKeAzHA9F5Ee1dO4m1Ud0n6Adr3BWmqGSwdxm4&#10;SbxwA/WhnzC+Xnsj4KGm7kbeaYauETRE9H7/iRo9wu7gwD6oqWpo8Qz9wXaAe71zqhb+aBDgAdUR&#10;d6jg1bkWrID/kcwgnZTy95serHI7hHFonN3f8tFR83mn3wz5io1ohXv0PRRyxqDkw61gWMU4OGJF&#10;OptnURTnB1aAGe5OEiz+yXhYCtgJdqPYZ0ukumio3PK11VC0I1XCp+Z++GTfTSs0ljCCifKYIRzb&#10;s473AkhDN71UbNdx6YbrwfCWOribbCO0hWIpeLfhFRDpfYW9B64mBzzXRkiH2dDCGvY7xDvIznDH&#10;GpB9oF9jwyy+wXgoO+B6Fi+yfHA4cT3N5vA39LtRRsdTv3s91X1sQzRehOCGnvSfN8wkSmfpPE7z&#10;9LRhZlNn/Icdc5bPlzHAdHrVYGNexoAvXjU/q1kOF8WU2/8988f0TP8YgBeQ58v4WsMn1vEY5OM3&#10;5eovAAAA//8DAFBLAwQKAAAAAAAAACEAojCL5B1PAAAdTwAAFAAAAGRycy9tZWRpYS9pbWFnZTEu&#10;cG5niVBORw0KGgoAAAANSUhEUgAAAG4AAABuCAYAAADGWyb7AAAAAXNSR0IArs4c6QAAAIRlWElm&#10;TU0AKgAAAAgABQESAAMAAAABAAEAAAEaAAUAAAABAAAASgEbAAUAAAABAAAAUgEoAAMAAAABAAIA&#10;AIdpAAQAAAABAAAAWgAAAAAAAADcAAAAAQAAANwAAAABAAOgAQADAAAAAQABAACgAgAEAAAAAQAA&#10;AG6gAwAEAAAAAQAAAG4AAAAA7IWbywAAAAlwSFlzAAAh1QAAIdUBBJy0nQAAQABJREFUeAHsfQd8&#10;VFX2/3nT+2QmmUnvhTRKSOi9CwiKChYUFRHsBbHx0yXYWBV17YIFuwgWUEBQSui9QxIS0nubyfQ+&#10;7/+9Q1l1UXdXQP1/9mrIzOS9N/fdc0//nvOI/jf+twL/W4H/rcD/VuB/K/D/5woI/z+4Le5n9xB6&#10;/8ajkycO65Mj/H5ncRv+/vNjfnbKX+/t/xc39OWip6NrDu8pkIcbDU6hvtTT2cmPH7H+G5tVtfPL&#10;DZPu69nNn2uurY0Q8d5yVV7+gWnTHnT89Uj10xn/pTlu2YsvyodkKO63NpQtkgglSWKZYs2GXeGl&#10;lw/ddWe/ASXD5BJPiqVNv6O8ld8XLvIm+e2mF32NNZdPGNy3cfXOIxU/XYq/1jvBX2u6/5xt4bJl&#10;kubyoheC9s7neD8XDGpjb7/1qXc2polIEBfbMoY4HxmirOKsLqXDn37x9YZZz334gV+ieNzvcgzw&#10;mBqXLXn4pmv+ebW/3qu/LOEi9664Lui23c7zAeIk8vV3iV+rY8ufnVedpFV7UijAE4kCJJdZsoge&#10;lBPxHB/edR2JxNUU9GmspoYX333y9i5/PZKdmvFfknCvPXpnuM9ivjsYDJA/CAL5XUM/4O64kxHH&#10;65c4fAHyhMwRHiqck7iJ0r1vP/2MUeU8Od/v8xoDPM4JeKPdbc03Ec8O+uuNvyThZAJ3/4DP1Z2t&#10;P/6noNedbm+pnVa45H3plqLcGrtdUUpCjnifmCxmzWGiWT6PuTTJ2d40kw8GlOwcPhCkgNs1dsn8&#10;+7V/PbIR/SUJ57e35wlFEqdALKnjwC/+YJC8Tkde2J6vCvW97/a0t2m/JRKTqUPhqm9IWfPmI7cl&#10;Bewdz/MBn4R5BgKB0CMQy08GAv7YyrrK5P8R7iKtAC9WBRTG+FuESXnDhFJFiQDUg9gUBl3Wh1M9&#10;4z45fiwlcLI03H3iRExNfS3Xy9N2cjXvtg8K8kFeJBSQLEz/QZMhv79YpV8cnxBjvEjTPq9f81d0&#10;B7huQwYf5/0+m9hSf2/A48wjPqgOiT/IzqAvkC0VdQ6Uy70iR6dQa2rwjwsGAoYgk6vE+JP9K/Dp&#10;xR6NQ5P5htNlrVm/fb/nvK7qRbjYX5FwtG3bXtfAUd0dWo9/IudzDvb5QRSQhA9yJFd6qffQBmFS&#10;qklgjLKLGL1amhRnQyfMFIF+MIhV2rfveeqVvX9ForF98ZfUcWzihYXvuw2pvQtJotrPRCUzDjnc&#10;TZ/hjRQRaSWLRUp2h5iyC1opI9dMfj+7VZ4EOIhTaF5vGvPh1+w6f9XxlyTc3x+eqX31vpuHN7fW&#10;qIVS2TKBgOk4jiSSAIkFAVLI/RQTb6HIGBt2Jk9yOSQhx4Mj2TvOJtAYV+pW3dj3rf+bXsDz/F9S&#10;6oj+Cjtu0aJCRdDkNvqUMU0u06FwWVPNxwGft6/fwjml6vCdQqnQLBN6dEPH11DXggaYmZCPTKVh&#10;aLVuioy1k9cjoYrjYSRQqBv87U1P8l5bgVck9Cy6b/JisOvcd16aHxawmlVN9I/6wkIueOrsP++/&#10;IWX9550e0QdP3JZnaap9gQKBNEj2g7xIafVZ26/3IzIiEgVJHeYLjJlSEZSK/OLODimlZXaQSOAH&#10;4U5TDtxosSqooVZDxjgbVZdFebavi5L6vIIQl5JAaJdrIxbxHstwSFGdQCRbJ0tLmTtj9kumP/O6&#10;/CkJ98LsaRmm9lZjTs9B5aaKvYv81s7L3F5GKCKNzstikBST4KCoeBsFfBCRMh/FJluoplwXOiY2&#10;1gyv/NSy8yBcyREjxSVbSRPmplK8Vod5yWUXU0u9iupr1WRq1ZDDysQoT1KpiCQ6wx0BuWqNvb0t&#10;MahPLJm74FWWGvpTjT8d4d6cffUsj9X0BB/wqniBqor83kSlyqJKzeqklEwTRUbbeYXazxG4DZ43&#10;CCcMESazaxu5PUKqqwqjLjmtJGChMNyd0yWhmgo9ZfVopo5WJXPKKT0bdIBqawWH6rVectpk1AiO&#10;LD2qp/pKDXn8YdVEXk7EBYwkFpc4RNpb/u+N5Yf+TJT7U+i4NWvWSN2VW1UdZp/GUXt4rs/lM/JQ&#10;M7HxTTm5+S2UmmUiucqLiAcjRpDbd1hHTW0SmjC8jYQgoEQaJLdLRFK5DxL1lKEiYKISppfDJSaR&#10;NEAEE8Rpl1CYFoYKuPDAMS1t2BpG069toh2H5JQQ76DRk9vJZZVT6aHwpOIDBjKZpCQL8j01Eu/9&#10;21auvMtcflA64YF5HXAET8vhP46Uf7hF9c4jt+S1Ht70nr218SGXpXOM1+nJiE00C0dOqKYBo6tJ&#10;G+EkoThIuw5pac9BDeV0tdOBw2rae1hLBqOXjAYvmdrkpFD5SAyrsqNdCXfAQWcI5wLHud1iCjc4&#10;ydKuIJXaT2a7iL5epyeh4JQ8raiTU0uLhJxuKR0pk1Buvpl6D24hFXzC9jYpOFJqaKs+OMHWWX//&#10;mLXLM4dMmrRjw4ZtCF7/ceMPJVxh4TKJqG3bh+R1jHQ5A3qtxhLfb0SNcMTEKlKEOaFvAnSkVEXL&#10;VhsoQh+kY6UK6pHroEPH5RQT5SeLTUhdktzU3qQkPQgTCAjBVVKKMNiZ9R8SlUIEmy0Qj+EgpsMm&#10;piBEpBuxzW5ZbhIKeWqAc66L8JHVwlGf3nY6dEyGVJCQHE6i/H6tlJJmpaDfp25vEMS7HAGdmLwF&#10;cq+nc83u4m1/HNlCt3bxv/6VwkKNmlqy3S631t5c/xEXcBtyC9qo37A60kQ4aNcBPZ2ollN6gpO6&#10;59hpydJY6C8BxUZ5qE++hSQQj3HRPrJbFBBnMq/TLJJkFjTSicPRXo9b6unWrVlNQohEOOVOp4IO&#10;7Etoz+1aE6HSeOjo/hhK6WINwk2AGvSRzQlSgPHq6mVktgkoyuij4+Vy8gdElB7vpGijm6JjvFRf&#10;Fkbbvk+kltowkunVm9SGpEdtbqfH0GPU0SlTpkAWX9xx0Y2T956aHe9qLnvH53AMxuJ4VSqHcvDY&#10;SmFWXju2kR+xRo6++N5IHqRkWlsFdNPkNqqpl4YCI5mJXqRwJNTeHtbS0hJ2wGGNLiqriT6anlw8&#10;2Wi05VdUJb9mtiYeSzAemaIJd2VTUOjsaNdvK6/KWZeTueP26Ejb4OITiR853dry2MjGfvrwliGR&#10;RlN2ZKRVJVS6qbVJRk5w7bETCnA7T0eLJTSov5MOH1LQzdc0woEX0fZ1CXRgV4InGOD8Uinn52Sa&#10;V9vDu80vLCyED3LxxkUn3Kt3Xf4E7zQ/7nARxSfZaNRllWRM7KQ9+3TUCd0zrL+ZahuktHlXGPXK&#10;c5CYC1Bmmhemu87V3mTcWVGV8M2Rmh5rH3/5ySoskw8/7B6EQ3OKpEXHh+KqIddbENePxPU7Q69x&#10;DBfIyeEl2YYiyXIa6qaikLPA4Rz5pZd81CM3rXxCckrrWIOhpatWB/0o4ulAMdOjaoTORBQe7qUR&#10;g8xUXS+lnplOqjuhp02rk8gFbpXIhG6fOnL4g//4bCe++6KNi0a4ZQwjsnWlMei3Pe+32q5Jye6g&#10;MZPKQ5agUBygHfvD6Ptt4RQe5qEp403kcnGUFOuH46y3lxRHrzxRkbv4k0/e37uznmAUcIhU8T8J&#10;183Hks07RcRfs/hOa75T68vOKeRYlIQXzJywSj+479uXZGdU3Z6cVtdfpXVRfTO4u1NExRUy0ul4&#10;ajaJKDXKRcOHd1BjiZ6+XZpGlk5lMLJL5u1mU+Db+19a1HyxLM6LQrh3Cm/JdbU2PEtef6bHJ9Tl&#10;dKvTDbvsJEkVXvphs5FSoEvUmgCMkAgaOcRMBmWQBAFZsLg4ZcWxku4v3/b0O9jNnK+wkBfMA3Uu&#10;wODnzyeOhbpG5v+gvfXKFy7Pyam+NzO7No8X+WjdtggKgr7NbSIaN9RONbUiSohxkVIkpJUfZwU7&#10;2sMb5bKAyyeQreiM7AmpWQjT5sKOC064Na+8Iq08sf4zJDkneWAv5OY304jLK2ARCugkohZNJjFV&#10;VIppyuUdiGbASkxwU3lJ7Mn9h/P+fu3DX36C2/fAJbvg8/zRMvMsa/fQNa9Fjxr+9Zyu3YpvDYsw&#10;q76H6G5ukZHfx8PlkNAVE1opGsZSwCKj1Z9nUHuLAm4LkSQsesadLy1990fXuyAvfyJuLsQ3BJKl&#10;wqDPm+JmkJ3cNho1CXBGYYDCdQEqrxKTw87RlAkIUUG1JxqINm/q8fXbn111CYj2Hs/P915korEl&#10;gBwm7tmldzWNmrnhoRXfjrruZHHiyQlDLXT5qFbq0dWGsBs2V7WCPl4GNyXRRuOuLiMlwmlBBHS4&#10;oOeiIMcuoB/Hc+8U1vf21Nfd4rR5CmLjW3QTriunykYpfbcpgjqtIhoz2EydFji8GTby2sKcm4vy&#10;nnr97WVzlnx3Rdspgg29EHvp37tmIROdxPcaMaksXmFawwdbE1OSzJl6vQdGipp8sH6NhgBV1igp&#10;IcFFqak2KivWIZertk0amhcxevSQuu+K9tj+vS/7z4+6YIR7/cGaS9ytDcudJtNYlapTN/G6MhIg&#10;GPzlOgONHdmJG5aFQlh9elmooTKic/X6gY9PfWTVSyca1V4s2MUUjb+6amwugy4b1tHi/XuRQdpm&#10;TIpr656ZZYG7QrR1p5YG9LPS9l1aSoKjjigOV35Ylga85yXkcfQcOGDI2o27D1wQuPsFEZXM4gtY&#10;228hr9fAwzcbMbGSdAYbyYRBGtDDRhu3IZDrE1EYDJL6CoPl4y97vbB8h1///PMLgcL68w12P1r5&#10;98Y3v9bW7N1VsEjsl1AcHPMpl7VB34nAfTxVVauoa+8m6tG3EYFtDlBPxzAtZx99oe7mghCOYya2&#10;RGD1IeCbP6AJUX041zC6BQCw5mWbqV83O3WFeOS8GscPawfMcok6aVCP2rQ9e+ZgH8//03DbmUVn&#10;yIjoRN48aljzqLWHkt/ZurnHohidgCK1UMyImQzsa4cEEdP23WHUb1Q9xSVaKeAX+kgksZ65xvn+&#10;fd4J9+nCByJenz1lDu8Xd48AdKDv0HqqqlVR0T49BYQiGCECyki2Uayeo7278gqnP/HlyuyM9kvT&#10;U2zu5cuZw3xh7P3ftXCYldmc7M5Jc0RnZBzJv2n+1tl7d2WuDg/zUwGMla27FTR8WCe1dEjwI6Ah&#10;l1STVMYFRX7Xza/ee/Vk5sb8ru8/x8nn9YLH4WS3VZ14OdDZ9rzP1prfZ3ADSVUexBU95PGIaPla&#10;A9kRygp4ZbRnV87Hc+5f8+r40aOm8Zw1X60VqzE/6Nz555jmr3/EOJxxBY5ipnzInMdv+MKhz7lZ&#10;i/f/Ll3OLuy321RihVXa0mSfPXLAfRF7d1x1V/GxxAoh1LFcRmRxiMjmQErJL6b4VCul5TRIra3t&#10;lwXt7R9HOqZO+/U7+M//ChY4f2N38aY48rgvcbmClNXdROndOmjT9ghiIrMvjJC2Fimg3wIqKUs4&#10;snnrjQ+djFwoundI4y1GvVdEvDNdp3tESvPl3v+Q6fgFCxYktbfcX3DjjVl7/rHg08hOszfW5TIG&#10;XO7LOrrmjB3g9cSWctw7q/5b14Jtgrn3VCXJpW5tWhJFiaX7r7u/cOtzi3WHZ0caLZ/2ybMpt0JM&#10;JiDwvWmPhlrNIuo9pIEqy3Tkd8okfpvlGsRoPsQPFMb5GeeVcD6ZpiPIC1qk8oC+7/B6qoCfVtUo&#10;Q/iKR+IzgiaNaEdEP8xVtLXnvGc+ntWkVN4RpQ+3G5hjnhDrTL9yfGk3rnDFNn7ev21VMu4SL1uy&#10;47UB2eUjLNb1xWJBMF2Z7lYajGW8WCT2VdapZO8t97+9bBmtwZIx5vlvhiAurmmkRu6Th4cJEPQ2&#10;JeIi/MwFn61JTB783qgxe+9uTbNRU4cMOTykmxxCCkMeMb9PI+1Yn4pshrjmfBKN3cC/Iyqx3357&#10;LFq0SCzsbBztD0r55AyErWJgHocHSC0LYLUECBV1kkIipOJjSe/d/dynq9gVCwpq+zW1UgwDqSrE&#10;fuXAgpoZ+PjfFmsgmuDJR2+c2NLUnB9v6JDFhFt7nqjJUEdG+gTJMXZhMCCQRcOaVckFLdCf/+3g&#10;07rdE52b0XG1xSIkkcIHQ0TYZ9q0uXoIY/+6jWOeLz6aUJwW5yG7FSkiWMsdFjE1Nsupe+8WUgJl&#10;BnR8+OJHbur1307gXOf9OxzHf/Xm88aOyoMFHo8rUyESRwQU8ooG0dBPCgtvDmWBYS5zr99zxaMu&#10;m+VvAt4r7A6zuKZRAaCVgCZPbKaSUjWsLJ7qagzNO7fkv85uGBtWMCC/z7AwZVCq1/uorFJFyUmd&#10;V06+YsQKjtuwEmLtVweIxn+yuP/dkWGW59o6eFeHReXWKP2yXl1LcHkPtZtVAMEGSRcWoFFD2hOn&#10;vBTaEP9x6gXfI3xszo65WnUgtbQcbgBCchnpzq7VTQe64R6KXlxK9X3ztryYmtK0uF8Pq2DLfjVS&#10;TzwJZbgBsZ/SgG85uF1yJR+w9V005+YrZy1csvvMjb339IM9yVqHUKDX6/VxtXKt/vBMyeIjiHz/&#10;pkj9VY5DRF/4xgPXzqg/tH6jvaNpJdnNL9gs5qs9QVF1F0MDAlSnxtzpUyI8js5r4c8IowGBi4HV&#10;uGaTjn7YFka1dTLKgnMaoSI6diz1/cc/ev0EzxcK0tJILBTYusTHu1DuJKYOxBicvqDyksHNL18x&#10;8fp+WLBfG/yMGfcZtWrxcD8X//bhw1kvbFyR/sP+fQqKjDCTFQguIcJqEmTQ5WKejDprT6qZq8UF&#10;f2M7/PgrEXUGR990XZ8H8rt2zjxeKaAIXZAa6xHp6WoRNjc4stnRhfx8bvnGKV8XF8fvT4xz0hWX&#10;mKDmOdpQpAWWSUBde7YA8wIsjNsT6/M7pmIKoTv79ttFCgcncjocHlnA1vlE0Nn2vrO1esNrbZe/&#10;+/6TD6b+eCbnev2LhCsEu7RtW/q4t6Npsd/tzAn6/aIAUv4Ckag0Lq1nWWfZoZdfnztzGLuoS6v0&#10;CYRilnKmzO4d4LQgDe9jpyG9O+nAcS3CWzJqqAtv3FOci/gjIRI/j4wJM6IkQkFmRqoXxoqEoI+g&#10;E3lkoG3xYwbvXTr1mpGT2cLh8ljs+f8y97g4nWfppkm3Fe2J3hwT3X5ncpZ5iM4oPtlqUlq7d2kD&#10;sewUpXeQTm8ltcqr69/Nq/iNzXD2O9hxmjiPbs7dfZ4dMbDtSY5zC80dhBSPHPcfJKOauEh9YGjO&#10;ZBLPw1nL191iLqtIXeSxKamqQkl2NzZQLE/FJ1UUBkhFHPKO0P1IxPoQReH4r776ILx+44anuI7a&#10;Pj6xcoMX1ZmBEGLNrfc7TTdZ6w6vWPrM7IyzEzrHixD1z/E5vfXgdeM8puZvgwEUJwHqhjoYoDfw&#10;tQKRG47lXvK5egmlcotEq78zbvB135Wt/mSKNNjyyrWz9qphcJy6JE5gCO9gUEw7t3ZfMujGXTNB&#10;OJbm57p0uy7jvqn7N44a1B7d0sHT9n1hZIBOZElMFQp/3T6Rt/iE7u1V67NfPXLkI0SmURx8il9+&#10;PGd++fLlYo10XcLJOr90xYpk27WX/vBWemLtWB/8xQ5LMOSGGAzBYG1Dwj9Wbcp4c+XKd9i1fnyN&#10;0Fy5+fhVGOJIyaWXjB4xpG/jo0mJloGoVMZ1GDAMOBTgUi6f0E71dRrasN3w1fyFh67FnPwgNH/H&#10;5PcjZ894Yktcel36+j0RtHevGhvHTTOm1VPxnlhau6LHkZi83CsDDgdva6l5zu+wXiEQSo9gaWVB&#10;vzMDex2zwk4VCjxSAScNSBRfRUX2unZKYaE3NMGf/XNOHYd8kijYcfAOEOYLsdL4hkwm7GJprHod&#10;GEdwnV8m9PkHsRJr3u2U8T7PRye/eWNPVIJ4U6TB7A34GJNgXU4j2DjUYbfW6l0lFV2YeRAiGv7K&#10;35zXkcsJ/MaTED3RELosW2AD+McAzIcHAVwLoCVXjKq789JhzVcePN5jTWV93LK+ffsf2r17bjsW&#10;6xQJ8S2TJ0/Gwk05+cgjq3SDCt553WZxDd0DaB0KTkkJPeOCFu5oJ4HdJRgTESH/DL4dVPIpccXW&#10;4jQXiq6+fFZ8xuziIUkJrVN7dzP3b2wRyWqapaQE5E+EvJu5XUjZmV7AKdTkBTUVsmBaYeF8DQIG&#10;HZgPLntT6xUj31mRktX4YEy4m7KygnTVqE7yuUXY55BEPc1VFaXFdwn8zmt4vzeS7cJg0NUNOxs3&#10;A+qJRRSUadbKjbHzPR1NeUGfZ3ZD++GBmOJGNs+fj3MSLoYaUgIy7dH2XinzCqcUenet/LT06O71&#10;amdr7e0gVOrpqqbQtQLBgNxn9QxJTS4f0nNQFdUgM9zepkRm24s6eQBW/UKqroxpPWlKOYw5nhqg&#10;nPFujy453idUqvxAcgGYqoM5CbhcR7sU5/pRvIGFB14yLtIf1SW5errDXjtt2mVHyg+VrVjZZ+SN&#10;C3evv5NBxHElosnLeGEv32OTK050TJRLvXKpCpA6IIDYLlapg7zHw3Nur7gzLW1wDc+/GjqHncc4&#10;ZerVk0ZdMabkrtxUc16YxhUX4CVYRIhFROkY9Z3Aa7qcQoqP98GtEVCLD7B3LUfduzo1iz/HjWJf&#10;sGth8CZzeHPx/iiYXR4qSPVTVYmWPF4hRUZZIC6PXFZf2oNcAD1xiNmyqWMDsdNw3+KAQK37UBuT&#10;9tkNDz+3Cx/uevPRW+tEAg4GUIhwbM5nVg8vf8EdUGiipLqUfp8UTpmH2CEv6HvZta23PvPeC5KI&#10;pJnA1ncCTxoafuSfWHpDqXNBhAKwikunZbdTQjIArDCbGW5UG4aUR5eWqNSwqly220+dyfF7Dwbc&#10;MlTROG0iGC4Sqm0UkUrFAcnlIydwHi5XgOKArmqHb2QC4tigt4u6JJmzxg+peGT+La+/PWXc3Ahc&#10;K3TnBVWvRdo6S/s5nFY54McAyRLJEa6WSiB6UIMlEglIo3Z3kQR3dznNYSGiTb9x+OTpk/d8OrJ/&#10;y4T0REucBNKhA99ntUopPtZFdXVSEsLASEzwkQ8bsA0BZSUg6nIYGx2mIB0sQcjk1GDzECenVI9I&#10;yWqHBHGB+H7SR7goM6edImIZNFBIOiN0Habsg8vAqovYEAlQIasJW7JM9+VMEO0Htt7s5/YFi9cZ&#10;kjMrNm0qZMx1et1Cp4T+OSfHWXw5/hjxpv4blgyZoVUFYjpMkuqWlhtWT/vb29tevuPKxQKf7yEf&#10;AsZdupmQEeZo0JgaxvHEdltskoU0wGtEq2GrYHi9Uqqu01eYTPrKf4ooXtizR+/0RjjnfQo6qWgL&#10;AK0QR21tPESmiKIMpxShE9amCLvThcCKC+XbZpMGRoyXRg2onOTxf+PiuGemvfIKmmLYN99bUlM5&#10;LTFOIFCCWHYnYtxiVnaFUBU2lxh6Mxh0R0hVteMxpR344a+7bnbybdeWvdArtyX8yLE4QBF46nRg&#10;zbCesBNAfAGIFyAdbNFOYE0c+JsQZciddg82pod27hHprxzfFgPIQ928eexOKdDaEbY32SkdFRVt&#10;FnPYxYw4bgByW2u05EJI7IppJbRnSxyZsTlaGwCHB5BXKBO3uoTdn73E/EjMXS+MHh8fPahvEPZE&#10;u0lz2GzuV3r5sHlY2cLQF/z4n58Rjuc+W3D95bldnnoiKrYhVwerjEG8A2D3tjbdXbsy81YdOdjl&#10;mD8YcHfNbZVl9myFDBeQMRpBcGgvhcJPjXWAIyDRyNDHbPI2s8a19+jAhx5948WKR14/JdowAT4Q&#10;ENdrtEFkwRXY0QE6ViIIcUgQq8bEU5g+AKIBxgV5Z4OoEoFZmV5QgJDQ3xBVjVff+fCIbfd8l/jF&#10;25Oc8RxWVYioBTYzCZRCcCw4jndiR3OQeNB1IKbd2TZk6NBhRo47qXrhCenC7l1a4hhOjNXVneEA&#10;l4cPEVyJwAEzylww7Rlv+BG2Y7D4yGgBFZepKCnJY1n1Odc6mMVjMDC14Jhpy56/23tlv4z0itGM&#10;s5ioBoyPwnQgdk4buD9I+f3rqR6EzO3VSltXASnmTyxOzd59bXxs2Yy4uNYElQYTxxc6HdKpHW1H&#10;TWtf3/jlV4f//uDixY/ARPrn+BnhON7muM4mknqUEUZYhujOwwgiFPkpKqFZHpXaMlmraZ/c0SgL&#10;pMKxtEKERSOFgfoINnWY3S7qku0OcaEPMUkhFtnvc8vaLS2J//xK9ooLHi0d1t4tS0jdMl10rFhG&#10;4UAqM+5gRLPYBZScFMSiM0mtIpkEr3GtIMQVM3osVgnt+1gjzDnc9ur/1bbf4/xIpFFDL9o9fkIZ&#10;HES2n0wKGakHDUMOECYqih0FKgHTt/mXXKJbNaB/v5iIKGd00d4NNLzXcRCIqTNwKDYpK+4Pwk1n&#10;12Obz2KTgHuDELWMDXmqr+epW7aXVqzVuR2mMDuYDRxBHDiPSxO+pU5Pb0llTrfHJQwRSoK5g+Sg&#10;IH5ARAUAUizFxer28gc1Qixb+vXo0zBUoYGnwOxH/I0NBVJGdodULxZxHpHZzYy6n4yfEY5o5lOf&#10;rn+98KlprS3rbktJqZigCbNq2O7xu2W8za6oqa82OpUySzaH3SPAOkqlLBjB5o7BJofXjFNEcIDZ&#10;kIi9nELWwXAYzNwMHchE5uSJo+2Ah/scTqE4OY6otIqJdrb7WbkvsyqhS5AxF0NXQCqD27ARoL+8&#10;fsSjIZ5l34vo2ma3kJNSZuAkZghDkW2f0Jf4fHQkVU+J1/2NYg0wWfEXGG3sF8hK+czPtKCsavO6&#10;G8kTOIYwFTgac/ayTYoNopT5QUiIaBSMyKW4JhwhhplRKQSUGueDrkMtAmywzs5uP0FzBWx74mRy&#10;W4QAWFA5nP/QOE2IU29wg/ifGV8eSCqJ1M/brUpneWlCSYTe3EWpdkFHQ5+6pNTcGHXkREWvtzdX&#10;Pf7hG8vTT/tXp67C/v0Xwj08c7LW5TWrbyz8cMacyY9kx0bb88QSEra0CuraLd0ryXLs7zqVJDsS&#10;pbocdmBIxLDVOjPY6rHBSITXfFCIUigp+2L2yZmBoFRye2trnS0r3a5vaIAIlGHhIVoliHRIoZOs&#10;QIExk16C6JgjICY7drBW7aA2s5I0EidxsDi/w3EjQVCoI1wc1hkIvhtUzsTnzEARwzoUQ9c5LMi6&#10;lx0gh99N2RFJlJnaBRuObaogqnnYEsBAkHngr8lDgB9mfFgAzmUbKBzWrh9mtBiEZUTtdASx8AS9&#10;rW2O7jcdIuGfQyXQOfkgdhpbg9P3f3a7nrl7XDMIuco2fdmxCK6yVC84eCxngVLbUWIIt+Sp1AIl&#10;avWaSvYN3jLwmoyw7r73M3G1Pf/8llOv/oVw2UlpInHAMejRmxZsnlX4+QEcxn4weMFrd1/5JGpd&#10;LjNhx+3ZHEvJGRZYjW6SRfpCN+xwSODqIUMFAsiwq2RKH3W2Sr2NjVHb2AXwc5asJSW5J/t2315h&#10;tYv0QlhWDqcgBAFQyrFI4DQbCMVyXEpFgKwwTlpQaZOZYkFSNgKAMFWI+9qTEshT20BYx9ClA+Ck&#10;bXLkwwAdYFAtaD2qqK2iu9a8ROv5MuJdPjK65PRY16vp5hFTQQhC0QdqAQDIZVKlAxEejQoiX+2l&#10;mkqkoCBineA0J+bmRgWrFlYvH/SEQmpWB3+s6H20nlpy6p6YgTKl/9+rWtsnHEvKbBwSAEnZegRw&#10;HjP/5VgPJp1Y/NZiUlFTrQRFluHYHD6tQlD6GAmSplzz0Ccfhm4l9M8K+jD3jgEWk0mBt79NuFYT&#10;lJKrsicvkE3CCZ8s/L8HEsW2mlHku7Sv1+a8CWEUTgSBU4cCQFYEaDWLIauJ2uoVAI0yEQldhBcB&#10;6DgFFr2+IW7jln33by4sPEu00LTy8u52F5d+1NIt20TGSDvkuYpMZiEsOohaLLoUmYRG4BjT470k&#10;Bif48Hkbqm6ijFYqB7KqFbrLqVRCzHmoihkgIH4k47pwI7VaHCRnIgpNvRbs+pTWmg6QKD6cJMD+&#10;t+P4ubvfp+SwZPI5tFArMopPBPSgXkMKJRq68djLMEKa2hQgItydAIiKe2H6T49q2HBgTfYd1PB1&#10;9ZpKHIjN+E9nfvnOOPeUy9NeCdOaCjjerfTjPJEQoh7EYpVEGug1+Oq0/Yc4VBWJQxucXSDgdXcV&#10;tNd8/Y97r3hHpY0qm/HEG9++/Y+5kc7K43egIuWd0IL97J9/4bgHFy50vnrHpS28y/zua3de1kdi&#10;rxFDC98WYDfAtPjpIcCcGQsd3hUN7gpQwYD6UI8RpsAZiYJwNK0WFVVWil1KWSU/b14+O/wMx3FI&#10;s/in36BcYeqUXqrHLjdGAGADdel0BijgYRcI0omTCspJc4Lr8AcYSiZA+dSgiArduMROH7VAF70y&#10;qDdtP3CAqurqKRz2f55BR9d5vGQGMR1eD1nq0C6jRQmOtVCg0UpShHwC7Q5qzKijcCi+CEgMViTJ&#10;uByajsLhyrTB+KmqkVKYChY1vBoOnKcPQ45NA1cDfifiJuVZaRO//4b//sz9nFkW8nnFTO8Fk9LN&#10;JGb6n60H/vejWraxDsWUK9Lg00H3YIOfXg2OWcu8x5kpCnoWOtzO0kUPXJvjKj44GTomTR2TPOfs&#10;xX/04sfa6czHvF+q+AgpES7ostzttrXf5vVh12AhmUhjcj+kT3Amwvv4XMiHRyGyiEm2wA2oKtNT&#10;DX5M7SpSo4Cie1716JTkb3Nw2k8Gm2tlS9L21mZ5uwh6TQPiMDEpV4hIKEExBRa1wyyjbfs1FBdl&#10;h6Egw8L5sAHhLoCTIiAWxx47QcnGSMoYPIgcMiksSgkNMVmwaVxUC13X3NxEM7LG0vz8aXSDpyv1&#10;rFXSLTHD6OXrH6EBffsjdOUmkx0bAfAKjhdDZILTZS7avEMHSxYin5NAn8FAkQthmCCGijkGYBw1&#10;1Yft2nPsrlbc0E/vKo0kCckVN2d0a1B7nCJqrAmjyhPhVFehA7GkFIXuDwKRIHDKePvnqWxdWUTA&#10;i/tCY7hMv6VlgSDg7MmLJWs/Fcae+MnCnX7zLxzHPo/td9Wm1q2fv+SzdTyMkBY+AYMLsZPkmpcE&#10;fk++KOC9BPJyjxB9IkmrOFJeyk0N+gUTdOE2iBtmwkO+2yW8qS2S67BEHOvoTK0GoX4+uKKOJRUJ&#10;J/rsysqyXBoO89cfVMBfw2ECGB+cLORPbd6hIaXETz1zLVTXpIW1hogEIjWNAgmNgAiKLdpOO7JT&#10;KTs5mTKtTloEV2ARjBJfUxNxN96MzcZBt8goI7MLNXe0ki4ynKZcMwXxRxWVHITOM7rQwE2H2whA&#10;lNlpBSpVGeYzOR4GBNwgDsZRMAA1EERqBtq1olYVOFGj/ayoiDlKPyPcSfJZLBEbj+1OvEymsEsV&#10;Sg82BdP/iHW2qejY4YhaXpbysEznTUBDuKyg03Y19i/qtdR/FwXcY4Vedx/4yCFjiBfJTvCa8MKi&#10;XyjfOhfHESvUy5l9V6FCF/GMRCKxy7BFBEJhbfasJxaIlJqtYk3kHF1O3yvvCP/qcREXVJ88zA1g&#10;TWBi0zopEmEdFNhTYnoHFwWUV1Nz5leFi+edjSv+mHr8PvK3mvTvlZQq3R7EFgVCL/wmBP+QBGXu&#10;gAdGSbhOQhu26akE9QXx8SZYnHDI7SAwE9vYDWGwHmwVlSRqayMDxHkLNkgL9k5GsoD0chdEZCfC&#10;UyYaOGQwPfHUU5TXMx+ZBxCEOQbIWrisKoTTXHD4LfgeLYimxcaAmIe7ADGOc1WIfuBYmOkmVO7U&#10;1mt3NrV1232Ojcimw4+/c/WHpk7NvrTcjlCTHCP84ahYCyVldcCg0lbd/OQnX935yhfPGV9bMUOo&#10;ixsvkCmX+8PiPpEpdR9IIWXEjB2lyv2kNdxw/3MfISt87nFOjmOHDkseBk3KP/bWI1PXeS2W64V8&#10;sF/Vpy9NVxhS354+d0EbO+bJOfXJ6DnCOiTo3fBL2B5kMT07EF0BxPjCwH0yaSNDb/3S4Nb+8N03&#10;SbH9vkxLdk+VgvgReoSIAHFDYBg7DwsM/aIJ41DJE0nJR1w0sp+DYlAqXKSKpEMGGcFooynwGzid&#10;ng74A5QCizAcWYF7R/upuJ7o671iiFYhRWnDKDs9HZarn+qKS0JZA5e9FdkIB1WhbcZ3RbD7Qc0w&#10;bQDWIIwcrJ9AIA7p0wiUGhNisS2tSntVY0Lhtm0LOnFD/5R1P7q7yZPbhPpwgE6YJ43GKQzdZoPL&#10;oUcIsL3OVfDSjCmvxvZ98dEpHMc286bn58zZk2xQdW2pqJsoFCm3CKTCpVJD6vJZhS+wMPcvjl8k&#10;XOgMBIVvI9qC11sKb7vBmB5uiOky/MpOmrsg9GetSi4PmILQ98xBRQWpWUrfrjWCI2A6AzIwdWI7&#10;lL07MXQwQgt0OqgXen/6HzjOwenX3vFocbm9T98epjRJOCIxiJawVhawLyHq4AhjU2iUAqRUxLT0&#10;W3Cb1EZxt88iedcBSGYRDZDIoW9FVPb+RyT9bgk9OEFGg9JdNCBVQDERcnp5VZB8Dz8Oyw57i+lq&#10;LCjcQGobyNP7HdHkBmeJQCS2SXzQMxLEO1keUQND3IiAsVzrJDd0VEV95DufLP26CJx1TqKxIPpN&#10;455TKZRuA+K7yNmFw91ATV2Kl8YN7IAFTjCDO2a2HNmKjc8/DsryMAYdq99Z2FQt1c+pdPQvW/zW&#10;LOyS3x6/TrgfnV/41kdMGePn+bOfmii8zKhUfu5x22c5rVKBF7m48IgACVm0AcYDi/XJVa7k/HyS&#10;zZ9H7nlnz/zxC55bAtzG1MnjHpWLfO/m5do0kcgay1DK29Epg+ONSAnWSQJfS4WWGX6kVcydAkRV&#10;GCPXgTvaYW0mUqfNQxqNkvaeRD3bESl1TWCbnqNFP/jpJORnKghlMAqpvouMZG6eYvZ4aBvsSDmc&#10;cEMsjAIYgA4YFAEEDGDngNN8sDg9pFa6EFiW0KHS8M3bD+Q9D6LhSucmHIjB9es626BV+XQcdKsP&#10;deRMAvXshkY6cA1Cfi6+SOz39QXqTDBlSkhP0vgZc2pOrcgHP16YX339bxPuXFdBwtX/VuGs94Sd&#10;VVNNrXJNP2Swm1BHjbbV1C0X6Cb8Vqtt8SPy5usLuXkN835hp7IdzHFrvrSNHymSyZoXpqV0xmoj&#10;3GgUI4SeA3fA2mPRBjuiKSzJChubWprLoTNQ6msqpTZPI5VYvJQm0ZEhTEYW5M2ueklEWbHo8aTm&#10;KMIPhz5PSiVJEtKXe6ilp4Q8zXCuEa2Rw/XoQF0eC23JpF6mp0LWsz7MRwqdk1pRzHi8zFi0Zmfv&#10;W3cWvdqELz8nt51eHy5M15wlV6DIHM0AgB0gJXzBKgChFMkOcjvFgAyyiJBgM4jGNsB/Pc5pnPwn&#10;VxPYrYPFwqCmvQ1Ff4jij0MNmQ9csQMVLMw6g7w3dImvTcc1f+2GsWDLBT17rV/2zeYuk5Z9G1V0&#10;ohyhLXBYcpwrlB1nbogbi8xBhDEFbmqrgB5SYicDVyJDdBYizoWgdHpGGn21w0nlTTyt2BegraU+&#10;6puEyqBkKaUUuSjhoIck7XDmkakNAAYvxH88gr8eBMpZGCza6GcYT6xqgHbt0rmXr055aV/T1Ek7&#10;i16vYBvsN9aGMxqbegplfmENNrASIR0P/NmUZCe6GqGTg1/ISdTqTVxU4stMTP7GtX71z7+bcJ4A&#10;b2EdfyzQb6Z2TBaih0UKEhLdCFlBuSvciviouoG/OovQHyfDSSdau/bLfUc7Jly2ZXfM47UNmhKn&#10;J0hajTOER0mKR3I1lpAmMVZLuBonzytIiWiHXFRNGehAUuppoyFjRsJy7IE5wLCBPBmtENO4ngqK&#10;2+8itQkxSCPEoVRAZeib4FcZj+m0cmtKEq4b7acISAyZ3ElWp9heVhXx/ba9yVc1thc99PWS+yz/&#10;BtH4/PwmqS6sZQjwG9SKHJ7N6UcBiAc5ySC1Nagh5gUICfp08Ykpv3vdf5eoZOst0sZ963fZ1gRs&#10;gXEtjXC642ABYF8aIOrqUPyelWIHxzSP7NevfiERUKO/MU4t0Dw7GOwZq2f6BwJf3VX53dx5malO&#10;qcEoMJstun0VVUptj/S9T3S0nACaqgfaXOyiFCPabsmTaWdrJU2dcRP12rmH4j7+gnrmwPKEk62r&#10;gfMMo6Shl5T8ZT5SD/cL7Gp+y5GqLl/07Vo9MhgwZ58oC8orG1IaatuVn7W2jtm+c+f97tME+y1O&#10;wy1z9MKQu7sZjJ05jYDa65FrjIwghPFg4Oj8tBdl09CB2FABY9CGkBLys7+xFL/6599LOO72woWt&#10;r9w3bQnncI+rLtfSICQMI6PQIxLpD0sngkjIR0VFtfa8svf/5XPch9uQ0vm3dhsWDOO9ehDwH1/X&#10;oKX58dB9sE+Di17IXwVfTmGxrUWu+BaY8KlI6J6gpHAF9Ec8fVW1m65ISaCBOLk2Dk76LkArEOqq&#10;z0d0BRZwBUx7SiROY+24pt7c/fUrbv7kMVwX1sx8Gjp0HjHnurCQuB07flM0hibFzoPk47LfGDHe&#10;GGVV7yxSkxVbVAuuV2sQYoNL0IbuR2KxwC+WKlceNVHz6RP/61//1iL+ytVDyyvm3HlC9IhsxK5i&#10;4MVMAGu+/MwYymcdA4o5Ks6q6plThaA1L5zPbvLcI3Stn/2JBfk5/hgS4fx82H3kv/f2K8e7nd6h&#10;bdjJHg8y9H64AIqBCJWlkKNzH3UFwHb2xOkIVIsIORbyQSw6DEKqHCSnjmjAH1rcVJOLc61IE2ld&#10;eoXiwB24Llp/zYf9My+waVMo0c6dy3PBceeaIz6ex08euV6dlNwwlhN7yQu4ghWgp+KjKsAwvNQM&#10;P9ENtSFSa4pkeRMeYUYdTvpd4/cS7pQIEUkOcEJE1xDxrqnUAqJtpW7d0dQTYJt26L6g2Afodv34&#10;m8Y9b5iHm/z5jIuLi0XTp0/PS09PR7DqnIuD75nHTuMyMjzdlUpO5gHsLcooxkZppcayt/A9sWSM&#10;GUHRkcjHGVooNjoCKRieEg64yZqNfB5yag2NTrKN9VN2FuKOCFSfBGwiM8Pdd8yYd4EsCc2L3c+p&#10;e2LfdnrA5A1eddVVyXPnngUonflT6Dfz3yYNf2+Y0dDeHf49RcYjmoNUkBbB83RA1k8cC2d7Fike&#10;p3b79pU/Ofe/ffN7CRciQosybaVIFTZPKJY6Sw9FANDqB/gHEXz4Yier0C+yFqmTpNYulwz94Wow&#10;5M8Hn5OT442MjJz44IMPPpecDPPvF4nHBatqAg4luCg+GqwIh9nt0vgFweade3d/t674mBvRomux&#10;RlGwNj0khlgMP4HY37dO2unl7e2jlYeDOJeV+ioQXclI4ZFRF7o8HsCpf2Ewos2fP3/MwIEDn7Wg&#10;6oMR6aeHzqd+cTvkifGld+jjrKLPv4mkLVvCaFhfG40Z2oIGcFI0QA2D64KUkUjsEomiYAT8/vF7&#10;CReaAWN9ZVTK10jxO2rBcS1o2hllwM7OcKG1RIDs6L8VxCJ3zaq+/f5pT8ewxTgz9YcffliF81P0&#10;en3J4MGD73rvvffeys3NVeLvP1kgiFi8XybJiO3sr9eyIkKZs75ZV3S0Jmbmwo8n3hBntLbJfR/S&#10;io9votVff01lJ+toX4yQlvTiqPRWIeXN9Hs7zNmPnqjKmN3Yqjxusgt9QiGsUimfGBO+NPpfCQLW&#10;wzyfeeaZyxG7/awbOru1tbV5AcBlWIizg+Pm8dOnPz86K6duyAH0vZTAzRAxEDCqUxnI98SRCNYn&#10;EzFj2UmFPnL+4sWLfwJ3OHuh//DFeSEc+86A3ydHAlLihgg7stdI3XuiNzLnp84OMTU1MpSWn9K7&#10;NHQZ3qdoRkhunJooX1ZWFi6TyRaCaIvj4uK4vn373vi3v/3tWSyamC0c+2GHwoHnr5vy+eDuXWyX&#10;unzehvXbI2545Mm3Ri9YuH7JA9PbHLDiBjDzogDoCrHzLRKr36GmqzmKv9ZH4dGsWIPX1VXVRz3z&#10;wpqX6jquGffND8nXtJk85X27d8Z3zSq/BXM6vRawMk5/L0TjCIjIRZmZmbqEhISrxo0btxbx0/6Y&#10;TmhTMX19+dD3tT1yy+/XRZolLME7bmwLjR3bEWrbGES8tviQAZkVxJGU4Y/f+tSSjadu+/f/i1s9&#10;PyN/yNgOlc8UxQW8+WhqLcjINCO3FaAeaFuY39OKAC1ij6CBRunMjdGUbxo4bkI9OE1w7bXXmtVq&#10;9fqUlJQuGRkZuXK5HFZoVK+wsDDr0KFDe40cObIARN3Tp09c5LSJ298BFWXrt8dO/WDpuu+IFoeI&#10;OnuWdEpDo2VafJyXa4Ap7kdXhNgYH3QMrBlEWoSQboAOcmnJpKiof2LpqlX3mctPniwJN/TZplYF&#10;BiXFOAc5xMVrrpkMj6bx1oxrrpk8ISLCqL/tttvezs7OjmMr1Nzc3Gkyme578skn8b2n9OAwbij/&#10;zD0P3te3X8ktda1C2rZbRyfKFYA7CKl7hoOa0VL4yJ5IcCH2glD0zdq9pUfOz2qHTODzc6mioqLA&#10;43NmFjU1tSrdtkA/WAZU0L8ZBYtBWouGNNvQZK21U0x98zsUEnIktR57e8W1d3VBT5NCwTXXXOP8&#10;/PPP12ORMrOysjI7OtDkrLFx+NSpU8clp2SMkfDNGTOmfHNrfKy5/zc/JM7+x6I1X56ZdVLSEtm0&#10;qzY87XELUxsakRpCni4zxYMGaqzUCnADmOMM9lcHpHR8jMcQH9/4/ZrvqxrZ+YePnWi2ePtuHNCj&#10;fcrgntUj9BFd1aPGznhm0qTLZsFtuQxVa9EwmOjAgQOtH3/88fWzZ89ez+bLzmVc+ezd9b3HjNzz&#10;qlvgUO48oKV+qE6qqFTQsH4mig3jae1XqbAwxSSQSOrVcekLvtm0u4Odez7GeROVmAzXf8psl1Sm&#10;KGeK+Mj+SGBS9ADgMFgAQkmRbjp+Qkn7SxR894LqUTfPfONBGCqM47FGITHV+eqrr96PDVC6ZcsW&#10;hM18QVT7IXu8STik4MTUbhnNgxx21uWgecq0aXfCTDs17pv5YXcKugYkxHhCmeqcLCdt3YM29ql2&#10;hqMEuAj+FLqepydwFKn3a2KM7VfjK8+aSJeN6MxHvEyYndzQZ/ygqhfNrRu7eb1+6t4jL2wHHLm9&#10;e/f6URGEIP7CjafnydiNn3ntpxFD+u99IT6jyXD8hAbQdQCDEKCORH+vKIOH9u+IovZmJYlUqh0R&#10;0anX3PL4y+fMZJ+5j//09/kkXEju46mXhwUiod0Pp3PH+lhE2L00elArzHOgjOGUlp6EAW8NUt+B&#10;hx54729TrgTxsA7L4a/xgl27dlXv379/DrqIfrt1654rVy299WTQ9BolRLVTTdtlJDK+ThJ17gAu&#10;cKTHmRtNjDFNjtS7FSzElYyozc5dErp0pI127VSjlNmDp34gh1AnQTjLAziCjxKMlomj+99+xsAQ&#10;+f0dN/okw+P3ll+G4DIg8KLVtOqzG+nNV59ZJBJJ3tqzZ8+rzz777MdniIbvZRFL8RVD3nwyL79i&#10;YAurJ0AndeaeFG3WI4HrJrdVSYd2RQF5gMiSSLbp+iff2n5mvufr93nTcWcmtHr70YY9G76pAw4x&#10;o71JZGTtDNXhTlq3VUd5XZ0Uj17Kx0+oACFvF+tV9gEJ6t27Blz6t1oWqYAY4jZs2HDy8883r9y4&#10;8avjwwalKCO0pgFuPlOc038xsCgqcLBRnNt1wNBLLhmnjwgzioYU7HgoMsKh86BGwWh0ojdYGFoD&#10;i2nUUPQf2QUrT6KkLmn20AayOXlKSjDpaxpNJ2OSrhDcfffMwrSsSePy+twgTky/gqprmikm7AjS&#10;OMETVpv+tvKqIUuPH39mU3l5BzPhGZeyZgGCLxaOmdN/4KGHXAE/9+rb8ciMi8FlbkoBWmxQgZ3W&#10;fZFKTQ0qTiLFrpSrP1iz6/jBM+tzvn6fFRnn64JnroNi9dss9dVvylC1c82so1TXySFuJ0frQBS2&#10;42fm9Y2kBTrs+MG4urVr+143541Pt7MoyZnz2e9Zs4CR8oweKxDGX3rrHXflWyzmnrBCIRIVyK3h&#10;wQ8Khcdj2yS1mHeiAWgZOTx2UsN3rEbNnckCeCDSNgmourHDbwsDtO5YaQRFRcfCPbmiMzK+l8jp&#10;tKkiIlib+g4qyC+wrf9hY3nR2hdL4pJynphbuLgc0RTM55RjzixIWLaClS9edm/fATsWGKPMYgsC&#10;Dl+vj4CYlNKwAWbqmWem/evjacPqZBhmkjaJUrlUFZ/26LQHFzp+fF/n4/VPFup8XPDMNd548OYh&#10;XlPdGjxDQBGNCp4rbz5B1SgU3LA9DDoHTTvhIsTFeumqcW1UdiS29ofvB99w38vvbwPxfjKww5lw&#10;4gcNHhwBY+WG1NTUWz0eT6ZAcCrMyiB9Ein8RD86n5MdyOc64C8bkbR0IhKPwhER+ivLDCQQxwI/&#10;2QV6CDoXIiw6KhKZiDUUExNjTUtLW1NXV/f6E0+8t3/nzmXMGWfpv7NrgxfsneiL5yfcN2TI7qd1&#10;USbxdnRKGtSrHekgIW3dG07ds23kapfDj8yE848Eqkx73yNvrXwFVszP7ugnt/dfvzl19//16b98&#10;Yutz722NmjN1rkjYcW9DlSBxwzdJgvFXl6O1kpBKKzShR4TV1FOoyH/C0MYEqXTz5xr9xNkc9w1r&#10;DIWQ8KmFO01IAcIR7bDkXpwxY8Yn/foNmBRllN2pVOhy3YAcOJ3AQrZ1UF6PHsjZpVECwD5tra0Q&#10;ndGADjSgYIN1YPADxaWnhoYmmOn1sPaaXGlp6R/43a4P4PDvwZ2AWCGjhRHsn0QDimFsn93qe15/&#10;uDC/4Og9ArlLuHGXAfcggouhpdRYN42CDu8EgPablbAiodtFEmEQxYrHLxTR2KqfnSB7cyHGR0/f&#10;2dNSW7HOaXdH9B1aR4MuraFNO3V0uASPSkkCNEDBQbeIadK4FnKiJGvH9pyXH1301DMnTgy0/cgg&#10;ODu1Uw75TPF3H637DtwzwupJQaVUNsJJUeCsWFJpNUBBM0IBoyxFcNfrQIkynh/nseIHoF1pAzIF&#10;pRSmbuz8fpNh6LOv7kGl7FmCnf2e06KRL7x5ftaoYd++mNerbIwcDQE2A0ey82AYAujoBNjLDoPI&#10;A/CSl1a+34XqqsN4mUJkEcjUi9K6DJs37p57fjONdfYL/8MXF4zjzswjLqaguLO++phMyg3djXoD&#10;hu7t1a8phBth9XE7dymQdPXRqo0RdMlQk3z0mP2PJMTd1mfH3rvnQUzuwN4C0PdMVINdlReu/qTf&#10;7QW5zhHVjS5/vGSfyGQ7gGJBEcDk6DjbJKeAREZVzdENUTqzIRB0SQQiF2llqApFAKAHwpL1LUK+&#10;W5o/LFwt/btA9cz1uChDXJ0d+F4w/DzpZ89cdkNBryOPpmQ0JVegA3rVQQMN6d+JMh0xMC5i6t3d&#10;Gip5/m4piFYFCLtWflKbknn9jQ+9uPdCchub6Pl0B87e+I9fDLv5ZrdHonpIKFV+D2Bq27Yfkuj4&#10;rhgaP9SMaDlHAwG3a2pBcQZgDqu/R9G9xItWSmXDJo5d8c2aN4fNX3DbgiSm59hiMm4rLPx7slQe&#10;HF7fnrrK7Uswa1SS1pYmpXNgLy+gApxjQM96ys+tdXvdgUeyU1sOXTHqJNrhOAO5mT6eGSvtHfoq&#10;oSAssOtI7k6A8CKitfuvwHWZHmIWY8hqfO6u6/tv/6jgo1Gjt74Vm9SUvHqLntZv09HRMiVt2wuA&#10;LhDX/fOsJAG8/Lul6XSyJAyZeExSJNl1MYjG1ve8uwM/JtqZ19/vPt541xP/WO421bUHnNaJFcjR&#10;ISJIg4Y2IyzlQ38TVahNRmU1ntsNS43VYRujLbLcrKbBhvDyiWP6rZGm4gHDWw9usBvuaOrc/G5g&#10;datn0G6DrO7EwdL+azJTvfKGlqgv3H6lTq9xiPcXp7x4y71bXk9P3V4abezMl8ik4p2Hu7+ZkyGs&#10;O1zWb6WEk767tzi66KWi2U9MGCo+tnTpeu/8+YWShXfc3POh254tHD7swDPZ3ery5GoXt2lnGG3Z&#10;DV0G/4zNmQWPs7JsgL776duPuzsLO+0AAA4mSURBVFB1uZ4kSnE7no5cJNBG/d+akRPPW3TkzPqd&#10;6/cF13E//tJ3ny2McVTsXst7XV1Z47UsdN0Zdmk1ALSwPfaiTtrJUUqKm+obT0UhemZbKCvVDbQx&#10;Gtw0RFTVVkeuLSlP/XLJhvt37t+fjwIoyL7JSHQtJ4rJXyV9cvqHPfcckZgWLfq4DEZNqBXijBnP&#10;GPvlbUqvaxt4srBwXtsrr7wquieke0J6TXDbpIXhAwq2XZKZXnNFfGzTEEOsJay8XkxH8MAIJdJT&#10;Bfk2+nhpJCxR5PbiPTRmiInMeB7PuuVpfEujgpOrJC5pTJfLDjT7ihD5/7cwkT9ek//29UUlHJvk&#10;24/MyPfZO+4MBrx9HZ32rOgkK42+HE/7iLNTFRKbuw7q8AAj1KAhQx2JXX28WErTJzfB8IDd75PB&#10;sdW6W1r0RzraI4oqayO2trSmlew9fkvrN9u7uEBIHHSKID9dEJSIhgYvvW7gp4p+A3bG6bU1PaIN&#10;TcNiYzsHG2PaU8MQJCivAX6yOIw3A/GC5gpkQ0OaHgU2Olkqp955DooH4qz2eARt+jYRUDs8ogyi&#10;lxTqzyIH97xpCtqK/PQ7L+y7i0640wvIvfe320dbG8rWeNljFlAF039EHeX2aUXbDDntOaJC9zng&#10;M5HBVqAg/5bJjbAIRXSiRoXFc8LQYGhkQBOcYp/DquyAY1/n92oamtuoMcBrWkRCrcPmsLiEEhGn&#10;lEoVbpdJYwjjY4DgildprNEoxoxWKpzhSpRUdQAXcwgRfTPq/NiTPXpk+2jfYSnld0WlUaad9h5S&#10;IUvuDPUi27Iuno7tg08oEAXkWvWyoEByQAmXYvo9C9pxXxfEX/sl8l90wiETcFWnzSbqu3r1Mt0d&#10;l/9NEHDdHvDxao/HLU9AxWn/kfWhviDs+To8Yoc70Fht+pQ2GAVq+vo7WJ6IQ7LudCa0FmSdZ7sA&#10;sxiJlvJADeEeRXC6kRsEf7EHALLqJS8YUAHAkgidFdAUGkUcIuA1/VSJrHxqipPWbtZRA2CFHW1i&#10;oJaDaLDmRF8V6LFEB2Vnd1IQ0Poj+6JoT1E0wLfyEPaSkykORA2/dMiUKXfax0+YMBdf8/G3335b&#10;+0uLfCE+v+DuwM8nnZGWpo2KiXlipd9fsu6NFYWvP3LLx8iYdqPmyiV1J3WaL9FuIxdtOAoGN5IO&#10;4kuPB/UxzG8z8nld0twoxnfT/sN4xhvQbh3oD3miSoryKdTSAa7eaUYzGYgzH6zVJOTjmkCQsjox&#10;Gsb4AKfAMwJqpcg6ABqOrAErxowE4ePxU4lq2iTgQFEahnSSiHrl2igF/lnlMQP6ksRS7UktkqFC&#10;l0IjrUMTugZRWMRjjGjI3t8bHq6/be3aFR/8/D4v9PuLTriGpqbmEaNHxYiEoo+azear7vz7u2WQ&#10;MhVv3nN1jkBovi8QFKkO7ooVlxyO4NJzTGjW2UoBtQ8+njmENi4p08C5RtcDPGGqsw2tCNFmg7kS&#10;ldCPoAccYxSHtONhRh1uOgnH/pJRNiqtVKKujQvB42MhamUACh0tVlJvECgNBHM57dQT4CZWO8BM&#10;/AYQ6ov3kkKFiYgjI0KCUmWp8nNjWv4Dk++/1MZxBb5bb711yqBBgxag4LPiySefgqF0ccdFcQd+&#10;fEu9evVSQxtM86B/Y0Fe3mDAFaoOHJhYtXr38aLLx4/8TmEI+wyJNBX6WOTWo4KUYTbqqzWhzgo6&#10;dYBSk6Bv0JjUCeSGXsvTIURg7Mj5sSKN6EhvqI1Tdi6e+XYcLQeRmVDByT9yTE4uG0dDAeBhD/gb&#10;1JsRzIGMgY/CkHaKxDHtzQqqOGqgzWuS6cDOKFTW4Fk5UmkJyp4aBVLlD5wq8rHpf3uxZf78xcpH&#10;H330juysrIUNDYAnIx+7ffv2j20220WzKNl6XnQdl5+fr501c+Y6tVrTR6FUoNlZu6ezs3PV/l37&#10;n/t0+acsZkifPXtXTGdd3fNBn7s/L5TanBZbbhAteuQgTmS0k5LSOykaj5PWo+9xEP1UhKwEmLXI&#10;QMa7GhjGKNS8sR5grHa8DM/ACQPBDSB2OHpredAJgTWKcSMzjdQLX1ep5hpg9JhawbHgZBF6mrDn&#10;i6Nz4JG49J6XynMHm8aMGcOi+6IHH3hwcmpayoNKpTJPoVBC5PrgpjQ8/cADDzzG5n0xx0UnHLs5&#10;IKfmIiL/NLgPlacWKilBoaHTZWlobPh406ZNzx+orLTkp6Ya85XuprHXTJIWb9u8yOuyXxFA8CvI&#10;izwow5UxIrGyZS2eMqyGcaIB5yhR1Mh+2LNPxYBMsEgZHnYTKrywI0RlMclg4p/6zd57PWIcg2pb&#10;BE4YwdDK7yNepNgFV0Dc0m5dtcckEsPoqLzuuusG9OvT51GVRjNCp9MJ8vLysDHa8STHw46NGzeO&#10;BqwBobmLO/4Qwo0dOzZ14sSJG5OSkhIuueQS+GxWOnToENu9jJDleP2VWCIZZoiIWDpv3rz3F83M&#10;t3ukyRPQrksqlsgdLnPTP0C8ZNScITUqcqG3YzjLwzArkhXCA5+PVTzVoYjFyliDmVDnIbwGaAf2&#10;px82BlhIod4ilsqOOG3WHKlCsXvwgJFP58Do6Dl0TNqkUYPnlBw9lpKVk10WGxs7TaPRqAFmQtQk&#10;CykjB+ER2Gy+HwELejO+7LSfePGId9GNE3Zr3333XQUgb08IhcLFgCsIAMkjILlQcdpK+/ftSxdw&#10;gjkQQ/zIkSN6x8bG3FRVVf3mxp2Hv925cRXD3AcevXJ0WZhG0g9tEmrFEpGNbJ5nhcFgslypPcyL&#10;pC1eu2kq4o/sgW77kTavFHpdY5CwC4jkik/dnGgj73KM8XBCU3Ur/9pLy5c3oFkjQLgnuWl2fRay&#10;8Nf37NlzKuB4kVIAWCOjokalp6dR9+7dYaQoUHnjJeBikHw1NaxevfoZNh92Txd7/CEcd/omxU88&#10;8cQbME5mAGxK0H2hj1lbjn379lFNTQ1lZHShIoD5o5D0RAF+Iw4oEYvFbXyAR3UXQCagMBjLbbWY&#10;3baONtPJ2vp1QIvtX1I4YzDEXyIJNetvfOylhqfvvHaURyDvITKk+CDqIgABjEC1rAiPiRajn5gI&#10;2QcRrgc4EeVotFq1F31SCnoV0LEjR6lPv74EyRCamwst+SAaqba21nH48OHb0LL/49Af/oB//kjC&#10;sdtVA979Khbmxvi4eOqLRWK4SjYYRIERkEVPsrKzGBQM0Q1z6HfogNA/DHrHWgLb4Sp4AkCGWRx2&#10;+w9ffPPN01vWrz/KDrn77runZmXnzALcoZtELNTKZeiNCaNIAJHKbv5MuAPcT9HR0WzD8M3NLZwS&#10;x0Cko3yZVUTBj2xupj27d6P+oNFx8ODBe95+++33Qn/4g/75ownHblsOxPDsxKSkR4wGgwpGCzEs&#10;oxTloVVVVcgqr6SY2FgC9PsXlwimeIiogIhTdXU1ASXWCCNnFnRSAaAOc0EQcWJiIh5Qq4P5H3Z2&#10;c/z8gmZzJ334wfshPMukSZNCx8HipePHj1NDfQMzSE4c2rdvzttLlqz6+bkX+/2fgXChe77pppsG&#10;QWTeC1TzOKPRKIcxENIrzGD5GrUAw4cPpwEDBvzm+rCFZuIMBoQVbazkrAKod+/esDJZIdAvDzf6&#10;Gi5ftpzY+VOvnxr6zbjebrczl6UROu0jWJhvMQjhL1/l4v3lojvgv3RrsCRrsUhtCfHxw1PT0nSM&#10;YKWlpSFjgC0eW1BmGMDCg6H4y/sNdQhwEbRMD0kh5oTDhg37TaIxl+SHH35Aw7h6AJm0IbHIiMbE&#10;qQycD4Np49NPP/1YPcYvzf9if/6nIBzEowY5sr+hTuBZg8EQCwMBQB+UBoNLmG5hr5nlydwGwMEZ&#10;yjm0qGe4iOk/tshnBrg2ZPllpGdQYlLimY9Dv1kzOXY8MzTASSE35MiRIzCEMkJGCIO/MwMJejck&#10;WnEosyYzx48fPxaIMDMAuyW40BnV+JNrX8w3f4g78OMbhFsQjqLGT7FwoxlhhkEkRkSgePr0gIhC&#10;GKsuZKw4EediC8oWfDcMBWbIKGGiy/CbvWYEk0rQmQ5Omh16r7EJbTTg3DNCM0LZrDY44x68diIu&#10;6QQBUd9Q0AvNdfCU4fLy0PlMrDKuRnTkzBTwbKBS2rJ5cw58z08FvCD5zcVvLsAf/1Di/eEcB2gc&#10;D9EmxkIlQsxFwrAIcRbb9ewHvcRChGTcxcRnU1OTnS00fD4haupAFD86GcGVA6GYcdLU2ESNDY0g&#10;AsKdPm/oPeNaZpGy45wgGvqSoYoHvU9ASAw7NoYAnC5gbgnjbgblg3WKuCae0lFczMQu8zyQwG1Z&#10;V1lduRQcWs1O/CPHLyuLizwrcEs4TPcxWLirQMQ+EE8xzLJk+oyJNnBbABy5D4bHozA4+nXt2nUu&#10;dBjypFJkCsJDVih7HTLzT59zRhey85mIZNzGoh4miEMfiANuLv/+++/vQ4lXAjj5MWygWLZR2PFs&#10;07CHTNms1hpslO9gWX757rvv7sKyXNRM9y+R4U9DuB9NUAiRlAzRmYOFTAMXIsnqcYLDjr3yyis7&#10;cRzK9olghQ4F8WbimP4Qk5FYbEhM+GgQnSKISjj2IYuQ6SxGNMaR4CRWT+fE66qOjrbvtmzZ9hYI&#10;V8WuB6s1FXq0D9yFFBBfAAL/vwEz8OvrBw4cuH7lypWXIDWDCQzGiCMpfIBDZbLA4lYTuBlSDdiJ&#10;lgHmGAlgjtUEYjNghvkJzKl7gfXbY2A99xzIfgQsbm9s3LjxBrAlCU4AJFk2qpjoEAAlLBgmWhNQ&#10;oQjw3tTDwAHqViCb1HocZt+gTtSkeoqUwBtItd+AxeN+YBG3F9iYAa7+GgWjITAaAqMhMBoCIzAE&#10;AAv0DODFUDw4AAAAAElFTkSuQmCCUEsDBBQABgAIAAAAIQAQkRcB3gAAAAkBAAAPAAAAZHJzL2Rv&#10;d25yZXYueG1sTI/NSsNAFIX3gu8wXMGdnSSmtcRMSinqqgi2QunuNnObhGZmQmaapG/vdaXLw3c4&#10;P/lqMq0YqPeNswriWQSCbOl0YysF3/v3pyUIH9BqbJ0lBTfysCru73LMtBvtFw27UAkOsT5DBXUI&#10;XSalL2sy6GeuI8vs7HqDgWVfSd3jyOGmlUkULaTBxnJDjR1taiovu6tR8DHiuH6O34bt5by5Hffz&#10;z8M2JqUeH6b1K4hAU/gzw+98ng4Fbzq5q9VetKwXL+xUkKR8ifkynacgTgySKAFZ5PL/g+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X5OGqcDAACbCgAADgAA&#10;AAAAAAAAAAAAAAA6AgAAZHJzL2Uyb0RvYy54bWxQSwECLQAKAAAAAAAAACEAojCL5B1PAAAdTwAA&#10;FAAAAAAAAAAAAAAAAAANBgAAZHJzL21lZGlhL2ltYWdlMS5wbmdQSwECLQAUAAYACAAAACEAEJEX&#10;Ad4AAAAJAQAADwAAAAAAAAAAAAAAAABcVQAAZHJzL2Rvd25yZXYueG1sUEsBAi0AFAAGAAgAAAAh&#10;AKomDr68AAAAIQEAABkAAAAAAAAAAAAAAAAAZ1YAAGRycy9fcmVscy9lMm9Eb2MueG1sLnJlbHNQ&#10;SwUGAAAAAAYABgB8AQAAWlcAAAAA&#10;">
                <v:shapetype id="_x0000_t202" coordsize="21600,21600" o:spt="202" path="m,l,21600r21600,l21600,xe">
                  <v:stroke joinstyle="miter"/>
                  <v:path gradientshapeok="t" o:connecttype="rect"/>
                </v:shapetype>
                <v:shape id="Text Box 1" o:sp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3E112DA0" w14:textId="77777777" w:rsidR="00A61264" w:rsidRPr="004E2BF3" w:rsidRDefault="00A61264" w:rsidP="00A61264">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 xml:space="preserve">EL TRIBUNAL DE CUENTAS DE </w:t>
                        </w:r>
                      </w:p>
                      <w:p w14:paraId="34103163" w14:textId="77777777" w:rsidR="00A61264" w:rsidRPr="004E2BF3" w:rsidRDefault="00A61264" w:rsidP="00A61264">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LA REPÚBLICA DE INDONESIA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10"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713D9D5B" w14:textId="77777777" w:rsidR="00A61264" w:rsidRPr="00F41A22" w:rsidRDefault="00A61264" w:rsidP="00A61264">
                        <w:pPr>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color w:val="000000" w:themeColor="text1"/>
                            <w:sz w:val="60"/>
                            <w14:textOutline w14:w="0" w14:cap="flat" w14:cmpd="sng" w14:algn="ctr">
                              <w14:noFill/>
                              <w14:prstDash w14:val="solid"/>
                              <w14:round/>
                            </w14:textOutline>
                          </w:rPr>
                          <w:t>BPK RI</w:t>
                        </w:r>
                      </w:p>
                    </w:txbxContent>
                  </v:textbox>
                </v:shape>
              </v:group>
            </w:pict>
          </mc:Fallback>
        </mc:AlternateContent>
      </w:r>
      <w:r w:rsidRPr="0041782C">
        <w:rPr>
          <w:noProof/>
          <w:lang w:val="es-419"/>
        </w:rPr>
        <mc:AlternateContent>
          <mc:Choice Requires="wpg">
            <w:drawing>
              <wp:anchor distT="0" distB="0" distL="114300" distR="114300" simplePos="0" relativeHeight="251661312" behindDoc="0" locked="0" layoutInCell="1" allowOverlap="1" wp14:anchorId="1B521690" wp14:editId="185478F6">
                <wp:simplePos x="0" y="0"/>
                <wp:positionH relativeFrom="column">
                  <wp:posOffset>-941674</wp:posOffset>
                </wp:positionH>
                <wp:positionV relativeFrom="paragraph">
                  <wp:posOffset>1000466</wp:posOffset>
                </wp:positionV>
                <wp:extent cx="6830695" cy="3140710"/>
                <wp:effectExtent l="0" t="0" r="8255" b="2540"/>
                <wp:wrapNone/>
                <wp:docPr id="850979624" name="Group 9"/>
                <wp:cNvGraphicFramePr/>
                <a:graphic xmlns:a="http://schemas.openxmlformats.org/drawingml/2006/main">
                  <a:graphicData uri="http://schemas.microsoft.com/office/word/2010/wordprocessingGroup">
                    <wpg:wgp>
                      <wpg:cNvGrpSpPr/>
                      <wpg:grpSpPr>
                        <a:xfrm>
                          <a:off x="0" y="0"/>
                          <a:ext cx="6830695" cy="3140710"/>
                          <a:chOff x="0" y="0"/>
                          <a:chExt cx="6367200" cy="3141072"/>
                        </a:xfrm>
                      </wpg:grpSpPr>
                      <wps:wsp>
                        <wps:cNvPr id="75652361" name="Rectangle 3"/>
                        <wps:cNvSpPr/>
                        <wps:spPr>
                          <a:xfrm>
                            <a:off x="0" y="0"/>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864" y="144972"/>
                            <a:ext cx="4490085" cy="500380"/>
                          </a:xfrm>
                          <a:prstGeom prst="rect">
                            <a:avLst/>
                          </a:prstGeom>
                          <a:noFill/>
                          <a:ln>
                            <a:noFill/>
                          </a:ln>
                        </wps:spPr>
                        <wps:txbx>
                          <w:txbxContent>
                            <w:p w14:paraId="1EC7FFA3" w14:textId="77777777" w:rsidR="00A61264" w:rsidRPr="001F3C9C" w:rsidRDefault="00A61264" w:rsidP="00556285">
                              <w:pPr>
                                <w:rPr>
                                  <w:rFonts w:ascii="Helvetica" w:hAnsi="Helvetica"/>
                                  <w:b/>
                                  <w:bCs/>
                                  <w:color w:val="FFFFFF" w:themeColor="background1"/>
                                  <w:sz w:val="56"/>
                                  <w:szCs w:val="56"/>
                                  <w14:textOutline w14:w="0" w14:cap="flat" w14:cmpd="sng" w14:algn="ctr">
                                    <w14:noFill/>
                                    <w14:prstDash w14:val="solid"/>
                                    <w14:round/>
                                  </w14:textOutline>
                                </w:rPr>
                              </w:pPr>
                              <w:r w:rsidRPr="001F3C9C">
                                <w:rPr>
                                  <w:rFonts w:ascii="Helvetica" w:hAnsi="Helvetica"/>
                                  <w:b/>
                                  <w:color w:val="FFFFFF" w:themeColor="background1"/>
                                  <w:sz w:val="56"/>
                                  <w14:textOutline w14:w="0" w14:cap="flat" w14:cmpd="sng" w14:algn="ctr">
                                    <w14:noFill/>
                                    <w14:prstDash w14:val="solid"/>
                                    <w14:round/>
                                  </w14:textOutline>
                                </w:rPr>
                                <w:t>INFORME DE AUDITORÍA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1001450" y="914085"/>
                            <a:ext cx="5365750" cy="909320"/>
                          </a:xfrm>
                          <a:prstGeom prst="rect">
                            <a:avLst/>
                          </a:prstGeom>
                          <a:noFill/>
                          <a:ln>
                            <a:noFill/>
                          </a:ln>
                        </wps:spPr>
                        <wps:txbx>
                          <w:txbxContent>
                            <w:p w14:paraId="0FED151C" w14:textId="77777777" w:rsidR="00A61264" w:rsidRPr="00EE7D00" w:rsidRDefault="00A61264" w:rsidP="00A61264">
                              <w:pPr>
                                <w:rPr>
                                  <w:rFonts w:ascii="Helvetica" w:hAnsi="Helvetica"/>
                                  <w:color w:val="FFFFFF" w:themeColor="background1"/>
                                  <w:sz w:val="56"/>
                                  <w:szCs w:val="56"/>
                                  <w14:textOutline w14:w="0" w14:cap="flat" w14:cmpd="sng" w14:algn="ctr">
                                    <w14:noFill/>
                                    <w14:prstDash w14:val="solid"/>
                                    <w14:round/>
                                  </w14:textOutline>
                                </w:rPr>
                              </w:pPr>
                              <w:r>
                                <w:rPr>
                                  <w:rFonts w:ascii="Helvetica" w:hAnsi="Helvetica"/>
                                  <w:color w:val="FFFFFF" w:themeColor="background1"/>
                                  <w:sz w:val="56"/>
                                  <w14:textOutline w14:w="0" w14:cap="flat" w14:cmpd="sng" w14:algn="ctr">
                                    <w14:noFill/>
                                    <w14:prstDash w14:val="solid"/>
                                    <w14:round/>
                                  </w14:textOutline>
                                </w:rPr>
                                <w:t>ORGANIZACIÓN MUNDIAL DE LA PROPIEDAD INTELECTUAL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986932" y="1769926"/>
                            <a:ext cx="2098040" cy="441960"/>
                          </a:xfrm>
                          <a:prstGeom prst="rect">
                            <a:avLst/>
                          </a:prstGeom>
                          <a:noFill/>
                          <a:ln>
                            <a:noFill/>
                          </a:ln>
                        </wps:spPr>
                        <wps:txbx>
                          <w:txbxContent>
                            <w:p w14:paraId="29D8BE5A" w14:textId="77777777" w:rsidR="00A61264" w:rsidRPr="00EE7D00" w:rsidRDefault="00A61264" w:rsidP="00A61264">
                              <w:pPr>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14:textOutline w14:w="0" w14:cap="flat" w14:cmpd="sng" w14:algn="ctr">
                                    <w14:noFill/>
                                    <w14:prstDash w14:val="solid"/>
                                    <w14:round/>
                                  </w14:textOutline>
                                </w:rPr>
                                <w:t>Ejercicio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1074057" y="2786742"/>
                            <a:ext cx="3519805" cy="354330"/>
                          </a:xfrm>
                          <a:prstGeom prst="rect">
                            <a:avLst/>
                          </a:prstGeom>
                          <a:noFill/>
                          <a:ln>
                            <a:noFill/>
                          </a:ln>
                        </wps:spPr>
                        <wps:txbx>
                          <w:txbxContent>
                            <w:p w14:paraId="7E40018F" w14:textId="77777777" w:rsidR="00A61264" w:rsidRPr="00203E88" w:rsidRDefault="00A61264" w:rsidP="00A61264">
                              <w:pPr>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14:textOutline w14:w="0" w14:cap="flat" w14:cmpd="sng" w14:algn="ctr">
                                    <w14:noFill/>
                                    <w14:prstDash w14:val="solid"/>
                                    <w14:round/>
                                  </w14:textOutline>
                                </w:rPr>
                                <w:t>MAYO DE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521690" id="Group 9" o:spid="_x0000_s1030" style="position:absolute;margin-left:-74.15pt;margin-top:78.8pt;width:537.85pt;height:247.3pt;z-index:251661312;mso-width-relative:margin;mso-height-relative:margin" coordsize="63672,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CuFwQAAB8SAAAOAAAAZHJzL2Uyb0RvYy54bWzsWNlu3DYUfS/QfyD4Xg+1L7AcuE5tFHAT&#10;I3aRZ5qiZgRIpEpyPHK+vpekpPHWwHHTBnDyMiMud+HhuYeUDt+MfYduuNKtFBUODghGXDBZt2Jd&#10;4T+vTn/JMdKGipp2UvAK33KN3xz9/NPhbih5KDeyq7lC4ETocjdUeGPMUK5Wmm14T/WBHLiAwUaq&#10;nhpoqvWqVnQH3vtuFRKSrnZS1YOSjGsNvW/9ID5y/puGM/O+aTQ3qKsw5Gbcr3K/1/Z3dXRIy7Wi&#10;w6ZlUxr0BVn0tBUQdHH1lhqKtqp95KpvmZJaNuaAyX4lm6Zl3K0BVhOQB6s5U3I7uLWsy916WGAC&#10;aB/g9GK37N3NmRouhwsFSOyGNWDhWnYtY6N6+w9ZotFBdrtAxkeDGHSmeUTSIsGIwVgUxCQLJlDZ&#10;BpB/ZMc2v82WUZrBDi6WAclCux2rOfDqXjq7AQii9xjof4fB5YYO3EGrS8DgQqG2rnCWpEkYpQFG&#10;gvbA1g/AHyrWHUeRTc3mAJMXtHSpAbhnQxWlaQLoOKjCNMzDNLm3YFoOSpszLntkHyqsILxjFb05&#10;18ZjM0+xUbXs2vq07TrXsCXDTzqFbiiQ3YyhM+22/R+y9n1ZQgBw8ENL6Lbb46aGczdA7wrPenEb&#10;cS9AJ6yhkDagz8X2wC7NMLgnc9txF0B84A2AChzxiSyefVDKGBcmcDnqDa257w7+MZfOOrSeG4i/&#10;+J4c3F/77NtnOc23ptwpwmJMfPTPGS8WLrIUZjHuWyHVUw46WNUU2c+fQfLQWJSuZX0LlFPS65Ee&#10;2GkLO35OtbmgCgQIWAKiat7DT9PJXYXl9ITRRqpPT/Xb+VATMIrRDgStwvqvLVUco+53AdVSBHFs&#10;FdA14gRqDyN1d+T67ojY9icSaASlANm5RzvfdPNjo2T/EbT32EaFISoYxK4wM2punBgvtKDejB8f&#10;u2mgegM15+JyYNa5RdUy+mr8SNUw0d6AuLyTc4XS8gH7/VxrKeTx1simdaWxx3XCG9TCl+x/Lhtx&#10;SoI8zXI467xuXFl5/FWOyDHBZjbJBjIjdNuVA0NcvTwtIEWe5mmMEYgqbFvhlRH4O2kndBGST6oL&#10;FRPlrqwX6fxiJVmqGpThOWVuxuvRKaaT7D30r5LS5vsjdEGCMAvy8KsROiAkiBPQCWA0KJElL1TA&#10;ntFJlCZwPPnDsSBFBPLkRXS+hcwH3zPPxhczejnpX7FIf3+MTuMgSkhuD72vJ9HAUi/RWVoUYXqf&#10;0SEpcmJPXHszjuOgSL8Vo+P5sPnB6Fd06QiCkGRRlOfZY0o7Kr7g2gHvYDFJwCFQNszgShO7830v&#10;01ESAKvn170kjqJvRWp3fvy4ePx/N2n3Og5fIdyL4fTFxH7muNt2N+/9d52jvwEAAP//AwBQSwME&#10;FAAGAAgAAAAhAO4dbD3jAAAADAEAAA8AAABkcnMvZG93bnJldi54bWxMj0FPg0AQhe8m/ofNmHhr&#10;F2ihFVmaplFPjYmtifG2hSmQsrOE3QL9944nPU7el/e+yTaTacWAvWssKQjnAQikwpYNVQo+j6+z&#10;NQjnNZW6tYQKbuhgk9/fZTot7UgfOBx8JbiEXKoV1N53qZSuqNFoN7cdEmdn2xvt+ewrWfZ65HLT&#10;yigIEml0Q7xQ6w53NRaXw9UoeBv1uF2EL8P+ct7dvo/x+9c+RKUeH6btMwiPk/+D4Vef1SFnp5O9&#10;UulEq2AWLtcLZjmJVwkIRp6i1RLESUESRxHIPJP/n8h/AAAA//8DAFBLAQItABQABgAIAAAAIQC2&#10;gziS/gAAAOEBAAATAAAAAAAAAAAAAAAAAAAAAABbQ29udGVudF9UeXBlc10ueG1sUEsBAi0AFAAG&#10;AAgAAAAhADj9If/WAAAAlAEAAAsAAAAAAAAAAAAAAAAALwEAAF9yZWxzLy5yZWxzUEsBAi0AFAAG&#10;AAgAAAAhAJjc4K4XBAAAHxIAAA4AAAAAAAAAAAAAAAAALgIAAGRycy9lMm9Eb2MueG1sUEsBAi0A&#10;FAAGAAgAAAAhAO4dbD3jAAAADAEAAA8AAAAAAAAAAAAAAAAAcQYAAGRycy9kb3ducmV2LnhtbFBL&#10;BQYAAAAABAAEAPMAAACBBwAAAAA=&#10;">
                <v:rect id="Rectangle 3" o:spid="_x0000_s1031" style="position:absolute;width:63665;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r/yQAAAOEAAAAPAAAAZHJzL2Rvd25yZXYueG1sRI/NasJA&#10;FIX3Bd9huEI3UiexGCV1lCJtdVVozKLL28w1CWbuhMyYpG/fEYQuD+fn42x2o2lET52rLSuI5xEI&#10;4sLqmksF+en9aQ3CeWSNjWVS8EsOdtvJwwZTbQf+oj7zpQgj7FJUUHnfplK6oiKDbm5b4uCdbWfQ&#10;B9mVUnc4hHHTyEUUJdJgzYFQYUv7iopLdjWBO9Pf+8/iJ/84rNvDVcZvua1zpR6n4+sLCE+j/w/f&#10;20etYLVMlovnJIbbo/AG5PYPAAD//wMAUEsBAi0AFAAGAAgAAAAhANvh9svuAAAAhQEAABMAAAAA&#10;AAAAAAAAAAAAAAAAAFtDb250ZW50X1R5cGVzXS54bWxQSwECLQAUAAYACAAAACEAWvQsW78AAAAV&#10;AQAACwAAAAAAAAAAAAAAAAAfAQAAX3JlbHMvLnJlbHNQSwECLQAUAAYACAAAACEAhCdK/8kAAADh&#10;AAAADwAAAAAAAAAAAAAAAAAHAgAAZHJzL2Rvd25yZXYueG1sUEsFBgAAAAADAAMAtwAAAP0CAAAA&#10;AA==&#10;" fillcolor="#3071c3 [2431]" stroked="f" strokeweight="2pt"/>
                <v:shape id="Text Box 1" o:spid="_x0000_s1032" type="#_x0000_t202" style="position:absolute;left:9868;top:1449;width:44901;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1EC7FFA3" w14:textId="77777777" w:rsidR="00A61264" w:rsidRPr="001F3C9C" w:rsidRDefault="00A61264" w:rsidP="00556285">
                        <w:pPr>
                          <w:rPr>
                            <w:rFonts w:ascii="Helvetica" w:hAnsi="Helvetica"/>
                            <w:b/>
                            <w:bCs/>
                            <w:color w:val="FFFFFF" w:themeColor="background1"/>
                            <w:sz w:val="56"/>
                            <w:szCs w:val="56"/>
                            <w14:textOutline w14:w="0" w14:cap="flat" w14:cmpd="sng" w14:algn="ctr">
                              <w14:noFill/>
                              <w14:prstDash w14:val="solid"/>
                              <w14:round/>
                            </w14:textOutline>
                          </w:rPr>
                        </w:pPr>
                        <w:r w:rsidRPr="001F3C9C">
                          <w:rPr>
                            <w:rFonts w:ascii="Helvetica" w:hAnsi="Helvetica"/>
                            <w:b/>
                            <w:color w:val="FFFFFF" w:themeColor="background1"/>
                            <w:sz w:val="56"/>
                            <w14:textOutline w14:w="0" w14:cap="flat" w14:cmpd="sng" w14:algn="ctr">
                              <w14:noFill/>
                              <w14:prstDash w14:val="solid"/>
                              <w14:round/>
                            </w14:textOutline>
                          </w:rPr>
                          <w:t>INFORME DE AUDITORÍA</w:t>
                        </w:r>
                      </w:p>
                    </w:txbxContent>
                  </v:textbox>
                </v:shape>
                <v:shape id="Text Box 1" o:spid="_x0000_s1033" type="#_x0000_t202" style="position:absolute;left:10014;top:9140;width:53658;height:9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0FED151C" w14:textId="77777777" w:rsidR="00A61264" w:rsidRPr="00EE7D00" w:rsidRDefault="00A61264" w:rsidP="00A61264">
                        <w:pPr>
                          <w:rPr>
                            <w:rFonts w:ascii="Helvetica" w:hAnsi="Helvetica"/>
                            <w:color w:val="FFFFFF" w:themeColor="background1"/>
                            <w:sz w:val="56"/>
                            <w:szCs w:val="56"/>
                            <w14:textOutline w14:w="0" w14:cap="flat" w14:cmpd="sng" w14:algn="ctr">
                              <w14:noFill/>
                              <w14:prstDash w14:val="solid"/>
                              <w14:round/>
                            </w14:textOutline>
                          </w:rPr>
                        </w:pPr>
                        <w:r>
                          <w:rPr>
                            <w:rFonts w:ascii="Helvetica" w:hAnsi="Helvetica"/>
                            <w:color w:val="FFFFFF" w:themeColor="background1"/>
                            <w:sz w:val="56"/>
                            <w14:textOutline w14:w="0" w14:cap="flat" w14:cmpd="sng" w14:algn="ctr">
                              <w14:noFill/>
                              <w14:prstDash w14:val="solid"/>
                              <w14:round/>
                            </w14:textOutline>
                          </w:rPr>
                          <w:t>ORGANIZACIÓN MUNDIAL DE LA PROPIEDAD INTELECTUAL</w:t>
                        </w:r>
                      </w:p>
                    </w:txbxContent>
                  </v:textbox>
                </v:shape>
                <v:shape id="Text Box 1" o:spid="_x0000_s1034" type="#_x0000_t202" style="position:absolute;left:9869;top:17699;width:2098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29D8BE5A" w14:textId="77777777" w:rsidR="00A61264" w:rsidRPr="00EE7D00" w:rsidRDefault="00A61264" w:rsidP="00A61264">
                        <w:pPr>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14:textOutline w14:w="0" w14:cap="flat" w14:cmpd="sng" w14:algn="ctr">
                              <w14:noFill/>
                              <w14:prstDash w14:val="solid"/>
                              <w14:round/>
                            </w14:textOutline>
                          </w:rPr>
                          <w:t>Ejercicio 2024</w:t>
                        </w:r>
                      </w:p>
                    </w:txbxContent>
                  </v:textbox>
                </v:shape>
                <v:shape id="Text Box 16" o:spid="_x0000_s1035"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E40018F" w14:textId="77777777" w:rsidR="00A61264" w:rsidRPr="00203E88" w:rsidRDefault="00A61264" w:rsidP="00A61264">
                        <w:pPr>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14:textOutline w14:w="0" w14:cap="flat" w14:cmpd="sng" w14:algn="ctr">
                              <w14:noFill/>
                              <w14:prstDash w14:val="solid"/>
                              <w14:round/>
                            </w14:textOutline>
                          </w:rPr>
                          <w:t>MAYO DE 2025</w:t>
                        </w:r>
                      </w:p>
                    </w:txbxContent>
                  </v:textbox>
                </v:shape>
              </v:group>
            </w:pict>
          </mc:Fallback>
        </mc:AlternateContent>
      </w:r>
    </w:p>
    <w:p w14:paraId="5AFBB519" w14:textId="77777777" w:rsidR="00556285" w:rsidRPr="0041782C" w:rsidRDefault="00556285">
      <w:pPr>
        <w:rPr>
          <w:lang w:val="es-419"/>
        </w:rPr>
        <w:sectPr w:rsidR="00556285" w:rsidRPr="0041782C" w:rsidSect="00A61264">
          <w:headerReference w:type="default" r:id="rId11"/>
          <w:endnotePr>
            <w:numFmt w:val="decimal"/>
          </w:endnotePr>
          <w:pgSz w:w="11907" w:h="16840" w:code="9"/>
          <w:pgMar w:top="567" w:right="1134" w:bottom="1418" w:left="1418" w:header="510" w:footer="1021" w:gutter="0"/>
          <w:cols w:space="720"/>
          <w:titlePg/>
          <w:docGrid w:linePitch="299"/>
        </w:sectPr>
      </w:pPr>
    </w:p>
    <w:p w14:paraId="28417B07" w14:textId="77777777" w:rsidR="00556285" w:rsidRPr="0041782C" w:rsidRDefault="00556285" w:rsidP="00556285">
      <w:pPr>
        <w:keepNext/>
        <w:keepLines/>
        <w:jc w:val="center"/>
        <w:outlineLvl w:val="0"/>
        <w:rPr>
          <w:rFonts w:ascii="Times New Roman" w:eastAsia="Times New Roman" w:hAnsi="Times New Roman" w:cs="Times New Roman"/>
          <w:b/>
          <w:bCs/>
          <w:color w:val="000000"/>
          <w:lang w:val="es-419"/>
        </w:rPr>
      </w:pPr>
      <w:bookmarkStart w:id="6" w:name="_Toc197377460"/>
    </w:p>
    <w:p w14:paraId="73197D54" w14:textId="77777777" w:rsidR="00556285" w:rsidRPr="0041782C" w:rsidRDefault="00556285" w:rsidP="00556285">
      <w:pPr>
        <w:keepNext/>
        <w:keepLines/>
        <w:jc w:val="center"/>
        <w:outlineLvl w:val="0"/>
        <w:rPr>
          <w:rFonts w:ascii="Times New Roman" w:eastAsia="Times New Roman" w:hAnsi="Times New Roman" w:cs="Times New Roman"/>
          <w:b/>
          <w:bCs/>
          <w:color w:val="000000"/>
          <w:lang w:val="es-419"/>
        </w:rPr>
      </w:pPr>
    </w:p>
    <w:p w14:paraId="33E9EBCA" w14:textId="77777777" w:rsidR="00556285" w:rsidRPr="0041782C" w:rsidRDefault="00556285" w:rsidP="00556285">
      <w:pPr>
        <w:keepNext/>
        <w:keepLines/>
        <w:jc w:val="center"/>
        <w:outlineLvl w:val="0"/>
        <w:rPr>
          <w:rFonts w:ascii="Times New Roman" w:eastAsia="Times New Roman" w:hAnsi="Times New Roman" w:cs="Times New Roman"/>
          <w:b/>
          <w:bCs/>
          <w:color w:val="000000"/>
          <w:lang w:val="es-419"/>
        </w:rPr>
      </w:pPr>
      <w:bookmarkStart w:id="7" w:name="_Toc198742237"/>
      <w:bookmarkStart w:id="8" w:name="_Toc198742537"/>
      <w:r w:rsidRPr="0041782C">
        <w:rPr>
          <w:rFonts w:ascii="Times New Roman" w:hAnsi="Times New Roman"/>
          <w:b/>
          <w:color w:val="000000"/>
          <w:lang w:val="es-419"/>
        </w:rPr>
        <w:t>Carta del auditor externo a la presidencia de la Asamblea General de la Organización Mundial de la Propiedad Intelectual</w:t>
      </w:r>
      <w:bookmarkEnd w:id="6"/>
      <w:bookmarkEnd w:id="7"/>
      <w:bookmarkEnd w:id="8"/>
    </w:p>
    <w:p w14:paraId="300769FE" w14:textId="77777777" w:rsidR="00556285" w:rsidRPr="0041782C" w:rsidRDefault="00556285" w:rsidP="00556285">
      <w:pPr>
        <w:tabs>
          <w:tab w:val="center" w:pos="4680"/>
        </w:tabs>
        <w:jc w:val="center"/>
        <w:rPr>
          <w:rFonts w:ascii="Times New Roman" w:eastAsia="Calibri" w:hAnsi="Times New Roman" w:cs="Times New Roman"/>
          <w:b/>
          <w:szCs w:val="22"/>
          <w:lang w:val="es-419"/>
        </w:rPr>
      </w:pPr>
    </w:p>
    <w:p w14:paraId="277A054C" w14:textId="77777777" w:rsidR="00556285" w:rsidRPr="0041782C" w:rsidRDefault="00556285" w:rsidP="00556285">
      <w:pPr>
        <w:tabs>
          <w:tab w:val="center" w:pos="4680"/>
        </w:tabs>
        <w:jc w:val="center"/>
        <w:rPr>
          <w:rFonts w:ascii="Times New Roman" w:eastAsia="Calibri" w:hAnsi="Times New Roman" w:cs="Times New Roman"/>
          <w:b/>
          <w:szCs w:val="22"/>
          <w:lang w:val="es-419"/>
        </w:rPr>
      </w:pPr>
    </w:p>
    <w:p w14:paraId="0F2A0E27" w14:textId="77777777" w:rsidR="00556285" w:rsidRPr="0041782C" w:rsidRDefault="00556285" w:rsidP="00556285">
      <w:pPr>
        <w:tabs>
          <w:tab w:val="center" w:pos="4680"/>
        </w:tabs>
        <w:spacing w:after="160" w:line="259" w:lineRule="auto"/>
        <w:rPr>
          <w:rFonts w:ascii="Times New Roman" w:eastAsia="Calibri" w:hAnsi="Times New Roman" w:cs="Times New Roman"/>
          <w:szCs w:val="22"/>
          <w:lang w:val="es-419"/>
        </w:rPr>
      </w:pPr>
    </w:p>
    <w:p w14:paraId="5B6DA3F7" w14:textId="6D2F8620" w:rsidR="00556285" w:rsidRPr="0041782C" w:rsidRDefault="00556285" w:rsidP="00556285">
      <w:pPr>
        <w:tabs>
          <w:tab w:val="center" w:pos="4680"/>
        </w:tabs>
        <w:spacing w:after="160" w:line="259" w:lineRule="auto"/>
        <w:rPr>
          <w:rFonts w:ascii="Times New Roman" w:eastAsia="Calibri" w:hAnsi="Times New Roman" w:cs="Times New Roman"/>
          <w:szCs w:val="22"/>
          <w:lang w:val="es-419"/>
        </w:rPr>
      </w:pPr>
      <w:r w:rsidRPr="0041782C">
        <w:rPr>
          <w:rFonts w:ascii="Times New Roman" w:hAnsi="Times New Roman"/>
          <w:lang w:val="es-419"/>
        </w:rPr>
        <w:t xml:space="preserve">Número:          /S/I/05/2025 </w:t>
      </w:r>
    </w:p>
    <w:p w14:paraId="1838249B" w14:textId="77777777" w:rsidR="00556285" w:rsidRPr="0041782C" w:rsidRDefault="00556285" w:rsidP="00556285">
      <w:pPr>
        <w:rPr>
          <w:rFonts w:ascii="Times New Roman" w:eastAsia="Calibri" w:hAnsi="Times New Roman" w:cs="Times New Roman"/>
          <w:szCs w:val="22"/>
          <w:lang w:val="es-419"/>
        </w:rPr>
      </w:pPr>
      <w:r w:rsidRPr="0041782C">
        <w:rPr>
          <w:rFonts w:ascii="Times New Roman" w:hAnsi="Times New Roman"/>
          <w:lang w:val="es-419"/>
        </w:rPr>
        <w:t>Presidencia de la Asamblea General</w:t>
      </w:r>
    </w:p>
    <w:p w14:paraId="3CE11B09" w14:textId="77777777" w:rsidR="00556285" w:rsidRPr="0041782C" w:rsidRDefault="00556285" w:rsidP="00556285">
      <w:pPr>
        <w:rPr>
          <w:rFonts w:ascii="Times New Roman" w:eastAsia="Calibri" w:hAnsi="Times New Roman" w:cs="Times New Roman"/>
          <w:szCs w:val="22"/>
          <w:lang w:val="es-419"/>
        </w:rPr>
      </w:pPr>
      <w:r w:rsidRPr="0041782C">
        <w:rPr>
          <w:rFonts w:ascii="Times New Roman" w:hAnsi="Times New Roman"/>
          <w:lang w:val="es-419"/>
        </w:rPr>
        <w:t>Organización Mundial de la Propiedad Intelectual</w:t>
      </w:r>
    </w:p>
    <w:p w14:paraId="22D7021C" w14:textId="77777777" w:rsidR="00556285" w:rsidRPr="006A09FF" w:rsidRDefault="00556285" w:rsidP="00556285">
      <w:pPr>
        <w:rPr>
          <w:rFonts w:ascii="Times New Roman" w:eastAsia="Calibri" w:hAnsi="Times New Roman" w:cs="Times New Roman"/>
          <w:szCs w:val="22"/>
          <w:lang w:val="fr-FR"/>
        </w:rPr>
      </w:pPr>
      <w:r w:rsidRPr="006A09FF">
        <w:rPr>
          <w:rFonts w:ascii="Times New Roman" w:hAnsi="Times New Roman"/>
          <w:lang w:val="fr-FR"/>
        </w:rPr>
        <w:t>34, chemin des Colombettes</w:t>
      </w:r>
    </w:p>
    <w:p w14:paraId="2D78BDD8" w14:textId="77777777" w:rsidR="00556285" w:rsidRPr="006A09FF" w:rsidRDefault="00556285" w:rsidP="00556285">
      <w:pPr>
        <w:rPr>
          <w:rFonts w:ascii="Times New Roman" w:eastAsia="Calibri" w:hAnsi="Times New Roman" w:cs="Times New Roman"/>
          <w:szCs w:val="22"/>
          <w:lang w:val="fr-FR"/>
        </w:rPr>
      </w:pPr>
      <w:r w:rsidRPr="006A09FF">
        <w:rPr>
          <w:rFonts w:ascii="Times New Roman" w:hAnsi="Times New Roman"/>
          <w:lang w:val="fr-FR"/>
        </w:rPr>
        <w:t>CH-1211 Ginebra 20</w:t>
      </w:r>
    </w:p>
    <w:p w14:paraId="0C17E0DD" w14:textId="77777777" w:rsidR="00556285" w:rsidRPr="0041782C" w:rsidRDefault="00556285" w:rsidP="00556285">
      <w:pPr>
        <w:rPr>
          <w:rFonts w:ascii="Times New Roman" w:eastAsia="Calibri" w:hAnsi="Times New Roman" w:cs="Times New Roman"/>
          <w:szCs w:val="22"/>
          <w:shd w:val="clear" w:color="auto" w:fill="FFFFFF"/>
          <w:lang w:val="es-419"/>
        </w:rPr>
      </w:pPr>
      <w:r w:rsidRPr="0041782C">
        <w:rPr>
          <w:rFonts w:ascii="Times New Roman" w:hAnsi="Times New Roman"/>
          <w:lang w:val="es-419"/>
        </w:rPr>
        <w:t>Suiza</w:t>
      </w:r>
    </w:p>
    <w:p w14:paraId="0B1A2627" w14:textId="77777777" w:rsidR="00556285" w:rsidRPr="0041782C" w:rsidRDefault="00556285" w:rsidP="00556285">
      <w:pPr>
        <w:spacing w:after="160" w:line="259" w:lineRule="auto"/>
        <w:rPr>
          <w:rFonts w:ascii="Times New Roman" w:eastAsia="Calibri" w:hAnsi="Times New Roman" w:cs="Times New Roman"/>
          <w:szCs w:val="22"/>
          <w:shd w:val="clear" w:color="auto" w:fill="FFFFFF"/>
          <w:lang w:val="es-419"/>
        </w:rPr>
      </w:pPr>
    </w:p>
    <w:p w14:paraId="05364B90" w14:textId="77777777" w:rsidR="00556285" w:rsidRPr="0041782C" w:rsidRDefault="00556285" w:rsidP="00556285">
      <w:pPr>
        <w:spacing w:after="160" w:line="259" w:lineRule="auto"/>
        <w:rPr>
          <w:rFonts w:ascii="Times New Roman" w:eastAsia="Calibri" w:hAnsi="Times New Roman" w:cs="Times New Roman"/>
          <w:szCs w:val="22"/>
          <w:shd w:val="clear" w:color="auto" w:fill="FFFFFF"/>
          <w:lang w:val="es-419"/>
        </w:rPr>
      </w:pPr>
      <w:r w:rsidRPr="0041782C">
        <w:rPr>
          <w:rFonts w:ascii="Times New Roman" w:hAnsi="Times New Roman"/>
          <w:shd w:val="clear" w:color="auto" w:fill="FFFFFF"/>
          <w:lang w:val="es-419"/>
        </w:rPr>
        <w:t>De mi consideración:</w:t>
      </w:r>
    </w:p>
    <w:p w14:paraId="0EFD78EE" w14:textId="77777777" w:rsidR="00556285" w:rsidRPr="0041782C" w:rsidRDefault="00556285" w:rsidP="00556285">
      <w:pPr>
        <w:spacing w:after="160" w:line="259" w:lineRule="auto"/>
        <w:jc w:val="both"/>
        <w:rPr>
          <w:rFonts w:ascii="Times New Roman" w:eastAsia="Calibri" w:hAnsi="Times New Roman" w:cs="Times New Roman"/>
          <w:szCs w:val="22"/>
          <w:shd w:val="clear" w:color="auto" w:fill="FFFFFF"/>
          <w:lang w:val="es-419"/>
        </w:rPr>
      </w:pPr>
    </w:p>
    <w:p w14:paraId="2D14FCFB" w14:textId="77777777" w:rsidR="00556285" w:rsidRPr="0041782C" w:rsidRDefault="00556285" w:rsidP="00556285">
      <w:pPr>
        <w:spacing w:line="360" w:lineRule="auto"/>
        <w:jc w:val="both"/>
        <w:rPr>
          <w:rFonts w:ascii="Times New Roman" w:eastAsia="Calibri" w:hAnsi="Times New Roman" w:cs="Times New Roman"/>
          <w:szCs w:val="22"/>
          <w:shd w:val="clear" w:color="auto" w:fill="FFFFFF"/>
          <w:lang w:val="es-419"/>
        </w:rPr>
      </w:pPr>
      <w:r w:rsidRPr="0041782C">
        <w:rPr>
          <w:rFonts w:ascii="Times New Roman" w:hAnsi="Times New Roman"/>
          <w:shd w:val="clear" w:color="auto" w:fill="FFFFFF"/>
          <w:lang w:val="es-419"/>
        </w:rPr>
        <w:t>De conformidad con el artículo 6.11 del Reglamento Financiero de la Organización Mundial de la Propiedad Intelectual (la Organización), tengo el honor de presentarle el informe del Tribunal de Cuentas de la República de Indonesia (</w:t>
      </w:r>
      <w:r w:rsidRPr="0041782C">
        <w:rPr>
          <w:rFonts w:ascii="Times New Roman" w:hAnsi="Times New Roman"/>
          <w:i/>
          <w:iCs/>
          <w:shd w:val="clear" w:color="auto" w:fill="FFFFFF"/>
          <w:lang w:val="es-419"/>
        </w:rPr>
        <w:t>Badan Pemeriksa Keuangan</w:t>
      </w:r>
      <w:r w:rsidRPr="0041782C">
        <w:rPr>
          <w:rFonts w:ascii="Times New Roman" w:hAnsi="Times New Roman"/>
          <w:shd w:val="clear" w:color="auto" w:fill="FFFFFF"/>
          <w:lang w:val="es-419"/>
        </w:rPr>
        <w:t xml:space="preserve"> (BPK)). </w:t>
      </w:r>
    </w:p>
    <w:p w14:paraId="1939FDB5" w14:textId="77777777" w:rsidR="00556285" w:rsidRPr="0041782C" w:rsidRDefault="00556285" w:rsidP="00556285">
      <w:pPr>
        <w:spacing w:line="360" w:lineRule="auto"/>
        <w:jc w:val="both"/>
        <w:rPr>
          <w:rFonts w:ascii="Times New Roman" w:eastAsia="Calibri" w:hAnsi="Times New Roman" w:cs="Times New Roman"/>
          <w:szCs w:val="22"/>
          <w:shd w:val="clear" w:color="auto" w:fill="FFFFFF"/>
          <w:lang w:val="es-419"/>
        </w:rPr>
      </w:pPr>
      <w:r w:rsidRPr="0041782C">
        <w:rPr>
          <w:rFonts w:ascii="Times New Roman" w:hAnsi="Times New Roman"/>
          <w:shd w:val="clear" w:color="auto" w:fill="FFFFFF"/>
          <w:lang w:val="es-419"/>
        </w:rPr>
        <w:t>El presente informe comprende el dictamen del auditor externo y el informe detallado del auditor externo sobre los estados financieros auditados de la Organización correspondientes al ejercicio cerrado el 31 de diciembre de 2024, preparados por la Organización.</w:t>
      </w:r>
    </w:p>
    <w:p w14:paraId="60C6B808" w14:textId="77777777" w:rsidR="00556285" w:rsidRPr="0041782C" w:rsidRDefault="00556285" w:rsidP="00556285">
      <w:pPr>
        <w:spacing w:line="360" w:lineRule="auto"/>
        <w:rPr>
          <w:rFonts w:ascii="Times New Roman" w:eastAsia="Calibri" w:hAnsi="Times New Roman" w:cs="Times New Roman"/>
          <w:szCs w:val="22"/>
          <w:shd w:val="clear" w:color="auto" w:fill="FFFFFF"/>
          <w:lang w:val="es-419"/>
        </w:rPr>
      </w:pPr>
    </w:p>
    <w:p w14:paraId="428EFC59" w14:textId="77777777" w:rsidR="00556285" w:rsidRPr="0041782C" w:rsidRDefault="00556285" w:rsidP="00556285">
      <w:pPr>
        <w:spacing w:line="360" w:lineRule="auto"/>
        <w:rPr>
          <w:rFonts w:ascii="Times New Roman" w:eastAsia="Calibri" w:hAnsi="Times New Roman" w:cs="Times New Roman"/>
          <w:szCs w:val="22"/>
          <w:shd w:val="clear" w:color="auto" w:fill="FFFFFF"/>
          <w:lang w:val="es-419"/>
        </w:rPr>
      </w:pPr>
      <w:r w:rsidRPr="0041782C">
        <w:rPr>
          <w:rFonts w:ascii="Times New Roman" w:hAnsi="Times New Roman"/>
          <w:shd w:val="clear" w:color="auto" w:fill="FFFFFF"/>
          <w:lang w:val="es-419"/>
        </w:rPr>
        <w:t xml:space="preserve">Atentamente, </w:t>
      </w:r>
    </w:p>
    <w:p w14:paraId="0273BC53" w14:textId="77777777" w:rsidR="00556285" w:rsidRPr="0041782C" w:rsidRDefault="00556285" w:rsidP="00556285">
      <w:pPr>
        <w:autoSpaceDE w:val="0"/>
        <w:autoSpaceDN w:val="0"/>
        <w:adjustRightInd w:val="0"/>
        <w:rPr>
          <w:rFonts w:ascii="Times New Roman" w:eastAsia="Calibri" w:hAnsi="Times New Roman" w:cs="Times New Roman"/>
          <w:b/>
          <w:color w:val="000000"/>
          <w:szCs w:val="22"/>
          <w:lang w:val="es-419"/>
        </w:rPr>
      </w:pPr>
    </w:p>
    <w:p w14:paraId="2D0C7566" w14:textId="77777777" w:rsidR="00556285" w:rsidRPr="0041782C" w:rsidRDefault="00556285" w:rsidP="00556285">
      <w:pPr>
        <w:autoSpaceDE w:val="0"/>
        <w:autoSpaceDN w:val="0"/>
        <w:adjustRightInd w:val="0"/>
        <w:rPr>
          <w:rFonts w:ascii="Times New Roman" w:eastAsia="Calibri" w:hAnsi="Times New Roman" w:cs="Times New Roman"/>
          <w:b/>
          <w:color w:val="000000"/>
          <w:szCs w:val="22"/>
          <w:lang w:val="es-419"/>
        </w:rPr>
      </w:pPr>
    </w:p>
    <w:p w14:paraId="52009B34" w14:textId="77777777" w:rsidR="00556285" w:rsidRPr="0041782C" w:rsidRDefault="00556285" w:rsidP="00556285">
      <w:pPr>
        <w:autoSpaceDE w:val="0"/>
        <w:autoSpaceDN w:val="0"/>
        <w:adjustRightInd w:val="0"/>
        <w:rPr>
          <w:rFonts w:ascii="Times New Roman" w:eastAsia="Calibri" w:hAnsi="Times New Roman" w:cs="Times New Roman"/>
          <w:b/>
          <w:color w:val="000000"/>
          <w:szCs w:val="22"/>
          <w:lang w:val="es-419"/>
        </w:rPr>
      </w:pPr>
    </w:p>
    <w:p w14:paraId="7C4EFFDD" w14:textId="77777777" w:rsidR="00556285" w:rsidRPr="0041782C" w:rsidRDefault="00556285" w:rsidP="00556285">
      <w:pPr>
        <w:autoSpaceDE w:val="0"/>
        <w:autoSpaceDN w:val="0"/>
        <w:adjustRightInd w:val="0"/>
        <w:rPr>
          <w:rFonts w:ascii="Times New Roman" w:eastAsia="Calibri" w:hAnsi="Times New Roman" w:cs="Times New Roman"/>
          <w:b/>
          <w:color w:val="000000"/>
          <w:szCs w:val="22"/>
          <w:lang w:val="es-419"/>
        </w:rPr>
      </w:pPr>
      <w:r w:rsidRPr="0041782C">
        <w:rPr>
          <w:rFonts w:ascii="Times New Roman" w:hAnsi="Times New Roman"/>
          <w:b/>
          <w:color w:val="000000"/>
          <w:lang w:val="es-419"/>
        </w:rPr>
        <w:t>Dr. Isma Yatun, CSFA, CFrA</w:t>
      </w:r>
    </w:p>
    <w:p w14:paraId="7DBAC9A7" w14:textId="77777777" w:rsidR="00556285" w:rsidRPr="0041782C" w:rsidRDefault="00556285" w:rsidP="00556285">
      <w:pPr>
        <w:autoSpaceDE w:val="0"/>
        <w:autoSpaceDN w:val="0"/>
        <w:adjustRightInd w:val="0"/>
        <w:rPr>
          <w:rFonts w:ascii="Times New Roman" w:eastAsia="Calibri" w:hAnsi="Times New Roman" w:cs="Times New Roman"/>
          <w:b/>
          <w:color w:val="000000"/>
          <w:szCs w:val="22"/>
          <w:lang w:val="es-419"/>
        </w:rPr>
      </w:pPr>
      <w:r w:rsidRPr="0041782C">
        <w:rPr>
          <w:rFonts w:ascii="Times New Roman" w:hAnsi="Times New Roman"/>
          <w:b/>
          <w:color w:val="000000"/>
          <w:lang w:val="es-419"/>
        </w:rPr>
        <w:t>Presidente del Tribunal de Cuentas de la República de Indonesia</w:t>
      </w:r>
    </w:p>
    <w:p w14:paraId="01D6FBFD" w14:textId="77777777" w:rsidR="00556285" w:rsidRPr="0041782C" w:rsidRDefault="00556285" w:rsidP="00556285">
      <w:pPr>
        <w:rPr>
          <w:rFonts w:ascii="Times New Roman" w:eastAsia="Calibri" w:hAnsi="Times New Roman" w:cs="Times New Roman"/>
          <w:b/>
          <w:color w:val="000000"/>
          <w:szCs w:val="22"/>
          <w:lang w:val="es-419"/>
        </w:rPr>
      </w:pPr>
      <w:r w:rsidRPr="0041782C">
        <w:rPr>
          <w:rFonts w:ascii="Times New Roman" w:hAnsi="Times New Roman"/>
          <w:b/>
          <w:color w:val="000000"/>
          <w:lang w:val="es-419"/>
        </w:rPr>
        <w:t>Auditor externo</w:t>
      </w:r>
    </w:p>
    <w:p w14:paraId="2F8DD72D" w14:textId="77777777" w:rsidR="00556285" w:rsidRPr="0041782C" w:rsidRDefault="00556285" w:rsidP="00556285">
      <w:pPr>
        <w:rPr>
          <w:rFonts w:ascii="Times New Roman" w:eastAsia="Calibri" w:hAnsi="Times New Roman" w:cs="Times New Roman"/>
          <w:szCs w:val="22"/>
          <w:shd w:val="clear" w:color="auto" w:fill="FFFFFF"/>
          <w:lang w:val="es-419"/>
        </w:rPr>
      </w:pPr>
    </w:p>
    <w:p w14:paraId="6F84B103" w14:textId="77777777" w:rsidR="00556285" w:rsidRPr="0041782C" w:rsidRDefault="00556285" w:rsidP="00556285">
      <w:pPr>
        <w:rPr>
          <w:rFonts w:ascii="Times New Roman" w:eastAsia="Calibri" w:hAnsi="Times New Roman" w:cs="Times New Roman"/>
          <w:b/>
          <w:color w:val="000000"/>
          <w:szCs w:val="22"/>
          <w:lang w:val="es-419"/>
        </w:rPr>
      </w:pPr>
      <w:r w:rsidRPr="0041782C">
        <w:rPr>
          <w:rFonts w:ascii="Times New Roman" w:hAnsi="Times New Roman"/>
          <w:b/>
          <w:color w:val="000000"/>
          <w:lang w:val="es-419"/>
        </w:rPr>
        <w:t>Yakarta (Indonesia)</w:t>
      </w:r>
    </w:p>
    <w:p w14:paraId="2148C2F3" w14:textId="5087C4DD" w:rsidR="00556285" w:rsidRPr="0041782C" w:rsidRDefault="00556285" w:rsidP="00556285">
      <w:pPr>
        <w:rPr>
          <w:lang w:val="es-419"/>
        </w:rPr>
      </w:pPr>
      <w:r w:rsidRPr="0041782C">
        <w:rPr>
          <w:rFonts w:ascii="Times New Roman" w:hAnsi="Times New Roman"/>
          <w:b/>
          <w:color w:val="000000"/>
          <w:lang w:val="es-419"/>
        </w:rPr>
        <w:t xml:space="preserve">        Mayo de 2025</w:t>
      </w:r>
    </w:p>
    <w:p w14:paraId="28F1A9F6" w14:textId="77777777" w:rsidR="00556285" w:rsidRPr="0041782C" w:rsidRDefault="00556285" w:rsidP="00556285">
      <w:pPr>
        <w:spacing w:after="220"/>
        <w:rPr>
          <w:lang w:val="es-419"/>
        </w:rPr>
        <w:sectPr w:rsidR="00556285" w:rsidRPr="0041782C" w:rsidSect="00556285">
          <w:headerReference w:type="first" r:id="rId12"/>
          <w:endnotePr>
            <w:numFmt w:val="decimal"/>
          </w:endnotePr>
          <w:pgSz w:w="11907" w:h="16840" w:code="9"/>
          <w:pgMar w:top="567" w:right="1701" w:bottom="1418" w:left="2268" w:header="510" w:footer="1021" w:gutter="0"/>
          <w:cols w:space="720"/>
          <w:titlePg/>
          <w:docGrid w:linePitch="299"/>
        </w:sectPr>
      </w:pPr>
    </w:p>
    <w:p w14:paraId="5B580EAE" w14:textId="6475ACB7" w:rsidR="00556285" w:rsidRPr="0041782C" w:rsidRDefault="00A336B7" w:rsidP="00556285">
      <w:pPr>
        <w:pStyle w:val="Heading1"/>
        <w:spacing w:before="120" w:after="120"/>
        <w:jc w:val="center"/>
        <w:rPr>
          <w:rFonts w:asciiTheme="majorBidi" w:hAnsiTheme="majorBidi" w:cstheme="majorBidi"/>
          <w:sz w:val="28"/>
          <w:szCs w:val="28"/>
          <w:lang w:val="es-419"/>
        </w:rPr>
      </w:pPr>
      <w:bookmarkStart w:id="9" w:name="_Toc198742538"/>
      <w:r w:rsidRPr="0041782C">
        <w:rPr>
          <w:rFonts w:asciiTheme="majorBidi" w:hAnsiTheme="majorBidi" w:cstheme="majorBidi"/>
          <w:caps w:val="0"/>
          <w:sz w:val="28"/>
          <w:szCs w:val="28"/>
          <w:lang w:val="es-419"/>
        </w:rPr>
        <w:lastRenderedPageBreak/>
        <w:t>Índice</w:t>
      </w:r>
      <w:bookmarkEnd w:id="9"/>
    </w:p>
    <w:p w14:paraId="49940ABE" w14:textId="6CE219E8" w:rsidR="00730E1D" w:rsidRPr="0041782C" w:rsidRDefault="00556285" w:rsidP="0091244A">
      <w:pPr>
        <w:pStyle w:val="TOC1"/>
        <w:rPr>
          <w:rFonts w:asciiTheme="minorHAnsi" w:eastAsiaTheme="minorEastAsia" w:hAnsiTheme="minorHAnsi" w:cstheme="minorBidi"/>
          <w:sz w:val="24"/>
          <w:szCs w:val="24"/>
          <w:lang w:val="es-419"/>
        </w:rPr>
      </w:pPr>
      <w:r w:rsidRPr="0041782C">
        <w:rPr>
          <w:lang w:val="es-419"/>
        </w:rPr>
        <w:fldChar w:fldCharType="begin"/>
      </w:r>
      <w:r w:rsidRPr="0041782C">
        <w:rPr>
          <w:lang w:val="es-419"/>
        </w:rPr>
        <w:instrText xml:space="preserve"> TOC \o "1-3" \h \z \u </w:instrText>
      </w:r>
      <w:r w:rsidRPr="0041782C">
        <w:rPr>
          <w:lang w:val="es-419"/>
        </w:rPr>
        <w:fldChar w:fldCharType="separate"/>
      </w:r>
    </w:p>
    <w:p w14:paraId="4F6CFB28" w14:textId="5C90EE4C" w:rsidR="00730E1D" w:rsidRPr="0041782C" w:rsidRDefault="00730E1D" w:rsidP="0091244A">
      <w:pPr>
        <w:pStyle w:val="TOC1"/>
        <w:rPr>
          <w:rFonts w:asciiTheme="minorHAnsi" w:eastAsiaTheme="minorEastAsia" w:hAnsiTheme="minorHAnsi" w:cstheme="minorBidi"/>
          <w:sz w:val="24"/>
          <w:szCs w:val="24"/>
          <w:lang w:val="es-419"/>
        </w:rPr>
      </w:pPr>
      <w:hyperlink w:anchor="_Toc198742538" w:history="1">
        <w:r w:rsidRPr="0041782C">
          <w:rPr>
            <w:rStyle w:val="Hyperlink"/>
            <w:lang w:val="es-419"/>
          </w:rPr>
          <w:t>Índice</w:t>
        </w:r>
        <w:r w:rsidRPr="0041782C">
          <w:rPr>
            <w:webHidden/>
            <w:lang w:val="es-419"/>
          </w:rPr>
          <w:tab/>
        </w:r>
        <w:r w:rsidRPr="0041782C">
          <w:rPr>
            <w:webHidden/>
            <w:lang w:val="es-419"/>
          </w:rPr>
          <w:tab/>
        </w:r>
        <w:r w:rsidRPr="0041782C">
          <w:rPr>
            <w:webHidden/>
            <w:lang w:val="es-419"/>
          </w:rPr>
          <w:fldChar w:fldCharType="begin"/>
        </w:r>
        <w:r w:rsidRPr="0041782C">
          <w:rPr>
            <w:webHidden/>
            <w:lang w:val="es-419"/>
          </w:rPr>
          <w:instrText xml:space="preserve"> PAGEREF _Toc198742538 \h </w:instrText>
        </w:r>
        <w:r w:rsidRPr="0041782C">
          <w:rPr>
            <w:webHidden/>
            <w:lang w:val="es-419"/>
          </w:rPr>
        </w:r>
        <w:r w:rsidRPr="0041782C">
          <w:rPr>
            <w:webHidden/>
            <w:lang w:val="es-419"/>
          </w:rPr>
          <w:fldChar w:fldCharType="separate"/>
        </w:r>
        <w:r w:rsidR="000001EE">
          <w:rPr>
            <w:webHidden/>
            <w:lang w:val="es-419"/>
          </w:rPr>
          <w:t>4</w:t>
        </w:r>
        <w:r w:rsidRPr="0041782C">
          <w:rPr>
            <w:webHidden/>
            <w:lang w:val="es-419"/>
          </w:rPr>
          <w:fldChar w:fldCharType="end"/>
        </w:r>
      </w:hyperlink>
    </w:p>
    <w:p w14:paraId="22EC0919" w14:textId="4C38CBEA" w:rsidR="00730E1D" w:rsidRPr="0041782C" w:rsidRDefault="00730E1D" w:rsidP="0091244A">
      <w:pPr>
        <w:pStyle w:val="TOC1"/>
        <w:rPr>
          <w:rFonts w:asciiTheme="minorHAnsi" w:eastAsiaTheme="minorEastAsia" w:hAnsiTheme="minorHAnsi" w:cstheme="minorBidi"/>
          <w:sz w:val="24"/>
          <w:szCs w:val="24"/>
          <w:lang w:val="es-419"/>
        </w:rPr>
      </w:pPr>
      <w:hyperlink w:anchor="_Toc198742539" w:history="1">
        <w:r w:rsidRPr="0041782C">
          <w:rPr>
            <w:rStyle w:val="Hyperlink"/>
            <w:lang w:val="es-419"/>
          </w:rPr>
          <w:t>Lista de cuadros</w:t>
        </w:r>
        <w:r w:rsidRPr="0041782C">
          <w:rPr>
            <w:webHidden/>
            <w:lang w:val="es-419"/>
          </w:rPr>
          <w:tab/>
        </w:r>
        <w:r w:rsidRPr="0041782C">
          <w:rPr>
            <w:webHidden/>
            <w:lang w:val="es-419"/>
          </w:rPr>
          <w:fldChar w:fldCharType="begin"/>
        </w:r>
        <w:r w:rsidRPr="0041782C">
          <w:rPr>
            <w:webHidden/>
            <w:lang w:val="es-419"/>
          </w:rPr>
          <w:instrText xml:space="preserve"> PAGEREF _Toc198742539 \h </w:instrText>
        </w:r>
        <w:r w:rsidRPr="0041782C">
          <w:rPr>
            <w:webHidden/>
            <w:lang w:val="es-419"/>
          </w:rPr>
        </w:r>
        <w:r w:rsidRPr="0041782C">
          <w:rPr>
            <w:webHidden/>
            <w:lang w:val="es-419"/>
          </w:rPr>
          <w:fldChar w:fldCharType="separate"/>
        </w:r>
        <w:r w:rsidR="000001EE">
          <w:rPr>
            <w:webHidden/>
            <w:lang w:val="es-419"/>
          </w:rPr>
          <w:t>6</w:t>
        </w:r>
        <w:r w:rsidRPr="0041782C">
          <w:rPr>
            <w:webHidden/>
            <w:lang w:val="es-419"/>
          </w:rPr>
          <w:fldChar w:fldCharType="end"/>
        </w:r>
      </w:hyperlink>
    </w:p>
    <w:p w14:paraId="5425B635" w14:textId="5332423A" w:rsidR="00730E1D" w:rsidRPr="0041782C" w:rsidRDefault="00730E1D" w:rsidP="0091244A">
      <w:pPr>
        <w:pStyle w:val="TOC1"/>
        <w:rPr>
          <w:rFonts w:asciiTheme="minorHAnsi" w:eastAsiaTheme="minorEastAsia" w:hAnsiTheme="minorHAnsi" w:cstheme="minorBidi"/>
          <w:sz w:val="24"/>
          <w:szCs w:val="24"/>
          <w:lang w:val="es-419"/>
        </w:rPr>
      </w:pPr>
      <w:hyperlink w:anchor="_Toc198742540" w:history="1">
        <w:r w:rsidRPr="0041782C">
          <w:rPr>
            <w:rStyle w:val="Hyperlink"/>
            <w:rFonts w:asciiTheme="majorBidi" w:hAnsiTheme="majorBidi" w:cstheme="majorBidi"/>
            <w:lang w:val="es-419"/>
          </w:rPr>
          <w:t>Parte I - Dictamen del auditor externo</w:t>
        </w:r>
        <w:r w:rsidRPr="0041782C">
          <w:rPr>
            <w:webHidden/>
            <w:lang w:val="es-419"/>
          </w:rPr>
          <w:tab/>
        </w:r>
        <w:r w:rsidRPr="0041782C">
          <w:rPr>
            <w:webHidden/>
            <w:lang w:val="es-419"/>
          </w:rPr>
          <w:fldChar w:fldCharType="begin"/>
        </w:r>
        <w:r w:rsidRPr="0041782C">
          <w:rPr>
            <w:webHidden/>
            <w:lang w:val="es-419"/>
          </w:rPr>
          <w:instrText xml:space="preserve"> PAGEREF _Toc198742540 \h </w:instrText>
        </w:r>
        <w:r w:rsidRPr="0041782C">
          <w:rPr>
            <w:webHidden/>
            <w:lang w:val="es-419"/>
          </w:rPr>
        </w:r>
        <w:r w:rsidRPr="0041782C">
          <w:rPr>
            <w:webHidden/>
            <w:lang w:val="es-419"/>
          </w:rPr>
          <w:fldChar w:fldCharType="separate"/>
        </w:r>
        <w:r w:rsidR="000001EE">
          <w:rPr>
            <w:webHidden/>
            <w:lang w:val="es-419"/>
          </w:rPr>
          <w:t>7</w:t>
        </w:r>
        <w:r w:rsidRPr="0041782C">
          <w:rPr>
            <w:webHidden/>
            <w:lang w:val="es-419"/>
          </w:rPr>
          <w:fldChar w:fldCharType="end"/>
        </w:r>
      </w:hyperlink>
    </w:p>
    <w:p w14:paraId="348FA7AE" w14:textId="52FBCA4B" w:rsidR="00730E1D" w:rsidRPr="0041782C" w:rsidRDefault="00730E1D" w:rsidP="0091244A">
      <w:pPr>
        <w:pStyle w:val="TOC1"/>
        <w:rPr>
          <w:rFonts w:asciiTheme="minorHAnsi" w:eastAsiaTheme="minorEastAsia" w:hAnsiTheme="minorHAnsi" w:cstheme="minorBidi"/>
          <w:sz w:val="24"/>
          <w:szCs w:val="24"/>
          <w:lang w:val="es-419"/>
        </w:rPr>
      </w:pPr>
      <w:hyperlink w:anchor="_Toc198742551" w:history="1">
        <w:r w:rsidRPr="0041782C">
          <w:rPr>
            <w:rStyle w:val="Hyperlink"/>
            <w:rFonts w:asciiTheme="majorBidi" w:hAnsiTheme="majorBidi" w:cstheme="majorBidi"/>
            <w:lang w:val="es-419"/>
          </w:rPr>
          <w:t>Parte II - Informe detallado del auditor externo</w:t>
        </w:r>
        <w:r w:rsidRPr="0041782C">
          <w:rPr>
            <w:webHidden/>
            <w:lang w:val="es-419"/>
          </w:rPr>
          <w:tab/>
        </w:r>
        <w:r w:rsidRPr="0041782C">
          <w:rPr>
            <w:webHidden/>
            <w:lang w:val="es-419"/>
          </w:rPr>
          <w:fldChar w:fldCharType="begin"/>
        </w:r>
        <w:r w:rsidRPr="0041782C">
          <w:rPr>
            <w:webHidden/>
            <w:lang w:val="es-419"/>
          </w:rPr>
          <w:instrText xml:space="preserve"> PAGEREF _Toc198742551 \h </w:instrText>
        </w:r>
        <w:r w:rsidRPr="0041782C">
          <w:rPr>
            <w:webHidden/>
            <w:lang w:val="es-419"/>
          </w:rPr>
        </w:r>
        <w:r w:rsidRPr="0041782C">
          <w:rPr>
            <w:webHidden/>
            <w:lang w:val="es-419"/>
          </w:rPr>
          <w:fldChar w:fldCharType="separate"/>
        </w:r>
        <w:r w:rsidR="000001EE">
          <w:rPr>
            <w:webHidden/>
            <w:lang w:val="es-419"/>
          </w:rPr>
          <w:t>12</w:t>
        </w:r>
        <w:r w:rsidRPr="0041782C">
          <w:rPr>
            <w:webHidden/>
            <w:lang w:val="es-419"/>
          </w:rPr>
          <w:fldChar w:fldCharType="end"/>
        </w:r>
      </w:hyperlink>
    </w:p>
    <w:p w14:paraId="06207BCE" w14:textId="4A63F7C4" w:rsidR="00730E1D" w:rsidRPr="0041782C" w:rsidRDefault="0091244A" w:rsidP="0091244A">
      <w:pPr>
        <w:pStyle w:val="TOC1"/>
        <w:rPr>
          <w:rFonts w:asciiTheme="minorHAnsi" w:eastAsiaTheme="minorEastAsia" w:hAnsiTheme="minorHAnsi" w:cstheme="minorBidi"/>
          <w:sz w:val="24"/>
          <w:szCs w:val="24"/>
          <w:lang w:val="es-419"/>
        </w:rPr>
      </w:pPr>
      <w:hyperlink w:anchor="_Toc198742552" w:history="1">
        <w:r w:rsidRPr="0041782C">
          <w:rPr>
            <w:rStyle w:val="Hyperlink"/>
            <w:lang w:val="es-419"/>
          </w:rPr>
          <w:t>Resumen</w:t>
        </w:r>
        <w:r w:rsidRPr="0041782C">
          <w:rPr>
            <w:webHidden/>
            <w:lang w:val="es-419"/>
          </w:rPr>
          <w:tab/>
        </w:r>
        <w:r w:rsidR="00730E1D" w:rsidRPr="0041782C">
          <w:rPr>
            <w:webHidden/>
            <w:lang w:val="es-419"/>
          </w:rPr>
          <w:fldChar w:fldCharType="begin"/>
        </w:r>
        <w:r w:rsidR="00730E1D" w:rsidRPr="0041782C">
          <w:rPr>
            <w:webHidden/>
            <w:lang w:val="es-419"/>
          </w:rPr>
          <w:instrText xml:space="preserve"> PAGEREF _Toc198742552 \h </w:instrText>
        </w:r>
        <w:r w:rsidR="00730E1D" w:rsidRPr="0041782C">
          <w:rPr>
            <w:webHidden/>
            <w:lang w:val="es-419"/>
          </w:rPr>
        </w:r>
        <w:r w:rsidR="00730E1D" w:rsidRPr="0041782C">
          <w:rPr>
            <w:webHidden/>
            <w:lang w:val="es-419"/>
          </w:rPr>
          <w:fldChar w:fldCharType="separate"/>
        </w:r>
        <w:r w:rsidR="000001EE">
          <w:rPr>
            <w:webHidden/>
            <w:lang w:val="es-419"/>
          </w:rPr>
          <w:t>13</w:t>
        </w:r>
        <w:r w:rsidR="00730E1D" w:rsidRPr="0041782C">
          <w:rPr>
            <w:webHidden/>
            <w:lang w:val="es-419"/>
          </w:rPr>
          <w:fldChar w:fldCharType="end"/>
        </w:r>
      </w:hyperlink>
    </w:p>
    <w:p w14:paraId="02AE974E" w14:textId="3AA7F335" w:rsidR="00730E1D" w:rsidRPr="0041782C" w:rsidRDefault="00730E1D" w:rsidP="0091244A">
      <w:pPr>
        <w:pStyle w:val="TOC1"/>
        <w:rPr>
          <w:rFonts w:asciiTheme="minorHAnsi" w:eastAsiaTheme="minorEastAsia" w:hAnsiTheme="minorHAnsi" w:cstheme="minorBidi"/>
          <w:sz w:val="24"/>
          <w:szCs w:val="24"/>
          <w:lang w:val="es-419"/>
        </w:rPr>
      </w:pPr>
      <w:hyperlink w:anchor="_Toc198742554" w:history="1">
        <w:r w:rsidRPr="0041782C">
          <w:rPr>
            <w:rStyle w:val="Hyperlink"/>
            <w:lang w:val="es-419"/>
          </w:rPr>
          <w:t>A.</w:t>
        </w:r>
        <w:r w:rsidRPr="0041782C">
          <w:rPr>
            <w:rFonts w:asciiTheme="minorHAnsi" w:eastAsiaTheme="minorEastAsia" w:hAnsiTheme="minorHAnsi" w:cstheme="minorBidi"/>
            <w:sz w:val="24"/>
            <w:szCs w:val="24"/>
            <w:lang w:val="es-419"/>
          </w:rPr>
          <w:tab/>
        </w:r>
        <w:r w:rsidRPr="0041782C">
          <w:rPr>
            <w:rStyle w:val="Hyperlink"/>
            <w:lang w:val="es-419"/>
          </w:rPr>
          <w:t>Introducción</w:t>
        </w:r>
        <w:r w:rsidRPr="0041782C">
          <w:rPr>
            <w:webHidden/>
            <w:lang w:val="es-419"/>
          </w:rPr>
          <w:tab/>
        </w:r>
        <w:r w:rsidRPr="0041782C">
          <w:rPr>
            <w:webHidden/>
            <w:lang w:val="es-419"/>
          </w:rPr>
          <w:fldChar w:fldCharType="begin"/>
        </w:r>
        <w:r w:rsidRPr="0041782C">
          <w:rPr>
            <w:webHidden/>
            <w:lang w:val="es-419"/>
          </w:rPr>
          <w:instrText xml:space="preserve"> PAGEREF _Toc198742554 \h </w:instrText>
        </w:r>
        <w:r w:rsidRPr="0041782C">
          <w:rPr>
            <w:webHidden/>
            <w:lang w:val="es-419"/>
          </w:rPr>
        </w:r>
        <w:r w:rsidRPr="0041782C">
          <w:rPr>
            <w:webHidden/>
            <w:lang w:val="es-419"/>
          </w:rPr>
          <w:fldChar w:fldCharType="separate"/>
        </w:r>
        <w:r w:rsidR="000001EE">
          <w:rPr>
            <w:webHidden/>
            <w:lang w:val="es-419"/>
          </w:rPr>
          <w:t>15</w:t>
        </w:r>
        <w:r w:rsidRPr="0041782C">
          <w:rPr>
            <w:webHidden/>
            <w:lang w:val="es-419"/>
          </w:rPr>
          <w:fldChar w:fldCharType="end"/>
        </w:r>
      </w:hyperlink>
    </w:p>
    <w:p w14:paraId="7EEF3F68" w14:textId="5E5E92E9" w:rsidR="00730E1D" w:rsidRPr="0041782C" w:rsidRDefault="00730E1D">
      <w:pPr>
        <w:pStyle w:val="TOC2"/>
        <w:rPr>
          <w:rFonts w:asciiTheme="minorHAnsi" w:eastAsiaTheme="minorEastAsia" w:hAnsiTheme="minorHAnsi"/>
          <w:b w:val="0"/>
          <w:bCs w:val="0"/>
          <w:color w:val="auto"/>
          <w:sz w:val="24"/>
          <w:szCs w:val="24"/>
          <w:lang w:val="es-419"/>
        </w:rPr>
      </w:pPr>
      <w:hyperlink w:anchor="_Toc198742555" w:history="1">
        <w:r w:rsidRPr="0041782C">
          <w:rPr>
            <w:rStyle w:val="Hyperlink"/>
            <w:b w:val="0"/>
            <w:bCs w:val="0"/>
            <w:lang w:val="es-419"/>
          </w:rPr>
          <w:t>Mandato</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_Toc198742555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15</w:t>
        </w:r>
        <w:r w:rsidRPr="0041782C">
          <w:rPr>
            <w:b w:val="0"/>
            <w:bCs w:val="0"/>
            <w:webHidden/>
            <w:lang w:val="es-419"/>
          </w:rPr>
          <w:fldChar w:fldCharType="end"/>
        </w:r>
      </w:hyperlink>
    </w:p>
    <w:p w14:paraId="3B608234" w14:textId="6C906637" w:rsidR="00730E1D" w:rsidRPr="0041782C" w:rsidRDefault="00730E1D">
      <w:pPr>
        <w:pStyle w:val="TOC2"/>
        <w:rPr>
          <w:rFonts w:asciiTheme="minorHAnsi" w:eastAsiaTheme="minorEastAsia" w:hAnsiTheme="minorHAnsi"/>
          <w:b w:val="0"/>
          <w:bCs w:val="0"/>
          <w:color w:val="auto"/>
          <w:sz w:val="24"/>
          <w:szCs w:val="24"/>
          <w:lang w:val="es-419"/>
        </w:rPr>
      </w:pPr>
      <w:hyperlink w:anchor="_Toc198742556" w:history="1">
        <w:r w:rsidRPr="0041782C">
          <w:rPr>
            <w:rStyle w:val="Hyperlink"/>
            <w:b w:val="0"/>
            <w:bCs w:val="0"/>
            <w:lang w:val="es-419"/>
          </w:rPr>
          <w:t>Objetivos de la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_Toc198742556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15</w:t>
        </w:r>
        <w:r w:rsidRPr="0041782C">
          <w:rPr>
            <w:b w:val="0"/>
            <w:bCs w:val="0"/>
            <w:webHidden/>
            <w:lang w:val="es-419"/>
          </w:rPr>
          <w:fldChar w:fldCharType="end"/>
        </w:r>
      </w:hyperlink>
    </w:p>
    <w:p w14:paraId="006FD465" w14:textId="07A2A762" w:rsidR="00730E1D" w:rsidRPr="0041782C" w:rsidRDefault="00730E1D">
      <w:pPr>
        <w:pStyle w:val="TOC2"/>
        <w:rPr>
          <w:rFonts w:asciiTheme="minorHAnsi" w:eastAsiaTheme="minorEastAsia" w:hAnsiTheme="minorHAnsi"/>
          <w:b w:val="0"/>
          <w:bCs w:val="0"/>
          <w:color w:val="auto"/>
          <w:sz w:val="24"/>
          <w:szCs w:val="24"/>
          <w:lang w:val="es-419"/>
        </w:rPr>
      </w:pPr>
      <w:hyperlink w:anchor="_Toc198742557" w:history="1">
        <w:r w:rsidRPr="0041782C">
          <w:rPr>
            <w:rStyle w:val="Hyperlink"/>
            <w:b w:val="0"/>
            <w:bCs w:val="0"/>
            <w:lang w:val="es-419"/>
          </w:rPr>
          <w:t>Alcance de la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_Toc198742557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15</w:t>
        </w:r>
        <w:r w:rsidRPr="0041782C">
          <w:rPr>
            <w:b w:val="0"/>
            <w:bCs w:val="0"/>
            <w:webHidden/>
            <w:lang w:val="es-419"/>
          </w:rPr>
          <w:fldChar w:fldCharType="end"/>
        </w:r>
      </w:hyperlink>
    </w:p>
    <w:p w14:paraId="5D33CF73" w14:textId="30CEF149" w:rsidR="00730E1D" w:rsidRPr="0041782C" w:rsidRDefault="00730E1D">
      <w:pPr>
        <w:pStyle w:val="TOC2"/>
        <w:rPr>
          <w:rFonts w:asciiTheme="minorHAnsi" w:eastAsiaTheme="minorEastAsia" w:hAnsiTheme="minorHAnsi"/>
          <w:b w:val="0"/>
          <w:bCs w:val="0"/>
          <w:color w:val="auto"/>
          <w:sz w:val="24"/>
          <w:szCs w:val="24"/>
          <w:lang w:val="es-419"/>
        </w:rPr>
      </w:pPr>
      <w:hyperlink w:anchor="_Toc198742558" w:history="1">
        <w:r w:rsidRPr="0041782C">
          <w:rPr>
            <w:rStyle w:val="Hyperlink"/>
            <w:b w:val="0"/>
            <w:bCs w:val="0"/>
            <w:lang w:val="es-419"/>
          </w:rPr>
          <w:t>Normas de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_Toc198742558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16</w:t>
        </w:r>
        <w:r w:rsidRPr="0041782C">
          <w:rPr>
            <w:b w:val="0"/>
            <w:bCs w:val="0"/>
            <w:webHidden/>
            <w:lang w:val="es-419"/>
          </w:rPr>
          <w:fldChar w:fldCharType="end"/>
        </w:r>
      </w:hyperlink>
    </w:p>
    <w:p w14:paraId="27AA67CA" w14:textId="61BC11C5" w:rsidR="00730E1D" w:rsidRPr="0041782C" w:rsidRDefault="00730E1D">
      <w:pPr>
        <w:pStyle w:val="TOC2"/>
        <w:rPr>
          <w:rFonts w:asciiTheme="minorHAnsi" w:eastAsiaTheme="minorEastAsia" w:hAnsiTheme="minorHAnsi"/>
          <w:b w:val="0"/>
          <w:bCs w:val="0"/>
          <w:color w:val="auto"/>
          <w:sz w:val="24"/>
          <w:szCs w:val="24"/>
          <w:lang w:val="es-419"/>
        </w:rPr>
      </w:pPr>
      <w:hyperlink w:anchor="_Toc198742559" w:history="1">
        <w:r w:rsidRPr="0041782C">
          <w:rPr>
            <w:rStyle w:val="Hyperlink"/>
            <w:b w:val="0"/>
            <w:bCs w:val="0"/>
            <w:lang w:val="es-419"/>
          </w:rPr>
          <w:t>Metodología de la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_Toc198742559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16</w:t>
        </w:r>
        <w:r w:rsidRPr="0041782C">
          <w:rPr>
            <w:b w:val="0"/>
            <w:bCs w:val="0"/>
            <w:webHidden/>
            <w:lang w:val="es-419"/>
          </w:rPr>
          <w:fldChar w:fldCharType="end"/>
        </w:r>
      </w:hyperlink>
    </w:p>
    <w:p w14:paraId="4F5C7CBC" w14:textId="07AEC502" w:rsidR="00730E1D" w:rsidRPr="0041782C" w:rsidRDefault="00730E1D">
      <w:pPr>
        <w:pStyle w:val="TOC2"/>
        <w:rPr>
          <w:rFonts w:asciiTheme="minorHAnsi" w:eastAsiaTheme="minorEastAsia" w:hAnsiTheme="minorHAnsi"/>
          <w:b w:val="0"/>
          <w:bCs w:val="0"/>
          <w:color w:val="auto"/>
          <w:sz w:val="24"/>
          <w:szCs w:val="24"/>
          <w:lang w:val="es-419"/>
        </w:rPr>
      </w:pPr>
      <w:hyperlink w:anchor="_Toc198742560" w:history="1">
        <w:r w:rsidRPr="0041782C">
          <w:rPr>
            <w:rStyle w:val="Hyperlink"/>
            <w:b w:val="0"/>
            <w:bCs w:val="0"/>
            <w:lang w:val="es-419"/>
          </w:rPr>
          <w:t>Informes</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_Toc198742560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17</w:t>
        </w:r>
        <w:r w:rsidRPr="0041782C">
          <w:rPr>
            <w:b w:val="0"/>
            <w:bCs w:val="0"/>
            <w:webHidden/>
            <w:lang w:val="es-419"/>
          </w:rPr>
          <w:fldChar w:fldCharType="end"/>
        </w:r>
      </w:hyperlink>
    </w:p>
    <w:p w14:paraId="2A2A15A9" w14:textId="690F7732" w:rsidR="00730E1D" w:rsidRPr="0041782C" w:rsidRDefault="00730E1D">
      <w:pPr>
        <w:pStyle w:val="TOC2"/>
        <w:rPr>
          <w:rFonts w:asciiTheme="minorHAnsi" w:eastAsiaTheme="minorEastAsia" w:hAnsiTheme="minorHAnsi"/>
          <w:b w:val="0"/>
          <w:bCs w:val="0"/>
          <w:color w:val="auto"/>
          <w:sz w:val="24"/>
          <w:szCs w:val="24"/>
          <w:lang w:val="es-419"/>
        </w:rPr>
      </w:pPr>
      <w:hyperlink w:anchor="_Toc198742561" w:history="1">
        <w:r w:rsidRPr="0041782C">
          <w:rPr>
            <w:rStyle w:val="Hyperlink"/>
            <w:b w:val="0"/>
            <w:bCs w:val="0"/>
            <w:lang w:val="es-419"/>
          </w:rPr>
          <w:t>Encargo inicial de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_Toc198742561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17</w:t>
        </w:r>
        <w:r w:rsidRPr="0041782C">
          <w:rPr>
            <w:b w:val="0"/>
            <w:bCs w:val="0"/>
            <w:webHidden/>
            <w:lang w:val="es-419"/>
          </w:rPr>
          <w:fldChar w:fldCharType="end"/>
        </w:r>
      </w:hyperlink>
    </w:p>
    <w:p w14:paraId="2B8DB44F" w14:textId="2BB92E69" w:rsidR="00730E1D" w:rsidRPr="0041782C" w:rsidRDefault="00730E1D" w:rsidP="0091244A">
      <w:pPr>
        <w:pStyle w:val="TOC1"/>
        <w:rPr>
          <w:rFonts w:asciiTheme="minorHAnsi" w:eastAsiaTheme="minorEastAsia" w:hAnsiTheme="minorHAnsi" w:cstheme="minorBidi"/>
          <w:sz w:val="24"/>
          <w:szCs w:val="24"/>
          <w:lang w:val="es-419"/>
        </w:rPr>
      </w:pPr>
      <w:hyperlink w:anchor="_Toc198742562" w:history="1">
        <w:r w:rsidRPr="0041782C">
          <w:rPr>
            <w:rStyle w:val="Hyperlink"/>
            <w:lang w:val="es-419"/>
          </w:rPr>
          <w:t>B.</w:t>
        </w:r>
        <w:r w:rsidRPr="0041782C">
          <w:rPr>
            <w:rFonts w:asciiTheme="minorHAnsi" w:eastAsiaTheme="minorEastAsia" w:hAnsiTheme="minorHAnsi" w:cstheme="minorBidi"/>
            <w:sz w:val="24"/>
            <w:szCs w:val="24"/>
            <w:lang w:val="es-419"/>
          </w:rPr>
          <w:tab/>
        </w:r>
        <w:r w:rsidRPr="0041782C">
          <w:rPr>
            <w:rStyle w:val="Hyperlink"/>
            <w:lang w:val="es-419"/>
          </w:rPr>
          <w:t>Resumen financiero</w:t>
        </w:r>
        <w:r w:rsidRPr="0041782C">
          <w:rPr>
            <w:webHidden/>
            <w:lang w:val="es-419"/>
          </w:rPr>
          <w:tab/>
        </w:r>
        <w:r w:rsidRPr="0041782C">
          <w:rPr>
            <w:webHidden/>
            <w:lang w:val="es-419"/>
          </w:rPr>
          <w:fldChar w:fldCharType="begin"/>
        </w:r>
        <w:r w:rsidRPr="0041782C">
          <w:rPr>
            <w:webHidden/>
            <w:lang w:val="es-419"/>
          </w:rPr>
          <w:instrText xml:space="preserve"> PAGEREF _Toc198742562 \h </w:instrText>
        </w:r>
        <w:r w:rsidRPr="0041782C">
          <w:rPr>
            <w:webHidden/>
            <w:lang w:val="es-419"/>
          </w:rPr>
        </w:r>
        <w:r w:rsidRPr="0041782C">
          <w:rPr>
            <w:webHidden/>
            <w:lang w:val="es-419"/>
          </w:rPr>
          <w:fldChar w:fldCharType="separate"/>
        </w:r>
        <w:r w:rsidR="000001EE">
          <w:rPr>
            <w:webHidden/>
            <w:lang w:val="es-419"/>
          </w:rPr>
          <w:t>19</w:t>
        </w:r>
        <w:r w:rsidRPr="0041782C">
          <w:rPr>
            <w:webHidden/>
            <w:lang w:val="es-419"/>
          </w:rPr>
          <w:fldChar w:fldCharType="end"/>
        </w:r>
      </w:hyperlink>
    </w:p>
    <w:p w14:paraId="764B1236" w14:textId="0DBDAEDD" w:rsidR="00730E1D" w:rsidRPr="0041782C" w:rsidRDefault="00730E1D">
      <w:pPr>
        <w:pStyle w:val="TOC2"/>
        <w:rPr>
          <w:rFonts w:asciiTheme="minorHAnsi" w:eastAsiaTheme="minorEastAsia" w:hAnsiTheme="minorHAnsi"/>
          <w:b w:val="0"/>
          <w:bCs w:val="0"/>
          <w:color w:val="auto"/>
          <w:sz w:val="24"/>
          <w:szCs w:val="24"/>
          <w:lang w:val="es-419"/>
        </w:rPr>
      </w:pPr>
      <w:hyperlink w:anchor="_Toc198742563" w:history="1">
        <w:r w:rsidRPr="0041782C">
          <w:rPr>
            <w:rStyle w:val="Hyperlink"/>
            <w:b w:val="0"/>
            <w:bCs w:val="0"/>
            <w:lang w:val="es-419"/>
          </w:rPr>
          <w:t>Situación financiera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_Toc198742563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19</w:t>
        </w:r>
        <w:r w:rsidRPr="0041782C">
          <w:rPr>
            <w:b w:val="0"/>
            <w:bCs w:val="0"/>
            <w:webHidden/>
            <w:lang w:val="es-419"/>
          </w:rPr>
          <w:fldChar w:fldCharType="end"/>
        </w:r>
      </w:hyperlink>
    </w:p>
    <w:p w14:paraId="3906A7D1" w14:textId="6DE50DC0" w:rsidR="00730E1D" w:rsidRPr="0041782C" w:rsidRDefault="00730E1D">
      <w:pPr>
        <w:pStyle w:val="TOC2"/>
        <w:rPr>
          <w:rFonts w:asciiTheme="minorHAnsi" w:eastAsiaTheme="minorEastAsia" w:hAnsiTheme="minorHAnsi"/>
          <w:b w:val="0"/>
          <w:bCs w:val="0"/>
          <w:color w:val="auto"/>
          <w:sz w:val="24"/>
          <w:szCs w:val="24"/>
          <w:lang w:val="es-419"/>
        </w:rPr>
      </w:pPr>
      <w:hyperlink w:anchor="_Toc198742564" w:history="1">
        <w:r w:rsidRPr="0041782C">
          <w:rPr>
            <w:rStyle w:val="Hyperlink"/>
            <w:b w:val="0"/>
            <w:bCs w:val="0"/>
            <w:lang w:val="es-419"/>
          </w:rPr>
          <w:t>Rendimiento financiero</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_Toc198742564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19</w:t>
        </w:r>
        <w:r w:rsidRPr="0041782C">
          <w:rPr>
            <w:b w:val="0"/>
            <w:bCs w:val="0"/>
            <w:webHidden/>
            <w:lang w:val="es-419"/>
          </w:rPr>
          <w:fldChar w:fldCharType="end"/>
        </w:r>
      </w:hyperlink>
    </w:p>
    <w:p w14:paraId="4F60BCB0" w14:textId="406B86A6" w:rsidR="00730E1D" w:rsidRPr="0041782C" w:rsidRDefault="00730E1D">
      <w:pPr>
        <w:pStyle w:val="TOC2"/>
        <w:rPr>
          <w:rFonts w:asciiTheme="minorHAnsi" w:eastAsiaTheme="minorEastAsia" w:hAnsiTheme="minorHAnsi"/>
          <w:b w:val="0"/>
          <w:bCs w:val="0"/>
          <w:color w:val="auto"/>
          <w:sz w:val="24"/>
          <w:szCs w:val="24"/>
          <w:lang w:val="es-419"/>
        </w:rPr>
      </w:pPr>
      <w:hyperlink w:anchor="_Toc198742565" w:history="1">
        <w:r w:rsidRPr="0041782C">
          <w:rPr>
            <w:rStyle w:val="Hyperlink"/>
            <w:b w:val="0"/>
            <w:bCs w:val="0"/>
            <w:lang w:val="es-419"/>
          </w:rPr>
          <w:t>Salud financiera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_Toc198742565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20</w:t>
        </w:r>
        <w:r w:rsidRPr="0041782C">
          <w:rPr>
            <w:b w:val="0"/>
            <w:bCs w:val="0"/>
            <w:webHidden/>
            <w:lang w:val="es-419"/>
          </w:rPr>
          <w:fldChar w:fldCharType="end"/>
        </w:r>
      </w:hyperlink>
    </w:p>
    <w:p w14:paraId="4D339BE1" w14:textId="038070D0" w:rsidR="00730E1D" w:rsidRPr="0041782C" w:rsidRDefault="00730E1D">
      <w:pPr>
        <w:pStyle w:val="TOC2"/>
        <w:rPr>
          <w:rFonts w:asciiTheme="minorHAnsi" w:eastAsiaTheme="minorEastAsia" w:hAnsiTheme="minorHAnsi"/>
          <w:b w:val="0"/>
          <w:bCs w:val="0"/>
          <w:color w:val="auto"/>
          <w:sz w:val="24"/>
          <w:szCs w:val="24"/>
          <w:lang w:val="es-419"/>
        </w:rPr>
      </w:pPr>
      <w:hyperlink w:anchor="_Toc198742566" w:history="1">
        <w:r w:rsidRPr="0041782C">
          <w:rPr>
            <w:rStyle w:val="Hyperlink"/>
            <w:b w:val="0"/>
            <w:bCs w:val="0"/>
            <w:lang w:val="es-419"/>
          </w:rPr>
          <w:t>Presupuesto</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_Toc198742566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20</w:t>
        </w:r>
        <w:r w:rsidRPr="0041782C">
          <w:rPr>
            <w:b w:val="0"/>
            <w:bCs w:val="0"/>
            <w:webHidden/>
            <w:lang w:val="es-419"/>
          </w:rPr>
          <w:fldChar w:fldCharType="end"/>
        </w:r>
      </w:hyperlink>
    </w:p>
    <w:p w14:paraId="4FEFEED0" w14:textId="20583C08" w:rsidR="00730E1D" w:rsidRPr="0041782C" w:rsidRDefault="00730E1D" w:rsidP="0091244A">
      <w:pPr>
        <w:pStyle w:val="TOC1"/>
        <w:rPr>
          <w:rFonts w:asciiTheme="minorHAnsi" w:eastAsiaTheme="minorEastAsia" w:hAnsiTheme="minorHAnsi" w:cstheme="minorBidi"/>
          <w:sz w:val="24"/>
          <w:szCs w:val="24"/>
          <w:lang w:val="es-419"/>
        </w:rPr>
      </w:pPr>
      <w:hyperlink w:anchor="_Toc198742567" w:history="1">
        <w:r w:rsidRPr="0041782C">
          <w:rPr>
            <w:rStyle w:val="Hyperlink"/>
            <w:lang w:val="es-419"/>
          </w:rPr>
          <w:t>C.</w:t>
        </w:r>
        <w:r w:rsidRPr="0041782C">
          <w:rPr>
            <w:rFonts w:asciiTheme="minorHAnsi" w:eastAsiaTheme="minorEastAsia" w:hAnsiTheme="minorHAnsi" w:cstheme="minorBidi"/>
            <w:sz w:val="24"/>
            <w:szCs w:val="24"/>
            <w:lang w:val="es-419"/>
          </w:rPr>
          <w:tab/>
        </w:r>
        <w:r w:rsidRPr="0041782C">
          <w:rPr>
            <w:rStyle w:val="Hyperlink"/>
            <w:lang w:val="es-419"/>
          </w:rPr>
          <w:t>Auditoría financiera</w:t>
        </w:r>
        <w:r w:rsidRPr="0041782C">
          <w:rPr>
            <w:webHidden/>
            <w:lang w:val="es-419"/>
          </w:rPr>
          <w:tab/>
        </w:r>
        <w:r w:rsidRPr="0041782C">
          <w:rPr>
            <w:webHidden/>
            <w:lang w:val="es-419"/>
          </w:rPr>
          <w:fldChar w:fldCharType="begin"/>
        </w:r>
        <w:r w:rsidRPr="0041782C">
          <w:rPr>
            <w:webHidden/>
            <w:lang w:val="es-419"/>
          </w:rPr>
          <w:instrText xml:space="preserve"> PAGEREF _Toc198742567 \h </w:instrText>
        </w:r>
        <w:r w:rsidRPr="0041782C">
          <w:rPr>
            <w:webHidden/>
            <w:lang w:val="es-419"/>
          </w:rPr>
        </w:r>
        <w:r w:rsidRPr="0041782C">
          <w:rPr>
            <w:webHidden/>
            <w:lang w:val="es-419"/>
          </w:rPr>
          <w:fldChar w:fldCharType="separate"/>
        </w:r>
        <w:r w:rsidR="000001EE">
          <w:rPr>
            <w:webHidden/>
            <w:lang w:val="es-419"/>
          </w:rPr>
          <w:t>23</w:t>
        </w:r>
        <w:r w:rsidRPr="0041782C">
          <w:rPr>
            <w:webHidden/>
            <w:lang w:val="es-419"/>
          </w:rPr>
          <w:fldChar w:fldCharType="end"/>
        </w:r>
      </w:hyperlink>
    </w:p>
    <w:p w14:paraId="42A986DE" w14:textId="4D8BA383" w:rsidR="00730E1D" w:rsidRPr="0041782C" w:rsidRDefault="00730E1D">
      <w:pPr>
        <w:pStyle w:val="TOC2"/>
        <w:rPr>
          <w:rFonts w:asciiTheme="minorHAnsi" w:eastAsiaTheme="minorEastAsia" w:hAnsiTheme="minorHAnsi"/>
          <w:b w:val="0"/>
          <w:bCs w:val="0"/>
          <w:color w:val="auto"/>
          <w:sz w:val="24"/>
          <w:szCs w:val="24"/>
          <w:lang w:val="es-419"/>
        </w:rPr>
      </w:pPr>
      <w:hyperlink w:anchor="_Toc198742568" w:history="1">
        <w:r w:rsidRPr="0041782C">
          <w:rPr>
            <w:rStyle w:val="Hyperlink"/>
            <w:b w:val="0"/>
            <w:bCs w:val="0"/>
            <w:lang w:val="es-419"/>
          </w:rPr>
          <w:t>Resultado general de la auditoría</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_Toc198742568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23</w:t>
        </w:r>
        <w:r w:rsidRPr="0041782C">
          <w:rPr>
            <w:b w:val="0"/>
            <w:bCs w:val="0"/>
            <w:webHidden/>
            <w:lang w:val="es-419"/>
          </w:rPr>
          <w:fldChar w:fldCharType="end"/>
        </w:r>
      </w:hyperlink>
    </w:p>
    <w:p w14:paraId="7CA7BC4D" w14:textId="624AD36B" w:rsidR="00730E1D" w:rsidRPr="0041782C" w:rsidRDefault="00730E1D">
      <w:pPr>
        <w:pStyle w:val="TOC2"/>
        <w:rPr>
          <w:rFonts w:asciiTheme="minorHAnsi" w:eastAsiaTheme="minorEastAsia" w:hAnsiTheme="minorHAnsi"/>
          <w:b w:val="0"/>
          <w:bCs w:val="0"/>
          <w:color w:val="auto"/>
          <w:sz w:val="24"/>
          <w:szCs w:val="24"/>
          <w:lang w:val="es-419"/>
        </w:rPr>
      </w:pPr>
      <w:hyperlink w:anchor="_Toc198742569" w:history="1">
        <w:r w:rsidRPr="0041782C">
          <w:rPr>
            <w:rStyle w:val="Hyperlink"/>
            <w:b w:val="0"/>
            <w:bCs w:val="0"/>
            <w:lang w:val="es-419"/>
          </w:rPr>
          <w:t>Control interno</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_Toc198742569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23</w:t>
        </w:r>
        <w:r w:rsidRPr="0041782C">
          <w:rPr>
            <w:b w:val="0"/>
            <w:bCs w:val="0"/>
            <w:webHidden/>
            <w:lang w:val="es-419"/>
          </w:rPr>
          <w:fldChar w:fldCharType="end"/>
        </w:r>
      </w:hyperlink>
    </w:p>
    <w:p w14:paraId="49EFC504" w14:textId="1AF46BFD" w:rsidR="00730E1D" w:rsidRPr="0041782C" w:rsidRDefault="00730E1D">
      <w:pPr>
        <w:pStyle w:val="TOC2"/>
        <w:rPr>
          <w:rFonts w:asciiTheme="minorHAnsi" w:eastAsiaTheme="minorEastAsia" w:hAnsiTheme="minorHAnsi"/>
          <w:b w:val="0"/>
          <w:bCs w:val="0"/>
          <w:color w:val="auto"/>
          <w:sz w:val="24"/>
          <w:szCs w:val="24"/>
          <w:lang w:val="es-419"/>
        </w:rPr>
      </w:pPr>
      <w:hyperlink w:anchor="_Toc198742570" w:history="1">
        <w:r w:rsidRPr="0041782C">
          <w:rPr>
            <w:rStyle w:val="Hyperlink"/>
            <w:b w:val="0"/>
            <w:bCs w:val="0"/>
            <w:lang w:val="es-419"/>
          </w:rPr>
          <w:t>Conclusiones y recomendaciones</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_Toc198742570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24</w:t>
        </w:r>
        <w:r w:rsidRPr="0041782C">
          <w:rPr>
            <w:b w:val="0"/>
            <w:bCs w:val="0"/>
            <w:webHidden/>
            <w:lang w:val="es-419"/>
          </w:rPr>
          <w:fldChar w:fldCharType="end"/>
        </w:r>
      </w:hyperlink>
    </w:p>
    <w:p w14:paraId="0E660BCA" w14:textId="75DB43C8"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1" w:history="1">
        <w:r w:rsidRPr="0041782C">
          <w:rPr>
            <w:rStyle w:val="Hyperlink"/>
            <w:noProof/>
            <w:lang w:val="es-419"/>
          </w:rPr>
          <w:t>Optimización de la utilización y automatización de los sistemas para la elaboración de informes financieros</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_Toc198742571 \h </w:instrText>
        </w:r>
        <w:r w:rsidRPr="0041782C">
          <w:rPr>
            <w:noProof/>
            <w:webHidden/>
            <w:lang w:val="es-419"/>
          </w:rPr>
        </w:r>
        <w:r w:rsidRPr="0041782C">
          <w:rPr>
            <w:noProof/>
            <w:webHidden/>
            <w:lang w:val="es-419"/>
          </w:rPr>
          <w:fldChar w:fldCharType="separate"/>
        </w:r>
        <w:r w:rsidR="000001EE">
          <w:rPr>
            <w:noProof/>
            <w:webHidden/>
            <w:lang w:val="es-419"/>
          </w:rPr>
          <w:t>24</w:t>
        </w:r>
        <w:r w:rsidRPr="0041782C">
          <w:rPr>
            <w:noProof/>
            <w:webHidden/>
            <w:lang w:val="es-419"/>
          </w:rPr>
          <w:fldChar w:fldCharType="end"/>
        </w:r>
      </w:hyperlink>
    </w:p>
    <w:p w14:paraId="7BDEF5FB" w14:textId="429CECA2"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2" w:history="1">
        <w:r w:rsidRPr="0041782C">
          <w:rPr>
            <w:rStyle w:val="Hyperlink"/>
            <w:noProof/>
            <w:lang w:val="es-419"/>
          </w:rPr>
          <w:t>Mejora de la política contable que rige las tasas del Sistema de Madrid</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_Toc198742572 \h </w:instrText>
        </w:r>
        <w:r w:rsidRPr="0041782C">
          <w:rPr>
            <w:noProof/>
            <w:webHidden/>
            <w:lang w:val="es-419"/>
          </w:rPr>
        </w:r>
        <w:r w:rsidRPr="0041782C">
          <w:rPr>
            <w:noProof/>
            <w:webHidden/>
            <w:lang w:val="es-419"/>
          </w:rPr>
          <w:fldChar w:fldCharType="separate"/>
        </w:r>
        <w:r w:rsidR="000001EE">
          <w:rPr>
            <w:noProof/>
            <w:webHidden/>
            <w:lang w:val="es-419"/>
          </w:rPr>
          <w:t>25</w:t>
        </w:r>
        <w:r w:rsidRPr="0041782C">
          <w:rPr>
            <w:noProof/>
            <w:webHidden/>
            <w:lang w:val="es-419"/>
          </w:rPr>
          <w:fldChar w:fldCharType="end"/>
        </w:r>
      </w:hyperlink>
    </w:p>
    <w:p w14:paraId="338FA7D4" w14:textId="34FACDCD"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3" w:history="1">
        <w:r w:rsidRPr="0041782C">
          <w:rPr>
            <w:rStyle w:val="Hyperlink"/>
            <w:noProof/>
            <w:lang w:val="es-419"/>
          </w:rPr>
          <w:t>Tratamiento de los depósitos de marcas no resueltos</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_Toc198742573 \h </w:instrText>
        </w:r>
        <w:r w:rsidRPr="0041782C">
          <w:rPr>
            <w:noProof/>
            <w:webHidden/>
            <w:lang w:val="es-419"/>
          </w:rPr>
        </w:r>
        <w:r w:rsidRPr="0041782C">
          <w:rPr>
            <w:noProof/>
            <w:webHidden/>
            <w:lang w:val="es-419"/>
          </w:rPr>
          <w:fldChar w:fldCharType="separate"/>
        </w:r>
        <w:r w:rsidR="000001EE">
          <w:rPr>
            <w:noProof/>
            <w:webHidden/>
            <w:lang w:val="es-419"/>
          </w:rPr>
          <w:t>26</w:t>
        </w:r>
        <w:r w:rsidRPr="0041782C">
          <w:rPr>
            <w:noProof/>
            <w:webHidden/>
            <w:lang w:val="es-419"/>
          </w:rPr>
          <w:fldChar w:fldCharType="end"/>
        </w:r>
      </w:hyperlink>
    </w:p>
    <w:p w14:paraId="29263D6B" w14:textId="27BD03A6" w:rsidR="00730E1D" w:rsidRPr="0041782C" w:rsidRDefault="00730E1D" w:rsidP="0091244A">
      <w:pPr>
        <w:pStyle w:val="TOC1"/>
        <w:rPr>
          <w:rFonts w:asciiTheme="minorHAnsi" w:eastAsiaTheme="minorEastAsia" w:hAnsiTheme="minorHAnsi" w:cstheme="minorBidi"/>
          <w:sz w:val="24"/>
          <w:szCs w:val="24"/>
          <w:lang w:val="es-419"/>
        </w:rPr>
      </w:pPr>
      <w:hyperlink w:anchor="_Toc198742574" w:history="1">
        <w:r w:rsidRPr="0041782C">
          <w:rPr>
            <w:rStyle w:val="Hyperlink"/>
            <w:lang w:val="es-419"/>
          </w:rPr>
          <w:t>D.</w:t>
        </w:r>
        <w:r w:rsidRPr="0041782C">
          <w:rPr>
            <w:rFonts w:asciiTheme="minorHAnsi" w:eastAsiaTheme="minorEastAsia" w:hAnsiTheme="minorHAnsi" w:cstheme="minorBidi"/>
            <w:sz w:val="24"/>
            <w:szCs w:val="24"/>
            <w:lang w:val="es-419"/>
          </w:rPr>
          <w:tab/>
        </w:r>
        <w:r w:rsidRPr="0041782C">
          <w:rPr>
            <w:rStyle w:val="Hyperlink"/>
            <w:lang w:val="es-419"/>
          </w:rPr>
          <w:t>Auditoría de rendimiento</w:t>
        </w:r>
        <w:r w:rsidRPr="0041782C">
          <w:rPr>
            <w:webHidden/>
            <w:lang w:val="es-419"/>
          </w:rPr>
          <w:tab/>
        </w:r>
        <w:r w:rsidRPr="0041782C">
          <w:rPr>
            <w:webHidden/>
            <w:lang w:val="es-419"/>
          </w:rPr>
          <w:fldChar w:fldCharType="begin"/>
        </w:r>
        <w:r w:rsidRPr="0041782C">
          <w:rPr>
            <w:webHidden/>
            <w:lang w:val="es-419"/>
          </w:rPr>
          <w:instrText xml:space="preserve"> PAGEREF _Toc198742574 \h </w:instrText>
        </w:r>
        <w:r w:rsidRPr="0041782C">
          <w:rPr>
            <w:webHidden/>
            <w:lang w:val="es-419"/>
          </w:rPr>
        </w:r>
        <w:r w:rsidRPr="0041782C">
          <w:rPr>
            <w:webHidden/>
            <w:lang w:val="es-419"/>
          </w:rPr>
          <w:fldChar w:fldCharType="separate"/>
        </w:r>
        <w:r w:rsidR="000001EE">
          <w:rPr>
            <w:webHidden/>
            <w:lang w:val="es-419"/>
          </w:rPr>
          <w:t>28</w:t>
        </w:r>
        <w:r w:rsidRPr="0041782C">
          <w:rPr>
            <w:webHidden/>
            <w:lang w:val="es-419"/>
          </w:rPr>
          <w:fldChar w:fldCharType="end"/>
        </w:r>
      </w:hyperlink>
    </w:p>
    <w:p w14:paraId="3B0EFDB3" w14:textId="0AC263FB" w:rsidR="00730E1D" w:rsidRPr="0041782C" w:rsidRDefault="00730E1D">
      <w:pPr>
        <w:pStyle w:val="TOC2"/>
        <w:rPr>
          <w:rFonts w:asciiTheme="minorHAnsi" w:eastAsiaTheme="minorEastAsia" w:hAnsiTheme="minorHAnsi"/>
          <w:b w:val="0"/>
          <w:bCs w:val="0"/>
          <w:color w:val="auto"/>
          <w:sz w:val="24"/>
          <w:szCs w:val="24"/>
          <w:lang w:val="es-419"/>
        </w:rPr>
      </w:pPr>
      <w:hyperlink w:anchor="_Toc198742575" w:history="1">
        <w:r w:rsidRPr="0041782C">
          <w:rPr>
            <w:rStyle w:val="Hyperlink"/>
            <w:lang w:val="es-419"/>
          </w:rPr>
          <w:t>Contexto</w:t>
        </w:r>
        <w:r w:rsidRPr="0041782C">
          <w:rPr>
            <w:webHidden/>
            <w:lang w:val="es-419"/>
          </w:rPr>
          <w:tab/>
        </w:r>
        <w:r w:rsidRPr="0041782C">
          <w:rPr>
            <w:webHidden/>
            <w:lang w:val="es-419"/>
          </w:rPr>
          <w:fldChar w:fldCharType="begin"/>
        </w:r>
        <w:r w:rsidRPr="0041782C">
          <w:rPr>
            <w:webHidden/>
            <w:lang w:val="es-419"/>
          </w:rPr>
          <w:instrText xml:space="preserve"> PAGEREF _Toc198742575 \h </w:instrText>
        </w:r>
        <w:r w:rsidRPr="0041782C">
          <w:rPr>
            <w:webHidden/>
            <w:lang w:val="es-419"/>
          </w:rPr>
        </w:r>
        <w:r w:rsidRPr="0041782C">
          <w:rPr>
            <w:webHidden/>
            <w:lang w:val="es-419"/>
          </w:rPr>
          <w:fldChar w:fldCharType="separate"/>
        </w:r>
        <w:r w:rsidR="000001EE">
          <w:rPr>
            <w:webHidden/>
            <w:lang w:val="es-419"/>
          </w:rPr>
          <w:t>28</w:t>
        </w:r>
        <w:r w:rsidRPr="0041782C">
          <w:rPr>
            <w:webHidden/>
            <w:lang w:val="es-419"/>
          </w:rPr>
          <w:fldChar w:fldCharType="end"/>
        </w:r>
      </w:hyperlink>
    </w:p>
    <w:p w14:paraId="49278EF9" w14:textId="49BB90C5" w:rsidR="00730E1D" w:rsidRPr="0041782C" w:rsidRDefault="00730E1D">
      <w:pPr>
        <w:pStyle w:val="TOC2"/>
        <w:rPr>
          <w:rFonts w:asciiTheme="minorHAnsi" w:eastAsiaTheme="minorEastAsia" w:hAnsiTheme="minorHAnsi"/>
          <w:b w:val="0"/>
          <w:bCs w:val="0"/>
          <w:color w:val="auto"/>
          <w:sz w:val="24"/>
          <w:szCs w:val="24"/>
          <w:lang w:val="es-419"/>
        </w:rPr>
      </w:pPr>
      <w:hyperlink w:anchor="_Toc198742576" w:history="1">
        <w:r w:rsidRPr="0041782C">
          <w:rPr>
            <w:rStyle w:val="Hyperlink"/>
            <w:lang w:val="es-419"/>
          </w:rPr>
          <w:t>Observaciones de la auditoría</w:t>
        </w:r>
        <w:r w:rsidRPr="0041782C">
          <w:rPr>
            <w:webHidden/>
            <w:lang w:val="es-419"/>
          </w:rPr>
          <w:tab/>
        </w:r>
        <w:r w:rsidRPr="0041782C">
          <w:rPr>
            <w:webHidden/>
            <w:lang w:val="es-419"/>
          </w:rPr>
          <w:fldChar w:fldCharType="begin"/>
        </w:r>
        <w:r w:rsidRPr="0041782C">
          <w:rPr>
            <w:webHidden/>
            <w:lang w:val="es-419"/>
          </w:rPr>
          <w:instrText xml:space="preserve"> PAGEREF _Toc198742576 \h </w:instrText>
        </w:r>
        <w:r w:rsidRPr="0041782C">
          <w:rPr>
            <w:webHidden/>
            <w:lang w:val="es-419"/>
          </w:rPr>
        </w:r>
        <w:r w:rsidRPr="0041782C">
          <w:rPr>
            <w:webHidden/>
            <w:lang w:val="es-419"/>
          </w:rPr>
          <w:fldChar w:fldCharType="separate"/>
        </w:r>
        <w:r w:rsidR="000001EE">
          <w:rPr>
            <w:webHidden/>
            <w:lang w:val="es-419"/>
          </w:rPr>
          <w:t>29</w:t>
        </w:r>
        <w:r w:rsidRPr="0041782C">
          <w:rPr>
            <w:webHidden/>
            <w:lang w:val="es-419"/>
          </w:rPr>
          <w:fldChar w:fldCharType="end"/>
        </w:r>
      </w:hyperlink>
    </w:p>
    <w:p w14:paraId="0DA4C339" w14:textId="11237AF9"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7" w:history="1">
        <w:r w:rsidRPr="0041782C">
          <w:rPr>
            <w:rStyle w:val="Hyperlink"/>
            <w:noProof/>
            <w:lang w:val="es-419"/>
          </w:rPr>
          <w:t xml:space="preserve">Establecimiento de procedimientos operativos unificados para organizar </w:t>
        </w:r>
        <w:r w:rsidR="0091244A" w:rsidRPr="0041782C">
          <w:rPr>
            <w:rStyle w:val="Hyperlink"/>
            <w:noProof/>
            <w:lang w:val="es-419"/>
          </w:rPr>
          <w:br/>
        </w:r>
        <w:r w:rsidRPr="0041782C">
          <w:rPr>
            <w:rStyle w:val="Hyperlink"/>
            <w:noProof/>
            <w:lang w:val="es-419"/>
          </w:rPr>
          <w:t>las reuniones de los órganos de la OMPI encargados de la toma de decisiones y las negociaciones</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_Toc198742577 \h </w:instrText>
        </w:r>
        <w:r w:rsidRPr="0041782C">
          <w:rPr>
            <w:noProof/>
            <w:webHidden/>
            <w:lang w:val="es-419"/>
          </w:rPr>
        </w:r>
        <w:r w:rsidRPr="0041782C">
          <w:rPr>
            <w:noProof/>
            <w:webHidden/>
            <w:lang w:val="es-419"/>
          </w:rPr>
          <w:fldChar w:fldCharType="separate"/>
        </w:r>
        <w:r w:rsidR="000001EE">
          <w:rPr>
            <w:noProof/>
            <w:webHidden/>
            <w:lang w:val="es-419"/>
          </w:rPr>
          <w:t>29</w:t>
        </w:r>
        <w:r w:rsidRPr="0041782C">
          <w:rPr>
            <w:noProof/>
            <w:webHidden/>
            <w:lang w:val="es-419"/>
          </w:rPr>
          <w:fldChar w:fldCharType="end"/>
        </w:r>
      </w:hyperlink>
    </w:p>
    <w:p w14:paraId="04E2103E" w14:textId="1721A7D3"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8" w:history="1">
        <w:r w:rsidRPr="0041782C">
          <w:rPr>
            <w:rStyle w:val="Hyperlink"/>
            <w:noProof/>
            <w:lang w:val="es-419"/>
          </w:rPr>
          <w:t>Mejora de la formulación y coherencia de los indicadores clave de rendimiento de la OMPI para evaluar el rendimiento</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_Toc198742578 \h </w:instrText>
        </w:r>
        <w:r w:rsidRPr="0041782C">
          <w:rPr>
            <w:noProof/>
            <w:webHidden/>
            <w:lang w:val="es-419"/>
          </w:rPr>
        </w:r>
        <w:r w:rsidRPr="0041782C">
          <w:rPr>
            <w:noProof/>
            <w:webHidden/>
            <w:lang w:val="es-419"/>
          </w:rPr>
          <w:fldChar w:fldCharType="separate"/>
        </w:r>
        <w:r w:rsidR="000001EE">
          <w:rPr>
            <w:noProof/>
            <w:webHidden/>
            <w:lang w:val="es-419"/>
          </w:rPr>
          <w:t>30</w:t>
        </w:r>
        <w:r w:rsidRPr="0041782C">
          <w:rPr>
            <w:noProof/>
            <w:webHidden/>
            <w:lang w:val="es-419"/>
          </w:rPr>
          <w:fldChar w:fldCharType="end"/>
        </w:r>
      </w:hyperlink>
    </w:p>
    <w:p w14:paraId="6F95C647" w14:textId="290EACA9"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79" w:history="1">
        <w:r w:rsidRPr="0041782C">
          <w:rPr>
            <w:rStyle w:val="Hyperlink"/>
            <w:noProof/>
            <w:lang w:val="es-419"/>
          </w:rPr>
          <w:t>Optimización de la aplicación de la traducción automática a las publicaciones de la OMPI</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_Toc198742579 \h </w:instrText>
        </w:r>
        <w:r w:rsidRPr="0041782C">
          <w:rPr>
            <w:noProof/>
            <w:webHidden/>
            <w:lang w:val="es-419"/>
          </w:rPr>
        </w:r>
        <w:r w:rsidRPr="0041782C">
          <w:rPr>
            <w:noProof/>
            <w:webHidden/>
            <w:lang w:val="es-419"/>
          </w:rPr>
          <w:fldChar w:fldCharType="separate"/>
        </w:r>
        <w:r w:rsidR="000001EE">
          <w:rPr>
            <w:noProof/>
            <w:webHidden/>
            <w:lang w:val="es-419"/>
          </w:rPr>
          <w:t>32</w:t>
        </w:r>
        <w:r w:rsidRPr="0041782C">
          <w:rPr>
            <w:noProof/>
            <w:webHidden/>
            <w:lang w:val="es-419"/>
          </w:rPr>
          <w:fldChar w:fldCharType="end"/>
        </w:r>
      </w:hyperlink>
    </w:p>
    <w:p w14:paraId="5FE494FE" w14:textId="081200C0"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80" w:history="1">
        <w:r w:rsidRPr="0041782C">
          <w:rPr>
            <w:rStyle w:val="Hyperlink"/>
            <w:noProof/>
            <w:lang w:val="es-419"/>
          </w:rPr>
          <w:t>Mejora de WePerform en el proceso de evaluación del rendimiento</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_Toc198742580 \h </w:instrText>
        </w:r>
        <w:r w:rsidRPr="0041782C">
          <w:rPr>
            <w:noProof/>
            <w:webHidden/>
            <w:lang w:val="es-419"/>
          </w:rPr>
        </w:r>
        <w:r w:rsidRPr="0041782C">
          <w:rPr>
            <w:noProof/>
            <w:webHidden/>
            <w:lang w:val="es-419"/>
          </w:rPr>
          <w:fldChar w:fldCharType="separate"/>
        </w:r>
        <w:r w:rsidR="000001EE">
          <w:rPr>
            <w:noProof/>
            <w:webHidden/>
            <w:lang w:val="es-419"/>
          </w:rPr>
          <w:t>33</w:t>
        </w:r>
        <w:r w:rsidRPr="0041782C">
          <w:rPr>
            <w:noProof/>
            <w:webHidden/>
            <w:lang w:val="es-419"/>
          </w:rPr>
          <w:fldChar w:fldCharType="end"/>
        </w:r>
      </w:hyperlink>
    </w:p>
    <w:p w14:paraId="5F34B035" w14:textId="415406C6" w:rsidR="00730E1D" w:rsidRPr="0041782C" w:rsidRDefault="00730E1D" w:rsidP="0091244A">
      <w:pPr>
        <w:pStyle w:val="TOC3"/>
        <w:tabs>
          <w:tab w:val="right" w:leader="dot" w:pos="7927"/>
        </w:tabs>
        <w:ind w:left="1134"/>
        <w:rPr>
          <w:rFonts w:asciiTheme="minorHAnsi" w:eastAsiaTheme="minorEastAsia" w:hAnsiTheme="minorHAnsi"/>
          <w:i w:val="0"/>
          <w:noProof/>
          <w:color w:val="auto"/>
          <w:sz w:val="24"/>
          <w:szCs w:val="24"/>
          <w:lang w:val="es-419"/>
        </w:rPr>
      </w:pPr>
      <w:hyperlink w:anchor="_Toc198742581" w:history="1">
        <w:r w:rsidRPr="0041782C">
          <w:rPr>
            <w:rStyle w:val="Hyperlink"/>
            <w:noProof/>
            <w:lang w:val="es-419"/>
          </w:rPr>
          <w:t xml:space="preserve">Mejora del proceso de realización de encuestas para reforzar la </w:t>
        </w:r>
        <w:r w:rsidR="0091244A" w:rsidRPr="0041782C">
          <w:rPr>
            <w:rStyle w:val="Hyperlink"/>
            <w:noProof/>
            <w:lang w:val="es-419"/>
          </w:rPr>
          <w:br/>
        </w:r>
        <w:r w:rsidRPr="0041782C">
          <w:rPr>
            <w:rStyle w:val="Hyperlink"/>
            <w:noProof/>
            <w:lang w:val="es-419"/>
          </w:rPr>
          <w:t>evaluación de la OMPI</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_Toc198742581 \h </w:instrText>
        </w:r>
        <w:r w:rsidRPr="0041782C">
          <w:rPr>
            <w:noProof/>
            <w:webHidden/>
            <w:lang w:val="es-419"/>
          </w:rPr>
        </w:r>
        <w:r w:rsidRPr="0041782C">
          <w:rPr>
            <w:noProof/>
            <w:webHidden/>
            <w:lang w:val="es-419"/>
          </w:rPr>
          <w:fldChar w:fldCharType="separate"/>
        </w:r>
        <w:r w:rsidR="000001EE">
          <w:rPr>
            <w:noProof/>
            <w:webHidden/>
            <w:lang w:val="es-419"/>
          </w:rPr>
          <w:t>34</w:t>
        </w:r>
        <w:r w:rsidRPr="0041782C">
          <w:rPr>
            <w:noProof/>
            <w:webHidden/>
            <w:lang w:val="es-419"/>
          </w:rPr>
          <w:fldChar w:fldCharType="end"/>
        </w:r>
      </w:hyperlink>
    </w:p>
    <w:p w14:paraId="0358DC97" w14:textId="14ECD352" w:rsidR="00730E1D" w:rsidRPr="0041782C" w:rsidRDefault="00730E1D" w:rsidP="0091244A">
      <w:pPr>
        <w:pStyle w:val="TOC1"/>
        <w:rPr>
          <w:rFonts w:asciiTheme="minorHAnsi" w:eastAsiaTheme="minorEastAsia" w:hAnsiTheme="minorHAnsi" w:cstheme="minorBidi"/>
          <w:sz w:val="24"/>
          <w:szCs w:val="24"/>
          <w:lang w:val="es-419"/>
        </w:rPr>
      </w:pPr>
      <w:hyperlink w:anchor="_Toc198742582" w:history="1">
        <w:r w:rsidRPr="0041782C">
          <w:rPr>
            <w:rStyle w:val="Hyperlink"/>
            <w:lang w:val="es-419"/>
          </w:rPr>
          <w:t>E.</w:t>
        </w:r>
        <w:r w:rsidRPr="0041782C">
          <w:rPr>
            <w:rFonts w:asciiTheme="minorHAnsi" w:eastAsiaTheme="minorEastAsia" w:hAnsiTheme="minorHAnsi" w:cstheme="minorBidi"/>
            <w:sz w:val="24"/>
            <w:szCs w:val="24"/>
            <w:lang w:val="es-419"/>
          </w:rPr>
          <w:tab/>
        </w:r>
        <w:r w:rsidRPr="0041782C">
          <w:rPr>
            <w:rStyle w:val="Hyperlink"/>
            <w:lang w:val="es-419"/>
          </w:rPr>
          <w:t>Aplicación de las recomendaciones de la auditoría externa de años anteriores</w:t>
        </w:r>
        <w:r w:rsidRPr="0041782C">
          <w:rPr>
            <w:webHidden/>
            <w:lang w:val="es-419"/>
          </w:rPr>
          <w:tab/>
        </w:r>
        <w:r w:rsidRPr="0041782C">
          <w:rPr>
            <w:webHidden/>
            <w:lang w:val="es-419"/>
          </w:rPr>
          <w:fldChar w:fldCharType="begin"/>
        </w:r>
        <w:r w:rsidRPr="0041782C">
          <w:rPr>
            <w:webHidden/>
            <w:lang w:val="es-419"/>
          </w:rPr>
          <w:instrText xml:space="preserve"> PAGEREF _Toc198742582 \h </w:instrText>
        </w:r>
        <w:r w:rsidRPr="0041782C">
          <w:rPr>
            <w:webHidden/>
            <w:lang w:val="es-419"/>
          </w:rPr>
        </w:r>
        <w:r w:rsidRPr="0041782C">
          <w:rPr>
            <w:webHidden/>
            <w:lang w:val="es-419"/>
          </w:rPr>
          <w:fldChar w:fldCharType="separate"/>
        </w:r>
        <w:r w:rsidR="000001EE">
          <w:rPr>
            <w:webHidden/>
            <w:lang w:val="es-419"/>
          </w:rPr>
          <w:t>36</w:t>
        </w:r>
        <w:r w:rsidRPr="0041782C">
          <w:rPr>
            <w:webHidden/>
            <w:lang w:val="es-419"/>
          </w:rPr>
          <w:fldChar w:fldCharType="end"/>
        </w:r>
      </w:hyperlink>
    </w:p>
    <w:p w14:paraId="03133F96" w14:textId="5E4E9565" w:rsidR="00730E1D" w:rsidRPr="0041782C" w:rsidRDefault="00730E1D" w:rsidP="0091244A">
      <w:pPr>
        <w:pStyle w:val="TOC1"/>
        <w:rPr>
          <w:rFonts w:asciiTheme="minorHAnsi" w:eastAsiaTheme="minorEastAsia" w:hAnsiTheme="minorHAnsi" w:cstheme="minorBidi"/>
          <w:sz w:val="24"/>
          <w:szCs w:val="24"/>
          <w:lang w:val="es-419"/>
        </w:rPr>
      </w:pPr>
      <w:hyperlink w:anchor="_Toc198742583" w:history="1">
        <w:r w:rsidRPr="0041782C">
          <w:rPr>
            <w:rStyle w:val="Hyperlink"/>
            <w:lang w:val="es-419"/>
          </w:rPr>
          <w:t>F.</w:t>
        </w:r>
        <w:r w:rsidRPr="0041782C">
          <w:rPr>
            <w:rFonts w:asciiTheme="minorHAnsi" w:eastAsiaTheme="minorEastAsia" w:hAnsiTheme="minorHAnsi" w:cstheme="minorBidi"/>
            <w:sz w:val="24"/>
            <w:szCs w:val="24"/>
            <w:lang w:val="es-419"/>
          </w:rPr>
          <w:tab/>
        </w:r>
        <w:r w:rsidRPr="0041782C">
          <w:rPr>
            <w:rStyle w:val="Hyperlink"/>
            <w:lang w:val="es-419"/>
          </w:rPr>
          <w:t>Información facilitada por la Dirección</w:t>
        </w:r>
        <w:r w:rsidRPr="0041782C">
          <w:rPr>
            <w:webHidden/>
            <w:lang w:val="es-419"/>
          </w:rPr>
          <w:tab/>
        </w:r>
        <w:r w:rsidRPr="0041782C">
          <w:rPr>
            <w:webHidden/>
            <w:lang w:val="es-419"/>
          </w:rPr>
          <w:fldChar w:fldCharType="begin"/>
        </w:r>
        <w:r w:rsidRPr="0041782C">
          <w:rPr>
            <w:webHidden/>
            <w:lang w:val="es-419"/>
          </w:rPr>
          <w:instrText xml:space="preserve"> PAGEREF _Toc198742583 \h </w:instrText>
        </w:r>
        <w:r w:rsidRPr="0041782C">
          <w:rPr>
            <w:webHidden/>
            <w:lang w:val="es-419"/>
          </w:rPr>
        </w:r>
        <w:r w:rsidRPr="0041782C">
          <w:rPr>
            <w:webHidden/>
            <w:lang w:val="es-419"/>
          </w:rPr>
          <w:fldChar w:fldCharType="separate"/>
        </w:r>
        <w:r w:rsidR="000001EE">
          <w:rPr>
            <w:webHidden/>
            <w:lang w:val="es-419"/>
          </w:rPr>
          <w:t>37</w:t>
        </w:r>
        <w:r w:rsidRPr="0041782C">
          <w:rPr>
            <w:webHidden/>
            <w:lang w:val="es-419"/>
          </w:rPr>
          <w:fldChar w:fldCharType="end"/>
        </w:r>
      </w:hyperlink>
    </w:p>
    <w:p w14:paraId="147B0FD9" w14:textId="59D474A2" w:rsidR="00730E1D" w:rsidRPr="0041782C" w:rsidRDefault="00730E1D">
      <w:pPr>
        <w:pStyle w:val="TOC2"/>
        <w:rPr>
          <w:rFonts w:asciiTheme="minorHAnsi" w:eastAsiaTheme="minorEastAsia" w:hAnsiTheme="minorHAnsi"/>
          <w:b w:val="0"/>
          <w:bCs w:val="0"/>
          <w:color w:val="auto"/>
          <w:sz w:val="24"/>
          <w:szCs w:val="24"/>
          <w:lang w:val="es-419"/>
        </w:rPr>
      </w:pPr>
      <w:hyperlink w:anchor="_Toc198742584" w:history="1">
        <w:r w:rsidRPr="0041782C">
          <w:rPr>
            <w:rStyle w:val="Hyperlink"/>
            <w:b w:val="0"/>
            <w:bCs w:val="0"/>
            <w:lang w:val="es-419"/>
          </w:rPr>
          <w:t>Pérdidas de efectivo, cuentas por cobrar y bienes</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_Toc198742584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37</w:t>
        </w:r>
        <w:r w:rsidRPr="0041782C">
          <w:rPr>
            <w:b w:val="0"/>
            <w:bCs w:val="0"/>
            <w:webHidden/>
            <w:lang w:val="es-419"/>
          </w:rPr>
          <w:fldChar w:fldCharType="end"/>
        </w:r>
      </w:hyperlink>
    </w:p>
    <w:p w14:paraId="501BADB5" w14:textId="69219D19" w:rsidR="00730E1D" w:rsidRPr="0041782C" w:rsidRDefault="00730E1D">
      <w:pPr>
        <w:pStyle w:val="TOC2"/>
        <w:rPr>
          <w:rFonts w:asciiTheme="minorHAnsi" w:eastAsiaTheme="minorEastAsia" w:hAnsiTheme="minorHAnsi"/>
          <w:b w:val="0"/>
          <w:bCs w:val="0"/>
          <w:color w:val="auto"/>
          <w:sz w:val="24"/>
          <w:szCs w:val="24"/>
          <w:lang w:val="es-419"/>
        </w:rPr>
      </w:pPr>
      <w:hyperlink w:anchor="_Toc198742585" w:history="1">
        <w:r w:rsidRPr="0041782C">
          <w:rPr>
            <w:rStyle w:val="Hyperlink"/>
            <w:b w:val="0"/>
            <w:bCs w:val="0"/>
            <w:lang w:val="es-419"/>
          </w:rPr>
          <w:t>Pagos a título graciable</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_Toc198742585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37</w:t>
        </w:r>
        <w:r w:rsidRPr="0041782C">
          <w:rPr>
            <w:b w:val="0"/>
            <w:bCs w:val="0"/>
            <w:webHidden/>
            <w:lang w:val="es-419"/>
          </w:rPr>
          <w:fldChar w:fldCharType="end"/>
        </w:r>
      </w:hyperlink>
    </w:p>
    <w:p w14:paraId="50E3DA3C" w14:textId="69BAE260" w:rsidR="00730E1D" w:rsidRPr="0041782C" w:rsidRDefault="00730E1D">
      <w:pPr>
        <w:pStyle w:val="TOC2"/>
        <w:rPr>
          <w:rFonts w:asciiTheme="minorHAnsi" w:eastAsiaTheme="minorEastAsia" w:hAnsiTheme="minorHAnsi"/>
          <w:b w:val="0"/>
          <w:bCs w:val="0"/>
          <w:color w:val="auto"/>
          <w:sz w:val="24"/>
          <w:szCs w:val="24"/>
          <w:lang w:val="es-419"/>
        </w:rPr>
      </w:pPr>
      <w:hyperlink w:anchor="_Toc198742586" w:history="1">
        <w:r w:rsidRPr="0041782C">
          <w:rPr>
            <w:rStyle w:val="Hyperlink"/>
            <w:b w:val="0"/>
            <w:bCs w:val="0"/>
            <w:lang w:val="es-419"/>
          </w:rPr>
          <w:t>Casos de fraude y presunción de fraude</w:t>
        </w:r>
        <w:r w:rsidRPr="0041782C">
          <w:rPr>
            <w:b w:val="0"/>
            <w:bCs w:val="0"/>
            <w:webHidden/>
            <w:lang w:val="es-419"/>
          </w:rPr>
          <w:tab/>
        </w:r>
        <w:r w:rsidRPr="0041782C">
          <w:rPr>
            <w:b w:val="0"/>
            <w:bCs w:val="0"/>
            <w:webHidden/>
            <w:lang w:val="es-419"/>
          </w:rPr>
          <w:fldChar w:fldCharType="begin"/>
        </w:r>
        <w:r w:rsidRPr="0041782C">
          <w:rPr>
            <w:b w:val="0"/>
            <w:bCs w:val="0"/>
            <w:webHidden/>
            <w:lang w:val="es-419"/>
          </w:rPr>
          <w:instrText xml:space="preserve"> PAGEREF _Toc198742586 \h </w:instrText>
        </w:r>
        <w:r w:rsidRPr="0041782C">
          <w:rPr>
            <w:b w:val="0"/>
            <w:bCs w:val="0"/>
            <w:webHidden/>
            <w:lang w:val="es-419"/>
          </w:rPr>
        </w:r>
        <w:r w:rsidRPr="0041782C">
          <w:rPr>
            <w:b w:val="0"/>
            <w:bCs w:val="0"/>
            <w:webHidden/>
            <w:lang w:val="es-419"/>
          </w:rPr>
          <w:fldChar w:fldCharType="separate"/>
        </w:r>
        <w:r w:rsidR="000001EE">
          <w:rPr>
            <w:b w:val="0"/>
            <w:bCs w:val="0"/>
            <w:webHidden/>
            <w:lang w:val="es-419"/>
          </w:rPr>
          <w:t>37</w:t>
        </w:r>
        <w:r w:rsidRPr="0041782C">
          <w:rPr>
            <w:b w:val="0"/>
            <w:bCs w:val="0"/>
            <w:webHidden/>
            <w:lang w:val="es-419"/>
          </w:rPr>
          <w:fldChar w:fldCharType="end"/>
        </w:r>
      </w:hyperlink>
    </w:p>
    <w:p w14:paraId="503815B3" w14:textId="19FA971C" w:rsidR="00730E1D" w:rsidRPr="0041782C" w:rsidRDefault="00730E1D" w:rsidP="0091244A">
      <w:pPr>
        <w:pStyle w:val="TOC1"/>
        <w:rPr>
          <w:rFonts w:asciiTheme="minorHAnsi" w:eastAsiaTheme="minorEastAsia" w:hAnsiTheme="minorHAnsi" w:cstheme="minorBidi"/>
          <w:sz w:val="24"/>
          <w:szCs w:val="24"/>
          <w:lang w:val="es-419"/>
        </w:rPr>
      </w:pPr>
      <w:hyperlink w:anchor="_Toc198742587" w:history="1">
        <w:r w:rsidRPr="0041782C">
          <w:rPr>
            <w:rStyle w:val="Hyperlink"/>
            <w:lang w:val="es-419"/>
          </w:rPr>
          <w:t>G.</w:t>
        </w:r>
        <w:r w:rsidRPr="0041782C">
          <w:rPr>
            <w:rFonts w:asciiTheme="minorHAnsi" w:eastAsiaTheme="minorEastAsia" w:hAnsiTheme="minorHAnsi" w:cstheme="minorBidi"/>
            <w:sz w:val="24"/>
            <w:szCs w:val="24"/>
            <w:lang w:val="es-419"/>
          </w:rPr>
          <w:tab/>
        </w:r>
        <w:r w:rsidRPr="0041782C">
          <w:rPr>
            <w:rStyle w:val="Hyperlink"/>
            <w:lang w:val="es-419"/>
          </w:rPr>
          <w:t>Traspaso de la auditoría</w:t>
        </w:r>
        <w:r w:rsidRPr="0041782C">
          <w:rPr>
            <w:webHidden/>
            <w:lang w:val="es-419"/>
          </w:rPr>
          <w:tab/>
        </w:r>
        <w:r w:rsidRPr="0041782C">
          <w:rPr>
            <w:webHidden/>
            <w:lang w:val="es-419"/>
          </w:rPr>
          <w:fldChar w:fldCharType="begin"/>
        </w:r>
        <w:r w:rsidRPr="0041782C">
          <w:rPr>
            <w:webHidden/>
            <w:lang w:val="es-419"/>
          </w:rPr>
          <w:instrText xml:space="preserve"> PAGEREF _Toc198742587 \h </w:instrText>
        </w:r>
        <w:r w:rsidRPr="0041782C">
          <w:rPr>
            <w:webHidden/>
            <w:lang w:val="es-419"/>
          </w:rPr>
        </w:r>
        <w:r w:rsidRPr="0041782C">
          <w:rPr>
            <w:webHidden/>
            <w:lang w:val="es-419"/>
          </w:rPr>
          <w:fldChar w:fldCharType="separate"/>
        </w:r>
        <w:r w:rsidR="000001EE">
          <w:rPr>
            <w:webHidden/>
            <w:lang w:val="es-419"/>
          </w:rPr>
          <w:t>37</w:t>
        </w:r>
        <w:r w:rsidRPr="0041782C">
          <w:rPr>
            <w:webHidden/>
            <w:lang w:val="es-419"/>
          </w:rPr>
          <w:fldChar w:fldCharType="end"/>
        </w:r>
      </w:hyperlink>
    </w:p>
    <w:p w14:paraId="12A54F11" w14:textId="071A1D16" w:rsidR="00730E1D" w:rsidRPr="0041782C" w:rsidRDefault="00730E1D" w:rsidP="0091244A">
      <w:pPr>
        <w:pStyle w:val="TOC1"/>
        <w:rPr>
          <w:rFonts w:asciiTheme="minorHAnsi" w:eastAsiaTheme="minorEastAsia" w:hAnsiTheme="minorHAnsi" w:cstheme="minorBidi"/>
          <w:sz w:val="24"/>
          <w:szCs w:val="24"/>
          <w:lang w:val="es-419"/>
        </w:rPr>
      </w:pPr>
      <w:hyperlink w:anchor="_Toc198742588" w:history="1">
        <w:r w:rsidRPr="0041782C">
          <w:rPr>
            <w:rStyle w:val="Hyperlink"/>
            <w:lang w:val="es-419"/>
          </w:rPr>
          <w:t>H.</w:t>
        </w:r>
        <w:r w:rsidRPr="0041782C">
          <w:rPr>
            <w:rFonts w:asciiTheme="minorHAnsi" w:eastAsiaTheme="minorEastAsia" w:hAnsiTheme="minorHAnsi" w:cstheme="minorBidi"/>
            <w:sz w:val="24"/>
            <w:szCs w:val="24"/>
            <w:lang w:val="es-419"/>
          </w:rPr>
          <w:tab/>
        </w:r>
        <w:r w:rsidRPr="0041782C">
          <w:rPr>
            <w:rStyle w:val="Hyperlink"/>
            <w:lang w:val="es-419"/>
          </w:rPr>
          <w:t>Agradecimientos</w:t>
        </w:r>
        <w:r w:rsidRPr="0041782C">
          <w:rPr>
            <w:webHidden/>
            <w:lang w:val="es-419"/>
          </w:rPr>
          <w:tab/>
        </w:r>
        <w:r w:rsidRPr="0041782C">
          <w:rPr>
            <w:webHidden/>
            <w:lang w:val="es-419"/>
          </w:rPr>
          <w:fldChar w:fldCharType="begin"/>
        </w:r>
        <w:r w:rsidRPr="0041782C">
          <w:rPr>
            <w:webHidden/>
            <w:lang w:val="es-419"/>
          </w:rPr>
          <w:instrText xml:space="preserve"> PAGEREF _Toc198742588 \h </w:instrText>
        </w:r>
        <w:r w:rsidRPr="0041782C">
          <w:rPr>
            <w:webHidden/>
            <w:lang w:val="es-419"/>
          </w:rPr>
        </w:r>
        <w:r w:rsidRPr="0041782C">
          <w:rPr>
            <w:webHidden/>
            <w:lang w:val="es-419"/>
          </w:rPr>
          <w:fldChar w:fldCharType="separate"/>
        </w:r>
        <w:r w:rsidR="000001EE">
          <w:rPr>
            <w:webHidden/>
            <w:lang w:val="es-419"/>
          </w:rPr>
          <w:t>38</w:t>
        </w:r>
        <w:r w:rsidRPr="0041782C">
          <w:rPr>
            <w:webHidden/>
            <w:lang w:val="es-419"/>
          </w:rPr>
          <w:fldChar w:fldCharType="end"/>
        </w:r>
      </w:hyperlink>
    </w:p>
    <w:p w14:paraId="6AD70D40" w14:textId="4DFFD1C6" w:rsidR="00730E1D" w:rsidRPr="0041782C" w:rsidRDefault="00730E1D" w:rsidP="0091244A">
      <w:pPr>
        <w:pStyle w:val="TOC1"/>
        <w:rPr>
          <w:rFonts w:asciiTheme="minorHAnsi" w:eastAsiaTheme="minorEastAsia" w:hAnsiTheme="minorHAnsi" w:cstheme="minorBidi"/>
          <w:sz w:val="24"/>
          <w:szCs w:val="24"/>
          <w:lang w:val="es-419"/>
        </w:rPr>
      </w:pPr>
      <w:hyperlink w:anchor="_Toc198742589" w:history="1">
        <w:r w:rsidRPr="0041782C">
          <w:rPr>
            <w:rStyle w:val="Hyperlink"/>
            <w:b w:val="0"/>
            <w:bCs w:val="0"/>
            <w:lang w:val="es-419"/>
          </w:rPr>
          <w:t xml:space="preserve">Anexo 1: Estado de aplicación de las recomendaciones formuladas en auditorías </w:t>
        </w:r>
        <w:r w:rsidR="0091244A" w:rsidRPr="0041782C">
          <w:rPr>
            <w:rStyle w:val="Hyperlink"/>
            <w:b w:val="0"/>
            <w:bCs w:val="0"/>
            <w:lang w:val="es-419"/>
          </w:rPr>
          <w:br/>
        </w:r>
        <w:r w:rsidRPr="0041782C">
          <w:rPr>
            <w:rStyle w:val="Hyperlink"/>
            <w:b w:val="0"/>
            <w:bCs w:val="0"/>
            <w:lang w:val="es-419"/>
          </w:rPr>
          <w:t>externas de ejercicios anteriores a 31 de marzo de 2025</w:t>
        </w:r>
        <w:r w:rsidRPr="0041782C">
          <w:rPr>
            <w:webHidden/>
            <w:lang w:val="es-419"/>
          </w:rPr>
          <w:tab/>
        </w:r>
        <w:r w:rsidRPr="0041782C">
          <w:rPr>
            <w:webHidden/>
            <w:lang w:val="es-419"/>
          </w:rPr>
          <w:fldChar w:fldCharType="begin"/>
        </w:r>
        <w:r w:rsidRPr="0041782C">
          <w:rPr>
            <w:webHidden/>
            <w:lang w:val="es-419"/>
          </w:rPr>
          <w:instrText xml:space="preserve"> PAGEREF _Toc198742589 \h </w:instrText>
        </w:r>
        <w:r w:rsidRPr="0041782C">
          <w:rPr>
            <w:webHidden/>
            <w:lang w:val="es-419"/>
          </w:rPr>
        </w:r>
        <w:r w:rsidRPr="0041782C">
          <w:rPr>
            <w:webHidden/>
            <w:lang w:val="es-419"/>
          </w:rPr>
          <w:fldChar w:fldCharType="separate"/>
        </w:r>
        <w:r w:rsidR="000001EE">
          <w:rPr>
            <w:webHidden/>
            <w:lang w:val="es-419"/>
          </w:rPr>
          <w:t>39</w:t>
        </w:r>
        <w:r w:rsidRPr="0041782C">
          <w:rPr>
            <w:webHidden/>
            <w:lang w:val="es-419"/>
          </w:rPr>
          <w:fldChar w:fldCharType="end"/>
        </w:r>
      </w:hyperlink>
    </w:p>
    <w:p w14:paraId="5724346E" w14:textId="54041B6B" w:rsidR="00730E1D" w:rsidRPr="0041782C" w:rsidRDefault="00730E1D" w:rsidP="0091244A">
      <w:pPr>
        <w:pStyle w:val="TOC1"/>
        <w:rPr>
          <w:rFonts w:asciiTheme="minorHAnsi" w:eastAsiaTheme="minorEastAsia" w:hAnsiTheme="minorHAnsi" w:cstheme="minorBidi"/>
          <w:sz w:val="24"/>
          <w:szCs w:val="24"/>
          <w:lang w:val="es-419"/>
        </w:rPr>
      </w:pPr>
      <w:hyperlink w:anchor="_Toc198742590" w:history="1">
        <w:r w:rsidRPr="0041782C">
          <w:rPr>
            <w:rStyle w:val="Hyperlink"/>
            <w:b w:val="0"/>
            <w:bCs w:val="0"/>
            <w:lang w:val="es-419"/>
          </w:rPr>
          <w:t>Anexo 2: Lista de siglas</w:t>
        </w:r>
        <w:r w:rsidRPr="0041782C">
          <w:rPr>
            <w:webHidden/>
            <w:lang w:val="es-419"/>
          </w:rPr>
          <w:tab/>
        </w:r>
        <w:r w:rsidRPr="0041782C">
          <w:rPr>
            <w:webHidden/>
            <w:lang w:val="es-419"/>
          </w:rPr>
          <w:fldChar w:fldCharType="begin"/>
        </w:r>
        <w:r w:rsidRPr="0041782C">
          <w:rPr>
            <w:webHidden/>
            <w:lang w:val="es-419"/>
          </w:rPr>
          <w:instrText xml:space="preserve"> PAGEREF _Toc198742590 \h </w:instrText>
        </w:r>
        <w:r w:rsidRPr="0041782C">
          <w:rPr>
            <w:webHidden/>
            <w:lang w:val="es-419"/>
          </w:rPr>
        </w:r>
        <w:r w:rsidRPr="0041782C">
          <w:rPr>
            <w:webHidden/>
            <w:lang w:val="es-419"/>
          </w:rPr>
          <w:fldChar w:fldCharType="separate"/>
        </w:r>
        <w:r w:rsidR="000001EE">
          <w:rPr>
            <w:webHidden/>
            <w:lang w:val="es-419"/>
          </w:rPr>
          <w:t>4</w:t>
        </w:r>
        <w:r w:rsidRPr="0041782C">
          <w:rPr>
            <w:webHidden/>
            <w:lang w:val="es-419"/>
          </w:rPr>
          <w:fldChar w:fldCharType="end"/>
        </w:r>
      </w:hyperlink>
    </w:p>
    <w:p w14:paraId="1F9CC936" w14:textId="22FC3442" w:rsidR="00556285" w:rsidRPr="0041782C" w:rsidRDefault="00556285" w:rsidP="00556285">
      <w:pPr>
        <w:jc w:val="both"/>
        <w:rPr>
          <w:rFonts w:ascii="Times New Roman" w:hAnsi="Times New Roman" w:cs="Times New Roman"/>
          <w:b/>
          <w:lang w:val="es-419"/>
        </w:rPr>
      </w:pPr>
      <w:r w:rsidRPr="0041782C">
        <w:rPr>
          <w:rFonts w:ascii="Times New Roman" w:hAnsi="Times New Roman" w:cs="Times New Roman"/>
          <w:b/>
          <w:lang w:val="es-419"/>
        </w:rPr>
        <w:fldChar w:fldCharType="end"/>
      </w:r>
    </w:p>
    <w:p w14:paraId="5CDFDF27" w14:textId="77777777" w:rsidR="00556285" w:rsidRPr="0041782C" w:rsidRDefault="00556285" w:rsidP="00556285">
      <w:pPr>
        <w:rPr>
          <w:rFonts w:ascii="Times New Roman" w:hAnsi="Times New Roman" w:cs="Times New Roman"/>
          <w:b/>
          <w:bCs/>
          <w:szCs w:val="22"/>
          <w:lang w:val="es-419"/>
        </w:rPr>
      </w:pPr>
      <w:r w:rsidRPr="0041782C">
        <w:rPr>
          <w:lang w:val="es-419"/>
        </w:rPr>
        <w:br w:type="page"/>
      </w:r>
    </w:p>
    <w:p w14:paraId="1380C066" w14:textId="77777777" w:rsidR="00556285" w:rsidRPr="0041782C" w:rsidRDefault="00556285" w:rsidP="00556285">
      <w:pPr>
        <w:pStyle w:val="Heading1"/>
        <w:jc w:val="center"/>
        <w:rPr>
          <w:lang w:val="es-419"/>
        </w:rPr>
      </w:pPr>
      <w:bookmarkStart w:id="10" w:name="_Toc198742539"/>
      <w:r w:rsidRPr="0041782C">
        <w:rPr>
          <w:lang w:val="es-419"/>
        </w:rPr>
        <w:lastRenderedPageBreak/>
        <w:t>Lista de cuadros</w:t>
      </w:r>
      <w:bookmarkEnd w:id="10"/>
    </w:p>
    <w:p w14:paraId="7DC99377" w14:textId="633D7A92" w:rsidR="00C57EFC" w:rsidRPr="0041782C" w:rsidRDefault="00556285">
      <w:pPr>
        <w:pStyle w:val="TableofFigures"/>
        <w:tabs>
          <w:tab w:val="right" w:leader="dot" w:pos="7927"/>
        </w:tabs>
        <w:rPr>
          <w:rFonts w:asciiTheme="minorHAnsi" w:eastAsiaTheme="minorEastAsia" w:hAnsiTheme="minorHAnsi"/>
          <w:noProof/>
          <w:color w:val="auto"/>
          <w:sz w:val="24"/>
          <w:lang w:val="es-419"/>
        </w:rPr>
      </w:pPr>
      <w:r w:rsidRPr="0041782C">
        <w:rPr>
          <w:rFonts w:cs="Times New Roman"/>
          <w:b/>
          <w:lang w:val="es-419"/>
        </w:rPr>
        <w:fldChar w:fldCharType="begin"/>
      </w:r>
      <w:r w:rsidRPr="0041782C">
        <w:rPr>
          <w:rFonts w:cs="Times New Roman"/>
          <w:b/>
          <w:lang w:val="es-419"/>
        </w:rPr>
        <w:instrText xml:space="preserve"> TOC \h \z \c "Table" </w:instrText>
      </w:r>
      <w:r w:rsidRPr="0041782C">
        <w:rPr>
          <w:rFonts w:cs="Times New Roman"/>
          <w:b/>
          <w:lang w:val="es-419"/>
        </w:rPr>
        <w:fldChar w:fldCharType="separate"/>
      </w:r>
      <w:hyperlink w:anchor="_Toc198742224" w:history="1">
        <w:r w:rsidR="00C57EFC" w:rsidRPr="0041782C">
          <w:rPr>
            <w:rStyle w:val="Hyperlink"/>
            <w:noProof/>
            <w:lang w:val="es-419"/>
          </w:rPr>
          <w:t>Cuadro 1. Coeficiente financiero de la Organización</w:t>
        </w:r>
        <w:r w:rsidR="00C57EFC" w:rsidRPr="0041782C">
          <w:rPr>
            <w:noProof/>
            <w:webHidden/>
            <w:lang w:val="es-419"/>
          </w:rPr>
          <w:tab/>
        </w:r>
        <w:r w:rsidR="00C57EFC" w:rsidRPr="0041782C">
          <w:rPr>
            <w:noProof/>
            <w:webHidden/>
            <w:lang w:val="es-419"/>
          </w:rPr>
          <w:fldChar w:fldCharType="begin"/>
        </w:r>
        <w:r w:rsidR="00C57EFC" w:rsidRPr="0041782C">
          <w:rPr>
            <w:noProof/>
            <w:webHidden/>
            <w:lang w:val="es-419"/>
          </w:rPr>
          <w:instrText xml:space="preserve"> PAGEREF _Toc198742224 \h </w:instrText>
        </w:r>
        <w:r w:rsidR="00C57EFC" w:rsidRPr="0041782C">
          <w:rPr>
            <w:noProof/>
            <w:webHidden/>
            <w:lang w:val="es-419"/>
          </w:rPr>
        </w:r>
        <w:r w:rsidR="00C57EFC" w:rsidRPr="0041782C">
          <w:rPr>
            <w:noProof/>
            <w:webHidden/>
            <w:lang w:val="es-419"/>
          </w:rPr>
          <w:fldChar w:fldCharType="separate"/>
        </w:r>
        <w:r w:rsidR="000001EE">
          <w:rPr>
            <w:noProof/>
            <w:webHidden/>
            <w:lang w:val="es-419"/>
          </w:rPr>
          <w:t>20</w:t>
        </w:r>
        <w:r w:rsidR="00C57EFC" w:rsidRPr="0041782C">
          <w:rPr>
            <w:noProof/>
            <w:webHidden/>
            <w:lang w:val="es-419"/>
          </w:rPr>
          <w:fldChar w:fldCharType="end"/>
        </w:r>
      </w:hyperlink>
    </w:p>
    <w:p w14:paraId="392B36BD" w14:textId="75A1A42C" w:rsidR="00C57EFC" w:rsidRPr="0041782C" w:rsidRDefault="00C57EFC">
      <w:pPr>
        <w:pStyle w:val="TableofFigures"/>
        <w:tabs>
          <w:tab w:val="right" w:leader="dot" w:pos="7927"/>
        </w:tabs>
        <w:rPr>
          <w:rFonts w:asciiTheme="minorHAnsi" w:eastAsiaTheme="minorEastAsia" w:hAnsiTheme="minorHAnsi"/>
          <w:noProof/>
          <w:color w:val="auto"/>
          <w:sz w:val="24"/>
          <w:lang w:val="es-419"/>
        </w:rPr>
      </w:pPr>
      <w:hyperlink w:anchor="_Toc198742225" w:history="1">
        <w:r w:rsidRPr="0041782C">
          <w:rPr>
            <w:rStyle w:val="Hyperlink"/>
            <w:noProof/>
            <w:lang w:val="es-419"/>
          </w:rPr>
          <w:t>Cuadro 2. Resultado frente a presupuestos (millones de francos suizos)</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_Toc198742225 \h </w:instrText>
        </w:r>
        <w:r w:rsidRPr="0041782C">
          <w:rPr>
            <w:noProof/>
            <w:webHidden/>
            <w:lang w:val="es-419"/>
          </w:rPr>
        </w:r>
        <w:r w:rsidRPr="0041782C">
          <w:rPr>
            <w:noProof/>
            <w:webHidden/>
            <w:lang w:val="es-419"/>
          </w:rPr>
          <w:fldChar w:fldCharType="separate"/>
        </w:r>
        <w:r w:rsidR="000001EE">
          <w:rPr>
            <w:noProof/>
            <w:webHidden/>
            <w:lang w:val="es-419"/>
          </w:rPr>
          <w:t>21</w:t>
        </w:r>
        <w:r w:rsidRPr="0041782C">
          <w:rPr>
            <w:noProof/>
            <w:webHidden/>
            <w:lang w:val="es-419"/>
          </w:rPr>
          <w:fldChar w:fldCharType="end"/>
        </w:r>
      </w:hyperlink>
    </w:p>
    <w:p w14:paraId="49DFC9E6" w14:textId="6430C841" w:rsidR="00C57EFC" w:rsidRPr="0041782C" w:rsidRDefault="00C57EFC">
      <w:pPr>
        <w:pStyle w:val="TableofFigures"/>
        <w:tabs>
          <w:tab w:val="right" w:leader="dot" w:pos="7927"/>
        </w:tabs>
        <w:rPr>
          <w:rFonts w:asciiTheme="minorHAnsi" w:eastAsiaTheme="minorEastAsia" w:hAnsiTheme="minorHAnsi"/>
          <w:noProof/>
          <w:color w:val="auto"/>
          <w:sz w:val="24"/>
          <w:lang w:val="es-419"/>
        </w:rPr>
      </w:pPr>
      <w:hyperlink w:anchor="_Toc198742226" w:history="1">
        <w:r w:rsidRPr="0041782C">
          <w:rPr>
            <w:rStyle w:val="Hyperlink"/>
            <w:noProof/>
            <w:lang w:val="es-419"/>
          </w:rPr>
          <w:t>Cuadro 3. Recapitulación del estado de aplicación de las recomendaciones de la auditoría externa de años anteriores</w:t>
        </w:r>
        <w:r w:rsidRPr="0041782C">
          <w:rPr>
            <w:noProof/>
            <w:webHidden/>
            <w:lang w:val="es-419"/>
          </w:rPr>
          <w:tab/>
        </w:r>
        <w:r w:rsidRPr="0041782C">
          <w:rPr>
            <w:noProof/>
            <w:webHidden/>
            <w:lang w:val="es-419"/>
          </w:rPr>
          <w:fldChar w:fldCharType="begin"/>
        </w:r>
        <w:r w:rsidRPr="0041782C">
          <w:rPr>
            <w:noProof/>
            <w:webHidden/>
            <w:lang w:val="es-419"/>
          </w:rPr>
          <w:instrText xml:space="preserve"> PAGEREF _Toc198742226 \h </w:instrText>
        </w:r>
        <w:r w:rsidRPr="0041782C">
          <w:rPr>
            <w:noProof/>
            <w:webHidden/>
            <w:lang w:val="es-419"/>
          </w:rPr>
        </w:r>
        <w:r w:rsidRPr="0041782C">
          <w:rPr>
            <w:noProof/>
            <w:webHidden/>
            <w:lang w:val="es-419"/>
          </w:rPr>
          <w:fldChar w:fldCharType="separate"/>
        </w:r>
        <w:r w:rsidR="000001EE">
          <w:rPr>
            <w:noProof/>
            <w:webHidden/>
            <w:lang w:val="es-419"/>
          </w:rPr>
          <w:t>36</w:t>
        </w:r>
        <w:r w:rsidRPr="0041782C">
          <w:rPr>
            <w:noProof/>
            <w:webHidden/>
            <w:lang w:val="es-419"/>
          </w:rPr>
          <w:fldChar w:fldCharType="end"/>
        </w:r>
      </w:hyperlink>
    </w:p>
    <w:p w14:paraId="15FBC36C" w14:textId="29516335" w:rsidR="00556285" w:rsidRPr="0041782C" w:rsidRDefault="00556285" w:rsidP="00556285">
      <w:pPr>
        <w:rPr>
          <w:rFonts w:ascii="Times New Roman" w:hAnsi="Times New Roman" w:cs="Times New Roman"/>
          <w:b/>
          <w:lang w:val="es-419"/>
        </w:rPr>
      </w:pPr>
      <w:r w:rsidRPr="0041782C">
        <w:rPr>
          <w:rFonts w:ascii="Times New Roman" w:hAnsi="Times New Roman" w:cs="Times New Roman"/>
          <w:b/>
          <w:color w:val="000000" w:themeColor="text1"/>
          <w:lang w:val="es-419"/>
        </w:rPr>
        <w:fldChar w:fldCharType="end"/>
      </w:r>
    </w:p>
    <w:p w14:paraId="7684B9A2" w14:textId="77777777" w:rsidR="00556285" w:rsidRPr="0041782C" w:rsidRDefault="00556285" w:rsidP="00556285">
      <w:pPr>
        <w:jc w:val="center"/>
        <w:rPr>
          <w:rFonts w:ascii="Times New Roman" w:hAnsi="Times New Roman" w:cs="Times New Roman"/>
          <w:b/>
          <w:bCs/>
          <w:szCs w:val="22"/>
          <w:lang w:val="es-419"/>
        </w:rPr>
        <w:sectPr w:rsidR="00556285" w:rsidRPr="0041782C" w:rsidSect="00556285">
          <w:headerReference w:type="default" r:id="rId13"/>
          <w:footerReference w:type="even" r:id="rId14"/>
          <w:footerReference w:type="default" r:id="rId15"/>
          <w:footerReference w:type="first" r:id="rId16"/>
          <w:pgSz w:w="11906" w:h="16838"/>
          <w:pgMar w:top="2268" w:right="1701" w:bottom="1701" w:left="2268" w:header="708" w:footer="708" w:gutter="0"/>
          <w:pgNumType w:start="4"/>
          <w:cols w:space="708"/>
          <w:docGrid w:linePitch="360"/>
        </w:sectPr>
      </w:pPr>
    </w:p>
    <w:p w14:paraId="131BC92E" w14:textId="1D8ABBCA" w:rsidR="00556285" w:rsidRPr="0041782C" w:rsidRDefault="006A7643" w:rsidP="006A7643">
      <w:pPr>
        <w:pStyle w:val="Heading1"/>
        <w:spacing w:after="0" w:line="259" w:lineRule="auto"/>
        <w:rPr>
          <w:rFonts w:asciiTheme="majorBidi" w:hAnsiTheme="majorBidi" w:cstheme="majorBidi"/>
          <w:color w:val="365F91" w:themeColor="accent1" w:themeShade="BF"/>
          <w:sz w:val="72"/>
          <w:lang w:val="es-419"/>
        </w:rPr>
        <w:sectPr w:rsidR="00556285" w:rsidRPr="0041782C" w:rsidSect="00556285">
          <w:footerReference w:type="even" r:id="rId17"/>
          <w:footerReference w:type="default" r:id="rId18"/>
          <w:footerReference w:type="first" r:id="rId19"/>
          <w:pgSz w:w="11906" w:h="16838"/>
          <w:pgMar w:top="2268" w:right="1701" w:bottom="1701" w:left="2268" w:header="708" w:footer="708" w:gutter="0"/>
          <w:cols w:space="708"/>
          <w:docGrid w:linePitch="360"/>
        </w:sectPr>
      </w:pPr>
      <w:bookmarkStart w:id="11" w:name="_Toc198742540"/>
      <w:r w:rsidRPr="0041782C">
        <w:rPr>
          <w:rFonts w:asciiTheme="majorBidi" w:hAnsiTheme="majorBidi" w:cstheme="majorBidi"/>
          <w:caps w:val="0"/>
          <w:color w:val="365F91" w:themeColor="accent1" w:themeShade="BF"/>
          <w:sz w:val="72"/>
          <w:lang w:val="es-419"/>
        </w:rPr>
        <w:lastRenderedPageBreak/>
        <w:t xml:space="preserve">Parte </w:t>
      </w:r>
      <w:r w:rsidR="00556285" w:rsidRPr="0041782C">
        <w:rPr>
          <w:rFonts w:asciiTheme="majorBidi" w:hAnsiTheme="majorBidi" w:cstheme="majorBidi"/>
          <w:color w:val="365F91" w:themeColor="accent1" w:themeShade="BF"/>
          <w:sz w:val="72"/>
          <w:lang w:val="es-419"/>
        </w:rPr>
        <w:t>I</w:t>
      </w:r>
      <w:r w:rsidRPr="0041782C">
        <w:rPr>
          <w:rFonts w:asciiTheme="majorBidi" w:hAnsiTheme="majorBidi" w:cstheme="majorBidi"/>
          <w:color w:val="365F91" w:themeColor="accent1" w:themeShade="BF"/>
          <w:sz w:val="72"/>
          <w:lang w:val="es-419"/>
        </w:rPr>
        <w:br/>
      </w:r>
      <w:r w:rsidRPr="0041782C">
        <w:rPr>
          <w:rFonts w:asciiTheme="majorBidi" w:hAnsiTheme="majorBidi" w:cstheme="majorBidi"/>
          <w:caps w:val="0"/>
          <w:color w:val="365F91" w:themeColor="accent1" w:themeShade="BF"/>
          <w:sz w:val="72"/>
          <w:lang w:val="es-419"/>
        </w:rPr>
        <w:t>Dictamen del auditor externo</w:t>
      </w:r>
      <w:bookmarkEnd w:id="11"/>
      <w:r w:rsidRPr="0041782C">
        <w:rPr>
          <w:rFonts w:asciiTheme="majorBidi" w:hAnsiTheme="majorBidi" w:cstheme="majorBidi"/>
          <w:caps w:val="0"/>
          <w:color w:val="365F91" w:themeColor="accent1" w:themeShade="BF"/>
          <w:sz w:val="72"/>
          <w:lang w:val="es-419"/>
        </w:rPr>
        <w:t xml:space="preserve"> </w:t>
      </w:r>
    </w:p>
    <w:p w14:paraId="2C01B863" w14:textId="77777777" w:rsidR="00556285" w:rsidRPr="0041782C" w:rsidRDefault="00556285" w:rsidP="00556285">
      <w:pPr>
        <w:keepNext/>
        <w:keepLines/>
        <w:spacing w:before="240"/>
        <w:jc w:val="center"/>
        <w:outlineLvl w:val="0"/>
        <w:rPr>
          <w:rFonts w:ascii="Times New Roman" w:eastAsiaTheme="majorEastAsia" w:hAnsi="Times New Roman" w:cs="Times New Roman"/>
          <w:b/>
          <w:sz w:val="28"/>
          <w:szCs w:val="28"/>
          <w:lang w:val="es-419"/>
        </w:rPr>
      </w:pPr>
      <w:bookmarkStart w:id="12" w:name="_Toc96949251"/>
      <w:bookmarkStart w:id="13" w:name="_Toc192177122"/>
      <w:bookmarkStart w:id="14" w:name="_Toc197205513"/>
      <w:bookmarkStart w:id="15" w:name="_Toc197205630"/>
      <w:bookmarkStart w:id="16" w:name="_Toc197206614"/>
      <w:bookmarkStart w:id="17" w:name="_Toc197206834"/>
      <w:bookmarkStart w:id="18" w:name="_Toc197377464"/>
      <w:bookmarkStart w:id="19" w:name="_Toc198742541"/>
      <w:r w:rsidRPr="0041782C">
        <w:rPr>
          <w:rFonts w:ascii="Times New Roman" w:hAnsi="Times New Roman"/>
          <w:b/>
          <w:sz w:val="28"/>
          <w:lang w:val="es-419"/>
        </w:rPr>
        <w:lastRenderedPageBreak/>
        <w:t>DICTAMEN DE AUDITORÍA</w:t>
      </w:r>
      <w:bookmarkEnd w:id="12"/>
      <w:bookmarkEnd w:id="13"/>
      <w:bookmarkEnd w:id="14"/>
      <w:bookmarkEnd w:id="15"/>
      <w:bookmarkEnd w:id="16"/>
      <w:bookmarkEnd w:id="17"/>
      <w:bookmarkEnd w:id="18"/>
      <w:bookmarkEnd w:id="19"/>
    </w:p>
    <w:p w14:paraId="590B7D2A" w14:textId="77777777" w:rsidR="00556285" w:rsidRPr="0041782C" w:rsidRDefault="00556285" w:rsidP="00556285">
      <w:pPr>
        <w:jc w:val="center"/>
        <w:rPr>
          <w:rFonts w:ascii="Times New Roman" w:hAnsi="Times New Roman" w:cs="Times New Roman"/>
          <w:b/>
          <w:lang w:val="es-419"/>
        </w:rPr>
      </w:pPr>
    </w:p>
    <w:p w14:paraId="28CD8DE0" w14:textId="77777777" w:rsidR="00556285" w:rsidRPr="0041782C" w:rsidRDefault="00556285" w:rsidP="00556285">
      <w:pPr>
        <w:autoSpaceDE w:val="0"/>
        <w:autoSpaceDN w:val="0"/>
        <w:adjustRightInd w:val="0"/>
        <w:ind w:left="360"/>
        <w:jc w:val="center"/>
        <w:rPr>
          <w:rFonts w:ascii="Times New Roman" w:hAnsi="Times New Roman" w:cs="Times New Roman"/>
          <w:b/>
          <w:lang w:val="es-419"/>
        </w:rPr>
      </w:pPr>
      <w:r w:rsidRPr="0041782C">
        <w:rPr>
          <w:rFonts w:ascii="Times New Roman" w:hAnsi="Times New Roman"/>
          <w:b/>
          <w:lang w:val="es-419"/>
        </w:rPr>
        <w:t xml:space="preserve">CERTIFICADO DEL AUDITOR EXTERNO </w:t>
      </w:r>
    </w:p>
    <w:p w14:paraId="70C88724" w14:textId="77777777" w:rsidR="00556285" w:rsidRPr="0041782C" w:rsidRDefault="00556285" w:rsidP="00556285">
      <w:pPr>
        <w:autoSpaceDE w:val="0"/>
        <w:autoSpaceDN w:val="0"/>
        <w:adjustRightInd w:val="0"/>
        <w:ind w:left="360"/>
        <w:jc w:val="center"/>
        <w:rPr>
          <w:rFonts w:ascii="Times New Roman" w:hAnsi="Times New Roman" w:cs="Times New Roman"/>
          <w:b/>
          <w:lang w:val="es-419"/>
        </w:rPr>
      </w:pPr>
      <w:r w:rsidRPr="0041782C">
        <w:rPr>
          <w:rFonts w:ascii="Times New Roman" w:hAnsi="Times New Roman"/>
          <w:b/>
          <w:lang w:val="es-419"/>
        </w:rPr>
        <w:t xml:space="preserve">SOBRE LOS ESTADOS FINANCIEROS </w:t>
      </w:r>
    </w:p>
    <w:p w14:paraId="57F555D4" w14:textId="77777777" w:rsidR="00556285" w:rsidRPr="0041782C" w:rsidRDefault="00556285" w:rsidP="00556285">
      <w:pPr>
        <w:autoSpaceDE w:val="0"/>
        <w:autoSpaceDN w:val="0"/>
        <w:adjustRightInd w:val="0"/>
        <w:ind w:left="360"/>
        <w:jc w:val="center"/>
        <w:rPr>
          <w:rFonts w:ascii="Times New Roman" w:hAnsi="Times New Roman" w:cs="Times New Roman"/>
          <w:b/>
          <w:bCs/>
          <w:lang w:val="es-419"/>
        </w:rPr>
      </w:pPr>
      <w:r w:rsidRPr="0041782C">
        <w:rPr>
          <w:rFonts w:ascii="Times New Roman" w:hAnsi="Times New Roman"/>
          <w:b/>
          <w:lang w:val="es-419"/>
        </w:rPr>
        <w:t>DE LA ORGANIZACIÓN MUNDIAL DE LA PROPIEDAD INTELECTUAL</w:t>
      </w:r>
    </w:p>
    <w:p w14:paraId="79EA99A0" w14:textId="77777777" w:rsidR="00556285" w:rsidRPr="0041782C" w:rsidRDefault="00556285" w:rsidP="00556285">
      <w:pPr>
        <w:autoSpaceDE w:val="0"/>
        <w:autoSpaceDN w:val="0"/>
        <w:adjustRightInd w:val="0"/>
        <w:ind w:left="360"/>
        <w:jc w:val="center"/>
        <w:rPr>
          <w:rFonts w:ascii="Times New Roman" w:hAnsi="Times New Roman" w:cs="Times New Roman"/>
          <w:b/>
          <w:bCs/>
          <w:lang w:val="es-419"/>
        </w:rPr>
      </w:pPr>
      <w:r w:rsidRPr="0041782C">
        <w:rPr>
          <w:rFonts w:ascii="Times New Roman" w:hAnsi="Times New Roman"/>
          <w:b/>
          <w:lang w:val="es-419"/>
        </w:rPr>
        <w:t>CORRESPONDIENTES AL EJERCICIO CERRADO A 31 DE DICIEMBRE DE 2024</w:t>
      </w:r>
    </w:p>
    <w:p w14:paraId="381499BE" w14:textId="77777777" w:rsidR="00556285" w:rsidRPr="0041782C" w:rsidRDefault="00556285" w:rsidP="00556285">
      <w:pPr>
        <w:autoSpaceDE w:val="0"/>
        <w:autoSpaceDN w:val="0"/>
        <w:adjustRightInd w:val="0"/>
        <w:ind w:left="360"/>
        <w:jc w:val="center"/>
        <w:rPr>
          <w:rFonts w:ascii="Times New Roman" w:hAnsi="Times New Roman" w:cs="Times New Roman"/>
          <w:b/>
          <w:bCs/>
          <w:color w:val="000000"/>
          <w:lang w:val="es-419"/>
        </w:rPr>
      </w:pPr>
    </w:p>
    <w:p w14:paraId="095AE95D" w14:textId="64F1E02F" w:rsidR="00556285" w:rsidRPr="0041782C" w:rsidRDefault="00556285" w:rsidP="006917D6">
      <w:pPr>
        <w:autoSpaceDE w:val="0"/>
        <w:autoSpaceDN w:val="0"/>
        <w:adjustRightInd w:val="0"/>
        <w:spacing w:before="120"/>
        <w:ind w:left="426"/>
        <w:jc w:val="both"/>
        <w:rPr>
          <w:rFonts w:ascii="Times New Roman" w:hAnsi="Times New Roman" w:cs="Times New Roman"/>
          <w:b/>
          <w:bCs/>
          <w:color w:val="000000"/>
          <w:szCs w:val="22"/>
          <w:lang w:val="es-419"/>
        </w:rPr>
      </w:pPr>
      <w:r w:rsidRPr="0041782C">
        <w:rPr>
          <w:rFonts w:ascii="Times New Roman" w:hAnsi="Times New Roman"/>
          <w:color w:val="000000"/>
          <w:lang w:val="es-419"/>
        </w:rPr>
        <w:t>A la Asamblea General de la Organización Mundial de la Propiedad Intelectual</w:t>
      </w:r>
    </w:p>
    <w:p w14:paraId="7FB7585E" w14:textId="2B0501EC" w:rsidR="00556285" w:rsidRPr="0041782C" w:rsidRDefault="006917D6" w:rsidP="00556285">
      <w:pPr>
        <w:pStyle w:val="Heading1"/>
        <w:ind w:left="360"/>
        <w:rPr>
          <w:rFonts w:asciiTheme="majorBidi" w:hAnsiTheme="majorBidi" w:cstheme="majorBidi"/>
          <w:b w:val="0"/>
          <w:color w:val="0D0D0D" w:themeColor="text1" w:themeTint="F2"/>
          <w:szCs w:val="22"/>
          <w:lang w:val="es-419"/>
        </w:rPr>
      </w:pPr>
      <w:bookmarkStart w:id="20" w:name="_Toc197205514"/>
      <w:bookmarkStart w:id="21" w:name="_Toc197205631"/>
      <w:bookmarkStart w:id="22" w:name="_Toc197206615"/>
      <w:bookmarkStart w:id="23" w:name="_Toc197206835"/>
      <w:bookmarkStart w:id="24" w:name="_Toc197377465"/>
      <w:bookmarkStart w:id="25" w:name="_Toc198742542"/>
      <w:r w:rsidRPr="0041782C">
        <w:rPr>
          <w:rFonts w:asciiTheme="majorBidi" w:hAnsiTheme="majorBidi" w:cstheme="majorBidi"/>
          <w:caps w:val="0"/>
          <w:lang w:val="es-419"/>
        </w:rPr>
        <w:t>Dictamen sobre los estados financieros</w:t>
      </w:r>
      <w:bookmarkEnd w:id="20"/>
      <w:bookmarkEnd w:id="21"/>
      <w:bookmarkEnd w:id="22"/>
      <w:bookmarkEnd w:id="23"/>
      <w:bookmarkEnd w:id="24"/>
      <w:bookmarkEnd w:id="25"/>
    </w:p>
    <w:p w14:paraId="37C60835"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Hemos auditado los estados financieros de la Organización Mundial de la Propiedad Intelectual (la Organización), que comprenden el estado de situación financiera a 31 de diciembre de 2024; el estado de rendimiento financiero, el estado de cambios en el activo neto, el estado de flujo de efectivo y el estado de comparación de los importes presupuestados y reales para el ejercicio cerrado en esa fecha; y las notas a los estados financieros.</w:t>
      </w:r>
    </w:p>
    <w:p w14:paraId="4335AF0C"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En nuestra opinión, los estados financieros adjuntos reflejan fielmente, en todos sus aspectos sustanciales, la situación financiera a 31 de diciembre de 2024, así como el rendimiento financiero y el flujo de efectivo de la Organización correspondientes al ejercicio cerrado en esa fecha, de conformidad con las normas internacionales de contabilidad del sector público (IPSAS). </w:t>
      </w:r>
    </w:p>
    <w:p w14:paraId="7D89385F" w14:textId="0DFB08AC" w:rsidR="00556285" w:rsidRPr="0041782C" w:rsidRDefault="006917D6" w:rsidP="00556285">
      <w:pPr>
        <w:pStyle w:val="Heading1"/>
        <w:ind w:left="360"/>
        <w:rPr>
          <w:rFonts w:asciiTheme="majorBidi" w:hAnsiTheme="majorBidi" w:cstheme="majorBidi"/>
          <w:b w:val="0"/>
          <w:szCs w:val="22"/>
          <w:lang w:val="es-419"/>
        </w:rPr>
      </w:pPr>
      <w:bookmarkStart w:id="26" w:name="_Toc197205515"/>
      <w:bookmarkStart w:id="27" w:name="_Toc197205632"/>
      <w:bookmarkStart w:id="28" w:name="_Toc197206616"/>
      <w:bookmarkStart w:id="29" w:name="_Toc197206836"/>
      <w:bookmarkStart w:id="30" w:name="_Toc197377466"/>
      <w:bookmarkStart w:id="31" w:name="_Toc198742543"/>
      <w:r w:rsidRPr="0041782C">
        <w:rPr>
          <w:rFonts w:asciiTheme="majorBidi" w:hAnsiTheme="majorBidi" w:cstheme="majorBidi"/>
          <w:caps w:val="0"/>
          <w:lang w:val="es-419"/>
        </w:rPr>
        <w:t>Dictamen sobre la regularidad</w:t>
      </w:r>
      <w:bookmarkEnd w:id="26"/>
      <w:bookmarkEnd w:id="27"/>
      <w:bookmarkEnd w:id="28"/>
      <w:bookmarkEnd w:id="29"/>
      <w:bookmarkEnd w:id="30"/>
      <w:bookmarkEnd w:id="31"/>
    </w:p>
    <w:p w14:paraId="14448CA0" w14:textId="77777777" w:rsidR="00556285" w:rsidRPr="0041782C" w:rsidRDefault="00556285" w:rsidP="00556285">
      <w:pPr>
        <w:autoSpaceDE w:val="0"/>
        <w:autoSpaceDN w:val="0"/>
        <w:adjustRightInd w:val="0"/>
        <w:spacing w:before="120"/>
        <w:ind w:left="357"/>
        <w:jc w:val="both"/>
        <w:rPr>
          <w:rFonts w:ascii="Times New Roman" w:hAnsi="Times New Roman" w:cs="Times New Roman"/>
          <w:b/>
          <w:bCs/>
          <w:szCs w:val="22"/>
          <w:lang w:val="es-419"/>
        </w:rPr>
      </w:pPr>
      <w:r w:rsidRPr="0041782C">
        <w:rPr>
          <w:rFonts w:ascii="Times New Roman" w:hAnsi="Times New Roman"/>
          <w:lang w:val="es-419"/>
        </w:rPr>
        <w:t>En nuestra opinión, en todos los aspectos sustanciales, los ingresos y gastos se han aplicado a los fines previstos por la Asamblea General de la Organización y las operaciones financieras se ajustan al Reglamento Financiero de la Organización.</w:t>
      </w:r>
    </w:p>
    <w:p w14:paraId="24D39032" w14:textId="77777777" w:rsidR="00556285" w:rsidRPr="0041782C" w:rsidRDefault="00556285" w:rsidP="00556285">
      <w:pPr>
        <w:pStyle w:val="Heading1"/>
        <w:ind w:left="360"/>
        <w:rPr>
          <w:rFonts w:asciiTheme="majorBidi" w:hAnsiTheme="majorBidi" w:cstheme="majorBidi"/>
          <w:caps w:val="0"/>
          <w:lang w:val="es-419"/>
        </w:rPr>
      </w:pPr>
      <w:bookmarkStart w:id="32" w:name="_Toc197205516"/>
      <w:bookmarkStart w:id="33" w:name="_Toc197205633"/>
      <w:bookmarkStart w:id="34" w:name="_Toc197206617"/>
      <w:bookmarkStart w:id="35" w:name="_Toc197206837"/>
      <w:bookmarkStart w:id="36" w:name="_Toc197377467"/>
      <w:bookmarkStart w:id="37" w:name="_Toc198742544"/>
      <w:r w:rsidRPr="0041782C">
        <w:rPr>
          <w:rFonts w:asciiTheme="majorBidi" w:hAnsiTheme="majorBidi" w:cstheme="majorBidi"/>
          <w:caps w:val="0"/>
          <w:lang w:val="es-419"/>
        </w:rPr>
        <w:t>Fundamento del dictamen</w:t>
      </w:r>
      <w:bookmarkEnd w:id="32"/>
      <w:bookmarkEnd w:id="33"/>
      <w:bookmarkEnd w:id="34"/>
      <w:bookmarkEnd w:id="35"/>
      <w:bookmarkEnd w:id="36"/>
      <w:bookmarkEnd w:id="37"/>
      <w:r w:rsidRPr="0041782C">
        <w:rPr>
          <w:rFonts w:asciiTheme="majorBidi" w:hAnsiTheme="majorBidi" w:cstheme="majorBidi"/>
          <w:caps w:val="0"/>
          <w:lang w:val="es-419"/>
        </w:rPr>
        <w:t xml:space="preserve"> </w:t>
      </w:r>
    </w:p>
    <w:p w14:paraId="634F9F3C"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Hemos realizado la auditoría de conformidad con las normas internacionales de auditoría (ISA) y el Reglamento Financiero de la Organización. Nuestra responsabilidad con arreglo a esas normas se expone en el apartado del informe correspondiente a la responsabilidad del auditor en relación con la auditoría de los estados financieros.  </w:t>
      </w:r>
    </w:p>
    <w:p w14:paraId="009CAF2C" w14:textId="77777777" w:rsidR="00556285" w:rsidRPr="0041782C" w:rsidRDefault="00556285" w:rsidP="00556285">
      <w:pPr>
        <w:autoSpaceDE w:val="0"/>
        <w:autoSpaceDN w:val="0"/>
        <w:adjustRightInd w:val="0"/>
        <w:spacing w:before="120"/>
        <w:ind w:left="357"/>
        <w:jc w:val="both"/>
        <w:rPr>
          <w:rFonts w:ascii="Times New Roman" w:hAnsi="Times New Roman" w:cs="Times New Roman"/>
          <w:color w:val="FF0000"/>
          <w:szCs w:val="22"/>
          <w:lang w:val="es-419"/>
        </w:rPr>
      </w:pPr>
      <w:r w:rsidRPr="0041782C">
        <w:rPr>
          <w:rFonts w:ascii="Times New Roman" w:hAnsi="Times New Roman"/>
          <w:lang w:val="es-419"/>
        </w:rPr>
        <w:t xml:space="preserve">Somos independientes de la Organización, de conformidad con los requisitos éticos pertinentes para nuestra auditoría de los estados financieros, y hemos cumplido las demás responsabilidades éticas de conformidad con esos requisitos.  </w:t>
      </w:r>
    </w:p>
    <w:p w14:paraId="15F8CD74"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sectPr w:rsidR="00556285" w:rsidRPr="0041782C" w:rsidSect="00556285">
          <w:headerReference w:type="default" r:id="rId20"/>
          <w:footerReference w:type="even" r:id="rId21"/>
          <w:footerReference w:type="default" r:id="rId22"/>
          <w:footerReference w:type="first" r:id="rId23"/>
          <w:pgSz w:w="11906" w:h="16838"/>
          <w:pgMar w:top="2268" w:right="1701" w:bottom="1701" w:left="2268" w:header="708" w:footer="708" w:gutter="0"/>
          <w:pgNumType w:fmt="lowerRoman"/>
          <w:cols w:space="708"/>
          <w:docGrid w:linePitch="360"/>
        </w:sectPr>
      </w:pPr>
      <w:r w:rsidRPr="0041782C">
        <w:rPr>
          <w:rFonts w:ascii="Times New Roman" w:hAnsi="Times New Roman"/>
          <w:lang w:val="es-419"/>
        </w:rPr>
        <w:t>Consideramos que los elementos de prueba obtenidos son suficientes y adecuados para fundamentar nuestro dictamen.</w:t>
      </w:r>
    </w:p>
    <w:p w14:paraId="04EEA3E7" w14:textId="77777777" w:rsidR="00556285" w:rsidRPr="0041782C" w:rsidRDefault="00556285" w:rsidP="00556285">
      <w:pPr>
        <w:pStyle w:val="Heading1"/>
        <w:ind w:left="360"/>
        <w:rPr>
          <w:rFonts w:asciiTheme="majorBidi" w:hAnsiTheme="majorBidi" w:cstheme="majorBidi"/>
          <w:caps w:val="0"/>
          <w:lang w:val="es-419"/>
        </w:rPr>
      </w:pPr>
      <w:bookmarkStart w:id="38" w:name="_Toc197377468"/>
      <w:bookmarkStart w:id="39" w:name="_Toc198742545"/>
      <w:bookmarkStart w:id="40" w:name="_Toc197205517"/>
      <w:bookmarkStart w:id="41" w:name="_Toc197205634"/>
      <w:bookmarkStart w:id="42" w:name="_Toc197206618"/>
      <w:bookmarkStart w:id="43" w:name="_Toc197206838"/>
      <w:r w:rsidRPr="0041782C">
        <w:rPr>
          <w:rFonts w:asciiTheme="majorBidi" w:hAnsiTheme="majorBidi" w:cstheme="majorBidi"/>
          <w:caps w:val="0"/>
          <w:lang w:val="es-419"/>
        </w:rPr>
        <w:lastRenderedPageBreak/>
        <w:t>Otros asuntos</w:t>
      </w:r>
      <w:bookmarkEnd w:id="38"/>
      <w:bookmarkEnd w:id="39"/>
    </w:p>
    <w:p w14:paraId="52127BD8" w14:textId="395A730B" w:rsidR="00556285" w:rsidRPr="0041782C" w:rsidRDefault="00556285" w:rsidP="00556285">
      <w:pPr>
        <w:ind w:left="360"/>
        <w:jc w:val="both"/>
        <w:rPr>
          <w:lang w:val="es-419"/>
        </w:rPr>
      </w:pPr>
      <w:r w:rsidRPr="0041782C">
        <w:rPr>
          <w:rFonts w:ascii="Times New Roman" w:hAnsi="Times New Roman"/>
          <w:lang w:val="es-419"/>
        </w:rPr>
        <w:t>Los estados financieros de la Organización correspondientes al ejercicio finalizado el</w:t>
      </w:r>
      <w:r w:rsidR="006917D6" w:rsidRPr="0041782C">
        <w:rPr>
          <w:rFonts w:ascii="Times New Roman" w:hAnsi="Times New Roman"/>
          <w:lang w:val="es-419"/>
        </w:rPr>
        <w:t> </w:t>
      </w:r>
      <w:r w:rsidRPr="0041782C">
        <w:rPr>
          <w:rFonts w:ascii="Times New Roman" w:hAnsi="Times New Roman"/>
          <w:lang w:val="es-419"/>
        </w:rPr>
        <w:t>31 de diciembre de 2023 fueron auditados por la Oficina Nacional de Auditoría del Reino Unido, que emitió un dictamen sin reservas sobre dichos estados el 14 de mayo de 2024.</w:t>
      </w:r>
    </w:p>
    <w:p w14:paraId="2A25E207" w14:textId="77777777" w:rsidR="00556285" w:rsidRPr="0041782C" w:rsidRDefault="00556285" w:rsidP="00556285">
      <w:pPr>
        <w:pStyle w:val="Heading1"/>
        <w:ind w:left="360"/>
        <w:rPr>
          <w:rFonts w:asciiTheme="majorBidi" w:hAnsiTheme="majorBidi" w:cstheme="majorBidi"/>
          <w:caps w:val="0"/>
          <w:lang w:val="es-419"/>
        </w:rPr>
      </w:pPr>
      <w:bookmarkStart w:id="44" w:name="_Toc197377469"/>
      <w:bookmarkStart w:id="45" w:name="_Toc198742546"/>
      <w:r w:rsidRPr="0041782C">
        <w:rPr>
          <w:rFonts w:asciiTheme="majorBidi" w:hAnsiTheme="majorBidi" w:cstheme="majorBidi"/>
          <w:caps w:val="0"/>
          <w:lang w:val="es-419"/>
        </w:rPr>
        <w:t>Información adicional</w:t>
      </w:r>
      <w:bookmarkEnd w:id="40"/>
      <w:bookmarkEnd w:id="41"/>
      <w:bookmarkEnd w:id="42"/>
      <w:bookmarkEnd w:id="43"/>
      <w:bookmarkEnd w:id="44"/>
      <w:bookmarkEnd w:id="45"/>
      <w:r w:rsidRPr="0041782C">
        <w:rPr>
          <w:rFonts w:asciiTheme="majorBidi" w:hAnsiTheme="majorBidi" w:cstheme="majorBidi"/>
          <w:caps w:val="0"/>
          <w:lang w:val="es-419"/>
        </w:rPr>
        <w:t xml:space="preserve"> </w:t>
      </w:r>
    </w:p>
    <w:p w14:paraId="0A5CEC88"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La Dirección es responsable de la información adicional, que comprende la declaración del director, incluida a continuación, pero que no comprende los estados financieros ni el informe de auditoría correspondiente. </w:t>
      </w:r>
    </w:p>
    <w:p w14:paraId="29EAC38C"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Nuestro dictamen sobre los estados financieros no abarca la información adicional y, salvo en la medida en que se indique explícitamente lo contrario en nuestro informe, no expresamos ninguna garantía al respecto. </w:t>
      </w:r>
    </w:p>
    <w:p w14:paraId="2E5C96CB"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Nuestra responsabilidad consiste en leer la información adicional y, al hacerlo, considerar si esa información difiere sustancialmente de los estados financieros o de nuestros conocimientos obtenidos en la auditoría o si, por el contrario, parece contener incorrecciones sustanciales. Si, a partir de nuestra labor, llegamos a la conclusión de que existe una incorrección sustancial en esa información, estamos obligados a informar de ello. No tenemos nada que comunicar a este respecto.</w:t>
      </w:r>
    </w:p>
    <w:p w14:paraId="3111C7C8" w14:textId="77777777" w:rsidR="00556285" w:rsidRPr="0041782C" w:rsidRDefault="00556285" w:rsidP="006917D6">
      <w:pPr>
        <w:pStyle w:val="Heading1"/>
        <w:ind w:left="360"/>
        <w:rPr>
          <w:rFonts w:asciiTheme="majorBidi" w:hAnsiTheme="majorBidi" w:cstheme="majorBidi"/>
          <w:caps w:val="0"/>
          <w:lang w:val="es-419"/>
        </w:rPr>
      </w:pPr>
      <w:bookmarkStart w:id="46" w:name="_Toc197205519"/>
      <w:bookmarkStart w:id="47" w:name="_Toc197205636"/>
      <w:bookmarkStart w:id="48" w:name="_Toc197206620"/>
      <w:bookmarkStart w:id="49" w:name="_Toc197206840"/>
      <w:bookmarkStart w:id="50" w:name="_Toc197377470"/>
      <w:bookmarkStart w:id="51" w:name="_Toc198742547"/>
      <w:r w:rsidRPr="0041782C">
        <w:rPr>
          <w:rFonts w:asciiTheme="majorBidi" w:hAnsiTheme="majorBidi" w:cstheme="majorBidi"/>
          <w:caps w:val="0"/>
          <w:lang w:val="es-419"/>
        </w:rPr>
        <w:t>Responsabilidades de la Dirección y de quienes tienen encomendada la gobernanza en relación con los estados financieros</w:t>
      </w:r>
      <w:bookmarkEnd w:id="46"/>
      <w:bookmarkEnd w:id="47"/>
      <w:bookmarkEnd w:id="48"/>
      <w:bookmarkEnd w:id="49"/>
      <w:bookmarkEnd w:id="50"/>
      <w:bookmarkEnd w:id="51"/>
    </w:p>
    <w:p w14:paraId="122A1BED"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La Dirección es responsable de la preparación y presentación fiel de los estados financieros de conformidad con las IPSAS, así como del control interno que considere necesario para preparar unos estados financieros exentos de incorrecciones sustanciales, sean debidas a fraude o error. </w:t>
      </w:r>
    </w:p>
    <w:p w14:paraId="747E0586"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Al preparar los estados financieros, la Dirección es responsable de evaluar la capacidad de la Organización para continuar su actividad, revelando, en su caso, las cuestiones relacionadas con esa capacidad y utilizando el principio contable pertinente, a menos que la Dirección tenga la intención de liquidar la Organización o cesar sus operaciones, o no tenga más alternativa realista que hacerlo.</w:t>
      </w:r>
    </w:p>
    <w:p w14:paraId="21A6C8E3"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La Dirección y quienes tienen encomendada la gobernanza son responsables de supervisar el proceso de información financiera de la Organización.</w:t>
      </w:r>
    </w:p>
    <w:p w14:paraId="167572D3" w14:textId="77777777" w:rsidR="00556285" w:rsidRPr="0041782C" w:rsidRDefault="00556285" w:rsidP="006917D6">
      <w:pPr>
        <w:pStyle w:val="Heading1"/>
        <w:ind w:left="360"/>
        <w:rPr>
          <w:rFonts w:asciiTheme="majorBidi" w:hAnsiTheme="majorBidi" w:cstheme="majorBidi"/>
          <w:caps w:val="0"/>
          <w:lang w:val="es-419"/>
        </w:rPr>
      </w:pPr>
      <w:bookmarkStart w:id="52" w:name="_Toc197205520"/>
      <w:bookmarkStart w:id="53" w:name="_Toc197205637"/>
      <w:bookmarkStart w:id="54" w:name="_Toc197206621"/>
      <w:bookmarkStart w:id="55" w:name="_Toc197206841"/>
      <w:bookmarkStart w:id="56" w:name="_Toc197377471"/>
      <w:bookmarkStart w:id="57" w:name="_Toc198742548"/>
      <w:r w:rsidRPr="0041782C">
        <w:rPr>
          <w:rFonts w:asciiTheme="majorBidi" w:hAnsiTheme="majorBidi" w:cstheme="majorBidi"/>
          <w:caps w:val="0"/>
          <w:lang w:val="es-419"/>
        </w:rPr>
        <w:t>Responsabilidades del auditor en la auditoría de los estados financieros</w:t>
      </w:r>
      <w:bookmarkEnd w:id="52"/>
      <w:bookmarkEnd w:id="53"/>
      <w:bookmarkEnd w:id="54"/>
      <w:bookmarkEnd w:id="55"/>
      <w:bookmarkEnd w:id="56"/>
      <w:bookmarkEnd w:id="57"/>
    </w:p>
    <w:p w14:paraId="32C2D1A2"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Nuestros objetivos son obtener garantías razonables de que los estados financieros en su conjunto están exentos de incorrecciones sustanciales, sean por fraude o error, y emitir un informe de auditoría que incluya nuestro dictamen. Unas garantías razonables constituyen un alto nivel de seguridad, pero no garantizan que en una auditoría realizada de conformidad con las ISA se detecten siempre incorrecciones sustanciales. Las incorrecciones pueden ser fruto de fraudes o errores y se consideran sustanciales si, individualmente o en su conjunto, cabe razonablemente esperar que influyan en las decisiones económicas de los usuarios tomadas a partir de esos estados financieros.</w:t>
      </w:r>
    </w:p>
    <w:p w14:paraId="76F10A8A"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En el Anexo del presente informe figura una descripción más detallada de nuestras responsabilidades en la auditoría de los estados financieros. Esa descripción forma parte del informe de auditoría.</w:t>
      </w:r>
    </w:p>
    <w:p w14:paraId="182E5668" w14:textId="77777777" w:rsidR="00556285" w:rsidRPr="0041782C" w:rsidRDefault="00556285" w:rsidP="00556285">
      <w:pPr>
        <w:autoSpaceDE w:val="0"/>
        <w:autoSpaceDN w:val="0"/>
        <w:adjustRightInd w:val="0"/>
        <w:spacing w:before="120"/>
        <w:ind w:left="360"/>
        <w:jc w:val="both"/>
        <w:rPr>
          <w:rFonts w:ascii="Times New Roman" w:hAnsi="Times New Roman" w:cs="Times New Roman"/>
          <w:szCs w:val="22"/>
          <w:lang w:val="es-419"/>
        </w:rPr>
      </w:pPr>
      <w:r w:rsidRPr="0041782C">
        <w:rPr>
          <w:rFonts w:ascii="Times New Roman" w:hAnsi="Times New Roman"/>
          <w:lang w:val="es-419"/>
        </w:rPr>
        <w:t xml:space="preserve">Además, debemos obtener pruebas suficientes para tener una certeza razonable de que los ingresos y gastos consignados en los estados financieros se han aplicado a los fines </w:t>
      </w:r>
      <w:r w:rsidRPr="0041782C">
        <w:rPr>
          <w:rFonts w:ascii="Times New Roman" w:hAnsi="Times New Roman"/>
          <w:lang w:val="es-419"/>
        </w:rPr>
        <w:lastRenderedPageBreak/>
        <w:t>previstos por la Asamblea General y de que las operaciones financieras se ajustan al Reglamento Financiero que las regula.</w:t>
      </w:r>
    </w:p>
    <w:p w14:paraId="44B59A70"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Comunicamos a quienes tienen encomendada la gobernanza, entre otras cuestiones, el alcance y el calendario previstos para la auditoría, así como los principales resultados, incluidas las deficiencias importantes en el control interno que detectamos durante la auditoría.</w:t>
      </w:r>
    </w:p>
    <w:p w14:paraId="05F29F8B" w14:textId="77777777" w:rsidR="00556285" w:rsidRPr="0041782C" w:rsidRDefault="00556285" w:rsidP="006917D6">
      <w:pPr>
        <w:pStyle w:val="Heading1"/>
        <w:ind w:left="360"/>
        <w:rPr>
          <w:rFonts w:asciiTheme="majorBidi" w:hAnsiTheme="majorBidi" w:cstheme="majorBidi"/>
          <w:caps w:val="0"/>
          <w:lang w:val="es-419"/>
        </w:rPr>
      </w:pPr>
      <w:bookmarkStart w:id="58" w:name="_Toc197205521"/>
      <w:bookmarkStart w:id="59" w:name="_Toc197205638"/>
      <w:bookmarkStart w:id="60" w:name="_Toc197206622"/>
      <w:bookmarkStart w:id="61" w:name="_Toc197206842"/>
      <w:bookmarkStart w:id="62" w:name="_Toc197377472"/>
      <w:bookmarkStart w:id="63" w:name="_Toc198742549"/>
      <w:r w:rsidRPr="0041782C">
        <w:rPr>
          <w:rFonts w:asciiTheme="majorBidi" w:hAnsiTheme="majorBidi" w:cstheme="majorBidi"/>
          <w:caps w:val="0"/>
          <w:lang w:val="es-419"/>
        </w:rPr>
        <w:t>Informe</w:t>
      </w:r>
      <w:bookmarkEnd w:id="58"/>
      <w:bookmarkEnd w:id="59"/>
      <w:bookmarkEnd w:id="60"/>
      <w:bookmarkEnd w:id="61"/>
      <w:bookmarkEnd w:id="62"/>
      <w:bookmarkEnd w:id="63"/>
      <w:r w:rsidRPr="0041782C">
        <w:rPr>
          <w:rFonts w:asciiTheme="majorBidi" w:hAnsiTheme="majorBidi" w:cstheme="majorBidi"/>
          <w:caps w:val="0"/>
          <w:lang w:val="es-419"/>
        </w:rPr>
        <w:t xml:space="preserve"> </w:t>
      </w:r>
    </w:p>
    <w:p w14:paraId="47DF5DB4" w14:textId="77777777" w:rsidR="00556285" w:rsidRPr="0041782C" w:rsidRDefault="00556285" w:rsidP="00556285">
      <w:pPr>
        <w:autoSpaceDE w:val="0"/>
        <w:autoSpaceDN w:val="0"/>
        <w:adjustRightInd w:val="0"/>
        <w:spacing w:before="120"/>
        <w:ind w:left="357"/>
        <w:jc w:val="both"/>
        <w:rPr>
          <w:rFonts w:ascii="Times New Roman" w:hAnsi="Times New Roman" w:cs="Times New Roman"/>
          <w:szCs w:val="22"/>
          <w:lang w:val="es-419"/>
        </w:rPr>
      </w:pPr>
      <w:r w:rsidRPr="0041782C">
        <w:rPr>
          <w:rFonts w:ascii="Times New Roman" w:hAnsi="Times New Roman"/>
          <w:lang w:val="es-419"/>
        </w:rPr>
        <w:t xml:space="preserve">De conformidad con el artículo 6.11 del Reglamento Financiero de la Organización, también hemos emitido un informe detallado sobre nuestra auditoría de la Organización.  </w:t>
      </w:r>
    </w:p>
    <w:p w14:paraId="5F1AA3CC" w14:textId="77777777" w:rsidR="00556285" w:rsidRPr="0041782C" w:rsidRDefault="00556285" w:rsidP="00556285">
      <w:pPr>
        <w:autoSpaceDE w:val="0"/>
        <w:autoSpaceDN w:val="0"/>
        <w:adjustRightInd w:val="0"/>
        <w:ind w:left="2127"/>
        <w:jc w:val="center"/>
        <w:rPr>
          <w:rFonts w:ascii="Times New Roman" w:hAnsi="Times New Roman" w:cs="Times New Roman"/>
          <w:b/>
          <w:color w:val="000000"/>
          <w:lang w:val="es-419"/>
        </w:rPr>
      </w:pPr>
    </w:p>
    <w:p w14:paraId="1C0AA80C" w14:textId="77777777" w:rsidR="00556285" w:rsidRPr="0041782C" w:rsidRDefault="00556285" w:rsidP="00556285">
      <w:pPr>
        <w:autoSpaceDE w:val="0"/>
        <w:autoSpaceDN w:val="0"/>
        <w:adjustRightInd w:val="0"/>
        <w:ind w:left="2835"/>
        <w:jc w:val="center"/>
        <w:rPr>
          <w:rFonts w:ascii="Times New Roman" w:hAnsi="Times New Roman" w:cs="Times New Roman"/>
          <w:b/>
          <w:color w:val="000000"/>
          <w:lang w:val="es-419"/>
        </w:rPr>
      </w:pPr>
      <w:r w:rsidRPr="0041782C">
        <w:rPr>
          <w:rFonts w:ascii="Times New Roman" w:hAnsi="Times New Roman"/>
          <w:b/>
          <w:color w:val="000000"/>
          <w:lang w:val="es-419"/>
        </w:rPr>
        <w:t>Dr. Isma Yatun, CSFA, CFrA</w:t>
      </w:r>
    </w:p>
    <w:p w14:paraId="5FDD8D27" w14:textId="77777777" w:rsidR="00556285" w:rsidRPr="0041782C" w:rsidRDefault="00556285" w:rsidP="00556285">
      <w:pPr>
        <w:autoSpaceDE w:val="0"/>
        <w:autoSpaceDN w:val="0"/>
        <w:adjustRightInd w:val="0"/>
        <w:ind w:left="2835"/>
        <w:jc w:val="center"/>
        <w:rPr>
          <w:rFonts w:ascii="Times New Roman" w:hAnsi="Times New Roman" w:cs="Times New Roman"/>
          <w:b/>
          <w:color w:val="000000"/>
          <w:lang w:val="es-419"/>
        </w:rPr>
      </w:pPr>
      <w:r w:rsidRPr="0041782C">
        <w:rPr>
          <w:rFonts w:ascii="Times New Roman" w:hAnsi="Times New Roman"/>
          <w:b/>
          <w:color w:val="000000"/>
          <w:lang w:val="es-419"/>
        </w:rPr>
        <w:t>Presidente del Tribunal de Cuentas de la República de Indonesia</w:t>
      </w:r>
    </w:p>
    <w:p w14:paraId="517D053B" w14:textId="77777777" w:rsidR="00556285" w:rsidRPr="0041782C" w:rsidRDefault="00556285" w:rsidP="00556285">
      <w:pPr>
        <w:ind w:left="2835"/>
        <w:jc w:val="center"/>
        <w:rPr>
          <w:rFonts w:ascii="Times New Roman" w:hAnsi="Times New Roman" w:cs="Times New Roman"/>
          <w:b/>
          <w:color w:val="000000"/>
          <w:lang w:val="es-419"/>
        </w:rPr>
      </w:pPr>
      <w:r w:rsidRPr="0041782C">
        <w:rPr>
          <w:rFonts w:ascii="Times New Roman" w:hAnsi="Times New Roman"/>
          <w:b/>
          <w:color w:val="000000"/>
          <w:lang w:val="es-419"/>
        </w:rPr>
        <w:t>Auditor externo</w:t>
      </w:r>
    </w:p>
    <w:p w14:paraId="443E9022" w14:textId="77777777" w:rsidR="00556285" w:rsidRPr="0041782C" w:rsidRDefault="00556285" w:rsidP="00556285">
      <w:pPr>
        <w:ind w:left="2835"/>
        <w:jc w:val="center"/>
        <w:rPr>
          <w:rFonts w:ascii="Times New Roman" w:hAnsi="Times New Roman" w:cs="Times New Roman"/>
          <w:shd w:val="clear" w:color="auto" w:fill="FFFFFF"/>
          <w:lang w:val="es-419"/>
        </w:rPr>
      </w:pPr>
    </w:p>
    <w:p w14:paraId="2F2C512D" w14:textId="77777777" w:rsidR="00556285" w:rsidRPr="0041782C" w:rsidRDefault="00556285" w:rsidP="00556285">
      <w:pPr>
        <w:ind w:left="2835"/>
        <w:jc w:val="center"/>
        <w:rPr>
          <w:rFonts w:ascii="Times New Roman" w:hAnsi="Times New Roman" w:cs="Times New Roman"/>
          <w:shd w:val="clear" w:color="auto" w:fill="FFFFFF"/>
          <w:lang w:val="es-419"/>
        </w:rPr>
      </w:pPr>
    </w:p>
    <w:p w14:paraId="5233099B" w14:textId="77777777" w:rsidR="00556285" w:rsidRPr="0041782C" w:rsidRDefault="00556285" w:rsidP="00556285">
      <w:pPr>
        <w:ind w:left="2835"/>
        <w:jc w:val="center"/>
        <w:rPr>
          <w:rFonts w:ascii="Times New Roman" w:hAnsi="Times New Roman" w:cs="Times New Roman"/>
          <w:shd w:val="clear" w:color="auto" w:fill="FFFFFF"/>
          <w:lang w:val="es-419"/>
        </w:rPr>
      </w:pPr>
    </w:p>
    <w:p w14:paraId="0B046C7C" w14:textId="77777777" w:rsidR="00556285" w:rsidRPr="0041782C" w:rsidRDefault="00556285" w:rsidP="00556285">
      <w:pPr>
        <w:ind w:left="2835"/>
        <w:jc w:val="center"/>
        <w:rPr>
          <w:rFonts w:ascii="Times New Roman" w:hAnsi="Times New Roman" w:cs="Times New Roman"/>
          <w:shd w:val="clear" w:color="auto" w:fill="FFFFFF"/>
          <w:lang w:val="es-419"/>
        </w:rPr>
      </w:pPr>
    </w:p>
    <w:p w14:paraId="43C2771C" w14:textId="77777777" w:rsidR="00556285" w:rsidRPr="0041782C" w:rsidRDefault="00556285" w:rsidP="00556285">
      <w:pPr>
        <w:ind w:left="2835"/>
        <w:jc w:val="center"/>
        <w:rPr>
          <w:rFonts w:ascii="Times New Roman" w:hAnsi="Times New Roman" w:cs="Times New Roman"/>
          <w:b/>
          <w:color w:val="000000"/>
          <w:lang w:val="es-419"/>
        </w:rPr>
      </w:pPr>
      <w:r w:rsidRPr="0041782C">
        <w:rPr>
          <w:rFonts w:ascii="Times New Roman" w:hAnsi="Times New Roman"/>
          <w:b/>
          <w:color w:val="000000"/>
          <w:lang w:val="es-419"/>
        </w:rPr>
        <w:t>Yakarta (Indonesia)</w:t>
      </w:r>
    </w:p>
    <w:p w14:paraId="16605181" w14:textId="77777777" w:rsidR="00556285" w:rsidRPr="0041782C" w:rsidRDefault="00556285" w:rsidP="00556285">
      <w:pPr>
        <w:ind w:left="2835"/>
        <w:jc w:val="center"/>
        <w:rPr>
          <w:rFonts w:ascii="Times New Roman" w:hAnsi="Times New Roman" w:cs="Times New Roman"/>
          <w:b/>
          <w:color w:val="000000"/>
          <w:lang w:val="es-419"/>
        </w:rPr>
        <w:sectPr w:rsidR="00556285" w:rsidRPr="0041782C" w:rsidSect="00556285">
          <w:headerReference w:type="default" r:id="rId24"/>
          <w:footerReference w:type="even" r:id="rId25"/>
          <w:footerReference w:type="default" r:id="rId26"/>
          <w:footerReference w:type="first" r:id="rId27"/>
          <w:pgSz w:w="11906" w:h="16838"/>
          <w:pgMar w:top="1276" w:right="1701" w:bottom="1701" w:left="2268" w:header="708" w:footer="708" w:gutter="0"/>
          <w:cols w:space="708"/>
          <w:docGrid w:linePitch="360"/>
        </w:sectPr>
      </w:pPr>
      <w:r w:rsidRPr="0041782C">
        <w:rPr>
          <w:rFonts w:ascii="Times New Roman" w:hAnsi="Times New Roman"/>
          <w:b/>
          <w:color w:val="000000"/>
          <w:lang w:val="es-419"/>
        </w:rPr>
        <w:t xml:space="preserve">          Mayo de 2025</w:t>
      </w:r>
    </w:p>
    <w:p w14:paraId="08237DA9" w14:textId="77777777" w:rsidR="00556285" w:rsidRPr="0041782C" w:rsidRDefault="00556285" w:rsidP="00556285">
      <w:pPr>
        <w:ind w:left="2835"/>
        <w:jc w:val="center"/>
        <w:rPr>
          <w:rFonts w:ascii="Times New Roman" w:hAnsi="Times New Roman" w:cs="Times New Roman"/>
          <w:b/>
          <w:color w:val="000000"/>
          <w:lang w:val="es-419"/>
        </w:rPr>
      </w:pPr>
    </w:p>
    <w:p w14:paraId="54986DEC" w14:textId="77777777" w:rsidR="00556285" w:rsidRPr="0041782C" w:rsidRDefault="00556285" w:rsidP="006917D6">
      <w:pPr>
        <w:pStyle w:val="Heading1"/>
        <w:keepLines/>
        <w:spacing w:before="360" w:after="80" w:line="280" w:lineRule="exact"/>
        <w:jc w:val="both"/>
        <w:rPr>
          <w:rFonts w:ascii="Times New Roman" w:eastAsiaTheme="majorEastAsia" w:hAnsi="Times New Roman" w:cs="Times New Roman"/>
          <w:caps w:val="0"/>
          <w:kern w:val="2"/>
          <w:sz w:val="28"/>
          <w:szCs w:val="22"/>
          <w:lang w:val="es-419" w:eastAsia="en-US"/>
          <w14:ligatures w14:val="standardContextual"/>
        </w:rPr>
      </w:pPr>
      <w:bookmarkStart w:id="65" w:name="_Toc197205522"/>
      <w:bookmarkStart w:id="66" w:name="_Toc197205639"/>
      <w:bookmarkStart w:id="67" w:name="_Toc197206623"/>
      <w:bookmarkStart w:id="68" w:name="_Toc197206843"/>
      <w:bookmarkStart w:id="69" w:name="_Toc197377473"/>
      <w:bookmarkStart w:id="70" w:name="_Toc198742550"/>
      <w:r w:rsidRPr="0041782C">
        <w:rPr>
          <w:rFonts w:ascii="Times New Roman" w:eastAsiaTheme="majorEastAsia" w:hAnsi="Times New Roman" w:cs="Times New Roman"/>
          <w:caps w:val="0"/>
          <w:kern w:val="2"/>
          <w:sz w:val="28"/>
          <w:szCs w:val="22"/>
          <w:lang w:val="es-419" w:eastAsia="en-US"/>
          <w14:ligatures w14:val="standardContextual"/>
        </w:rPr>
        <w:t>Anexo. Descripción de las responsabilidades del auditor en la auditoría de los estados financieros</w:t>
      </w:r>
      <w:bookmarkEnd w:id="65"/>
      <w:bookmarkEnd w:id="66"/>
      <w:bookmarkEnd w:id="67"/>
      <w:bookmarkEnd w:id="68"/>
      <w:bookmarkEnd w:id="69"/>
      <w:bookmarkEnd w:id="70"/>
    </w:p>
    <w:p w14:paraId="76BDD30B" w14:textId="77777777" w:rsidR="00556285" w:rsidRPr="0041782C" w:rsidRDefault="00556285" w:rsidP="00556285">
      <w:pPr>
        <w:rPr>
          <w:rFonts w:ascii="Times New Roman" w:hAnsi="Times New Roman"/>
          <w:b/>
          <w:color w:val="000000"/>
          <w:lang w:val="es-419"/>
        </w:rPr>
      </w:pPr>
    </w:p>
    <w:p w14:paraId="6B5644CE" w14:textId="77777777" w:rsidR="00556285" w:rsidRPr="0041782C" w:rsidRDefault="00556285" w:rsidP="00556285">
      <w:pPr>
        <w:autoSpaceDE w:val="0"/>
        <w:autoSpaceDN w:val="0"/>
        <w:adjustRightInd w:val="0"/>
        <w:spacing w:before="120"/>
        <w:jc w:val="both"/>
        <w:rPr>
          <w:rFonts w:ascii="Times New Roman" w:hAnsi="Times New Roman" w:cs="Times New Roman"/>
          <w:color w:val="000000"/>
          <w:lang w:val="es-419"/>
        </w:rPr>
      </w:pPr>
      <w:r w:rsidRPr="0041782C">
        <w:rPr>
          <w:rFonts w:ascii="Times New Roman" w:hAnsi="Times New Roman"/>
          <w:color w:val="000000"/>
          <w:lang w:val="es-419"/>
        </w:rPr>
        <w:t>En el marco de una auditoría conforme a las ISA, ejercemos nuestro juicio profesional y mantenemos el escepticismo profesional a lo largo de toda la auditoría. También nos encargamos de:</w:t>
      </w:r>
    </w:p>
    <w:p w14:paraId="679A7DC2" w14:textId="77777777" w:rsidR="00556285" w:rsidRPr="0041782C" w:rsidRDefault="00556285" w:rsidP="00556285">
      <w:pPr>
        <w:pStyle w:val="ListParagraph"/>
        <w:numPr>
          <w:ilvl w:val="0"/>
          <w:numId w:val="36"/>
        </w:numPr>
        <w:autoSpaceDE w:val="0"/>
        <w:autoSpaceDN w:val="0"/>
        <w:adjustRightInd w:val="0"/>
        <w:spacing w:before="120"/>
        <w:ind w:left="426" w:hanging="426"/>
        <w:contextualSpacing w:val="0"/>
        <w:jc w:val="both"/>
        <w:rPr>
          <w:rFonts w:ascii="Times New Roman" w:hAnsi="Times New Roman" w:cs="Times New Roman"/>
          <w:color w:val="000000"/>
          <w:sz w:val="22"/>
          <w:lang w:val="es-419"/>
        </w:rPr>
      </w:pPr>
      <w:r w:rsidRPr="0041782C">
        <w:rPr>
          <w:rFonts w:ascii="Times New Roman" w:hAnsi="Times New Roman"/>
          <w:color w:val="000000"/>
          <w:sz w:val="22"/>
          <w:lang w:val="es-419"/>
        </w:rPr>
        <w:t>Determinar y evaluar los riesgos de incorrección sustancial en los estados financieros, debida a fraude o error, diseñar y aplicar procedimientos de auditoría que tengan en cuenta esos riesgos y obtener pruebas de auditoría suficientes y adecuadas para fundamentar nuestro dictamen. El riesgo de no detectar una incorrección sustancial derivada de fraude es mayor que en el caso de una incorrección derivada de error, ya que el fraude puede implicar colusión, falsificación, omisiones intencionadas, tergiversaciones o la anulación del control interno.</w:t>
      </w:r>
    </w:p>
    <w:p w14:paraId="2CD75D1C" w14:textId="77777777" w:rsidR="00556285" w:rsidRPr="0041782C" w:rsidRDefault="00556285" w:rsidP="00556285">
      <w:pPr>
        <w:pStyle w:val="ListParagraph"/>
        <w:numPr>
          <w:ilvl w:val="0"/>
          <w:numId w:val="36"/>
        </w:numPr>
        <w:autoSpaceDE w:val="0"/>
        <w:autoSpaceDN w:val="0"/>
        <w:adjustRightInd w:val="0"/>
        <w:spacing w:before="120"/>
        <w:ind w:left="426" w:hanging="426"/>
        <w:contextualSpacing w:val="0"/>
        <w:jc w:val="both"/>
        <w:rPr>
          <w:rFonts w:ascii="Times New Roman" w:hAnsi="Times New Roman" w:cs="Times New Roman"/>
          <w:color w:val="000000"/>
          <w:sz w:val="22"/>
          <w:lang w:val="es-419"/>
        </w:rPr>
      </w:pPr>
      <w:r w:rsidRPr="0041782C">
        <w:rPr>
          <w:rFonts w:ascii="Times New Roman" w:hAnsi="Times New Roman"/>
          <w:color w:val="000000"/>
          <w:sz w:val="22"/>
          <w:lang w:val="es-419"/>
        </w:rPr>
        <w:t>Conocer el control interno pertinente para la auditoría con el fin de diseñar procedimientos adecuados a las circunstancias, pero no con la finalidad de expresar un dictamen sobre la eficacia del control interno de la Organización.</w:t>
      </w:r>
    </w:p>
    <w:p w14:paraId="5D1BC8A5" w14:textId="77777777" w:rsidR="00556285" w:rsidRPr="0041782C" w:rsidRDefault="00556285" w:rsidP="00556285">
      <w:pPr>
        <w:pStyle w:val="ListParagraph"/>
        <w:numPr>
          <w:ilvl w:val="0"/>
          <w:numId w:val="36"/>
        </w:numPr>
        <w:autoSpaceDE w:val="0"/>
        <w:autoSpaceDN w:val="0"/>
        <w:adjustRightInd w:val="0"/>
        <w:spacing w:before="120"/>
        <w:ind w:left="426" w:hanging="426"/>
        <w:contextualSpacing w:val="0"/>
        <w:jc w:val="both"/>
        <w:rPr>
          <w:rFonts w:ascii="Times New Roman" w:hAnsi="Times New Roman" w:cs="Times New Roman"/>
          <w:color w:val="000000"/>
          <w:sz w:val="22"/>
          <w:lang w:val="es-419"/>
        </w:rPr>
      </w:pPr>
      <w:r w:rsidRPr="0041782C">
        <w:rPr>
          <w:rFonts w:ascii="Times New Roman" w:hAnsi="Times New Roman"/>
          <w:color w:val="000000"/>
          <w:sz w:val="22"/>
          <w:lang w:val="es-419"/>
        </w:rPr>
        <w:t>Evaluar la idoneidad de las políticas contables aplicadas, la pertinencia de las estimaciones contables y la correspondiente información facilitada por la Dirección.</w:t>
      </w:r>
    </w:p>
    <w:p w14:paraId="0DED5B1B" w14:textId="77777777" w:rsidR="00556285" w:rsidRPr="0041782C" w:rsidRDefault="00556285" w:rsidP="00556285">
      <w:pPr>
        <w:pStyle w:val="ListParagraph"/>
        <w:numPr>
          <w:ilvl w:val="0"/>
          <w:numId w:val="36"/>
        </w:numPr>
        <w:autoSpaceDE w:val="0"/>
        <w:autoSpaceDN w:val="0"/>
        <w:adjustRightInd w:val="0"/>
        <w:spacing w:before="120"/>
        <w:ind w:left="426" w:hanging="426"/>
        <w:contextualSpacing w:val="0"/>
        <w:jc w:val="both"/>
        <w:rPr>
          <w:rFonts w:ascii="Times New Roman" w:hAnsi="Times New Roman" w:cs="Times New Roman"/>
          <w:color w:val="000000"/>
          <w:sz w:val="22"/>
          <w:lang w:val="es-419"/>
        </w:rPr>
      </w:pPr>
      <w:r w:rsidRPr="0041782C">
        <w:rPr>
          <w:rFonts w:ascii="Times New Roman" w:hAnsi="Times New Roman"/>
          <w:color w:val="000000"/>
          <w:sz w:val="22"/>
          <w:lang w:val="es-419"/>
        </w:rPr>
        <w:t>Extraer conclusiones sobre la idoneidad de la utilización por la Dirección de la base contable para la continuidad de la actividad y, a partir de las pruebas obtenidas, determinar si existe una incertidumbre sustancial en relación con hechos o condiciones que puedan arrojar dudas considerables sobre la capacidad de la Organización para continuar su actividad. Si llegamos a la conclusión de que existe una incertidumbre sustancial, en el informe de auditoría debemos llamar la atención sobre los datos que figuran en los estados financieros o, si no son suficientes, modificar nuestro dictamen. Nuestras conclusiones se basan en las pruebas obtenidas hasta la fecha del informe de auditoría. No obstante, los acontecimientos o condiciones futuros pueden hacer que la Organización pierda la capacidad de continuar su actividad.</w:t>
      </w:r>
    </w:p>
    <w:p w14:paraId="65CCC345" w14:textId="77777777" w:rsidR="00556285" w:rsidRPr="0041782C" w:rsidRDefault="00556285" w:rsidP="00556285">
      <w:pPr>
        <w:pStyle w:val="ListParagraph"/>
        <w:numPr>
          <w:ilvl w:val="0"/>
          <w:numId w:val="36"/>
        </w:numPr>
        <w:autoSpaceDE w:val="0"/>
        <w:autoSpaceDN w:val="0"/>
        <w:adjustRightInd w:val="0"/>
        <w:spacing w:before="120"/>
        <w:ind w:left="426" w:hanging="426"/>
        <w:contextualSpacing w:val="0"/>
        <w:jc w:val="both"/>
        <w:rPr>
          <w:sz w:val="20"/>
          <w:szCs w:val="22"/>
          <w:lang w:val="es-419"/>
        </w:rPr>
      </w:pPr>
      <w:r w:rsidRPr="0041782C">
        <w:rPr>
          <w:rFonts w:ascii="Times New Roman" w:hAnsi="Times New Roman"/>
          <w:color w:val="000000"/>
          <w:sz w:val="22"/>
          <w:lang w:val="es-419"/>
        </w:rPr>
        <w:t>Evaluar la presentación general, la estructura y el contenido de los estados financieros, incluida la información revelada, y si los estados financieros reflejan las operaciones y hechos subyacentes de forma que ofrezcan una imagen fiel.</w:t>
      </w:r>
      <w:r w:rsidRPr="0041782C">
        <w:rPr>
          <w:lang w:val="es-419"/>
        </w:rPr>
        <w:br w:type="page"/>
      </w:r>
    </w:p>
    <w:p w14:paraId="7B6C0B33" w14:textId="77777777" w:rsidR="00556285" w:rsidRPr="0041782C" w:rsidRDefault="00556285" w:rsidP="00556285">
      <w:pPr>
        <w:pStyle w:val="Heading1"/>
        <w:rPr>
          <w:rFonts w:cs="Times New Roman"/>
          <w:lang w:val="es-419"/>
        </w:rPr>
        <w:sectPr w:rsidR="00556285" w:rsidRPr="0041782C" w:rsidSect="00556285">
          <w:pgSz w:w="11906" w:h="16838"/>
          <w:pgMar w:top="1276" w:right="1701" w:bottom="1701" w:left="2268" w:header="708" w:footer="708" w:gutter="0"/>
          <w:cols w:space="708"/>
          <w:docGrid w:linePitch="360"/>
        </w:sectPr>
      </w:pPr>
    </w:p>
    <w:p w14:paraId="1AD22BDF" w14:textId="1584183C" w:rsidR="00556285" w:rsidRPr="0041782C" w:rsidRDefault="006A7643" w:rsidP="00730E1D">
      <w:pPr>
        <w:pStyle w:val="Heading1"/>
        <w:spacing w:after="0" w:line="259" w:lineRule="auto"/>
        <w:rPr>
          <w:rFonts w:asciiTheme="majorBidi" w:hAnsiTheme="majorBidi" w:cstheme="majorBidi"/>
          <w:color w:val="365F91" w:themeColor="accent1" w:themeShade="BF"/>
          <w:sz w:val="72"/>
          <w:lang w:val="es-419"/>
        </w:rPr>
        <w:sectPr w:rsidR="00556285" w:rsidRPr="0041782C" w:rsidSect="00556285">
          <w:headerReference w:type="default" r:id="rId28"/>
          <w:footerReference w:type="even" r:id="rId29"/>
          <w:footerReference w:type="default" r:id="rId30"/>
          <w:footerReference w:type="first" r:id="rId31"/>
          <w:pgSz w:w="11906" w:h="16838"/>
          <w:pgMar w:top="2268" w:right="1701" w:bottom="1701" w:left="2268" w:header="708" w:footer="708" w:gutter="0"/>
          <w:cols w:space="708"/>
          <w:docGrid w:linePitch="360"/>
        </w:sectPr>
      </w:pPr>
      <w:bookmarkStart w:id="71" w:name="_Toc198742551"/>
      <w:r w:rsidRPr="0041782C">
        <w:rPr>
          <w:rFonts w:asciiTheme="majorBidi" w:hAnsiTheme="majorBidi" w:cstheme="majorBidi"/>
          <w:caps w:val="0"/>
          <w:color w:val="365F91" w:themeColor="accent1" w:themeShade="BF"/>
          <w:sz w:val="72"/>
          <w:lang w:val="es-419"/>
        </w:rPr>
        <w:lastRenderedPageBreak/>
        <w:t>Parte II</w:t>
      </w:r>
      <w:r w:rsidR="006917D6" w:rsidRPr="0041782C">
        <w:rPr>
          <w:rFonts w:asciiTheme="majorBidi" w:hAnsiTheme="majorBidi" w:cstheme="majorBidi"/>
          <w:caps w:val="0"/>
          <w:color w:val="365F91" w:themeColor="accent1" w:themeShade="BF"/>
          <w:sz w:val="72"/>
          <w:lang w:val="es-419"/>
        </w:rPr>
        <w:t xml:space="preserve">  </w:t>
      </w:r>
      <w:r w:rsidR="00730E1D" w:rsidRPr="0041782C">
        <w:rPr>
          <w:rFonts w:asciiTheme="majorBidi" w:hAnsiTheme="majorBidi" w:cstheme="majorBidi"/>
          <w:caps w:val="0"/>
          <w:color w:val="365F91" w:themeColor="accent1" w:themeShade="BF"/>
          <w:sz w:val="72"/>
          <w:lang w:val="es-419"/>
        </w:rPr>
        <w:br/>
      </w:r>
      <w:r w:rsidRPr="0041782C">
        <w:rPr>
          <w:rFonts w:asciiTheme="majorBidi" w:hAnsiTheme="majorBidi" w:cstheme="majorBidi"/>
          <w:caps w:val="0"/>
          <w:color w:val="365F91" w:themeColor="accent1" w:themeShade="BF"/>
          <w:sz w:val="72"/>
          <w:lang w:val="es-419"/>
        </w:rPr>
        <w:t>Informe detallado del auditor externo</w:t>
      </w:r>
      <w:bookmarkEnd w:id="71"/>
    </w:p>
    <w:p w14:paraId="0BE9D2FF" w14:textId="77777777" w:rsidR="00556285" w:rsidRPr="0041782C" w:rsidRDefault="00556285" w:rsidP="006917D6">
      <w:pPr>
        <w:pStyle w:val="Heading1"/>
        <w:keepLines/>
        <w:spacing w:before="360" w:after="80" w:line="280" w:lineRule="exact"/>
        <w:jc w:val="center"/>
        <w:rPr>
          <w:rFonts w:ascii="Times New Roman" w:eastAsiaTheme="majorEastAsia" w:hAnsi="Times New Roman" w:cstheme="majorBidi"/>
          <w:bCs w:val="0"/>
          <w:caps w:val="0"/>
          <w:color w:val="000000" w:themeColor="text1"/>
          <w:kern w:val="2"/>
          <w:sz w:val="28"/>
          <w:szCs w:val="40"/>
          <w:lang w:val="es-419" w:eastAsia="en-US"/>
          <w14:ligatures w14:val="standardContextual"/>
        </w:rPr>
      </w:pPr>
      <w:bookmarkStart w:id="72" w:name="_Toc198742552"/>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lastRenderedPageBreak/>
        <w:t>RESUMEN</w:t>
      </w:r>
      <w:bookmarkEnd w:id="72"/>
    </w:p>
    <w:p w14:paraId="245030F8" w14:textId="77777777" w:rsidR="00556285" w:rsidRPr="0041782C" w:rsidRDefault="00556285" w:rsidP="00556285">
      <w:pPr>
        <w:jc w:val="center"/>
        <w:rPr>
          <w:rFonts w:ascii="Times New Roman" w:hAnsi="Times New Roman" w:cs="Times New Roman"/>
          <w:b/>
          <w:bCs/>
          <w:szCs w:val="22"/>
          <w:lang w:val="es-419"/>
        </w:rPr>
      </w:pPr>
    </w:p>
    <w:p w14:paraId="337353A4"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Importancia de la auditoría</w:t>
      </w:r>
    </w:p>
    <w:p w14:paraId="6A5C813C"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En 2024, la Organización Mundial de la Propiedad Intelectual (la Organización) gestionó importantes recursos financieros fundamentales para su misión mundial. A lo largo del año, la Organización generó ingresos por valor de 496,67 millones de francos suizos y registró gastos por valor de 430,33 millones, al tiempo que poseía un activo de 1 912,96 millones de francos suizos y un pasivo de 1 202,30 millones.</w:t>
      </w:r>
    </w:p>
    <w:p w14:paraId="79D6BFA6"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Una auditoría independiente es esencial para la rendición de cuentas de la Organización a la luz de su función pertinente en el sistema mundial de propiedad intelectual. El Tribunal de Cuentas de la República de Indonesia (Badan Pemeriksa Keuangan (BPK)) presenta este informe tras una auditoría exhaustiva de los estados financieros de la Organización correspondientes al ejercicio cerrado a 31 de diciembre de 2024. Además, el BPK ha realizado una auditoría de rendimiento para detectar áreas de mejora en los servicios que la Organización presta a las partes interesadas. Nuestra auditoría se ha realizado de conformidad con las normas internacionales de auditoría (ISA) y las normas internacionales de las entidades fiscalizadoras superiores (ISSAI).</w:t>
      </w:r>
    </w:p>
    <w:p w14:paraId="3E832FE0"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Objetivos de la auditoría</w:t>
      </w:r>
    </w:p>
    <w:p w14:paraId="49D085DB"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 xml:space="preserve">La auditoría financiera se ha realizado principalmente para que el BPK pueda formarse una opinión sobre si los estados financieros de la Organización correspondientes al ejercicio cerrado a 31 de diciembre de 2024 se presentan fielmente, en todos sus aspectos significativos, de </w:t>
      </w:r>
      <w:r w:rsidRPr="0041782C">
        <w:rPr>
          <w:rFonts w:ascii="Times New Roman" w:eastAsiaTheme="minorHAnsi" w:hAnsi="Times New Roman" w:cs="Times New Roman"/>
          <w:kern w:val="2"/>
          <w:szCs w:val="22"/>
          <w:lang w:val="es-419" w:eastAsia="en-US"/>
          <w14:ligatures w14:val="standardContextual"/>
        </w:rPr>
        <w:t>conformidad</w:t>
      </w:r>
      <w:r w:rsidRPr="0041782C">
        <w:rPr>
          <w:rFonts w:ascii="Times New Roman" w:hAnsi="Times New Roman"/>
          <w:lang w:val="es-419"/>
        </w:rPr>
        <w:t xml:space="preserve"> con las normas internacionales de contabilidad del sector público (IPSAS). Ello incluye una evaluación de si las operaciones se ajustan, en todos los aspectos significativos, al Reglamento Financiero y la Reglamentación Financiera de la Organización.</w:t>
      </w:r>
    </w:p>
    <w:p w14:paraId="5FAC0876"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 xml:space="preserve">El objetivo de la auditoría de rendimiento era evaluar la eficacia de la Dirección de la Organización en la mejora de los servicios prestados a las partes interesadas en relación con el pilar 1 y el pilar 2 del Plan Estratégico a Medio Plazo (PEMP) 2022-2026 de la Organización. </w:t>
      </w:r>
    </w:p>
    <w:p w14:paraId="65CD71E7"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Dictamen de auditoría</w:t>
      </w:r>
    </w:p>
    <w:p w14:paraId="15979F5C"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 xml:space="preserve">El BPK ha concluido que los estados financieros presentan fielmente, en todos sus aspectos sustanciales, la </w:t>
      </w:r>
      <w:r w:rsidRPr="0041782C">
        <w:rPr>
          <w:rFonts w:ascii="Times New Roman" w:eastAsiaTheme="minorHAnsi" w:hAnsi="Times New Roman" w:cs="Times New Roman"/>
          <w:kern w:val="2"/>
          <w:szCs w:val="22"/>
          <w:lang w:val="es-419" w:eastAsia="en-US"/>
          <w14:ligatures w14:val="standardContextual"/>
        </w:rPr>
        <w:t>situación</w:t>
      </w:r>
      <w:r w:rsidRPr="0041782C">
        <w:rPr>
          <w:rFonts w:ascii="Times New Roman" w:hAnsi="Times New Roman"/>
          <w:lang w:val="es-419"/>
        </w:rPr>
        <w:t xml:space="preserve"> financiera a 31 de diciembre de 2024, así como el rendimiento financiero y el flujo de efectivo de la Organización correspondientes al ejercicio cerrado en esa fecha, de conformidad con las IPSAS. </w:t>
      </w:r>
    </w:p>
    <w:p w14:paraId="74C94A3C"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Otros asuntos</w:t>
      </w:r>
    </w:p>
    <w:p w14:paraId="6931DA61"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 xml:space="preserve">Los estados financieros de la Organización correspondientes al ejercicio finalizado el 31 de diciembre de </w:t>
      </w:r>
      <w:r w:rsidRPr="0041782C">
        <w:rPr>
          <w:rFonts w:ascii="Times New Roman" w:eastAsiaTheme="minorHAnsi" w:hAnsi="Times New Roman" w:cs="Times New Roman"/>
          <w:kern w:val="2"/>
          <w:szCs w:val="22"/>
          <w:lang w:val="es-419" w:eastAsia="en-US"/>
          <w14:ligatures w14:val="standardContextual"/>
        </w:rPr>
        <w:t>2023</w:t>
      </w:r>
      <w:r w:rsidRPr="0041782C">
        <w:rPr>
          <w:rFonts w:ascii="Times New Roman" w:hAnsi="Times New Roman"/>
          <w:lang w:val="es-419"/>
        </w:rPr>
        <w:t xml:space="preserve"> fueron auditados por la Oficina Nacional de Auditoría del Reino Unido, que emitió un dictamen sin reservas sobre dichos estados el 14 de mayo de 2024.</w:t>
      </w:r>
    </w:p>
    <w:p w14:paraId="38939B5F" w14:textId="77777777" w:rsidR="00556285" w:rsidRPr="0041782C" w:rsidRDefault="00556285" w:rsidP="006917D6">
      <w:pPr>
        <w:keepNext/>
        <w:keepLines/>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lastRenderedPageBreak/>
        <w:t>Asuntos financieros</w:t>
      </w:r>
    </w:p>
    <w:p w14:paraId="11BC6714" w14:textId="77777777" w:rsidR="00556285" w:rsidRPr="0041782C" w:rsidRDefault="00556285" w:rsidP="006917D6">
      <w:pPr>
        <w:keepNext/>
        <w:keepLines/>
        <w:spacing w:after="120" w:line="280" w:lineRule="exact"/>
        <w:jc w:val="both"/>
        <w:rPr>
          <w:rFonts w:ascii="Times New Roman" w:hAnsi="Times New Roman" w:cs="Times New Roman"/>
          <w:szCs w:val="22"/>
          <w:lang w:val="es-419"/>
        </w:rPr>
      </w:pPr>
      <w:r w:rsidRPr="0041782C">
        <w:rPr>
          <w:rFonts w:ascii="Times New Roman" w:hAnsi="Times New Roman"/>
          <w:lang w:val="es-419"/>
        </w:rPr>
        <w:t xml:space="preserve">El BPK constata que los estados financieros representan fielmente la situación financiera de la organización </w:t>
      </w:r>
      <w:r w:rsidRPr="0041782C">
        <w:rPr>
          <w:rFonts w:ascii="Times New Roman" w:eastAsiaTheme="minorHAnsi" w:hAnsi="Times New Roman" w:cs="Times New Roman"/>
          <w:kern w:val="2"/>
          <w:szCs w:val="22"/>
          <w:lang w:val="es-419" w:eastAsia="en-US"/>
          <w14:ligatures w14:val="standardContextual"/>
        </w:rPr>
        <w:t>de</w:t>
      </w:r>
      <w:r w:rsidRPr="0041782C">
        <w:rPr>
          <w:rFonts w:ascii="Times New Roman" w:hAnsi="Times New Roman"/>
          <w:lang w:val="es-419"/>
        </w:rPr>
        <w:t xml:space="preserve"> conformidad con las IPSAS y el Reglamento Financiero. En el primer año de su encargo, el BPK revisó el control interno y el cumplimiento del reglamento, centrando la auditoría en el Sistema de Madrid y el control de las tecnologías de la información (TI). En la auditoría se detectaron algunos ámbitos que requieren mejoras en los sistemas de gestión financiera y las prácticas contables de la Organización, como la necesidad de mejorar la optimización y automatización de los procesos de elaboración de informes financieros, la mejora de la documentación normativa para la contabilización de ingresos, en particular en el caso de las tasas del Sistema de Madrid, y el desarrollo de mecanismos eficientes para hacer frente a los depósitos de marcas no resueltos.</w:t>
      </w:r>
    </w:p>
    <w:p w14:paraId="03CB1C66"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Observaciones sobre el rendimiento</w:t>
      </w:r>
    </w:p>
    <w:p w14:paraId="220D1606"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color w:val="000000"/>
          <w:lang w:val="es-419"/>
        </w:rPr>
        <w:t xml:space="preserve">El BPK considera que la Organización ha gestionado eficazmente la planificación, supervisión y </w:t>
      </w:r>
      <w:r w:rsidRPr="0041782C">
        <w:rPr>
          <w:rFonts w:ascii="Times New Roman" w:hAnsi="Times New Roman"/>
          <w:lang w:val="es-419"/>
        </w:rPr>
        <w:t>evaluación</w:t>
      </w:r>
      <w:r w:rsidRPr="0041782C">
        <w:rPr>
          <w:rFonts w:ascii="Times New Roman" w:hAnsi="Times New Roman"/>
          <w:color w:val="000000"/>
          <w:lang w:val="es-419"/>
        </w:rPr>
        <w:t xml:space="preserve"> de sus programas y actividades durante el período auditado, velando por la adecuación a las necesidades de las partes interesadas mediante sus divisiones de apoyo. En particular, la Organización ha aplicado una gestión por resultados a la hora de elaborar su programa de trabajo y presupuesto, junto con un sistema de información para facilitar la formulación del plan de trabajo. A fin de aumentar el rendimiento, algunas áreas presentan oportunidades de mejora. </w:t>
      </w:r>
      <w:r w:rsidRPr="0041782C">
        <w:rPr>
          <w:rFonts w:ascii="Times New Roman" w:hAnsi="Times New Roman"/>
          <w:lang w:val="es-419"/>
        </w:rPr>
        <w:t>En este sentido, cabe señalar el ajuste de la formulación de los indicadores clave de rendimiento de la Organización mediante el establecimiento de unos indicadores bien definidos y coherentes, unos medios de verificación claros y una documentación exhaustiva de todos los sectores que contribuyen a la consecución de esos indicadores.</w:t>
      </w:r>
      <w:r w:rsidRPr="0041782C">
        <w:rPr>
          <w:rFonts w:ascii="Times New Roman" w:hAnsi="Times New Roman"/>
          <w:color w:val="000000"/>
          <w:lang w:val="es-419"/>
        </w:rPr>
        <w:t xml:space="preserve"> </w:t>
      </w:r>
      <w:r w:rsidRPr="0041782C">
        <w:rPr>
          <w:rFonts w:ascii="Times New Roman" w:hAnsi="Times New Roman"/>
          <w:lang w:val="es-419"/>
        </w:rPr>
        <w:t>Además, ampliar el uso de la traducción automática a todas las publicaciones que lo permitan, de acuerdo con los criterios indicados en la política de traducción de la Organización, a fin de llegar a un público más amplio.</w:t>
      </w:r>
    </w:p>
    <w:p w14:paraId="6B12BB05"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En el presente informe se ofrece información detallada sobre las observaciones de auditoría.</w:t>
      </w:r>
    </w:p>
    <w:p w14:paraId="489D9CA9" w14:textId="77777777" w:rsidR="00556285" w:rsidRPr="0041782C" w:rsidRDefault="00556285" w:rsidP="006917D6">
      <w:pPr>
        <w:spacing w:after="120" w:line="280" w:lineRule="exact"/>
        <w:rPr>
          <w:rFonts w:ascii="Times New Roman" w:eastAsiaTheme="minorHAnsi" w:hAnsi="Times New Roman" w:cs="Times New Roman"/>
          <w:b/>
          <w:bCs/>
          <w:kern w:val="2"/>
          <w:szCs w:val="22"/>
          <w:lang w:val="es-419" w:eastAsia="en-US"/>
          <w14:ligatures w14:val="standardContextual"/>
        </w:rPr>
      </w:pPr>
      <w:r w:rsidRPr="0041782C">
        <w:rPr>
          <w:rFonts w:ascii="Times New Roman" w:eastAsiaTheme="minorHAnsi" w:hAnsi="Times New Roman" w:cs="Times New Roman"/>
          <w:b/>
          <w:bCs/>
          <w:kern w:val="2"/>
          <w:szCs w:val="22"/>
          <w:lang w:val="es-419" w:eastAsia="en-US"/>
          <w14:ligatures w14:val="standardContextual"/>
        </w:rPr>
        <w:t>Recomendaciones de auditorías anteriores</w:t>
      </w:r>
    </w:p>
    <w:p w14:paraId="618FE452" w14:textId="77777777" w:rsidR="00556285" w:rsidRPr="0041782C" w:rsidRDefault="00556285" w:rsidP="006917D6">
      <w:pPr>
        <w:spacing w:after="120" w:line="280" w:lineRule="exact"/>
        <w:jc w:val="both"/>
        <w:rPr>
          <w:rFonts w:ascii="Times New Roman" w:hAnsi="Times New Roman" w:cs="Times New Roman"/>
          <w:szCs w:val="22"/>
          <w:lang w:val="es-419"/>
        </w:rPr>
      </w:pPr>
      <w:r w:rsidRPr="0041782C">
        <w:rPr>
          <w:rFonts w:ascii="Times New Roman" w:hAnsi="Times New Roman"/>
          <w:lang w:val="es-419"/>
        </w:rPr>
        <w:t>En relación con la gestión de los asuntos planteados en las auditorías anteriores, el BPK ha observado que, desde 2018, la Organización ha atendido el 91,2 % de las recomendaciones.</w:t>
      </w:r>
    </w:p>
    <w:p w14:paraId="68371154" w14:textId="77777777" w:rsidR="00556285" w:rsidRPr="0041782C" w:rsidRDefault="00556285" w:rsidP="00556285">
      <w:pPr>
        <w:jc w:val="both"/>
        <w:rPr>
          <w:rFonts w:ascii="Times New Roman" w:hAnsi="Times New Roman" w:cs="Times New Roman"/>
          <w:szCs w:val="22"/>
          <w:lang w:val="es-419"/>
        </w:rPr>
        <w:sectPr w:rsidR="00556285" w:rsidRPr="0041782C" w:rsidSect="00556285">
          <w:headerReference w:type="default" r:id="rId32"/>
          <w:footerReference w:type="even" r:id="rId33"/>
          <w:footerReference w:type="default" r:id="rId34"/>
          <w:footerReference w:type="first" r:id="rId35"/>
          <w:pgSz w:w="11906" w:h="16838"/>
          <w:pgMar w:top="2268" w:right="1701" w:bottom="1701" w:left="2268" w:header="708" w:footer="708" w:gutter="0"/>
          <w:cols w:space="708"/>
          <w:docGrid w:linePitch="360"/>
        </w:sectPr>
      </w:pPr>
    </w:p>
    <w:p w14:paraId="23A0A0CE" w14:textId="77777777" w:rsidR="00556285" w:rsidRPr="0041782C" w:rsidRDefault="00556285" w:rsidP="00556285">
      <w:pPr>
        <w:pStyle w:val="Heading1"/>
        <w:spacing w:line="257" w:lineRule="auto"/>
        <w:jc w:val="center"/>
        <w:rPr>
          <w:rFonts w:eastAsia="Times New Roman"/>
          <w:bCs w:val="0"/>
          <w:sz w:val="24"/>
          <w:szCs w:val="24"/>
          <w:lang w:val="es-419"/>
        </w:rPr>
      </w:pPr>
      <w:bookmarkStart w:id="73" w:name="_Toc197205644"/>
      <w:bookmarkStart w:id="74" w:name="_Toc197206628"/>
      <w:bookmarkStart w:id="75" w:name="_Toc197206848"/>
      <w:bookmarkStart w:id="76" w:name="_Toc197377478"/>
      <w:bookmarkStart w:id="77" w:name="_Toc198742553"/>
      <w:r w:rsidRPr="0041782C">
        <w:rPr>
          <w:sz w:val="24"/>
          <w:lang w:val="es-419"/>
        </w:rPr>
        <w:lastRenderedPageBreak/>
        <w:t>INFORME DETALLADO DEL AUDITOR EXTERNO</w:t>
      </w:r>
      <w:bookmarkEnd w:id="73"/>
      <w:bookmarkEnd w:id="74"/>
      <w:bookmarkEnd w:id="75"/>
      <w:bookmarkEnd w:id="76"/>
      <w:bookmarkEnd w:id="77"/>
    </w:p>
    <w:p w14:paraId="6445B7C8" w14:textId="77777777" w:rsidR="00556285" w:rsidRPr="0041782C" w:rsidRDefault="00556285" w:rsidP="00556285">
      <w:pPr>
        <w:spacing w:line="257" w:lineRule="auto"/>
        <w:rPr>
          <w:lang w:val="es-419"/>
        </w:rPr>
      </w:pPr>
      <w:r w:rsidRPr="0041782C">
        <w:rPr>
          <w:lang w:val="es-419"/>
        </w:rPr>
        <w:t xml:space="preserve"> </w:t>
      </w:r>
    </w:p>
    <w:p w14:paraId="61A84F4B" w14:textId="77777777" w:rsidR="00556285" w:rsidRPr="0041782C" w:rsidRDefault="00556285" w:rsidP="00556285">
      <w:pPr>
        <w:jc w:val="center"/>
        <w:rPr>
          <w:lang w:val="es-419"/>
        </w:rPr>
      </w:pPr>
      <w:r w:rsidRPr="0041782C">
        <w:rPr>
          <w:rFonts w:ascii="Times New Roman" w:hAnsi="Times New Roman"/>
          <w:b/>
          <w:lang w:val="es-419"/>
        </w:rPr>
        <w:t xml:space="preserve">Informe del auditor externo sobre los estados financieros </w:t>
      </w:r>
    </w:p>
    <w:p w14:paraId="10F6CFB5" w14:textId="77777777" w:rsidR="00556285" w:rsidRPr="0041782C" w:rsidRDefault="00556285" w:rsidP="00556285">
      <w:pPr>
        <w:jc w:val="center"/>
        <w:rPr>
          <w:lang w:val="es-419"/>
        </w:rPr>
      </w:pPr>
      <w:r w:rsidRPr="0041782C">
        <w:rPr>
          <w:rFonts w:ascii="Times New Roman" w:hAnsi="Times New Roman"/>
          <w:b/>
          <w:lang w:val="es-419"/>
        </w:rPr>
        <w:t xml:space="preserve">de la Organización Mundial de la Propiedad Intelectual </w:t>
      </w:r>
    </w:p>
    <w:p w14:paraId="678B15F6" w14:textId="77777777" w:rsidR="00556285" w:rsidRPr="0041782C" w:rsidRDefault="00556285" w:rsidP="00556285">
      <w:pPr>
        <w:jc w:val="center"/>
        <w:rPr>
          <w:lang w:val="es-419"/>
        </w:rPr>
      </w:pPr>
      <w:r w:rsidRPr="0041782C">
        <w:rPr>
          <w:rFonts w:ascii="Times New Roman" w:hAnsi="Times New Roman"/>
          <w:b/>
          <w:lang w:val="es-419"/>
        </w:rPr>
        <w:t>correspondientes al ejercicio cerrado a 31 de diciembre de 2024</w:t>
      </w:r>
    </w:p>
    <w:p w14:paraId="5DD67BF2" w14:textId="77777777" w:rsidR="00556285" w:rsidRPr="0041782C" w:rsidRDefault="00556285" w:rsidP="00556285">
      <w:pPr>
        <w:rPr>
          <w:lang w:val="es-419"/>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3256"/>
        <w:gridCol w:w="4671"/>
      </w:tblGrid>
      <w:tr w:rsidR="00556285" w:rsidRPr="0041782C" w14:paraId="13FD3D56" w14:textId="77777777" w:rsidTr="006A09FF">
        <w:trPr>
          <w:trHeight w:val="430"/>
          <w:jc w:val="center"/>
        </w:trPr>
        <w:tc>
          <w:tcPr>
            <w:tcW w:w="7939" w:type="dxa"/>
            <w:gridSpan w:val="2"/>
            <w:tcBorders>
              <w:top w:val="single" w:sz="4" w:space="0" w:color="000000" w:themeColor="text1"/>
              <w:bottom w:val="single" w:sz="4" w:space="0" w:color="auto"/>
            </w:tcBorders>
            <w:shd w:val="clear" w:color="auto" w:fill="B7CFED" w:themeFill="text2" w:themeFillTint="40"/>
            <w:vAlign w:val="center"/>
          </w:tcPr>
          <w:p w14:paraId="085DDD3E" w14:textId="77777777" w:rsidR="00556285" w:rsidRPr="0041782C" w:rsidRDefault="00556285" w:rsidP="006A09FF">
            <w:pPr>
              <w:spacing w:line="320" w:lineRule="exact"/>
              <w:jc w:val="center"/>
              <w:rPr>
                <w:rFonts w:ascii="Times New Roman" w:eastAsia="Times New Roman" w:hAnsi="Times New Roman" w:cs="Times New Roman"/>
                <w:b/>
                <w:bCs/>
                <w:lang w:val="es-419"/>
              </w:rPr>
            </w:pPr>
            <w:r w:rsidRPr="0041782C">
              <w:rPr>
                <w:rFonts w:ascii="Times New Roman" w:hAnsi="Times New Roman"/>
                <w:b/>
                <w:lang w:val="es-419"/>
              </w:rPr>
              <w:t>Datos clave</w:t>
            </w:r>
          </w:p>
        </w:tc>
      </w:tr>
      <w:tr w:rsidR="00556285" w:rsidRPr="0041782C" w14:paraId="75233471" w14:textId="77777777" w:rsidTr="006A09FF">
        <w:trPr>
          <w:trHeight w:val="300"/>
          <w:jc w:val="center"/>
        </w:trPr>
        <w:tc>
          <w:tcPr>
            <w:tcW w:w="3261" w:type="dxa"/>
            <w:tcBorders>
              <w:top w:val="single" w:sz="4" w:space="0" w:color="auto"/>
              <w:bottom w:val="nil"/>
              <w:right w:val="nil"/>
            </w:tcBorders>
          </w:tcPr>
          <w:p w14:paraId="7526CD5A"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486,44 millones de francos suizos</w:t>
            </w:r>
          </w:p>
        </w:tc>
        <w:tc>
          <w:tcPr>
            <w:tcW w:w="4678" w:type="dxa"/>
            <w:tcBorders>
              <w:top w:val="single" w:sz="4" w:space="0" w:color="auto"/>
              <w:left w:val="nil"/>
              <w:bottom w:val="nil"/>
            </w:tcBorders>
          </w:tcPr>
          <w:p w14:paraId="6CA0EFFA"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Actualización de los ingresos presupuestarios de 2024</w:t>
            </w:r>
          </w:p>
        </w:tc>
      </w:tr>
      <w:tr w:rsidR="00556285" w:rsidRPr="0041782C" w14:paraId="35136D15" w14:textId="77777777" w:rsidTr="006A09FF">
        <w:trPr>
          <w:trHeight w:val="300"/>
          <w:jc w:val="center"/>
        </w:trPr>
        <w:tc>
          <w:tcPr>
            <w:tcW w:w="3261" w:type="dxa"/>
            <w:tcBorders>
              <w:top w:val="nil"/>
            </w:tcBorders>
          </w:tcPr>
          <w:p w14:paraId="629FBF2C"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425,40 millones de francos suizos</w:t>
            </w:r>
          </w:p>
        </w:tc>
        <w:tc>
          <w:tcPr>
            <w:tcW w:w="4678" w:type="dxa"/>
            <w:tcBorders>
              <w:top w:val="nil"/>
            </w:tcBorders>
          </w:tcPr>
          <w:p w14:paraId="2575D905"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Presupuesto después de transferencias y gastos de 2024</w:t>
            </w:r>
          </w:p>
        </w:tc>
      </w:tr>
      <w:tr w:rsidR="00556285" w:rsidRPr="0041782C" w14:paraId="5D37109F" w14:textId="77777777" w:rsidTr="006A09FF">
        <w:trPr>
          <w:trHeight w:val="300"/>
          <w:jc w:val="center"/>
        </w:trPr>
        <w:tc>
          <w:tcPr>
            <w:tcW w:w="3261" w:type="dxa"/>
          </w:tcPr>
          <w:p w14:paraId="454C976B" w14:textId="77777777" w:rsidR="00556285" w:rsidRPr="0041782C" w:rsidRDefault="00556285" w:rsidP="006A09FF">
            <w:pPr>
              <w:spacing w:line="320" w:lineRule="exact"/>
              <w:rPr>
                <w:rFonts w:ascii="Times New Roman" w:eastAsia="Times New Roman" w:hAnsi="Times New Roman" w:cs="Times New Roman"/>
                <w:highlight w:val="yellow"/>
                <w:lang w:val="es-419"/>
              </w:rPr>
            </w:pPr>
            <w:r w:rsidRPr="0041782C">
              <w:rPr>
                <w:rFonts w:ascii="Times New Roman" w:hAnsi="Times New Roman"/>
                <w:lang w:val="es-419"/>
              </w:rPr>
              <w:t>496,67 millones de francos suizos</w:t>
            </w:r>
          </w:p>
        </w:tc>
        <w:tc>
          <w:tcPr>
            <w:tcW w:w="4678" w:type="dxa"/>
          </w:tcPr>
          <w:p w14:paraId="2659C714"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 xml:space="preserve">Total de ingresos </w:t>
            </w:r>
          </w:p>
        </w:tc>
      </w:tr>
      <w:tr w:rsidR="00556285" w:rsidRPr="0041782C" w14:paraId="69359368" w14:textId="77777777" w:rsidTr="006A09FF">
        <w:trPr>
          <w:trHeight w:val="300"/>
          <w:jc w:val="center"/>
        </w:trPr>
        <w:tc>
          <w:tcPr>
            <w:tcW w:w="3261" w:type="dxa"/>
          </w:tcPr>
          <w:p w14:paraId="2485931B"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430,34 millones de francos suizos</w:t>
            </w:r>
          </w:p>
        </w:tc>
        <w:tc>
          <w:tcPr>
            <w:tcW w:w="4678" w:type="dxa"/>
          </w:tcPr>
          <w:p w14:paraId="33694980"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Total de gastos</w:t>
            </w:r>
          </w:p>
        </w:tc>
      </w:tr>
      <w:tr w:rsidR="00556285" w:rsidRPr="0041782C" w14:paraId="587F56B9" w14:textId="77777777" w:rsidTr="006A09FF">
        <w:trPr>
          <w:trHeight w:val="300"/>
          <w:jc w:val="center"/>
        </w:trPr>
        <w:tc>
          <w:tcPr>
            <w:tcW w:w="3261" w:type="dxa"/>
          </w:tcPr>
          <w:p w14:paraId="4764E9CD"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66,34 millones de francos suizos</w:t>
            </w:r>
          </w:p>
        </w:tc>
        <w:tc>
          <w:tcPr>
            <w:tcW w:w="4678" w:type="dxa"/>
          </w:tcPr>
          <w:p w14:paraId="056A4254"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 xml:space="preserve">Superávit de explotación </w:t>
            </w:r>
          </w:p>
        </w:tc>
      </w:tr>
      <w:tr w:rsidR="00556285" w:rsidRPr="0041782C" w14:paraId="28A85241" w14:textId="77777777" w:rsidTr="006A09FF">
        <w:trPr>
          <w:trHeight w:val="300"/>
          <w:jc w:val="center"/>
        </w:trPr>
        <w:tc>
          <w:tcPr>
            <w:tcW w:w="3261" w:type="dxa"/>
          </w:tcPr>
          <w:p w14:paraId="282ED89E"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710,66 millones de francos suizos</w:t>
            </w:r>
          </w:p>
        </w:tc>
        <w:tc>
          <w:tcPr>
            <w:tcW w:w="4678" w:type="dxa"/>
          </w:tcPr>
          <w:p w14:paraId="2838DDF9"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 xml:space="preserve">Activo neto </w:t>
            </w:r>
          </w:p>
        </w:tc>
      </w:tr>
      <w:tr w:rsidR="00556285" w:rsidRPr="0041782C" w14:paraId="24B8B2AB" w14:textId="77777777" w:rsidTr="006A09FF">
        <w:trPr>
          <w:trHeight w:val="300"/>
          <w:jc w:val="center"/>
        </w:trPr>
        <w:tc>
          <w:tcPr>
            <w:tcW w:w="3261" w:type="dxa"/>
          </w:tcPr>
          <w:p w14:paraId="5C685550" w14:textId="77777777" w:rsidR="00556285" w:rsidRPr="0041782C" w:rsidRDefault="00556285" w:rsidP="006A09FF">
            <w:pPr>
              <w:spacing w:line="320" w:lineRule="exact"/>
              <w:rPr>
                <w:rFonts w:ascii="Times New Roman" w:hAnsi="Times New Roman" w:cs="Times New Roman"/>
                <w:highlight w:val="yellow"/>
                <w:lang w:val="es-419"/>
              </w:rPr>
            </w:pPr>
            <w:r w:rsidRPr="0041782C">
              <w:rPr>
                <w:rFonts w:ascii="Times New Roman" w:hAnsi="Times New Roman"/>
                <w:lang w:val="es-419"/>
              </w:rPr>
              <w:t>1 735</w:t>
            </w:r>
          </w:p>
        </w:tc>
        <w:tc>
          <w:tcPr>
            <w:tcW w:w="4678" w:type="dxa"/>
          </w:tcPr>
          <w:p w14:paraId="299DC5C4" w14:textId="77777777" w:rsidR="00556285" w:rsidRPr="0041782C" w:rsidRDefault="00556285" w:rsidP="006A09FF">
            <w:pPr>
              <w:spacing w:line="320" w:lineRule="exact"/>
              <w:rPr>
                <w:rFonts w:ascii="Times New Roman" w:eastAsia="Times New Roman" w:hAnsi="Times New Roman" w:cs="Times New Roman"/>
                <w:lang w:val="es-419"/>
              </w:rPr>
            </w:pPr>
            <w:r w:rsidRPr="0041782C">
              <w:rPr>
                <w:rFonts w:ascii="Times New Roman" w:hAnsi="Times New Roman"/>
                <w:lang w:val="es-419"/>
              </w:rPr>
              <w:t>Plantilla y personal (a 31 de diciembre de 2024)</w:t>
            </w:r>
          </w:p>
        </w:tc>
      </w:tr>
    </w:tbl>
    <w:p w14:paraId="5CAB0204" w14:textId="77777777" w:rsidR="00556285" w:rsidRPr="0041782C" w:rsidRDefault="00556285" w:rsidP="006917D6">
      <w:pPr>
        <w:pStyle w:val="Heading1"/>
        <w:keepLines/>
        <w:numPr>
          <w:ilvl w:val="0"/>
          <w:numId w:val="37"/>
        </w:numPr>
        <w:spacing w:before="360" w:after="80" w:line="280" w:lineRule="exact"/>
        <w:ind w:left="0"/>
        <w:rPr>
          <w:rFonts w:ascii="Times New Roman" w:eastAsiaTheme="majorEastAsia" w:hAnsi="Times New Roman" w:cstheme="majorBidi"/>
          <w:bCs w:val="0"/>
          <w:caps w:val="0"/>
          <w:color w:val="000000" w:themeColor="text1"/>
          <w:kern w:val="2"/>
          <w:sz w:val="28"/>
          <w:szCs w:val="40"/>
          <w:lang w:val="es-419" w:eastAsia="en-US"/>
          <w14:ligatures w14:val="standardContextual"/>
        </w:rPr>
      </w:pPr>
      <w:bookmarkStart w:id="78" w:name="_Toc197206849"/>
      <w:bookmarkStart w:id="79" w:name="_Toc197206850"/>
      <w:bookmarkStart w:id="80" w:name="_Toc198742554"/>
      <w:bookmarkEnd w:id="78"/>
      <w:bookmarkEnd w:id="79"/>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t>Introducción</w:t>
      </w:r>
      <w:bookmarkEnd w:id="80"/>
    </w:p>
    <w:p w14:paraId="277940A0" w14:textId="77777777" w:rsidR="00556285" w:rsidRPr="0041782C" w:rsidRDefault="00556285" w:rsidP="006917D6">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1" w:name="_Toc198742555"/>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Mandato</w:t>
      </w:r>
      <w:bookmarkEnd w:id="81"/>
    </w:p>
    <w:p w14:paraId="71B1068D" w14:textId="2F3067E8"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lang w:val="es-419"/>
        </w:rPr>
        <w:t>De conformidad con el artículo 6.5 del Reglamento Financiero y la Reglamentación Financiera de la Organización Mundial de la Propiedad Intelectual (la Organización) y con el mandato establecido en el Anexo II del Reglamento, el Tribunal de Cuentas de la República de Indonesia (Badan Pemeriksa Keuangan (BPK)) llevó a cabo una auditoría de la Organización correspondiente al período comprendido entre el 1 de enero y diciembre de</w:t>
      </w:r>
      <w:r w:rsidR="006917D6" w:rsidRPr="0041782C">
        <w:rPr>
          <w:rFonts w:ascii="Times New Roman" w:hAnsi="Times New Roman"/>
          <w:lang w:val="es-419"/>
        </w:rPr>
        <w:t> </w:t>
      </w:r>
      <w:r w:rsidRPr="0041782C">
        <w:rPr>
          <w:rFonts w:ascii="Times New Roman" w:hAnsi="Times New Roman"/>
          <w:lang w:val="es-419"/>
        </w:rPr>
        <w:t>2024.</w:t>
      </w:r>
    </w:p>
    <w:p w14:paraId="2F55338E" w14:textId="77777777" w:rsidR="00556285" w:rsidRPr="0041782C" w:rsidRDefault="00556285" w:rsidP="006917D6">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2" w:name="_Toc198742556"/>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Objetivos de la auditoría</w:t>
      </w:r>
      <w:bookmarkEnd w:id="82"/>
    </w:p>
    <w:p w14:paraId="72A78A73"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La auditoría financiera se ha realizado principalmente para que el BPK pueda formarse una opinión sobre si los estados financieros de la Organización correspondientes al ejercicio cerrado a 31 de diciembre de 2024 se presentan fielmente, en todos sus aspectos significativos, de conformidad con las normas internacionales de contabilidad del sector público (IPSAS). Ello incluye una evaluación de si las operaciones se ajustan, en todos los aspectos significativos, al Reglamento Financiero y la Reglamentación Financiera de la Organización.</w:t>
      </w:r>
    </w:p>
    <w:p w14:paraId="20776301"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principal objetivo de la auditoría de rendimiento era evaluar la eficacia de la gestión de la Organización en la mejora de los servicios que presta a las partes interesadas.</w:t>
      </w:r>
    </w:p>
    <w:p w14:paraId="1F1DCF58" w14:textId="77777777" w:rsidR="00556285" w:rsidRPr="0041782C" w:rsidRDefault="00556285" w:rsidP="006917D6">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3" w:name="_Toc198742557"/>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Alcance de la auditoría</w:t>
      </w:r>
      <w:bookmarkEnd w:id="83"/>
    </w:p>
    <w:p w14:paraId="55A81C5D"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La auditoría financiera de la Organización correspondiente al ejercicio cerrado a 31 de diciembre de 2024 comprende la auditoría del estado de situación financiera a 31 de diciembre de 2024; el estado de rendimiento financiero, el estado de cambios en el </w:t>
      </w:r>
      <w:r w:rsidRPr="0041782C">
        <w:rPr>
          <w:rFonts w:ascii="Times New Roman" w:hAnsi="Times New Roman"/>
          <w:sz w:val="22"/>
          <w:lang w:val="es-419"/>
        </w:rPr>
        <w:lastRenderedPageBreak/>
        <w:t xml:space="preserve">activo neto, el estado de flujo de efectivo y el estado de comparación de los importes presupuestados y reales correspondientes al ejercicio cerrado en esa fecha; y las notas a los estados financieros. </w:t>
      </w:r>
    </w:p>
    <w:p w14:paraId="2D54FADF"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En el proceso de selección del ámbito de aplicación y de la muestra en cuanto a las posibles áreas de interés se han tenido en cuenta varios factores (más adelante se ofrecen más detalles al respecto). En consecuencia, se seleccionaron cuatro divisiones como muestra para la auditoría de rendimiento de 2024. Las divisiones seleccionadas son:</w:t>
      </w:r>
    </w:p>
    <w:p w14:paraId="302903BF" w14:textId="77777777" w:rsidR="00556285" w:rsidRPr="0041782C" w:rsidRDefault="00556285" w:rsidP="00556285">
      <w:pPr>
        <w:pStyle w:val="ListParagraph"/>
        <w:numPr>
          <w:ilvl w:val="0"/>
          <w:numId w:val="27"/>
        </w:numPr>
        <w:jc w:val="both"/>
        <w:rPr>
          <w:rFonts w:ascii="Times New Roman" w:hAnsi="Times New Roman" w:cs="Times New Roman"/>
          <w:sz w:val="22"/>
          <w:szCs w:val="22"/>
          <w:lang w:val="es-419"/>
        </w:rPr>
      </w:pPr>
      <w:r w:rsidRPr="0041782C">
        <w:rPr>
          <w:rFonts w:ascii="Times New Roman" w:hAnsi="Times New Roman"/>
          <w:sz w:val="22"/>
          <w:lang w:val="es-419"/>
        </w:rPr>
        <w:t>División de Información y Difusión por Medios Digitales</w:t>
      </w:r>
    </w:p>
    <w:p w14:paraId="30817BD9" w14:textId="77777777" w:rsidR="00556285" w:rsidRPr="0041782C" w:rsidRDefault="00556285" w:rsidP="00556285">
      <w:pPr>
        <w:pStyle w:val="ListParagraph"/>
        <w:numPr>
          <w:ilvl w:val="0"/>
          <w:numId w:val="27"/>
        </w:numPr>
        <w:jc w:val="both"/>
        <w:rPr>
          <w:rFonts w:ascii="Times New Roman" w:hAnsi="Times New Roman" w:cs="Times New Roman"/>
          <w:sz w:val="22"/>
          <w:szCs w:val="22"/>
          <w:lang w:val="es-419"/>
        </w:rPr>
      </w:pPr>
      <w:r w:rsidRPr="0041782C">
        <w:rPr>
          <w:rFonts w:ascii="Times New Roman" w:hAnsi="Times New Roman"/>
          <w:sz w:val="22"/>
          <w:lang w:val="es-419"/>
        </w:rPr>
        <w:t>División de Clasificaciones Internacionales y Normas Técnicas</w:t>
      </w:r>
    </w:p>
    <w:p w14:paraId="7278F5EB" w14:textId="77777777" w:rsidR="00556285" w:rsidRPr="0041782C" w:rsidRDefault="00556285" w:rsidP="00556285">
      <w:pPr>
        <w:pStyle w:val="ListParagraph"/>
        <w:numPr>
          <w:ilvl w:val="0"/>
          <w:numId w:val="27"/>
        </w:numPr>
        <w:jc w:val="both"/>
        <w:rPr>
          <w:rFonts w:ascii="Times New Roman" w:hAnsi="Times New Roman" w:cs="Times New Roman"/>
          <w:sz w:val="22"/>
          <w:szCs w:val="22"/>
          <w:lang w:val="es-419"/>
        </w:rPr>
      </w:pPr>
      <w:r w:rsidRPr="0041782C">
        <w:rPr>
          <w:rFonts w:ascii="Times New Roman" w:hAnsi="Times New Roman"/>
          <w:sz w:val="22"/>
          <w:lang w:val="es-419"/>
        </w:rPr>
        <w:t>División de Derecho de Autor</w:t>
      </w:r>
    </w:p>
    <w:p w14:paraId="257F1A28" w14:textId="77777777" w:rsidR="00556285" w:rsidRPr="0041782C" w:rsidRDefault="00556285" w:rsidP="00556285">
      <w:pPr>
        <w:pStyle w:val="ListParagraph"/>
        <w:numPr>
          <w:ilvl w:val="0"/>
          <w:numId w:val="27"/>
        </w:numPr>
        <w:contextualSpacing w:val="0"/>
        <w:jc w:val="both"/>
        <w:rPr>
          <w:rFonts w:ascii="Times New Roman" w:hAnsi="Times New Roman" w:cs="Times New Roman"/>
          <w:sz w:val="22"/>
          <w:szCs w:val="22"/>
          <w:lang w:val="es-419"/>
        </w:rPr>
      </w:pPr>
      <w:r w:rsidRPr="0041782C">
        <w:rPr>
          <w:rFonts w:ascii="Times New Roman" w:hAnsi="Times New Roman"/>
          <w:sz w:val="22"/>
          <w:lang w:val="es-419"/>
        </w:rPr>
        <w:t>División de Fomento del Respeto por la PI</w:t>
      </w:r>
    </w:p>
    <w:p w14:paraId="181B25A8"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4" w:name="_Toc198742558"/>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Normas de auditoría</w:t>
      </w:r>
      <w:bookmarkEnd w:id="84"/>
    </w:p>
    <w:p w14:paraId="64806F8D"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La auditoría se realizó de conformidad con las normas internacionales de auditoría (ISA). Las normas establecen que el BPK debe cumplir los requisitos éticos y planificar y realizar la auditoría para obtener garantías razonables de que los estados financieros de la organización están exentos de incorrecciones sustanciales. Además, las normas internacionales pertinentes de las entidades fiscalizadoras superiores (ISSAI) proporcionan principios, normas y orientaciones en materia de auditoría para llevar a cabo la auditoría de rendimiento. En cuanto a la regularidad, la auditoría se ajusta al Reglamento Financiero. </w:t>
      </w:r>
    </w:p>
    <w:p w14:paraId="2E44660A"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5" w:name="_Toc198742559"/>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Metodología de la auditoría</w:t>
      </w:r>
      <w:bookmarkEnd w:id="85"/>
    </w:p>
    <w:p w14:paraId="110B641A"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En consonancia con la ISA 315 (Identificación y evaluación de los riesgos de incorrecciones sustanciales) (revisada en 2019), el BPK aplica un planteamiento basado en el riesgo para centrarse en las áreas con mayor riesgo de incorrección sustancial. Esta norma aborda la responsabilidad del BPK en lo que respecta a determinar y evaluar los riesgos mediante el conocimiento de la Organización y su entorno, incluidos los procesos operativos y los controles internos. El BPK determinó y evaluó los riesgos de incorrección sustancial, tanto en el nivel de los estados financieros como en el de las afirmaciones, que sirvieron de base para los procedimientos de auditoría.</w:t>
      </w:r>
    </w:p>
    <w:p w14:paraId="7D0C0472"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El BPK diseñó y aplicó procedimientos para obtener pruebas suficientes y adecuadas de los riesgos de incorrección sustancial evaluados. Ello incluye la prueba de los controles y los procedimientos sustantivos, con especial atención a las áreas de mayor riesgo. El BPK mantiene la pertinencia de los procedimientos de auditoría actualizando continuamente la evaluación de riesgos a medida que se obtiene nueva información. </w:t>
      </w:r>
    </w:p>
    <w:p w14:paraId="511382CC"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En cuanto a la auditoría de rendimiento, el BPK ha aplicado un planteamiento orientado al sistema en el contexto de la gestión por resultados para determinar la naturaleza del examen y definir los conocimientos, la información y los datos necesarios. Un planteamiento centrado en el sistema analiza el correcto funcionamiento de los sistemas de gestión como condición para que las políticas sean </w:t>
      </w:r>
      <w:r w:rsidRPr="0041782C">
        <w:rPr>
          <w:rFonts w:ascii="Times New Roman" w:hAnsi="Times New Roman"/>
          <w:sz w:val="22"/>
          <w:lang w:val="es-419"/>
        </w:rPr>
        <w:lastRenderedPageBreak/>
        <w:t xml:space="preserve">eficaces y eficientes, y no se centra principalmente en la política o los objetivos. La metodología incluye un marco exhaustivo que comienza con la preparación de preguntas para la evaluación preliminar, seguida de la elaboración de criterios de auditoría detallados. Las pruebas se recopilaron tomando como referencia las políticas y directrices de la Organización y las mejores prácticas internacionales. Las conclusiones finales de la auditoría se formularon mediante evaluaciones cuantitativas y cualitativas, teniendo en cuenta la importancia y relevancia de los resultados para evaluar la eficacia de la gestión; las áreas y preguntas fundamentales se comunicaron a la Dirección en una carta de compromiso complementaria. </w:t>
      </w:r>
    </w:p>
    <w:p w14:paraId="748DAFD6"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La auditoría de rendimiento correspondiente al año 2024 (el primer año en que el BPK asume el cargo de auditor externo de la Organización) se centra en el pilar 1 (Explicar en todo el mundo el potencial que tiene la propiedad intelectual de mejorar la vida de la humanidad en su conjunto, y en todas partes) y el pilar 2 (Promover la colaboración entre las personas así como con las partes interesadas para dar forma al futuro del ecosistema mundial de la propiedad intelectual) del Plan Estratégico a Medio Plazo (PEMP) 2022-2026 de la Organización. En el proceso de selección del ámbito y la muestra como posibles áreas fundamentales en las que centrar la auditoría se tuvieron en cuenta varios factores, entre ellos: las prioridades correspondientes en el programa de trabajo y presupuesto 2022/23 y 2024/25 las sinergias de la organización, las preocupaciones relacionadas con la eficiencia, la importancia presupuestaria, los riesgos para la gestión, las auditorías anteriores, la repercusión potencial y las consideraciones actuales de la Dirección.</w:t>
      </w:r>
    </w:p>
    <w:p w14:paraId="7A9F9BE0"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reconoce el importante papel que desempeña la auditoría interna en las prácticas de buena gobernanza del sistema de las Naciones Unidas, así como su inestimable contribución a la supervisión y mejora de la eficacia de la gestión por riesgos y resultados de la Organización. Por consiguiente, el BPK se comunicó con la División de Supervisión Interna (DSI) y examinó el trabajo de la DSI para determinar si dicho trabajo era adecuado a los fines de la auditoría.</w:t>
      </w:r>
    </w:p>
    <w:p w14:paraId="582BD962"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examinó, actualizó e informó sobre el estado de las recomendaciones formuladas en las auditorías de años anteriores.</w:t>
      </w:r>
    </w:p>
    <w:p w14:paraId="253F6BEE"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6" w:name="_Toc198742560"/>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Informes</w:t>
      </w:r>
      <w:bookmarkEnd w:id="86"/>
    </w:p>
    <w:p w14:paraId="0D1C4F73"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La finalidad de este informe es comunicar los resultados de la auditoría a la Organización y a quienes tienen encomendada la gobernanza, así como a otras partes interesadas. Los resultados u observaciones importantes derivados de los procedimientos de auditoría aplicados se comunicaron, tras un debate pormenorizado con los responsables de la gestión, mediante cartas de gestión. Los resultados más importantes, debidamente agregados, se han incorporado al presente informe, tras considerar debidamente las respuestas finales de la Dirección y sus planes de acción para la aplicación de las recomendaciones de auditoría.</w:t>
      </w:r>
    </w:p>
    <w:p w14:paraId="122094EB"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7" w:name="_Toc198742561"/>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Encargo inicial de auditoría</w:t>
      </w:r>
      <w:bookmarkEnd w:id="87"/>
    </w:p>
    <w:p w14:paraId="06FDC04F"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De conformidad con los requisitos de las ISA, el BPK llevó a cabo procedimientos preliminares antes de iniciar el encargo de auditoría inicial, entre ellos:</w:t>
      </w:r>
    </w:p>
    <w:p w14:paraId="4FC74E5F" w14:textId="77777777" w:rsidR="00556285" w:rsidRPr="0041782C" w:rsidRDefault="00556285" w:rsidP="00556285">
      <w:pPr>
        <w:numPr>
          <w:ilvl w:val="0"/>
          <w:numId w:val="18"/>
        </w:numPr>
        <w:spacing w:after="120" w:line="280" w:lineRule="exact"/>
        <w:jc w:val="both"/>
        <w:rPr>
          <w:rFonts w:ascii="Times New Roman" w:hAnsi="Times New Roman" w:cs="Times New Roman"/>
          <w:szCs w:val="22"/>
          <w:lang w:val="es-419"/>
        </w:rPr>
      </w:pPr>
      <w:r w:rsidRPr="0041782C">
        <w:rPr>
          <w:rFonts w:ascii="Times New Roman" w:hAnsi="Times New Roman"/>
          <w:lang w:val="es-419"/>
        </w:rPr>
        <w:lastRenderedPageBreak/>
        <w:t>Análisis preliminar de la Organización y su entorno</w:t>
      </w:r>
    </w:p>
    <w:p w14:paraId="2C166AC7" w14:textId="77777777" w:rsidR="00556285" w:rsidRPr="0041782C" w:rsidRDefault="00556285" w:rsidP="00556285">
      <w:pPr>
        <w:ind w:left="786"/>
        <w:jc w:val="both"/>
        <w:rPr>
          <w:rFonts w:ascii="Times New Roman" w:hAnsi="Times New Roman" w:cs="Times New Roman"/>
          <w:szCs w:val="22"/>
          <w:lang w:val="es-419"/>
        </w:rPr>
      </w:pPr>
      <w:r w:rsidRPr="0041782C">
        <w:rPr>
          <w:rFonts w:ascii="Times New Roman" w:hAnsi="Times New Roman"/>
          <w:lang w:val="es-419"/>
        </w:rPr>
        <w:t>El BPK realizó un análisis inicial de las operaciones, el sector, el entorno normativo y los sistemas de control interno de la Organización para determinar y evaluar los riesgos de incorrección sustancial.</w:t>
      </w:r>
    </w:p>
    <w:p w14:paraId="730B2D15" w14:textId="77777777" w:rsidR="00556285" w:rsidRPr="0041782C" w:rsidRDefault="00556285" w:rsidP="00556285">
      <w:pPr>
        <w:numPr>
          <w:ilvl w:val="0"/>
          <w:numId w:val="18"/>
        </w:numPr>
        <w:spacing w:after="120" w:line="280" w:lineRule="exact"/>
        <w:jc w:val="both"/>
        <w:rPr>
          <w:rFonts w:ascii="Times New Roman" w:hAnsi="Times New Roman" w:cs="Times New Roman"/>
          <w:szCs w:val="22"/>
          <w:lang w:val="es-419"/>
        </w:rPr>
      </w:pPr>
      <w:r w:rsidRPr="0041782C">
        <w:rPr>
          <w:rFonts w:ascii="Times New Roman" w:hAnsi="Times New Roman"/>
          <w:lang w:val="es-419"/>
        </w:rPr>
        <w:t>Acuerdo sobre las condiciones del encargo</w:t>
      </w:r>
    </w:p>
    <w:p w14:paraId="0ECD61D6" w14:textId="77777777" w:rsidR="00556285" w:rsidRPr="0041782C" w:rsidRDefault="00556285" w:rsidP="00556285">
      <w:pPr>
        <w:ind w:left="786"/>
        <w:jc w:val="both"/>
        <w:rPr>
          <w:rFonts w:ascii="Times New Roman" w:hAnsi="Times New Roman" w:cs="Times New Roman"/>
          <w:szCs w:val="22"/>
          <w:lang w:val="es-419"/>
        </w:rPr>
      </w:pPr>
      <w:r w:rsidRPr="0041782C">
        <w:rPr>
          <w:rFonts w:ascii="Times New Roman" w:hAnsi="Times New Roman"/>
          <w:lang w:val="es-419"/>
        </w:rPr>
        <w:t>Se preparó y firmó una carta formal de compromiso en la que se indicaban el alcance, los objetivos y las responsabilidades del BPK y de la Dirección, estableciéndose así un acuerdo mutuo sobre las condiciones del encargo de auditoría.</w:t>
      </w:r>
    </w:p>
    <w:p w14:paraId="782F1519" w14:textId="77777777" w:rsidR="00556285" w:rsidRPr="0041782C" w:rsidRDefault="00556285" w:rsidP="00556285">
      <w:pPr>
        <w:ind w:left="786"/>
        <w:jc w:val="both"/>
        <w:rPr>
          <w:rFonts w:ascii="Times New Roman" w:hAnsi="Times New Roman" w:cs="Times New Roman"/>
          <w:szCs w:val="22"/>
          <w:lang w:val="es-419"/>
        </w:rPr>
      </w:pPr>
    </w:p>
    <w:p w14:paraId="41494F6D" w14:textId="77777777" w:rsidR="00556285" w:rsidRPr="0041782C" w:rsidRDefault="00556285" w:rsidP="00556285">
      <w:pPr>
        <w:ind w:left="786"/>
        <w:jc w:val="both"/>
        <w:rPr>
          <w:rFonts w:ascii="Times New Roman" w:hAnsi="Times New Roman" w:cs="Times New Roman"/>
          <w:szCs w:val="22"/>
          <w:lang w:val="es-419"/>
        </w:rPr>
      </w:pPr>
    </w:p>
    <w:p w14:paraId="3478DF71" w14:textId="77777777" w:rsidR="00556285" w:rsidRPr="0041782C" w:rsidRDefault="00556285" w:rsidP="00556285">
      <w:pPr>
        <w:numPr>
          <w:ilvl w:val="0"/>
          <w:numId w:val="18"/>
        </w:numPr>
        <w:spacing w:after="120" w:line="280" w:lineRule="exact"/>
        <w:jc w:val="both"/>
        <w:rPr>
          <w:rFonts w:ascii="Times New Roman" w:hAnsi="Times New Roman" w:cs="Times New Roman"/>
          <w:szCs w:val="22"/>
          <w:lang w:val="es-419"/>
        </w:rPr>
      </w:pPr>
      <w:r w:rsidRPr="0041782C">
        <w:rPr>
          <w:rFonts w:ascii="Times New Roman" w:hAnsi="Times New Roman"/>
          <w:lang w:val="es-419"/>
        </w:rPr>
        <w:t>Evaluación de la independencia y la ética profesional</w:t>
      </w:r>
    </w:p>
    <w:p w14:paraId="1C20B989" w14:textId="77777777" w:rsidR="00556285" w:rsidRPr="0041782C" w:rsidRDefault="00556285" w:rsidP="00556285">
      <w:pPr>
        <w:ind w:left="786"/>
        <w:jc w:val="both"/>
        <w:rPr>
          <w:rFonts w:ascii="Times New Roman" w:hAnsi="Times New Roman" w:cs="Times New Roman"/>
          <w:szCs w:val="22"/>
          <w:lang w:val="es-419"/>
        </w:rPr>
      </w:pPr>
      <w:r w:rsidRPr="0041782C">
        <w:rPr>
          <w:rFonts w:ascii="Times New Roman" w:hAnsi="Times New Roman"/>
          <w:lang w:val="es-419"/>
        </w:rPr>
        <w:t>Se verificó la independencia del auditor y el cumplimiento de los requisitos éticos pertinentes.</w:t>
      </w:r>
    </w:p>
    <w:p w14:paraId="2E7A7B30" w14:textId="77777777" w:rsidR="00556285" w:rsidRPr="0041782C" w:rsidRDefault="00556285" w:rsidP="00556285">
      <w:pPr>
        <w:numPr>
          <w:ilvl w:val="0"/>
          <w:numId w:val="18"/>
        </w:numPr>
        <w:spacing w:after="120" w:line="280" w:lineRule="exact"/>
        <w:jc w:val="both"/>
        <w:rPr>
          <w:rFonts w:ascii="Times New Roman" w:hAnsi="Times New Roman" w:cs="Times New Roman"/>
          <w:szCs w:val="22"/>
          <w:lang w:val="es-419"/>
        </w:rPr>
      </w:pPr>
      <w:r w:rsidRPr="0041782C">
        <w:rPr>
          <w:rFonts w:ascii="Times New Roman" w:hAnsi="Times New Roman"/>
          <w:lang w:val="es-419"/>
        </w:rPr>
        <w:t>Procedimientos analíticos preliminares</w:t>
      </w:r>
    </w:p>
    <w:p w14:paraId="2BD49FAE" w14:textId="77777777" w:rsidR="00556285" w:rsidRPr="0041782C" w:rsidRDefault="00556285" w:rsidP="00556285">
      <w:pPr>
        <w:ind w:left="786"/>
        <w:jc w:val="both"/>
        <w:rPr>
          <w:rFonts w:ascii="Times New Roman" w:hAnsi="Times New Roman" w:cs="Times New Roman"/>
          <w:b/>
          <w:bCs/>
          <w:szCs w:val="22"/>
          <w:lang w:val="es-419"/>
        </w:rPr>
      </w:pPr>
      <w:r w:rsidRPr="0041782C">
        <w:rPr>
          <w:rFonts w:ascii="Times New Roman" w:hAnsi="Times New Roman"/>
          <w:lang w:val="es-419"/>
        </w:rPr>
        <w:t>Se realizaron procedimientos analíticos iniciales para comprender la situación financiera de la entidad y determinar las áreas que pueden representar riesgos específicos, de acuerdo con las orientaciones contenidas en las normas.</w:t>
      </w:r>
      <w:r w:rsidRPr="0041782C">
        <w:rPr>
          <w:rFonts w:ascii="Times New Roman" w:hAnsi="Times New Roman"/>
          <w:lang w:val="es-419"/>
        </w:rPr>
        <w:br w:type="page"/>
      </w:r>
    </w:p>
    <w:p w14:paraId="16FE9561"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heme="majorBidi"/>
          <w:bCs w:val="0"/>
          <w:caps w:val="0"/>
          <w:color w:val="000000" w:themeColor="text1"/>
          <w:kern w:val="2"/>
          <w:sz w:val="28"/>
          <w:szCs w:val="40"/>
          <w:lang w:val="es-419" w:eastAsia="en-US"/>
          <w14:ligatures w14:val="standardContextual"/>
        </w:rPr>
      </w:pPr>
      <w:bookmarkStart w:id="88" w:name="_Toc198742562"/>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lastRenderedPageBreak/>
        <w:t>Resumen financiero</w:t>
      </w:r>
      <w:bookmarkEnd w:id="88"/>
    </w:p>
    <w:p w14:paraId="3FB5626F"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89" w:name="_Toc198742563"/>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Situación financiera</w:t>
      </w:r>
      <w:bookmarkEnd w:id="89"/>
    </w:p>
    <w:p w14:paraId="2C8E1F02"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La situación financiera a 31 de diciembre de 2024 presenta un aumento del 10,4 % en el total de activos, que asciende a 1 912,96 millones de francos suizos (2023: 1 732,47 millones). Este crecimiento se debió principalmente al aumento del efectivo y los equivalentes de efectivo y de las inversiones a largo plazo, que aumentaron un 13,1 % y un 18,3 %, respectivamente, en comparación con los saldos del año anterior. </w:t>
      </w:r>
    </w:p>
    <w:p w14:paraId="63484BAB"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Un notable aumento de 65,93 millones de francos suizos (11,4 %) en el pasivo de prestaciones pagaderas a largo plazo contribuyó notablemente al incremento del total del pasivo hasta alcanzar los 1 202,30 millones (2023: 1 127,31 millones). Las variaciones en el tipo de descuento y las indemnizaciones médicas en el cálculo del seguro médico pagadero tras la separación del servicio son las principales causas de este aumento.</w:t>
      </w:r>
    </w:p>
    <w:p w14:paraId="678BC4F2"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La posición de cierre del activo neto, que figura en el estado de la situación financiera, asciende a 710,66 millones de francos suizos (2023: 605,17 millones), lo que refleja una situación financiera saneada para la Organización. Ello supuso un aumento de 105,49 millones de francos suizos (2023: 45,20 millones) respecto al año anterior. El motivo principal fue el superávit del ejercicio 2024, que ascendió a 140,07 millones de francos suizos.</w:t>
      </w:r>
    </w:p>
    <w:p w14:paraId="780F7258"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90" w:name="_Toc198742564"/>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Rendimiento financiero</w:t>
      </w:r>
      <w:bookmarkEnd w:id="90"/>
    </w:p>
    <w:p w14:paraId="03A29288"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La Organización registró un crecimiento financiero en 2024, con un aumento de los ingresos del 1,5 % hasta alcanzar los 496,67 millones de francos suizos (2023: 489,29 millones). Los ingresos de la Organización procedieron principalmente de las tasas del Tratado de Cooperación en materia de Patentes (PCT), que siguieron siendo la mayor fuente de ingresos de la Organización, con 371,09 millones de francos suizos (74,7 % de los ingresos), seguidas de las tasas del Sistema de Madrid, con 83,32 millones (16,8 % de los ingresos). </w:t>
      </w:r>
    </w:p>
    <w:p w14:paraId="0EDC28ED" w14:textId="77777777" w:rsidR="00556285" w:rsidRPr="0041782C" w:rsidRDefault="00556285" w:rsidP="00556285">
      <w:pPr>
        <w:pStyle w:val="ListParagraph"/>
        <w:numPr>
          <w:ilvl w:val="0"/>
          <w:numId w:val="10"/>
        </w:numPr>
        <w:ind w:left="426" w:hanging="426"/>
        <w:contextualSpacing w:val="0"/>
        <w:jc w:val="both"/>
        <w:rPr>
          <w:sz w:val="22"/>
          <w:szCs w:val="22"/>
          <w:lang w:val="es-419"/>
        </w:rPr>
      </w:pPr>
      <w:r w:rsidRPr="0041782C">
        <w:rPr>
          <w:rFonts w:ascii="Times New Roman" w:hAnsi="Times New Roman"/>
          <w:sz w:val="22"/>
          <w:lang w:val="es-419"/>
        </w:rPr>
        <w:t xml:space="preserve">Los gastos aumentaron un 0,6 %, hasta alcanzar los 430,33 millones de francos suizos (2023: 427,64 millones). Los gastos de personal siguen siendo la principal categoría de gastos, con 252,84 millones de francos suizos (58,8 % de los gastos), seguidos de los servicios contractuales, con 113,41 millones (26,4% de los gastos). Varias categorías de gastos aumentaron, en particular viajes, formación y becas, que crecieron un 14,8% hasta 16,91 millones de francos suizos, mientras que los gastos que disminuyeron fueron los de equipamiento y suministros, que cayeron un 42,1% hasta 2,29 millones de francos suizos, y los gastos de explotación, que disminuyeron un 4,1% hasta 24,53 millones de francos suizos, respectivamente. </w:t>
      </w:r>
    </w:p>
    <w:p w14:paraId="2F1AC472" w14:textId="77777777" w:rsidR="00556285" w:rsidRPr="0041782C" w:rsidRDefault="00556285" w:rsidP="00556285">
      <w:pPr>
        <w:pStyle w:val="ListParagraph"/>
        <w:numPr>
          <w:ilvl w:val="0"/>
          <w:numId w:val="10"/>
        </w:numPr>
        <w:ind w:left="426"/>
        <w:contextualSpacing w:val="0"/>
        <w:jc w:val="both"/>
        <w:rPr>
          <w:rFonts w:ascii="Times New Roman" w:hAnsi="Times New Roman" w:cs="Times New Roman"/>
          <w:sz w:val="22"/>
          <w:szCs w:val="22"/>
          <w:lang w:val="es-419"/>
        </w:rPr>
      </w:pPr>
      <w:r w:rsidRPr="0041782C">
        <w:rPr>
          <w:rFonts w:ascii="Times New Roman" w:hAnsi="Times New Roman"/>
          <w:sz w:val="22"/>
          <w:lang w:val="es-419"/>
        </w:rPr>
        <w:t>Los resultados financieros de la Organización se reforzaron considerablemente en 2024, con un superávit total que aumentó en 26,24 millones de francos suizos (23,0%) hasta alcanzar los 140,07 millones de francos suizos (2023: 113,83 millones). Este crecimiento sustancial puede atribuirse al superávit de explotación y al valor razonable de las inversiones (ganancias no realizadas), que se registran en 66,34 millones de francos suizos y 73,73 millones, respectivamente, durante 2024.</w:t>
      </w:r>
    </w:p>
    <w:p w14:paraId="30EF13AB"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91" w:name="_Toc198742565"/>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lastRenderedPageBreak/>
        <w:t>Salud financiera</w:t>
      </w:r>
      <w:bookmarkEnd w:id="91"/>
    </w:p>
    <w:p w14:paraId="5ED2612F" w14:textId="77777777" w:rsidR="00556285" w:rsidRPr="0041782C" w:rsidRDefault="00556285" w:rsidP="00556285">
      <w:pPr>
        <w:pStyle w:val="ListParagraph"/>
        <w:numPr>
          <w:ilvl w:val="0"/>
          <w:numId w:val="10"/>
        </w:numPr>
        <w:ind w:left="426" w:hanging="426"/>
        <w:jc w:val="both"/>
        <w:rPr>
          <w:rFonts w:ascii="Times New Roman" w:hAnsi="Times New Roman" w:cs="Times New Roman"/>
          <w:lang w:val="es-419"/>
        </w:rPr>
      </w:pPr>
      <w:r w:rsidRPr="0041782C">
        <w:rPr>
          <w:rFonts w:ascii="Times New Roman" w:hAnsi="Times New Roman"/>
          <w:sz w:val="22"/>
          <w:lang w:val="es-419"/>
        </w:rPr>
        <w:t>En nuestra auditoría, el BPK utiliza el análisis de coeficientes de la salud financiera de la Organización para mostrar cómo la posición financiera y el rendimiento financiero cambian con el tiempo. Expresan la relación de una partida con respecto a otra. Por ejemplo, hay 0,65 francos suizos de activo corriente por cada franco suizo de pasivo corriente. Normalmente esto podría ser motivo de preocupación, pero este bajo nivel se considera manejable, como indican otros coeficientes, como el total de activos / pasivos, en el que un coeficiente elevado es un buen indicador de solvencia, y el coeficiente de explotación, en el que la Organización mantiene más ingresos retenidos como porcentaje de los gastos. En el cuadro 1 se describen los coeficientes financieros de la Organización en los últimos cinco años.</w:t>
      </w:r>
    </w:p>
    <w:p w14:paraId="47E72EA7" w14:textId="3D4CEDC9" w:rsidR="00556285" w:rsidRPr="0041782C" w:rsidRDefault="00556285" w:rsidP="00556285">
      <w:pPr>
        <w:pStyle w:val="Caption"/>
        <w:keepNext/>
        <w:spacing w:after="120"/>
        <w:jc w:val="center"/>
        <w:rPr>
          <w:b w:val="0"/>
          <w:bCs w:val="0"/>
          <w:i/>
          <w:iCs/>
          <w:color w:val="000000" w:themeColor="text1"/>
          <w:lang w:val="es-419"/>
        </w:rPr>
      </w:pPr>
      <w:bookmarkStart w:id="92" w:name="_Toc197089139"/>
      <w:bookmarkStart w:id="93" w:name="_Toc198742224"/>
      <w:r w:rsidRPr="0041782C">
        <w:rPr>
          <w:color w:val="000000" w:themeColor="text1"/>
          <w:lang w:val="es-419"/>
        </w:rPr>
        <w:t xml:space="preserve">Cuadro </w:t>
      </w:r>
      <w:r w:rsidRPr="0041782C">
        <w:rPr>
          <w:b w:val="0"/>
          <w:i/>
          <w:color w:val="000000" w:themeColor="text1"/>
          <w:lang w:val="es-419"/>
        </w:rPr>
        <w:fldChar w:fldCharType="begin"/>
      </w:r>
      <w:r w:rsidRPr="0041782C">
        <w:rPr>
          <w:color w:val="000000" w:themeColor="text1"/>
          <w:lang w:val="es-419"/>
        </w:rPr>
        <w:instrText xml:space="preserve"> SEQ Table \* ARABIC </w:instrText>
      </w:r>
      <w:r w:rsidRPr="0041782C">
        <w:rPr>
          <w:b w:val="0"/>
          <w:i/>
          <w:color w:val="000000" w:themeColor="text1"/>
          <w:lang w:val="es-419"/>
        </w:rPr>
        <w:fldChar w:fldCharType="separate"/>
      </w:r>
      <w:r w:rsidR="000001EE">
        <w:rPr>
          <w:noProof/>
          <w:color w:val="000000" w:themeColor="text1"/>
          <w:lang w:val="es-419"/>
        </w:rPr>
        <w:t>1</w:t>
      </w:r>
      <w:r w:rsidRPr="0041782C">
        <w:rPr>
          <w:b w:val="0"/>
          <w:i/>
          <w:color w:val="000000" w:themeColor="text1"/>
          <w:lang w:val="es-419"/>
        </w:rPr>
        <w:fldChar w:fldCharType="end"/>
      </w:r>
      <w:r w:rsidRPr="0041782C">
        <w:rPr>
          <w:color w:val="000000" w:themeColor="text1"/>
          <w:lang w:val="es-419"/>
        </w:rPr>
        <w:t>. Coeficiente financiero de la Organización</w:t>
      </w:r>
      <w:bookmarkEnd w:id="92"/>
      <w:bookmarkEnd w:id="93"/>
    </w:p>
    <w:tbl>
      <w:tblPr>
        <w:tblStyle w:val="ListTable6Colorful"/>
        <w:tblW w:w="7938" w:type="dxa"/>
        <w:tblInd w:w="426" w:type="dxa"/>
        <w:tblLayout w:type="fixed"/>
        <w:tblLook w:val="04A0" w:firstRow="1" w:lastRow="0" w:firstColumn="1" w:lastColumn="0" w:noHBand="0" w:noVBand="1"/>
      </w:tblPr>
      <w:tblGrid>
        <w:gridCol w:w="4110"/>
        <w:gridCol w:w="851"/>
        <w:gridCol w:w="709"/>
        <w:gridCol w:w="850"/>
        <w:gridCol w:w="709"/>
        <w:gridCol w:w="709"/>
      </w:tblGrid>
      <w:tr w:rsidR="00556285" w:rsidRPr="0041782C" w14:paraId="490C6A6B" w14:textId="77777777" w:rsidTr="006A0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shd w:val="clear" w:color="auto" w:fill="B7CFED" w:themeFill="text2" w:themeFillTint="40"/>
          </w:tcPr>
          <w:p w14:paraId="0AF589B3" w14:textId="77777777" w:rsidR="00556285" w:rsidRPr="0041782C" w:rsidRDefault="00556285" w:rsidP="006A09FF">
            <w:pPr>
              <w:spacing w:before="60" w:after="60"/>
              <w:jc w:val="center"/>
              <w:rPr>
                <w:sz w:val="16"/>
                <w:szCs w:val="16"/>
                <w:lang w:val="es-419"/>
              </w:rPr>
            </w:pPr>
            <w:r w:rsidRPr="0041782C">
              <w:rPr>
                <w:sz w:val="16"/>
                <w:lang w:val="es-419"/>
              </w:rPr>
              <w:t>Coeficiente</w:t>
            </w:r>
          </w:p>
        </w:tc>
        <w:tc>
          <w:tcPr>
            <w:tcW w:w="851" w:type="dxa"/>
            <w:shd w:val="clear" w:color="auto" w:fill="B7CFED" w:themeFill="text2" w:themeFillTint="40"/>
          </w:tcPr>
          <w:p w14:paraId="08B04104" w14:textId="77777777" w:rsidR="00556285" w:rsidRPr="0041782C" w:rsidRDefault="00556285" w:rsidP="006A09FF">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2024</w:t>
            </w:r>
          </w:p>
        </w:tc>
        <w:tc>
          <w:tcPr>
            <w:tcW w:w="709" w:type="dxa"/>
            <w:shd w:val="clear" w:color="auto" w:fill="B7CFED" w:themeFill="text2" w:themeFillTint="40"/>
          </w:tcPr>
          <w:p w14:paraId="6CBAF7A3" w14:textId="77777777" w:rsidR="00556285" w:rsidRPr="0041782C" w:rsidRDefault="00556285" w:rsidP="006A09FF">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2023</w:t>
            </w:r>
          </w:p>
        </w:tc>
        <w:tc>
          <w:tcPr>
            <w:tcW w:w="850" w:type="dxa"/>
            <w:shd w:val="clear" w:color="auto" w:fill="B7CFED" w:themeFill="text2" w:themeFillTint="40"/>
          </w:tcPr>
          <w:p w14:paraId="5BBB2977" w14:textId="77777777" w:rsidR="00556285" w:rsidRPr="0041782C" w:rsidRDefault="00556285" w:rsidP="006A09FF">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2022</w:t>
            </w:r>
          </w:p>
        </w:tc>
        <w:tc>
          <w:tcPr>
            <w:tcW w:w="709" w:type="dxa"/>
            <w:shd w:val="clear" w:color="auto" w:fill="B7CFED" w:themeFill="text2" w:themeFillTint="40"/>
          </w:tcPr>
          <w:p w14:paraId="3632A0CF" w14:textId="77777777" w:rsidR="00556285" w:rsidRPr="0041782C" w:rsidRDefault="00556285" w:rsidP="006A09FF">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2021</w:t>
            </w:r>
          </w:p>
        </w:tc>
        <w:tc>
          <w:tcPr>
            <w:tcW w:w="709" w:type="dxa"/>
            <w:shd w:val="clear" w:color="auto" w:fill="B7CFED" w:themeFill="text2" w:themeFillTint="40"/>
          </w:tcPr>
          <w:p w14:paraId="4F4FF23A" w14:textId="77777777" w:rsidR="00556285" w:rsidRPr="0041782C" w:rsidRDefault="00556285" w:rsidP="006A09FF">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2020</w:t>
            </w:r>
          </w:p>
        </w:tc>
      </w:tr>
      <w:tr w:rsidR="00556285" w:rsidRPr="0041782C" w14:paraId="331E7A2C" w14:textId="77777777" w:rsidTr="006A0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7C5B726B" w14:textId="77777777" w:rsidR="00556285" w:rsidRPr="0041782C" w:rsidRDefault="00556285" w:rsidP="006A09FF">
            <w:pPr>
              <w:spacing w:before="60" w:after="60"/>
              <w:jc w:val="both"/>
              <w:rPr>
                <w:rFonts w:eastAsia="Arial"/>
                <w:sz w:val="16"/>
                <w:szCs w:val="16"/>
                <w:lang w:val="es-419"/>
              </w:rPr>
            </w:pPr>
            <w:r w:rsidRPr="0041782C">
              <w:rPr>
                <w:sz w:val="16"/>
                <w:lang w:val="es-419"/>
              </w:rPr>
              <w:t>Coeficiente corriente</w:t>
            </w:r>
            <w:r w:rsidRPr="0041782C">
              <w:rPr>
                <w:sz w:val="16"/>
                <w:vertAlign w:val="superscript"/>
                <w:lang w:val="es-419"/>
              </w:rPr>
              <w:t>1</w:t>
            </w:r>
          </w:p>
          <w:p w14:paraId="5B41741F" w14:textId="77777777" w:rsidR="00556285" w:rsidRPr="0041782C" w:rsidRDefault="00556285" w:rsidP="006A09FF">
            <w:pPr>
              <w:spacing w:before="60" w:after="60"/>
              <w:jc w:val="both"/>
              <w:rPr>
                <w:rFonts w:eastAsia="Arial"/>
                <w:b w:val="0"/>
                <w:bCs w:val="0"/>
                <w:sz w:val="16"/>
                <w:szCs w:val="16"/>
                <w:lang w:val="es-419"/>
              </w:rPr>
            </w:pPr>
            <w:r w:rsidRPr="0041782C">
              <w:rPr>
                <w:sz w:val="16"/>
                <w:lang w:val="es-419"/>
              </w:rPr>
              <w:t xml:space="preserve">Activo corriente  / </w:t>
            </w:r>
            <w:r w:rsidRPr="0041782C">
              <w:rPr>
                <w:b w:val="0"/>
                <w:sz w:val="16"/>
                <w:lang w:val="es-419"/>
              </w:rPr>
              <w:t>Pasivo </w:t>
            </w:r>
            <w:r w:rsidRPr="0041782C">
              <w:rPr>
                <w:sz w:val="16"/>
                <w:lang w:val="es-419"/>
              </w:rPr>
              <w:t>corriente</w:t>
            </w:r>
          </w:p>
        </w:tc>
        <w:tc>
          <w:tcPr>
            <w:tcW w:w="851" w:type="dxa"/>
          </w:tcPr>
          <w:p w14:paraId="7910AFD6"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0,65</w:t>
            </w:r>
          </w:p>
        </w:tc>
        <w:tc>
          <w:tcPr>
            <w:tcW w:w="709" w:type="dxa"/>
          </w:tcPr>
          <w:p w14:paraId="10369823"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0,66</w:t>
            </w:r>
          </w:p>
        </w:tc>
        <w:tc>
          <w:tcPr>
            <w:tcW w:w="850" w:type="dxa"/>
          </w:tcPr>
          <w:p w14:paraId="19771FB4"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0,66</w:t>
            </w:r>
          </w:p>
        </w:tc>
        <w:tc>
          <w:tcPr>
            <w:tcW w:w="709" w:type="dxa"/>
          </w:tcPr>
          <w:p w14:paraId="0A07FD95"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0,54</w:t>
            </w:r>
          </w:p>
        </w:tc>
        <w:tc>
          <w:tcPr>
            <w:tcW w:w="709" w:type="dxa"/>
          </w:tcPr>
          <w:p w14:paraId="6F97F1A7"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0,63</w:t>
            </w:r>
          </w:p>
        </w:tc>
      </w:tr>
      <w:tr w:rsidR="00556285" w:rsidRPr="0041782C" w14:paraId="2CB9DE63" w14:textId="77777777" w:rsidTr="006A09FF">
        <w:trPr>
          <w:trHeight w:val="300"/>
        </w:trPr>
        <w:tc>
          <w:tcPr>
            <w:cnfStyle w:val="001000000000" w:firstRow="0" w:lastRow="0" w:firstColumn="1" w:lastColumn="0" w:oddVBand="0" w:evenVBand="0" w:oddHBand="0" w:evenHBand="0" w:firstRowFirstColumn="0" w:firstRowLastColumn="0" w:lastRowFirstColumn="0" w:lastRowLastColumn="0"/>
            <w:tcW w:w="4110" w:type="dxa"/>
          </w:tcPr>
          <w:p w14:paraId="3341B00B" w14:textId="77777777" w:rsidR="00556285" w:rsidRPr="0041782C" w:rsidRDefault="00556285" w:rsidP="006A09FF">
            <w:pPr>
              <w:spacing w:before="60" w:after="60"/>
              <w:jc w:val="both"/>
              <w:rPr>
                <w:sz w:val="16"/>
                <w:szCs w:val="16"/>
                <w:lang w:val="es-419"/>
              </w:rPr>
            </w:pPr>
            <w:r w:rsidRPr="0041782C">
              <w:rPr>
                <w:sz w:val="16"/>
                <w:lang w:val="es-419"/>
              </w:rPr>
              <w:t>Total de activos: Total del pasivo</w:t>
            </w:r>
            <w:r w:rsidRPr="0041782C">
              <w:rPr>
                <w:sz w:val="16"/>
                <w:vertAlign w:val="superscript"/>
                <w:lang w:val="es-419"/>
              </w:rPr>
              <w:t>2</w:t>
            </w:r>
          </w:p>
          <w:p w14:paraId="7A0B6977" w14:textId="77777777" w:rsidR="00556285" w:rsidRPr="0041782C" w:rsidRDefault="00556285" w:rsidP="006A09FF">
            <w:pPr>
              <w:spacing w:before="60" w:after="60"/>
              <w:jc w:val="both"/>
              <w:rPr>
                <w:b w:val="0"/>
                <w:bCs w:val="0"/>
                <w:sz w:val="16"/>
                <w:szCs w:val="16"/>
                <w:lang w:val="es-419"/>
              </w:rPr>
            </w:pPr>
            <w:r w:rsidRPr="0041782C">
              <w:rPr>
                <w:sz w:val="16"/>
                <w:lang w:val="es-419"/>
              </w:rPr>
              <w:t>Activo: Pasivo</w:t>
            </w:r>
          </w:p>
        </w:tc>
        <w:tc>
          <w:tcPr>
            <w:tcW w:w="851" w:type="dxa"/>
          </w:tcPr>
          <w:p w14:paraId="22D9E169"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1,59</w:t>
            </w:r>
          </w:p>
        </w:tc>
        <w:tc>
          <w:tcPr>
            <w:tcW w:w="709" w:type="dxa"/>
          </w:tcPr>
          <w:p w14:paraId="1BA93145"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1,54</w:t>
            </w:r>
          </w:p>
        </w:tc>
        <w:tc>
          <w:tcPr>
            <w:tcW w:w="850" w:type="dxa"/>
          </w:tcPr>
          <w:p w14:paraId="44D3D96A"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1,53</w:t>
            </w:r>
          </w:p>
        </w:tc>
        <w:tc>
          <w:tcPr>
            <w:tcW w:w="709" w:type="dxa"/>
          </w:tcPr>
          <w:p w14:paraId="0E489DF0"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1,35</w:t>
            </w:r>
          </w:p>
        </w:tc>
        <w:tc>
          <w:tcPr>
            <w:tcW w:w="709" w:type="dxa"/>
          </w:tcPr>
          <w:p w14:paraId="12DFBF48"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1,39</w:t>
            </w:r>
          </w:p>
        </w:tc>
      </w:tr>
      <w:tr w:rsidR="00556285" w:rsidRPr="0041782C" w14:paraId="084F0F5B" w14:textId="77777777" w:rsidTr="006A0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71953C67" w14:textId="77777777" w:rsidR="00556285" w:rsidRPr="0041782C" w:rsidRDefault="00556285" w:rsidP="006A09FF">
            <w:pPr>
              <w:spacing w:before="60" w:after="60"/>
              <w:jc w:val="both"/>
              <w:rPr>
                <w:rFonts w:eastAsia="Arial"/>
                <w:sz w:val="16"/>
                <w:szCs w:val="16"/>
                <w:lang w:val="es-419"/>
              </w:rPr>
            </w:pPr>
            <w:r w:rsidRPr="0041782C">
              <w:rPr>
                <w:sz w:val="16"/>
                <w:lang w:val="es-419"/>
              </w:rPr>
              <w:t>Coeficiente de efectivo</w:t>
            </w:r>
            <w:r w:rsidRPr="0041782C">
              <w:rPr>
                <w:sz w:val="16"/>
                <w:vertAlign w:val="superscript"/>
                <w:lang w:val="es-419"/>
              </w:rPr>
              <w:t>3</w:t>
            </w:r>
          </w:p>
          <w:p w14:paraId="053B1D5A" w14:textId="77777777" w:rsidR="00556285" w:rsidRPr="0041782C" w:rsidRDefault="00556285" w:rsidP="006A09FF">
            <w:pPr>
              <w:spacing w:before="60" w:after="60"/>
              <w:jc w:val="both"/>
              <w:rPr>
                <w:rFonts w:eastAsia="Arial"/>
                <w:b w:val="0"/>
                <w:bCs w:val="0"/>
                <w:sz w:val="16"/>
                <w:szCs w:val="16"/>
                <w:lang w:val="es-419"/>
              </w:rPr>
            </w:pPr>
            <w:r w:rsidRPr="0041782C">
              <w:rPr>
                <w:sz w:val="16"/>
                <w:lang w:val="es-419"/>
              </w:rPr>
              <w:t xml:space="preserve">Efectivo más inversiones a corto plazo / </w:t>
            </w:r>
            <w:r w:rsidRPr="0041782C">
              <w:rPr>
                <w:b w:val="0"/>
                <w:sz w:val="16"/>
                <w:lang w:val="es-419"/>
              </w:rPr>
              <w:t>Pasivo </w:t>
            </w:r>
            <w:r w:rsidRPr="0041782C">
              <w:rPr>
                <w:sz w:val="16"/>
                <w:lang w:val="es-419"/>
              </w:rPr>
              <w:t>corriente</w:t>
            </w:r>
          </w:p>
        </w:tc>
        <w:tc>
          <w:tcPr>
            <w:tcW w:w="851" w:type="dxa"/>
          </w:tcPr>
          <w:p w14:paraId="47E1C8C2"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0,50</w:t>
            </w:r>
          </w:p>
        </w:tc>
        <w:tc>
          <w:tcPr>
            <w:tcW w:w="709" w:type="dxa"/>
          </w:tcPr>
          <w:p w14:paraId="3BDF83C2"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0,52</w:t>
            </w:r>
          </w:p>
        </w:tc>
        <w:tc>
          <w:tcPr>
            <w:tcW w:w="850" w:type="dxa"/>
          </w:tcPr>
          <w:p w14:paraId="08CE75AF"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0,52</w:t>
            </w:r>
          </w:p>
        </w:tc>
        <w:tc>
          <w:tcPr>
            <w:tcW w:w="709" w:type="dxa"/>
          </w:tcPr>
          <w:p w14:paraId="738563A2"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0,38</w:t>
            </w:r>
          </w:p>
        </w:tc>
        <w:tc>
          <w:tcPr>
            <w:tcW w:w="709" w:type="dxa"/>
          </w:tcPr>
          <w:p w14:paraId="5F4C2C5F"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lang w:val="es-419"/>
              </w:rPr>
            </w:pPr>
            <w:r w:rsidRPr="0041782C">
              <w:rPr>
                <w:sz w:val="16"/>
                <w:lang w:val="es-419"/>
              </w:rPr>
              <w:t>0,50</w:t>
            </w:r>
          </w:p>
        </w:tc>
      </w:tr>
      <w:tr w:rsidR="00556285" w:rsidRPr="0041782C" w14:paraId="5807571D" w14:textId="77777777" w:rsidTr="006A09FF">
        <w:trPr>
          <w:trHeight w:val="703"/>
        </w:trPr>
        <w:tc>
          <w:tcPr>
            <w:cnfStyle w:val="001000000000" w:firstRow="0" w:lastRow="0" w:firstColumn="1" w:lastColumn="0" w:oddVBand="0" w:evenVBand="0" w:oddHBand="0" w:evenHBand="0" w:firstRowFirstColumn="0" w:firstRowLastColumn="0" w:lastRowFirstColumn="0" w:lastRowLastColumn="0"/>
            <w:tcW w:w="4110" w:type="dxa"/>
          </w:tcPr>
          <w:p w14:paraId="5C0CDD8A" w14:textId="77777777" w:rsidR="00556285" w:rsidRPr="0041782C" w:rsidRDefault="00556285" w:rsidP="006A09FF">
            <w:pPr>
              <w:spacing w:before="60" w:after="60"/>
              <w:jc w:val="both"/>
              <w:rPr>
                <w:sz w:val="16"/>
                <w:szCs w:val="16"/>
                <w:lang w:val="es-419"/>
              </w:rPr>
            </w:pPr>
            <w:r w:rsidRPr="0041782C">
              <w:rPr>
                <w:sz w:val="16"/>
                <w:lang w:val="es-419"/>
              </w:rPr>
              <w:t>Días de efectivo disponible</w:t>
            </w:r>
            <w:r w:rsidRPr="0041782C">
              <w:rPr>
                <w:sz w:val="16"/>
                <w:vertAlign w:val="superscript"/>
                <w:lang w:val="es-419"/>
              </w:rPr>
              <w:t>4</w:t>
            </w:r>
          </w:p>
          <w:p w14:paraId="749BDBE9" w14:textId="77777777" w:rsidR="00556285" w:rsidRPr="0041782C" w:rsidRDefault="00556285" w:rsidP="006A09FF">
            <w:pPr>
              <w:spacing w:before="60" w:after="60"/>
              <w:jc w:val="both"/>
              <w:rPr>
                <w:b w:val="0"/>
                <w:bCs w:val="0"/>
                <w:sz w:val="16"/>
                <w:szCs w:val="16"/>
                <w:lang w:val="es-419"/>
              </w:rPr>
            </w:pPr>
            <w:r w:rsidRPr="0041782C">
              <w:rPr>
                <w:sz w:val="16"/>
                <w:lang w:val="es-419"/>
              </w:rPr>
              <w:t>Efectivo y equivalentes de efectivo / [(Gastos totales - Gastos de amortización) / 365]</w:t>
            </w:r>
          </w:p>
        </w:tc>
        <w:tc>
          <w:tcPr>
            <w:tcW w:w="851" w:type="dxa"/>
          </w:tcPr>
          <w:p w14:paraId="1A505F40"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87</w:t>
            </w:r>
          </w:p>
        </w:tc>
        <w:tc>
          <w:tcPr>
            <w:tcW w:w="709" w:type="dxa"/>
          </w:tcPr>
          <w:p w14:paraId="1862D96B"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78</w:t>
            </w:r>
          </w:p>
        </w:tc>
        <w:tc>
          <w:tcPr>
            <w:tcW w:w="850" w:type="dxa"/>
          </w:tcPr>
          <w:p w14:paraId="233B9612"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41782C">
              <w:rPr>
                <w:sz w:val="16"/>
                <w:lang w:val="es-419"/>
              </w:rPr>
              <w:t>225</w:t>
            </w:r>
          </w:p>
        </w:tc>
        <w:tc>
          <w:tcPr>
            <w:tcW w:w="709" w:type="dxa"/>
          </w:tcPr>
          <w:p w14:paraId="3FF8ECDB"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lang w:val="es-419"/>
              </w:rPr>
            </w:pPr>
            <w:r w:rsidRPr="0041782C">
              <w:rPr>
                <w:sz w:val="16"/>
                <w:lang w:val="es-419"/>
              </w:rPr>
              <w:t>142</w:t>
            </w:r>
          </w:p>
        </w:tc>
        <w:tc>
          <w:tcPr>
            <w:tcW w:w="709" w:type="dxa"/>
          </w:tcPr>
          <w:p w14:paraId="4BA36FDD" w14:textId="77777777" w:rsidR="00556285" w:rsidRPr="0041782C" w:rsidRDefault="00556285" w:rsidP="006A09FF">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lang w:val="es-419"/>
              </w:rPr>
            </w:pPr>
            <w:r w:rsidRPr="0041782C">
              <w:rPr>
                <w:sz w:val="16"/>
                <w:lang w:val="es-419"/>
              </w:rPr>
              <w:t>147</w:t>
            </w:r>
          </w:p>
        </w:tc>
      </w:tr>
      <w:tr w:rsidR="00556285" w:rsidRPr="0041782C" w14:paraId="2A33A334" w14:textId="77777777" w:rsidTr="006A09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0" w:type="dxa"/>
          </w:tcPr>
          <w:p w14:paraId="2CA5C79B" w14:textId="77777777" w:rsidR="00556285" w:rsidRPr="0041782C" w:rsidRDefault="00556285" w:rsidP="006A09FF">
            <w:pPr>
              <w:spacing w:before="60" w:after="60"/>
              <w:jc w:val="both"/>
              <w:rPr>
                <w:sz w:val="16"/>
                <w:szCs w:val="16"/>
                <w:lang w:val="es-419"/>
              </w:rPr>
            </w:pPr>
            <w:r w:rsidRPr="0041782C">
              <w:rPr>
                <w:sz w:val="16"/>
                <w:lang w:val="es-419"/>
              </w:rPr>
              <w:t>Coeficiente de explotación</w:t>
            </w:r>
            <w:r w:rsidRPr="0041782C">
              <w:rPr>
                <w:sz w:val="16"/>
                <w:vertAlign w:val="superscript"/>
                <w:lang w:val="es-419"/>
              </w:rPr>
              <w:t>5</w:t>
            </w:r>
          </w:p>
          <w:p w14:paraId="6EE75781" w14:textId="77777777" w:rsidR="00556285" w:rsidRPr="0041782C" w:rsidRDefault="00556285" w:rsidP="006A09FF">
            <w:pPr>
              <w:spacing w:before="60" w:after="60"/>
              <w:jc w:val="both"/>
              <w:rPr>
                <w:b w:val="0"/>
                <w:bCs w:val="0"/>
                <w:sz w:val="16"/>
                <w:szCs w:val="16"/>
                <w:lang w:val="es-419"/>
              </w:rPr>
            </w:pPr>
            <w:r w:rsidRPr="0041782C">
              <w:rPr>
                <w:sz w:val="16"/>
                <w:lang w:val="es-419"/>
              </w:rPr>
              <w:t>(Ingresos - Gastos) / Total de gastos</w:t>
            </w:r>
          </w:p>
        </w:tc>
        <w:tc>
          <w:tcPr>
            <w:tcW w:w="851" w:type="dxa"/>
          </w:tcPr>
          <w:p w14:paraId="3C14D3AB"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41782C">
              <w:rPr>
                <w:color w:val="0D0D0D" w:themeColor="text1" w:themeTint="F2"/>
                <w:sz w:val="16"/>
                <w:lang w:val="es-419"/>
              </w:rPr>
              <w:t>0,15</w:t>
            </w:r>
          </w:p>
        </w:tc>
        <w:tc>
          <w:tcPr>
            <w:tcW w:w="709" w:type="dxa"/>
          </w:tcPr>
          <w:p w14:paraId="06091EDE"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41782C">
              <w:rPr>
                <w:color w:val="0D0D0D" w:themeColor="text1" w:themeTint="F2"/>
                <w:sz w:val="16"/>
                <w:lang w:val="es-419"/>
              </w:rPr>
              <w:t>0,14</w:t>
            </w:r>
          </w:p>
        </w:tc>
        <w:tc>
          <w:tcPr>
            <w:tcW w:w="850" w:type="dxa"/>
          </w:tcPr>
          <w:p w14:paraId="26F1D2A9"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41782C">
              <w:rPr>
                <w:color w:val="0D0D0D" w:themeColor="text1" w:themeTint="F2"/>
                <w:sz w:val="16"/>
                <w:lang w:val="es-419"/>
              </w:rPr>
              <w:t>0,24</w:t>
            </w:r>
          </w:p>
        </w:tc>
        <w:tc>
          <w:tcPr>
            <w:tcW w:w="709" w:type="dxa"/>
          </w:tcPr>
          <w:p w14:paraId="262B7716"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41782C">
              <w:rPr>
                <w:color w:val="0D0D0D" w:themeColor="text1" w:themeTint="F2"/>
                <w:sz w:val="16"/>
                <w:lang w:val="es-419"/>
              </w:rPr>
              <w:t>0,22</w:t>
            </w:r>
          </w:p>
        </w:tc>
        <w:tc>
          <w:tcPr>
            <w:tcW w:w="709" w:type="dxa"/>
          </w:tcPr>
          <w:p w14:paraId="6C844ABA" w14:textId="77777777" w:rsidR="00556285" w:rsidRPr="0041782C" w:rsidRDefault="00556285" w:rsidP="006A09FF">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41782C">
              <w:rPr>
                <w:color w:val="0D0D0D" w:themeColor="text1" w:themeTint="F2"/>
                <w:sz w:val="16"/>
                <w:lang w:val="es-419"/>
              </w:rPr>
              <w:t>0,28</w:t>
            </w:r>
          </w:p>
        </w:tc>
      </w:tr>
    </w:tbl>
    <w:p w14:paraId="1A08CF72" w14:textId="77777777" w:rsidR="00556285" w:rsidRPr="0041782C" w:rsidRDefault="00556285" w:rsidP="00556285">
      <w:pPr>
        <w:ind w:left="360"/>
        <w:jc w:val="both"/>
        <w:rPr>
          <w:b/>
          <w:bCs/>
          <w:sz w:val="16"/>
          <w:szCs w:val="16"/>
          <w:lang w:val="es-419"/>
        </w:rPr>
      </w:pPr>
      <w:r w:rsidRPr="0041782C">
        <w:rPr>
          <w:b/>
          <w:sz w:val="16"/>
          <w:lang w:val="es-419"/>
        </w:rPr>
        <w:t>Fuente: Estados financieros de la Organización</w:t>
      </w:r>
    </w:p>
    <w:p w14:paraId="5F0AFBD0" w14:textId="77777777" w:rsidR="00556285" w:rsidRPr="0041782C" w:rsidRDefault="00556285" w:rsidP="00556285">
      <w:pPr>
        <w:pStyle w:val="ListParagraph"/>
        <w:numPr>
          <w:ilvl w:val="0"/>
          <w:numId w:val="11"/>
        </w:numPr>
        <w:spacing w:after="160" w:line="259" w:lineRule="auto"/>
        <w:jc w:val="both"/>
        <w:rPr>
          <w:rFonts w:ascii="Arial" w:hAnsi="Arial" w:cs="Arial"/>
          <w:sz w:val="16"/>
          <w:szCs w:val="16"/>
          <w:lang w:val="es-419"/>
        </w:rPr>
      </w:pPr>
      <w:r w:rsidRPr="0041782C">
        <w:rPr>
          <w:rFonts w:ascii="Arial" w:hAnsi="Arial"/>
          <w:sz w:val="16"/>
          <w:lang w:val="es-419"/>
        </w:rPr>
        <w:t>Un coeficiente elevado indica la capacidad de la Organización para hacer frente al pasivo corriente.</w:t>
      </w:r>
    </w:p>
    <w:p w14:paraId="436B4BA1" w14:textId="77777777" w:rsidR="00556285" w:rsidRPr="0041782C" w:rsidRDefault="00556285" w:rsidP="00556285">
      <w:pPr>
        <w:pStyle w:val="ListParagraph"/>
        <w:numPr>
          <w:ilvl w:val="0"/>
          <w:numId w:val="11"/>
        </w:numPr>
        <w:spacing w:after="160" w:line="259" w:lineRule="auto"/>
        <w:jc w:val="both"/>
        <w:rPr>
          <w:rFonts w:ascii="Arial" w:hAnsi="Arial" w:cs="Arial"/>
          <w:sz w:val="16"/>
          <w:szCs w:val="16"/>
          <w:lang w:val="es-419"/>
        </w:rPr>
      </w:pPr>
      <w:r w:rsidRPr="0041782C">
        <w:rPr>
          <w:rFonts w:ascii="Arial" w:hAnsi="Arial"/>
          <w:sz w:val="16"/>
          <w:lang w:val="es-419"/>
        </w:rPr>
        <w:t>Un coeficiente elevado es un buen indicador de solvencia.</w:t>
      </w:r>
    </w:p>
    <w:p w14:paraId="06413D01" w14:textId="77777777" w:rsidR="00556285" w:rsidRPr="0041782C" w:rsidRDefault="00556285" w:rsidP="00556285">
      <w:pPr>
        <w:pStyle w:val="ListParagraph"/>
        <w:numPr>
          <w:ilvl w:val="0"/>
          <w:numId w:val="11"/>
        </w:numPr>
        <w:spacing w:after="160" w:line="259" w:lineRule="auto"/>
        <w:jc w:val="both"/>
        <w:rPr>
          <w:rFonts w:ascii="Arial" w:hAnsi="Arial" w:cs="Arial"/>
          <w:sz w:val="16"/>
          <w:szCs w:val="16"/>
          <w:lang w:val="es-419"/>
        </w:rPr>
      </w:pPr>
      <w:r w:rsidRPr="0041782C">
        <w:rPr>
          <w:rFonts w:ascii="Arial" w:hAnsi="Arial"/>
          <w:sz w:val="16"/>
          <w:lang w:val="es-419"/>
        </w:rPr>
        <w:t>El coeficiente de efectivo es un indicador de la liquidez de la Organización. Mide la cantidad de efectivo y equivalentes de efectivo e inversiones a corto plazo para cubrir el pasivo corriente.</w:t>
      </w:r>
    </w:p>
    <w:p w14:paraId="0FCDF6DB" w14:textId="77777777" w:rsidR="00556285" w:rsidRPr="0041782C" w:rsidRDefault="00556285" w:rsidP="00556285">
      <w:pPr>
        <w:pStyle w:val="ListParagraph"/>
        <w:numPr>
          <w:ilvl w:val="0"/>
          <w:numId w:val="11"/>
        </w:numPr>
        <w:spacing w:after="160" w:line="259" w:lineRule="auto"/>
        <w:jc w:val="both"/>
        <w:rPr>
          <w:rFonts w:ascii="Arial" w:hAnsi="Arial" w:cs="Arial"/>
          <w:sz w:val="16"/>
          <w:szCs w:val="16"/>
          <w:lang w:val="es-419"/>
        </w:rPr>
      </w:pPr>
      <w:r w:rsidRPr="0041782C">
        <w:rPr>
          <w:rFonts w:ascii="Arial" w:hAnsi="Arial"/>
          <w:sz w:val="16"/>
          <w:lang w:val="es-419"/>
        </w:rPr>
        <w:t>Los días de efectivo disponible indican el número de días de gastos que pueden cubrirse con el efectivo y los equivalentes de efectivo existentes. En general, los valores más altos indican una posición de liquidez más fuerte, aunque mantener reservas de efectivo tiene tanto ventajas como costes de oportunidad.</w:t>
      </w:r>
    </w:p>
    <w:p w14:paraId="6B83D878" w14:textId="77777777" w:rsidR="00556285" w:rsidRPr="0041782C" w:rsidRDefault="00556285" w:rsidP="00556285">
      <w:pPr>
        <w:pStyle w:val="ListParagraph"/>
        <w:numPr>
          <w:ilvl w:val="0"/>
          <w:numId w:val="11"/>
        </w:numPr>
        <w:spacing w:after="160" w:line="259" w:lineRule="auto"/>
        <w:jc w:val="both"/>
        <w:rPr>
          <w:rFonts w:ascii="Arial" w:eastAsia="Arial" w:hAnsi="Arial" w:cs="Arial"/>
          <w:sz w:val="16"/>
          <w:szCs w:val="16"/>
          <w:lang w:val="es-419"/>
        </w:rPr>
      </w:pPr>
      <w:r w:rsidRPr="0041782C">
        <w:rPr>
          <w:rFonts w:ascii="Arial" w:hAnsi="Arial"/>
          <w:sz w:val="16"/>
          <w:lang w:val="es-419"/>
        </w:rPr>
        <w:t>El coeficiente de explotación mide los ingresos netos que retiene la Organización como porcentaje de los gastos. Por lo general, las organizaciones sin ánimo de lucro deben mantener cierto superávit para sustituir las instalaciones existentes y extinguir la deuda. Este coeficiente debe evaluarse en el contexto de las necesidades previstas de la Organización.</w:t>
      </w:r>
    </w:p>
    <w:p w14:paraId="3C14542D" w14:textId="77777777" w:rsidR="00556285" w:rsidRPr="0041782C" w:rsidRDefault="00556285" w:rsidP="00556285">
      <w:pPr>
        <w:pStyle w:val="ListParagraph"/>
        <w:spacing w:after="160" w:line="259" w:lineRule="auto"/>
        <w:ind w:left="360"/>
        <w:jc w:val="both"/>
        <w:rPr>
          <w:rFonts w:ascii="Arial" w:hAnsi="Arial" w:cs="Arial"/>
          <w:sz w:val="16"/>
          <w:szCs w:val="16"/>
          <w:lang w:val="es-419"/>
        </w:rPr>
      </w:pPr>
    </w:p>
    <w:p w14:paraId="72EE216E" w14:textId="77777777" w:rsidR="00556285" w:rsidRPr="0041782C" w:rsidRDefault="00556285" w:rsidP="00556285">
      <w:pPr>
        <w:pStyle w:val="ListParagraph"/>
        <w:numPr>
          <w:ilvl w:val="0"/>
          <w:numId w:val="10"/>
        </w:numPr>
        <w:ind w:left="426" w:hanging="426"/>
        <w:jc w:val="both"/>
        <w:rPr>
          <w:rFonts w:ascii="Times New Roman" w:hAnsi="Times New Roman" w:cs="Times New Roman"/>
          <w:sz w:val="22"/>
          <w:szCs w:val="22"/>
          <w:lang w:val="es-419"/>
        </w:rPr>
      </w:pPr>
      <w:r w:rsidRPr="0041782C">
        <w:rPr>
          <w:rFonts w:ascii="Times New Roman" w:hAnsi="Times New Roman"/>
          <w:sz w:val="22"/>
          <w:lang w:val="es-419"/>
        </w:rPr>
        <w:t xml:space="preserve">El BPK observó que los coeficientes financieros generales de las operaciones de la Organización, recogidos en los estados financieros, eran sólidos. </w:t>
      </w:r>
    </w:p>
    <w:p w14:paraId="3485660F" w14:textId="77777777" w:rsidR="00556285" w:rsidRPr="0041782C" w:rsidRDefault="00556285" w:rsidP="00556285">
      <w:pPr>
        <w:pStyle w:val="ListParagraph"/>
        <w:ind w:left="426"/>
        <w:jc w:val="both"/>
        <w:rPr>
          <w:rFonts w:ascii="Times New Roman" w:hAnsi="Times New Roman" w:cs="Times New Roman"/>
          <w:sz w:val="22"/>
          <w:szCs w:val="22"/>
          <w:lang w:val="es-419"/>
        </w:rPr>
      </w:pPr>
    </w:p>
    <w:p w14:paraId="7CA912E8"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94" w:name="_Toc198742566"/>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Presupuesto</w:t>
      </w:r>
      <w:bookmarkEnd w:id="94"/>
    </w:p>
    <w:p w14:paraId="7D4736BA" w14:textId="77777777" w:rsidR="00556285" w:rsidRPr="0041782C" w:rsidDel="003345E3"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El programa de trabajo y presupuesto de la Organización se prepara siguiendo el principio del devengo modificado y es aprobado por las Asambleas cada dos años. No obstante, se preparan estimaciones separadas para cada uno de los dos períodos anuales. El estado V presenta una comparación entre el presupuesto aprobado y los gastos reales correspondientes al año 2024. En la nota 15 de los estados financieros se </w:t>
      </w:r>
      <w:r w:rsidRPr="0041782C">
        <w:rPr>
          <w:rFonts w:ascii="Times New Roman" w:hAnsi="Times New Roman"/>
          <w:sz w:val="22"/>
          <w:lang w:val="es-419"/>
        </w:rPr>
        <w:lastRenderedPageBreak/>
        <w:t xml:space="preserve">presenta una conciliación del rendimiento presupuestario con las cifras de ingresos y gastos presentadas en el estado de rendimiento financiero.  </w:t>
      </w:r>
    </w:p>
    <w:p w14:paraId="300B85DE" w14:textId="77777777" w:rsidR="00556285" w:rsidRPr="0041782C" w:rsidRDefault="00556285" w:rsidP="00556285">
      <w:pPr>
        <w:pStyle w:val="ListParagraph"/>
        <w:numPr>
          <w:ilvl w:val="0"/>
          <w:numId w:val="10"/>
        </w:numPr>
        <w:ind w:left="425" w:hanging="357"/>
        <w:contextualSpacing w:val="0"/>
        <w:jc w:val="both"/>
        <w:rPr>
          <w:lang w:val="es-419"/>
        </w:rPr>
      </w:pPr>
      <w:r w:rsidRPr="0041782C">
        <w:rPr>
          <w:rFonts w:ascii="Times New Roman" w:hAnsi="Times New Roman"/>
          <w:sz w:val="22"/>
          <w:lang w:val="es-419"/>
        </w:rPr>
        <w:t>El presupuesto original del bienio 2024-2025, aprobado por la Asamblea General, incluía unas estimaciones de ingresos y gastos de 972,6 millones de francos suizos y 857,3 millones de francos suizos, respectivamente. La Organización presenta su análisis presupuestario en el estado V con arreglo al criterio de efectivo modificado, conciliándolo con el resultado de las IPSAS. En el cuadro 2 se presenta la evolución de los resultados presupuestarios con arreglo a las cifras presupuestarias antes de los ajustes de las IPSAS, comparando así los resultados con las previsiones aprobadas.</w:t>
      </w:r>
    </w:p>
    <w:p w14:paraId="451B58B6" w14:textId="5895BFD4" w:rsidR="00556285" w:rsidRPr="0041782C" w:rsidRDefault="00556285" w:rsidP="00556285">
      <w:pPr>
        <w:pStyle w:val="Caption"/>
        <w:keepNext/>
        <w:jc w:val="center"/>
        <w:rPr>
          <w:b w:val="0"/>
          <w:bCs w:val="0"/>
          <w:color w:val="000000" w:themeColor="text1"/>
          <w:lang w:val="es-419"/>
        </w:rPr>
      </w:pPr>
      <w:bookmarkStart w:id="95" w:name="_Toc198742225"/>
      <w:r w:rsidRPr="0041782C">
        <w:rPr>
          <w:color w:val="000000" w:themeColor="text1"/>
          <w:lang w:val="es-419"/>
        </w:rPr>
        <w:t xml:space="preserve">Cuadro </w:t>
      </w:r>
      <w:r w:rsidRPr="0041782C">
        <w:rPr>
          <w:b w:val="0"/>
          <w:i/>
          <w:color w:val="000000" w:themeColor="text1"/>
          <w:lang w:val="es-419"/>
        </w:rPr>
        <w:fldChar w:fldCharType="begin"/>
      </w:r>
      <w:r w:rsidRPr="0041782C">
        <w:rPr>
          <w:color w:val="000000" w:themeColor="text1"/>
          <w:lang w:val="es-419"/>
        </w:rPr>
        <w:instrText xml:space="preserve"> SEQ Table \* ARABIC </w:instrText>
      </w:r>
      <w:r w:rsidRPr="0041782C">
        <w:rPr>
          <w:b w:val="0"/>
          <w:i/>
          <w:color w:val="000000" w:themeColor="text1"/>
          <w:lang w:val="es-419"/>
        </w:rPr>
        <w:fldChar w:fldCharType="separate"/>
      </w:r>
      <w:r w:rsidR="000001EE">
        <w:rPr>
          <w:noProof/>
          <w:color w:val="000000" w:themeColor="text1"/>
          <w:lang w:val="es-419"/>
        </w:rPr>
        <w:t>2</w:t>
      </w:r>
      <w:r w:rsidRPr="0041782C">
        <w:rPr>
          <w:b w:val="0"/>
          <w:i/>
          <w:color w:val="000000" w:themeColor="text1"/>
          <w:lang w:val="es-419"/>
        </w:rPr>
        <w:fldChar w:fldCharType="end"/>
      </w:r>
      <w:r w:rsidRPr="0041782C">
        <w:rPr>
          <w:color w:val="000000" w:themeColor="text1"/>
          <w:lang w:val="es-419"/>
        </w:rPr>
        <w:t>. Resultado frente a presupuestos (millones de francos suizos)</w:t>
      </w:r>
      <w:bookmarkEnd w:id="95"/>
    </w:p>
    <w:tbl>
      <w:tblPr>
        <w:tblW w:w="75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42"/>
        <w:gridCol w:w="985"/>
        <w:gridCol w:w="1050"/>
        <w:gridCol w:w="1050"/>
        <w:gridCol w:w="1081"/>
      </w:tblGrid>
      <w:tr w:rsidR="00556285" w:rsidRPr="0041782C" w14:paraId="0BC0F6EE" w14:textId="77777777" w:rsidTr="006A09FF">
        <w:trPr>
          <w:trHeight w:val="300"/>
        </w:trPr>
        <w:tc>
          <w:tcPr>
            <w:tcW w:w="2405" w:type="dxa"/>
            <w:shd w:val="clear" w:color="auto" w:fill="B7CFED" w:themeFill="text2" w:themeFillTint="40"/>
            <w:tcMar>
              <w:top w:w="15" w:type="dxa"/>
              <w:left w:w="15" w:type="dxa"/>
              <w:bottom w:w="15" w:type="dxa"/>
              <w:right w:w="15" w:type="dxa"/>
            </w:tcMar>
            <w:vAlign w:val="center"/>
          </w:tcPr>
          <w:p w14:paraId="45270766" w14:textId="77777777" w:rsidR="00556285" w:rsidRPr="0041782C" w:rsidRDefault="00556285" w:rsidP="006A09FF">
            <w:pPr>
              <w:spacing w:line="276" w:lineRule="auto"/>
              <w:ind w:left="90"/>
              <w:rPr>
                <w:rFonts w:eastAsia="Aptos"/>
                <w:b/>
                <w:bCs/>
                <w:sz w:val="16"/>
                <w:szCs w:val="16"/>
                <w:lang w:val="es-419"/>
              </w:rPr>
            </w:pPr>
            <w:r w:rsidRPr="0041782C">
              <w:rPr>
                <w:b/>
                <w:sz w:val="16"/>
                <w:lang w:val="es-419"/>
              </w:rPr>
              <w:t>Categoría</w:t>
            </w:r>
          </w:p>
        </w:tc>
        <w:tc>
          <w:tcPr>
            <w:tcW w:w="942" w:type="dxa"/>
            <w:shd w:val="clear" w:color="auto" w:fill="B7CFED" w:themeFill="text2" w:themeFillTint="40"/>
            <w:tcMar>
              <w:top w:w="15" w:type="dxa"/>
              <w:left w:w="15" w:type="dxa"/>
              <w:bottom w:w="15" w:type="dxa"/>
              <w:right w:w="15" w:type="dxa"/>
            </w:tcMar>
            <w:vAlign w:val="center"/>
          </w:tcPr>
          <w:p w14:paraId="0553A043" w14:textId="77777777" w:rsidR="00556285" w:rsidRPr="0041782C" w:rsidRDefault="00556285" w:rsidP="006A09FF">
            <w:pPr>
              <w:spacing w:line="276" w:lineRule="auto"/>
              <w:ind w:left="90"/>
              <w:jc w:val="center"/>
              <w:rPr>
                <w:rFonts w:eastAsia="Aptos"/>
                <w:b/>
                <w:bCs/>
                <w:sz w:val="16"/>
                <w:szCs w:val="16"/>
                <w:lang w:val="es-419"/>
              </w:rPr>
            </w:pPr>
            <w:r w:rsidRPr="0041782C">
              <w:rPr>
                <w:b/>
                <w:sz w:val="16"/>
                <w:lang w:val="es-419"/>
              </w:rPr>
              <w:t>2024</w:t>
            </w:r>
          </w:p>
        </w:tc>
        <w:tc>
          <w:tcPr>
            <w:tcW w:w="985" w:type="dxa"/>
            <w:shd w:val="clear" w:color="auto" w:fill="B7CFED" w:themeFill="text2" w:themeFillTint="40"/>
            <w:tcMar>
              <w:top w:w="15" w:type="dxa"/>
              <w:left w:w="15" w:type="dxa"/>
              <w:bottom w:w="15" w:type="dxa"/>
              <w:right w:w="15" w:type="dxa"/>
            </w:tcMar>
            <w:vAlign w:val="center"/>
          </w:tcPr>
          <w:p w14:paraId="7437D366" w14:textId="77777777" w:rsidR="00556285" w:rsidRPr="0041782C" w:rsidRDefault="00556285" w:rsidP="006A09FF">
            <w:pPr>
              <w:spacing w:line="276" w:lineRule="auto"/>
              <w:ind w:left="90"/>
              <w:jc w:val="center"/>
              <w:rPr>
                <w:rFonts w:eastAsia="Aptos"/>
                <w:b/>
                <w:bCs/>
                <w:sz w:val="16"/>
                <w:szCs w:val="16"/>
                <w:lang w:val="es-419"/>
              </w:rPr>
            </w:pPr>
            <w:r w:rsidRPr="0041782C">
              <w:rPr>
                <w:b/>
                <w:sz w:val="16"/>
                <w:lang w:val="es-419"/>
              </w:rPr>
              <w:t>2023</w:t>
            </w:r>
          </w:p>
        </w:tc>
        <w:tc>
          <w:tcPr>
            <w:tcW w:w="1050" w:type="dxa"/>
            <w:shd w:val="clear" w:color="auto" w:fill="B7CFED" w:themeFill="text2" w:themeFillTint="40"/>
            <w:tcMar>
              <w:top w:w="15" w:type="dxa"/>
              <w:left w:w="15" w:type="dxa"/>
              <w:bottom w:w="15" w:type="dxa"/>
              <w:right w:w="15" w:type="dxa"/>
            </w:tcMar>
            <w:vAlign w:val="center"/>
          </w:tcPr>
          <w:p w14:paraId="1CB5DE94" w14:textId="77777777" w:rsidR="00556285" w:rsidRPr="0041782C" w:rsidRDefault="00556285" w:rsidP="006A09FF">
            <w:pPr>
              <w:spacing w:line="276" w:lineRule="auto"/>
              <w:ind w:left="90"/>
              <w:jc w:val="center"/>
              <w:rPr>
                <w:rFonts w:eastAsia="Aptos"/>
                <w:b/>
                <w:bCs/>
                <w:sz w:val="16"/>
                <w:szCs w:val="16"/>
                <w:lang w:val="es-419"/>
              </w:rPr>
            </w:pPr>
            <w:r w:rsidRPr="0041782C">
              <w:rPr>
                <w:b/>
                <w:sz w:val="16"/>
                <w:lang w:val="es-419"/>
              </w:rPr>
              <w:t>2022</w:t>
            </w:r>
          </w:p>
        </w:tc>
        <w:tc>
          <w:tcPr>
            <w:tcW w:w="1050" w:type="dxa"/>
            <w:shd w:val="clear" w:color="auto" w:fill="B7CFED" w:themeFill="text2" w:themeFillTint="40"/>
            <w:tcMar>
              <w:top w:w="15" w:type="dxa"/>
              <w:left w:w="15" w:type="dxa"/>
              <w:bottom w:w="15" w:type="dxa"/>
              <w:right w:w="15" w:type="dxa"/>
            </w:tcMar>
            <w:vAlign w:val="center"/>
          </w:tcPr>
          <w:p w14:paraId="0828843F" w14:textId="77777777" w:rsidR="00556285" w:rsidRPr="0041782C" w:rsidRDefault="00556285" w:rsidP="006A09FF">
            <w:pPr>
              <w:spacing w:line="276" w:lineRule="auto"/>
              <w:ind w:left="90"/>
              <w:jc w:val="center"/>
              <w:rPr>
                <w:rFonts w:eastAsia="Aptos"/>
                <w:b/>
                <w:bCs/>
                <w:sz w:val="16"/>
                <w:szCs w:val="16"/>
                <w:lang w:val="es-419"/>
              </w:rPr>
            </w:pPr>
            <w:r w:rsidRPr="0041782C">
              <w:rPr>
                <w:b/>
                <w:sz w:val="16"/>
                <w:lang w:val="es-419"/>
              </w:rPr>
              <w:t>2021</w:t>
            </w:r>
          </w:p>
        </w:tc>
        <w:tc>
          <w:tcPr>
            <w:tcW w:w="1081" w:type="dxa"/>
            <w:shd w:val="clear" w:color="auto" w:fill="B7CFED" w:themeFill="text2" w:themeFillTint="40"/>
            <w:tcMar>
              <w:top w:w="15" w:type="dxa"/>
              <w:left w:w="15" w:type="dxa"/>
              <w:bottom w:w="15" w:type="dxa"/>
              <w:right w:w="15" w:type="dxa"/>
            </w:tcMar>
            <w:vAlign w:val="center"/>
          </w:tcPr>
          <w:p w14:paraId="15662C5F" w14:textId="77777777" w:rsidR="00556285" w:rsidRPr="0041782C" w:rsidRDefault="00556285" w:rsidP="006A09FF">
            <w:pPr>
              <w:spacing w:line="276" w:lineRule="auto"/>
              <w:ind w:left="90"/>
              <w:jc w:val="center"/>
              <w:rPr>
                <w:rFonts w:eastAsia="Aptos"/>
                <w:b/>
                <w:bCs/>
                <w:sz w:val="16"/>
                <w:szCs w:val="16"/>
                <w:lang w:val="es-419"/>
              </w:rPr>
            </w:pPr>
            <w:r w:rsidRPr="0041782C">
              <w:rPr>
                <w:b/>
                <w:sz w:val="16"/>
                <w:lang w:val="es-419"/>
              </w:rPr>
              <w:t>2020</w:t>
            </w:r>
          </w:p>
        </w:tc>
      </w:tr>
      <w:tr w:rsidR="00556285" w:rsidRPr="0041782C" w14:paraId="6573038E" w14:textId="77777777" w:rsidTr="006A09FF">
        <w:trPr>
          <w:trHeight w:val="300"/>
        </w:trPr>
        <w:tc>
          <w:tcPr>
            <w:tcW w:w="7513" w:type="dxa"/>
            <w:gridSpan w:val="6"/>
            <w:tcMar>
              <w:top w:w="15" w:type="dxa"/>
              <w:left w:w="15" w:type="dxa"/>
              <w:bottom w:w="15" w:type="dxa"/>
              <w:right w:w="15" w:type="dxa"/>
            </w:tcMar>
            <w:vAlign w:val="center"/>
          </w:tcPr>
          <w:p w14:paraId="04CDC7B4" w14:textId="77777777" w:rsidR="00556285" w:rsidRPr="0041782C" w:rsidRDefault="00556285" w:rsidP="006A09FF">
            <w:pPr>
              <w:spacing w:line="276" w:lineRule="auto"/>
              <w:ind w:left="90"/>
              <w:rPr>
                <w:rFonts w:eastAsia="Aptos"/>
                <w:b/>
                <w:bCs/>
                <w:sz w:val="16"/>
                <w:szCs w:val="16"/>
                <w:lang w:val="es-419"/>
              </w:rPr>
            </w:pPr>
            <w:r w:rsidRPr="0041782C">
              <w:rPr>
                <w:b/>
                <w:sz w:val="16"/>
                <w:lang w:val="es-419"/>
              </w:rPr>
              <w:t>Ingresos</w:t>
            </w:r>
          </w:p>
        </w:tc>
      </w:tr>
      <w:tr w:rsidR="00556285" w:rsidRPr="0041782C" w14:paraId="616F245C" w14:textId="77777777" w:rsidTr="006A09FF">
        <w:trPr>
          <w:trHeight w:val="300"/>
        </w:trPr>
        <w:tc>
          <w:tcPr>
            <w:tcW w:w="2405" w:type="dxa"/>
            <w:tcMar>
              <w:top w:w="15" w:type="dxa"/>
              <w:left w:w="15" w:type="dxa"/>
              <w:bottom w:w="15" w:type="dxa"/>
              <w:right w:w="15" w:type="dxa"/>
            </w:tcMar>
            <w:vAlign w:val="center"/>
          </w:tcPr>
          <w:p w14:paraId="085C3D26"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Presupuesto original</w:t>
            </w:r>
          </w:p>
        </w:tc>
        <w:tc>
          <w:tcPr>
            <w:tcW w:w="942" w:type="dxa"/>
            <w:tcMar>
              <w:top w:w="15" w:type="dxa"/>
              <w:left w:w="15" w:type="dxa"/>
              <w:bottom w:w="15" w:type="dxa"/>
              <w:right w:w="15" w:type="dxa"/>
            </w:tcMar>
            <w:vAlign w:val="center"/>
          </w:tcPr>
          <w:p w14:paraId="55A2971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479,201</w:t>
            </w:r>
          </w:p>
        </w:tc>
        <w:tc>
          <w:tcPr>
            <w:tcW w:w="985" w:type="dxa"/>
            <w:tcMar>
              <w:top w:w="15" w:type="dxa"/>
              <w:left w:w="15" w:type="dxa"/>
              <w:bottom w:w="15" w:type="dxa"/>
              <w:right w:w="15" w:type="dxa"/>
            </w:tcMar>
            <w:vAlign w:val="center"/>
          </w:tcPr>
          <w:p w14:paraId="598C6291"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483,836</w:t>
            </w:r>
          </w:p>
        </w:tc>
        <w:tc>
          <w:tcPr>
            <w:tcW w:w="1050" w:type="dxa"/>
            <w:tcMar>
              <w:top w:w="15" w:type="dxa"/>
              <w:left w:w="15" w:type="dxa"/>
              <w:bottom w:w="15" w:type="dxa"/>
              <w:right w:w="15" w:type="dxa"/>
            </w:tcMar>
            <w:vAlign w:val="center"/>
          </w:tcPr>
          <w:p w14:paraId="79AE3A80"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467,925</w:t>
            </w:r>
          </w:p>
        </w:tc>
        <w:tc>
          <w:tcPr>
            <w:tcW w:w="1050" w:type="dxa"/>
            <w:tcMar>
              <w:top w:w="15" w:type="dxa"/>
              <w:left w:w="15" w:type="dxa"/>
              <w:bottom w:w="15" w:type="dxa"/>
              <w:right w:w="15" w:type="dxa"/>
            </w:tcMar>
            <w:vAlign w:val="center"/>
          </w:tcPr>
          <w:p w14:paraId="2C073AE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448,839</w:t>
            </w:r>
          </w:p>
        </w:tc>
        <w:tc>
          <w:tcPr>
            <w:tcW w:w="1081" w:type="dxa"/>
            <w:tcMar>
              <w:top w:w="15" w:type="dxa"/>
              <w:left w:w="15" w:type="dxa"/>
              <w:bottom w:w="15" w:type="dxa"/>
              <w:right w:w="15" w:type="dxa"/>
            </w:tcMar>
            <w:vAlign w:val="center"/>
          </w:tcPr>
          <w:p w14:paraId="2C6CB52C"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433,930</w:t>
            </w:r>
          </w:p>
        </w:tc>
      </w:tr>
      <w:tr w:rsidR="00556285" w:rsidRPr="0041782C" w14:paraId="466FF76D" w14:textId="77777777" w:rsidTr="006A09FF">
        <w:trPr>
          <w:trHeight w:val="300"/>
        </w:trPr>
        <w:tc>
          <w:tcPr>
            <w:tcW w:w="2405" w:type="dxa"/>
            <w:tcMar>
              <w:top w:w="15" w:type="dxa"/>
              <w:left w:w="15" w:type="dxa"/>
              <w:bottom w:w="15" w:type="dxa"/>
              <w:right w:w="15" w:type="dxa"/>
            </w:tcMar>
            <w:vAlign w:val="center"/>
          </w:tcPr>
          <w:p w14:paraId="7FD2D348"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Resultado</w:t>
            </w:r>
          </w:p>
        </w:tc>
        <w:tc>
          <w:tcPr>
            <w:tcW w:w="942" w:type="dxa"/>
            <w:tcMar>
              <w:top w:w="15" w:type="dxa"/>
              <w:left w:w="15" w:type="dxa"/>
              <w:bottom w:w="15" w:type="dxa"/>
              <w:right w:w="15" w:type="dxa"/>
            </w:tcMar>
            <w:vAlign w:val="center"/>
          </w:tcPr>
          <w:p w14:paraId="560066A5"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486,671</w:t>
            </w:r>
          </w:p>
        </w:tc>
        <w:tc>
          <w:tcPr>
            <w:tcW w:w="985" w:type="dxa"/>
            <w:tcMar>
              <w:top w:w="15" w:type="dxa"/>
              <w:left w:w="15" w:type="dxa"/>
              <w:bottom w:w="15" w:type="dxa"/>
              <w:right w:w="15" w:type="dxa"/>
            </w:tcMar>
            <w:vAlign w:val="center"/>
          </w:tcPr>
          <w:p w14:paraId="686E9A96"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480,208</w:t>
            </w:r>
          </w:p>
        </w:tc>
        <w:tc>
          <w:tcPr>
            <w:tcW w:w="1050" w:type="dxa"/>
            <w:tcMar>
              <w:top w:w="15" w:type="dxa"/>
              <w:left w:w="15" w:type="dxa"/>
              <w:bottom w:w="15" w:type="dxa"/>
              <w:right w:w="15" w:type="dxa"/>
            </w:tcMar>
            <w:vAlign w:val="center"/>
          </w:tcPr>
          <w:p w14:paraId="762D53BE"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491,946</w:t>
            </w:r>
          </w:p>
        </w:tc>
        <w:tc>
          <w:tcPr>
            <w:tcW w:w="1050" w:type="dxa"/>
            <w:tcMar>
              <w:top w:w="15" w:type="dxa"/>
              <w:left w:w="15" w:type="dxa"/>
              <w:bottom w:w="15" w:type="dxa"/>
              <w:right w:w="15" w:type="dxa"/>
            </w:tcMar>
            <w:vAlign w:val="center"/>
          </w:tcPr>
          <w:p w14:paraId="43F28567" w14:textId="77777777" w:rsidR="00556285" w:rsidRPr="0041782C" w:rsidRDefault="00556285" w:rsidP="006A09FF">
            <w:pPr>
              <w:spacing w:line="276" w:lineRule="auto"/>
              <w:ind w:left="90" w:right="57"/>
              <w:jc w:val="right"/>
              <w:rPr>
                <w:rFonts w:eastAsia="Aptos"/>
                <w:color w:val="FF0000"/>
                <w:sz w:val="16"/>
                <w:szCs w:val="16"/>
                <w:lang w:val="es-419"/>
              </w:rPr>
            </w:pPr>
            <w:r w:rsidRPr="0041782C">
              <w:rPr>
                <w:color w:val="0D0D0D" w:themeColor="text1" w:themeTint="F2"/>
                <w:sz w:val="16"/>
                <w:lang w:val="es-419"/>
              </w:rPr>
              <w:t>469,121</w:t>
            </w:r>
          </w:p>
        </w:tc>
        <w:tc>
          <w:tcPr>
            <w:tcW w:w="1081" w:type="dxa"/>
            <w:tcMar>
              <w:top w:w="15" w:type="dxa"/>
              <w:left w:w="15" w:type="dxa"/>
              <w:bottom w:w="15" w:type="dxa"/>
              <w:right w:w="15" w:type="dxa"/>
            </w:tcMar>
            <w:vAlign w:val="center"/>
          </w:tcPr>
          <w:p w14:paraId="49F4911E"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462,937</w:t>
            </w:r>
          </w:p>
        </w:tc>
      </w:tr>
      <w:tr w:rsidR="00556285" w:rsidRPr="0041782C" w14:paraId="55B3F499" w14:textId="77777777" w:rsidTr="006A09FF">
        <w:trPr>
          <w:trHeight w:val="300"/>
        </w:trPr>
        <w:tc>
          <w:tcPr>
            <w:tcW w:w="2405" w:type="dxa"/>
            <w:tcMar>
              <w:top w:w="15" w:type="dxa"/>
              <w:left w:w="15" w:type="dxa"/>
              <w:bottom w:w="15" w:type="dxa"/>
              <w:right w:w="15" w:type="dxa"/>
            </w:tcMar>
            <w:vAlign w:val="center"/>
          </w:tcPr>
          <w:p w14:paraId="5073EE08"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Desviación</w:t>
            </w:r>
          </w:p>
        </w:tc>
        <w:tc>
          <w:tcPr>
            <w:tcW w:w="942" w:type="dxa"/>
            <w:tcMar>
              <w:top w:w="15" w:type="dxa"/>
              <w:left w:w="15" w:type="dxa"/>
              <w:bottom w:w="15" w:type="dxa"/>
              <w:right w:w="15" w:type="dxa"/>
            </w:tcMar>
            <w:vAlign w:val="center"/>
          </w:tcPr>
          <w:p w14:paraId="0A7F9628" w14:textId="77777777" w:rsidR="00556285" w:rsidRPr="0041782C" w:rsidRDefault="00556285" w:rsidP="006A09FF">
            <w:pPr>
              <w:spacing w:line="276" w:lineRule="auto"/>
              <w:ind w:left="90" w:right="57"/>
              <w:jc w:val="right"/>
              <w:rPr>
                <w:rFonts w:eastAsia="Aptos"/>
                <w:sz w:val="16"/>
                <w:szCs w:val="16"/>
                <w:lang w:val="es-419"/>
              </w:rPr>
            </w:pPr>
            <w:r w:rsidRPr="0041782C">
              <w:rPr>
                <w:color w:val="0D0D0D" w:themeColor="text1" w:themeTint="F2"/>
                <w:sz w:val="16"/>
                <w:lang w:val="es-419"/>
              </w:rPr>
              <w:t>7,470</w:t>
            </w:r>
          </w:p>
        </w:tc>
        <w:tc>
          <w:tcPr>
            <w:tcW w:w="985" w:type="dxa"/>
            <w:tcMar>
              <w:top w:w="15" w:type="dxa"/>
              <w:left w:w="15" w:type="dxa"/>
              <w:bottom w:w="15" w:type="dxa"/>
              <w:right w:w="15" w:type="dxa"/>
            </w:tcMar>
            <w:vAlign w:val="center"/>
          </w:tcPr>
          <w:p w14:paraId="5BB02990"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-3,628</w:t>
            </w:r>
          </w:p>
        </w:tc>
        <w:tc>
          <w:tcPr>
            <w:tcW w:w="1050" w:type="dxa"/>
            <w:tcMar>
              <w:top w:w="15" w:type="dxa"/>
              <w:left w:w="15" w:type="dxa"/>
              <w:bottom w:w="15" w:type="dxa"/>
              <w:right w:w="15" w:type="dxa"/>
            </w:tcMar>
            <w:vAlign w:val="center"/>
          </w:tcPr>
          <w:p w14:paraId="10375986"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24,021</w:t>
            </w:r>
          </w:p>
        </w:tc>
        <w:tc>
          <w:tcPr>
            <w:tcW w:w="1050" w:type="dxa"/>
            <w:tcMar>
              <w:top w:w="15" w:type="dxa"/>
              <w:left w:w="15" w:type="dxa"/>
              <w:bottom w:w="15" w:type="dxa"/>
              <w:right w:w="15" w:type="dxa"/>
            </w:tcMar>
            <w:vAlign w:val="center"/>
          </w:tcPr>
          <w:p w14:paraId="367225D9" w14:textId="77777777" w:rsidR="00556285" w:rsidRPr="0041782C" w:rsidRDefault="00556285" w:rsidP="006A09FF">
            <w:pPr>
              <w:spacing w:line="276" w:lineRule="auto"/>
              <w:ind w:left="90" w:right="57"/>
              <w:jc w:val="right"/>
              <w:rPr>
                <w:rFonts w:eastAsia="Aptos"/>
                <w:sz w:val="16"/>
                <w:szCs w:val="16"/>
                <w:lang w:val="es-419"/>
              </w:rPr>
            </w:pPr>
            <w:r w:rsidRPr="0041782C">
              <w:rPr>
                <w:color w:val="0D0D0D" w:themeColor="text1" w:themeTint="F2"/>
                <w:sz w:val="16"/>
                <w:lang w:val="es-419"/>
              </w:rPr>
              <w:t>20,282</w:t>
            </w:r>
          </w:p>
        </w:tc>
        <w:tc>
          <w:tcPr>
            <w:tcW w:w="1081" w:type="dxa"/>
            <w:tcMar>
              <w:top w:w="15" w:type="dxa"/>
              <w:left w:w="15" w:type="dxa"/>
              <w:bottom w:w="15" w:type="dxa"/>
              <w:right w:w="15" w:type="dxa"/>
            </w:tcMar>
            <w:vAlign w:val="center"/>
          </w:tcPr>
          <w:p w14:paraId="5422CA33"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29,007</w:t>
            </w:r>
          </w:p>
        </w:tc>
      </w:tr>
      <w:tr w:rsidR="00556285" w:rsidRPr="0041782C" w14:paraId="771ACB28" w14:textId="77777777" w:rsidTr="006A09FF">
        <w:trPr>
          <w:trHeight w:val="300"/>
        </w:trPr>
        <w:tc>
          <w:tcPr>
            <w:tcW w:w="7513" w:type="dxa"/>
            <w:gridSpan w:val="6"/>
            <w:tcMar>
              <w:top w:w="15" w:type="dxa"/>
              <w:left w:w="15" w:type="dxa"/>
              <w:bottom w:w="15" w:type="dxa"/>
              <w:right w:w="15" w:type="dxa"/>
            </w:tcMar>
            <w:vAlign w:val="center"/>
          </w:tcPr>
          <w:p w14:paraId="73BB64E6" w14:textId="77777777" w:rsidR="00556285" w:rsidRPr="0041782C" w:rsidRDefault="00556285" w:rsidP="006A09FF">
            <w:pPr>
              <w:spacing w:line="276" w:lineRule="auto"/>
              <w:ind w:left="90"/>
              <w:rPr>
                <w:rFonts w:eastAsia="Aptos"/>
                <w:b/>
                <w:bCs/>
                <w:sz w:val="16"/>
                <w:szCs w:val="16"/>
                <w:lang w:val="es-419"/>
              </w:rPr>
            </w:pPr>
            <w:r w:rsidRPr="0041782C">
              <w:rPr>
                <w:b/>
                <w:sz w:val="16"/>
                <w:lang w:val="es-419"/>
              </w:rPr>
              <w:t>Gastos</w:t>
            </w:r>
          </w:p>
        </w:tc>
      </w:tr>
      <w:tr w:rsidR="00556285" w:rsidRPr="0041782C" w14:paraId="36E3482A" w14:textId="77777777" w:rsidTr="006A09FF">
        <w:trPr>
          <w:trHeight w:val="300"/>
        </w:trPr>
        <w:tc>
          <w:tcPr>
            <w:tcW w:w="2405" w:type="dxa"/>
            <w:tcMar>
              <w:top w:w="15" w:type="dxa"/>
              <w:left w:w="15" w:type="dxa"/>
              <w:bottom w:w="15" w:type="dxa"/>
              <w:right w:w="15" w:type="dxa"/>
            </w:tcMar>
            <w:vAlign w:val="center"/>
          </w:tcPr>
          <w:p w14:paraId="59F0A442"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Presupuesto original</w:t>
            </w:r>
          </w:p>
        </w:tc>
        <w:tc>
          <w:tcPr>
            <w:tcW w:w="942" w:type="dxa"/>
            <w:tcMar>
              <w:top w:w="15" w:type="dxa"/>
              <w:left w:w="15" w:type="dxa"/>
              <w:bottom w:w="15" w:type="dxa"/>
              <w:right w:w="15" w:type="dxa"/>
            </w:tcMar>
            <w:vAlign w:val="center"/>
          </w:tcPr>
          <w:p w14:paraId="7FDA5303"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426,869</w:t>
            </w:r>
          </w:p>
        </w:tc>
        <w:tc>
          <w:tcPr>
            <w:tcW w:w="985" w:type="dxa"/>
            <w:tcMar>
              <w:top w:w="15" w:type="dxa"/>
              <w:left w:w="15" w:type="dxa"/>
              <w:bottom w:w="15" w:type="dxa"/>
              <w:right w:w="15" w:type="dxa"/>
            </w:tcMar>
            <w:vAlign w:val="center"/>
          </w:tcPr>
          <w:p w14:paraId="75AF8E87"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398,131</w:t>
            </w:r>
          </w:p>
        </w:tc>
        <w:tc>
          <w:tcPr>
            <w:tcW w:w="1050" w:type="dxa"/>
            <w:tcMar>
              <w:top w:w="15" w:type="dxa"/>
              <w:left w:w="15" w:type="dxa"/>
              <w:bottom w:w="15" w:type="dxa"/>
              <w:right w:w="15" w:type="dxa"/>
            </w:tcMar>
            <w:vAlign w:val="center"/>
          </w:tcPr>
          <w:p w14:paraId="6AFBB55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395,660</w:t>
            </w:r>
          </w:p>
        </w:tc>
        <w:tc>
          <w:tcPr>
            <w:tcW w:w="1050" w:type="dxa"/>
            <w:tcMar>
              <w:top w:w="15" w:type="dxa"/>
              <w:left w:w="15" w:type="dxa"/>
              <w:bottom w:w="15" w:type="dxa"/>
              <w:right w:w="15" w:type="dxa"/>
            </w:tcMar>
            <w:vAlign w:val="center"/>
          </w:tcPr>
          <w:p w14:paraId="5569DFBE"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387,280</w:t>
            </w:r>
          </w:p>
        </w:tc>
        <w:tc>
          <w:tcPr>
            <w:tcW w:w="1081" w:type="dxa"/>
            <w:tcMar>
              <w:top w:w="15" w:type="dxa"/>
              <w:left w:w="15" w:type="dxa"/>
              <w:bottom w:w="15" w:type="dxa"/>
              <w:right w:w="15" w:type="dxa"/>
            </w:tcMar>
            <w:vAlign w:val="center"/>
          </w:tcPr>
          <w:p w14:paraId="59B95AF5"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381,122</w:t>
            </w:r>
          </w:p>
        </w:tc>
      </w:tr>
      <w:tr w:rsidR="00556285" w:rsidRPr="0041782C" w14:paraId="518E46AA" w14:textId="77777777" w:rsidTr="006A09FF">
        <w:trPr>
          <w:trHeight w:val="300"/>
        </w:trPr>
        <w:tc>
          <w:tcPr>
            <w:tcW w:w="2405" w:type="dxa"/>
            <w:tcMar>
              <w:top w:w="15" w:type="dxa"/>
              <w:left w:w="15" w:type="dxa"/>
              <w:bottom w:w="15" w:type="dxa"/>
              <w:right w:w="15" w:type="dxa"/>
            </w:tcMar>
            <w:vAlign w:val="center"/>
          </w:tcPr>
          <w:p w14:paraId="485440F5"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Resultado</w:t>
            </w:r>
          </w:p>
        </w:tc>
        <w:tc>
          <w:tcPr>
            <w:tcW w:w="942" w:type="dxa"/>
            <w:tcMar>
              <w:top w:w="15" w:type="dxa"/>
              <w:left w:w="15" w:type="dxa"/>
              <w:bottom w:w="15" w:type="dxa"/>
              <w:right w:w="15" w:type="dxa"/>
            </w:tcMar>
            <w:vAlign w:val="center"/>
          </w:tcPr>
          <w:p w14:paraId="634CDEB4"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383,366</w:t>
            </w:r>
          </w:p>
        </w:tc>
        <w:tc>
          <w:tcPr>
            <w:tcW w:w="985" w:type="dxa"/>
            <w:tcMar>
              <w:top w:w="15" w:type="dxa"/>
              <w:left w:w="15" w:type="dxa"/>
              <w:bottom w:w="15" w:type="dxa"/>
              <w:right w:w="15" w:type="dxa"/>
            </w:tcMar>
            <w:vAlign w:val="center"/>
          </w:tcPr>
          <w:p w14:paraId="17088838"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385,796</w:t>
            </w:r>
          </w:p>
        </w:tc>
        <w:tc>
          <w:tcPr>
            <w:tcW w:w="1050" w:type="dxa"/>
            <w:tcMar>
              <w:top w:w="15" w:type="dxa"/>
              <w:left w:w="15" w:type="dxa"/>
              <w:bottom w:w="15" w:type="dxa"/>
              <w:right w:w="15" w:type="dxa"/>
            </w:tcMar>
            <w:vAlign w:val="center"/>
          </w:tcPr>
          <w:p w14:paraId="3D5E843E"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356,971</w:t>
            </w:r>
          </w:p>
        </w:tc>
        <w:tc>
          <w:tcPr>
            <w:tcW w:w="1050" w:type="dxa"/>
            <w:tcMar>
              <w:top w:w="15" w:type="dxa"/>
              <w:left w:w="15" w:type="dxa"/>
              <w:bottom w:w="15" w:type="dxa"/>
              <w:right w:w="15" w:type="dxa"/>
            </w:tcMar>
            <w:vAlign w:val="center"/>
          </w:tcPr>
          <w:p w14:paraId="6E040554"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348,137</w:t>
            </w:r>
          </w:p>
        </w:tc>
        <w:tc>
          <w:tcPr>
            <w:tcW w:w="1081" w:type="dxa"/>
            <w:tcMar>
              <w:top w:w="15" w:type="dxa"/>
              <w:left w:w="15" w:type="dxa"/>
              <w:bottom w:w="15" w:type="dxa"/>
              <w:right w:w="15" w:type="dxa"/>
            </w:tcMar>
            <w:vAlign w:val="center"/>
          </w:tcPr>
          <w:p w14:paraId="2B4D5A4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327,881</w:t>
            </w:r>
          </w:p>
        </w:tc>
      </w:tr>
      <w:tr w:rsidR="00556285" w:rsidRPr="0041782C" w14:paraId="473F9155" w14:textId="77777777" w:rsidTr="006A09FF">
        <w:trPr>
          <w:trHeight w:val="300"/>
        </w:trPr>
        <w:tc>
          <w:tcPr>
            <w:tcW w:w="2405" w:type="dxa"/>
            <w:tcMar>
              <w:top w:w="15" w:type="dxa"/>
              <w:left w:w="15" w:type="dxa"/>
              <w:bottom w:w="15" w:type="dxa"/>
              <w:right w:w="15" w:type="dxa"/>
            </w:tcMar>
            <w:vAlign w:val="center"/>
          </w:tcPr>
          <w:p w14:paraId="5A39C9EA"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Desviación</w:t>
            </w:r>
          </w:p>
        </w:tc>
        <w:tc>
          <w:tcPr>
            <w:tcW w:w="942" w:type="dxa"/>
            <w:tcMar>
              <w:top w:w="15" w:type="dxa"/>
              <w:left w:w="15" w:type="dxa"/>
              <w:bottom w:w="15" w:type="dxa"/>
              <w:right w:w="15" w:type="dxa"/>
            </w:tcMar>
            <w:vAlign w:val="center"/>
          </w:tcPr>
          <w:p w14:paraId="7603EDE5"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43,503</w:t>
            </w:r>
          </w:p>
        </w:tc>
        <w:tc>
          <w:tcPr>
            <w:tcW w:w="985" w:type="dxa"/>
            <w:tcMar>
              <w:top w:w="15" w:type="dxa"/>
              <w:left w:w="15" w:type="dxa"/>
              <w:bottom w:w="15" w:type="dxa"/>
              <w:right w:w="15" w:type="dxa"/>
            </w:tcMar>
            <w:vAlign w:val="center"/>
          </w:tcPr>
          <w:p w14:paraId="0FCA6CD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12,335</w:t>
            </w:r>
          </w:p>
        </w:tc>
        <w:tc>
          <w:tcPr>
            <w:tcW w:w="1050" w:type="dxa"/>
            <w:tcMar>
              <w:top w:w="15" w:type="dxa"/>
              <w:left w:w="15" w:type="dxa"/>
              <w:bottom w:w="15" w:type="dxa"/>
              <w:right w:w="15" w:type="dxa"/>
            </w:tcMar>
            <w:vAlign w:val="center"/>
          </w:tcPr>
          <w:p w14:paraId="63BF5218"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38,689</w:t>
            </w:r>
          </w:p>
        </w:tc>
        <w:tc>
          <w:tcPr>
            <w:tcW w:w="1050" w:type="dxa"/>
            <w:tcMar>
              <w:top w:w="15" w:type="dxa"/>
              <w:left w:w="15" w:type="dxa"/>
              <w:bottom w:w="15" w:type="dxa"/>
              <w:right w:w="15" w:type="dxa"/>
            </w:tcMar>
            <w:vAlign w:val="center"/>
          </w:tcPr>
          <w:p w14:paraId="3DBD4D91"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39,143</w:t>
            </w:r>
          </w:p>
        </w:tc>
        <w:tc>
          <w:tcPr>
            <w:tcW w:w="1081" w:type="dxa"/>
            <w:tcMar>
              <w:top w:w="15" w:type="dxa"/>
              <w:left w:w="15" w:type="dxa"/>
              <w:bottom w:w="15" w:type="dxa"/>
              <w:right w:w="15" w:type="dxa"/>
            </w:tcMar>
            <w:vAlign w:val="center"/>
          </w:tcPr>
          <w:p w14:paraId="22558E44"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53,241</w:t>
            </w:r>
          </w:p>
        </w:tc>
      </w:tr>
      <w:tr w:rsidR="00556285" w:rsidRPr="0041782C" w14:paraId="4D2F4135" w14:textId="77777777" w:rsidTr="006A09FF">
        <w:trPr>
          <w:trHeight w:val="300"/>
        </w:trPr>
        <w:tc>
          <w:tcPr>
            <w:tcW w:w="7513" w:type="dxa"/>
            <w:gridSpan w:val="6"/>
            <w:tcMar>
              <w:top w:w="15" w:type="dxa"/>
              <w:left w:w="15" w:type="dxa"/>
              <w:bottom w:w="15" w:type="dxa"/>
              <w:right w:w="15" w:type="dxa"/>
            </w:tcMar>
            <w:vAlign w:val="center"/>
          </w:tcPr>
          <w:p w14:paraId="6CB7406B" w14:textId="77777777" w:rsidR="00556285" w:rsidRPr="0041782C" w:rsidRDefault="00556285" w:rsidP="006A09FF">
            <w:pPr>
              <w:spacing w:line="276" w:lineRule="auto"/>
              <w:ind w:left="90"/>
              <w:rPr>
                <w:rFonts w:eastAsia="Aptos"/>
                <w:b/>
                <w:bCs/>
                <w:sz w:val="16"/>
                <w:szCs w:val="16"/>
                <w:lang w:val="es-419"/>
              </w:rPr>
            </w:pPr>
            <w:r w:rsidRPr="0041782C">
              <w:rPr>
                <w:b/>
                <w:sz w:val="16"/>
                <w:lang w:val="es-419"/>
              </w:rPr>
              <w:t>Superávit/(Déficit) neto</w:t>
            </w:r>
          </w:p>
        </w:tc>
      </w:tr>
      <w:tr w:rsidR="00556285" w:rsidRPr="0041782C" w14:paraId="46105886" w14:textId="77777777" w:rsidTr="006A09FF">
        <w:trPr>
          <w:trHeight w:val="300"/>
        </w:trPr>
        <w:tc>
          <w:tcPr>
            <w:tcW w:w="2405" w:type="dxa"/>
            <w:tcMar>
              <w:top w:w="15" w:type="dxa"/>
              <w:left w:w="15" w:type="dxa"/>
              <w:bottom w:w="15" w:type="dxa"/>
              <w:right w:w="15" w:type="dxa"/>
            </w:tcMar>
            <w:vAlign w:val="center"/>
          </w:tcPr>
          <w:p w14:paraId="28E55D4E"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Superávit previsto</w:t>
            </w:r>
          </w:p>
        </w:tc>
        <w:tc>
          <w:tcPr>
            <w:tcW w:w="942" w:type="dxa"/>
            <w:tcMar>
              <w:top w:w="15" w:type="dxa"/>
              <w:left w:w="15" w:type="dxa"/>
              <w:bottom w:w="15" w:type="dxa"/>
              <w:right w:w="15" w:type="dxa"/>
            </w:tcMar>
            <w:vAlign w:val="center"/>
          </w:tcPr>
          <w:p w14:paraId="02394505"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52,332</w:t>
            </w:r>
          </w:p>
        </w:tc>
        <w:tc>
          <w:tcPr>
            <w:tcW w:w="985" w:type="dxa"/>
            <w:tcMar>
              <w:top w:w="15" w:type="dxa"/>
              <w:left w:w="15" w:type="dxa"/>
              <w:bottom w:w="15" w:type="dxa"/>
              <w:right w:w="15" w:type="dxa"/>
            </w:tcMar>
            <w:vAlign w:val="center"/>
          </w:tcPr>
          <w:p w14:paraId="6A196F76"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85,705</w:t>
            </w:r>
          </w:p>
        </w:tc>
        <w:tc>
          <w:tcPr>
            <w:tcW w:w="1050" w:type="dxa"/>
            <w:tcMar>
              <w:top w:w="15" w:type="dxa"/>
              <w:left w:w="15" w:type="dxa"/>
              <w:bottom w:w="15" w:type="dxa"/>
              <w:right w:w="15" w:type="dxa"/>
            </w:tcMar>
            <w:vAlign w:val="center"/>
          </w:tcPr>
          <w:p w14:paraId="6CD5E6D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72,265</w:t>
            </w:r>
          </w:p>
        </w:tc>
        <w:tc>
          <w:tcPr>
            <w:tcW w:w="1050" w:type="dxa"/>
            <w:tcMar>
              <w:top w:w="15" w:type="dxa"/>
              <w:left w:w="15" w:type="dxa"/>
              <w:bottom w:w="15" w:type="dxa"/>
              <w:right w:w="15" w:type="dxa"/>
            </w:tcMar>
            <w:vAlign w:val="center"/>
          </w:tcPr>
          <w:p w14:paraId="6506E428"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61,559</w:t>
            </w:r>
          </w:p>
        </w:tc>
        <w:tc>
          <w:tcPr>
            <w:tcW w:w="1081" w:type="dxa"/>
            <w:shd w:val="clear" w:color="auto" w:fill="auto"/>
            <w:tcMar>
              <w:top w:w="15" w:type="dxa"/>
              <w:left w:w="15" w:type="dxa"/>
              <w:bottom w:w="15" w:type="dxa"/>
              <w:right w:w="15" w:type="dxa"/>
            </w:tcMar>
            <w:vAlign w:val="center"/>
          </w:tcPr>
          <w:p w14:paraId="546BC924"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52,808</w:t>
            </w:r>
          </w:p>
        </w:tc>
      </w:tr>
      <w:tr w:rsidR="00556285" w:rsidRPr="0041782C" w14:paraId="3521BA31" w14:textId="77777777" w:rsidTr="006A09FF">
        <w:trPr>
          <w:trHeight w:val="300"/>
        </w:trPr>
        <w:tc>
          <w:tcPr>
            <w:tcW w:w="2405" w:type="dxa"/>
            <w:tcMar>
              <w:top w:w="15" w:type="dxa"/>
              <w:left w:w="15" w:type="dxa"/>
              <w:bottom w:w="15" w:type="dxa"/>
              <w:right w:w="15" w:type="dxa"/>
            </w:tcMar>
            <w:vAlign w:val="center"/>
          </w:tcPr>
          <w:p w14:paraId="7C20DC7A"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Superávit real¹</w:t>
            </w:r>
          </w:p>
        </w:tc>
        <w:tc>
          <w:tcPr>
            <w:tcW w:w="942" w:type="dxa"/>
            <w:tcMar>
              <w:top w:w="15" w:type="dxa"/>
              <w:left w:w="15" w:type="dxa"/>
              <w:bottom w:w="15" w:type="dxa"/>
              <w:right w:w="15" w:type="dxa"/>
            </w:tcMar>
            <w:vAlign w:val="center"/>
          </w:tcPr>
          <w:p w14:paraId="13B71F52"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103,305</w:t>
            </w:r>
          </w:p>
        </w:tc>
        <w:tc>
          <w:tcPr>
            <w:tcW w:w="985" w:type="dxa"/>
            <w:tcMar>
              <w:top w:w="15" w:type="dxa"/>
              <w:left w:w="15" w:type="dxa"/>
              <w:bottom w:w="15" w:type="dxa"/>
              <w:right w:w="15" w:type="dxa"/>
            </w:tcMar>
            <w:vAlign w:val="center"/>
          </w:tcPr>
          <w:p w14:paraId="73394EF3"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94,412</w:t>
            </w:r>
          </w:p>
        </w:tc>
        <w:tc>
          <w:tcPr>
            <w:tcW w:w="1050" w:type="dxa"/>
            <w:tcMar>
              <w:top w:w="15" w:type="dxa"/>
              <w:left w:w="15" w:type="dxa"/>
              <w:bottom w:w="15" w:type="dxa"/>
              <w:right w:w="15" w:type="dxa"/>
            </w:tcMar>
            <w:vAlign w:val="center"/>
          </w:tcPr>
          <w:p w14:paraId="7896A906"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134,975</w:t>
            </w:r>
          </w:p>
        </w:tc>
        <w:tc>
          <w:tcPr>
            <w:tcW w:w="1050" w:type="dxa"/>
            <w:tcMar>
              <w:top w:w="15" w:type="dxa"/>
              <w:left w:w="15" w:type="dxa"/>
              <w:bottom w:w="15" w:type="dxa"/>
              <w:right w:w="15" w:type="dxa"/>
            </w:tcMar>
            <w:vAlign w:val="center"/>
          </w:tcPr>
          <w:p w14:paraId="46DF48FC"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120,984</w:t>
            </w:r>
          </w:p>
        </w:tc>
        <w:tc>
          <w:tcPr>
            <w:tcW w:w="1081" w:type="dxa"/>
            <w:tcMar>
              <w:top w:w="15" w:type="dxa"/>
              <w:left w:w="15" w:type="dxa"/>
              <w:bottom w:w="15" w:type="dxa"/>
              <w:right w:w="15" w:type="dxa"/>
            </w:tcMar>
            <w:vAlign w:val="center"/>
          </w:tcPr>
          <w:p w14:paraId="7EFFC47C"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135,056</w:t>
            </w:r>
          </w:p>
        </w:tc>
      </w:tr>
      <w:tr w:rsidR="00556285" w:rsidRPr="0041782C" w14:paraId="09AB2A6D" w14:textId="77777777" w:rsidTr="006A09FF">
        <w:trPr>
          <w:trHeight w:val="300"/>
        </w:trPr>
        <w:tc>
          <w:tcPr>
            <w:tcW w:w="2405" w:type="dxa"/>
            <w:tcMar>
              <w:top w:w="15" w:type="dxa"/>
              <w:left w:w="15" w:type="dxa"/>
              <w:bottom w:w="15" w:type="dxa"/>
              <w:right w:w="15" w:type="dxa"/>
            </w:tcMar>
            <w:vAlign w:val="center"/>
          </w:tcPr>
          <w:p w14:paraId="69F0A810"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 de ingresos²</w:t>
            </w:r>
          </w:p>
        </w:tc>
        <w:tc>
          <w:tcPr>
            <w:tcW w:w="942" w:type="dxa"/>
            <w:tcMar>
              <w:top w:w="15" w:type="dxa"/>
              <w:left w:w="15" w:type="dxa"/>
              <w:bottom w:w="15" w:type="dxa"/>
              <w:right w:w="15" w:type="dxa"/>
            </w:tcMar>
            <w:vAlign w:val="center"/>
          </w:tcPr>
          <w:p w14:paraId="506C6BD7"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21 %</w:t>
            </w:r>
          </w:p>
        </w:tc>
        <w:tc>
          <w:tcPr>
            <w:tcW w:w="985" w:type="dxa"/>
            <w:tcMar>
              <w:top w:w="15" w:type="dxa"/>
              <w:left w:w="15" w:type="dxa"/>
              <w:bottom w:w="15" w:type="dxa"/>
              <w:right w:w="15" w:type="dxa"/>
            </w:tcMar>
            <w:vAlign w:val="center"/>
          </w:tcPr>
          <w:p w14:paraId="6A7204E0"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20 %</w:t>
            </w:r>
          </w:p>
        </w:tc>
        <w:tc>
          <w:tcPr>
            <w:tcW w:w="1050" w:type="dxa"/>
            <w:tcMar>
              <w:top w:w="15" w:type="dxa"/>
              <w:left w:w="15" w:type="dxa"/>
              <w:bottom w:w="15" w:type="dxa"/>
              <w:right w:w="15" w:type="dxa"/>
            </w:tcMar>
            <w:vAlign w:val="center"/>
          </w:tcPr>
          <w:p w14:paraId="3331E330"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27 %</w:t>
            </w:r>
          </w:p>
        </w:tc>
        <w:tc>
          <w:tcPr>
            <w:tcW w:w="1050" w:type="dxa"/>
            <w:tcMar>
              <w:top w:w="15" w:type="dxa"/>
              <w:left w:w="15" w:type="dxa"/>
              <w:bottom w:w="15" w:type="dxa"/>
              <w:right w:w="15" w:type="dxa"/>
            </w:tcMar>
            <w:vAlign w:val="center"/>
          </w:tcPr>
          <w:p w14:paraId="1BE56BCD" w14:textId="77777777" w:rsidR="00556285" w:rsidRPr="0041782C" w:rsidRDefault="00556285" w:rsidP="006A09FF">
            <w:pPr>
              <w:spacing w:line="276" w:lineRule="auto"/>
              <w:ind w:left="90" w:right="57"/>
              <w:jc w:val="right"/>
              <w:rPr>
                <w:rFonts w:eastAsia="Aptos"/>
                <w:sz w:val="16"/>
                <w:szCs w:val="16"/>
                <w:lang w:val="es-419"/>
              </w:rPr>
            </w:pPr>
            <w:r w:rsidRPr="0041782C">
              <w:rPr>
                <w:color w:val="0D0D0D" w:themeColor="text1" w:themeTint="F2"/>
                <w:sz w:val="16"/>
                <w:lang w:val="es-419"/>
              </w:rPr>
              <w:t>26 %</w:t>
            </w:r>
          </w:p>
        </w:tc>
        <w:tc>
          <w:tcPr>
            <w:tcW w:w="1081" w:type="dxa"/>
            <w:tcMar>
              <w:top w:w="15" w:type="dxa"/>
              <w:left w:w="15" w:type="dxa"/>
              <w:bottom w:w="15" w:type="dxa"/>
              <w:right w:w="15" w:type="dxa"/>
            </w:tcMar>
            <w:vAlign w:val="center"/>
          </w:tcPr>
          <w:p w14:paraId="4B655643"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29 %</w:t>
            </w:r>
          </w:p>
        </w:tc>
      </w:tr>
      <w:tr w:rsidR="00556285" w:rsidRPr="0041782C" w14:paraId="0E01D8F8" w14:textId="77777777" w:rsidTr="006A09FF">
        <w:trPr>
          <w:trHeight w:val="300"/>
        </w:trPr>
        <w:tc>
          <w:tcPr>
            <w:tcW w:w="7513" w:type="dxa"/>
            <w:gridSpan w:val="6"/>
            <w:tcMar>
              <w:top w:w="15" w:type="dxa"/>
              <w:left w:w="15" w:type="dxa"/>
              <w:bottom w:w="15" w:type="dxa"/>
              <w:right w:w="15" w:type="dxa"/>
            </w:tcMar>
            <w:vAlign w:val="center"/>
          </w:tcPr>
          <w:p w14:paraId="06874229" w14:textId="77777777" w:rsidR="00556285" w:rsidRPr="0041782C" w:rsidRDefault="00556285" w:rsidP="006A09FF">
            <w:pPr>
              <w:spacing w:line="276" w:lineRule="auto"/>
              <w:ind w:left="90"/>
              <w:rPr>
                <w:rFonts w:eastAsia="Aptos"/>
                <w:b/>
                <w:bCs/>
                <w:sz w:val="16"/>
                <w:szCs w:val="16"/>
                <w:lang w:val="es-419"/>
              </w:rPr>
            </w:pPr>
            <w:r w:rsidRPr="0041782C">
              <w:rPr>
                <w:b/>
                <w:sz w:val="16"/>
                <w:lang w:val="es-419"/>
              </w:rPr>
              <w:t>Rendimiento de la inversión</w:t>
            </w:r>
          </w:p>
        </w:tc>
      </w:tr>
      <w:tr w:rsidR="00556285" w:rsidRPr="0041782C" w14:paraId="4DF88119" w14:textId="77777777" w:rsidTr="006A09FF">
        <w:trPr>
          <w:trHeight w:val="300"/>
        </w:trPr>
        <w:tc>
          <w:tcPr>
            <w:tcW w:w="2405" w:type="dxa"/>
            <w:tcMar>
              <w:top w:w="15" w:type="dxa"/>
              <w:left w:w="15" w:type="dxa"/>
              <w:bottom w:w="15" w:type="dxa"/>
              <w:right w:w="15" w:type="dxa"/>
            </w:tcMar>
            <w:vAlign w:val="center"/>
          </w:tcPr>
          <w:p w14:paraId="77ED4CCD"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Presupuesto</w:t>
            </w:r>
          </w:p>
        </w:tc>
        <w:tc>
          <w:tcPr>
            <w:tcW w:w="942" w:type="dxa"/>
            <w:tcMar>
              <w:top w:w="15" w:type="dxa"/>
              <w:left w:w="15" w:type="dxa"/>
              <w:bottom w:w="15" w:type="dxa"/>
              <w:right w:w="15" w:type="dxa"/>
            </w:tcMar>
            <w:vAlign w:val="center"/>
          </w:tcPr>
          <w:p w14:paraId="65A842D7"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Nulo</w:t>
            </w:r>
          </w:p>
        </w:tc>
        <w:tc>
          <w:tcPr>
            <w:tcW w:w="985" w:type="dxa"/>
            <w:tcMar>
              <w:top w:w="15" w:type="dxa"/>
              <w:left w:w="15" w:type="dxa"/>
              <w:bottom w:w="15" w:type="dxa"/>
              <w:right w:w="15" w:type="dxa"/>
            </w:tcMar>
            <w:vAlign w:val="center"/>
          </w:tcPr>
          <w:p w14:paraId="03192161"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Nulo</w:t>
            </w:r>
          </w:p>
        </w:tc>
        <w:tc>
          <w:tcPr>
            <w:tcW w:w="1050" w:type="dxa"/>
            <w:tcMar>
              <w:top w:w="15" w:type="dxa"/>
              <w:left w:w="15" w:type="dxa"/>
              <w:bottom w:w="15" w:type="dxa"/>
              <w:right w:w="15" w:type="dxa"/>
            </w:tcMar>
            <w:vAlign w:val="center"/>
          </w:tcPr>
          <w:p w14:paraId="76222F99"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Nulo</w:t>
            </w:r>
          </w:p>
        </w:tc>
        <w:tc>
          <w:tcPr>
            <w:tcW w:w="1050" w:type="dxa"/>
            <w:tcMar>
              <w:top w:w="15" w:type="dxa"/>
              <w:left w:w="15" w:type="dxa"/>
              <w:bottom w:w="15" w:type="dxa"/>
              <w:right w:w="15" w:type="dxa"/>
            </w:tcMar>
            <w:vAlign w:val="center"/>
          </w:tcPr>
          <w:p w14:paraId="1888E49E"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-0,844</w:t>
            </w:r>
          </w:p>
        </w:tc>
        <w:tc>
          <w:tcPr>
            <w:tcW w:w="1081" w:type="dxa"/>
            <w:tcMar>
              <w:top w:w="15" w:type="dxa"/>
              <w:left w:w="15" w:type="dxa"/>
              <w:bottom w:w="15" w:type="dxa"/>
              <w:right w:w="15" w:type="dxa"/>
            </w:tcMar>
            <w:vAlign w:val="center"/>
          </w:tcPr>
          <w:p w14:paraId="56B73852"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-0,844</w:t>
            </w:r>
          </w:p>
        </w:tc>
      </w:tr>
      <w:tr w:rsidR="00556285" w:rsidRPr="0041782C" w14:paraId="6E716700" w14:textId="77777777" w:rsidTr="006A09FF">
        <w:trPr>
          <w:trHeight w:val="300"/>
        </w:trPr>
        <w:tc>
          <w:tcPr>
            <w:tcW w:w="2405" w:type="dxa"/>
            <w:tcMar>
              <w:top w:w="15" w:type="dxa"/>
              <w:left w:w="15" w:type="dxa"/>
              <w:bottom w:w="15" w:type="dxa"/>
              <w:right w:w="15" w:type="dxa"/>
            </w:tcMar>
            <w:vAlign w:val="center"/>
          </w:tcPr>
          <w:p w14:paraId="517D77B8" w14:textId="77777777" w:rsidR="00556285" w:rsidRPr="0041782C" w:rsidRDefault="00556285" w:rsidP="006A09FF">
            <w:pPr>
              <w:spacing w:line="276" w:lineRule="auto"/>
              <w:ind w:left="90"/>
              <w:jc w:val="center"/>
              <w:rPr>
                <w:rFonts w:eastAsia="Aptos"/>
                <w:sz w:val="16"/>
                <w:szCs w:val="16"/>
                <w:lang w:val="es-419"/>
              </w:rPr>
            </w:pPr>
            <w:r w:rsidRPr="0041782C">
              <w:rPr>
                <w:sz w:val="16"/>
                <w:lang w:val="es-419"/>
              </w:rPr>
              <w:t>Real</w:t>
            </w:r>
          </w:p>
        </w:tc>
        <w:tc>
          <w:tcPr>
            <w:tcW w:w="942" w:type="dxa"/>
            <w:tcMar>
              <w:top w:w="15" w:type="dxa"/>
              <w:left w:w="15" w:type="dxa"/>
              <w:bottom w:w="15" w:type="dxa"/>
              <w:right w:w="15" w:type="dxa"/>
            </w:tcMar>
            <w:vAlign w:val="center"/>
          </w:tcPr>
          <w:p w14:paraId="5566AD4D"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73,728</w:t>
            </w:r>
          </w:p>
        </w:tc>
        <w:tc>
          <w:tcPr>
            <w:tcW w:w="985" w:type="dxa"/>
            <w:tcMar>
              <w:top w:w="15" w:type="dxa"/>
              <w:left w:w="15" w:type="dxa"/>
              <w:bottom w:w="15" w:type="dxa"/>
              <w:right w:w="15" w:type="dxa"/>
            </w:tcMar>
            <w:vAlign w:val="center"/>
          </w:tcPr>
          <w:p w14:paraId="5F134C8C" w14:textId="77777777" w:rsidR="00556285" w:rsidRPr="0041782C" w:rsidRDefault="00556285" w:rsidP="006A09FF">
            <w:pPr>
              <w:spacing w:line="276" w:lineRule="auto"/>
              <w:ind w:left="90" w:right="57"/>
              <w:jc w:val="right"/>
              <w:rPr>
                <w:rFonts w:eastAsia="Aptos"/>
                <w:sz w:val="16"/>
                <w:szCs w:val="16"/>
                <w:lang w:val="es-419"/>
              </w:rPr>
            </w:pPr>
            <w:r w:rsidRPr="0041782C">
              <w:rPr>
                <w:color w:val="0D0D0D" w:themeColor="text1" w:themeTint="F2"/>
                <w:sz w:val="16"/>
                <w:lang w:val="es-419"/>
              </w:rPr>
              <w:t>52,184</w:t>
            </w:r>
          </w:p>
        </w:tc>
        <w:tc>
          <w:tcPr>
            <w:tcW w:w="1050" w:type="dxa"/>
            <w:tcMar>
              <w:top w:w="15" w:type="dxa"/>
              <w:left w:w="15" w:type="dxa"/>
              <w:bottom w:w="15" w:type="dxa"/>
              <w:right w:w="15" w:type="dxa"/>
            </w:tcMar>
            <w:vAlign w:val="center"/>
          </w:tcPr>
          <w:p w14:paraId="026C6E14"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-88,055</w:t>
            </w:r>
          </w:p>
        </w:tc>
        <w:tc>
          <w:tcPr>
            <w:tcW w:w="1050" w:type="dxa"/>
            <w:tcMar>
              <w:top w:w="15" w:type="dxa"/>
              <w:left w:w="15" w:type="dxa"/>
              <w:bottom w:w="15" w:type="dxa"/>
              <w:right w:w="15" w:type="dxa"/>
            </w:tcMar>
            <w:vAlign w:val="center"/>
          </w:tcPr>
          <w:p w14:paraId="14C7B93B"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22,713</w:t>
            </w:r>
          </w:p>
        </w:tc>
        <w:tc>
          <w:tcPr>
            <w:tcW w:w="1081" w:type="dxa"/>
            <w:tcMar>
              <w:top w:w="15" w:type="dxa"/>
              <w:left w:w="15" w:type="dxa"/>
              <w:bottom w:w="15" w:type="dxa"/>
              <w:right w:w="15" w:type="dxa"/>
            </w:tcMar>
            <w:vAlign w:val="center"/>
          </w:tcPr>
          <w:p w14:paraId="4D19B63F" w14:textId="77777777" w:rsidR="00556285" w:rsidRPr="0041782C" w:rsidRDefault="00556285" w:rsidP="006A09FF">
            <w:pPr>
              <w:spacing w:line="276" w:lineRule="auto"/>
              <w:ind w:left="90" w:right="57"/>
              <w:jc w:val="right"/>
              <w:rPr>
                <w:rFonts w:eastAsia="Aptos"/>
                <w:sz w:val="16"/>
                <w:szCs w:val="16"/>
                <w:lang w:val="es-419"/>
              </w:rPr>
            </w:pPr>
            <w:r w:rsidRPr="0041782C">
              <w:rPr>
                <w:sz w:val="16"/>
                <w:lang w:val="es-419"/>
              </w:rPr>
              <w:t>33,429</w:t>
            </w:r>
          </w:p>
        </w:tc>
      </w:tr>
    </w:tbl>
    <w:p w14:paraId="0F895C38" w14:textId="77777777" w:rsidR="00556285" w:rsidRPr="0041782C" w:rsidRDefault="00556285" w:rsidP="00556285">
      <w:pPr>
        <w:pStyle w:val="ListParagraph"/>
        <w:spacing w:after="0" w:line="240" w:lineRule="auto"/>
        <w:rPr>
          <w:rFonts w:ascii="Arial" w:hAnsi="Arial" w:cs="Arial"/>
          <w:sz w:val="16"/>
          <w:szCs w:val="16"/>
          <w:lang w:val="es-419"/>
        </w:rPr>
      </w:pPr>
      <w:r w:rsidRPr="0041782C">
        <w:rPr>
          <w:rFonts w:ascii="Arial" w:hAnsi="Arial"/>
          <w:sz w:val="16"/>
          <w:lang w:val="es-419"/>
        </w:rPr>
        <w:t>Notas</w:t>
      </w:r>
    </w:p>
    <w:p w14:paraId="23A39581" w14:textId="77777777" w:rsidR="00556285" w:rsidRPr="0041782C" w:rsidRDefault="00556285" w:rsidP="00556285">
      <w:pPr>
        <w:pStyle w:val="ListParagraph"/>
        <w:numPr>
          <w:ilvl w:val="0"/>
          <w:numId w:val="28"/>
        </w:numPr>
        <w:spacing w:after="0" w:line="240" w:lineRule="auto"/>
        <w:rPr>
          <w:rFonts w:ascii="Arial" w:hAnsi="Arial" w:cs="Arial"/>
          <w:sz w:val="16"/>
          <w:szCs w:val="16"/>
          <w:lang w:val="es-419"/>
        </w:rPr>
      </w:pPr>
      <w:r w:rsidRPr="0041782C">
        <w:rPr>
          <w:rFonts w:ascii="Arial" w:hAnsi="Arial"/>
          <w:sz w:val="16"/>
          <w:lang w:val="es-419"/>
        </w:rPr>
        <w:t>Excluye ingresos/ganancias por inversiones y pérdidas.</w:t>
      </w:r>
    </w:p>
    <w:p w14:paraId="55AB4270" w14:textId="77777777" w:rsidR="00556285" w:rsidRPr="0041782C" w:rsidRDefault="00556285" w:rsidP="00556285">
      <w:pPr>
        <w:pStyle w:val="ListParagraph"/>
        <w:numPr>
          <w:ilvl w:val="0"/>
          <w:numId w:val="28"/>
        </w:numPr>
        <w:spacing w:after="0" w:line="240" w:lineRule="auto"/>
        <w:rPr>
          <w:rFonts w:ascii="Arial" w:hAnsi="Arial" w:cs="Arial"/>
          <w:sz w:val="16"/>
          <w:szCs w:val="16"/>
          <w:lang w:val="es-419"/>
        </w:rPr>
      </w:pPr>
      <w:r w:rsidRPr="0041782C">
        <w:rPr>
          <w:rFonts w:ascii="Arial" w:hAnsi="Arial"/>
          <w:sz w:val="16"/>
          <w:lang w:val="es-419"/>
        </w:rPr>
        <w:t>Superávit antes de los ajustes IPSAS. Fuente: Estados financieros de la Organización</w:t>
      </w:r>
    </w:p>
    <w:p w14:paraId="2620B4F4" w14:textId="77777777" w:rsidR="00556285" w:rsidRPr="0041782C" w:rsidRDefault="00556285" w:rsidP="00556285">
      <w:pPr>
        <w:pStyle w:val="ListParagraph"/>
        <w:ind w:left="425" w:hanging="357"/>
        <w:jc w:val="both"/>
        <w:rPr>
          <w:rFonts w:ascii="Times New Roman" w:hAnsi="Times New Roman" w:cs="Times New Roman"/>
          <w:sz w:val="22"/>
          <w:szCs w:val="22"/>
          <w:lang w:val="es-419"/>
        </w:rPr>
      </w:pPr>
    </w:p>
    <w:p w14:paraId="4FCACE8E" w14:textId="77777777" w:rsidR="00556285" w:rsidRPr="0041782C" w:rsidRDefault="00556285" w:rsidP="00556285">
      <w:pPr>
        <w:pStyle w:val="ListParagraph"/>
        <w:numPr>
          <w:ilvl w:val="0"/>
          <w:numId w:val="10"/>
        </w:numPr>
        <w:ind w:left="425" w:hanging="357"/>
        <w:contextualSpacing w:val="0"/>
        <w:jc w:val="both"/>
        <w:rPr>
          <w:rFonts w:ascii="Times New Roman" w:hAnsi="Times New Roman" w:cs="Times New Roman"/>
          <w:sz w:val="22"/>
          <w:szCs w:val="22"/>
          <w:lang w:val="es-419"/>
        </w:rPr>
      </w:pPr>
      <w:r w:rsidRPr="0041782C">
        <w:rPr>
          <w:rFonts w:ascii="Times New Roman" w:hAnsi="Times New Roman"/>
          <w:sz w:val="22"/>
          <w:lang w:val="es-419"/>
        </w:rPr>
        <w:t>Tras las revisiones de las previsiones de ingresos, el presupuesto de ingresos actualizado para 2024 se fijó en 486,44 millones de francos suizos. Los ingresos reales del ejercicio ascendieron a 486,67 millones de francos suizos sobre una base comparable, lo que refleja unos resultados globalmente positivos. La mayoría de los flujos de ingresos superaron las previsiones presupuestarias, con la excepción de los sistemas del PCT y de Madrid -principales fuentes de ingresos de la Organización-, que registraron un ligero descenso y alcanzaron el 99,4% y el 99,6% de los objetivos presupuestarios respectivos. El buen comportamiento de los ingresos se debió en gran medida al aumento sustancial de los ingresos procedentes de los servicios de arbitraje y mediación, así como de otras fuentes diversas, que alcanzaron el 163,6% y el 228,4% de sus niveles presupuestados, respectivamente.</w:t>
      </w:r>
    </w:p>
    <w:p w14:paraId="3262F63A" w14:textId="77777777" w:rsidR="00556285" w:rsidRPr="0041782C" w:rsidRDefault="00556285" w:rsidP="00556285">
      <w:pPr>
        <w:pStyle w:val="ListParagraph"/>
        <w:numPr>
          <w:ilvl w:val="0"/>
          <w:numId w:val="10"/>
        </w:numPr>
        <w:ind w:left="425" w:hanging="357"/>
        <w:contextualSpacing w:val="0"/>
        <w:jc w:val="both"/>
        <w:rPr>
          <w:rFonts w:ascii="Times New Roman" w:hAnsi="Times New Roman" w:cs="Times New Roman"/>
          <w:sz w:val="22"/>
          <w:szCs w:val="22"/>
          <w:lang w:val="es-419"/>
        </w:rPr>
      </w:pPr>
      <w:r w:rsidRPr="0041782C">
        <w:rPr>
          <w:rFonts w:ascii="Times New Roman" w:hAnsi="Times New Roman"/>
          <w:sz w:val="22"/>
          <w:lang w:val="es-419"/>
        </w:rPr>
        <w:lastRenderedPageBreak/>
        <w:t>La consignación final de gastos de la Organización para 2024 ascendió a 425,41 millones de francos suizos, tras los ajustes realizados con respecto a los 426,87 millones de francos suizos iniciales. Los gastos reales ascendieron a 383,37 millones de francos suizos, lo que refleja una utilización del presupuesto del 90,1% y arroja un superávit de 103,31 millones de francos suizos, es decir, un 169,2% del superávit presupuestado. Los gastos en los distintos sectores se ajustaron en gran medida a los presupuestos aprobados: los gastos más importantes en patentes y tecnología (101,05 millones de francos suizos), administración, finanzas y gestión (135,14 millones de francos suizos) y otros sectores se ajustaron proporcionalmente a sus asignaciones respectivas.</w:t>
      </w:r>
    </w:p>
    <w:p w14:paraId="198CE457" w14:textId="77777777" w:rsidR="00556285" w:rsidRPr="0041782C" w:rsidRDefault="00556285" w:rsidP="00556285">
      <w:pPr>
        <w:pStyle w:val="ListParagraph"/>
        <w:numPr>
          <w:ilvl w:val="0"/>
          <w:numId w:val="10"/>
        </w:numPr>
        <w:ind w:left="425" w:hanging="357"/>
        <w:contextualSpacing w:val="0"/>
        <w:jc w:val="both"/>
        <w:rPr>
          <w:rFonts w:eastAsia="Times New Roman"/>
          <w:color w:val="D13438"/>
          <w:u w:val="single"/>
          <w:lang w:val="es-419"/>
        </w:rPr>
      </w:pPr>
      <w:r w:rsidRPr="0041782C">
        <w:rPr>
          <w:rFonts w:ascii="Times New Roman" w:hAnsi="Times New Roman"/>
          <w:sz w:val="22"/>
          <w:lang w:val="es-419"/>
        </w:rPr>
        <w:t>En la nota 20 de los estados financieros se indican los resultados financieros por Unión, en los que la Unión del PCT sigue siendo el principal contribuyente, generando superávits de 121,44 millones de francos suizos en 2023 y de 152,32 millones de francos suizos en 2024. Por el contrario, las Uniones de Lisboa y La Haya registraron déficits, cubiertos mediante ayudas internas aprobadas por las Asambleas. En 2024, la Unión del PCT aportó 14,73 millones de francos suizos para apoyar a las uniones financiadas mediante contribuciones y 7,55 millones de francos suizos para cubrir el déficit de la Unión de La Haya. La Unión de Madrid también contribuyó con 1,40 millones de francos suizos para compensar el déficit de la Unión de Lisboa, lo que pone de manifiesto la creciente dependencia de las uniones generadoras de superávit para sostener a las deficitarias.</w:t>
      </w:r>
      <w:r w:rsidRPr="0041782C">
        <w:rPr>
          <w:lang w:val="es-419"/>
        </w:rPr>
        <w:br w:type="page"/>
      </w:r>
    </w:p>
    <w:p w14:paraId="4D20AC34"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96" w:name="_Toc197203300"/>
      <w:bookmarkStart w:id="97" w:name="_Toc197205018"/>
      <w:bookmarkStart w:id="98" w:name="_Toc197205542"/>
      <w:bookmarkStart w:id="99" w:name="_Toc197205659"/>
      <w:bookmarkStart w:id="100" w:name="_Toc197206643"/>
      <w:bookmarkStart w:id="101" w:name="_Toc197206864"/>
      <w:bookmarkStart w:id="102" w:name="_Toc198742567"/>
      <w:bookmarkEnd w:id="96"/>
      <w:bookmarkEnd w:id="97"/>
      <w:bookmarkEnd w:id="98"/>
      <w:bookmarkEnd w:id="99"/>
      <w:bookmarkEnd w:id="100"/>
      <w:bookmarkEnd w:id="101"/>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lastRenderedPageBreak/>
        <w:t>Auditoría financiera</w:t>
      </w:r>
      <w:bookmarkEnd w:id="102"/>
    </w:p>
    <w:p w14:paraId="797B357B"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103" w:name="_Toc198742568"/>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Resultado general de la auditoría</w:t>
      </w:r>
      <w:bookmarkEnd w:id="103"/>
    </w:p>
    <w:p w14:paraId="06BFB3C9"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ha auditado los estados financieros de la Organización correspondientes al ejercicio cerrado a 31 de diciembre de 2024, que comprenden el estado de situación financiera, el estado de rendimiento financiero, el estado de flujo de efectivo, el estado de cambios en el activo neto, el estado de comparación de importes presupuestados y reales, y las notas a los estados financieros. Nuestro dictamen confirma que los estados financieros reflejan fielmente, en todos sus aspectos sustanciales, la situación financiera de la Organización a 31 de diciembre de 2024, así como su rendimiento financiero y su tesorería correspondientes al ejercicio cerrado en esa fecha. También confirma su correcta preparación de conformidad con las IPSAS y que, en todos los aspectos sustanciales, las operaciones subyacentes a los estados financieros se han realizado de conformidad con el Reglamento Financiero y se han aplicado a los fines previstos por los Estados miembros.</w:t>
      </w:r>
    </w:p>
    <w:p w14:paraId="0360E27E"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104" w:name="_Toc198742569"/>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Control interno</w:t>
      </w:r>
      <w:bookmarkEnd w:id="104"/>
    </w:p>
    <w:p w14:paraId="36DD9F4A"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En este primer encargo, el BPK ha tratado de evaluar la eficacia del control interno de la Organización, en particular: el control interno y la declaración sobre el control interno, la gestión de riesgos, la detección y prevención del fraude, la DSI y la Comisión Consultiva Independiente de Supervisión (CCIS). Se observa que el director general, de conformidad con el artículo 5.2 del Reglamento Financiero y la Reglamentación Financiera, establece un marco y un sistema de control interno conforme a las mejores prácticas pertinentes y vigentes. Además, el artículo 5.3 establece que el director general debe redactar y firmar una declaración anual de control interno que ofrezca garantías a las partes interesadas. La declaración sobre el control interno está respaldada por las garantías de los funcionarios designados y se basa en el dictamen de supervisión interna de la gobernanza, la gestión de riesgos y el entorno de control de la Organización. Nuestro análisis indica que la Organización ha establecido un sistema de control interno y un marco de gestión de riesgos conforme al marco de rendición de cuentas y el marco de gestión de riesgos de la Organización. En general, no hemos detectado deficiencias de control importantes que hayan repercutido en el dictamen de nuestra auditoría.   </w:t>
      </w:r>
    </w:p>
    <w:p w14:paraId="6F34B777" w14:textId="77777777" w:rsidR="00556285" w:rsidRPr="0041782C" w:rsidRDefault="00556285" w:rsidP="00556285">
      <w:pPr>
        <w:pStyle w:val="ListParagraph"/>
        <w:numPr>
          <w:ilvl w:val="0"/>
          <w:numId w:val="10"/>
        </w:numPr>
        <w:ind w:left="426" w:hanging="426"/>
        <w:contextualSpacing w:val="0"/>
        <w:jc w:val="both"/>
        <w:rPr>
          <w:rFonts w:ascii="Times New Roman" w:eastAsia="Times New Roman" w:hAnsi="Times New Roman" w:cs="Times New Roman"/>
          <w:color w:val="000000" w:themeColor="text1"/>
          <w:sz w:val="22"/>
          <w:szCs w:val="22"/>
          <w:lang w:val="es-419"/>
        </w:rPr>
      </w:pPr>
      <w:r w:rsidRPr="0041782C">
        <w:rPr>
          <w:rFonts w:ascii="Times New Roman" w:hAnsi="Times New Roman"/>
          <w:sz w:val="22"/>
          <w:lang w:val="es-419"/>
        </w:rPr>
        <w:t>La DSI proporciona a la Dirección de la Organización garantías, análisis, valoraciones, recomendaciones, enseñanzas, asesoramiento e información independientes y objetivos, mediante la realización de auditorías internas, evaluaciones e investigaciones. Durante la auditoría, el BPK se ha coordinado con la DSI y ha examinado sus informes. Ello ha ayudado al BPK a minimizar la duplicación de la labor de auditoría.</w:t>
      </w:r>
      <w:r w:rsidRPr="0041782C">
        <w:rPr>
          <w:rFonts w:ascii="Times New Roman" w:hAnsi="Times New Roman"/>
          <w:color w:val="000000" w:themeColor="text1"/>
          <w:sz w:val="22"/>
          <w:lang w:val="es-419"/>
        </w:rPr>
        <w:t xml:space="preserve"> Es a partir de los informes que el BPK ha sido informado del fraude que tuvo lugar en la Organización durante 2024. El BPK también ha obtenido el plan de trabajo anual de supervisión de la DSI para 2025, que resulta útil para la planificación de la auditoría del próximo año.</w:t>
      </w:r>
    </w:p>
    <w:p w14:paraId="546F4B69" w14:textId="77777777" w:rsidR="00556285" w:rsidRPr="0041782C" w:rsidRDefault="00556285" w:rsidP="00556285">
      <w:pPr>
        <w:pStyle w:val="ListParagraph"/>
        <w:numPr>
          <w:ilvl w:val="0"/>
          <w:numId w:val="10"/>
        </w:numPr>
        <w:ind w:left="426" w:hanging="426"/>
        <w:contextualSpacing w:val="0"/>
        <w:jc w:val="both"/>
        <w:rPr>
          <w:rFonts w:ascii="Times New Roman" w:eastAsia="Times New Roman" w:hAnsi="Times New Roman" w:cs="Times New Roman"/>
          <w:sz w:val="22"/>
          <w:szCs w:val="22"/>
          <w:lang w:val="es-419"/>
        </w:rPr>
      </w:pPr>
      <w:r w:rsidRPr="0041782C">
        <w:rPr>
          <w:rFonts w:ascii="Times New Roman" w:hAnsi="Times New Roman"/>
          <w:sz w:val="22"/>
          <w:lang w:val="es-419"/>
        </w:rPr>
        <w:t xml:space="preserve">La CCIS es un órgano subsidiario de la Asamblea General de la Organización y del Comité del Programa y Presupuesto, que desempeña funciones de asesoramiento especializado independiente y ayuda a la Asamblea General de la Organización y al </w:t>
      </w:r>
      <w:r w:rsidRPr="0041782C">
        <w:rPr>
          <w:rFonts w:ascii="Times New Roman" w:hAnsi="Times New Roman"/>
          <w:sz w:val="22"/>
          <w:lang w:val="es-419"/>
        </w:rPr>
        <w:lastRenderedPageBreak/>
        <w:t>Comité del Programa y Presupuesto a cumplir sus responsabilidades de supervisión. En consonancia con las buenas prácticas, el BPK ha comunicado los resultados de la auditoría a la Comisión antes de finalizar su labor.</w:t>
      </w:r>
    </w:p>
    <w:p w14:paraId="4CACECA9" w14:textId="77777777" w:rsidR="00556285" w:rsidRPr="0041782C" w:rsidRDefault="00556285" w:rsidP="00556285">
      <w:pPr>
        <w:pStyle w:val="ListParagraph"/>
        <w:numPr>
          <w:ilvl w:val="0"/>
          <w:numId w:val="10"/>
        </w:numPr>
        <w:ind w:left="425" w:hanging="357"/>
        <w:contextualSpacing w:val="0"/>
        <w:jc w:val="both"/>
        <w:rPr>
          <w:rFonts w:ascii="Times New Roman" w:eastAsia="Times New Roman" w:hAnsi="Times New Roman" w:cs="Times New Roman"/>
          <w:sz w:val="22"/>
          <w:szCs w:val="22"/>
          <w:lang w:val="es-419"/>
        </w:rPr>
      </w:pPr>
      <w:r w:rsidRPr="0041782C">
        <w:rPr>
          <w:rFonts w:ascii="Times New Roman" w:hAnsi="Times New Roman"/>
          <w:sz w:val="22"/>
          <w:lang w:val="es-419"/>
        </w:rPr>
        <w:t xml:space="preserve">Aun reconociendo la eficacia de los controles internos de la Organización, señalamos varias conclusiones y recomendaciones en relación con las auditorías financiera y de rendimiento, como se detalla en los párrafos siguientes.    </w:t>
      </w:r>
    </w:p>
    <w:p w14:paraId="20FFF05B"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105" w:name="_Toc198742570"/>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Conclusiones y recomendaciones</w:t>
      </w:r>
      <w:bookmarkEnd w:id="105"/>
    </w:p>
    <w:p w14:paraId="15B48830" w14:textId="77777777" w:rsidR="00556285" w:rsidRPr="0041782C" w:rsidRDefault="00556285" w:rsidP="00AD5548">
      <w:pPr>
        <w:pStyle w:val="Heading3"/>
        <w:keepLines/>
        <w:spacing w:before="160" w:after="80" w:line="280" w:lineRule="exact"/>
        <w:jc w:val="both"/>
        <w:rPr>
          <w:rFonts w:ascii="Times New Roman" w:eastAsiaTheme="majorEastAsia" w:hAnsi="Times New Roman" w:cstheme="majorBidi"/>
          <w:b/>
          <w:bCs w:val="0"/>
          <w:i/>
          <w:color w:val="0D0D0D" w:themeColor="text1" w:themeTint="F2"/>
          <w:kern w:val="2"/>
          <w:sz w:val="24"/>
          <w:szCs w:val="28"/>
          <w:u w:val="none"/>
          <w:lang w:val="es-419" w:eastAsia="en-US"/>
          <w14:ligatures w14:val="standardContextual"/>
        </w:rPr>
      </w:pPr>
      <w:bookmarkStart w:id="106" w:name="_Toc198742571"/>
      <w:r w:rsidRPr="0041782C">
        <w:rPr>
          <w:rFonts w:ascii="Times New Roman" w:eastAsiaTheme="majorEastAsia" w:hAnsi="Times New Roman" w:cstheme="majorBidi"/>
          <w:b/>
          <w:bCs w:val="0"/>
          <w:i/>
          <w:color w:val="0D0D0D" w:themeColor="text1" w:themeTint="F2"/>
          <w:kern w:val="2"/>
          <w:sz w:val="24"/>
          <w:szCs w:val="28"/>
          <w:u w:val="none"/>
          <w:lang w:val="es-419" w:eastAsia="en-US"/>
          <w14:ligatures w14:val="standardContextual"/>
        </w:rPr>
        <w:t>Optimización de la utilización y automatización de los sistemas para la elaboración de informes financieros</w:t>
      </w:r>
      <w:bookmarkEnd w:id="106"/>
    </w:p>
    <w:p w14:paraId="49D94499" w14:textId="77777777" w:rsidR="00556285" w:rsidRPr="0041782C" w:rsidRDefault="00556285" w:rsidP="00556285">
      <w:pPr>
        <w:pStyle w:val="ListParagraph"/>
        <w:numPr>
          <w:ilvl w:val="0"/>
          <w:numId w:val="10"/>
        </w:numPr>
        <w:ind w:left="426" w:hanging="426"/>
        <w:contextualSpacing w:val="0"/>
        <w:jc w:val="both"/>
        <w:rPr>
          <w:rFonts w:ascii="Times New Roman" w:eastAsia="Times New Roman" w:hAnsi="Times New Roman" w:cs="Times New Roman"/>
          <w:sz w:val="22"/>
          <w:szCs w:val="22"/>
          <w:lang w:val="es-419"/>
        </w:rPr>
      </w:pPr>
      <w:r w:rsidRPr="0041782C">
        <w:rPr>
          <w:rFonts w:ascii="Times New Roman" w:hAnsi="Times New Roman"/>
          <w:sz w:val="22"/>
          <w:lang w:val="es-419"/>
        </w:rPr>
        <w:t>Como parte de la auditoría financiera de la Organización para el ejercicio finalizado en 2024, el BPK examinó el proceso de información financiera y el sistema integrado de gestión administrativa (AIMS), el sistema de planificación de los recursos de la Organización, basado en la plataforma PeopleSoft de Oracle. El BPK ha detectado oportunidades de mejora en AIMS en los siguientes ámbitos: utilización de la estructura jerárquica de AIMS para el despliegue de los estados financieros; generación de balances de comprobación consolidados en las finanzas de AIMS; y conciliación en el libro mayor.</w:t>
      </w:r>
    </w:p>
    <w:p w14:paraId="2F296D09" w14:textId="77777777" w:rsidR="00556285" w:rsidRPr="0041782C" w:rsidRDefault="00556285" w:rsidP="00556285">
      <w:pPr>
        <w:pStyle w:val="ListParagraph"/>
        <w:numPr>
          <w:ilvl w:val="0"/>
          <w:numId w:val="10"/>
        </w:numPr>
        <w:ind w:left="426" w:hanging="426"/>
        <w:contextualSpacing w:val="0"/>
        <w:jc w:val="both"/>
        <w:rPr>
          <w:rFonts w:ascii="Times New Roman" w:eastAsia="Times New Roman" w:hAnsi="Times New Roman" w:cs="Times New Roman"/>
          <w:sz w:val="22"/>
          <w:szCs w:val="22"/>
          <w:lang w:val="es-419"/>
        </w:rPr>
      </w:pPr>
      <w:r w:rsidRPr="0041782C">
        <w:rPr>
          <w:rFonts w:ascii="Times New Roman" w:hAnsi="Times New Roman"/>
          <w:sz w:val="22"/>
          <w:lang w:val="es-419"/>
        </w:rPr>
        <w:t>El BPK ha observado que, en lugar de utilizar la función jerárquica de AIMS, la Organización prepara los estados financieros utilizando una hoja de cálculo y agrupando las cuentas del balance de comprobación. La observación de la estructura actual de AIMS pone de manifiesto que no se ajusta plenamente a la de los estados financieros de la Organización, en particular en lo que respecta al activo corriente, el pasivo corriente, los ingresos y los gastos. La armonización de la estructura de AIMS y la de los estados financieros de la Organización podría reducir el trabajo manual, mejorar la coherencia y aumentar la eficiencia de la información financiera.</w:t>
      </w:r>
    </w:p>
    <w:p w14:paraId="6348C8BC"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Actualmente, la Organización se basa en varios balances de comprobación generados por AIMS para cada unidad operativa -en concreto, WIPO1, FITSW y WISP1- a fin de preparar los estados financieros. A pesar de la capacidad de generar balances de comprobación a nivel de las unidades operativas, AIMS no permite generar un balance de comprobación consolidado que agregue los balances de todas las unidades operativas, de modo que se realiza una consolidación manual fuera del sistema, lo que requiere un esfuerzo adicional y aumenta el riesgo de errores o incoherencias en la información financiera. La introducción en AIMS de una función automatizada para consolidar el balance de comprobación podría mejorar la eficiencia, reducir el trabajo manual y aumentar la precisión y fiabilidad de los datos financieros.</w:t>
      </w:r>
    </w:p>
    <w:p w14:paraId="7A49C5A9"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También se detectó una discrepancia entre los estados financieros y el libro mayor extraído de AIMS, causada por la no contabilización directa en el libro mayor de una operación que originalmente se había registrado en un libro auxiliar. Además, el BPK observó que varios usuarios estaban autorizados a registrar asientos manuales a lo largo de 2024, lo que indica una oportunidad para reforzar los controles internos. En consonancia con las normas de seguridad de la información de la Organización, debe hacerse mayor hincapié en la separación de funciones y responsabilidades para reducir </w:t>
      </w:r>
      <w:r w:rsidRPr="0041782C">
        <w:rPr>
          <w:rFonts w:ascii="Times New Roman" w:hAnsi="Times New Roman"/>
          <w:sz w:val="22"/>
          <w:lang w:val="es-419"/>
        </w:rPr>
        <w:lastRenderedPageBreak/>
        <w:t>el riesgo de modificaciones no autorizadas o involuntarias y los problemas de conciliación.</w:t>
      </w:r>
    </w:p>
    <w:p w14:paraId="001C5A08" w14:textId="77777777" w:rsidR="00556285" w:rsidRPr="0041782C" w:rsidRDefault="00556285" w:rsidP="00556285">
      <w:pPr>
        <w:jc w:val="both"/>
        <w:rPr>
          <w:rFonts w:ascii="Times New Roman" w:hAnsi="Times New Roman" w:cs="Times New Roman"/>
          <w:szCs w:val="22"/>
          <w:lang w:val="es-419"/>
        </w:rPr>
      </w:pP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517088C0"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5AB69802"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1</w:t>
            </w:r>
          </w:p>
          <w:p w14:paraId="29F259EC" w14:textId="77777777" w:rsidR="00556285" w:rsidRPr="0041782C" w:rsidRDefault="00556285" w:rsidP="006A09FF">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lang w:val="es-419"/>
              </w:rPr>
            </w:pPr>
            <w:r w:rsidRPr="0041782C">
              <w:rPr>
                <w:rFonts w:ascii="Times New Roman" w:hAnsi="Times New Roman"/>
                <w:lang w:val="es-419"/>
              </w:rPr>
              <w:t>El BPK recomienda a la Organización que mejore la optimización del sistema y la automatización de la información financiera para permitir la síntesis automatizada de los estados financieros, la consolidación del balance de comprobación, la minimización de errores, la racionalización de la información financiera y la aplicación de controles que garanticen la integridad de los datos y una información financiera eficiente y precisa.</w:t>
            </w:r>
          </w:p>
        </w:tc>
      </w:tr>
      <w:tr w:rsidR="00556285" w:rsidRPr="0041782C" w14:paraId="379B4FE4"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653B1BAB"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Respuesta de la Dirección:</w:t>
            </w:r>
          </w:p>
          <w:p w14:paraId="27A15ADF"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Fonts w:ascii="Times New Roman" w:hAnsi="Times New Roman"/>
                <w:lang w:val="es-419"/>
              </w:rPr>
              <w:t>La Dirección está de acuerdo con la recomendación. Teniendo en cuenta que la Organización adoptará en breve un nuevo sistema de planificación de recursos institucionales, las configuraciones recomendadas se abordarán en el diseño del plan contable del nuevo sistema de AIMS. Los criterios de cierre serán los resultados de las pruebas de configuración del nuevo sistema de control y de la estructura recomendada.</w:t>
            </w:r>
          </w:p>
          <w:p w14:paraId="7427D821"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Fonts w:ascii="Times New Roman" w:hAnsi="Times New Roman"/>
                <w:lang w:val="es-419"/>
              </w:rPr>
              <w:t>Está previsto que la actuación finalice a más tardar el 31 de diciembre de 2026, en consonancia con las pruebas de diseño y aceptación de la nueva planificación de los recursos.</w:t>
            </w:r>
          </w:p>
        </w:tc>
      </w:tr>
    </w:tbl>
    <w:p w14:paraId="5C54B8DD" w14:textId="77777777" w:rsidR="00556285" w:rsidRPr="0041782C" w:rsidRDefault="00556285" w:rsidP="00556285">
      <w:pPr>
        <w:pStyle w:val="ListParagraph"/>
        <w:ind w:left="425"/>
        <w:contextualSpacing w:val="0"/>
        <w:jc w:val="both"/>
        <w:rPr>
          <w:rFonts w:ascii="Times New Roman" w:hAnsi="Times New Roman" w:cs="Times New Roman"/>
          <w:b/>
          <w:bCs/>
          <w:sz w:val="22"/>
          <w:szCs w:val="22"/>
          <w:lang w:val="es-419"/>
        </w:rPr>
      </w:pPr>
    </w:p>
    <w:p w14:paraId="3944EAB9" w14:textId="77777777" w:rsidR="00556285" w:rsidRPr="0041782C" w:rsidRDefault="00556285" w:rsidP="00AD5548">
      <w:pPr>
        <w:pStyle w:val="Heading3"/>
        <w:keepLines/>
        <w:spacing w:before="160" w:after="80" w:line="280" w:lineRule="exact"/>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07" w:name="_Toc198742572"/>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Mejora de la política contable que rige las tasas del Sistema de Madrid</w:t>
      </w:r>
      <w:bookmarkEnd w:id="107"/>
    </w:p>
    <w:p w14:paraId="23ED9F63"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eastAsiaTheme="majorEastAsia" w:hAnsi="Times New Roman" w:cs="Times New Roman"/>
          <w:kern w:val="0"/>
          <w:szCs w:val="22"/>
          <w:lang w:val="es-419"/>
          <w14:ligatures w14:val="none"/>
        </w:rPr>
      </w:pPr>
      <w:r w:rsidRPr="0041782C">
        <w:rPr>
          <w:rStyle w:val="normaltextrun"/>
          <w:rFonts w:ascii="Times New Roman" w:hAnsi="Times New Roman"/>
          <w:lang w:val="es-419"/>
        </w:rPr>
        <w:t xml:space="preserve">La Organización ha elaborado unas orientaciones detalladas que sirven de directrices prácticas para la aplicación del marco y los principios de las IPSAS en la elaboración de informes financieros. Los documentos de orientación abordan supuestos específicos de la Organización, como el tratamiento de las operaciones contables relacionadas con las tasas del Sistema de Madrid. También proporcionan referencias operativas para que el personal de finanzas aplique prácticas coherentes en toda la Organización. </w:t>
      </w:r>
    </w:p>
    <w:p w14:paraId="6E086D2F"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eastAsiaTheme="majorEastAsia" w:hAnsi="Times New Roman" w:cs="Times New Roman"/>
          <w:szCs w:val="22"/>
          <w:lang w:val="es-419"/>
        </w:rPr>
      </w:pPr>
      <w:r w:rsidRPr="0041782C">
        <w:rPr>
          <w:rStyle w:val="normaltextrun"/>
          <w:rFonts w:ascii="Times New Roman" w:hAnsi="Times New Roman"/>
          <w:lang w:val="es-419"/>
        </w:rPr>
        <w:t>El BPK ha examinado las orientaciones relativas a las tasas del Sistema de Madrid y ha observado que, aunque incluyen el tratamiento contable de los cobros anticipados, no ofrecen orientaciones sobre las transferencias por pagar y las cuentas corrientes, que son cuentas estrechamente relacionadas con el proceso contable de los ingresos. Tras mantener un debate con la Dirección, el BPK ha detectado varias prácticas contables establecidas en relación con las transferencias por pagar y las cuentas corrientes que no estaban formalmente documentadas en las directrices vigentes. Entre ellas figuran el tratamiento de los anticipos cursados a través de las cuentas corrientes, el tratamiento de las cuentas corrientes asignadas, los métodos de estimación de los ingresos anticipados y las transferencias por pagar, la clasificación de las partidas que figuran en los estados financieros y los ajustes de fin de ejercicio.</w:t>
      </w:r>
    </w:p>
    <w:p w14:paraId="54518435"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eastAsiaTheme="majorEastAsia" w:hAnsi="Times New Roman" w:cs="Times New Roman"/>
          <w:szCs w:val="22"/>
          <w:lang w:val="es-419"/>
        </w:rPr>
      </w:pPr>
      <w:r w:rsidRPr="0041782C">
        <w:rPr>
          <w:rStyle w:val="normaltextrun"/>
          <w:rFonts w:ascii="Times New Roman" w:hAnsi="Times New Roman"/>
          <w:lang w:val="es-419"/>
        </w:rPr>
        <w:lastRenderedPageBreak/>
        <w:t>El BPK considera que la incorporación de esas prácticas establecidas a unas directrices formales mejoraría considerablemente la claridad y la transparencia de la política relativa a los procedimientos de información financiera. Una política más exhaustiva proporcionaría una orientación más clara durante el proceso de elaboración de informes.</w:t>
      </w:r>
    </w:p>
    <w:p w14:paraId="5649C0E4"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hAnsi="Times New Roman" w:cs="Times New Roman"/>
          <w:lang w:val="es-419"/>
        </w:rPr>
      </w:pPr>
      <w:r w:rsidRPr="0041782C">
        <w:rPr>
          <w:rStyle w:val="normaltextrun"/>
          <w:rFonts w:ascii="Times New Roman" w:hAnsi="Times New Roman"/>
          <w:lang w:val="es-419"/>
        </w:rPr>
        <w:t>La Dirección ha reconocido esta condición y ha señalado que la Organización está elaborando unas orientaciones detalladas y actualizadas sobre la contabilización de las tasas del Sistema de Madrid como parte de la aplicación de la norma IPSAS 47.</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12D83BF0"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6679CA49"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2</w:t>
            </w:r>
          </w:p>
          <w:p w14:paraId="69523C17" w14:textId="77777777" w:rsidR="00556285" w:rsidRPr="0041782C" w:rsidRDefault="00556285" w:rsidP="006A09FF">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El BPK recomienda a la Organización que mejore su política contable para abordar la clasificación de los saldos relacionados con las tasas del Sistema de Madrid.</w:t>
            </w:r>
            <w:r w:rsidRPr="0041782C">
              <w:rPr>
                <w:rFonts w:ascii="Times New Roman" w:hAnsi="Times New Roman"/>
                <w:lang w:val="es-419"/>
              </w:rPr>
              <w:t xml:space="preserve">. </w:t>
            </w:r>
          </w:p>
        </w:tc>
      </w:tr>
      <w:tr w:rsidR="00556285" w:rsidRPr="0041782C" w14:paraId="1D6D7888"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0C802A27"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Respuesta de la Dirección:</w:t>
            </w:r>
          </w:p>
          <w:p w14:paraId="2BDDC3FB"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La Dirección está de acuerdo con la recomendación y, en el marco de la aplicación de la IPSAS 47, la Organización está elaborando orientaciones detalladas y actualizadas sobre la contabilización de las tasas del Sistema de Madrid. En este contexto, la Dirección preparará orientaciones actualizadas que aborden también la clasificación de los saldos correspondientes.</w:t>
            </w:r>
          </w:p>
          <w:p w14:paraId="75B4354B"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Se prevé que la actuación concluya a más tardar el 30 de septiembre de 2025.</w:t>
            </w:r>
          </w:p>
        </w:tc>
      </w:tr>
    </w:tbl>
    <w:p w14:paraId="0BB5BDAB" w14:textId="77777777" w:rsidR="00556285" w:rsidRPr="0041782C" w:rsidRDefault="00556285" w:rsidP="00AD5548">
      <w:pPr>
        <w:pStyle w:val="Heading3"/>
        <w:keepLines/>
        <w:spacing w:before="160" w:after="80" w:line="280" w:lineRule="exact"/>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08" w:name="_Toc198742573"/>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Tratamiento de los depósitos de marcas no resueltos</w:t>
      </w:r>
      <w:bookmarkEnd w:id="108"/>
    </w:p>
    <w:p w14:paraId="563A0ECE"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Sistema de Madrid es el registro internacional de marcas de la Organización que ofrece servicios para registrar marcas en más de 130 países. Genera ingresos considerables para la Organización y es un sistema crucial en las operaciones financieras de la Organización. En la práctica, las solicitudes de registro de marcas se presentan a través de la oficina nacional de PI, que posteriormente registra la solicitud ante la Organización, y se abona la tasa de registro directamente a la Organización. Esas vías de procedimiento requieren una conciliación para ajustar las solicitudes de registro de marcas a sus correspondientes pagos, garantizando así que las solicitudes pagadas procedan a su registro en el sistema de marcas.</w:t>
      </w:r>
    </w:p>
    <w:p w14:paraId="0C56CBD5"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ha observado que varios factores no han podido ser resueltos por la conciliación, lo que ha dado lugar a la acumulación de depósitos no contabilizados. El BPK ha observado que algunos depósitos no contabilizados han permanecido inactivos durante más de un año. A 31 de diciembre de 2024, el importe total del depósito no contabilizado ascendía a 5,9 millones de francos suizos, incluidos los depósitos recibidos entre 2012 y 2023.</w:t>
      </w:r>
    </w:p>
    <w:p w14:paraId="78D6596E"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hAnsi="Times New Roman" w:cs="Times New Roman"/>
          <w:szCs w:val="22"/>
          <w:lang w:val="es-419"/>
        </w:rPr>
      </w:pPr>
      <w:r w:rsidRPr="0041782C">
        <w:rPr>
          <w:rFonts w:ascii="Times New Roman" w:hAnsi="Times New Roman"/>
          <w:sz w:val="22"/>
          <w:lang w:val="es-419"/>
        </w:rPr>
        <w:t xml:space="preserve">La Dirección ha explicado que la Organización mantiene una política para retroceder los depósitos no contabilizados con más de tres años de antigüedad. En el caso de fondos no utilizados iguales o inferiores a 350 francos suizos, la Organización contabiliza automáticamente una ganancia por retrocesión. En el caso de los fondos no utilizados que superan los 350 francos suizos, la Organización se esfuerza por </w:t>
      </w:r>
      <w:r w:rsidRPr="0041782C">
        <w:rPr>
          <w:rFonts w:ascii="Times New Roman" w:hAnsi="Times New Roman"/>
          <w:sz w:val="22"/>
          <w:lang w:val="es-419"/>
        </w:rPr>
        <w:lastRenderedPageBreak/>
        <w:t>identificar y reembolsar al pagador; en caso de que el pagador siga sin poder ser identificado, la Organización contabiliza entonces una ganancia por retrocesión. Cabe precisar que la retrocesión no elimina el derecho del pagador a la devolución. De conformidad con el Reglamento de Madrid, los clientes siguen teniendo derecho a reclamar esos fondos. Se mantienen registros extracontables de los depósitos retrocedidos para facilitar futuras reclamaciones.</w:t>
      </w:r>
    </w:p>
    <w:p w14:paraId="5231D3DC"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opina que la acumulación de depósitos no contabilizados es una carga administrativa que aumenta anualmente a medida que crece el número de cuentas afectadas. La Organización debe destinar recursos a rastrear, gestionar e intentar identificar al pagador. A medida que aumenta el número de depósitos no contabilizados, en consonancia con el crecimiento del Sistema de Madrid, la Organización se enfrenta al reto de que cuanto más antiguo es el depósito, más difícil resulta resolverlo o identificar al ordenante para tramitar el reembolso.</w:t>
      </w:r>
    </w:p>
    <w:p w14:paraId="5C998559"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hAnsi="Times New Roman" w:cs="Times New Roman"/>
          <w:szCs w:val="22"/>
          <w:lang w:val="es-419"/>
        </w:rPr>
      </w:pPr>
      <w:r w:rsidRPr="0041782C">
        <w:rPr>
          <w:rStyle w:val="eop"/>
          <w:rFonts w:ascii="Times New Roman" w:hAnsi="Times New Roman"/>
          <w:lang w:val="es-419"/>
        </w:rPr>
        <w:t>La Dirección es consciente del problema y ha puesto en marcha varias iniciativas para resolverlo y mejorar el proceso de reembolso. La Organización ha asignado funcionarios que eran los principales responsables del seguimiento y el contacto con los clientes pertinentes.</w:t>
      </w:r>
      <w:r w:rsidRPr="0041782C">
        <w:rPr>
          <w:rStyle w:val="eop"/>
          <w:lang w:val="es-419"/>
        </w:rPr>
        <w:t xml:space="preserve"> </w:t>
      </w:r>
      <w:r w:rsidRPr="0041782C">
        <w:rPr>
          <w:rStyle w:val="eop"/>
          <w:rFonts w:ascii="Times New Roman" w:hAnsi="Times New Roman"/>
          <w:lang w:val="es-419"/>
        </w:rPr>
        <w:t>Además, se ha implantado el análisis de datos para mejorar los registros de clientes en el sistema financiero y se actualizan periódicamente los datos de contacto de los nuevos clientes tras el pago para facilitar futuras devoluciones. Se observa que la gran mayoría de los fondos recibidos de los clientes se utilizan satisfactoriamente o se reembolsan</w:t>
      </w:r>
      <w:r w:rsidRPr="0041782C">
        <w:rPr>
          <w:rStyle w:val="eop"/>
          <w:lang w:val="es-419"/>
        </w:rPr>
        <w:t>.</w:t>
      </w:r>
      <w:r w:rsidRPr="0041782C">
        <w:rPr>
          <w:rStyle w:val="normaltextrun"/>
          <w:rFonts w:ascii="Times New Roman" w:hAnsi="Times New Roman"/>
          <w:lang w:val="es-419"/>
        </w:rPr>
        <w:t xml:space="preserve"> </w:t>
      </w:r>
    </w:p>
    <w:p w14:paraId="089D8CCA" w14:textId="77777777" w:rsidR="00556285" w:rsidRPr="0041782C" w:rsidRDefault="00556285" w:rsidP="00556285">
      <w:pPr>
        <w:pStyle w:val="ListParagraph"/>
        <w:numPr>
          <w:ilvl w:val="0"/>
          <w:numId w:val="10"/>
        </w:numPr>
        <w:ind w:left="426" w:hanging="426"/>
        <w:contextualSpacing w:val="0"/>
        <w:jc w:val="both"/>
        <w:rPr>
          <w:rStyle w:val="eop"/>
          <w:rFonts w:ascii="Times New Roman" w:hAnsi="Times New Roman" w:cs="Times New Roman"/>
          <w:lang w:val="es-419"/>
        </w:rPr>
      </w:pPr>
      <w:r w:rsidRPr="0041782C">
        <w:rPr>
          <w:rStyle w:val="normaltextrun"/>
          <w:rFonts w:ascii="Times New Roman" w:hAnsi="Times New Roman"/>
          <w:lang w:val="es-419"/>
        </w:rPr>
        <w:t xml:space="preserve">La Dirección también ha indicado que se está desarrollando un nuevo sistema de planificación de los recursos institucionales, que incluye medidas para mejorar el proceso de cotejo y reembolso a los clientes. El diseño y la aplicación definitivos pueden incluir el uso de números de referencia exclusivos para facilitar el cotejo y simplificar los posibles requisitos de reembolso, así como el uso de herramientas de cotejo e investigación mejoradas mediante inteligencia artificial (IA). </w:t>
      </w:r>
      <w:r w:rsidRPr="0041782C">
        <w:rPr>
          <w:rStyle w:val="eop"/>
          <w:rFonts w:ascii="Times New Roman" w:hAnsi="Times New Roman"/>
          <w:lang w:val="es-419"/>
        </w:rPr>
        <w:t> </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14A3B0E4"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1F2ED29D"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3</w:t>
            </w:r>
          </w:p>
          <w:p w14:paraId="62529179"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El BPK recomienda a la Organización que desarrolle un sistema y un mecanismo para reducir al mínimo la acumulación de depósitos de marcas y garantizar que el nuevo sistema de planificación de los recursos incluya un mecanismo para evitar los saldos de depósitos no contabilizados siempre que sea posible.</w:t>
            </w:r>
          </w:p>
        </w:tc>
      </w:tr>
      <w:tr w:rsidR="00556285" w:rsidRPr="0041782C" w14:paraId="3E360D19"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66C5DDD0" w14:textId="77777777" w:rsidR="00556285" w:rsidRPr="0041782C" w:rsidRDefault="00556285" w:rsidP="006A09FF">
            <w:pPr>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t xml:space="preserve">Respuesta de la Dirección: </w:t>
            </w:r>
          </w:p>
          <w:p w14:paraId="4FDB5D3D"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 xml:space="preserve">La Dirección está de acuerdo con la recomendación y, con respecto a futuras mejoras, participa en el diseño y la implantación de varios sistemas nuevos en la Organización, incluido el nuevo sistema de planificación de los recursos, que se prevé mejoren el cotejo de datos y la identificación de los datos de los clientes. El diseño y la aplicación definitivos podrán incluir el uso de números de referencia exclusivos para facilitar dicho cotejo y simplificar los posibles requisitos de devolución. Además, la Dirección prevé que esos nuevos sistemas hagan uso de </w:t>
            </w:r>
            <w:r w:rsidRPr="0041782C">
              <w:rPr>
                <w:rStyle w:val="normaltextrun"/>
                <w:rFonts w:ascii="Times New Roman" w:hAnsi="Times New Roman"/>
                <w:lang w:val="es-419"/>
              </w:rPr>
              <w:lastRenderedPageBreak/>
              <w:t>herramientas de cotejo e investigación basadas en la IA para mejorar los procesos de cotejo y reembolso de pagos.</w:t>
            </w:r>
          </w:p>
          <w:p w14:paraId="2D94BD7C"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Está previsto que la actuación finalice a más tardar el 31 de diciembre de 2027, de acuerdo con el calendario previsto para la implantación del nuevo sistema de planificación de los recursos institucionales.</w:t>
            </w:r>
          </w:p>
        </w:tc>
      </w:tr>
    </w:tbl>
    <w:p w14:paraId="3AA143C3" w14:textId="77777777" w:rsidR="00556285" w:rsidRPr="0041782C" w:rsidRDefault="00556285" w:rsidP="00556285">
      <w:pPr>
        <w:jc w:val="both"/>
        <w:rPr>
          <w:rFonts w:ascii="Helvetica" w:hAnsi="Helvetica" w:cs="Times New Roman"/>
          <w:lang w:val="es-419"/>
        </w:rPr>
      </w:pPr>
    </w:p>
    <w:p w14:paraId="57B154D9"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109" w:name="_Toc198742574"/>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t>Auditoría de rendimiento</w:t>
      </w:r>
      <w:bookmarkEnd w:id="109"/>
    </w:p>
    <w:p w14:paraId="4910EDD6" w14:textId="77777777" w:rsidR="00556285" w:rsidRPr="0041782C" w:rsidRDefault="00556285" w:rsidP="00AD5548">
      <w:pPr>
        <w:pStyle w:val="Heading2"/>
        <w:keepLines/>
        <w:spacing w:before="160" w:after="80" w:line="280" w:lineRule="exact"/>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110" w:name="_Toc198742575"/>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Contexto</w:t>
      </w:r>
      <w:bookmarkEnd w:id="110"/>
    </w:p>
    <w:p w14:paraId="2980FEE3" w14:textId="77777777" w:rsidR="00556285" w:rsidRPr="0041782C" w:rsidRDefault="00556285" w:rsidP="00556285">
      <w:pPr>
        <w:pStyle w:val="ListParagraph"/>
        <w:numPr>
          <w:ilvl w:val="0"/>
          <w:numId w:val="10"/>
        </w:numPr>
        <w:ind w:left="426" w:hanging="426"/>
        <w:contextualSpacing w:val="0"/>
        <w:jc w:val="both"/>
        <w:rPr>
          <w:rStyle w:val="normaltextrun"/>
          <w:rFonts w:ascii="Times New Roman" w:eastAsiaTheme="majorEastAsia" w:hAnsi="Times New Roman" w:cs="Times New Roman"/>
          <w:b/>
          <w:color w:val="365F91" w:themeColor="accent1" w:themeShade="BF"/>
          <w:szCs w:val="22"/>
          <w:lang w:val="es-419"/>
        </w:rPr>
      </w:pPr>
      <w:r w:rsidRPr="0041782C">
        <w:rPr>
          <w:rStyle w:val="normaltextrun"/>
          <w:rFonts w:ascii="Times New Roman" w:hAnsi="Times New Roman"/>
          <w:lang w:val="es-419"/>
        </w:rPr>
        <w:t xml:space="preserve">El Plan Estratégico a Medio Plazo da prioridad a la divulgación y la colaboración en el marco de los pilares 1 y 2 para ampliar la importancia de la propiedad intelectual (PI) a escala mundial. </w:t>
      </w:r>
      <w:r w:rsidRPr="0041782C">
        <w:rPr>
          <w:rFonts w:ascii="Times New Roman" w:hAnsi="Times New Roman"/>
          <w:sz w:val="22"/>
          <w:lang w:val="es-419"/>
        </w:rPr>
        <w:t>El pilar 1 tiene por objeto ampliar la labor de comunicación en todo el mundo para mostrar el potencial que tiene la PI a la hora de mejorar vidas transformando las ideas en activos de valor.</w:t>
      </w:r>
      <w:r w:rsidRPr="0041782C">
        <w:rPr>
          <w:rStyle w:val="normaltextrun"/>
          <w:rFonts w:ascii="Times New Roman" w:hAnsi="Times New Roman"/>
          <w:lang w:val="es-419"/>
        </w:rPr>
        <w:t xml:space="preserve"> Por medio de mensajes personalizados, historias inspiradoras y el uso estratégico de los medios digitales, la Organización procura involucrar a un público diverso, como las pequeñas y medianas empresas (pymes) y la juventud, así como al público en general. El pilar 2 se centra en fomentar las alianzas y la cooperación internacional para abordar los retos mundiales en materia de PI, lo que incluye la creación de marcos jurídicos equilibrados y el encuentro de las partes interesadas para abordar cuestiones emergentes como la IA y las tecnologías de vanguardia. En conjunto, esos pilares reflejan la visión de la Organización de hacer de la PI una herramienta transformadora e inclusiva para la innovación y el desarrollo. En particular, la auditoría del ejercicio se ha centrado en esos dos pilares y en la evaluación de su aplicación y repercusión. </w:t>
      </w:r>
    </w:p>
    <w:p w14:paraId="54BF23A1"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A fin de garantizar la rendición de cuentas y la eficacia, la Organización adopta una gestión basada en los resultados. Este marco permite planificar, supervisar y evaluar sistemáticamente sus actividades mediante una cadena de resultados. Los resultados previstos se definen y miden mediante indicadores de rendimiento que permiten a la Organización realizar un seguimiento de los avances, asignar los recursos de manera eficiente y mostrar la repercusión de las iniciativas en consonancia con las prioridades estratégicas. La planificación implica definir los resultados mediante el análisis y la priorización de los países y organismos. Se elabora una matriz de resultados que incorpora efectos, productos, indicadores, referencias, objetivos, métodos de verificación, riesgos, supuestos, funciones de los socios y recursos. Se hace hincapié en la formulación de indicadores y en la utilización de herramientas como el sistema WePerform para la presentación de informes sobre el rendimiento. La supervisión incluye el desarrollo de un plan con políticas, funciones y marcos claros. Las medidas abarcan la recopilación de datos, el análisis, la elaboración de informes y la realización de ajustes basados en los conocimientos obtenidos gracias al seguimiento. El proceso cuenta con el respaldo de marcos reforzados de seguimiento y evaluación. La evaluación se centra en la mejora de los </w:t>
      </w:r>
      <w:r w:rsidRPr="0041782C">
        <w:rPr>
          <w:rStyle w:val="normaltextrun"/>
          <w:rFonts w:ascii="Times New Roman" w:hAnsi="Times New Roman"/>
          <w:lang w:val="es-419"/>
        </w:rPr>
        <w:lastRenderedPageBreak/>
        <w:t>programas, la rendición de cuentas mediante evaluaciones independientes y el fomento del aprendizaje institucional.</w:t>
      </w:r>
    </w:p>
    <w:p w14:paraId="43C6B72C"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b/>
          <w:bCs/>
          <w:szCs w:val="22"/>
          <w:lang w:val="es-419"/>
        </w:rPr>
      </w:pPr>
      <w:r w:rsidRPr="0041782C">
        <w:rPr>
          <w:rStyle w:val="normaltextrun"/>
          <w:rFonts w:ascii="Times New Roman" w:hAnsi="Times New Roman"/>
          <w:lang w:val="es-419"/>
        </w:rPr>
        <w:t>Hay algunas áreas que podrían mejorarse para reforzar los servicios prestados a las partes interesadas.</w:t>
      </w:r>
    </w:p>
    <w:p w14:paraId="396DEB1A" w14:textId="77777777" w:rsidR="00556285" w:rsidRPr="0041782C" w:rsidRDefault="00556285" w:rsidP="00AD5548">
      <w:pPr>
        <w:pStyle w:val="Heading2"/>
        <w:keepLines/>
        <w:spacing w:before="160" w:after="80" w:line="280" w:lineRule="exact"/>
        <w:ind w:left="68"/>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pPr>
      <w:bookmarkStart w:id="111" w:name="_Toc198742576"/>
      <w:bookmarkStart w:id="112" w:name="_Toc196159472"/>
      <w:r w:rsidRPr="0041782C">
        <w:rPr>
          <w:rFonts w:ascii="Times New Roman" w:eastAsiaTheme="majorEastAsia" w:hAnsi="Times New Roman" w:cstheme="majorBidi"/>
          <w:b/>
          <w:bCs w:val="0"/>
          <w:iCs w:val="0"/>
          <w:caps w:val="0"/>
          <w:color w:val="000000" w:themeColor="text1"/>
          <w:kern w:val="2"/>
          <w:sz w:val="24"/>
          <w:szCs w:val="32"/>
          <w:lang w:val="es-419" w:eastAsia="en-US"/>
          <w14:ligatures w14:val="standardContextual"/>
        </w:rPr>
        <w:t>Observaciones de la auditoría</w:t>
      </w:r>
      <w:bookmarkEnd w:id="111"/>
    </w:p>
    <w:p w14:paraId="48E10F4C"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13" w:name="_Toc198742577"/>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Establecimiento de procedimientos operativos unificados para organizar las reuniones de los órganos de la OMPI encargados de la toma de decisiones y las negociaciones</w:t>
      </w:r>
      <w:bookmarkEnd w:id="112"/>
      <w:bookmarkEnd w:id="113"/>
    </w:p>
    <w:p w14:paraId="7D14C20E"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Fonts w:ascii="Times New Roman" w:hAnsi="Times New Roman"/>
          <w:sz w:val="22"/>
          <w:lang w:val="es-419"/>
        </w:rPr>
        <w:t>La Organización facilita la labor de 18 órganos especializados dedicados a la toma de decisiones y las negociaciones.</w:t>
      </w:r>
      <w:r w:rsidRPr="0041782C">
        <w:rPr>
          <w:rStyle w:val="normaltextrun"/>
          <w:rFonts w:ascii="Times New Roman" w:hAnsi="Times New Roman"/>
          <w:lang w:val="es-419"/>
        </w:rPr>
        <w:t xml:space="preserve"> Para el bienio 2024/25, la Organización tiene previsto facilitar la celebración de entre 21 y 24 reuniones al año. La coordinación de las reuniones de los órganos decisorios y negociadores de la Organización requiere la colaboración entre varias divisiones para mantener la eficiencia operativa y la coherencia estratégica. </w:t>
      </w:r>
    </w:p>
    <w:p w14:paraId="20657F0F"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Aunque la Organización ha establecido un marco que regula los protocolos logísticos para la coordinación de reuniones, esos pasos -que se pueden consultar en la intranet de la Organización- se centran principalmente en aspectos como la programación de reuniones, la reserva de locales y el diseño de formularios de inscripción. Sin embargo, aún no se ha establecido formalmente un proceso completo y formalizado que abarque todo el ciclo de vida de la reunión -desde la planificación inicial hasta las actividades de seguimiento posteriores al evento-, lo que pone de manifiesto la necesidad de mejorar los procedimientos. </w:t>
      </w:r>
    </w:p>
    <w:p w14:paraId="70C8328B"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Los procedimientos actuales para la coordinación de reuniones han variado considerablemente entre las distintas divisiones de la Organización. Los protocolos existentes tratan predominantemente la planificación previa a la reunión, como la estimación presupuestaria, la logística de los viajes de los participantes y la documentación preparatoria, así como las medidas de seguimiento posteriores a la reunión. No obstante, estas directrices carecen de medidas para paliar posibles problemas que puedan surgir durante las reuniones, como medidas de contingencia en caso de interrupciones técnicas o de procedimiento. Además, las funciones de colaboración interfuncional no se definen claramente, ya que no se designan explícitamente las unidades responsables del apoyo procedimental. </w:t>
      </w:r>
    </w:p>
    <w:p w14:paraId="4B48055E" w14:textId="77777777" w:rsidR="00556285" w:rsidRPr="0041782C" w:rsidRDefault="00556285" w:rsidP="00556285">
      <w:pPr>
        <w:pStyle w:val="ListParagraph"/>
        <w:ind w:left="425"/>
        <w:contextualSpacing w:val="0"/>
        <w:jc w:val="both"/>
        <w:rPr>
          <w:rStyle w:val="normaltextrun"/>
          <w:rFonts w:ascii="Times New Roman" w:hAnsi="Times New Roman" w:cs="Times New Roman"/>
          <w:b/>
          <w:bCs/>
          <w:szCs w:val="22"/>
          <w:lang w:val="es-419"/>
        </w:rPr>
      </w:pPr>
      <w:r w:rsidRPr="0041782C">
        <w:rPr>
          <w:rStyle w:val="normaltextrun"/>
          <w:rFonts w:ascii="Times New Roman" w:hAnsi="Times New Roman"/>
          <w:lang w:val="es-419"/>
        </w:rPr>
        <w:t xml:space="preserve">El BPK opina que, aunque cada órgano encargado de la toma de decisiones y de las negociaciones funciona con arreglo a normas distintas de procedimiento acordes con su mandato, el establecimiento de un procedimiento operativo unificado que incorpore las mejores prácticas, armonice los procesos divergentes e integre los marcos de gestión logística aportaría considerables ventajas institucionales. Un procedimiento operativo consolidado mejoraría la coherencia operativa, optimizaría la eficiencia de los procedimientos y establecería directrices inequívocas para la coordinación de futuros eventos. </w:t>
      </w:r>
      <w:r w:rsidRPr="0041782C">
        <w:rPr>
          <w:rStyle w:val="normaltextrun"/>
          <w:rFonts w:ascii="Times New Roman" w:hAnsi="Times New Roman"/>
          <w:lang w:val="es-419"/>
        </w:rPr>
        <w:lastRenderedPageBreak/>
        <w:t>Además, serviría como herramienta fundamental de gestión del conocimiento, preservaría la experiencia institucional y garantizaría la continuidad de las prácticas en materia de participación multilateral.</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34488F5D"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2502BF31" w14:textId="77777777" w:rsidR="00556285" w:rsidRPr="0041782C" w:rsidRDefault="00556285" w:rsidP="006A09FF">
            <w:pPr>
              <w:keepNext/>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4</w:t>
            </w:r>
          </w:p>
          <w:p w14:paraId="756D7EAF"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El BPK recomienda que la Secretaría desarrolle un procedimiento operativo formalizado para coordinar las reuniones de los órganos de toma de decisiones y negociación. El procedimiento debería abarcar un marco global que incluya las principales fases, entre ellas:</w:t>
            </w:r>
          </w:p>
          <w:p w14:paraId="04A1EF25" w14:textId="77777777" w:rsidR="00556285" w:rsidRPr="0041782C" w:rsidRDefault="00556285" w:rsidP="00556285">
            <w:pPr>
              <w:pStyle w:val="ListParagraph"/>
              <w:numPr>
                <w:ilvl w:val="1"/>
                <w:numId w:val="32"/>
              </w:numPr>
              <w:spacing w:before="81" w:after="81" w:line="280" w:lineRule="auto"/>
              <w:ind w:left="257" w:hanging="257"/>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Planificación previa a la reunión: preparación logística, formulación del orden del día y asignación de funciones (designación clara de responsabilidades y protocolos de colaboración interdepartamental).</w:t>
            </w:r>
          </w:p>
          <w:p w14:paraId="536023C0" w14:textId="77777777" w:rsidR="00556285" w:rsidRPr="0041782C" w:rsidRDefault="00556285" w:rsidP="00556285">
            <w:pPr>
              <w:pStyle w:val="ListParagraph"/>
              <w:numPr>
                <w:ilvl w:val="1"/>
                <w:numId w:val="32"/>
              </w:numPr>
              <w:spacing w:before="81" w:after="81" w:line="280" w:lineRule="auto"/>
              <w:ind w:left="257" w:hanging="257"/>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Ejecución de la reunión: conformidad con la planificación previa a la reunión, las estrategias de reducción de riesgos y los planes de contingencia.</w:t>
            </w:r>
          </w:p>
          <w:p w14:paraId="2A485744" w14:textId="77777777" w:rsidR="00556285" w:rsidRPr="0041782C" w:rsidRDefault="00556285" w:rsidP="00556285">
            <w:pPr>
              <w:pStyle w:val="ListParagraph"/>
              <w:numPr>
                <w:ilvl w:val="1"/>
                <w:numId w:val="32"/>
              </w:numPr>
              <w:spacing w:before="81" w:after="81" w:line="280" w:lineRule="auto"/>
              <w:ind w:left="257" w:hanging="257"/>
              <w:jc w:val="both"/>
              <w:rPr>
                <w:rFonts w:ascii="Times New Roman" w:hAnsi="Times New Roman" w:cs="Times New Roman"/>
                <w:bCs/>
                <w:sz w:val="22"/>
                <w:szCs w:val="22"/>
                <w:lang w:val="es-419"/>
              </w:rPr>
            </w:pPr>
            <w:r w:rsidRPr="0041782C">
              <w:rPr>
                <w:rStyle w:val="normaltextrun"/>
                <w:rFonts w:ascii="Times New Roman" w:hAnsi="Times New Roman"/>
                <w:lang w:val="es-419"/>
              </w:rPr>
              <w:t>Actividades posteriores a la reunión: evaluación de la reunión y medidas de seguimiento, finalización de la documentación y difusión de los resultados.</w:t>
            </w:r>
          </w:p>
        </w:tc>
      </w:tr>
      <w:tr w:rsidR="00556285" w:rsidRPr="0041782C" w14:paraId="4241534C"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5EB0BD72" w14:textId="77777777" w:rsidR="00556285" w:rsidRPr="0041782C" w:rsidRDefault="00556285" w:rsidP="006A09FF">
            <w:pPr>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t xml:space="preserve">Respuesta de la Dirección: </w:t>
            </w:r>
          </w:p>
          <w:p w14:paraId="3D60B660"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La Dirección está de acuerdo con la recomendación y prevé aplicarla a más tardar el 31 de diciembre de 2026.</w:t>
            </w:r>
          </w:p>
        </w:tc>
      </w:tr>
    </w:tbl>
    <w:p w14:paraId="5F255CF4" w14:textId="77777777" w:rsidR="00556285" w:rsidRPr="0041782C" w:rsidRDefault="00556285" w:rsidP="00556285">
      <w:pPr>
        <w:pStyle w:val="ListParagraph"/>
        <w:ind w:left="425"/>
        <w:contextualSpacing w:val="0"/>
        <w:jc w:val="both"/>
        <w:rPr>
          <w:rStyle w:val="normaltextrun"/>
          <w:rFonts w:ascii="Times New Roman" w:hAnsi="Times New Roman" w:cs="Times New Roman"/>
          <w:b/>
          <w:bCs/>
          <w:szCs w:val="22"/>
          <w:lang w:val="es-419"/>
        </w:rPr>
      </w:pPr>
    </w:p>
    <w:p w14:paraId="376BEE62"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14" w:name="_Toc196159473"/>
      <w:bookmarkStart w:id="115" w:name="_Toc198742578"/>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Mejora de la formulación y coherencia de los indicadores clave de rendimiento de la OMPI para evaluar el rendimiento</w:t>
      </w:r>
      <w:bookmarkEnd w:id="114"/>
      <w:bookmarkEnd w:id="115"/>
    </w:p>
    <w:p w14:paraId="42A4F51A"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La planificación de programas de la Organización comienza con la traducción de los pilares del PEMP en resultados previstos, indicadores de rendimiento, referencias, objetivos, actividades y sus correspondientes presupuestos. A partir del análisis de los documentos de planificación y de las entrevistas con la Dirección de la Organización, el BPK ha detectado oportunidades de mejora en la formulación de los indicadores de rendimiento, como se indica a continuación.</w:t>
      </w:r>
    </w:p>
    <w:p w14:paraId="4D5BB592"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Nivel de los indicadores clave de rendimiento</w:t>
      </w:r>
    </w:p>
    <w:p w14:paraId="525174AF" w14:textId="77777777" w:rsidR="00556285" w:rsidRPr="0041782C" w:rsidRDefault="00556285" w:rsidP="00556285">
      <w:pPr>
        <w:pStyle w:val="ListParagraph"/>
        <w:numPr>
          <w:ilvl w:val="0"/>
          <w:numId w:val="10"/>
        </w:numPr>
        <w:ind w:left="425"/>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Al principio de cada proceso bienal de planificación de programas, la División de Presupuesto y Rendimiento de los Programas proporciona documentos de orientación a todos los sectores. Para el bienio 2022/23, ese documento hacía hincapié en varios principios de planificación, entre ellos la importancia de centrarse en los efectos más que en los productos, incluso en las nuevas áreas de trabajo. También establecía que los indicadores de rendimiento debían ser SMART (específicos, mensurables, realizables, pertinentes y sujetos a plazos) y hacía mayor hincapié en los indicadores cualitativos. Del mismo modo, en </w:t>
      </w:r>
      <w:r w:rsidRPr="0041782C">
        <w:rPr>
          <w:rStyle w:val="normaltextrun"/>
          <w:rFonts w:ascii="Times New Roman" w:hAnsi="Times New Roman"/>
          <w:lang w:val="es-419"/>
        </w:rPr>
        <w:lastRenderedPageBreak/>
        <w:t xml:space="preserve">los documentos de orientación correspondientes a 2024/25 se reitera la necesidad de contar con indicadores SMART. </w:t>
      </w:r>
    </w:p>
    <w:p w14:paraId="19F644D4" w14:textId="77777777" w:rsidR="00556285" w:rsidRPr="0041782C" w:rsidRDefault="00556285" w:rsidP="00556285">
      <w:pPr>
        <w:pStyle w:val="ListParagraph"/>
        <w:numPr>
          <w:ilvl w:val="0"/>
          <w:numId w:val="10"/>
        </w:numPr>
        <w:ind w:left="425"/>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Si bien los documentos del programa de trabajo y presupuesto para 2022/23 y 2024/25 incluyen indicadores de rendimiento, sus niveles siguen variando. Algunos de los indicadores de los pilares 1 y 2 siguen siendo a nivel de producto, mientras que otros son a nivel de resultado. Las entrevistas con los coordinadores muestran que la Organización está avanzando hacia unos indicadores de rendimiento orientados a los resultados. No obstante, algunos deben mantenerse a nivel de producto.</w:t>
      </w:r>
    </w:p>
    <w:p w14:paraId="17BB3808" w14:textId="77777777" w:rsidR="00556285" w:rsidRPr="0041782C" w:rsidRDefault="00556285" w:rsidP="00556285">
      <w:pPr>
        <w:pStyle w:val="ListParagraph"/>
        <w:numPr>
          <w:ilvl w:val="0"/>
          <w:numId w:val="10"/>
        </w:numPr>
        <w:ind w:left="425"/>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El BPK opina que, en la medida de lo posible, los indicadores de rendimiento deberían formularse de forma coherente. Además, según las directrices, los indicadores deben ser SMART y estar orientados a los resultados. Al mantener la coherencia en el nivel de los indicadores, aplicar el principio SMART e incorporar métodos claros de verificación, la Organización reforzará su capacidad para medir eficazmente el rendimiento institucional.</w:t>
      </w:r>
    </w:p>
    <w:p w14:paraId="04615B88"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i/>
          <w:color w:val="000000" w:themeColor="text1"/>
          <w:kern w:val="2"/>
          <w:sz w:val="24"/>
          <w:szCs w:val="28"/>
          <w:u w:val="none"/>
          <w:lang w:val="es-419" w:eastAsia="en-US"/>
          <w14:ligatures w14:val="standardContextual"/>
        </w:rPr>
      </w:pPr>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Contribución de los sectores al logro de los indicadores de rendimiento</w:t>
      </w:r>
    </w:p>
    <w:p w14:paraId="260134F8" w14:textId="77777777" w:rsidR="00556285" w:rsidRPr="0041782C" w:rsidRDefault="00556285" w:rsidP="00556285">
      <w:pPr>
        <w:pStyle w:val="ListParagraph"/>
        <w:numPr>
          <w:ilvl w:val="0"/>
          <w:numId w:val="10"/>
        </w:numPr>
        <w:ind w:left="425"/>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Además de los indicadores de rendimiento, los documentos del programa de trabajo y presupuesto correspondientes a 2022/23 y 2024/25 también muestran la relación entre los indicadores y los sectores pertinentes. Del diálogo con los coordinadores se desprende que hay un indicador vinculado a un sector, mientras que la contribución de otro sector también influye en la consecución del indicador.</w:t>
      </w:r>
    </w:p>
    <w:p w14:paraId="1759C94A" w14:textId="77777777" w:rsidR="00556285" w:rsidRPr="0041782C" w:rsidRDefault="00556285" w:rsidP="00556285">
      <w:pPr>
        <w:pStyle w:val="ListParagraph"/>
        <w:numPr>
          <w:ilvl w:val="0"/>
          <w:numId w:val="10"/>
        </w:numPr>
        <w:ind w:left="425"/>
        <w:contextualSpacing w:val="0"/>
        <w:jc w:val="both"/>
        <w:rPr>
          <w:lang w:val="es-419"/>
        </w:rPr>
      </w:pPr>
      <w:r w:rsidRPr="0041782C">
        <w:rPr>
          <w:rStyle w:val="normaltextrun"/>
          <w:rFonts w:ascii="Times New Roman" w:hAnsi="Times New Roman"/>
          <w:lang w:val="es-419"/>
        </w:rPr>
        <w:t>El BPK considera que, aunque los indicadores de rendimiento puedan presentarse como colaborativos, la identificación explícita de todos los sectores que contribuyen a la consecución de un indicador mejoraría el proceso de supervisión y evaluación de los indicadores</w:t>
      </w:r>
      <w:r w:rsidRPr="0041782C">
        <w:rPr>
          <w:lang w:val="es-419"/>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29FC4C89"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6A8BE263"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5</w:t>
            </w:r>
          </w:p>
          <w:p w14:paraId="1378ED3F"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El BPK recomienda a la Organización que evalúe los indicadores de rendimiento actuales y adopte las siguientes medidas:</w:t>
            </w:r>
          </w:p>
          <w:p w14:paraId="21325857" w14:textId="77777777" w:rsidR="00556285" w:rsidRPr="0041782C" w:rsidRDefault="00556285" w:rsidP="00556285">
            <w:pPr>
              <w:pStyle w:val="ListParagraph"/>
              <w:numPr>
                <w:ilvl w:val="0"/>
                <w:numId w:val="33"/>
              </w:numPr>
              <w:spacing w:before="81" w:after="81" w:line="280" w:lineRule="auto"/>
              <w:ind w:left="310" w:hanging="333"/>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Formular indicadores de rendimiento, en la medida de lo posible, a nivel de resultados, velando por la existencia de mecanismos claros de verificación y la adhesión a los principios SMART.</w:t>
            </w:r>
          </w:p>
          <w:p w14:paraId="2373BBE7" w14:textId="77777777" w:rsidR="00556285" w:rsidRPr="0041782C" w:rsidRDefault="00556285" w:rsidP="00556285">
            <w:pPr>
              <w:pStyle w:val="ListParagraph"/>
              <w:numPr>
                <w:ilvl w:val="0"/>
                <w:numId w:val="33"/>
              </w:numPr>
              <w:spacing w:before="81" w:after="81" w:line="280" w:lineRule="auto"/>
              <w:ind w:left="310" w:hanging="333"/>
              <w:jc w:val="both"/>
              <w:rPr>
                <w:rFonts w:ascii="Times New Roman" w:hAnsi="Times New Roman" w:cs="Times New Roman"/>
                <w:bCs/>
                <w:sz w:val="22"/>
                <w:szCs w:val="22"/>
                <w:lang w:val="es-419"/>
              </w:rPr>
            </w:pPr>
            <w:r w:rsidRPr="0041782C">
              <w:rPr>
                <w:rStyle w:val="normaltextrun"/>
                <w:rFonts w:ascii="Times New Roman" w:hAnsi="Times New Roman"/>
                <w:lang w:val="es-419"/>
              </w:rPr>
              <w:t>Identificar claramente y presentar todos los sectores que contribuyen a la consecución de los indicadores de rendimiento para mejorar el proceso de supervisión y evaluación.</w:t>
            </w:r>
          </w:p>
        </w:tc>
      </w:tr>
      <w:tr w:rsidR="00556285" w:rsidRPr="0041782C" w14:paraId="4E15CDEE"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4F10DF69" w14:textId="77777777" w:rsidR="00556285" w:rsidRPr="0041782C" w:rsidRDefault="00556285" w:rsidP="006A09FF">
            <w:pPr>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t xml:space="preserve">Respuesta de la Dirección: </w:t>
            </w:r>
          </w:p>
          <w:p w14:paraId="5557AF76"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 xml:space="preserve">La Dirección está de acuerdo con la recomendación y señala que los indicadores de rendimiento del plan de trabajo y presupuesto relativos a las operaciones de los </w:t>
            </w:r>
            <w:r w:rsidRPr="0041782C">
              <w:rPr>
                <w:rStyle w:val="normaltextrun"/>
                <w:rFonts w:ascii="Times New Roman" w:hAnsi="Times New Roman"/>
                <w:lang w:val="es-419"/>
              </w:rPr>
              <w:lastRenderedPageBreak/>
              <w:t xml:space="preserve">sistemas mundiales de PI son indicadores a nivel de producto y no forman parte de la recomendación 5.a). </w:t>
            </w:r>
          </w:p>
          <w:p w14:paraId="1FF3266C"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La Dirección prevé aplicar la recomendación a más tardar el 31 de julio de 2025.</w:t>
            </w:r>
          </w:p>
        </w:tc>
      </w:tr>
    </w:tbl>
    <w:p w14:paraId="358A155A" w14:textId="77777777" w:rsidR="00556285" w:rsidRPr="0041782C" w:rsidRDefault="00556285" w:rsidP="00556285">
      <w:pPr>
        <w:rPr>
          <w:lang w:val="es-419"/>
        </w:rPr>
      </w:pPr>
    </w:p>
    <w:p w14:paraId="0D61FB22"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16" w:name="_Toc194144020"/>
      <w:bookmarkStart w:id="117" w:name="_Toc196159474"/>
      <w:bookmarkStart w:id="118" w:name="_Toc198742579"/>
      <w:bookmarkEnd w:id="116"/>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Optimización de la aplicación de la traducción automática a las publicaciones de la OMPI</w:t>
      </w:r>
      <w:bookmarkEnd w:id="117"/>
      <w:bookmarkEnd w:id="118"/>
    </w:p>
    <w:p w14:paraId="02EC0E3D"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En la política de publicaciones de la Organización se indica la voluntad de mejorar la reputación como autoridad mundial en materia de PI mediante la difusión de información sobre PI en todo el mundo a través de publicaciones emblemáticas, informes, revistas y otros materiales gestionados por la Sección de Publicaciones y Diseño. Como complemento a este esfuerzo, en el marco interno de traducción de la Organización se da prioridad al multilingüismo como valor fundamental, para lo cual se utiliza la herramienta de traducción automática WIPO Translate, del Centro de Aplicaciones Tecnológicas Avanzadas (ATAC), con el fin de difundir eficazmente la labor de la OMPI en varios idiomas.</w:t>
      </w:r>
    </w:p>
    <w:p w14:paraId="34EAE731"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Como se indica en la política lingüística revisada de la Organización (WO/PBC/32/6, 1 de junio de 2021), la estrategia de traducción de la Organización clasifica los tipos de comunicación en función del público destinatario, los requisitos de precisión de la traducción y la disponibilidad de tecnologías de traducción. En concreto, la traducción automática se recomienda en dos casos: 1) las comunicaciones dirigidas a un público amplio que requieren traducciones de alta precisión o razonablemente exactas; y 2) las comunicaciones dirigidas a un público reducido en las que basta con traducciones razonablemente exactas. Sin embargo, esta tecnología aún no se aplica a todas las publicaciones web que cumplen los criterios establecidos en la estrategia de traducción. </w:t>
      </w:r>
    </w:p>
    <w:p w14:paraId="32B42303"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En los bienios 2022/23 y 2024/25, la Organización ha editado unas 40 publicaciones e informes al año, de los cuales entre 8 y 11 se han clasificado como publicaciones sustantivas. La División Lingüística se encarga de esas traducciones en los seis idiomas de las Naciones Unidas, así como en otros idiomas a petición del autor o del público destinatario. Según el coordinador de la Organización, el proceso de traducción suele llevar varios meses, dependiendo de la complejidad y extensión del contenido.</w:t>
      </w:r>
    </w:p>
    <w:p w14:paraId="43AFFD43"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El debate mantenido con el coordinador de la Organización puso de manifiesto que la miniaplicación de traducción automática sobre la marcha ha dado buenos resultados en el sitio web de la Organización. Gracias a ello, ha mejorado sustancialmente la eficiencia en la traducción de contenido web, al optimizar los recursos de tiempo y acelerar la disponibilidad de material multilingüe. Por consiguiente, el uso de la traducción automática redujo los posibles retrasos que en ocasiones se producían al preparar las ediciones en las lenguas oficiales y permitió a los lectores acceder a idiomas distintos de los de las Naciones Unidas.</w:t>
      </w:r>
    </w:p>
    <w:p w14:paraId="5193BEA4" w14:textId="77777777" w:rsidR="00556285" w:rsidRPr="0041782C" w:rsidRDefault="00556285" w:rsidP="00556285">
      <w:pPr>
        <w:pStyle w:val="ListParagraph"/>
        <w:numPr>
          <w:ilvl w:val="0"/>
          <w:numId w:val="10"/>
        </w:numPr>
        <w:ind w:left="425" w:hanging="357"/>
        <w:contextualSpacing w:val="0"/>
        <w:jc w:val="both"/>
        <w:rPr>
          <w:lang w:val="es-419"/>
        </w:rPr>
      </w:pPr>
      <w:r w:rsidRPr="0041782C">
        <w:rPr>
          <w:rStyle w:val="normaltextrun"/>
          <w:rFonts w:ascii="Times New Roman" w:hAnsi="Times New Roman"/>
          <w:lang w:val="es-419"/>
        </w:rPr>
        <w:lastRenderedPageBreak/>
        <w:t>El BPK opina que ampliar la utilización de la traducción automática para incorporar todas las categorías de publicaciones admisibles aumentaría la eficiencia, mejoraría la calidad y aceleraría la difusión de la información y los recursos de PI. De este modo, la Organización podría prestar sus servicios a un público más amplio</w:t>
      </w:r>
      <w:r w:rsidRPr="0041782C">
        <w:rPr>
          <w:lang w:val="es-419"/>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2B71662A"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2C058879"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6</w:t>
            </w:r>
          </w:p>
          <w:p w14:paraId="6B515D33" w14:textId="77777777" w:rsidR="00556285" w:rsidRPr="0041782C" w:rsidRDefault="00556285" w:rsidP="006A09FF">
            <w:pPr>
              <w:spacing w:before="81" w:after="81" w:line="280" w:lineRule="auto"/>
              <w:jc w:val="both"/>
              <w:rPr>
                <w:rFonts w:ascii="Times New Roman" w:hAnsi="Times New Roman" w:cs="Times New Roman"/>
                <w:bCs/>
                <w:szCs w:val="22"/>
                <w:lang w:val="es-419"/>
              </w:rPr>
            </w:pPr>
            <w:r w:rsidRPr="0041782C">
              <w:rPr>
                <w:rStyle w:val="normaltextrun"/>
                <w:rFonts w:ascii="Times New Roman" w:hAnsi="Times New Roman"/>
                <w:lang w:val="es-419"/>
              </w:rPr>
              <w:t>El BPK recomienda a la Secretaría que amplíe el uso de la traducción automática para abarcar todas las publicaciones que se ajusten a los criterios establecidos en la estrategia de traducción.</w:t>
            </w:r>
          </w:p>
        </w:tc>
      </w:tr>
      <w:tr w:rsidR="00556285" w:rsidRPr="0041782C" w14:paraId="4118C981"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38691DD1" w14:textId="77777777" w:rsidR="00556285" w:rsidRPr="0041782C" w:rsidRDefault="00556285" w:rsidP="006A09FF">
            <w:pPr>
              <w:keepNext/>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t xml:space="preserve">Respuesta de la Dirección: </w:t>
            </w:r>
          </w:p>
          <w:p w14:paraId="33A9BC7C" w14:textId="77777777" w:rsidR="00556285" w:rsidRPr="0041782C" w:rsidRDefault="00556285" w:rsidP="006A09FF">
            <w:pPr>
              <w:keepNext/>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 xml:space="preserve">La Dirección está de acuerdo con la recomendación y señala que el uso de la traducción automática está aumentando paulatinamente en función de la madurez de las herramientas de traducción. </w:t>
            </w:r>
          </w:p>
          <w:p w14:paraId="11B0A78F"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La Dirección prevé aplicar plenamente la recomendación a más tardar el 31 de diciembre de 2026.</w:t>
            </w:r>
          </w:p>
        </w:tc>
      </w:tr>
    </w:tbl>
    <w:p w14:paraId="6EF72850" w14:textId="77777777" w:rsidR="00556285" w:rsidRPr="0041782C" w:rsidRDefault="00556285" w:rsidP="00556285">
      <w:pPr>
        <w:pStyle w:val="ListParagraph"/>
        <w:ind w:left="425"/>
        <w:contextualSpacing w:val="0"/>
        <w:jc w:val="both"/>
        <w:rPr>
          <w:rStyle w:val="normaltextrun"/>
          <w:rFonts w:cs="Times New Roman"/>
          <w:szCs w:val="22"/>
          <w:lang w:val="es-419"/>
        </w:rPr>
      </w:pPr>
    </w:p>
    <w:p w14:paraId="1AD265B9"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19" w:name="_Toc196159475"/>
      <w:bookmarkStart w:id="120" w:name="_Toc198742580"/>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Mejora de WePerform en el proceso de evaluación del rendimiento</w:t>
      </w:r>
      <w:bookmarkEnd w:id="119"/>
      <w:bookmarkEnd w:id="120"/>
    </w:p>
    <w:p w14:paraId="149529F9"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Las operaciones de la Organización se rigen por los principios de la gestión por resultados, que consiste en un ciclo continuo de planificación, ejecución, supervisión, evaluación y presentación de informes. Para ello, la Organización ha desarrollado una aplicación, WePerform, que ha desempeñado un papel fundamental en el proceso de planificación y presupuestación. </w:t>
      </w:r>
    </w:p>
    <w:p w14:paraId="3977FF0A"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Aunque la Organización ha implantado WePerform para la planificación del programa de trabajo y presupuesto correspondiente a 2024/25, aún puede mejorarse su utilización en el proceso de evaluación del rendimiento. El BPK ha constatado que no hay constancia de que la validación final de los datos de rendimiento se haya actualizado en WePerform. </w:t>
      </w:r>
    </w:p>
    <w:p w14:paraId="4B7FE458" w14:textId="77777777" w:rsidR="00556285" w:rsidRPr="0041782C" w:rsidRDefault="00556285" w:rsidP="00556285">
      <w:pPr>
        <w:pStyle w:val="ListParagraph"/>
        <w:ind w:left="425"/>
        <w:contextualSpacing w:val="0"/>
        <w:jc w:val="both"/>
        <w:rPr>
          <w:lang w:val="es-419"/>
        </w:rPr>
      </w:pPr>
      <w:r w:rsidRPr="0041782C">
        <w:rPr>
          <w:rStyle w:val="normaltextrun"/>
          <w:rFonts w:ascii="Times New Roman" w:hAnsi="Times New Roman"/>
          <w:lang w:val="es-419"/>
        </w:rPr>
        <w:t>El BPK opina que mejorar la utilización de WePerform cargando el resultado final de la validación mejoraría el proceso de evaluación del rendimiento en la Organización. Esta medida también beneficiaría a la organización al facilitar el seguimiento de las fases de evaluación y proporcionar un repositorio para la documentación relacionada con el proceso de evaluación del rendimiento.</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6AA9D0AC"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0467E947"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7</w:t>
            </w:r>
          </w:p>
          <w:p w14:paraId="216CEC16" w14:textId="77777777" w:rsidR="00556285" w:rsidRPr="0041782C" w:rsidRDefault="00556285" w:rsidP="006A09FF">
            <w:pPr>
              <w:spacing w:before="81" w:after="81" w:line="280" w:lineRule="auto"/>
              <w:jc w:val="both"/>
              <w:rPr>
                <w:rFonts w:ascii="Times New Roman" w:hAnsi="Times New Roman" w:cs="Times New Roman"/>
                <w:bCs/>
                <w:szCs w:val="22"/>
                <w:lang w:val="es-419"/>
              </w:rPr>
            </w:pPr>
            <w:r w:rsidRPr="0041782C">
              <w:rPr>
                <w:rStyle w:val="normaltextrun"/>
                <w:rFonts w:ascii="Times New Roman" w:hAnsi="Times New Roman"/>
                <w:lang w:val="es-419"/>
              </w:rPr>
              <w:t>El BPK recomienda a la Secretaría que considere la posibilidad de mejorar la utilización de WePerform en la evaluación del rendimiento cargando los resultados finales de la validación de los datos de rendimiento tras la publicación de los informes de rendimiento de la Organización.</w:t>
            </w:r>
          </w:p>
        </w:tc>
      </w:tr>
      <w:tr w:rsidR="00556285" w:rsidRPr="0041782C" w14:paraId="3E21B918"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0FB737AB" w14:textId="77777777" w:rsidR="00556285" w:rsidRPr="0041782C" w:rsidRDefault="00556285" w:rsidP="006A09FF">
            <w:pPr>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t xml:space="preserve">Respuesta de la Dirección: </w:t>
            </w:r>
          </w:p>
          <w:p w14:paraId="02DF6528"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lastRenderedPageBreak/>
              <w:t xml:space="preserve">La Dirección está de acuerdo con la recomendación y cargará en WePerform los datos finales de rendimiento validados a más tardar un mes después de la publicación de los informes de rendimiento de la Organización. </w:t>
            </w:r>
          </w:p>
          <w:p w14:paraId="4F384E54"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La Dirección prevé aplicar la recomendación a más tardar el 31 de julio de 2025.</w:t>
            </w:r>
          </w:p>
        </w:tc>
      </w:tr>
    </w:tbl>
    <w:p w14:paraId="2EC6B0A0" w14:textId="77777777" w:rsidR="00556285" w:rsidRPr="0041782C" w:rsidRDefault="00556285" w:rsidP="00556285">
      <w:pPr>
        <w:pStyle w:val="ListParagraph"/>
        <w:ind w:left="425"/>
        <w:contextualSpacing w:val="0"/>
        <w:jc w:val="both"/>
        <w:rPr>
          <w:lang w:val="es-419"/>
        </w:rPr>
      </w:pPr>
    </w:p>
    <w:p w14:paraId="1772BAFA" w14:textId="77777777" w:rsidR="00556285" w:rsidRPr="0041782C" w:rsidRDefault="00556285" w:rsidP="00AD5548">
      <w:pPr>
        <w:pStyle w:val="Heading3"/>
        <w:keepLines/>
        <w:spacing w:before="160" w:after="80" w:line="280" w:lineRule="exact"/>
        <w:ind w:left="68"/>
        <w:jc w:val="both"/>
        <w:rPr>
          <w:rFonts w:ascii="Times New Roman" w:eastAsiaTheme="majorEastAsia" w:hAnsi="Times New Roman" w:cstheme="majorBidi"/>
          <w:b/>
          <w:bCs w:val="0"/>
          <w:i/>
          <w:color w:val="000000" w:themeColor="text1"/>
          <w:kern w:val="2"/>
          <w:sz w:val="24"/>
          <w:szCs w:val="28"/>
          <w:u w:val="none"/>
          <w:lang w:val="es-419" w:eastAsia="en-US"/>
          <w14:ligatures w14:val="standardContextual"/>
        </w:rPr>
      </w:pPr>
      <w:bookmarkStart w:id="121" w:name="_Toc196159476"/>
      <w:bookmarkStart w:id="122" w:name="_Toc198742581"/>
      <w:r w:rsidRPr="0041782C">
        <w:rPr>
          <w:rFonts w:ascii="Times New Roman" w:eastAsiaTheme="majorEastAsia" w:hAnsi="Times New Roman" w:cstheme="majorBidi"/>
          <w:b/>
          <w:bCs w:val="0"/>
          <w:i/>
          <w:color w:val="000000" w:themeColor="text1"/>
          <w:kern w:val="2"/>
          <w:sz w:val="24"/>
          <w:szCs w:val="28"/>
          <w:u w:val="none"/>
          <w:lang w:val="es-419" w:eastAsia="en-US"/>
          <w14:ligatures w14:val="standardContextual"/>
        </w:rPr>
        <w:t>Mejora del proceso de realización de encuestas para reforzar la evaluación de la OMPI</w:t>
      </w:r>
      <w:bookmarkEnd w:id="121"/>
      <w:bookmarkEnd w:id="122"/>
    </w:p>
    <w:p w14:paraId="277BBBEC" w14:textId="77777777" w:rsidR="00556285" w:rsidRPr="0041782C" w:rsidRDefault="00556285" w:rsidP="00556285">
      <w:pPr>
        <w:pStyle w:val="ListParagraph"/>
        <w:numPr>
          <w:ilvl w:val="0"/>
          <w:numId w:val="10"/>
        </w:numPr>
        <w:ind w:left="426"/>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Como parte del proceso de evaluación, la Organización realiza encuestas para recabar la opinión de las partes interesadas. Esas encuestas tienen por objeto mejorar la organización de las reuniones, evaluar la satisfacción de las partes interesadas con servicios como el asesoramiento jurídico, la solicitud de derechos de propiedad intelectual, las sesiones de formación y los seminarios, y recabar comentarios sobre cuestiones técnicas relacionadas con la propiedad intelectual. Según los datos facilitados por la División de Presupuesto y Rendimiento de los Programas, se validaron 388 encuestas como parte del informe de rendimiento de la Organización de 2022/23 en relación con los indicadores de rendimiento, con un porcentaje medio de respuestas de aproximadamente el 60 %. No obstante, esta cifra no representa necesariamente el porcentaje medio de respuesta en toda la Organización, ya que no se incluyen las encuestas realizadas fuera del contexto de los indicadores de rendimiento. </w:t>
      </w:r>
    </w:p>
    <w:p w14:paraId="50E521ED" w14:textId="77777777" w:rsidR="00556285" w:rsidRPr="0041782C" w:rsidRDefault="00556285" w:rsidP="00556285">
      <w:pPr>
        <w:pStyle w:val="ListParagraph"/>
        <w:numPr>
          <w:ilvl w:val="0"/>
          <w:numId w:val="10"/>
        </w:numPr>
        <w:ind w:left="425" w:hanging="357"/>
        <w:contextualSpacing w:val="0"/>
        <w:jc w:val="both"/>
        <w:rPr>
          <w:rStyle w:val="normaltextrun"/>
          <w:rFonts w:ascii="Times New Roman" w:hAnsi="Times New Roman" w:cs="Times New Roman"/>
          <w:szCs w:val="22"/>
          <w:lang w:val="es-419"/>
        </w:rPr>
      </w:pPr>
      <w:r w:rsidRPr="0041782C">
        <w:rPr>
          <w:rStyle w:val="normaltextrun"/>
          <w:rFonts w:ascii="Times New Roman" w:hAnsi="Times New Roman"/>
          <w:lang w:val="es-419"/>
        </w:rPr>
        <w:t xml:space="preserve">Tras el diálogo mantenido con los coordinadores, se constata que se han llevado a cabo encuestas sectoriales adicionales, de carácter técnico y específicas de los respectivos sectores. Además, los coordinadores también señalaron que el porcentaje medio de respuesta en sus respectivos sectores oscilaba entre el 20 % y el 35 %. Los coordinadores de la Organización han subrayado que las respuestas a las encuestas tienen una importancia decisiva para determinar las necesidades de las partes interesadas, mejorar los servicios y sentar las bases de los indicadores de rendimiento. Aunque la Organización ha utilizado los comentarios de las encuestas recibidas, existe margen de mejora en las encuestas con menor índice de respuesta. </w:t>
      </w:r>
    </w:p>
    <w:p w14:paraId="01536F19" w14:textId="77777777" w:rsidR="00556285" w:rsidRPr="0041782C" w:rsidRDefault="00556285" w:rsidP="00556285">
      <w:pPr>
        <w:pStyle w:val="ListParagraph"/>
        <w:numPr>
          <w:ilvl w:val="0"/>
          <w:numId w:val="10"/>
        </w:numPr>
        <w:ind w:left="426"/>
        <w:contextualSpacing w:val="0"/>
        <w:jc w:val="both"/>
        <w:rPr>
          <w:lang w:val="es-419"/>
        </w:rPr>
      </w:pPr>
      <w:r w:rsidRPr="0041782C">
        <w:rPr>
          <w:rStyle w:val="normaltextrun"/>
          <w:rFonts w:ascii="Times New Roman" w:hAnsi="Times New Roman"/>
          <w:lang w:val="es-419"/>
        </w:rPr>
        <w:t>El BPK opina que las encuestas son un componente esencial de los procesos de evaluación de la Organización, ya que permiten contrastar los indicadores de rendimiento. Aumentar el porcentaje de respuestas a las encuestas permitiría a la Organización conocer mejor la evolución de los aspectos relacionados con la propiedad intelectual, mejorar los servicios y afianzar los indicadores de rendimiento.</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56285" w:rsidRPr="0041782C" w14:paraId="56401275"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CFED" w:themeFill="text2" w:themeFillTint="40"/>
          </w:tcPr>
          <w:p w14:paraId="78D9B811" w14:textId="77777777" w:rsidR="00556285" w:rsidRPr="0041782C" w:rsidRDefault="00556285" w:rsidP="006A09FF">
            <w:pPr>
              <w:spacing w:before="81" w:after="81" w:line="280" w:lineRule="auto"/>
              <w:jc w:val="both"/>
              <w:rPr>
                <w:rFonts w:ascii="Times New Roman" w:eastAsia="Times New Roman" w:hAnsi="Times New Roman" w:cs="Times New Roman"/>
                <w:b/>
                <w:lang w:val="es-419"/>
              </w:rPr>
            </w:pPr>
            <w:r w:rsidRPr="0041782C">
              <w:rPr>
                <w:rFonts w:ascii="Times New Roman" w:hAnsi="Times New Roman"/>
                <w:b/>
                <w:lang w:val="es-419"/>
              </w:rPr>
              <w:t>Recomendación 8</w:t>
            </w:r>
          </w:p>
          <w:p w14:paraId="537767E6"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 xml:space="preserve">El BPK recomienda a la Organización que lleve a cabo una evaluación exhaustiva de los procesos de realización de encuestas, que determine las causas de los bajos </w:t>
            </w:r>
            <w:r w:rsidRPr="0041782C">
              <w:rPr>
                <w:rStyle w:val="normaltextrun"/>
                <w:rFonts w:ascii="Times New Roman" w:hAnsi="Times New Roman"/>
                <w:lang w:val="es-419"/>
              </w:rPr>
              <w:lastRenderedPageBreak/>
              <w:t>índices de respuesta y que estudie la manera de solucionarlo. Entre las posibles estrategias cabe citar las siguientes:</w:t>
            </w:r>
          </w:p>
          <w:p w14:paraId="26D9D45F" w14:textId="77777777" w:rsidR="00556285" w:rsidRPr="0041782C" w:rsidRDefault="00556285" w:rsidP="00556285">
            <w:pPr>
              <w:pStyle w:val="ListParagraph"/>
              <w:numPr>
                <w:ilvl w:val="0"/>
                <w:numId w:val="26"/>
              </w:numPr>
              <w:ind w:left="310" w:hanging="310"/>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Minimizar el solapamiento de encuestas para reducir la fatiga.</w:t>
            </w:r>
          </w:p>
          <w:p w14:paraId="0DB516FB" w14:textId="77777777" w:rsidR="00556285" w:rsidRPr="0041782C" w:rsidRDefault="00556285" w:rsidP="00556285">
            <w:pPr>
              <w:pStyle w:val="ListParagraph"/>
              <w:numPr>
                <w:ilvl w:val="0"/>
                <w:numId w:val="26"/>
              </w:numPr>
              <w:ind w:left="310" w:hanging="310"/>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Mejorar la programación para evitar realizar varias encuestas simultáneamente.</w:t>
            </w:r>
          </w:p>
          <w:p w14:paraId="773F662F" w14:textId="77777777" w:rsidR="00556285" w:rsidRPr="0041782C" w:rsidRDefault="00556285" w:rsidP="00556285">
            <w:pPr>
              <w:pStyle w:val="ListParagraph"/>
              <w:numPr>
                <w:ilvl w:val="0"/>
                <w:numId w:val="26"/>
              </w:numPr>
              <w:ind w:left="310" w:hanging="310"/>
              <w:jc w:val="both"/>
              <w:rPr>
                <w:rStyle w:val="normaltextrun"/>
                <w:lang w:val="es-419"/>
              </w:rPr>
            </w:pPr>
            <w:r w:rsidRPr="0041782C">
              <w:rPr>
                <w:rStyle w:val="normaltextrun"/>
                <w:rFonts w:ascii="Times New Roman" w:hAnsi="Times New Roman"/>
                <w:lang w:val="es-419"/>
              </w:rPr>
              <w:t>Mejorar las medidas de seguimiento para aumentar el porcentaje de respuestas.</w:t>
            </w:r>
          </w:p>
        </w:tc>
      </w:tr>
      <w:tr w:rsidR="00556285" w:rsidRPr="0041782C" w14:paraId="6E0DB3E6" w14:textId="77777777" w:rsidTr="006A09FF">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EBF7" w:themeFill="text2" w:themeFillTint="1A"/>
          </w:tcPr>
          <w:p w14:paraId="7310F63B" w14:textId="77777777" w:rsidR="00556285" w:rsidRPr="0041782C" w:rsidRDefault="00556285" w:rsidP="006A09FF">
            <w:pPr>
              <w:spacing w:before="81" w:after="81" w:line="280" w:lineRule="auto"/>
              <w:jc w:val="both"/>
              <w:rPr>
                <w:rFonts w:ascii="Times New Roman" w:eastAsia="Times New Roman" w:hAnsi="Times New Roman" w:cs="Times New Roman"/>
                <w:b/>
                <w:color w:val="FF0000"/>
                <w:lang w:val="es-419"/>
              </w:rPr>
            </w:pPr>
            <w:r w:rsidRPr="0041782C">
              <w:rPr>
                <w:rFonts w:ascii="Times New Roman" w:hAnsi="Times New Roman"/>
                <w:b/>
                <w:lang w:val="es-419"/>
              </w:rPr>
              <w:lastRenderedPageBreak/>
              <w:t xml:space="preserve">Respuesta de la Dirección: </w:t>
            </w:r>
          </w:p>
          <w:p w14:paraId="6CC32C91" w14:textId="77777777" w:rsidR="00556285" w:rsidRPr="0041782C" w:rsidRDefault="00556285" w:rsidP="006A09FF">
            <w:pPr>
              <w:spacing w:before="81" w:after="81" w:line="280" w:lineRule="auto"/>
              <w:jc w:val="both"/>
              <w:rPr>
                <w:rStyle w:val="normaltextrun"/>
                <w:rFonts w:ascii="Times New Roman" w:hAnsi="Times New Roman" w:cs="Times New Roman"/>
                <w:bCs/>
                <w:szCs w:val="22"/>
                <w:lang w:val="es-419"/>
              </w:rPr>
            </w:pPr>
            <w:r w:rsidRPr="0041782C">
              <w:rPr>
                <w:rStyle w:val="normaltextrun"/>
                <w:rFonts w:ascii="Times New Roman" w:hAnsi="Times New Roman"/>
                <w:lang w:val="es-419"/>
              </w:rPr>
              <w:t xml:space="preserve">La Dirección está de acuerdo con la recomendación y colaborará con la DSI para aplicarla. </w:t>
            </w:r>
          </w:p>
          <w:p w14:paraId="1691AFB0" w14:textId="77777777" w:rsidR="00556285" w:rsidRPr="0041782C" w:rsidRDefault="00556285" w:rsidP="006A09FF">
            <w:pPr>
              <w:spacing w:before="81" w:after="81" w:line="280" w:lineRule="auto"/>
              <w:jc w:val="both"/>
              <w:rPr>
                <w:rFonts w:ascii="Times New Roman" w:eastAsia="Times New Roman" w:hAnsi="Times New Roman" w:cs="Times New Roman"/>
                <w:lang w:val="es-419"/>
              </w:rPr>
            </w:pPr>
            <w:r w:rsidRPr="0041782C">
              <w:rPr>
                <w:rStyle w:val="normaltextrun"/>
                <w:rFonts w:ascii="Times New Roman" w:hAnsi="Times New Roman"/>
                <w:lang w:val="es-419"/>
              </w:rPr>
              <w:t>Está previsto que la recomendación se aplique a más tardar el 31 de diciembre de 2026.</w:t>
            </w:r>
          </w:p>
        </w:tc>
      </w:tr>
    </w:tbl>
    <w:p w14:paraId="1EBB6AE7" w14:textId="77777777" w:rsidR="00556285" w:rsidRPr="0041782C" w:rsidRDefault="00556285" w:rsidP="00556285">
      <w:pPr>
        <w:jc w:val="both"/>
        <w:rPr>
          <w:rStyle w:val="normaltextrun"/>
          <w:rFonts w:ascii="Times New Roman" w:hAnsi="Times New Roman" w:cs="Times New Roman"/>
          <w:b/>
          <w:bCs/>
          <w:szCs w:val="22"/>
          <w:lang w:val="es-419"/>
        </w:rPr>
      </w:pPr>
    </w:p>
    <w:p w14:paraId="1700EC93" w14:textId="77777777" w:rsidR="00556285" w:rsidRPr="0041782C" w:rsidRDefault="00556285" w:rsidP="00556285">
      <w:pPr>
        <w:spacing w:before="120"/>
        <w:ind w:left="426"/>
        <w:jc w:val="both"/>
        <w:rPr>
          <w:lang w:val="es-419"/>
        </w:rPr>
      </w:pPr>
    </w:p>
    <w:p w14:paraId="19806FEA" w14:textId="77777777" w:rsidR="00556285" w:rsidRPr="0041782C" w:rsidRDefault="00556285" w:rsidP="00556285">
      <w:pPr>
        <w:jc w:val="both"/>
        <w:rPr>
          <w:rFonts w:ascii="Times New Roman" w:hAnsi="Times New Roman" w:cs="Times New Roman"/>
          <w:b/>
          <w:szCs w:val="22"/>
          <w:lang w:val="es-419"/>
        </w:rPr>
      </w:pPr>
      <w:r w:rsidRPr="0041782C">
        <w:rPr>
          <w:lang w:val="es-419"/>
        </w:rPr>
        <w:br w:type="page"/>
      </w:r>
    </w:p>
    <w:p w14:paraId="6F52136F"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123" w:name="_Toc198742582"/>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lastRenderedPageBreak/>
        <w:t>Aplicación de las recomendaciones de la auditoría externa de años anteriores</w:t>
      </w:r>
      <w:bookmarkEnd w:id="123"/>
    </w:p>
    <w:p w14:paraId="3AC088B4"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En la auditoría de los estados financieros de 2024, el BPK ha examinado el avance en la aplicación de seis recomendaciones de los informes del auditor externo correspondientes a los ejercicios de 2018 a 2023. </w:t>
      </w:r>
    </w:p>
    <w:p w14:paraId="07493324"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color w:val="0D0D0D" w:themeColor="text1" w:themeTint="F2"/>
          <w:sz w:val="22"/>
          <w:szCs w:val="22"/>
          <w:lang w:val="es-419"/>
        </w:rPr>
      </w:pPr>
      <w:r w:rsidRPr="0041782C">
        <w:rPr>
          <w:rFonts w:ascii="Times New Roman" w:hAnsi="Times New Roman"/>
          <w:sz w:val="22"/>
          <w:lang w:val="es-419"/>
        </w:rPr>
        <w:t>A 31 de marzo de 2025 (fecha del trabajo de campo de la auditoría), había 34 recomendaciones correspondientes a los ejercicios de 2018 a 2023, de las cuales 31 (91,2 %) se habían aplicado íntegramente.</w:t>
      </w:r>
      <w:r w:rsidRPr="0041782C">
        <w:rPr>
          <w:rFonts w:ascii="Times New Roman" w:hAnsi="Times New Roman"/>
          <w:color w:val="0D0D0D" w:themeColor="text1" w:themeTint="F2"/>
          <w:sz w:val="22"/>
          <w:lang w:val="es-419"/>
        </w:rPr>
        <w:t xml:space="preserve"> Tres recomendaciones de 2022 (8,8 %) seguían en curso. En el cuadro siguiente figuran los datos sobre el estado de aplicación. </w:t>
      </w:r>
    </w:p>
    <w:p w14:paraId="1E3BA613" w14:textId="5B64BAAE" w:rsidR="00556285" w:rsidRPr="0041782C" w:rsidRDefault="00556285" w:rsidP="00556285">
      <w:pPr>
        <w:pStyle w:val="Caption"/>
        <w:keepNext/>
        <w:spacing w:after="120"/>
        <w:ind w:left="142" w:right="-285"/>
        <w:jc w:val="center"/>
        <w:rPr>
          <w:b w:val="0"/>
          <w:bCs w:val="0"/>
          <w:i/>
          <w:iCs/>
          <w:color w:val="000000" w:themeColor="text1"/>
          <w:lang w:val="es-419"/>
        </w:rPr>
      </w:pPr>
      <w:bookmarkStart w:id="124" w:name="_Toc197089140"/>
      <w:bookmarkStart w:id="125" w:name="_Toc198742226"/>
      <w:r w:rsidRPr="0041782C">
        <w:rPr>
          <w:color w:val="000000" w:themeColor="text1"/>
          <w:lang w:val="es-419"/>
        </w:rPr>
        <w:t xml:space="preserve">Cuadro </w:t>
      </w:r>
      <w:r w:rsidRPr="0041782C">
        <w:rPr>
          <w:b w:val="0"/>
          <w:i/>
          <w:color w:val="000000" w:themeColor="text1"/>
          <w:lang w:val="es-419"/>
        </w:rPr>
        <w:fldChar w:fldCharType="begin"/>
      </w:r>
      <w:r w:rsidRPr="0041782C">
        <w:rPr>
          <w:color w:val="000000" w:themeColor="text1"/>
          <w:lang w:val="es-419"/>
        </w:rPr>
        <w:instrText xml:space="preserve"> SEQ Table \* ARABIC </w:instrText>
      </w:r>
      <w:r w:rsidRPr="0041782C">
        <w:rPr>
          <w:b w:val="0"/>
          <w:i/>
          <w:color w:val="000000" w:themeColor="text1"/>
          <w:lang w:val="es-419"/>
        </w:rPr>
        <w:fldChar w:fldCharType="separate"/>
      </w:r>
      <w:r w:rsidR="000001EE">
        <w:rPr>
          <w:noProof/>
          <w:color w:val="000000" w:themeColor="text1"/>
          <w:lang w:val="es-419"/>
        </w:rPr>
        <w:t>3</w:t>
      </w:r>
      <w:r w:rsidRPr="0041782C">
        <w:rPr>
          <w:b w:val="0"/>
          <w:i/>
          <w:color w:val="000000" w:themeColor="text1"/>
          <w:lang w:val="es-419"/>
        </w:rPr>
        <w:fldChar w:fldCharType="end"/>
      </w:r>
      <w:r w:rsidRPr="0041782C">
        <w:rPr>
          <w:color w:val="000000" w:themeColor="text1"/>
          <w:lang w:val="es-419"/>
        </w:rPr>
        <w:t>. Recapitulación del estado de aplicación de las recomendaciones de la auditoría externa de años anteriores</w:t>
      </w:r>
      <w:bookmarkEnd w:id="124"/>
      <w:bookmarkEnd w:id="125"/>
    </w:p>
    <w:tbl>
      <w:tblPr>
        <w:tblW w:w="802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1429"/>
        <w:gridCol w:w="771"/>
        <w:gridCol w:w="451"/>
        <w:gridCol w:w="1001"/>
        <w:gridCol w:w="1376"/>
        <w:gridCol w:w="679"/>
        <w:gridCol w:w="1376"/>
        <w:gridCol w:w="558"/>
      </w:tblGrid>
      <w:tr w:rsidR="00556285" w:rsidRPr="0041782C" w14:paraId="4264DA5D" w14:textId="77777777" w:rsidTr="006A09FF">
        <w:trPr>
          <w:trHeight w:val="300"/>
        </w:trPr>
        <w:tc>
          <w:tcPr>
            <w:tcW w:w="527"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15EF101"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Año</w:t>
            </w:r>
          </w:p>
        </w:tc>
        <w:tc>
          <w:tcPr>
            <w:tcW w:w="1436"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6250A5DA" w14:textId="77777777" w:rsidR="00556285" w:rsidRPr="0041782C" w:rsidRDefault="00556285" w:rsidP="006A09FF">
            <w:pPr>
              <w:spacing w:before="60"/>
              <w:jc w:val="center"/>
              <w:rPr>
                <w:rFonts w:eastAsia="Times New Roman"/>
                <w:sz w:val="16"/>
                <w:szCs w:val="16"/>
                <w:lang w:val="es-419"/>
              </w:rPr>
            </w:pPr>
            <w:r w:rsidRPr="0041782C">
              <w:rPr>
                <w:b/>
                <w:sz w:val="16"/>
                <w:lang w:val="es-419"/>
              </w:rPr>
              <w:t>Total</w:t>
            </w:r>
          </w:p>
          <w:p w14:paraId="4AF78B04"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Recomendaciones</w:t>
            </w:r>
          </w:p>
        </w:tc>
        <w:tc>
          <w:tcPr>
            <w:tcW w:w="179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159CE4BC" w14:textId="77777777" w:rsidR="00556285" w:rsidRPr="0041782C" w:rsidRDefault="00556285" w:rsidP="006A09FF">
            <w:pPr>
              <w:spacing w:before="60"/>
              <w:ind w:left="102"/>
              <w:jc w:val="center"/>
              <w:textAlignment w:val="baseline"/>
              <w:rPr>
                <w:rFonts w:eastAsia="Times New Roman"/>
                <w:sz w:val="16"/>
                <w:szCs w:val="16"/>
                <w:lang w:val="es-419"/>
              </w:rPr>
            </w:pPr>
            <w:r w:rsidRPr="0041782C">
              <w:rPr>
                <w:b/>
                <w:sz w:val="16"/>
                <w:lang w:val="es-419"/>
              </w:rPr>
              <w:t>A 31 de diciembre de 2023</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EFFB054" w14:textId="77777777" w:rsidR="00556285" w:rsidRPr="0041782C" w:rsidRDefault="00556285" w:rsidP="006A09FF">
            <w:pPr>
              <w:spacing w:before="60"/>
              <w:ind w:left="117" w:right="113"/>
              <w:jc w:val="center"/>
              <w:textAlignment w:val="baseline"/>
              <w:rPr>
                <w:rFonts w:eastAsia="Times New Roman"/>
                <w:sz w:val="16"/>
                <w:szCs w:val="16"/>
                <w:lang w:val="es-419"/>
              </w:rPr>
            </w:pPr>
            <w:r w:rsidRPr="0041782C">
              <w:rPr>
                <w:b/>
                <w:sz w:val="16"/>
                <w:lang w:val="es-419"/>
              </w:rPr>
              <w:t>Aplicadas de 1 de enero de 2024 a 31 de marzo de 2025</w:t>
            </w:r>
          </w:p>
        </w:tc>
        <w:tc>
          <w:tcPr>
            <w:tcW w:w="3036"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721C4A8C"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A 31 de marzo de 2025</w:t>
            </w:r>
          </w:p>
        </w:tc>
      </w:tr>
      <w:tr w:rsidR="00556285" w:rsidRPr="0041782C" w14:paraId="728EA7AF" w14:textId="77777777" w:rsidTr="006A09FF">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1A0537" w14:textId="77777777" w:rsidR="00556285" w:rsidRPr="0041782C" w:rsidRDefault="00556285" w:rsidP="006A09FF">
            <w:pPr>
              <w:spacing w:before="60"/>
              <w:jc w:val="center"/>
              <w:rPr>
                <w:rFonts w:eastAsia="Times New Roman"/>
                <w:sz w:val="16"/>
                <w:szCs w:val="16"/>
                <w:lang w:val="es-419"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46EA3F" w14:textId="77777777" w:rsidR="00556285" w:rsidRPr="0041782C" w:rsidRDefault="00556285" w:rsidP="006A09FF">
            <w:pPr>
              <w:spacing w:before="60"/>
              <w:jc w:val="center"/>
              <w:rPr>
                <w:rFonts w:eastAsia="Times New Roman"/>
                <w:sz w:val="16"/>
                <w:szCs w:val="16"/>
                <w:lang w:val="es-419" w:eastAsia="en-GB"/>
              </w:rPr>
            </w:pPr>
          </w:p>
        </w:tc>
        <w:tc>
          <w:tcPr>
            <w:tcW w:w="10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5A952F81"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Aplicadas</w:t>
            </w:r>
          </w:p>
        </w:tc>
        <w:tc>
          <w:tcPr>
            <w:tcW w:w="76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84C3FAE"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En curso</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33CB8F" w14:textId="77777777" w:rsidR="00556285" w:rsidRPr="0041782C" w:rsidRDefault="00556285" w:rsidP="006A09FF">
            <w:pPr>
              <w:spacing w:before="60"/>
              <w:jc w:val="center"/>
              <w:rPr>
                <w:rFonts w:eastAsia="Times New Roman"/>
                <w:sz w:val="16"/>
                <w:szCs w:val="16"/>
                <w:lang w:val="es-419" w:eastAsia="en-GB"/>
              </w:rPr>
            </w:pPr>
          </w:p>
        </w:tc>
        <w:tc>
          <w:tcPr>
            <w:tcW w:w="1582"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2E14DC28"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Aplicadas</w:t>
            </w:r>
          </w:p>
        </w:tc>
        <w:tc>
          <w:tcPr>
            <w:tcW w:w="1454"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14EAEA3"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En curso</w:t>
            </w:r>
          </w:p>
        </w:tc>
      </w:tr>
      <w:tr w:rsidR="00556285" w:rsidRPr="0041782C" w14:paraId="48AE9A88" w14:textId="77777777" w:rsidTr="006A09FF">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C3EA2B" w14:textId="77777777" w:rsidR="00556285" w:rsidRPr="0041782C" w:rsidRDefault="00556285" w:rsidP="006A09FF">
            <w:pPr>
              <w:spacing w:before="60"/>
              <w:jc w:val="center"/>
              <w:rPr>
                <w:rFonts w:eastAsia="Times New Roman"/>
                <w:sz w:val="16"/>
                <w:szCs w:val="16"/>
                <w:lang w:val="es-419"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FB6EBB" w14:textId="77777777" w:rsidR="00556285" w:rsidRPr="0041782C" w:rsidRDefault="00556285" w:rsidP="006A09FF">
            <w:pPr>
              <w:spacing w:before="60"/>
              <w:jc w:val="center"/>
              <w:rPr>
                <w:rFonts w:eastAsia="Times New Roman"/>
                <w:sz w:val="16"/>
                <w:szCs w:val="16"/>
                <w:lang w:val="es-419"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D3C01E" w14:textId="77777777" w:rsidR="00556285" w:rsidRPr="0041782C" w:rsidRDefault="00556285" w:rsidP="006A09FF">
            <w:pPr>
              <w:spacing w:before="60"/>
              <w:jc w:val="center"/>
              <w:rPr>
                <w:rFonts w:eastAsia="Times New Roman"/>
                <w:sz w:val="16"/>
                <w:szCs w:val="16"/>
                <w:lang w:val="es-419"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7E23FB" w14:textId="77777777" w:rsidR="00556285" w:rsidRPr="0041782C" w:rsidRDefault="00556285" w:rsidP="006A09FF">
            <w:pPr>
              <w:spacing w:before="60"/>
              <w:jc w:val="center"/>
              <w:rPr>
                <w:rFonts w:eastAsia="Times New Roman"/>
                <w:sz w:val="16"/>
                <w:szCs w:val="16"/>
                <w:lang w:val="es-419"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370903" w14:textId="77777777" w:rsidR="00556285" w:rsidRPr="0041782C" w:rsidRDefault="00556285" w:rsidP="006A09FF">
            <w:pPr>
              <w:spacing w:before="60"/>
              <w:jc w:val="center"/>
              <w:rPr>
                <w:rFonts w:eastAsia="Times New Roman"/>
                <w:sz w:val="16"/>
                <w:szCs w:val="16"/>
                <w:lang w:val="es-419" w:eastAsia="en-GB"/>
              </w:rPr>
            </w:pP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9616DBD"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Número de</w:t>
            </w:r>
          </w:p>
          <w:p w14:paraId="09BBC79A"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recomendaciones</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3E50D8E"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545B351"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Número de recomendaciones</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DFCDCC7"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w:t>
            </w:r>
          </w:p>
        </w:tc>
      </w:tr>
      <w:tr w:rsidR="00556285" w:rsidRPr="0041782C" w14:paraId="3A52C3E7"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B1DE2"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2023</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65612"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0CAD5"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1FC22"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E28B60"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9D8B7"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B9B1B"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100,0 %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A1E3E"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71CA6"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0,0 % </w:t>
            </w:r>
          </w:p>
        </w:tc>
      </w:tr>
      <w:tr w:rsidR="00556285" w:rsidRPr="0041782C" w14:paraId="3430D0F5"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24638"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2022</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C945A"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441DF"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FE78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5 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2B00A"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842E2"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A8402"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50,0 %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72B7F"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3 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CA131"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50,0 % </w:t>
            </w:r>
          </w:p>
        </w:tc>
      </w:tr>
      <w:tr w:rsidR="00556285" w:rsidRPr="0041782C" w14:paraId="2D79B865"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D2018"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2021</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51170"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AAB8F"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47DC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A9D5A"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35FE9"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33BCC"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100,0 %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9C5E5"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9B24B"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0,0 % </w:t>
            </w:r>
          </w:p>
        </w:tc>
      </w:tr>
      <w:tr w:rsidR="00556285" w:rsidRPr="0041782C" w14:paraId="3EE8B8E3"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3C9A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2020</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7C69D4"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3 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4D983"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3 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934DA"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D8D39"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9FB1A1"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E32DF"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100,0 %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2767E"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8A5AC"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0,0 % </w:t>
            </w:r>
          </w:p>
        </w:tc>
      </w:tr>
      <w:tr w:rsidR="00556285" w:rsidRPr="0041782C" w14:paraId="0D94668B"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9AA9F"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2019</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3342E"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7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5BF2D"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7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3E71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15D4C5"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05ADD"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7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AAD33"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100,0 %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339FE"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4B585"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0,0 %  </w:t>
            </w:r>
          </w:p>
        </w:tc>
      </w:tr>
      <w:tr w:rsidR="00556285" w:rsidRPr="0041782C" w14:paraId="35D5E368"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E90F4"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2018</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BABC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A6BB5"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16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2B3E0"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B9043"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A25C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16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8B336"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100,0 %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00FFB" w14:textId="77777777" w:rsidR="00556285" w:rsidRPr="0041782C" w:rsidRDefault="00556285" w:rsidP="006A09FF">
            <w:pPr>
              <w:spacing w:before="60"/>
              <w:jc w:val="center"/>
              <w:textAlignment w:val="baseline"/>
              <w:rPr>
                <w:rFonts w:eastAsia="Times New Roman"/>
                <w:sz w:val="16"/>
                <w:szCs w:val="16"/>
                <w:lang w:val="es-419"/>
              </w:rPr>
            </w:pPr>
            <w:r w:rsidRPr="0041782C">
              <w:rPr>
                <w:sz w:val="16"/>
                <w:lang w:val="es-419"/>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20991" w14:textId="77777777" w:rsidR="00556285" w:rsidRPr="0041782C" w:rsidRDefault="00556285" w:rsidP="006A09FF">
            <w:pPr>
              <w:spacing w:before="60"/>
              <w:jc w:val="right"/>
              <w:textAlignment w:val="baseline"/>
              <w:rPr>
                <w:rFonts w:eastAsia="Times New Roman"/>
                <w:sz w:val="16"/>
                <w:szCs w:val="16"/>
                <w:lang w:val="es-419"/>
              </w:rPr>
            </w:pPr>
            <w:r w:rsidRPr="0041782C">
              <w:rPr>
                <w:sz w:val="16"/>
                <w:lang w:val="es-419"/>
              </w:rPr>
              <w:t>0,0 %  </w:t>
            </w:r>
          </w:p>
        </w:tc>
      </w:tr>
      <w:tr w:rsidR="00556285" w:rsidRPr="0041782C" w14:paraId="52201FAB" w14:textId="77777777" w:rsidTr="006A09FF">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981DDA0"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Total</w:t>
            </w:r>
          </w:p>
        </w:tc>
        <w:tc>
          <w:tcPr>
            <w:tcW w:w="143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62042F4"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34</w:t>
            </w:r>
            <w:r w:rsidRPr="0041782C">
              <w:rPr>
                <w:sz w:val="16"/>
                <w:lang w:val="es-419"/>
              </w:rPr>
              <w:t>  </w:t>
            </w:r>
          </w:p>
        </w:tc>
        <w:tc>
          <w:tcPr>
            <w:tcW w:w="103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EB55FD6"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28</w:t>
            </w:r>
            <w:r w:rsidRPr="0041782C">
              <w:rPr>
                <w:sz w:val="16"/>
                <w:lang w:val="es-419"/>
              </w:rPr>
              <w:t>  </w:t>
            </w:r>
          </w:p>
        </w:tc>
        <w:tc>
          <w:tcPr>
            <w:tcW w:w="76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F2A5C5F" w14:textId="77777777" w:rsidR="00556285" w:rsidRPr="0041782C" w:rsidRDefault="00556285" w:rsidP="006A09FF">
            <w:pPr>
              <w:spacing w:before="60"/>
              <w:jc w:val="center"/>
              <w:textAlignment w:val="baseline"/>
              <w:rPr>
                <w:rFonts w:eastAsia="Times New Roman"/>
                <w:sz w:val="16"/>
                <w:szCs w:val="16"/>
                <w:lang w:val="es-419"/>
              </w:rPr>
            </w:pPr>
            <w:r w:rsidRPr="0041782C">
              <w:rPr>
                <w:b/>
                <w:sz w:val="16"/>
                <w:lang w:val="es-419"/>
              </w:rPr>
              <w:t>6</w:t>
            </w:r>
            <w:r w:rsidRPr="0041782C">
              <w:rPr>
                <w:sz w:val="16"/>
                <w:lang w:val="es-419"/>
              </w:rPr>
              <w:t>  </w:t>
            </w:r>
          </w:p>
        </w:tc>
        <w:tc>
          <w:tcPr>
            <w:tcW w:w="123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7269B39" w14:textId="77777777" w:rsidR="00556285" w:rsidRPr="0041782C" w:rsidRDefault="00556285" w:rsidP="006A09FF">
            <w:pPr>
              <w:spacing w:before="60"/>
              <w:jc w:val="center"/>
              <w:textAlignment w:val="baseline"/>
              <w:rPr>
                <w:rFonts w:eastAsia="Times New Roman"/>
                <w:b/>
                <w:bCs/>
                <w:sz w:val="16"/>
                <w:szCs w:val="16"/>
                <w:lang w:val="es-419"/>
              </w:rPr>
            </w:pPr>
            <w:r w:rsidRPr="0041782C">
              <w:rPr>
                <w:b/>
                <w:sz w:val="16"/>
                <w:lang w:val="es-419"/>
              </w:rPr>
              <w:t>3 </w:t>
            </w: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F1DDD6F" w14:textId="77777777" w:rsidR="00556285" w:rsidRPr="0041782C" w:rsidRDefault="00556285" w:rsidP="006A09FF">
            <w:pPr>
              <w:spacing w:before="60"/>
              <w:jc w:val="center"/>
              <w:textAlignment w:val="baseline"/>
              <w:rPr>
                <w:rFonts w:eastAsia="Times New Roman"/>
                <w:b/>
                <w:bCs/>
                <w:sz w:val="16"/>
                <w:szCs w:val="16"/>
                <w:lang w:val="es-419"/>
              </w:rPr>
            </w:pPr>
            <w:r w:rsidRPr="0041782C">
              <w:rPr>
                <w:b/>
                <w:sz w:val="16"/>
                <w:lang w:val="es-419"/>
              </w:rPr>
              <w:t>31 </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7C4AB63" w14:textId="77777777" w:rsidR="00556285" w:rsidRPr="0041782C" w:rsidRDefault="00556285" w:rsidP="006A09FF">
            <w:pPr>
              <w:spacing w:before="60"/>
              <w:jc w:val="right"/>
              <w:textAlignment w:val="baseline"/>
              <w:rPr>
                <w:rFonts w:eastAsia="Times New Roman"/>
                <w:sz w:val="16"/>
                <w:szCs w:val="16"/>
                <w:lang w:val="es-419"/>
              </w:rPr>
            </w:pPr>
            <w:r w:rsidRPr="0041782C">
              <w:rPr>
                <w:b/>
                <w:sz w:val="16"/>
                <w:lang w:val="es-419"/>
              </w:rPr>
              <w:t>91,2 %</w:t>
            </w:r>
            <w:r w:rsidRPr="0041782C">
              <w:rPr>
                <w:sz w:val="16"/>
                <w:lang w:val="es-419"/>
              </w:rPr>
              <w:t>  </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EEFDA6B" w14:textId="77777777" w:rsidR="00556285" w:rsidRPr="0041782C" w:rsidRDefault="00556285" w:rsidP="006A09FF">
            <w:pPr>
              <w:spacing w:before="60"/>
              <w:jc w:val="center"/>
              <w:textAlignment w:val="baseline"/>
              <w:rPr>
                <w:rFonts w:eastAsia="Times New Roman"/>
                <w:b/>
                <w:bCs/>
                <w:sz w:val="16"/>
                <w:szCs w:val="16"/>
                <w:lang w:val="es-419"/>
              </w:rPr>
            </w:pPr>
            <w:r w:rsidRPr="0041782C">
              <w:rPr>
                <w:b/>
                <w:sz w:val="16"/>
                <w:lang w:val="es-419"/>
              </w:rPr>
              <w:t>3</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29B1276" w14:textId="77777777" w:rsidR="00556285" w:rsidRPr="0041782C" w:rsidRDefault="00556285" w:rsidP="006A09FF">
            <w:pPr>
              <w:spacing w:before="60"/>
              <w:jc w:val="right"/>
              <w:textAlignment w:val="baseline"/>
              <w:rPr>
                <w:rFonts w:eastAsia="Times New Roman"/>
                <w:sz w:val="16"/>
                <w:szCs w:val="16"/>
                <w:lang w:val="es-419"/>
              </w:rPr>
            </w:pPr>
            <w:r w:rsidRPr="0041782C">
              <w:rPr>
                <w:b/>
                <w:sz w:val="16"/>
                <w:lang w:val="es-419"/>
              </w:rPr>
              <w:t>8,8 %</w:t>
            </w:r>
            <w:r w:rsidRPr="0041782C">
              <w:rPr>
                <w:sz w:val="16"/>
                <w:lang w:val="es-419"/>
              </w:rPr>
              <w:t>  </w:t>
            </w:r>
          </w:p>
        </w:tc>
      </w:tr>
    </w:tbl>
    <w:p w14:paraId="356BC50E" w14:textId="77777777" w:rsidR="00556285" w:rsidRPr="0041782C" w:rsidRDefault="00556285" w:rsidP="00556285">
      <w:pPr>
        <w:ind w:left="66"/>
        <w:jc w:val="both"/>
        <w:rPr>
          <w:rFonts w:ascii="Times New Roman" w:hAnsi="Times New Roman" w:cs="Times New Roman"/>
          <w:szCs w:val="22"/>
          <w:lang w:val="es-419"/>
        </w:rPr>
      </w:pPr>
    </w:p>
    <w:p w14:paraId="02736D13" w14:textId="77777777" w:rsidR="00556285" w:rsidRPr="0041782C" w:rsidRDefault="00556285" w:rsidP="00556285">
      <w:pPr>
        <w:pStyle w:val="ListParagraph"/>
        <w:numPr>
          <w:ilvl w:val="0"/>
          <w:numId w:val="10"/>
        </w:numPr>
        <w:ind w:left="426"/>
        <w:contextualSpacing w:val="0"/>
        <w:jc w:val="both"/>
        <w:rPr>
          <w:rFonts w:ascii="Times New Roman" w:hAnsi="Times New Roman" w:cs="Times New Roman"/>
          <w:b/>
          <w:bCs/>
          <w:sz w:val="22"/>
          <w:szCs w:val="22"/>
          <w:lang w:val="es-419"/>
        </w:rPr>
      </w:pPr>
      <w:r w:rsidRPr="0041782C">
        <w:rPr>
          <w:rFonts w:ascii="Times New Roman" w:hAnsi="Times New Roman"/>
          <w:sz w:val="22"/>
          <w:lang w:val="es-419"/>
        </w:rPr>
        <w:t>BPK se congratula del avance realizado en la aplicación y el cierre de las recomendaciones más antiguas y constata que se sigue avanzando en la aplicación de las que están pendientes.</w:t>
      </w:r>
      <w:r w:rsidRPr="0041782C">
        <w:rPr>
          <w:rFonts w:ascii="Times New Roman" w:hAnsi="Times New Roman"/>
          <w:color w:val="0D0D0D" w:themeColor="text1" w:themeTint="F2"/>
          <w:sz w:val="22"/>
          <w:lang w:val="es-419"/>
        </w:rPr>
        <w:t xml:space="preserve"> Tres de las recomendaciones que están en curso se refieren al informe del auditor externo de 2022 y su aplicación está prevista a más tardar el 31 de diciembre de 2025. Los detalles figuran en el Anexo 1.</w:t>
      </w:r>
    </w:p>
    <w:p w14:paraId="212C3437" w14:textId="77777777" w:rsidR="00556285" w:rsidRPr="0041782C" w:rsidRDefault="00556285" w:rsidP="00556285">
      <w:pPr>
        <w:rPr>
          <w:rFonts w:ascii="Times New Roman" w:eastAsiaTheme="majorEastAsia" w:hAnsi="Times New Roman" w:cs="Times New Roman"/>
          <w:b/>
          <w:color w:val="000000" w:themeColor="text1"/>
          <w:sz w:val="28"/>
          <w:szCs w:val="40"/>
          <w:lang w:val="es-419"/>
        </w:rPr>
      </w:pPr>
      <w:r w:rsidRPr="0041782C">
        <w:rPr>
          <w:lang w:val="es-419"/>
        </w:rPr>
        <w:br w:type="page"/>
      </w:r>
    </w:p>
    <w:p w14:paraId="37DBF24F"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126" w:name="_Toc198742583"/>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lastRenderedPageBreak/>
        <w:t>Información facilitada por la Dirección</w:t>
      </w:r>
      <w:bookmarkEnd w:id="126"/>
    </w:p>
    <w:p w14:paraId="0BEB8064" w14:textId="77777777" w:rsidR="00556285" w:rsidRPr="0041782C" w:rsidRDefault="00556285" w:rsidP="00AD5548">
      <w:pPr>
        <w:pStyle w:val="Heading2"/>
        <w:keepLines/>
        <w:spacing w:before="160" w:after="80" w:line="280" w:lineRule="exact"/>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pPr>
      <w:bookmarkStart w:id="127" w:name="_Toc198742584"/>
      <w:r w:rsidRPr="0041782C">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t>Pérdidas de efectivo, cuentas por cobrar y bienes</w:t>
      </w:r>
      <w:bookmarkEnd w:id="127"/>
    </w:p>
    <w:p w14:paraId="64A93EF0" w14:textId="77777777" w:rsidR="00556285" w:rsidRPr="0041782C" w:rsidRDefault="00556285" w:rsidP="00556285">
      <w:pPr>
        <w:pStyle w:val="ListParagraph"/>
        <w:numPr>
          <w:ilvl w:val="0"/>
          <w:numId w:val="10"/>
        </w:numPr>
        <w:ind w:left="426"/>
        <w:jc w:val="both"/>
        <w:rPr>
          <w:rFonts w:ascii="Times New Roman" w:hAnsi="Times New Roman" w:cs="Times New Roman"/>
          <w:sz w:val="22"/>
          <w:szCs w:val="22"/>
          <w:lang w:val="es-419"/>
        </w:rPr>
      </w:pPr>
      <w:r w:rsidRPr="0041782C">
        <w:rPr>
          <w:rFonts w:ascii="Times New Roman" w:hAnsi="Times New Roman"/>
          <w:sz w:val="22"/>
          <w:lang w:val="es-419"/>
        </w:rPr>
        <w:t xml:space="preserve">En 2024, la Organización se deshizo de elementos obsoletos del inmovilizado material, con una pérdida de 64 000 francos suizos en el momento de la enajenación. </w:t>
      </w:r>
    </w:p>
    <w:p w14:paraId="4BE06962" w14:textId="77777777" w:rsidR="00556285" w:rsidRPr="0041782C" w:rsidRDefault="00556285" w:rsidP="00AD5548">
      <w:pPr>
        <w:pStyle w:val="Heading2"/>
        <w:keepLines/>
        <w:spacing w:before="160" w:after="80" w:line="280" w:lineRule="exact"/>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pPr>
      <w:bookmarkStart w:id="128" w:name="_Toc198742585"/>
      <w:r w:rsidRPr="0041782C">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t>Pagos a título graciable</w:t>
      </w:r>
      <w:bookmarkEnd w:id="128"/>
    </w:p>
    <w:p w14:paraId="7B37B987" w14:textId="77777777" w:rsidR="00556285" w:rsidRPr="0041782C" w:rsidRDefault="00556285" w:rsidP="00556285">
      <w:pPr>
        <w:pStyle w:val="ListParagraph"/>
        <w:numPr>
          <w:ilvl w:val="0"/>
          <w:numId w:val="10"/>
        </w:numPr>
        <w:ind w:left="426" w:hanging="426"/>
        <w:jc w:val="both"/>
        <w:rPr>
          <w:rFonts w:ascii="Times New Roman" w:hAnsi="Times New Roman" w:cs="Times New Roman"/>
          <w:sz w:val="22"/>
          <w:szCs w:val="22"/>
          <w:lang w:val="es-419"/>
        </w:rPr>
      </w:pPr>
      <w:r w:rsidRPr="0041782C">
        <w:rPr>
          <w:rFonts w:ascii="Times New Roman" w:hAnsi="Times New Roman"/>
          <w:sz w:val="22"/>
          <w:lang w:val="es-419"/>
        </w:rPr>
        <w:t>La Organización informó de que en 2024 no se efectuaron pagos a título graciable.</w:t>
      </w:r>
    </w:p>
    <w:p w14:paraId="23D56396" w14:textId="77777777" w:rsidR="00556285" w:rsidRPr="0041782C" w:rsidRDefault="00556285" w:rsidP="00AD5548">
      <w:pPr>
        <w:pStyle w:val="Heading2"/>
        <w:keepLines/>
        <w:spacing w:before="160" w:after="80" w:line="280" w:lineRule="exact"/>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pPr>
      <w:bookmarkStart w:id="129" w:name="_Toc198742586"/>
      <w:r w:rsidRPr="0041782C">
        <w:rPr>
          <w:rFonts w:ascii="Times New Roman" w:eastAsiaTheme="majorEastAsia" w:hAnsi="Times New Roman" w:cs="Times New Roman"/>
          <w:b/>
          <w:bCs w:val="0"/>
          <w:iCs w:val="0"/>
          <w:caps w:val="0"/>
          <w:color w:val="000000" w:themeColor="text1"/>
          <w:kern w:val="2"/>
          <w:sz w:val="24"/>
          <w:szCs w:val="32"/>
          <w:lang w:val="es-419" w:eastAsia="en-US"/>
          <w14:ligatures w14:val="standardContextual"/>
        </w:rPr>
        <w:t>Casos de fraude y presunción de fraude</w:t>
      </w:r>
      <w:bookmarkEnd w:id="129"/>
    </w:p>
    <w:p w14:paraId="4C5A2890" w14:textId="77777777" w:rsidR="00556285" w:rsidRPr="0041782C" w:rsidRDefault="00556285" w:rsidP="00556285">
      <w:pPr>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line="280" w:lineRule="auto"/>
        <w:ind w:left="426" w:hanging="426"/>
        <w:jc w:val="both"/>
        <w:rPr>
          <w:rFonts w:ascii="Times New Roman" w:eastAsia="Times New Roman" w:hAnsi="Times New Roman" w:cs="Times New Roman"/>
          <w:color w:val="0D0D0D" w:themeColor="text1" w:themeTint="F2"/>
          <w:lang w:val="es-419"/>
        </w:rPr>
      </w:pPr>
      <w:r w:rsidRPr="0041782C">
        <w:rPr>
          <w:rFonts w:ascii="Times New Roman" w:hAnsi="Times New Roman"/>
          <w:color w:val="0D0D0D" w:themeColor="text1" w:themeTint="F2"/>
          <w:lang w:val="es-419"/>
        </w:rPr>
        <w:t>De conformidad con la ISA 240 (Responsabilidades del auditor en relación con el fraude en una auditoría de estados financieros), el BPK planifica la auditoría de los estados financieros de modo que tenga una seguridad razonable de detectar incorrecciones sustanciales e irregularidades (incluidas las derivadas del fraude). No obstante, no debe confiarse en que nuestra auditoría permita detectar todas las incorrecciones o irregularidades. La responsabilidad principal de prevenir y detectar el fraude recae en la Dirección.</w:t>
      </w:r>
    </w:p>
    <w:p w14:paraId="39D3098F" w14:textId="77777777" w:rsidR="00556285" w:rsidRPr="0041782C" w:rsidRDefault="00556285" w:rsidP="00556285">
      <w:pPr>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line="280" w:lineRule="auto"/>
        <w:ind w:left="426" w:hanging="426"/>
        <w:jc w:val="both"/>
        <w:rPr>
          <w:rFonts w:ascii="Times New Roman" w:eastAsia="Times New Roman" w:hAnsi="Times New Roman" w:cs="Times New Roman"/>
          <w:color w:val="0D0D0D" w:themeColor="text1" w:themeTint="F2"/>
          <w:lang w:val="es-419"/>
        </w:rPr>
      </w:pPr>
      <w:r w:rsidRPr="0041782C">
        <w:rPr>
          <w:rFonts w:ascii="Times New Roman" w:hAnsi="Times New Roman"/>
          <w:color w:val="0D0D0D" w:themeColor="text1" w:themeTint="F2"/>
          <w:lang w:val="es-419"/>
        </w:rPr>
        <w:t>Durante la auditoría, el BPK consultó a la Organización sobre su responsabilidad en materia de supervisión para evaluar los riesgos de fraude sustancial y los procesos establecidos para detectarlos y afrontarlos, incluido cualquier riesgo específico que la Dirección haya detectado o que se haya señalado a su atención. El BPK también preguntó si la Organización tenía conocimiento de algún fraude real o supuesto. El BPK no ha detectado ningún caso de fraude en la auditoría ni en las pruebas que hemos realizado.</w:t>
      </w:r>
    </w:p>
    <w:p w14:paraId="70228657" w14:textId="77777777" w:rsidR="00556285" w:rsidRPr="0041782C" w:rsidRDefault="00556285" w:rsidP="00556285">
      <w:pPr>
        <w:pStyle w:val="ListParagraph"/>
        <w:numPr>
          <w:ilvl w:val="0"/>
          <w:numId w:val="10"/>
        </w:numPr>
        <w:shd w:val="clear" w:color="auto" w:fill="FFFFFF" w:themeFill="background1"/>
        <w:ind w:left="360"/>
        <w:contextualSpacing w:val="0"/>
        <w:jc w:val="both"/>
        <w:rPr>
          <w:rFonts w:ascii="Times New Roman" w:hAnsi="Times New Roman" w:cs="Times New Roman"/>
          <w:sz w:val="22"/>
          <w:szCs w:val="22"/>
          <w:lang w:val="es-419"/>
        </w:rPr>
      </w:pPr>
      <w:r w:rsidRPr="0041782C">
        <w:rPr>
          <w:rFonts w:ascii="Times New Roman" w:hAnsi="Times New Roman"/>
          <w:sz w:val="22"/>
          <w:lang w:val="es-419"/>
        </w:rPr>
        <w:t xml:space="preserve">La Dirección informó de que se había producido un caso de fraude por un importe estimado de 148 000 francos suizos y de que no se habían registrado casos de presunto fraude en la Organización durante 2024. </w:t>
      </w:r>
    </w:p>
    <w:p w14:paraId="7788BE2C"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130" w:name="_Toc198742587"/>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t>Traspaso de la auditoría</w:t>
      </w:r>
      <w:bookmarkEnd w:id="130"/>
    </w:p>
    <w:p w14:paraId="53F4A6E1"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expresa su gratitud a la Oficina Nacional de Auditoría del Reino Unido, encargada de la auditoría externa anterior, por haber facilitado el traspaso. Su ayuda durante la planificación de la auditoría, prestada en debates y sesiones de intercambio de información, contribuyó a comprender mejor los controles internos y el marco de gobernanza de la Organización. Todo ello se ajustó a las normas de auditoría y al marco del Grupo de Auditores Externos de las Naciones Unidas, que subraya la importancia de un traspaso completo de la auditoría inicial.</w:t>
      </w:r>
    </w:p>
    <w:p w14:paraId="6BB2DA2E" w14:textId="77777777" w:rsidR="00556285" w:rsidRPr="0041782C" w:rsidRDefault="00556285" w:rsidP="00556285">
      <w:pPr>
        <w:rPr>
          <w:rFonts w:ascii="Times New Roman" w:eastAsiaTheme="majorEastAsia" w:hAnsi="Times New Roman" w:cs="Times New Roman"/>
          <w:b/>
          <w:color w:val="000000" w:themeColor="text1"/>
          <w:sz w:val="28"/>
          <w:szCs w:val="40"/>
          <w:lang w:val="es-419"/>
        </w:rPr>
      </w:pPr>
      <w:bookmarkStart w:id="131" w:name="_Toc197206665"/>
      <w:bookmarkStart w:id="132" w:name="_Toc197206886"/>
      <w:bookmarkEnd w:id="131"/>
      <w:bookmarkEnd w:id="132"/>
      <w:r w:rsidRPr="0041782C">
        <w:rPr>
          <w:lang w:val="es-419"/>
        </w:rPr>
        <w:br w:type="page"/>
      </w:r>
    </w:p>
    <w:p w14:paraId="47690BC0" w14:textId="77777777" w:rsidR="00556285" w:rsidRPr="0041782C" w:rsidRDefault="00556285" w:rsidP="00AD5548">
      <w:pPr>
        <w:pStyle w:val="Heading1"/>
        <w:keepLines/>
        <w:numPr>
          <w:ilvl w:val="0"/>
          <w:numId w:val="37"/>
        </w:numPr>
        <w:spacing w:before="360" w:after="80" w:line="280" w:lineRule="exact"/>
        <w:ind w:left="0"/>
        <w:rPr>
          <w:rFonts w:ascii="Times New Roman" w:eastAsiaTheme="majorEastAsia" w:hAnsi="Times New Roman" w:cs="Times New Roman"/>
          <w:bCs w:val="0"/>
          <w:caps w:val="0"/>
          <w:color w:val="000000" w:themeColor="text1"/>
          <w:kern w:val="2"/>
          <w:sz w:val="28"/>
          <w:szCs w:val="40"/>
          <w:lang w:val="es-419" w:eastAsia="en-US"/>
          <w14:ligatures w14:val="standardContextual"/>
        </w:rPr>
      </w:pPr>
      <w:bookmarkStart w:id="133" w:name="_Toc198742588"/>
      <w:r w:rsidRPr="0041782C">
        <w:rPr>
          <w:rFonts w:ascii="Times New Roman" w:eastAsiaTheme="majorEastAsia" w:hAnsi="Times New Roman" w:cs="Times New Roman"/>
          <w:bCs w:val="0"/>
          <w:caps w:val="0"/>
          <w:color w:val="000000" w:themeColor="text1"/>
          <w:kern w:val="2"/>
          <w:sz w:val="28"/>
          <w:szCs w:val="40"/>
          <w:lang w:val="es-419" w:eastAsia="en-US"/>
          <w14:ligatures w14:val="standardContextual"/>
        </w:rPr>
        <w:lastRenderedPageBreak/>
        <w:t>Agradecimientos</w:t>
      </w:r>
      <w:bookmarkEnd w:id="133"/>
    </w:p>
    <w:p w14:paraId="23F4941A" w14:textId="77777777" w:rsidR="00556285" w:rsidRPr="0041782C" w:rsidRDefault="00556285" w:rsidP="00556285">
      <w:pPr>
        <w:pStyle w:val="ListParagraph"/>
        <w:numPr>
          <w:ilvl w:val="0"/>
          <w:numId w:val="10"/>
        </w:numPr>
        <w:ind w:left="426" w:hanging="426"/>
        <w:contextualSpacing w:val="0"/>
        <w:jc w:val="both"/>
        <w:rPr>
          <w:rFonts w:ascii="Times New Roman" w:hAnsi="Times New Roman" w:cs="Times New Roman"/>
          <w:sz w:val="22"/>
          <w:szCs w:val="22"/>
          <w:lang w:val="es-419"/>
        </w:rPr>
      </w:pPr>
      <w:r w:rsidRPr="0041782C">
        <w:rPr>
          <w:rFonts w:ascii="Times New Roman" w:hAnsi="Times New Roman"/>
          <w:sz w:val="22"/>
          <w:lang w:val="es-419"/>
        </w:rPr>
        <w:t>El BPK desea expresar su sincero agradecimiento al director general y al personal por su colaboración y apoyo a lo largo del proceso de auditoría. El BPK también se siente profundamente honrado por la confianza depositada en su nombramiento como auditor externo por parte de los Estados miembros. Esperamos que este encargo de auditoría refuerce aún más la colaboración constructiva para promover y favorecer el desarrollo mundial de la propiedad intelectual.</w:t>
      </w:r>
    </w:p>
    <w:p w14:paraId="78E26AA1" w14:textId="77777777" w:rsidR="00556285" w:rsidRPr="0041782C" w:rsidRDefault="00556285" w:rsidP="00556285">
      <w:pPr>
        <w:ind w:left="2977"/>
        <w:jc w:val="center"/>
        <w:rPr>
          <w:rFonts w:ascii="Times New Roman" w:hAnsi="Times New Roman" w:cs="Times New Roman"/>
          <w:szCs w:val="22"/>
          <w:lang w:val="es-419"/>
        </w:rPr>
      </w:pPr>
    </w:p>
    <w:p w14:paraId="2121A3BE" w14:textId="77777777" w:rsidR="00556285" w:rsidRPr="0041782C" w:rsidRDefault="00556285" w:rsidP="00556285">
      <w:pPr>
        <w:ind w:left="2977"/>
        <w:jc w:val="center"/>
        <w:rPr>
          <w:rFonts w:ascii="Times New Roman" w:hAnsi="Times New Roman" w:cs="Times New Roman"/>
          <w:szCs w:val="22"/>
          <w:lang w:val="es-419"/>
        </w:rPr>
      </w:pPr>
    </w:p>
    <w:p w14:paraId="2293703D" w14:textId="77777777" w:rsidR="00556285" w:rsidRPr="0041782C" w:rsidRDefault="00556285" w:rsidP="00556285">
      <w:pPr>
        <w:ind w:left="2977"/>
        <w:jc w:val="center"/>
        <w:rPr>
          <w:rFonts w:ascii="Times New Roman" w:hAnsi="Times New Roman" w:cs="Times New Roman"/>
          <w:szCs w:val="22"/>
          <w:lang w:val="es-419"/>
        </w:rPr>
      </w:pPr>
    </w:p>
    <w:p w14:paraId="0D45A131" w14:textId="77777777" w:rsidR="00556285" w:rsidRPr="0041782C" w:rsidRDefault="00556285" w:rsidP="00556285">
      <w:pPr>
        <w:ind w:left="2977"/>
        <w:jc w:val="center"/>
        <w:rPr>
          <w:rFonts w:ascii="Times New Roman" w:eastAsia="Times New Roman" w:hAnsi="Times New Roman" w:cs="Times New Roman"/>
          <w:b/>
          <w:strike/>
          <w:color w:val="000000"/>
          <w:lang w:val="es-419"/>
        </w:rPr>
      </w:pPr>
      <w:r w:rsidRPr="0041782C">
        <w:rPr>
          <w:rFonts w:ascii="Times New Roman" w:hAnsi="Times New Roman"/>
          <w:b/>
          <w:color w:val="000000"/>
          <w:lang w:val="es-419"/>
        </w:rPr>
        <w:t>Dr. Isma Yatun, CSFA, CFrA</w:t>
      </w:r>
    </w:p>
    <w:p w14:paraId="43457DC9" w14:textId="77777777" w:rsidR="00556285" w:rsidRPr="0041782C" w:rsidRDefault="00556285" w:rsidP="00556285">
      <w:pPr>
        <w:ind w:left="2977"/>
        <w:jc w:val="center"/>
        <w:rPr>
          <w:rFonts w:ascii="Times New Roman" w:eastAsia="Times New Roman" w:hAnsi="Times New Roman" w:cs="Times New Roman"/>
          <w:b/>
          <w:color w:val="000000"/>
          <w:lang w:val="es-419"/>
        </w:rPr>
      </w:pPr>
      <w:r w:rsidRPr="0041782C">
        <w:rPr>
          <w:rFonts w:ascii="Times New Roman" w:hAnsi="Times New Roman"/>
          <w:b/>
          <w:color w:val="000000"/>
          <w:lang w:val="es-419"/>
        </w:rPr>
        <w:t xml:space="preserve">Presidente del Tribunal de Cuentas de </w:t>
      </w:r>
    </w:p>
    <w:p w14:paraId="5BF76F92" w14:textId="77777777" w:rsidR="00556285" w:rsidRPr="0041782C" w:rsidRDefault="00556285" w:rsidP="00556285">
      <w:pPr>
        <w:ind w:left="2977"/>
        <w:jc w:val="center"/>
        <w:rPr>
          <w:rFonts w:ascii="Times New Roman" w:eastAsia="Times New Roman" w:hAnsi="Times New Roman" w:cs="Times New Roman"/>
          <w:b/>
          <w:color w:val="000000"/>
          <w:lang w:val="es-419"/>
        </w:rPr>
      </w:pPr>
      <w:r w:rsidRPr="0041782C">
        <w:rPr>
          <w:rFonts w:ascii="Times New Roman" w:hAnsi="Times New Roman"/>
          <w:b/>
          <w:color w:val="000000"/>
          <w:lang w:val="es-419"/>
        </w:rPr>
        <w:t>la República de Indonesia</w:t>
      </w:r>
    </w:p>
    <w:p w14:paraId="3E800EED" w14:textId="77777777" w:rsidR="00556285" w:rsidRPr="0041782C" w:rsidRDefault="00556285" w:rsidP="00556285">
      <w:pPr>
        <w:ind w:left="2977"/>
        <w:jc w:val="center"/>
        <w:rPr>
          <w:rFonts w:ascii="Times New Roman" w:eastAsia="Times New Roman" w:hAnsi="Times New Roman" w:cs="Times New Roman"/>
          <w:b/>
          <w:color w:val="000000"/>
          <w:lang w:val="es-419"/>
        </w:rPr>
      </w:pPr>
      <w:r w:rsidRPr="0041782C">
        <w:rPr>
          <w:rFonts w:ascii="Times New Roman" w:hAnsi="Times New Roman"/>
          <w:b/>
          <w:color w:val="000000" w:themeColor="text1"/>
          <w:lang w:val="es-419"/>
        </w:rPr>
        <w:t>Auditor externo</w:t>
      </w:r>
    </w:p>
    <w:p w14:paraId="51C98099" w14:textId="77777777" w:rsidR="00556285" w:rsidRPr="0041782C" w:rsidRDefault="00556285" w:rsidP="00556285">
      <w:pPr>
        <w:ind w:left="2977"/>
        <w:jc w:val="center"/>
        <w:rPr>
          <w:rFonts w:ascii="Times New Roman" w:eastAsia="Times New Roman" w:hAnsi="Times New Roman" w:cs="Times New Roman"/>
          <w:b/>
          <w:color w:val="000000" w:themeColor="text1"/>
          <w:lang w:val="es-419"/>
        </w:rPr>
      </w:pPr>
    </w:p>
    <w:p w14:paraId="3A575A01" w14:textId="77777777" w:rsidR="00556285" w:rsidRPr="0041782C" w:rsidRDefault="00556285" w:rsidP="00556285">
      <w:pPr>
        <w:ind w:left="2977"/>
        <w:jc w:val="center"/>
        <w:rPr>
          <w:rFonts w:ascii="Times New Roman" w:eastAsia="Times New Roman" w:hAnsi="Times New Roman" w:cs="Times New Roman"/>
          <w:b/>
          <w:color w:val="000000" w:themeColor="text1"/>
          <w:lang w:val="es-419"/>
        </w:rPr>
      </w:pPr>
    </w:p>
    <w:p w14:paraId="4424ABD5" w14:textId="77777777" w:rsidR="00556285" w:rsidRPr="0041782C" w:rsidRDefault="00556285" w:rsidP="00556285">
      <w:pPr>
        <w:ind w:left="2977"/>
        <w:jc w:val="center"/>
        <w:rPr>
          <w:rFonts w:ascii="Times New Roman" w:eastAsia="Times New Roman" w:hAnsi="Times New Roman" w:cs="Times New Roman"/>
          <w:b/>
          <w:bCs/>
          <w:color w:val="000000" w:themeColor="text1"/>
          <w:lang w:val="es-419"/>
        </w:rPr>
      </w:pPr>
    </w:p>
    <w:p w14:paraId="4DE0F18E" w14:textId="77777777" w:rsidR="00556285" w:rsidRPr="0041782C" w:rsidRDefault="00556285" w:rsidP="00556285">
      <w:pPr>
        <w:ind w:left="2977"/>
        <w:jc w:val="center"/>
        <w:rPr>
          <w:rFonts w:ascii="Times New Roman" w:eastAsia="Times New Roman" w:hAnsi="Times New Roman" w:cs="Times New Roman"/>
          <w:b/>
          <w:bCs/>
          <w:color w:val="000000" w:themeColor="text1"/>
          <w:lang w:val="es-419"/>
        </w:rPr>
      </w:pPr>
    </w:p>
    <w:p w14:paraId="499FB2FF" w14:textId="77777777" w:rsidR="00556285" w:rsidRPr="0041782C" w:rsidRDefault="00556285" w:rsidP="00556285">
      <w:pPr>
        <w:ind w:left="2977"/>
        <w:jc w:val="center"/>
        <w:rPr>
          <w:rFonts w:ascii="Times New Roman" w:eastAsia="Times New Roman" w:hAnsi="Times New Roman" w:cs="Times New Roman"/>
          <w:b/>
          <w:color w:val="000000"/>
          <w:lang w:val="es-419"/>
        </w:rPr>
      </w:pPr>
      <w:r w:rsidRPr="0041782C">
        <w:rPr>
          <w:rFonts w:ascii="Times New Roman" w:hAnsi="Times New Roman"/>
          <w:b/>
          <w:color w:val="000000"/>
          <w:lang w:val="es-419"/>
        </w:rPr>
        <w:t>Yakarta (Indonesia)</w:t>
      </w:r>
    </w:p>
    <w:p w14:paraId="0EA2B562" w14:textId="77777777" w:rsidR="00556285" w:rsidRPr="0041782C" w:rsidRDefault="00556285" w:rsidP="00556285">
      <w:pPr>
        <w:ind w:left="2977"/>
        <w:jc w:val="center"/>
        <w:rPr>
          <w:rFonts w:ascii="Times New Roman" w:eastAsia="Times New Roman" w:hAnsi="Times New Roman" w:cs="Times New Roman"/>
          <w:b/>
          <w:lang w:val="es-419"/>
        </w:rPr>
      </w:pPr>
      <w:r w:rsidRPr="0041782C">
        <w:rPr>
          <w:rFonts w:ascii="Times New Roman" w:hAnsi="Times New Roman"/>
          <w:b/>
          <w:color w:val="000000" w:themeColor="text1"/>
          <w:lang w:val="es-419"/>
        </w:rPr>
        <w:t xml:space="preserve">          Mayo de 2025</w:t>
      </w:r>
    </w:p>
    <w:p w14:paraId="131534CA" w14:textId="77777777" w:rsidR="00556285" w:rsidRPr="0041782C" w:rsidRDefault="00556285" w:rsidP="00556285">
      <w:pPr>
        <w:autoSpaceDE w:val="0"/>
        <w:autoSpaceDN w:val="0"/>
        <w:adjustRightInd w:val="0"/>
        <w:spacing w:before="120"/>
        <w:jc w:val="both"/>
        <w:rPr>
          <w:b/>
          <w:lang w:val="es-419"/>
        </w:rPr>
        <w:sectPr w:rsidR="00556285" w:rsidRPr="0041782C" w:rsidSect="00556285">
          <w:footerReference w:type="even" r:id="rId36"/>
          <w:footerReference w:type="default" r:id="rId37"/>
          <w:footerReference w:type="first" r:id="rId38"/>
          <w:pgSz w:w="11906" w:h="16838"/>
          <w:pgMar w:top="2268" w:right="1701" w:bottom="1701" w:left="2268" w:header="708" w:footer="708" w:gutter="0"/>
          <w:cols w:space="708"/>
          <w:docGrid w:linePitch="360"/>
        </w:sectPr>
      </w:pPr>
    </w:p>
    <w:p w14:paraId="2F96E819" w14:textId="77777777" w:rsidR="00556285" w:rsidRPr="0041782C" w:rsidRDefault="00556285" w:rsidP="00556285">
      <w:pPr>
        <w:autoSpaceDE w:val="0"/>
        <w:autoSpaceDN w:val="0"/>
        <w:adjustRightInd w:val="0"/>
        <w:spacing w:before="120"/>
        <w:jc w:val="both"/>
        <w:rPr>
          <w:b/>
          <w:lang w:val="es-419"/>
        </w:rPr>
        <w:sectPr w:rsidR="00556285" w:rsidRPr="0041782C" w:rsidSect="00556285">
          <w:type w:val="continuous"/>
          <w:pgSz w:w="11906" w:h="16838"/>
          <w:pgMar w:top="2268" w:right="1701" w:bottom="1701" w:left="2268" w:header="708" w:footer="708" w:gutter="0"/>
          <w:cols w:space="708"/>
          <w:docGrid w:linePitch="360"/>
        </w:sectPr>
      </w:pPr>
    </w:p>
    <w:p w14:paraId="4B52E232" w14:textId="3A832EC8" w:rsidR="00556285" w:rsidRPr="0041782C" w:rsidRDefault="00556285" w:rsidP="00AD5548">
      <w:pPr>
        <w:pStyle w:val="Heading1"/>
        <w:keepLines/>
        <w:spacing w:before="360" w:after="80" w:line="280" w:lineRule="exact"/>
        <w:jc w:val="both"/>
        <w:rPr>
          <w:rFonts w:ascii="Times New Roman" w:eastAsiaTheme="majorEastAsia" w:hAnsi="Times New Roman" w:cstheme="majorBidi"/>
          <w:bCs w:val="0"/>
          <w:caps w:val="0"/>
          <w:color w:val="000000" w:themeColor="text1"/>
          <w:kern w:val="2"/>
          <w:sz w:val="28"/>
          <w:szCs w:val="40"/>
          <w:lang w:val="es-419" w:eastAsia="en-US"/>
          <w14:ligatures w14:val="standardContextual"/>
        </w:rPr>
      </w:pPr>
      <w:bookmarkStart w:id="134" w:name="_Toc198742589"/>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lastRenderedPageBreak/>
        <w:t>Anexo 1: Estado de aplicación de las recomendaciones formuladas en auditorías externas de ejercicios anteriores a 31 de marzo de</w:t>
      </w:r>
      <w:r w:rsidR="00AD5548"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t> </w:t>
      </w:r>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t>2025</w:t>
      </w:r>
      <w:bookmarkEnd w:id="134"/>
    </w:p>
    <w:p w14:paraId="45BC6D35" w14:textId="77777777" w:rsidR="00556285" w:rsidRPr="0041782C" w:rsidRDefault="00556285" w:rsidP="0041782C">
      <w:pPr>
        <w:pStyle w:val="ListParagraph"/>
        <w:spacing w:after="0"/>
        <w:ind w:left="0"/>
        <w:contextualSpacing w:val="0"/>
        <w:rPr>
          <w:rFonts w:ascii="Times New Roman" w:hAnsi="Times New Roman" w:cs="Times New Roman"/>
          <w:b/>
          <w:bCs/>
          <w:sz w:val="22"/>
          <w:szCs w:val="22"/>
          <w:lang w:val="es-419"/>
        </w:rPr>
      </w:pPr>
    </w:p>
    <w:tbl>
      <w:tblPr>
        <w:tblW w:w="104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1275"/>
        <w:gridCol w:w="1605"/>
        <w:gridCol w:w="1584"/>
        <w:gridCol w:w="2469"/>
        <w:gridCol w:w="1358"/>
        <w:gridCol w:w="1139"/>
      </w:tblGrid>
      <w:tr w:rsidR="00556285" w:rsidRPr="0041782C" w14:paraId="73E1BBDC" w14:textId="77777777" w:rsidTr="006A09FF">
        <w:trPr>
          <w:trHeight w:val="300"/>
          <w:tblHeader/>
          <w:jc w:val="center"/>
        </w:trPr>
        <w:tc>
          <w:tcPr>
            <w:tcW w:w="985" w:type="dxa"/>
            <w:tcBorders>
              <w:top w:val="single" w:sz="6" w:space="0" w:color="auto"/>
              <w:left w:val="single" w:sz="6" w:space="0" w:color="auto"/>
              <w:bottom w:val="single" w:sz="6" w:space="0" w:color="auto"/>
              <w:right w:val="single" w:sz="6" w:space="0" w:color="auto"/>
            </w:tcBorders>
            <w:shd w:val="clear" w:color="auto" w:fill="B4C6E7"/>
            <w:hideMark/>
          </w:tcPr>
          <w:p w14:paraId="68B66A4F" w14:textId="77777777" w:rsidR="00556285" w:rsidRPr="0041782C" w:rsidRDefault="00556285" w:rsidP="006A09FF">
            <w:pPr>
              <w:spacing w:before="60" w:after="60"/>
              <w:ind w:left="57" w:right="57"/>
              <w:jc w:val="center"/>
              <w:textAlignment w:val="baseline"/>
              <w:rPr>
                <w:rFonts w:eastAsia="Times New Roman"/>
                <w:sz w:val="16"/>
                <w:szCs w:val="16"/>
                <w:lang w:val="es-419"/>
              </w:rPr>
            </w:pPr>
            <w:r w:rsidRPr="0041782C">
              <w:rPr>
                <w:b/>
                <w:color w:val="000000"/>
                <w:sz w:val="16"/>
                <w:lang w:val="es-419"/>
              </w:rPr>
              <w:t>Ejercicio financiero</w:t>
            </w:r>
            <w:r w:rsidRPr="0041782C">
              <w:rPr>
                <w:color w:val="000000"/>
                <w:sz w:val="16"/>
                <w:lang w:val="es-419"/>
              </w:rPr>
              <w:t> </w:t>
            </w:r>
          </w:p>
        </w:tc>
        <w:tc>
          <w:tcPr>
            <w:tcW w:w="1275" w:type="dxa"/>
            <w:tcBorders>
              <w:top w:val="single" w:sz="6" w:space="0" w:color="auto"/>
              <w:left w:val="single" w:sz="6" w:space="0" w:color="auto"/>
              <w:bottom w:val="single" w:sz="6" w:space="0" w:color="auto"/>
              <w:right w:val="single" w:sz="6" w:space="0" w:color="auto"/>
            </w:tcBorders>
            <w:shd w:val="clear" w:color="auto" w:fill="B4C6E7"/>
            <w:hideMark/>
          </w:tcPr>
          <w:p w14:paraId="391953A8"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Referencia </w:t>
            </w:r>
          </w:p>
        </w:tc>
        <w:tc>
          <w:tcPr>
            <w:tcW w:w="1605" w:type="dxa"/>
            <w:tcBorders>
              <w:top w:val="single" w:sz="6" w:space="0" w:color="auto"/>
              <w:left w:val="single" w:sz="6" w:space="0" w:color="auto"/>
              <w:bottom w:val="single" w:sz="6" w:space="0" w:color="auto"/>
              <w:right w:val="single" w:sz="6" w:space="0" w:color="auto"/>
            </w:tcBorders>
            <w:shd w:val="clear" w:color="auto" w:fill="B4C6E7"/>
            <w:hideMark/>
          </w:tcPr>
          <w:p w14:paraId="1BAB30A5"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Resumen de recomendaciones </w:t>
            </w:r>
          </w:p>
        </w:tc>
        <w:tc>
          <w:tcPr>
            <w:tcW w:w="1584" w:type="dxa"/>
            <w:tcBorders>
              <w:top w:val="single" w:sz="6" w:space="0" w:color="auto"/>
              <w:left w:val="single" w:sz="6" w:space="0" w:color="auto"/>
              <w:bottom w:val="single" w:sz="6" w:space="0" w:color="auto"/>
              <w:right w:val="single" w:sz="6" w:space="0" w:color="auto"/>
            </w:tcBorders>
            <w:shd w:val="clear" w:color="auto" w:fill="B4C6E7"/>
            <w:hideMark/>
          </w:tcPr>
          <w:p w14:paraId="1175F0E7"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Respuesta de la Dirección </w:t>
            </w:r>
          </w:p>
        </w:tc>
        <w:tc>
          <w:tcPr>
            <w:tcW w:w="2469" w:type="dxa"/>
            <w:tcBorders>
              <w:top w:val="single" w:sz="6" w:space="0" w:color="auto"/>
              <w:left w:val="single" w:sz="6" w:space="0" w:color="auto"/>
              <w:bottom w:val="single" w:sz="6" w:space="0" w:color="auto"/>
              <w:right w:val="single" w:sz="6" w:space="0" w:color="auto"/>
            </w:tcBorders>
            <w:shd w:val="clear" w:color="auto" w:fill="B4C6E7"/>
            <w:hideMark/>
          </w:tcPr>
          <w:p w14:paraId="74A781EA"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Medidas de la Dirección </w:t>
            </w:r>
          </w:p>
        </w:tc>
        <w:tc>
          <w:tcPr>
            <w:tcW w:w="1358" w:type="dxa"/>
            <w:tcBorders>
              <w:top w:val="single" w:sz="6" w:space="0" w:color="auto"/>
              <w:left w:val="single" w:sz="6" w:space="0" w:color="auto"/>
              <w:bottom w:val="single" w:sz="6" w:space="0" w:color="auto"/>
              <w:right w:val="single" w:sz="6" w:space="0" w:color="auto"/>
            </w:tcBorders>
            <w:shd w:val="clear" w:color="auto" w:fill="B4C6E7"/>
            <w:hideMark/>
          </w:tcPr>
          <w:p w14:paraId="592FF075"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Comentario de los auditores </w:t>
            </w:r>
          </w:p>
        </w:tc>
        <w:tc>
          <w:tcPr>
            <w:tcW w:w="1139" w:type="dxa"/>
            <w:tcBorders>
              <w:top w:val="single" w:sz="6" w:space="0" w:color="auto"/>
              <w:left w:val="single" w:sz="6" w:space="0" w:color="auto"/>
              <w:bottom w:val="single" w:sz="6" w:space="0" w:color="auto"/>
              <w:right w:val="single" w:sz="6" w:space="0" w:color="auto"/>
            </w:tcBorders>
            <w:shd w:val="clear" w:color="auto" w:fill="B4C6E7"/>
            <w:hideMark/>
          </w:tcPr>
          <w:p w14:paraId="1F289B7D" w14:textId="77777777" w:rsidR="00556285" w:rsidRPr="0041782C" w:rsidRDefault="00556285" w:rsidP="006A09FF">
            <w:pPr>
              <w:spacing w:before="60" w:after="60"/>
              <w:ind w:left="57" w:right="57"/>
              <w:jc w:val="center"/>
              <w:textAlignment w:val="baseline"/>
              <w:rPr>
                <w:rFonts w:eastAsia="Times New Roman"/>
                <w:b/>
                <w:sz w:val="16"/>
                <w:szCs w:val="16"/>
                <w:lang w:val="es-419"/>
              </w:rPr>
            </w:pPr>
            <w:r w:rsidRPr="0041782C">
              <w:rPr>
                <w:b/>
                <w:sz w:val="16"/>
                <w:lang w:val="es-419"/>
              </w:rPr>
              <w:t>Estado </w:t>
            </w:r>
          </w:p>
        </w:tc>
      </w:tr>
      <w:tr w:rsidR="00556285" w:rsidRPr="0041782C" w14:paraId="75331021" w14:textId="77777777" w:rsidTr="006A09FF">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35F0E2A1"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b/>
                <w:sz w:val="16"/>
                <w:lang w:val="es-419"/>
              </w:rPr>
              <w:t>Informe de auditoría del ejercicio cerrado a 31 de diciembre de 2023 </w:t>
            </w:r>
            <w:r w:rsidRPr="0041782C">
              <w:rPr>
                <w:sz w:val="16"/>
                <w:lang w:val="es-419"/>
              </w:rPr>
              <w:t>  </w:t>
            </w:r>
          </w:p>
        </w:tc>
      </w:tr>
      <w:tr w:rsidR="00556285" w:rsidRPr="0041782C" w14:paraId="1C6727BE" w14:textId="77777777" w:rsidTr="006A09FF">
        <w:trPr>
          <w:trHeight w:val="300"/>
          <w:jc w:val="center"/>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42FEB36E"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2023 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0365D1A"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Informe de auditoría 2023  </w:t>
            </w:r>
          </w:p>
          <w:p w14:paraId="009E75A2"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5E5746B" w14:textId="239A3D65" w:rsidR="00556285" w:rsidRPr="0041782C" w:rsidRDefault="00556285" w:rsidP="0041782C">
            <w:pPr>
              <w:spacing w:before="60" w:after="60"/>
              <w:ind w:left="57" w:right="57"/>
              <w:textAlignment w:val="baseline"/>
              <w:rPr>
                <w:rFonts w:eastAsia="Times New Roman"/>
                <w:sz w:val="16"/>
                <w:szCs w:val="16"/>
                <w:lang w:val="es-419"/>
              </w:rPr>
            </w:pPr>
            <w:r w:rsidRPr="0041782C">
              <w:rPr>
                <w:sz w:val="16"/>
                <w:lang w:val="es-419"/>
              </w:rPr>
              <w:t>Ninguna recomendación emitida en el informe de auditoría de 2023.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3EAFF600"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F7D42A0"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0371F229"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4563B016"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r>
      <w:tr w:rsidR="00556285" w:rsidRPr="0041782C" w14:paraId="248ACDFC" w14:textId="77777777" w:rsidTr="006A09FF">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3C6C5F24"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b/>
                <w:sz w:val="16"/>
                <w:lang w:val="es-419"/>
              </w:rPr>
              <w:t>Informe de auditoría del ejercicio cerrado a 31 de diciembre de 2022</w:t>
            </w:r>
            <w:r w:rsidRPr="0041782C">
              <w:rPr>
                <w:sz w:val="16"/>
                <w:lang w:val="es-419"/>
              </w:rPr>
              <w:t> </w:t>
            </w:r>
          </w:p>
        </w:tc>
      </w:tr>
      <w:tr w:rsidR="00556285" w:rsidRPr="0041782C" w14:paraId="723B36C4" w14:textId="77777777" w:rsidTr="006A09FF">
        <w:trPr>
          <w:trHeight w:val="300"/>
          <w:jc w:val="center"/>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C0CF138"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2022 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78EE5C9"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Informe de auditoría 2022, recomendación n.° 2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0120DF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Considerar la ampliación del actual programa de conflictos para incluir a los cónyuges y familiares cercanos.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2FAF5EB4"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De acuerdo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5D0F74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Secretaría llevó a cabo una evaluación de riesgos en 2024, en la que se comparó el conjunto existente de obligaciones de confidencialidad y divulgación con el riesgo percibido.</w:t>
            </w:r>
          </w:p>
          <w:p w14:paraId="6CAB617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Además, emprendió una revisión de las mejores prácticas para abordar la gestión de posibles conflictos.  La ampliación del programa de divulgación de intereses financieros y de otro tipo de la Organización fue aprobada por el Grupo de Gestión de Riesgos en noviembre de 2024.</w:t>
            </w:r>
          </w:p>
          <w:p w14:paraId="3FD90C8E" w14:textId="6F32162B" w:rsidR="00556285" w:rsidRPr="0041782C" w:rsidRDefault="00556285" w:rsidP="0041782C">
            <w:pPr>
              <w:spacing w:before="60" w:after="60"/>
              <w:ind w:left="57" w:right="57"/>
              <w:textAlignment w:val="baseline"/>
              <w:rPr>
                <w:rFonts w:eastAsia="Times New Roman"/>
                <w:sz w:val="16"/>
                <w:szCs w:val="16"/>
                <w:lang w:val="es-419"/>
              </w:rPr>
            </w:pPr>
            <w:r w:rsidRPr="0041782C">
              <w:rPr>
                <w:sz w:val="16"/>
                <w:lang w:val="es-419"/>
              </w:rPr>
              <w:t>Posteriormente, la Secretaría adoptó una serie de medidas, entre ellas una revisión exhaustiva y una actualización de las políticas y directrices de la Organización relativas a la divulgación de intereses financieros y de otro tipo, la elaboración de un cuestionario y su integración en el actual sistema informático, destinado a los funcionarios que manejan información confidencial sobre PI, incluidos cónyuges y familiares cercanos.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04C3852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Teniendo en cuenta las medidas adoptadas por la Secretaría al respecto, consideramos que esta recomendación ha sido aplicada. </w:t>
            </w:r>
          </w:p>
          <w:p w14:paraId="5BD7A2F3" w14:textId="77777777" w:rsidR="00556285" w:rsidRPr="0041782C" w:rsidRDefault="00556285" w:rsidP="006A09FF">
            <w:pPr>
              <w:textAlignment w:val="baseline"/>
              <w:rPr>
                <w:rFonts w:eastAsia="Times New Roman"/>
                <w:sz w:val="16"/>
                <w:szCs w:val="16"/>
                <w:lang w:val="es-419"/>
              </w:rPr>
            </w:pPr>
            <w:r w:rsidRPr="0041782C">
              <w:rPr>
                <w:sz w:val="16"/>
                <w:lang w:val="es-419"/>
              </w:rPr>
              <w:t> </w:t>
            </w:r>
          </w:p>
          <w:p w14:paraId="7A931B31"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8871B9C" w14:textId="77777777" w:rsidR="00556285" w:rsidRPr="0041782C" w:rsidRDefault="00556285" w:rsidP="006A09FF">
            <w:pPr>
              <w:spacing w:before="60" w:after="60"/>
              <w:ind w:left="57" w:right="57"/>
              <w:textAlignment w:val="baseline"/>
              <w:rPr>
                <w:rFonts w:eastAsia="Times New Roman"/>
                <w:b/>
                <w:sz w:val="16"/>
                <w:szCs w:val="16"/>
                <w:lang w:val="es-419"/>
              </w:rPr>
            </w:pPr>
            <w:r w:rsidRPr="0041782C">
              <w:rPr>
                <w:b/>
                <w:sz w:val="16"/>
                <w:lang w:val="es-419"/>
              </w:rPr>
              <w:t>Aplicada</w:t>
            </w:r>
          </w:p>
        </w:tc>
      </w:tr>
      <w:tr w:rsidR="00556285" w:rsidRPr="0041782C" w14:paraId="48736B99" w14:textId="77777777" w:rsidTr="006A09FF">
        <w:trPr>
          <w:trHeight w:val="300"/>
          <w:jc w:val="center"/>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64B0EA39"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21671A2"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Informe de auditoría 2022, recomendación n.° 3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2124764"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Considerar la necesidad de ofrecer orientación sobre ética profesional en los conflictos relacionados con la PI y la forma en que esos conflictos se reflejan en el actual programa de divulgación de conflictos.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249A4C3"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De acuerdo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0E42BA1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Además de la ampliación descrita en la observación n.° 2 de 2022, la Secretaría ha celebrado sesiones de información para el personal interesado y ha creado una nueva página en la intranet, en la que se abordan específicamente los conflictos reales, potenciales o percibidos relacionados con la PI, y que incluye las políticas y directrices revisadas, orientaciones prácticas y preguntas frecuentes, además de conectarse con el programa ampliado sobre conflictos.  </w:t>
            </w:r>
          </w:p>
          <w:p w14:paraId="30E9B18A"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104CC2EB"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Tomamos nota de la respuesta actualizada de la Secretaría, que aborda la cuestión planteada.   </w:t>
            </w:r>
          </w:p>
          <w:p w14:paraId="6BDE654B"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4DE0E9BA" w14:textId="77777777" w:rsidR="00556285" w:rsidRPr="0041782C" w:rsidRDefault="00556285" w:rsidP="006A09FF">
            <w:pPr>
              <w:spacing w:before="60" w:after="60"/>
              <w:ind w:left="57" w:right="57"/>
              <w:textAlignment w:val="baseline"/>
              <w:rPr>
                <w:rFonts w:eastAsia="Times New Roman"/>
                <w:b/>
                <w:sz w:val="16"/>
                <w:szCs w:val="16"/>
                <w:lang w:val="es-419"/>
              </w:rPr>
            </w:pPr>
            <w:r w:rsidRPr="0041782C">
              <w:rPr>
                <w:b/>
                <w:sz w:val="16"/>
                <w:lang w:val="es-419"/>
              </w:rPr>
              <w:t>Aplicada </w:t>
            </w:r>
          </w:p>
        </w:tc>
      </w:tr>
    </w:tbl>
    <w:p w14:paraId="0EF39D0F" w14:textId="77777777" w:rsidR="00556285" w:rsidRPr="0041782C" w:rsidRDefault="00556285" w:rsidP="00556285">
      <w:pPr>
        <w:spacing w:before="60" w:after="60"/>
        <w:ind w:left="57" w:right="57"/>
        <w:textAlignment w:val="baseline"/>
        <w:rPr>
          <w:rFonts w:eastAsia="Times New Roman"/>
          <w:sz w:val="16"/>
          <w:szCs w:val="16"/>
          <w:lang w:val="es-419" w:eastAsia="en-GB"/>
        </w:rPr>
        <w:sectPr w:rsidR="00556285" w:rsidRPr="0041782C" w:rsidSect="0041782C">
          <w:headerReference w:type="default" r:id="rId39"/>
          <w:footerReference w:type="even" r:id="rId40"/>
          <w:footerReference w:type="first" r:id="rId41"/>
          <w:pgSz w:w="11906" w:h="16838"/>
          <w:pgMar w:top="1702" w:right="1701" w:bottom="1701" w:left="2268" w:header="708" w:footer="708" w:gutter="0"/>
          <w:cols w:space="708"/>
          <w:docGrid w:linePitch="360"/>
        </w:sectPr>
      </w:pPr>
    </w:p>
    <w:tbl>
      <w:tblPr>
        <w:tblW w:w="104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556285" w:rsidRPr="0041782C" w14:paraId="33C944D2" w14:textId="77777777" w:rsidTr="006A09FF">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32DCFF13"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lastRenderedPageBreak/>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3323F5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Informe de auditoría 2022 </w:t>
            </w:r>
          </w:p>
          <w:p w14:paraId="19B4B25E"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Recomendación n.° 4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42B77BF"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Realizar un estudio detallado de la utilización del espacio para elaborar una estrategia general de bienes que responda a las necesidades de la sede central y las oficinas en el exterior.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529DABAF"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De acuerdo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05D0357D"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En octubre de 2024, la Secretaría encargó a una empresa experta que evaluara el estado de los bienes inmuebles y la utilización de las instalaciones.</w:t>
            </w:r>
          </w:p>
          <w:p w14:paraId="1FA0B8E1"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fecha de vencimiento revisada de la recomendación es el 30 de junio de 2025.  </w:t>
            </w:r>
          </w:p>
          <w:p w14:paraId="73E1599D"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2737DFF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Tomamos nota de la futura fecha de aplicación de esta recomendación por parte de la Organización y examinaremos el estado en la próxima auditoría.  </w:t>
            </w:r>
          </w:p>
          <w:p w14:paraId="25989B71"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A90102B" w14:textId="77777777" w:rsidR="00556285" w:rsidRPr="0041782C" w:rsidRDefault="00556285" w:rsidP="006A09FF">
            <w:pPr>
              <w:spacing w:before="60" w:after="60"/>
              <w:ind w:left="57" w:right="57"/>
              <w:textAlignment w:val="baseline"/>
              <w:rPr>
                <w:rFonts w:eastAsia="Times New Roman"/>
                <w:b/>
                <w:sz w:val="16"/>
                <w:szCs w:val="16"/>
                <w:lang w:val="es-419"/>
              </w:rPr>
            </w:pPr>
            <w:r w:rsidRPr="0041782C">
              <w:rPr>
                <w:b/>
                <w:sz w:val="16"/>
                <w:lang w:val="es-419"/>
              </w:rPr>
              <w:t>En curso </w:t>
            </w:r>
          </w:p>
        </w:tc>
      </w:tr>
      <w:tr w:rsidR="00556285" w:rsidRPr="0041782C" w14:paraId="413E6B83" w14:textId="77777777" w:rsidTr="006A09FF">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4B62082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0ADF8E2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Informe de auditoría 2022 </w:t>
            </w:r>
          </w:p>
          <w:p w14:paraId="3D5DE4D5"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Recomendación n.° 5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62097B8"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Una vez estudiadas sus necesidades, elaborar una estrategia global de patrimonio que muestre cómo el patrimonio contribuirá a la prestación de servicios eficientes y eficaces. </w:t>
            </w:r>
          </w:p>
          <w:p w14:paraId="3B694D9A" w14:textId="77777777" w:rsidR="00556285" w:rsidRPr="0041782C" w:rsidRDefault="00556285" w:rsidP="006A09FF">
            <w:pPr>
              <w:spacing w:before="60" w:after="60"/>
              <w:ind w:left="57" w:right="57"/>
              <w:textAlignment w:val="baseline"/>
              <w:rPr>
                <w:rFonts w:eastAsia="Times New Roman"/>
                <w:sz w:val="16"/>
                <w:szCs w:val="16"/>
                <w:lang w:val="es-419" w:eastAsia="en-GB"/>
              </w:rPr>
            </w:pP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51D2EC0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De acuerdo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23B5B5A4"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En octubre de 2024, la Secretaría encargó a una empresa experta que evaluara el estado de los bienes inmuebles y la utilización de las instalaciones.   </w:t>
            </w:r>
          </w:p>
          <w:p w14:paraId="0D061A0A"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fecha de aplicación se ha fijado en el 30 de junio de 2025. </w:t>
            </w:r>
          </w:p>
          <w:p w14:paraId="3E21B3B8"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2DF87BA0"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Tomamos nota de la respuesta y revisaremos la estrategia cuando esté finalizada.  </w:t>
            </w:r>
          </w:p>
          <w:p w14:paraId="30AB848A"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F086CB0" w14:textId="77777777" w:rsidR="00556285" w:rsidRPr="0041782C" w:rsidRDefault="00556285" w:rsidP="006A09FF">
            <w:pPr>
              <w:spacing w:before="60" w:after="60"/>
              <w:ind w:left="57" w:right="57"/>
              <w:textAlignment w:val="baseline"/>
              <w:rPr>
                <w:rFonts w:eastAsia="Times New Roman"/>
                <w:b/>
                <w:sz w:val="16"/>
                <w:szCs w:val="16"/>
                <w:lang w:val="es-419"/>
              </w:rPr>
            </w:pPr>
            <w:r w:rsidRPr="0041782C">
              <w:rPr>
                <w:b/>
                <w:sz w:val="16"/>
                <w:lang w:val="es-419"/>
              </w:rPr>
              <w:t>En curso </w:t>
            </w:r>
          </w:p>
        </w:tc>
      </w:tr>
      <w:tr w:rsidR="00556285" w:rsidRPr="0041782C" w14:paraId="151FAB65" w14:textId="77777777" w:rsidTr="006A09FF">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12AF56AF"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B9D4619"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Informe de auditoría 2022 </w:t>
            </w:r>
          </w:p>
          <w:p w14:paraId="0B9714B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Recomendación n.° 6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E0245B0"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Incluir en el informe anual un cuadro equilibrado de indicadores de sostenibilidad y rendimiento.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83833E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De acuerdo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1F2CCD69"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Tras la publicación en octubre de 2024 del proyecto de normas de información sobre sostenibilidad por parte del Consejo de las IPSAS, relativo a la divulgación de información sobre el clima, la Organización entabló conversaciones con la Red de Finanzas y Presupuesto de las Naciones Unidas, la cual creó un grupo de trabajo encargado de preparar comentarios sobre el proyecto de normas.  </w:t>
            </w:r>
          </w:p>
          <w:p w14:paraId="14D1058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La Organización también ha participado en el foro sobre aplicación de la sostenibilidad, organizado por el Consejo de las IPSAS, y ha elaborado un lista de los requisitos en materia de divulgación de información que figuran actualmente en el proyecto de normas. El período para formular observaciones sobre el proyecto de normas finalizó en febrero de 2025. Los comentarios del sistema común de las Naciones Unidas sobre el proyecto de normas relativas a la divulgación de información sobre el clima se facilitaron al Consejo de las IPSAS en febrero de 2025. Según el programa de trabajo del Consejo de las IPSAS, se prevé una norma definitiva hacia finales de 2025. El Grupo de Trabajo de las Naciones Unidas sobre Normas de Contabilidad examinará y estudiará la norma y emitirá directrices de aplicación que la Organización </w:t>
            </w:r>
            <w:r w:rsidRPr="0041782C">
              <w:rPr>
                <w:sz w:val="16"/>
                <w:lang w:val="es-419"/>
              </w:rPr>
              <w:lastRenderedPageBreak/>
              <w:t>utilizará para establecer la información que deberá figurar en los estados financieros. La Organización aplicará la norma con arreglo a la fecha de entrada en vigor. La aplicación de la norma prevista dará lugar a la aplicación de la recomendación.  </w:t>
            </w:r>
          </w:p>
          <w:p w14:paraId="31CE7B84"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fecha de vencimiento revisada de la recomendación es el 31 de diciembre de 2025.  </w:t>
            </w:r>
          </w:p>
          <w:p w14:paraId="59653E82" w14:textId="77777777" w:rsidR="00556285" w:rsidRPr="0041782C" w:rsidRDefault="00556285" w:rsidP="006A09FF">
            <w:pPr>
              <w:spacing w:before="60" w:after="60"/>
              <w:ind w:left="57" w:right="57"/>
              <w:textAlignment w:val="baseline"/>
              <w:rPr>
                <w:rFonts w:eastAsia="Times New Roman"/>
                <w:sz w:val="16"/>
                <w:szCs w:val="16"/>
                <w:lang w:val="es-419" w:eastAsia="en-GB"/>
              </w:rPr>
            </w:pP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1C1BECFA"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lastRenderedPageBreak/>
              <w:t>Tomamos nota de la participación de la Organización en el proyecto de normas de información sobre sostenibilidad del Consejo de las IPSAS, relativo a la divulgación de información sobre el clima, así como de la voluntad expresada por la Secretaría de aplicar la norma correspondiente.  </w:t>
            </w:r>
          </w:p>
          <w:p w14:paraId="765EEDF0"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Volveremos a evaluar el estado de su aplicación una vez que se haya ultimado la norma.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2DAF617" w14:textId="77777777" w:rsidR="00556285" w:rsidRPr="0041782C" w:rsidRDefault="00556285" w:rsidP="006A09FF">
            <w:pPr>
              <w:spacing w:before="60" w:after="60"/>
              <w:ind w:left="57" w:right="57"/>
              <w:textAlignment w:val="baseline"/>
              <w:rPr>
                <w:rFonts w:eastAsia="Times New Roman"/>
                <w:b/>
                <w:sz w:val="16"/>
                <w:szCs w:val="16"/>
                <w:lang w:val="es-419"/>
              </w:rPr>
            </w:pPr>
            <w:r w:rsidRPr="0041782C">
              <w:rPr>
                <w:b/>
                <w:sz w:val="16"/>
                <w:lang w:val="es-419"/>
              </w:rPr>
              <w:t>En curso </w:t>
            </w:r>
          </w:p>
        </w:tc>
      </w:tr>
      <w:tr w:rsidR="00556285" w:rsidRPr="0041782C" w14:paraId="260CB662" w14:textId="77777777" w:rsidTr="006A09FF">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7AFF0FC3"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b/>
                <w:sz w:val="16"/>
                <w:lang w:val="es-419"/>
              </w:rPr>
              <w:t>Informe de auditoría del ejercicio cerrado a 31 de diciembre de 2021</w:t>
            </w:r>
            <w:r w:rsidRPr="0041782C">
              <w:rPr>
                <w:sz w:val="16"/>
                <w:lang w:val="es-419"/>
              </w:rPr>
              <w:t> </w:t>
            </w:r>
          </w:p>
        </w:tc>
      </w:tr>
      <w:tr w:rsidR="00556285" w:rsidRPr="0041782C" w14:paraId="730436E2" w14:textId="77777777" w:rsidTr="006A09FF">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50BDA1E5"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2021 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15F8B54C"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Informe de auditoría 2021 </w:t>
            </w:r>
          </w:p>
          <w:p w14:paraId="014FD5B1"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Recomendación n.° 2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EC599CD"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Elaborar una estrategia integral de desarrollo y despliegue de análisis de datos que responda a las necesidades de todos los usuarios de la Organización y cree sinergias en materia de formación y apoyo.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2DAA37A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recomendación fue aceptada y se estableció un plan inicial para implantar el análisis de datos en 2022 y 2023 de acuerdo con la estrategia y la hoja de ruta.  </w:t>
            </w:r>
          </w:p>
          <w:p w14:paraId="7625A927"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La estrategia incluye la elaboración de análisis aplicables a toda la Organización, incluidas las adquisiciones (División de Adquisiciones y Viajes), la gestión de recursos humanos (Departamento de Gestión de Recursos Humanos) y las finanzas (Departamento de Planificación de Programas y Finanzas). </w:t>
            </w:r>
          </w:p>
          <w:p w14:paraId="1DD732CF"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Además, hay un debate en curso con la División de Supervisión Interna (DSI) para crear sinergias. La DSI también realiza auditorías de forma continua y comparte los resultados con la Dirección.</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63C4E991"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Se ha aprobado un planteamiento y una estrategia integrales de análisis de datos para las funciones de segundo nivel. La estrategia abarca datos de toda la Organización, incluidos los sistemas de planificación de recursos financieros, presupuestarios y humanos, así como la gestión de riesgos, la contratación de personal y la División de Supervisión Interna.   </w:t>
            </w:r>
          </w:p>
          <w:p w14:paraId="14414CA0"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La primera fase de implantación ha quedado plasmada en una nueva plataforma de datos, que agrupa datos de finanzas, recursos humanos, adquisiciones y presupuestos, y en una interfaz de visualización.  Con respecto al objetivo de probar el sistema con 20 análisis a finales de 2024, actualmente hay 53 en el entorno de producción.   </w:t>
            </w:r>
          </w:p>
          <w:p w14:paraId="28254DA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El desarrollo de los análisis en toda la organización es una iniciativa en curso, que está previsto que continúe durante los próximos años, con el fin de satisfacer las necesidades de todos los usuarios de la Organización y crear sinergias en materia de formación y apoyo. </w:t>
            </w:r>
          </w:p>
          <w:p w14:paraId="3A20A3A2" w14:textId="77777777" w:rsidR="00556285" w:rsidRPr="0041782C" w:rsidRDefault="00556285" w:rsidP="006A09FF">
            <w:pPr>
              <w:spacing w:before="60" w:after="60"/>
              <w:ind w:left="57" w:right="57"/>
              <w:textAlignment w:val="baseline"/>
              <w:rPr>
                <w:rFonts w:eastAsia="Times New Roman"/>
                <w:sz w:val="16"/>
                <w:szCs w:val="16"/>
                <w:lang w:val="es-419"/>
              </w:rPr>
            </w:pPr>
          </w:p>
          <w:p w14:paraId="11325EE3" w14:textId="77777777" w:rsidR="00556285" w:rsidRPr="0041782C" w:rsidRDefault="00556285" w:rsidP="006A09FF">
            <w:pPr>
              <w:spacing w:before="60" w:after="60"/>
              <w:ind w:left="57" w:right="57"/>
              <w:textAlignment w:val="baseline"/>
              <w:rPr>
                <w:rFonts w:eastAsia="Times New Roman"/>
                <w:sz w:val="16"/>
                <w:szCs w:val="16"/>
                <w:lang w:val="es-419"/>
              </w:rPr>
            </w:pPr>
          </w:p>
          <w:p w14:paraId="546EE68E" w14:textId="77777777" w:rsidR="00556285" w:rsidRPr="0041782C" w:rsidRDefault="00556285" w:rsidP="006A09FF">
            <w:pPr>
              <w:textAlignment w:val="baseline"/>
              <w:rPr>
                <w:rFonts w:eastAsia="Times New Roman"/>
                <w:sz w:val="16"/>
                <w:szCs w:val="16"/>
                <w:lang w:val="es-419"/>
              </w:rPr>
            </w:pPr>
            <w:r w:rsidRPr="0041782C">
              <w:rPr>
                <w:sz w:val="16"/>
                <w:lang w:val="es-419"/>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3D8FC95A"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 xml:space="preserve">Constatamos que la Organización trabaja en la elaboración de una estrategia integral para desarrollar e implantar análisis de datos que respondan a las necesidades de todos los usuarios de la Organización. </w:t>
            </w:r>
          </w:p>
          <w:p w14:paraId="502C4D86"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sz w:val="16"/>
                <w:lang w:val="es-419"/>
              </w:rPr>
              <w:t>Concluimos que la recomendación se ha aplicado plenamente.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4EA6E0A0" w14:textId="77777777" w:rsidR="00556285" w:rsidRPr="0041782C" w:rsidRDefault="00556285" w:rsidP="006A09FF">
            <w:pPr>
              <w:spacing w:before="60" w:after="60"/>
              <w:ind w:left="57" w:right="57"/>
              <w:textAlignment w:val="baseline"/>
              <w:rPr>
                <w:rFonts w:eastAsia="Times New Roman"/>
                <w:sz w:val="16"/>
                <w:szCs w:val="16"/>
                <w:lang w:val="es-419"/>
              </w:rPr>
            </w:pPr>
            <w:r w:rsidRPr="0041782C">
              <w:rPr>
                <w:b/>
                <w:sz w:val="16"/>
                <w:lang w:val="es-419"/>
              </w:rPr>
              <w:t>Aplicada</w:t>
            </w:r>
            <w:r w:rsidRPr="0041782C">
              <w:rPr>
                <w:sz w:val="16"/>
                <w:lang w:val="es-419"/>
              </w:rPr>
              <w:t> </w:t>
            </w:r>
          </w:p>
        </w:tc>
      </w:tr>
    </w:tbl>
    <w:p w14:paraId="03BA775D" w14:textId="77777777" w:rsidR="00556285" w:rsidRPr="0041782C" w:rsidRDefault="00556285" w:rsidP="00556285">
      <w:pPr>
        <w:rPr>
          <w:rFonts w:ascii="Times New Roman" w:hAnsi="Times New Roman" w:cs="Times New Roman"/>
          <w:b/>
          <w:bCs/>
          <w:szCs w:val="22"/>
          <w:lang w:val="es-419"/>
        </w:rPr>
        <w:sectPr w:rsidR="00556285" w:rsidRPr="0041782C" w:rsidSect="00556285">
          <w:headerReference w:type="default" r:id="rId42"/>
          <w:type w:val="continuous"/>
          <w:pgSz w:w="11906" w:h="16838"/>
          <w:pgMar w:top="2268" w:right="1701" w:bottom="1701" w:left="2268" w:header="708" w:footer="708" w:gutter="0"/>
          <w:pgNumType w:start="2"/>
          <w:cols w:space="708"/>
          <w:docGrid w:linePitch="360"/>
        </w:sectPr>
      </w:pPr>
      <w:r w:rsidRPr="0041782C">
        <w:rPr>
          <w:lang w:val="es-419"/>
        </w:rPr>
        <w:br w:type="page"/>
      </w:r>
    </w:p>
    <w:p w14:paraId="2381D69F" w14:textId="77777777" w:rsidR="00556285" w:rsidRPr="0041782C" w:rsidRDefault="00556285" w:rsidP="0041782C">
      <w:pPr>
        <w:pStyle w:val="Heading1"/>
        <w:keepLines/>
        <w:spacing w:before="360" w:after="80" w:line="280" w:lineRule="exact"/>
        <w:jc w:val="both"/>
        <w:rPr>
          <w:rFonts w:ascii="Times New Roman" w:eastAsiaTheme="majorEastAsia" w:hAnsi="Times New Roman" w:cstheme="majorBidi"/>
          <w:bCs w:val="0"/>
          <w:caps w:val="0"/>
          <w:color w:val="000000" w:themeColor="text1"/>
          <w:kern w:val="2"/>
          <w:sz w:val="28"/>
          <w:szCs w:val="40"/>
          <w:lang w:val="es-419" w:eastAsia="en-US"/>
          <w14:ligatures w14:val="standardContextual"/>
        </w:rPr>
      </w:pPr>
      <w:bookmarkStart w:id="135" w:name="_Toc198742590"/>
      <w:r w:rsidRPr="0041782C">
        <w:rPr>
          <w:rFonts w:ascii="Times New Roman" w:eastAsiaTheme="majorEastAsia" w:hAnsi="Times New Roman" w:cstheme="majorBidi"/>
          <w:bCs w:val="0"/>
          <w:caps w:val="0"/>
          <w:color w:val="000000" w:themeColor="text1"/>
          <w:kern w:val="2"/>
          <w:sz w:val="28"/>
          <w:szCs w:val="40"/>
          <w:lang w:val="es-419" w:eastAsia="en-US"/>
          <w14:ligatures w14:val="standardContextual"/>
        </w:rPr>
        <w:lastRenderedPageBreak/>
        <w:t>Anexo 2: Lista de siglas</w:t>
      </w:r>
      <w:bookmarkEnd w:id="135"/>
    </w:p>
    <w:p w14:paraId="47134F34" w14:textId="77777777" w:rsidR="00556285" w:rsidRPr="0041782C" w:rsidRDefault="00556285" w:rsidP="00556285">
      <w:pPr>
        <w:rPr>
          <w:rFonts w:ascii="Times New Roman" w:hAnsi="Times New Roman" w:cs="Times New Roman"/>
          <w:highlight w:val="yellow"/>
          <w:lang w:val="es-419"/>
        </w:rPr>
      </w:pPr>
    </w:p>
    <w:tbl>
      <w:tblPr>
        <w:tblStyle w:val="TableGrid"/>
        <w:tblW w:w="9072" w:type="dxa"/>
        <w:tblLook w:val="04A0" w:firstRow="1" w:lastRow="0" w:firstColumn="1" w:lastColumn="0" w:noHBand="0" w:noVBand="1"/>
      </w:tblPr>
      <w:tblGrid>
        <w:gridCol w:w="1985"/>
        <w:gridCol w:w="283"/>
        <w:gridCol w:w="6804"/>
      </w:tblGrid>
      <w:tr w:rsidR="00556285" w:rsidRPr="0041782C" w14:paraId="579B4494" w14:textId="77777777" w:rsidTr="0041782C">
        <w:tc>
          <w:tcPr>
            <w:tcW w:w="1985" w:type="dxa"/>
            <w:tcBorders>
              <w:top w:val="none" w:sz="4" w:space="0" w:color="000000"/>
              <w:left w:val="none" w:sz="4" w:space="0" w:color="000000"/>
              <w:bottom w:val="none" w:sz="4" w:space="0" w:color="000000"/>
              <w:right w:val="none" w:sz="4" w:space="0" w:color="000000"/>
            </w:tcBorders>
            <w:shd w:val="clear" w:color="auto" w:fill="auto"/>
          </w:tcPr>
          <w:p w14:paraId="4AD255A2"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IA</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022BF63B"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shd w:val="clear" w:color="auto" w:fill="auto"/>
          </w:tcPr>
          <w:p w14:paraId="6B91E8C2" w14:textId="77777777" w:rsidR="00556285" w:rsidRPr="0041782C" w:rsidRDefault="00556285" w:rsidP="006A09FF">
            <w:pPr>
              <w:spacing w:after="81"/>
              <w:rPr>
                <w:rFonts w:ascii="Times New Roman" w:eastAsia="Times New Roman" w:hAnsi="Times New Roman" w:cs="Times New Roman"/>
                <w:lang w:val="es-419"/>
              </w:rPr>
            </w:pPr>
            <w:r w:rsidRPr="0041782C">
              <w:rPr>
                <w:rStyle w:val="normaltextrun"/>
                <w:rFonts w:ascii="Times New Roman" w:hAnsi="Times New Roman"/>
                <w:lang w:val="es-419"/>
              </w:rPr>
              <w:t>Inteligencia artificial</w:t>
            </w:r>
          </w:p>
        </w:tc>
      </w:tr>
      <w:tr w:rsidR="00556285" w:rsidRPr="0041782C" w14:paraId="78E36917" w14:textId="77777777" w:rsidTr="0041782C">
        <w:tc>
          <w:tcPr>
            <w:tcW w:w="1985" w:type="dxa"/>
            <w:tcBorders>
              <w:top w:val="none" w:sz="4" w:space="0" w:color="000000"/>
              <w:left w:val="none" w:sz="4" w:space="0" w:color="000000"/>
              <w:bottom w:val="none" w:sz="4" w:space="0" w:color="000000"/>
              <w:right w:val="none" w:sz="4" w:space="0" w:color="000000"/>
            </w:tcBorders>
            <w:shd w:val="clear" w:color="auto" w:fill="auto"/>
          </w:tcPr>
          <w:p w14:paraId="7AA2B41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 xml:space="preserve">AIMS </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4EE487EA"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shd w:val="clear" w:color="auto" w:fill="auto"/>
          </w:tcPr>
          <w:p w14:paraId="303EEBA8"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Sistema integrado de gestión administrativa</w:t>
            </w:r>
          </w:p>
        </w:tc>
      </w:tr>
      <w:tr w:rsidR="00556285" w:rsidRPr="0041782C" w14:paraId="6EA1C983" w14:textId="77777777" w:rsidTr="0041782C">
        <w:tc>
          <w:tcPr>
            <w:tcW w:w="1985" w:type="dxa"/>
            <w:tcBorders>
              <w:top w:val="none" w:sz="4" w:space="0" w:color="000000"/>
              <w:left w:val="none" w:sz="4" w:space="0" w:color="000000"/>
              <w:bottom w:val="none" w:sz="4" w:space="0" w:color="000000"/>
              <w:right w:val="none" w:sz="4" w:space="0" w:color="000000"/>
            </w:tcBorders>
            <w:shd w:val="clear" w:color="auto" w:fill="auto"/>
          </w:tcPr>
          <w:p w14:paraId="4743881F"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ATAC</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04C9F557"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shd w:val="clear" w:color="auto" w:fill="auto"/>
          </w:tcPr>
          <w:p w14:paraId="52D5C98B" w14:textId="77777777" w:rsidR="00556285" w:rsidRPr="0041782C" w:rsidRDefault="00556285" w:rsidP="006A09FF">
            <w:pPr>
              <w:spacing w:after="81"/>
              <w:rPr>
                <w:rFonts w:ascii="Times New Roman" w:eastAsiaTheme="majorEastAsia" w:hAnsi="Times New Roman" w:cs="Times New Roman"/>
                <w:lang w:val="es-419"/>
              </w:rPr>
            </w:pPr>
            <w:r w:rsidRPr="0041782C">
              <w:rPr>
                <w:rStyle w:val="normaltextrun"/>
                <w:rFonts w:ascii="Times New Roman" w:hAnsi="Times New Roman"/>
                <w:lang w:val="es-419"/>
              </w:rPr>
              <w:t xml:space="preserve">Centro de Aplicaciones Tecnológicas Avanzadas </w:t>
            </w:r>
          </w:p>
        </w:tc>
      </w:tr>
      <w:tr w:rsidR="00556285" w:rsidRPr="0041782C" w14:paraId="2DC52AEA" w14:textId="77777777" w:rsidTr="0041782C">
        <w:tc>
          <w:tcPr>
            <w:tcW w:w="1985" w:type="dxa"/>
            <w:tcBorders>
              <w:top w:val="none" w:sz="4" w:space="0" w:color="000000"/>
              <w:left w:val="none" w:sz="4" w:space="0" w:color="000000"/>
              <w:bottom w:val="none" w:sz="4" w:space="0" w:color="000000"/>
              <w:right w:val="none" w:sz="4" w:space="0" w:color="000000"/>
            </w:tcBorders>
            <w:shd w:val="clear" w:color="auto" w:fill="auto"/>
          </w:tcPr>
          <w:p w14:paraId="4FBC95A2"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BPK</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0C54930"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shd w:val="clear" w:color="auto" w:fill="auto"/>
          </w:tcPr>
          <w:p w14:paraId="7B956809"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Badan Pemeriksa Keuangan (Tribunal de Cuentas de la República de Indonesia)</w:t>
            </w:r>
          </w:p>
        </w:tc>
      </w:tr>
      <w:tr w:rsidR="00556285" w:rsidRPr="0041782C" w14:paraId="58D2AFE4" w14:textId="77777777" w:rsidTr="0041782C">
        <w:tc>
          <w:tcPr>
            <w:tcW w:w="1985" w:type="dxa"/>
            <w:tcBorders>
              <w:top w:val="none" w:sz="4" w:space="0" w:color="000000"/>
              <w:left w:val="none" w:sz="4" w:space="0" w:color="000000"/>
              <w:bottom w:val="none" w:sz="4" w:space="0" w:color="000000"/>
              <w:right w:val="none" w:sz="4" w:space="0" w:color="000000"/>
            </w:tcBorders>
          </w:tcPr>
          <w:p w14:paraId="000C206A"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CCIS</w:t>
            </w:r>
          </w:p>
        </w:tc>
        <w:tc>
          <w:tcPr>
            <w:tcW w:w="283" w:type="dxa"/>
            <w:tcBorders>
              <w:top w:val="none" w:sz="4" w:space="0" w:color="000000"/>
              <w:left w:val="none" w:sz="4" w:space="0" w:color="000000"/>
              <w:bottom w:val="none" w:sz="4" w:space="0" w:color="000000"/>
              <w:right w:val="none" w:sz="4" w:space="0" w:color="000000"/>
            </w:tcBorders>
          </w:tcPr>
          <w:p w14:paraId="6C4427F8"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0DBE4E68"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 xml:space="preserve">Comisión Consultiva Independiente de Supervisión </w:t>
            </w:r>
          </w:p>
        </w:tc>
      </w:tr>
      <w:tr w:rsidR="00556285" w:rsidRPr="0041782C" w14:paraId="5B16A57F" w14:textId="77777777" w:rsidTr="0041782C">
        <w:tc>
          <w:tcPr>
            <w:tcW w:w="1985" w:type="dxa"/>
            <w:tcBorders>
              <w:top w:val="none" w:sz="4" w:space="0" w:color="000000"/>
              <w:left w:val="none" w:sz="4" w:space="0" w:color="000000"/>
              <w:bottom w:val="none" w:sz="4" w:space="0" w:color="000000"/>
              <w:right w:val="none" w:sz="4" w:space="0" w:color="000000"/>
            </w:tcBorders>
          </w:tcPr>
          <w:p w14:paraId="25B29BF1"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DSI</w:t>
            </w:r>
          </w:p>
        </w:tc>
        <w:tc>
          <w:tcPr>
            <w:tcW w:w="283" w:type="dxa"/>
            <w:tcBorders>
              <w:top w:val="none" w:sz="4" w:space="0" w:color="000000"/>
              <w:left w:val="none" w:sz="4" w:space="0" w:color="000000"/>
              <w:bottom w:val="none" w:sz="4" w:space="0" w:color="000000"/>
              <w:right w:val="none" w:sz="4" w:space="0" w:color="000000"/>
            </w:tcBorders>
          </w:tcPr>
          <w:p w14:paraId="5015256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564974E7"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División de Supervisión Interna</w:t>
            </w:r>
          </w:p>
        </w:tc>
      </w:tr>
      <w:tr w:rsidR="00556285" w:rsidRPr="0041782C" w14:paraId="7D61E40C" w14:textId="77777777" w:rsidTr="0041782C">
        <w:tc>
          <w:tcPr>
            <w:tcW w:w="1985" w:type="dxa"/>
            <w:tcBorders>
              <w:top w:val="none" w:sz="4" w:space="0" w:color="000000"/>
              <w:left w:val="none" w:sz="4" w:space="0" w:color="000000"/>
              <w:bottom w:val="none" w:sz="4" w:space="0" w:color="000000"/>
              <w:right w:val="none" w:sz="4" w:space="0" w:color="000000"/>
            </w:tcBorders>
          </w:tcPr>
          <w:p w14:paraId="0ED7E257"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PI</w:t>
            </w:r>
          </w:p>
        </w:tc>
        <w:tc>
          <w:tcPr>
            <w:tcW w:w="283" w:type="dxa"/>
            <w:tcBorders>
              <w:top w:val="none" w:sz="4" w:space="0" w:color="000000"/>
              <w:left w:val="none" w:sz="4" w:space="0" w:color="000000"/>
              <w:bottom w:val="none" w:sz="4" w:space="0" w:color="000000"/>
              <w:right w:val="none" w:sz="4" w:space="0" w:color="000000"/>
            </w:tcBorders>
          </w:tcPr>
          <w:p w14:paraId="0B12D7F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6CF490BF" w14:textId="77777777" w:rsidR="00556285" w:rsidRPr="0041782C" w:rsidRDefault="00556285" w:rsidP="006A09FF">
            <w:pPr>
              <w:spacing w:after="81"/>
              <w:rPr>
                <w:rFonts w:ascii="Times New Roman" w:eastAsia="Times New Roman" w:hAnsi="Times New Roman" w:cs="Times New Roman"/>
                <w:lang w:val="es-419"/>
              </w:rPr>
            </w:pPr>
            <w:r w:rsidRPr="0041782C">
              <w:rPr>
                <w:rStyle w:val="normaltextrun"/>
                <w:rFonts w:ascii="Times New Roman" w:hAnsi="Times New Roman"/>
                <w:lang w:val="es-419"/>
              </w:rPr>
              <w:t xml:space="preserve">Propiedad intelectual </w:t>
            </w:r>
          </w:p>
        </w:tc>
      </w:tr>
      <w:tr w:rsidR="00556285" w:rsidRPr="0041782C" w14:paraId="3FDFD53E" w14:textId="77777777" w:rsidTr="0041782C">
        <w:tc>
          <w:tcPr>
            <w:tcW w:w="1985" w:type="dxa"/>
            <w:tcBorders>
              <w:top w:val="none" w:sz="4" w:space="0" w:color="000000"/>
              <w:left w:val="none" w:sz="4" w:space="0" w:color="000000"/>
              <w:bottom w:val="none" w:sz="4" w:space="0" w:color="000000"/>
              <w:right w:val="none" w:sz="4" w:space="0" w:color="000000"/>
            </w:tcBorders>
          </w:tcPr>
          <w:p w14:paraId="2F769985"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IPSAS</w:t>
            </w:r>
          </w:p>
        </w:tc>
        <w:tc>
          <w:tcPr>
            <w:tcW w:w="283" w:type="dxa"/>
            <w:tcBorders>
              <w:top w:val="none" w:sz="4" w:space="0" w:color="000000"/>
              <w:left w:val="none" w:sz="4" w:space="0" w:color="000000"/>
              <w:bottom w:val="none" w:sz="4" w:space="0" w:color="000000"/>
              <w:right w:val="none" w:sz="4" w:space="0" w:color="000000"/>
            </w:tcBorders>
          </w:tcPr>
          <w:p w14:paraId="73EC5237"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4C1AEC16"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Normas internacionales de contabilidad del sector público</w:t>
            </w:r>
          </w:p>
        </w:tc>
      </w:tr>
      <w:tr w:rsidR="00556285" w:rsidRPr="0041782C" w14:paraId="1D8B0A9A" w14:textId="77777777" w:rsidTr="0041782C">
        <w:tc>
          <w:tcPr>
            <w:tcW w:w="1985" w:type="dxa"/>
            <w:tcBorders>
              <w:top w:val="none" w:sz="4" w:space="0" w:color="000000"/>
              <w:left w:val="none" w:sz="4" w:space="0" w:color="000000"/>
              <w:bottom w:val="none" w:sz="4" w:space="0" w:color="000000"/>
              <w:right w:val="none" w:sz="4" w:space="0" w:color="000000"/>
            </w:tcBorders>
          </w:tcPr>
          <w:p w14:paraId="09048FC8"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ISA</w:t>
            </w:r>
          </w:p>
        </w:tc>
        <w:tc>
          <w:tcPr>
            <w:tcW w:w="283" w:type="dxa"/>
            <w:tcBorders>
              <w:top w:val="none" w:sz="4" w:space="0" w:color="000000"/>
              <w:left w:val="none" w:sz="4" w:space="0" w:color="000000"/>
              <w:bottom w:val="none" w:sz="4" w:space="0" w:color="000000"/>
              <w:right w:val="none" w:sz="4" w:space="0" w:color="000000"/>
            </w:tcBorders>
          </w:tcPr>
          <w:p w14:paraId="0F0CA07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72756AB1"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Normas internacionales de auditoría</w:t>
            </w:r>
          </w:p>
        </w:tc>
      </w:tr>
      <w:tr w:rsidR="00556285" w:rsidRPr="0041782C" w14:paraId="54CBC54A" w14:textId="77777777" w:rsidTr="0041782C">
        <w:tc>
          <w:tcPr>
            <w:tcW w:w="1985" w:type="dxa"/>
            <w:tcBorders>
              <w:top w:val="none" w:sz="4" w:space="0" w:color="000000"/>
              <w:left w:val="none" w:sz="4" w:space="0" w:color="000000"/>
              <w:bottom w:val="none" w:sz="4" w:space="0" w:color="000000"/>
              <w:right w:val="none" w:sz="4" w:space="0" w:color="000000"/>
            </w:tcBorders>
          </w:tcPr>
          <w:p w14:paraId="7A228AF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ISSAI</w:t>
            </w:r>
          </w:p>
        </w:tc>
        <w:tc>
          <w:tcPr>
            <w:tcW w:w="283" w:type="dxa"/>
            <w:tcBorders>
              <w:top w:val="none" w:sz="4" w:space="0" w:color="000000"/>
              <w:left w:val="none" w:sz="4" w:space="0" w:color="000000"/>
              <w:bottom w:val="none" w:sz="4" w:space="0" w:color="000000"/>
              <w:right w:val="none" w:sz="4" w:space="0" w:color="000000"/>
            </w:tcBorders>
          </w:tcPr>
          <w:p w14:paraId="1A3AEBF9"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617B5DD6" w14:textId="77777777" w:rsidR="00556285" w:rsidRPr="0041782C" w:rsidRDefault="00556285" w:rsidP="006A09FF">
            <w:pPr>
              <w:jc w:val="both"/>
              <w:rPr>
                <w:rFonts w:ascii="Times New Roman" w:hAnsi="Times New Roman" w:cs="Times New Roman"/>
                <w:lang w:val="es-419"/>
              </w:rPr>
            </w:pPr>
            <w:r w:rsidRPr="0041782C">
              <w:rPr>
                <w:rFonts w:ascii="Times New Roman" w:hAnsi="Times New Roman"/>
                <w:lang w:val="es-419"/>
              </w:rPr>
              <w:t>Normas internacionales de las entidades fiscalizadoras superiores</w:t>
            </w:r>
          </w:p>
        </w:tc>
      </w:tr>
      <w:tr w:rsidR="00556285" w:rsidRPr="0041782C" w14:paraId="6B864AA1" w14:textId="77777777" w:rsidTr="0041782C">
        <w:tc>
          <w:tcPr>
            <w:tcW w:w="1985" w:type="dxa"/>
            <w:tcBorders>
              <w:top w:val="none" w:sz="4" w:space="0" w:color="000000"/>
              <w:left w:val="none" w:sz="4" w:space="0" w:color="000000"/>
              <w:bottom w:val="none" w:sz="4" w:space="0" w:color="000000"/>
              <w:right w:val="none" w:sz="4" w:space="0" w:color="000000"/>
            </w:tcBorders>
          </w:tcPr>
          <w:p w14:paraId="285C8CF6"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TI</w:t>
            </w:r>
          </w:p>
        </w:tc>
        <w:tc>
          <w:tcPr>
            <w:tcW w:w="283" w:type="dxa"/>
            <w:tcBorders>
              <w:top w:val="none" w:sz="4" w:space="0" w:color="000000"/>
              <w:left w:val="none" w:sz="4" w:space="0" w:color="000000"/>
              <w:bottom w:val="none" w:sz="4" w:space="0" w:color="000000"/>
              <w:right w:val="none" w:sz="4" w:space="0" w:color="000000"/>
            </w:tcBorders>
          </w:tcPr>
          <w:p w14:paraId="0198947C"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558507BA" w14:textId="77777777" w:rsidR="00556285" w:rsidRPr="0041782C" w:rsidRDefault="00556285" w:rsidP="006A09FF">
            <w:pPr>
              <w:jc w:val="both"/>
              <w:rPr>
                <w:rFonts w:ascii="Times New Roman" w:hAnsi="Times New Roman" w:cs="Times New Roman"/>
                <w:lang w:val="es-419"/>
              </w:rPr>
            </w:pPr>
            <w:r w:rsidRPr="0041782C">
              <w:rPr>
                <w:rFonts w:ascii="Times New Roman" w:hAnsi="Times New Roman"/>
                <w:lang w:val="es-419"/>
              </w:rPr>
              <w:t>Tecnologías de la información</w:t>
            </w:r>
          </w:p>
        </w:tc>
      </w:tr>
      <w:tr w:rsidR="00556285" w:rsidRPr="0041782C" w14:paraId="0366FDDB" w14:textId="77777777" w:rsidTr="0041782C">
        <w:tc>
          <w:tcPr>
            <w:tcW w:w="1985" w:type="dxa"/>
            <w:tcBorders>
              <w:top w:val="none" w:sz="4" w:space="0" w:color="000000"/>
              <w:left w:val="none" w:sz="4" w:space="0" w:color="000000"/>
              <w:bottom w:val="none" w:sz="4" w:space="0" w:color="000000"/>
              <w:right w:val="none" w:sz="4" w:space="0" w:color="000000"/>
            </w:tcBorders>
          </w:tcPr>
          <w:p w14:paraId="19E9E28D"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 xml:space="preserve">PEMP </w:t>
            </w:r>
          </w:p>
        </w:tc>
        <w:tc>
          <w:tcPr>
            <w:tcW w:w="283" w:type="dxa"/>
            <w:tcBorders>
              <w:top w:val="none" w:sz="4" w:space="0" w:color="000000"/>
              <w:left w:val="none" w:sz="4" w:space="0" w:color="000000"/>
              <w:bottom w:val="none" w:sz="4" w:space="0" w:color="000000"/>
              <w:right w:val="none" w:sz="4" w:space="0" w:color="000000"/>
            </w:tcBorders>
          </w:tcPr>
          <w:p w14:paraId="3CA4E99B"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1DA2A37F"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 xml:space="preserve">Plan Estratégico a Medio Plazo </w:t>
            </w:r>
          </w:p>
        </w:tc>
      </w:tr>
      <w:tr w:rsidR="00556285" w:rsidRPr="0041782C" w14:paraId="0F5BBD3A" w14:textId="77777777" w:rsidTr="0041782C">
        <w:tc>
          <w:tcPr>
            <w:tcW w:w="1985" w:type="dxa"/>
            <w:tcBorders>
              <w:top w:val="none" w:sz="4" w:space="0" w:color="000000"/>
              <w:left w:val="none" w:sz="4" w:space="0" w:color="000000"/>
              <w:bottom w:val="none" w:sz="4" w:space="0" w:color="000000"/>
              <w:right w:val="none" w:sz="4" w:space="0" w:color="000000"/>
            </w:tcBorders>
          </w:tcPr>
          <w:p w14:paraId="21256F4F"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PCT</w:t>
            </w:r>
          </w:p>
        </w:tc>
        <w:tc>
          <w:tcPr>
            <w:tcW w:w="283" w:type="dxa"/>
            <w:tcBorders>
              <w:top w:val="none" w:sz="4" w:space="0" w:color="000000"/>
              <w:left w:val="none" w:sz="4" w:space="0" w:color="000000"/>
              <w:bottom w:val="none" w:sz="4" w:space="0" w:color="000000"/>
              <w:right w:val="none" w:sz="4" w:space="0" w:color="000000"/>
            </w:tcBorders>
          </w:tcPr>
          <w:p w14:paraId="342BFEBE"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16D89F16" w14:textId="77777777" w:rsidR="00556285" w:rsidRPr="0041782C" w:rsidRDefault="00556285" w:rsidP="006A09FF">
            <w:pPr>
              <w:spacing w:after="81"/>
              <w:rPr>
                <w:rFonts w:ascii="Times New Roman" w:hAnsi="Times New Roman" w:cs="Times New Roman"/>
                <w:lang w:val="es-419"/>
              </w:rPr>
            </w:pPr>
            <w:r w:rsidRPr="0041782C">
              <w:rPr>
                <w:rFonts w:ascii="Times New Roman" w:hAnsi="Times New Roman"/>
                <w:lang w:val="es-419"/>
              </w:rPr>
              <w:t>Tratado de Cooperación en materia de Patentes</w:t>
            </w:r>
          </w:p>
        </w:tc>
      </w:tr>
      <w:tr w:rsidR="00556285" w:rsidRPr="0041782C" w14:paraId="108176FD" w14:textId="77777777" w:rsidTr="0041782C">
        <w:tc>
          <w:tcPr>
            <w:tcW w:w="1985" w:type="dxa"/>
            <w:tcBorders>
              <w:top w:val="none" w:sz="4" w:space="0" w:color="000000"/>
              <w:left w:val="none" w:sz="4" w:space="0" w:color="000000"/>
              <w:bottom w:val="none" w:sz="4" w:space="0" w:color="000000"/>
              <w:right w:val="none" w:sz="4" w:space="0" w:color="000000"/>
            </w:tcBorders>
          </w:tcPr>
          <w:p w14:paraId="4D771051"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SMART</w:t>
            </w:r>
          </w:p>
        </w:tc>
        <w:tc>
          <w:tcPr>
            <w:tcW w:w="283" w:type="dxa"/>
            <w:tcBorders>
              <w:top w:val="none" w:sz="4" w:space="0" w:color="000000"/>
              <w:left w:val="none" w:sz="4" w:space="0" w:color="000000"/>
              <w:bottom w:val="none" w:sz="4" w:space="0" w:color="000000"/>
              <w:right w:val="none" w:sz="4" w:space="0" w:color="000000"/>
            </w:tcBorders>
          </w:tcPr>
          <w:p w14:paraId="6BB9E0BE"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54EFD9C0" w14:textId="77777777" w:rsidR="00556285" w:rsidRPr="0041782C" w:rsidRDefault="00556285" w:rsidP="006A09FF">
            <w:pPr>
              <w:spacing w:after="81"/>
              <w:rPr>
                <w:rFonts w:ascii="Times New Roman" w:eastAsiaTheme="majorEastAsia" w:hAnsi="Times New Roman" w:cs="Times New Roman"/>
                <w:lang w:val="es-419"/>
              </w:rPr>
            </w:pPr>
            <w:r w:rsidRPr="0041782C">
              <w:rPr>
                <w:rStyle w:val="normaltextrun"/>
                <w:rFonts w:ascii="Times New Roman" w:hAnsi="Times New Roman"/>
                <w:lang w:val="es-419"/>
              </w:rPr>
              <w:t>Específico, mensurable, realizable, pertinente y sujeto a plazos</w:t>
            </w:r>
            <w:r w:rsidRPr="0041782C">
              <w:rPr>
                <w:rFonts w:ascii="Times New Roman" w:hAnsi="Times New Roman"/>
                <w:lang w:val="es-419"/>
              </w:rPr>
              <w:t xml:space="preserve"> </w:t>
            </w:r>
          </w:p>
        </w:tc>
      </w:tr>
      <w:tr w:rsidR="00556285" w:rsidRPr="0041782C" w14:paraId="0A682AC9" w14:textId="77777777" w:rsidTr="0041782C">
        <w:tc>
          <w:tcPr>
            <w:tcW w:w="1985" w:type="dxa"/>
            <w:tcBorders>
              <w:top w:val="none" w:sz="4" w:space="0" w:color="000000"/>
              <w:left w:val="none" w:sz="4" w:space="0" w:color="000000"/>
              <w:bottom w:val="none" w:sz="4" w:space="0" w:color="000000"/>
              <w:right w:val="none" w:sz="4" w:space="0" w:color="000000"/>
            </w:tcBorders>
          </w:tcPr>
          <w:p w14:paraId="51BE9263"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OMPI</w:t>
            </w:r>
          </w:p>
        </w:tc>
        <w:tc>
          <w:tcPr>
            <w:tcW w:w="283" w:type="dxa"/>
            <w:tcBorders>
              <w:top w:val="none" w:sz="4" w:space="0" w:color="000000"/>
              <w:left w:val="none" w:sz="4" w:space="0" w:color="000000"/>
              <w:bottom w:val="none" w:sz="4" w:space="0" w:color="000000"/>
              <w:right w:val="none" w:sz="4" w:space="0" w:color="000000"/>
            </w:tcBorders>
          </w:tcPr>
          <w:p w14:paraId="1702CEF0" w14:textId="77777777" w:rsidR="00556285" w:rsidRPr="0041782C" w:rsidRDefault="00556285" w:rsidP="006A09FF">
            <w:pPr>
              <w:spacing w:after="81"/>
              <w:rPr>
                <w:rFonts w:ascii="Times New Roman" w:eastAsiaTheme="majorEastAsia" w:hAnsi="Times New Roman" w:cs="Times New Roman"/>
                <w:lang w:val="es-419"/>
              </w:rPr>
            </w:pPr>
            <w:r w:rsidRPr="0041782C">
              <w:rPr>
                <w:rFonts w:ascii="Times New Roman" w:hAnsi="Times New Roman"/>
                <w:lang w:val="es-419"/>
              </w:rPr>
              <w:t>:</w:t>
            </w:r>
          </w:p>
        </w:tc>
        <w:tc>
          <w:tcPr>
            <w:tcW w:w="6804" w:type="dxa"/>
            <w:tcBorders>
              <w:top w:val="none" w:sz="4" w:space="0" w:color="000000"/>
              <w:left w:val="none" w:sz="4" w:space="0" w:color="000000"/>
              <w:bottom w:val="none" w:sz="4" w:space="0" w:color="000000"/>
              <w:right w:val="none" w:sz="4" w:space="0" w:color="000000"/>
            </w:tcBorders>
          </w:tcPr>
          <w:p w14:paraId="61C98109" w14:textId="77777777" w:rsidR="00556285" w:rsidRPr="0041782C" w:rsidRDefault="00556285" w:rsidP="006A09FF">
            <w:pPr>
              <w:spacing w:after="81"/>
              <w:rPr>
                <w:rFonts w:ascii="Times New Roman" w:eastAsia="Times New Roman" w:hAnsi="Times New Roman" w:cs="Times New Roman"/>
                <w:lang w:val="es-419"/>
              </w:rPr>
            </w:pPr>
            <w:r w:rsidRPr="0041782C">
              <w:rPr>
                <w:rFonts w:ascii="Times New Roman" w:hAnsi="Times New Roman"/>
                <w:lang w:val="es-419"/>
              </w:rPr>
              <w:t xml:space="preserve">Organización Mundial de la Propiedad Intelectual </w:t>
            </w:r>
          </w:p>
        </w:tc>
      </w:tr>
      <w:tr w:rsidR="00556285" w:rsidRPr="0041782C" w14:paraId="66F038EB" w14:textId="77777777" w:rsidTr="0041782C">
        <w:tc>
          <w:tcPr>
            <w:tcW w:w="1985" w:type="dxa"/>
            <w:tcBorders>
              <w:top w:val="none" w:sz="4" w:space="0" w:color="000000"/>
              <w:left w:val="none" w:sz="4" w:space="0" w:color="000000"/>
              <w:bottom w:val="none" w:sz="4" w:space="0" w:color="000000"/>
              <w:right w:val="none" w:sz="4" w:space="0" w:color="000000"/>
            </w:tcBorders>
          </w:tcPr>
          <w:p w14:paraId="593E25CD" w14:textId="77777777" w:rsidR="00556285" w:rsidRPr="0041782C" w:rsidRDefault="00556285" w:rsidP="006A09FF">
            <w:pPr>
              <w:spacing w:after="81"/>
              <w:rPr>
                <w:rFonts w:ascii="Times New Roman" w:eastAsiaTheme="majorEastAsia" w:hAnsi="Times New Roman" w:cs="Times New Roman"/>
                <w:lang w:val="es-419"/>
              </w:rPr>
            </w:pPr>
          </w:p>
        </w:tc>
        <w:tc>
          <w:tcPr>
            <w:tcW w:w="283" w:type="dxa"/>
            <w:tcBorders>
              <w:top w:val="none" w:sz="4" w:space="0" w:color="000000"/>
              <w:left w:val="none" w:sz="4" w:space="0" w:color="000000"/>
              <w:bottom w:val="none" w:sz="4" w:space="0" w:color="000000"/>
              <w:right w:val="none" w:sz="4" w:space="0" w:color="000000"/>
            </w:tcBorders>
          </w:tcPr>
          <w:p w14:paraId="403D1FEF" w14:textId="77777777" w:rsidR="00556285" w:rsidRPr="0041782C" w:rsidRDefault="00556285" w:rsidP="006A09FF">
            <w:pPr>
              <w:spacing w:after="81"/>
              <w:rPr>
                <w:rFonts w:ascii="Times New Roman" w:eastAsiaTheme="majorEastAsia" w:hAnsi="Times New Roman" w:cs="Times New Roman"/>
                <w:lang w:val="es-419"/>
              </w:rPr>
            </w:pPr>
          </w:p>
        </w:tc>
        <w:tc>
          <w:tcPr>
            <w:tcW w:w="6804" w:type="dxa"/>
            <w:tcBorders>
              <w:top w:val="none" w:sz="4" w:space="0" w:color="000000"/>
              <w:left w:val="none" w:sz="4" w:space="0" w:color="000000"/>
              <w:bottom w:val="none" w:sz="4" w:space="0" w:color="000000"/>
              <w:right w:val="none" w:sz="4" w:space="0" w:color="000000"/>
            </w:tcBorders>
          </w:tcPr>
          <w:p w14:paraId="03FEF456" w14:textId="77777777" w:rsidR="00556285" w:rsidRPr="0041782C" w:rsidRDefault="00556285" w:rsidP="006A09FF">
            <w:pPr>
              <w:spacing w:after="81"/>
              <w:rPr>
                <w:rFonts w:ascii="Times New Roman" w:eastAsia="Times New Roman" w:hAnsi="Times New Roman" w:cs="Times New Roman"/>
                <w:lang w:val="es-419"/>
              </w:rPr>
            </w:pPr>
          </w:p>
        </w:tc>
      </w:tr>
    </w:tbl>
    <w:p w14:paraId="28C4799F" w14:textId="77777777" w:rsidR="00556285" w:rsidRPr="0041782C" w:rsidRDefault="00556285" w:rsidP="0041782C">
      <w:pPr>
        <w:pStyle w:val="Endofdocument-Annex"/>
        <w:spacing w:before="720"/>
        <w:rPr>
          <w:szCs w:val="22"/>
          <w:lang w:val="es-419"/>
        </w:rPr>
      </w:pPr>
      <w:r w:rsidRPr="0041782C">
        <w:rPr>
          <w:lang w:val="es-419"/>
        </w:rPr>
        <w:t>[Fin del documento]</w:t>
      </w:r>
    </w:p>
    <w:sectPr w:rsidR="00556285" w:rsidRPr="0041782C" w:rsidSect="00556285">
      <w:headerReference w:type="default" r:id="rId43"/>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6DA6" w14:textId="77777777" w:rsidR="00A61264" w:rsidRDefault="00A61264">
      <w:r>
        <w:separator/>
      </w:r>
    </w:p>
  </w:endnote>
  <w:endnote w:type="continuationSeparator" w:id="0">
    <w:p w14:paraId="14621D68" w14:textId="77777777" w:rsidR="00A61264" w:rsidRPr="009D30E6" w:rsidRDefault="00A61264" w:rsidP="007E663E">
      <w:pPr>
        <w:rPr>
          <w:sz w:val="17"/>
          <w:szCs w:val="17"/>
        </w:rPr>
      </w:pPr>
      <w:r w:rsidRPr="009D30E6">
        <w:rPr>
          <w:sz w:val="17"/>
          <w:szCs w:val="17"/>
        </w:rPr>
        <w:separator/>
      </w:r>
    </w:p>
    <w:p w14:paraId="130EE85D" w14:textId="77777777" w:rsidR="00A61264" w:rsidRPr="007E663E" w:rsidRDefault="00A61264" w:rsidP="007E663E">
      <w:pPr>
        <w:spacing w:after="60"/>
        <w:rPr>
          <w:sz w:val="17"/>
          <w:szCs w:val="17"/>
        </w:rPr>
      </w:pPr>
      <w:r>
        <w:rPr>
          <w:sz w:val="17"/>
        </w:rPr>
        <w:t>[Continuación de la nota de la página anterior]</w:t>
      </w:r>
    </w:p>
  </w:endnote>
  <w:endnote w:type="continuationNotice" w:id="1">
    <w:p w14:paraId="7A146270" w14:textId="77777777" w:rsidR="00A61264" w:rsidRPr="007E663E" w:rsidRDefault="00A6126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4083" w14:textId="77777777" w:rsidR="00556285" w:rsidRDefault="00556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B743" w14:textId="77777777" w:rsidR="00556285" w:rsidRDefault="00556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B5C2" w14:textId="77777777" w:rsidR="00556285" w:rsidRDefault="0055628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D41" w14:textId="77777777" w:rsidR="00556285" w:rsidRDefault="0055628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3B9B" w14:textId="77777777" w:rsidR="00556285" w:rsidRDefault="00556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75A3" w14:textId="77777777" w:rsidR="00556285" w:rsidRPr="00072943" w:rsidRDefault="00556285" w:rsidP="006A09FF">
    <w:pP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B0C4" w14:textId="77777777" w:rsidR="00556285" w:rsidRDefault="0055628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3266" w14:textId="77777777" w:rsidR="00556285" w:rsidRDefault="00556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0537" w14:textId="77777777" w:rsidR="00556285" w:rsidRPr="00072943" w:rsidRDefault="00556285" w:rsidP="006A09FF">
    <w:pP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4162" w14:textId="77777777" w:rsidR="00556285" w:rsidRDefault="0055628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40F5" w14:textId="77777777" w:rsidR="00556285" w:rsidRDefault="00556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46DE" w14:textId="77777777" w:rsidR="00556285" w:rsidRPr="00072943" w:rsidRDefault="00556285" w:rsidP="006A09FF">
    <w:pPr>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1737" w14:textId="77777777" w:rsidR="00556285" w:rsidRDefault="0055628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ADF6" w14:textId="77777777" w:rsidR="00556285" w:rsidRDefault="0055628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A38E" w14:textId="77777777" w:rsidR="00556285" w:rsidRDefault="0055628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AF4E" w14:textId="77777777" w:rsidR="00556285" w:rsidRDefault="00556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C93" w14:textId="77777777" w:rsidR="00556285" w:rsidRDefault="00556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2C92" w14:textId="77777777" w:rsidR="00556285" w:rsidRDefault="00556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241" w14:textId="77777777" w:rsidR="00556285" w:rsidRPr="00072943" w:rsidRDefault="00556285" w:rsidP="006A09FF">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09BD" w14:textId="77777777" w:rsidR="00556285" w:rsidRDefault="005562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4585" w14:textId="77777777" w:rsidR="00556285" w:rsidRDefault="00556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CB6D" w14:textId="77777777" w:rsidR="00556285" w:rsidRPr="00072943" w:rsidRDefault="00556285" w:rsidP="006A09FF">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9B47" w14:textId="77777777" w:rsidR="00556285" w:rsidRDefault="0055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74CB" w14:textId="77777777" w:rsidR="00A61264" w:rsidRDefault="00A61264">
      <w:r>
        <w:separator/>
      </w:r>
    </w:p>
  </w:footnote>
  <w:footnote w:type="continuationSeparator" w:id="0">
    <w:p w14:paraId="2417C429" w14:textId="77777777" w:rsidR="00A61264" w:rsidRPr="009D30E6" w:rsidRDefault="00A61264" w:rsidP="007E663E">
      <w:pPr>
        <w:rPr>
          <w:sz w:val="17"/>
          <w:szCs w:val="17"/>
        </w:rPr>
      </w:pPr>
      <w:r w:rsidRPr="009D30E6">
        <w:rPr>
          <w:sz w:val="17"/>
          <w:szCs w:val="17"/>
        </w:rPr>
        <w:separator/>
      </w:r>
    </w:p>
    <w:p w14:paraId="3ECD2399" w14:textId="77777777" w:rsidR="00A61264" w:rsidRPr="007E663E" w:rsidRDefault="00A61264" w:rsidP="007E663E">
      <w:pPr>
        <w:spacing w:after="60"/>
        <w:rPr>
          <w:sz w:val="17"/>
          <w:szCs w:val="17"/>
        </w:rPr>
      </w:pPr>
      <w:r>
        <w:rPr>
          <w:sz w:val="17"/>
        </w:rPr>
        <w:t>[Continuación de la nota de la página anterior]</w:t>
      </w:r>
    </w:p>
  </w:footnote>
  <w:footnote w:type="continuationNotice" w:id="1">
    <w:p w14:paraId="261AA092" w14:textId="77777777" w:rsidR="00A61264" w:rsidRPr="007E663E" w:rsidRDefault="00A6126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E805" w14:textId="5BAE7F00" w:rsidR="00F84474" w:rsidRDefault="00A61264" w:rsidP="00477D6B">
    <w:pPr>
      <w:jc w:val="right"/>
    </w:pPr>
    <w:bookmarkStart w:id="5" w:name="Code2"/>
    <w:bookmarkEnd w:id="5"/>
    <w:r>
      <w:t>A/66/6</w:t>
    </w:r>
  </w:p>
  <w:p w14:paraId="20ACC96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FB6659B" w14:textId="77777777" w:rsidR="00F84474" w:rsidRDefault="00F84474" w:rsidP="00477D6B">
    <w:pPr>
      <w:jc w:val="right"/>
    </w:pPr>
  </w:p>
  <w:p w14:paraId="3364BD35" w14:textId="77777777" w:rsidR="004F7418" w:rsidRDefault="004F7418"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8504"/>
      <w:docPartObj>
        <w:docPartGallery w:val="Page Numbers (Top of Page)"/>
        <w:docPartUnique/>
      </w:docPartObj>
    </w:sdtPr>
    <w:sdtEndPr>
      <w:rPr>
        <w:noProof/>
      </w:rPr>
    </w:sdtEndPr>
    <w:sdtContent>
      <w:p w14:paraId="7F074495" w14:textId="77777777" w:rsidR="00556285" w:rsidRPr="00917104" w:rsidRDefault="00556285" w:rsidP="006A09FF">
        <w:pPr>
          <w:pStyle w:val="Header"/>
          <w:jc w:val="right"/>
          <w:rPr>
            <w:lang w:val="pt-BR"/>
          </w:rPr>
        </w:pPr>
        <w:r w:rsidRPr="00917104">
          <w:rPr>
            <w:lang w:val="pt-BR"/>
          </w:rPr>
          <w:t>WO/PBC/39/4</w:t>
        </w:r>
      </w:p>
      <w:p w14:paraId="54DF08EE" w14:textId="77777777" w:rsidR="00556285" w:rsidRPr="00917104" w:rsidRDefault="00556285" w:rsidP="006A09FF">
        <w:pPr>
          <w:pStyle w:val="Header"/>
          <w:jc w:val="right"/>
          <w:rPr>
            <w:lang w:val="pt-BR"/>
          </w:rPr>
        </w:pPr>
        <w:r w:rsidRPr="00917104">
          <w:rPr>
            <w:lang w:val="pt-BR"/>
          </w:rPr>
          <w:t xml:space="preserve">Anexo I, página </w:t>
        </w:r>
        <w:r w:rsidRPr="00AE2DFA">
          <w:fldChar w:fldCharType="begin"/>
        </w:r>
        <w:r w:rsidRPr="00917104">
          <w:rPr>
            <w:lang w:val="pt-BR"/>
          </w:rPr>
          <w:instrText xml:space="preserve"> PAGE   \* MERGEFORMAT </w:instrText>
        </w:r>
        <w:r w:rsidRPr="00AE2DFA">
          <w:fldChar w:fldCharType="separate"/>
        </w:r>
        <w:r w:rsidRPr="00917104">
          <w:rPr>
            <w:lang w:val="pt-BR"/>
          </w:rPr>
          <w:t>1</w:t>
        </w:r>
        <w:r w:rsidRPr="00AE2DFA">
          <w:fldChar w:fldCharType="end"/>
        </w:r>
        <w:r w:rsidRPr="00917104">
          <w:rPr>
            <w:lang w:val="pt-BR"/>
          </w:rPr>
          <w:t xml:space="preserve"> </w:t>
        </w:r>
      </w:p>
    </w:sdtContent>
  </w:sdt>
  <w:p w14:paraId="0B667598" w14:textId="77777777" w:rsidR="00556285" w:rsidRPr="00917104" w:rsidRDefault="00556285" w:rsidP="006A09FF">
    <w:pPr>
      <w:pStyle w:val="Header"/>
      <w:jc w:val="right"/>
      <w:rPr>
        <w:lang w:val="pt-B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7598"/>
      <w:docPartObj>
        <w:docPartGallery w:val="Page Numbers (Top of Page)"/>
        <w:docPartUnique/>
      </w:docPartObj>
    </w:sdtPr>
    <w:sdtEndPr>
      <w:rPr>
        <w:noProof/>
      </w:rPr>
    </w:sdtEndPr>
    <w:sdtContent>
      <w:p w14:paraId="4290E630" w14:textId="77777777" w:rsidR="003B7196" w:rsidRPr="00406967" w:rsidRDefault="003B7196" w:rsidP="006A09FF">
        <w:pPr>
          <w:pStyle w:val="Header"/>
          <w:jc w:val="right"/>
        </w:pPr>
        <w:r>
          <w:t>WO/PBC/39/4</w:t>
        </w:r>
      </w:p>
      <w:p w14:paraId="4BDB9694" w14:textId="77777777" w:rsidR="003B7196" w:rsidRPr="00406967" w:rsidRDefault="003B7196" w:rsidP="006A09FF">
        <w:pPr>
          <w:pStyle w:val="Header"/>
          <w:jc w:val="right"/>
        </w:pPr>
        <w:r>
          <w:t>ANEXO II</w:t>
        </w:r>
      </w:p>
    </w:sdtContent>
  </w:sdt>
  <w:p w14:paraId="422C8F1F" w14:textId="77777777" w:rsidR="003B7196" w:rsidRPr="00406967" w:rsidRDefault="003B7196" w:rsidP="006A09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5955" w14:textId="77777777" w:rsidR="003B7196" w:rsidRPr="00F94101" w:rsidRDefault="003B7196" w:rsidP="00477D6B">
    <w:pPr>
      <w:jc w:val="right"/>
    </w:pPr>
    <w:r>
      <w:t>WO/PBC/39/4</w:t>
    </w:r>
  </w:p>
  <w:p w14:paraId="5B03D311" w14:textId="7CA558DA" w:rsidR="003B7196" w:rsidRPr="00F94101" w:rsidRDefault="0091244A" w:rsidP="00477D6B">
    <w:pPr>
      <w:jc w:val="right"/>
    </w:pPr>
    <w:r>
      <w:t>página</w:t>
    </w:r>
    <w:r w:rsidR="003B7196" w:rsidRPr="00F94101">
      <w:t xml:space="preserve"> </w:t>
    </w:r>
    <w:r w:rsidR="003B7196" w:rsidRPr="00F94101">
      <w:fldChar w:fldCharType="begin"/>
    </w:r>
    <w:r w:rsidR="003B7196" w:rsidRPr="00F94101">
      <w:instrText xml:space="preserve"> PAGE  \* MERGEFORMAT </w:instrText>
    </w:r>
    <w:r w:rsidR="003B7196" w:rsidRPr="00F94101">
      <w:fldChar w:fldCharType="separate"/>
    </w:r>
    <w:r w:rsidR="003B7196" w:rsidRPr="00F94101">
      <w:t>2</w:t>
    </w:r>
    <w:r w:rsidR="003B7196" w:rsidRPr="00F94101">
      <w:fldChar w:fldCharType="end"/>
    </w:r>
  </w:p>
  <w:p w14:paraId="3CC50E10" w14:textId="77777777" w:rsidR="003B7196" w:rsidRPr="00F94101" w:rsidRDefault="003B7196" w:rsidP="00477D6B">
    <w:pPr>
      <w:jc w:val="right"/>
    </w:pPr>
  </w:p>
  <w:p w14:paraId="6EB96250" w14:textId="77777777" w:rsidR="003B7196" w:rsidRPr="00F94101" w:rsidRDefault="003B71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3AEA" w14:textId="77777777" w:rsidR="00556285" w:rsidRDefault="00556285" w:rsidP="00556285">
    <w:pPr>
      <w:jc w:val="center"/>
      <w:rPr>
        <w:rFonts w:ascii="Times New Roman" w:hAnsi="Times New Roman"/>
        <w:b/>
      </w:rPr>
    </w:pPr>
    <w:r>
      <w:rPr>
        <w:noProof/>
      </w:rPr>
      <w:drawing>
        <wp:anchor distT="0" distB="0" distL="114300" distR="114300" simplePos="0" relativeHeight="251659264" behindDoc="0" locked="0" layoutInCell="1" allowOverlap="1" wp14:anchorId="04E8C163" wp14:editId="704FAA7C">
          <wp:simplePos x="0" y="0"/>
          <wp:positionH relativeFrom="margin">
            <wp:align>center</wp:align>
          </wp:positionH>
          <wp:positionV relativeFrom="paragraph">
            <wp:posOffset>-164134</wp:posOffset>
          </wp:positionV>
          <wp:extent cx="826770" cy="847191"/>
          <wp:effectExtent l="0" t="0" r="0" b="0"/>
          <wp:wrapNone/>
          <wp:docPr id="1280666317" name="Picture 1280666317" descr="Un águila real con escudo y un escudo rojo y blanco&#10;&#10;El contenido generado por la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269203AB" w14:textId="77777777" w:rsidR="00556285" w:rsidRDefault="00556285" w:rsidP="00556285">
    <w:pPr>
      <w:jc w:val="center"/>
      <w:rPr>
        <w:rFonts w:ascii="Times New Roman" w:hAnsi="Times New Roman"/>
        <w:b/>
      </w:rPr>
    </w:pPr>
  </w:p>
  <w:p w14:paraId="4AA376BC" w14:textId="77777777" w:rsidR="00556285" w:rsidRPr="00A12879" w:rsidRDefault="00556285" w:rsidP="00556285">
    <w:pPr>
      <w:jc w:val="center"/>
      <w:rPr>
        <w:rFonts w:ascii="Times New Roman" w:hAnsi="Times New Roman"/>
        <w:b/>
      </w:rPr>
    </w:pPr>
  </w:p>
  <w:p w14:paraId="7C0EEC4D" w14:textId="77777777" w:rsidR="00556285" w:rsidRPr="00A12879" w:rsidRDefault="00556285" w:rsidP="00556285">
    <w:pPr>
      <w:jc w:val="center"/>
      <w:rPr>
        <w:rFonts w:ascii="Times New Roman" w:hAnsi="Times New Roman"/>
        <w:b/>
      </w:rPr>
    </w:pPr>
  </w:p>
  <w:p w14:paraId="638C364A" w14:textId="77777777" w:rsidR="00556285" w:rsidRPr="00A12879" w:rsidRDefault="00556285" w:rsidP="00556285">
    <w:pPr>
      <w:jc w:val="center"/>
      <w:rPr>
        <w:rFonts w:ascii="Times New Roman" w:hAnsi="Times New Roman"/>
        <w:b/>
      </w:rPr>
    </w:pPr>
    <w:r>
      <w:rPr>
        <w:rFonts w:ascii="Times New Roman" w:hAnsi="Times New Roman"/>
        <w:b/>
      </w:rPr>
      <w:t>PRESIDENTE DEL TRIBUNAL DE CUENTAS</w:t>
    </w:r>
  </w:p>
  <w:p w14:paraId="150B9984" w14:textId="77777777" w:rsidR="00556285" w:rsidRPr="00A12879" w:rsidRDefault="00556285" w:rsidP="00556285">
    <w:pPr>
      <w:jc w:val="center"/>
      <w:rPr>
        <w:rFonts w:ascii="Times New Roman" w:hAnsi="Times New Roman"/>
        <w:b/>
      </w:rPr>
    </w:pPr>
    <w:r>
      <w:rPr>
        <w:rFonts w:ascii="Times New Roman" w:hAnsi="Times New Roman"/>
        <w:b/>
      </w:rPr>
      <w:t>REPÚBLICA DE INDONESIA</w:t>
    </w:r>
  </w:p>
  <w:p w14:paraId="43C3B0FA" w14:textId="77777777" w:rsidR="00556285" w:rsidRDefault="00556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8875"/>
      <w:docPartObj>
        <w:docPartGallery w:val="Page Numbers (Top of Page)"/>
        <w:docPartUnique/>
      </w:docPartObj>
    </w:sdtPr>
    <w:sdtEndPr>
      <w:rPr>
        <w:noProof/>
        <w:szCs w:val="22"/>
      </w:rPr>
    </w:sdtEndPr>
    <w:sdtContent>
      <w:p w14:paraId="147A91F8" w14:textId="77777777" w:rsidR="00556285" w:rsidRPr="00406967" w:rsidRDefault="00556285" w:rsidP="006A09FF">
        <w:pPr>
          <w:pStyle w:val="Header"/>
          <w:jc w:val="right"/>
          <w:rPr>
            <w:szCs w:val="22"/>
          </w:rPr>
        </w:pPr>
        <w:r>
          <w:t>WO/PBC/39/4</w:t>
        </w:r>
      </w:p>
      <w:p w14:paraId="3D3E9C54" w14:textId="15274CB9" w:rsidR="00556285" w:rsidRPr="00406967" w:rsidRDefault="0091244A" w:rsidP="006A09FF">
        <w:pPr>
          <w:pStyle w:val="Header"/>
          <w:jc w:val="right"/>
          <w:rPr>
            <w:szCs w:val="22"/>
          </w:rPr>
        </w:pPr>
        <w:r>
          <w:t xml:space="preserve">página </w:t>
        </w:r>
        <w:r w:rsidR="00556285" w:rsidRPr="00406967">
          <w:fldChar w:fldCharType="begin"/>
        </w:r>
        <w:r w:rsidR="00556285" w:rsidRPr="00406967">
          <w:instrText xml:space="preserve"> PAGE   \* MERGEFORMAT </w:instrText>
        </w:r>
        <w:r w:rsidR="00556285" w:rsidRPr="00406967">
          <w:fldChar w:fldCharType="separate"/>
        </w:r>
        <w:r w:rsidR="00556285" w:rsidRPr="00406967">
          <w:t>2</w:t>
        </w:r>
        <w:r w:rsidR="00556285" w:rsidRPr="00406967">
          <w:fldChar w:fldCharType="end"/>
        </w:r>
      </w:p>
    </w:sdtContent>
  </w:sdt>
  <w:p w14:paraId="26001610" w14:textId="77777777" w:rsidR="00556285" w:rsidRDefault="00556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4E0" w14:textId="77777777" w:rsidR="00556285" w:rsidRDefault="00556285" w:rsidP="006A09FF">
    <w:pPr>
      <w:pStyle w:val="Header"/>
      <w:tabs>
        <w:tab w:val="clear" w:pos="4536"/>
        <w:tab w:val="left" w:pos="2172"/>
      </w:tabs>
    </w:pPr>
    <w:r>
      <w:rPr>
        <w:noProof/>
      </w:rPr>
      <w:drawing>
        <wp:anchor distT="0" distB="0" distL="114300" distR="114300" simplePos="0" relativeHeight="251661312" behindDoc="0" locked="0" layoutInCell="1" allowOverlap="1" wp14:anchorId="1FC2B8C6" wp14:editId="0C375A53">
          <wp:simplePos x="0" y="0"/>
          <wp:positionH relativeFrom="margin">
            <wp:posOffset>2035837</wp:posOffset>
          </wp:positionH>
          <wp:positionV relativeFrom="paragraph">
            <wp:posOffset>23833</wp:posOffset>
          </wp:positionV>
          <wp:extent cx="713362" cy="730895"/>
          <wp:effectExtent l="0" t="0" r="0" b="0"/>
          <wp:wrapNone/>
          <wp:docPr id="1134686958" name="Picture 113468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13362" cy="730895"/>
                  </a:xfrm>
                  <a:prstGeom prst="rect">
                    <a:avLst/>
                  </a:prstGeom>
                </pic:spPr>
              </pic:pic>
            </a:graphicData>
          </a:graphic>
          <wp14:sizeRelH relativeFrom="margin">
            <wp14:pctWidth>0</wp14:pctWidth>
          </wp14:sizeRelH>
          <wp14:sizeRelV relativeFrom="margin">
            <wp14:pctHeight>0</wp14:pctHeight>
          </wp14:sizeRelV>
        </wp:anchor>
      </w:drawing>
    </w:r>
  </w:p>
  <w:p w14:paraId="34D82E04" w14:textId="77777777" w:rsidR="00556285" w:rsidRDefault="00556285" w:rsidP="006A09FF">
    <w:pPr>
      <w:pStyle w:val="Header"/>
      <w:tabs>
        <w:tab w:val="clear" w:pos="4536"/>
        <w:tab w:val="left" w:pos="2172"/>
      </w:tabs>
    </w:pPr>
  </w:p>
  <w:p w14:paraId="646A24B8" w14:textId="77777777" w:rsidR="00556285" w:rsidRDefault="00556285" w:rsidP="006A09FF">
    <w:pPr>
      <w:pStyle w:val="Header"/>
      <w:tabs>
        <w:tab w:val="clear" w:pos="4536"/>
        <w:tab w:val="left" w:pos="2172"/>
      </w:tabs>
    </w:pPr>
  </w:p>
  <w:p w14:paraId="570F9BCE" w14:textId="77777777" w:rsidR="00556285" w:rsidRDefault="00556285" w:rsidP="006A09FF">
    <w:pPr>
      <w:pStyle w:val="Header"/>
      <w:tabs>
        <w:tab w:val="clear" w:pos="4536"/>
        <w:tab w:val="left" w:pos="2172"/>
      </w:tabs>
    </w:pPr>
  </w:p>
  <w:p w14:paraId="0CD91C6F" w14:textId="77777777" w:rsidR="00556285" w:rsidRDefault="00556285" w:rsidP="006A09FF">
    <w:pPr>
      <w:pStyle w:val="Header"/>
      <w:tabs>
        <w:tab w:val="clear" w:pos="4536"/>
        <w:tab w:val="left" w:pos="2172"/>
      </w:tabs>
    </w:pPr>
  </w:p>
  <w:p w14:paraId="002485B3" w14:textId="77777777" w:rsidR="00556285" w:rsidRPr="004C018C" w:rsidRDefault="00556285" w:rsidP="006A09FF">
    <w:pPr>
      <w:pStyle w:val="Header"/>
      <w:tabs>
        <w:tab w:val="clear" w:pos="4536"/>
        <w:tab w:val="left" w:pos="2172"/>
      </w:tabs>
      <w:spacing w:before="120"/>
      <w:jc w:val="center"/>
    </w:pPr>
    <w:r>
      <w:rPr>
        <w:rFonts w:ascii="Times New Roman" w:hAnsi="Times New Roman"/>
        <w:b/>
      </w:rPr>
      <w:t>EL TRIBUNAL DE CUENTAS DE LA REPÚBLICA DE INDONESIA</w:t>
    </w:r>
  </w:p>
  <w:p w14:paraId="1429E06C" w14:textId="77777777" w:rsidR="00556285" w:rsidRDefault="005562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4" w:name="_Hlk197964638" w:displacedByCustomXml="next"/>
  <w:sdt>
    <w:sdtPr>
      <w:id w:val="923998060"/>
      <w:docPartObj>
        <w:docPartGallery w:val="Page Numbers (Top of Page)"/>
        <w:docPartUnique/>
      </w:docPartObj>
    </w:sdtPr>
    <w:sdtEndPr>
      <w:rPr>
        <w:noProof/>
      </w:rPr>
    </w:sdtEndPr>
    <w:sdtContent>
      <w:p w14:paraId="4B1C74D7" w14:textId="77777777" w:rsidR="00556285" w:rsidRPr="00406967" w:rsidRDefault="00556285" w:rsidP="006A09FF">
        <w:pPr>
          <w:pStyle w:val="Header"/>
          <w:jc w:val="right"/>
          <w:rPr>
            <w:szCs w:val="22"/>
          </w:rPr>
        </w:pPr>
        <w:r>
          <w:t>WO/PBC/39/4</w:t>
        </w:r>
      </w:p>
      <w:p w14:paraId="1DBB295C" w14:textId="05CA0502" w:rsidR="00556285" w:rsidRPr="00406967" w:rsidRDefault="006917D6" w:rsidP="006A09FF">
        <w:pPr>
          <w:pStyle w:val="Header"/>
          <w:jc w:val="right"/>
        </w:pPr>
        <w:r>
          <w:t xml:space="preserve">página </w:t>
        </w:r>
        <w:bookmarkEnd w:id="64"/>
        <w:r w:rsidR="00556285" w:rsidRPr="00406967">
          <w:fldChar w:fldCharType="begin"/>
        </w:r>
        <w:r w:rsidR="00556285" w:rsidRPr="00406967">
          <w:instrText xml:space="preserve"> PAGE   \* MERGEFORMAT </w:instrText>
        </w:r>
        <w:r w:rsidR="00556285" w:rsidRPr="00406967">
          <w:fldChar w:fldCharType="separate"/>
        </w:r>
        <w:r w:rsidR="00556285" w:rsidRPr="00406967">
          <w:t>2</w:t>
        </w:r>
        <w:r w:rsidR="00556285" w:rsidRPr="00406967">
          <w:fldChar w:fldCharType="end"/>
        </w:r>
      </w:p>
    </w:sdtContent>
  </w:sdt>
  <w:p w14:paraId="302E6C50" w14:textId="77777777" w:rsidR="00556285" w:rsidRPr="00176205" w:rsidRDefault="005562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57371"/>
      <w:docPartObj>
        <w:docPartGallery w:val="Page Numbers (Top of Page)"/>
        <w:docPartUnique/>
      </w:docPartObj>
    </w:sdtPr>
    <w:sdtEndPr>
      <w:rPr>
        <w:noProof/>
      </w:rPr>
    </w:sdtEndPr>
    <w:sdtContent>
      <w:p w14:paraId="697D95DC" w14:textId="77777777" w:rsidR="00556285" w:rsidRPr="00406967" w:rsidRDefault="00556285" w:rsidP="006A09FF">
        <w:pPr>
          <w:pStyle w:val="Header"/>
          <w:jc w:val="right"/>
        </w:pPr>
        <w:r>
          <w:t>WO/PBC/39/4</w:t>
        </w:r>
      </w:p>
      <w:p w14:paraId="11EB0845" w14:textId="4E00400E" w:rsidR="00556285" w:rsidRPr="00406967" w:rsidRDefault="006917D6" w:rsidP="006A09FF">
        <w:pPr>
          <w:pStyle w:val="Header"/>
          <w:jc w:val="right"/>
        </w:pPr>
        <w:r>
          <w:t xml:space="preserve">página </w:t>
        </w:r>
        <w:r w:rsidR="00556285" w:rsidRPr="00406967">
          <w:fldChar w:fldCharType="begin"/>
        </w:r>
        <w:r w:rsidR="00556285" w:rsidRPr="00406967">
          <w:instrText xml:space="preserve"> PAGE   \* MERGEFORMAT </w:instrText>
        </w:r>
        <w:r w:rsidR="00556285" w:rsidRPr="00406967">
          <w:fldChar w:fldCharType="separate"/>
        </w:r>
        <w:r w:rsidR="00556285" w:rsidRPr="00406967">
          <w:t>2</w:t>
        </w:r>
        <w:r w:rsidR="00556285" w:rsidRPr="00406967">
          <w:fldChar w:fldCharType="end"/>
        </w:r>
      </w:p>
    </w:sdtContent>
  </w:sdt>
  <w:p w14:paraId="00A8EF66" w14:textId="77777777" w:rsidR="00556285" w:rsidRPr="00406967" w:rsidRDefault="00556285" w:rsidP="006A09FF">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46388"/>
      <w:docPartObj>
        <w:docPartGallery w:val="Page Numbers (Top of Page)"/>
        <w:docPartUnique/>
      </w:docPartObj>
    </w:sdtPr>
    <w:sdtEndPr>
      <w:rPr>
        <w:noProof/>
      </w:rPr>
    </w:sdtEndPr>
    <w:sdtContent>
      <w:p w14:paraId="62F064D4" w14:textId="77777777" w:rsidR="00556285" w:rsidRPr="00406967" w:rsidRDefault="00556285" w:rsidP="006A09FF">
        <w:pPr>
          <w:pStyle w:val="Header"/>
          <w:jc w:val="right"/>
        </w:pPr>
        <w:r>
          <w:t>WO/PBC/39/4</w:t>
        </w:r>
      </w:p>
      <w:p w14:paraId="3B591685" w14:textId="34D434A9" w:rsidR="00556285" w:rsidRPr="00406967" w:rsidRDefault="006917D6" w:rsidP="006A09FF">
        <w:pPr>
          <w:pStyle w:val="Header"/>
          <w:jc w:val="right"/>
        </w:pPr>
        <w:r>
          <w:t xml:space="preserve">página </w:t>
        </w:r>
        <w:r w:rsidR="00556285" w:rsidRPr="00406967">
          <w:fldChar w:fldCharType="begin"/>
        </w:r>
        <w:r w:rsidR="00556285" w:rsidRPr="00406967">
          <w:instrText xml:space="preserve"> PAGE   \* MERGEFORMAT </w:instrText>
        </w:r>
        <w:r w:rsidR="00556285" w:rsidRPr="00406967">
          <w:fldChar w:fldCharType="separate"/>
        </w:r>
        <w:r w:rsidR="00556285" w:rsidRPr="00406967">
          <w:t>2</w:t>
        </w:r>
        <w:r w:rsidR="00556285" w:rsidRPr="00406967">
          <w:fldChar w:fldCharType="end"/>
        </w:r>
      </w:p>
    </w:sdtContent>
  </w:sdt>
  <w:p w14:paraId="63C1CFAB" w14:textId="77777777" w:rsidR="00556285" w:rsidRPr="00406967" w:rsidRDefault="00556285" w:rsidP="006A09FF">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70806"/>
      <w:docPartObj>
        <w:docPartGallery w:val="Page Numbers (Top of Page)"/>
        <w:docPartUnique/>
      </w:docPartObj>
    </w:sdtPr>
    <w:sdtEndPr>
      <w:rPr>
        <w:noProof/>
      </w:rPr>
    </w:sdtEndPr>
    <w:sdtContent>
      <w:p w14:paraId="01BAC94E" w14:textId="77777777" w:rsidR="00556285" w:rsidRPr="00406967" w:rsidRDefault="00556285" w:rsidP="006A09FF">
        <w:pPr>
          <w:pStyle w:val="Header"/>
          <w:jc w:val="right"/>
        </w:pPr>
        <w:r>
          <w:t>WO/PBC/39/4</w:t>
        </w:r>
      </w:p>
      <w:p w14:paraId="75C95866" w14:textId="77777777" w:rsidR="00556285" w:rsidRPr="00406967" w:rsidRDefault="00556285" w:rsidP="006A09FF">
        <w:pPr>
          <w:pStyle w:val="Header"/>
          <w:jc w:val="right"/>
        </w:pPr>
        <w:r>
          <w:t xml:space="preserve">ANEXO I </w:t>
        </w:r>
      </w:p>
    </w:sdtContent>
  </w:sdt>
  <w:p w14:paraId="4851418F" w14:textId="77777777" w:rsidR="00556285" w:rsidRPr="00406967" w:rsidRDefault="00556285" w:rsidP="006A09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06494D78"/>
    <w:multiLevelType w:val="hybridMultilevel"/>
    <w:tmpl w:val="2970F1BE"/>
    <w:lvl w:ilvl="0" w:tplc="9810409E">
      <w:start w:val="1"/>
      <w:numFmt w:val="decimal"/>
      <w:lvlText w:val="%1."/>
      <w:lvlJc w:val="left"/>
      <w:pPr>
        <w:ind w:left="228" w:hanging="360"/>
      </w:pPr>
      <w:rPr>
        <w:rFonts w:ascii="Times New Roman" w:hAnsi="Times New Roman" w:cs="Times New Roman" w:hint="default"/>
        <w:b w:val="0"/>
        <w:bCs/>
        <w:color w:val="000000" w:themeColor="text1"/>
        <w:sz w:val="22"/>
        <w:szCs w:val="22"/>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3" w15:restartNumberingAfterBreak="0">
    <w:nsid w:val="06AC135B"/>
    <w:multiLevelType w:val="hybridMultilevel"/>
    <w:tmpl w:val="E37EFA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B7ADD"/>
    <w:multiLevelType w:val="hybridMultilevel"/>
    <w:tmpl w:val="C01A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6"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Noto Sans Symbols" w:eastAsia="Noto Sans Symbols" w:hAnsi="Noto Sans Symbols" w:cs="Noto Sans Symbols"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8"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EF7FA0"/>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57AA58C5"/>
    <w:multiLevelType w:val="multilevel"/>
    <w:tmpl w:val="0E3C85CA"/>
    <w:lvl w:ilvl="0">
      <w:start w:val="1"/>
      <w:numFmt w:val="lowerLetter"/>
      <w:lvlText w:val="%1."/>
      <w:lvlJc w:val="left"/>
      <w:pPr>
        <w:tabs>
          <w:tab w:val="num" w:pos="786"/>
        </w:tabs>
        <w:ind w:left="786" w:hanging="360"/>
      </w:pPr>
      <w:rPr>
        <w:rFonts w:ascii="Times New Roman" w:hAnsi="Times New Roman" w:cs="Times New Roman" w:hint="default"/>
        <w:b w:val="0"/>
        <w:bCs w:val="0"/>
        <w:sz w:val="22"/>
        <w:szCs w:val="22"/>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30"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31"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B5D60"/>
    <w:multiLevelType w:val="hybridMultilevel"/>
    <w:tmpl w:val="D278E8A4"/>
    <w:lvl w:ilvl="0" w:tplc="38090019">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541363">
    <w:abstractNumId w:val="13"/>
  </w:num>
  <w:num w:numId="2" w16cid:durableId="366106094">
    <w:abstractNumId w:val="22"/>
  </w:num>
  <w:num w:numId="3" w16cid:durableId="527137612">
    <w:abstractNumId w:val="0"/>
  </w:num>
  <w:num w:numId="4" w16cid:durableId="357853381">
    <w:abstractNumId w:val="24"/>
  </w:num>
  <w:num w:numId="5" w16cid:durableId="196164486">
    <w:abstractNumId w:val="4"/>
  </w:num>
  <w:num w:numId="6" w16cid:durableId="1241792273">
    <w:abstractNumId w:val="14"/>
  </w:num>
  <w:num w:numId="7" w16cid:durableId="1486513262">
    <w:abstractNumId w:val="10"/>
  </w:num>
  <w:num w:numId="8" w16cid:durableId="48110839">
    <w:abstractNumId w:val="6"/>
  </w:num>
  <w:num w:numId="9" w16cid:durableId="868957329">
    <w:abstractNumId w:val="38"/>
  </w:num>
  <w:num w:numId="10" w16cid:durableId="98137295">
    <w:abstractNumId w:val="2"/>
  </w:num>
  <w:num w:numId="11" w16cid:durableId="52513559">
    <w:abstractNumId w:val="18"/>
  </w:num>
  <w:num w:numId="12" w16cid:durableId="2316945">
    <w:abstractNumId w:val="7"/>
  </w:num>
  <w:num w:numId="13" w16cid:durableId="230508752">
    <w:abstractNumId w:val="30"/>
  </w:num>
  <w:num w:numId="14" w16cid:durableId="2059892543">
    <w:abstractNumId w:val="8"/>
  </w:num>
  <w:num w:numId="15" w16cid:durableId="575092815">
    <w:abstractNumId w:val="19"/>
  </w:num>
  <w:num w:numId="16" w16cid:durableId="133373504">
    <w:abstractNumId w:val="23"/>
  </w:num>
  <w:num w:numId="17" w16cid:durableId="708382304">
    <w:abstractNumId w:val="1"/>
  </w:num>
  <w:num w:numId="18" w16cid:durableId="1549995325">
    <w:abstractNumId w:val="26"/>
  </w:num>
  <w:num w:numId="19" w16cid:durableId="866144157">
    <w:abstractNumId w:val="5"/>
  </w:num>
  <w:num w:numId="20" w16cid:durableId="1998269212">
    <w:abstractNumId w:val="28"/>
  </w:num>
  <w:num w:numId="21" w16cid:durableId="452595863">
    <w:abstractNumId w:val="16"/>
  </w:num>
  <w:num w:numId="22" w16cid:durableId="472674117">
    <w:abstractNumId w:val="36"/>
  </w:num>
  <w:num w:numId="23" w16cid:durableId="161166677">
    <w:abstractNumId w:val="27"/>
  </w:num>
  <w:num w:numId="24" w16cid:durableId="2081050072">
    <w:abstractNumId w:val="37"/>
  </w:num>
  <w:num w:numId="25" w16cid:durableId="1143697658">
    <w:abstractNumId w:val="20"/>
  </w:num>
  <w:num w:numId="26" w16cid:durableId="146439792">
    <w:abstractNumId w:val="25"/>
  </w:num>
  <w:num w:numId="27" w16cid:durableId="1727336906">
    <w:abstractNumId w:val="34"/>
  </w:num>
  <w:num w:numId="28" w16cid:durableId="2106261603">
    <w:abstractNumId w:val="29"/>
  </w:num>
  <w:num w:numId="29" w16cid:durableId="169805846">
    <w:abstractNumId w:val="11"/>
  </w:num>
  <w:num w:numId="30" w16cid:durableId="875773336">
    <w:abstractNumId w:val="9"/>
  </w:num>
  <w:num w:numId="31" w16cid:durableId="885529826">
    <w:abstractNumId w:val="33"/>
  </w:num>
  <w:num w:numId="32" w16cid:durableId="4670225">
    <w:abstractNumId w:val="32"/>
  </w:num>
  <w:num w:numId="33" w16cid:durableId="275526785">
    <w:abstractNumId w:val="31"/>
  </w:num>
  <w:num w:numId="34" w16cid:durableId="95028396">
    <w:abstractNumId w:val="17"/>
  </w:num>
  <w:num w:numId="35" w16cid:durableId="150830683">
    <w:abstractNumId w:val="35"/>
  </w:num>
  <w:num w:numId="36" w16cid:durableId="1699701823">
    <w:abstractNumId w:val="12"/>
  </w:num>
  <w:num w:numId="37" w16cid:durableId="1060253835">
    <w:abstractNumId w:val="3"/>
  </w:num>
  <w:num w:numId="38" w16cid:durableId="1222251804">
    <w:abstractNumId w:val="15"/>
  </w:num>
  <w:num w:numId="39" w16cid:durableId="1773667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4"/>
    <w:rsid w:val="000001EE"/>
    <w:rsid w:val="0009447C"/>
    <w:rsid w:val="000E3BB3"/>
    <w:rsid w:val="000F5E56"/>
    <w:rsid w:val="00130BBC"/>
    <w:rsid w:val="001362EE"/>
    <w:rsid w:val="00152CEA"/>
    <w:rsid w:val="001560E7"/>
    <w:rsid w:val="001832A6"/>
    <w:rsid w:val="001C4DD3"/>
    <w:rsid w:val="001D50D1"/>
    <w:rsid w:val="002334B1"/>
    <w:rsid w:val="002427DF"/>
    <w:rsid w:val="002634C4"/>
    <w:rsid w:val="002C17F7"/>
    <w:rsid w:val="002F4E68"/>
    <w:rsid w:val="00307787"/>
    <w:rsid w:val="00354647"/>
    <w:rsid w:val="00377273"/>
    <w:rsid w:val="003845C1"/>
    <w:rsid w:val="00387287"/>
    <w:rsid w:val="003B7196"/>
    <w:rsid w:val="003D41D4"/>
    <w:rsid w:val="0041782C"/>
    <w:rsid w:val="00423E3E"/>
    <w:rsid w:val="00427AF4"/>
    <w:rsid w:val="0045231F"/>
    <w:rsid w:val="004647DA"/>
    <w:rsid w:val="00477D6B"/>
    <w:rsid w:val="004A6C37"/>
    <w:rsid w:val="004A7B16"/>
    <w:rsid w:val="004F7418"/>
    <w:rsid w:val="00511D0C"/>
    <w:rsid w:val="0055013B"/>
    <w:rsid w:val="00556285"/>
    <w:rsid w:val="0056224D"/>
    <w:rsid w:val="00571B99"/>
    <w:rsid w:val="005A7311"/>
    <w:rsid w:val="005C570F"/>
    <w:rsid w:val="005D64EC"/>
    <w:rsid w:val="005F2477"/>
    <w:rsid w:val="00605827"/>
    <w:rsid w:val="00675021"/>
    <w:rsid w:val="00687E0D"/>
    <w:rsid w:val="0069159F"/>
    <w:rsid w:val="006917D6"/>
    <w:rsid w:val="006A06C6"/>
    <w:rsid w:val="006A09FF"/>
    <w:rsid w:val="006A7643"/>
    <w:rsid w:val="006B2653"/>
    <w:rsid w:val="006D25ED"/>
    <w:rsid w:val="00730E1D"/>
    <w:rsid w:val="007C6296"/>
    <w:rsid w:val="007E63AC"/>
    <w:rsid w:val="007E663E"/>
    <w:rsid w:val="00815082"/>
    <w:rsid w:val="00843582"/>
    <w:rsid w:val="008B14EA"/>
    <w:rsid w:val="008B2CC1"/>
    <w:rsid w:val="008B4962"/>
    <w:rsid w:val="0090731E"/>
    <w:rsid w:val="0091244A"/>
    <w:rsid w:val="00966A22"/>
    <w:rsid w:val="00972F03"/>
    <w:rsid w:val="00975C44"/>
    <w:rsid w:val="009A0C8B"/>
    <w:rsid w:val="009B6241"/>
    <w:rsid w:val="00A16FC0"/>
    <w:rsid w:val="00A32C9E"/>
    <w:rsid w:val="00A336B7"/>
    <w:rsid w:val="00A57DC6"/>
    <w:rsid w:val="00A61264"/>
    <w:rsid w:val="00A679A5"/>
    <w:rsid w:val="00A7453D"/>
    <w:rsid w:val="00A8121F"/>
    <w:rsid w:val="00A95F8F"/>
    <w:rsid w:val="00AB613D"/>
    <w:rsid w:val="00AD5548"/>
    <w:rsid w:val="00B65A0A"/>
    <w:rsid w:val="00B72D36"/>
    <w:rsid w:val="00BA063E"/>
    <w:rsid w:val="00BC4164"/>
    <w:rsid w:val="00BD2DCC"/>
    <w:rsid w:val="00BE1A8C"/>
    <w:rsid w:val="00C06472"/>
    <w:rsid w:val="00C57EFC"/>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3E4EB"/>
  <w15:docId w15:val="{3C989F87-9B62-430B-859F-02F837C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556285"/>
    <w:pPr>
      <w:keepNext/>
      <w:keepLines/>
      <w:spacing w:before="80" w:after="40" w:line="280" w:lineRule="exact"/>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56285"/>
    <w:pPr>
      <w:keepNext/>
      <w:keepLines/>
      <w:spacing w:before="40" w:line="280" w:lineRule="exac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56285"/>
    <w:pPr>
      <w:keepNext/>
      <w:keepLines/>
      <w:spacing w:before="40" w:line="280" w:lineRule="exac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56285"/>
    <w:pPr>
      <w:keepNext/>
      <w:keepLines/>
      <w:spacing w:line="280" w:lineRule="exac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56285"/>
    <w:pPr>
      <w:keepNext/>
      <w:keepLines/>
      <w:spacing w:line="280" w:lineRule="exac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Audit Paragraph,kepala"/>
    <w:basedOn w:val="Normal"/>
    <w:link w:val="ListParagraphChar"/>
    <w:uiPriority w:val="34"/>
    <w:qFormat/>
    <w:rsid w:val="00A61264"/>
    <w:pPr>
      <w:spacing w:after="120" w:line="280" w:lineRule="exact"/>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ListParagraphChar">
    <w:name w:val="List Paragraph Char"/>
    <w:aliases w:val="Audit Paragraph Char,kepala Char"/>
    <w:basedOn w:val="DefaultParagraphFont"/>
    <w:link w:val="ListParagraph"/>
    <w:uiPriority w:val="34"/>
    <w:qFormat/>
    <w:rsid w:val="00A61264"/>
    <w:rPr>
      <w:rFonts w:asciiTheme="minorHAnsi" w:eastAsiaTheme="minorHAnsi" w:hAnsiTheme="minorHAnsi" w:cstheme="minorBidi"/>
      <w:kern w:val="2"/>
      <w:sz w:val="24"/>
      <w:szCs w:val="24"/>
      <w:lang w:val="es-ES" w:eastAsia="en-US"/>
      <w14:ligatures w14:val="standardContextual"/>
    </w:rPr>
  </w:style>
  <w:style w:type="character" w:customStyle="1" w:styleId="HeaderChar">
    <w:name w:val="Header Char"/>
    <w:basedOn w:val="DefaultParagraphFont"/>
    <w:link w:val="Header"/>
    <w:uiPriority w:val="99"/>
    <w:rsid w:val="00556285"/>
    <w:rPr>
      <w:rFonts w:ascii="Arial" w:eastAsia="SimSun" w:hAnsi="Arial" w:cs="Arial"/>
      <w:sz w:val="22"/>
      <w:lang w:val="es-ES" w:eastAsia="zh-CN"/>
    </w:rPr>
  </w:style>
  <w:style w:type="character" w:customStyle="1" w:styleId="Heading5Char">
    <w:name w:val="Heading 5 Char"/>
    <w:basedOn w:val="DefaultParagraphFont"/>
    <w:link w:val="Heading5"/>
    <w:uiPriority w:val="9"/>
    <w:semiHidden/>
    <w:rsid w:val="00556285"/>
    <w:rPr>
      <w:rFonts w:asciiTheme="minorHAnsi" w:eastAsiaTheme="majorEastAsia" w:hAnsiTheme="minorHAnsi" w:cstheme="majorBidi"/>
      <w:color w:val="365F91" w:themeColor="accent1" w:themeShade="BF"/>
      <w:kern w:val="2"/>
      <w:sz w:val="24"/>
      <w:szCs w:val="24"/>
      <w:lang w:val="es-ES" w:eastAsia="en-US"/>
      <w14:ligatures w14:val="standardContextual"/>
    </w:rPr>
  </w:style>
  <w:style w:type="character" w:customStyle="1" w:styleId="Heading6Char">
    <w:name w:val="Heading 6 Char"/>
    <w:basedOn w:val="DefaultParagraphFont"/>
    <w:link w:val="Heading6"/>
    <w:uiPriority w:val="9"/>
    <w:semiHidden/>
    <w:rsid w:val="00556285"/>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character" w:customStyle="1" w:styleId="Heading7Char">
    <w:name w:val="Heading 7 Char"/>
    <w:basedOn w:val="DefaultParagraphFont"/>
    <w:link w:val="Heading7"/>
    <w:uiPriority w:val="9"/>
    <w:semiHidden/>
    <w:rsid w:val="00556285"/>
    <w:rPr>
      <w:rFonts w:asciiTheme="minorHAnsi" w:eastAsiaTheme="majorEastAsia" w:hAnsiTheme="minorHAnsi" w:cstheme="majorBidi"/>
      <w:color w:val="595959" w:themeColor="text1" w:themeTint="A6"/>
      <w:kern w:val="2"/>
      <w:sz w:val="24"/>
      <w:szCs w:val="24"/>
      <w:lang w:val="es-ES" w:eastAsia="en-US"/>
      <w14:ligatures w14:val="standardContextual"/>
    </w:rPr>
  </w:style>
  <w:style w:type="character" w:customStyle="1" w:styleId="Heading8Char">
    <w:name w:val="Heading 8 Char"/>
    <w:basedOn w:val="DefaultParagraphFont"/>
    <w:link w:val="Heading8"/>
    <w:uiPriority w:val="9"/>
    <w:semiHidden/>
    <w:rsid w:val="00556285"/>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character" w:customStyle="1" w:styleId="Heading9Char">
    <w:name w:val="Heading 9 Char"/>
    <w:basedOn w:val="DefaultParagraphFont"/>
    <w:link w:val="Heading9"/>
    <w:uiPriority w:val="9"/>
    <w:semiHidden/>
    <w:rsid w:val="00556285"/>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customStyle="1" w:styleId="Heading1Char">
    <w:name w:val="Heading 1 Char"/>
    <w:basedOn w:val="DefaultParagraphFont"/>
    <w:link w:val="Heading1"/>
    <w:uiPriority w:val="9"/>
    <w:rsid w:val="0055628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55628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55628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556285"/>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5562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56285"/>
    <w:rPr>
      <w:rFonts w:asciiTheme="majorHAnsi" w:eastAsiaTheme="majorEastAsia" w:hAnsiTheme="majorHAnsi" w:cstheme="majorBidi"/>
      <w:spacing w:val="-10"/>
      <w:kern w:val="28"/>
      <w:sz w:val="56"/>
      <w:szCs w:val="56"/>
      <w:lang w:val="es-ES" w:eastAsia="en-US"/>
      <w14:ligatures w14:val="standardContextual"/>
    </w:rPr>
  </w:style>
  <w:style w:type="paragraph" w:styleId="Subtitle">
    <w:name w:val="Subtitle"/>
    <w:basedOn w:val="Normal"/>
    <w:next w:val="Normal"/>
    <w:link w:val="SubtitleChar"/>
    <w:uiPriority w:val="11"/>
    <w:qFormat/>
    <w:rsid w:val="00556285"/>
    <w:pPr>
      <w:numPr>
        <w:ilvl w:val="1"/>
      </w:numPr>
      <w:spacing w:after="120" w:line="280" w:lineRule="exac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56285"/>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Quote">
    <w:name w:val="Quote"/>
    <w:basedOn w:val="Normal"/>
    <w:next w:val="Normal"/>
    <w:link w:val="QuoteChar"/>
    <w:uiPriority w:val="29"/>
    <w:qFormat/>
    <w:rsid w:val="00556285"/>
    <w:pPr>
      <w:spacing w:before="160" w:after="120" w:line="280" w:lineRule="exact"/>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56285"/>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styleId="IntenseEmphasis">
    <w:name w:val="Intense Emphasis"/>
    <w:basedOn w:val="DefaultParagraphFont"/>
    <w:uiPriority w:val="21"/>
    <w:qFormat/>
    <w:rsid w:val="00556285"/>
    <w:rPr>
      <w:i/>
      <w:iCs/>
      <w:color w:val="365F91" w:themeColor="accent1" w:themeShade="BF"/>
    </w:rPr>
  </w:style>
  <w:style w:type="paragraph" w:styleId="IntenseQuote">
    <w:name w:val="Intense Quote"/>
    <w:basedOn w:val="Normal"/>
    <w:next w:val="Normal"/>
    <w:link w:val="IntenseQuoteChar"/>
    <w:uiPriority w:val="30"/>
    <w:qFormat/>
    <w:rsid w:val="00556285"/>
    <w:pPr>
      <w:pBdr>
        <w:top w:val="single" w:sz="4" w:space="10" w:color="365F91" w:themeColor="accent1" w:themeShade="BF"/>
        <w:bottom w:val="single" w:sz="4" w:space="10" w:color="365F91" w:themeColor="accent1" w:themeShade="BF"/>
      </w:pBdr>
      <w:spacing w:before="360" w:after="360" w:line="280" w:lineRule="exact"/>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56285"/>
    <w:rPr>
      <w:rFonts w:asciiTheme="minorHAnsi" w:eastAsiaTheme="minorHAnsi" w:hAnsiTheme="minorHAnsi" w:cstheme="minorBidi"/>
      <w:i/>
      <w:iCs/>
      <w:color w:val="365F91" w:themeColor="accent1" w:themeShade="BF"/>
      <w:kern w:val="2"/>
      <w:sz w:val="24"/>
      <w:szCs w:val="24"/>
      <w:lang w:val="es-ES" w:eastAsia="en-US"/>
      <w14:ligatures w14:val="standardContextual"/>
    </w:rPr>
  </w:style>
  <w:style w:type="character" w:styleId="IntenseReference">
    <w:name w:val="Intense Reference"/>
    <w:basedOn w:val="DefaultParagraphFont"/>
    <w:uiPriority w:val="32"/>
    <w:qFormat/>
    <w:rsid w:val="00556285"/>
    <w:rPr>
      <w:b/>
      <w:bCs/>
      <w:smallCaps/>
      <w:color w:val="365F91" w:themeColor="accent1" w:themeShade="BF"/>
      <w:spacing w:val="5"/>
    </w:rPr>
  </w:style>
  <w:style w:type="table" w:styleId="TableGrid">
    <w:name w:val="Table Grid"/>
    <w:basedOn w:val="TableNormal"/>
    <w:uiPriority w:val="39"/>
    <w:rsid w:val="0055628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628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6285"/>
  </w:style>
  <w:style w:type="character" w:customStyle="1" w:styleId="eop">
    <w:name w:val="eop"/>
    <w:basedOn w:val="DefaultParagraphFont"/>
    <w:rsid w:val="00556285"/>
  </w:style>
  <w:style w:type="paragraph" w:customStyle="1" w:styleId="HeaderSatu">
    <w:name w:val="Header Satu"/>
    <w:basedOn w:val="ListParagraph"/>
    <w:qFormat/>
    <w:rsid w:val="00556285"/>
    <w:pPr>
      <w:numPr>
        <w:numId w:val="9"/>
      </w:numPr>
      <w:contextualSpacing w:val="0"/>
    </w:pPr>
    <w:rPr>
      <w:rFonts w:ascii="Times New Roman" w:hAnsi="Times New Roman" w:cs="Times New Roman"/>
      <w:b/>
      <w:bCs/>
      <w:sz w:val="22"/>
      <w:szCs w:val="22"/>
    </w:rPr>
  </w:style>
  <w:style w:type="paragraph" w:customStyle="1" w:styleId="HeaderDua">
    <w:name w:val="Header Dua"/>
    <w:basedOn w:val="ListParagraph"/>
    <w:qFormat/>
    <w:rsid w:val="00556285"/>
    <w:pPr>
      <w:ind w:left="0"/>
    </w:pPr>
    <w:rPr>
      <w:rFonts w:ascii="Times New Roman" w:hAnsi="Times New Roman" w:cs="Times New Roman"/>
      <w:b/>
      <w:sz w:val="22"/>
      <w:szCs w:val="22"/>
    </w:rPr>
  </w:style>
  <w:style w:type="paragraph" w:customStyle="1" w:styleId="HeaderTiga">
    <w:name w:val="Header Tiga"/>
    <w:basedOn w:val="Normal"/>
    <w:qFormat/>
    <w:rsid w:val="00556285"/>
    <w:pPr>
      <w:spacing w:after="120" w:line="280" w:lineRule="exact"/>
    </w:pPr>
    <w:rPr>
      <w:rFonts w:ascii="Times New Roman" w:eastAsiaTheme="minorHAnsi" w:hAnsi="Times New Roman" w:cs="Times New Roman"/>
      <w:b/>
      <w:bCs/>
      <w:i/>
      <w:iCs/>
      <w:kern w:val="2"/>
      <w:szCs w:val="22"/>
      <w:lang w:eastAsia="en-US"/>
      <w14:ligatures w14:val="standardContextual"/>
    </w:rPr>
  </w:style>
  <w:style w:type="paragraph" w:styleId="Revision">
    <w:name w:val="Revision"/>
    <w:hidden/>
    <w:uiPriority w:val="99"/>
    <w:semiHidden/>
    <w:rsid w:val="00556285"/>
    <w:rPr>
      <w:rFonts w:asciiTheme="minorHAnsi" w:eastAsiaTheme="minorHAnsi" w:hAnsiTheme="minorHAnsi" w:cstheme="minorBidi"/>
      <w:kern w:val="2"/>
      <w:sz w:val="24"/>
      <w:szCs w:val="24"/>
      <w:lang w:val="es-ES" w:eastAsia="en-US"/>
      <w14:ligatures w14:val="standardContextual"/>
    </w:rPr>
  </w:style>
  <w:style w:type="paragraph" w:styleId="TOC3">
    <w:name w:val="toc 3"/>
    <w:basedOn w:val="Normal"/>
    <w:next w:val="Normal"/>
    <w:uiPriority w:val="39"/>
    <w:unhideWhenUsed/>
    <w:qFormat/>
    <w:rsid w:val="00556285"/>
    <w:pPr>
      <w:spacing w:line="280" w:lineRule="exact"/>
      <w:ind w:left="480"/>
    </w:pPr>
    <w:rPr>
      <w:rFonts w:ascii="Times New Roman" w:eastAsiaTheme="minorHAnsi" w:hAnsi="Times New Roman" w:cstheme="minorBidi"/>
      <w:i/>
      <w:color w:val="000000" w:themeColor="text1"/>
      <w:kern w:val="2"/>
      <w:lang w:eastAsia="en-US"/>
      <w14:ligatures w14:val="standardContextual"/>
    </w:rPr>
  </w:style>
  <w:style w:type="table" w:styleId="GridTable2">
    <w:name w:val="Grid Table 2"/>
    <w:basedOn w:val="TableNormal"/>
    <w:uiPriority w:val="47"/>
    <w:rsid w:val="00556285"/>
    <w:rPr>
      <w:rFonts w:asciiTheme="minorHAnsi" w:eastAsiaTheme="minorHAnsi" w:hAnsiTheme="minorHAnsi" w:cstheme="minorBidi"/>
      <w:kern w:val="2"/>
      <w:sz w:val="24"/>
      <w:szCs w:val="24"/>
      <w:lang w:val="es-ES"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56285"/>
    <w:rPr>
      <w:rFonts w:asciiTheme="minorHAnsi" w:eastAsiaTheme="minorHAnsi" w:hAnsiTheme="minorHAnsi" w:cstheme="minorBidi"/>
      <w:kern w:val="2"/>
      <w:sz w:val="24"/>
      <w:szCs w:val="24"/>
      <w:lang w:val="es-E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rsid w:val="00556285"/>
    <w:rPr>
      <w:rFonts w:asciiTheme="minorHAnsi" w:eastAsiaTheme="minorHAnsi" w:hAnsiTheme="minorHAnsi" w:cstheme="minorBidi"/>
      <w:kern w:val="2"/>
      <w:sz w:val="24"/>
      <w:szCs w:val="24"/>
      <w:lang w:val="es-ES"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56285"/>
    <w:rPr>
      <w:rFonts w:asciiTheme="minorHAnsi" w:eastAsiaTheme="minorHAnsi" w:hAnsiTheme="minorHAnsi" w:cstheme="minorBidi"/>
      <w:kern w:val="2"/>
      <w:sz w:val="24"/>
      <w:szCs w:val="24"/>
      <w:lang w:val="es-ES" w:eastAsia="en-US"/>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4">
    <w:name w:val="List Table 1 Light Accent 4"/>
    <w:basedOn w:val="TableNormal"/>
    <w:uiPriority w:val="46"/>
    <w:rsid w:val="00556285"/>
    <w:rPr>
      <w:rFonts w:asciiTheme="minorHAnsi" w:eastAsiaTheme="minorHAnsi" w:hAnsiTheme="minorHAnsi" w:cstheme="minorBidi"/>
      <w:kern w:val="2"/>
      <w:sz w:val="24"/>
      <w:szCs w:val="24"/>
      <w:lang w:val="es-ES" w:eastAsia="en-US"/>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56285"/>
    <w:rPr>
      <w:rFonts w:asciiTheme="minorHAnsi" w:eastAsiaTheme="minorHAnsi" w:hAnsiTheme="minorHAnsi" w:cstheme="minorBidi"/>
      <w:color w:val="000000" w:themeColor="text1"/>
      <w:kern w:val="2"/>
      <w:sz w:val="24"/>
      <w:szCs w:val="24"/>
      <w:lang w:val="es-ES"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556285"/>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56285"/>
    <w:rPr>
      <w:rFonts w:ascii="Segoe UI" w:eastAsiaTheme="minorHAnsi" w:hAnsi="Segoe UI" w:cs="Segoe UI"/>
      <w:kern w:val="2"/>
      <w:sz w:val="18"/>
      <w:szCs w:val="18"/>
      <w:lang w:eastAsia="en-US"/>
      <w14:ligatures w14:val="standardContextual"/>
    </w:rPr>
  </w:style>
  <w:style w:type="character" w:customStyle="1" w:styleId="BalloonTextChar">
    <w:name w:val="Balloon Text Char"/>
    <w:basedOn w:val="DefaultParagraphFont"/>
    <w:link w:val="BalloonText"/>
    <w:uiPriority w:val="99"/>
    <w:semiHidden/>
    <w:rsid w:val="00556285"/>
    <w:rPr>
      <w:rFonts w:ascii="Segoe UI" w:eastAsiaTheme="minorHAnsi" w:hAnsi="Segoe UI" w:cs="Segoe UI"/>
      <w:kern w:val="2"/>
      <w:sz w:val="18"/>
      <w:szCs w:val="18"/>
      <w:lang w:val="es-ES" w:eastAsia="en-US"/>
      <w14:ligatures w14:val="standardContextual"/>
    </w:rPr>
  </w:style>
  <w:style w:type="paragraph" w:styleId="TOCHeading">
    <w:name w:val="TOC Heading"/>
    <w:basedOn w:val="Heading1"/>
    <w:next w:val="Normal"/>
    <w:uiPriority w:val="39"/>
    <w:unhideWhenUsed/>
    <w:qFormat/>
    <w:rsid w:val="00556285"/>
    <w:pPr>
      <w:keepLines/>
      <w:spacing w:before="480" w:after="0" w:line="276" w:lineRule="auto"/>
      <w:outlineLvl w:val="9"/>
    </w:pPr>
    <w:rPr>
      <w:rFonts w:ascii="Times New Roman" w:eastAsiaTheme="majorEastAsia" w:hAnsi="Times New Roman" w:cstheme="majorBidi"/>
      <w:b w:val="0"/>
      <w:caps w:val="0"/>
      <w:color w:val="000000" w:themeColor="text1"/>
      <w:kern w:val="0"/>
      <w:sz w:val="28"/>
      <w:szCs w:val="28"/>
      <w:lang w:eastAsia="en-US"/>
    </w:rPr>
  </w:style>
  <w:style w:type="paragraph" w:styleId="TOC1">
    <w:name w:val="toc 1"/>
    <w:basedOn w:val="Normal"/>
    <w:next w:val="Normal"/>
    <w:autoRedefine/>
    <w:uiPriority w:val="39"/>
    <w:unhideWhenUsed/>
    <w:rsid w:val="0091244A"/>
    <w:pPr>
      <w:tabs>
        <w:tab w:val="left" w:pos="480"/>
        <w:tab w:val="right" w:leader="dot" w:pos="7927"/>
      </w:tabs>
      <w:spacing w:line="280" w:lineRule="exact"/>
      <w:ind w:left="851" w:hanging="851"/>
    </w:pPr>
    <w:rPr>
      <w:rFonts w:ascii="Times New Roman" w:eastAsiaTheme="minorHAnsi" w:hAnsi="Times New Roman" w:cs="Times New Roman"/>
      <w:b/>
      <w:bCs/>
      <w:iCs/>
      <w:noProof/>
      <w:kern w:val="2"/>
      <w:szCs w:val="22"/>
      <w:lang w:eastAsia="en-US"/>
      <w14:ligatures w14:val="standardContextual"/>
    </w:rPr>
  </w:style>
  <w:style w:type="paragraph" w:styleId="TOC2">
    <w:name w:val="toc 2"/>
    <w:basedOn w:val="Normal"/>
    <w:next w:val="Normal"/>
    <w:autoRedefine/>
    <w:uiPriority w:val="39"/>
    <w:unhideWhenUsed/>
    <w:rsid w:val="00556285"/>
    <w:pPr>
      <w:tabs>
        <w:tab w:val="right" w:leader="dot" w:pos="7927"/>
      </w:tabs>
      <w:spacing w:before="60" w:after="60" w:line="280" w:lineRule="exact"/>
      <w:ind w:left="720"/>
    </w:pPr>
    <w:rPr>
      <w:rFonts w:ascii="Times New Roman" w:eastAsiaTheme="minorHAnsi" w:hAnsi="Times New Roman" w:cstheme="minorBidi"/>
      <w:b/>
      <w:bCs/>
      <w:noProof/>
      <w:color w:val="000000" w:themeColor="text1"/>
      <w:kern w:val="2"/>
      <w:szCs w:val="22"/>
      <w:lang w:eastAsia="en-US"/>
      <w14:ligatures w14:val="standardContextual"/>
    </w:rPr>
  </w:style>
  <w:style w:type="character" w:styleId="Hyperlink">
    <w:name w:val="Hyperlink"/>
    <w:basedOn w:val="DefaultParagraphFont"/>
    <w:uiPriority w:val="99"/>
    <w:unhideWhenUsed/>
    <w:rsid w:val="00556285"/>
    <w:rPr>
      <w:color w:val="0000FF" w:themeColor="hyperlink"/>
      <w:u w:val="single"/>
    </w:rPr>
  </w:style>
  <w:style w:type="paragraph" w:styleId="TOC4">
    <w:name w:val="toc 4"/>
    <w:basedOn w:val="Normal"/>
    <w:next w:val="Normal"/>
    <w:autoRedefine/>
    <w:uiPriority w:val="39"/>
    <w:semiHidden/>
    <w:unhideWhenUsed/>
    <w:rsid w:val="00556285"/>
    <w:pPr>
      <w:spacing w:line="280" w:lineRule="exact"/>
      <w:ind w:left="720"/>
    </w:pPr>
    <w:rPr>
      <w:rFonts w:asciiTheme="minorHAnsi" w:eastAsiaTheme="minorHAnsi" w:hAnsiTheme="minorHAnsi" w:cstheme="minorBidi"/>
      <w:kern w:val="2"/>
      <w:sz w:val="20"/>
      <w:lang w:eastAsia="en-US"/>
      <w14:ligatures w14:val="standardContextual"/>
    </w:rPr>
  </w:style>
  <w:style w:type="paragraph" w:styleId="TOC5">
    <w:name w:val="toc 5"/>
    <w:basedOn w:val="Normal"/>
    <w:next w:val="Normal"/>
    <w:autoRedefine/>
    <w:uiPriority w:val="39"/>
    <w:semiHidden/>
    <w:unhideWhenUsed/>
    <w:rsid w:val="00556285"/>
    <w:pPr>
      <w:spacing w:line="280" w:lineRule="exact"/>
      <w:ind w:left="960"/>
    </w:pPr>
    <w:rPr>
      <w:rFonts w:asciiTheme="minorHAnsi" w:eastAsiaTheme="minorHAnsi" w:hAnsiTheme="minorHAnsi" w:cstheme="minorBidi"/>
      <w:kern w:val="2"/>
      <w:sz w:val="20"/>
      <w:lang w:eastAsia="en-US"/>
      <w14:ligatures w14:val="standardContextual"/>
    </w:rPr>
  </w:style>
  <w:style w:type="paragraph" w:styleId="TOC6">
    <w:name w:val="toc 6"/>
    <w:basedOn w:val="Normal"/>
    <w:next w:val="Normal"/>
    <w:autoRedefine/>
    <w:uiPriority w:val="39"/>
    <w:semiHidden/>
    <w:unhideWhenUsed/>
    <w:rsid w:val="00556285"/>
    <w:pPr>
      <w:spacing w:line="280" w:lineRule="exact"/>
      <w:ind w:left="1200"/>
    </w:pPr>
    <w:rPr>
      <w:rFonts w:asciiTheme="minorHAnsi" w:eastAsiaTheme="minorHAnsi" w:hAnsiTheme="minorHAnsi" w:cstheme="minorBidi"/>
      <w:kern w:val="2"/>
      <w:sz w:val="20"/>
      <w:lang w:eastAsia="en-US"/>
      <w14:ligatures w14:val="standardContextual"/>
    </w:rPr>
  </w:style>
  <w:style w:type="paragraph" w:styleId="TOC7">
    <w:name w:val="toc 7"/>
    <w:basedOn w:val="Normal"/>
    <w:next w:val="Normal"/>
    <w:autoRedefine/>
    <w:uiPriority w:val="39"/>
    <w:semiHidden/>
    <w:unhideWhenUsed/>
    <w:rsid w:val="00556285"/>
    <w:pPr>
      <w:spacing w:line="280" w:lineRule="exact"/>
      <w:ind w:left="1440"/>
    </w:pPr>
    <w:rPr>
      <w:rFonts w:asciiTheme="minorHAnsi" w:eastAsiaTheme="minorHAnsi" w:hAnsiTheme="minorHAnsi" w:cstheme="minorBidi"/>
      <w:kern w:val="2"/>
      <w:sz w:val="20"/>
      <w:lang w:eastAsia="en-US"/>
      <w14:ligatures w14:val="standardContextual"/>
    </w:rPr>
  </w:style>
  <w:style w:type="paragraph" w:styleId="TOC8">
    <w:name w:val="toc 8"/>
    <w:basedOn w:val="Normal"/>
    <w:next w:val="Normal"/>
    <w:autoRedefine/>
    <w:uiPriority w:val="39"/>
    <w:semiHidden/>
    <w:unhideWhenUsed/>
    <w:rsid w:val="00556285"/>
    <w:pPr>
      <w:spacing w:line="280" w:lineRule="exact"/>
      <w:ind w:left="1680"/>
    </w:pPr>
    <w:rPr>
      <w:rFonts w:asciiTheme="minorHAnsi" w:eastAsiaTheme="minorHAnsi" w:hAnsiTheme="minorHAnsi" w:cstheme="minorBidi"/>
      <w:kern w:val="2"/>
      <w:sz w:val="20"/>
      <w:lang w:eastAsia="en-US"/>
      <w14:ligatures w14:val="standardContextual"/>
    </w:rPr>
  </w:style>
  <w:style w:type="paragraph" w:styleId="TOC9">
    <w:name w:val="toc 9"/>
    <w:basedOn w:val="Normal"/>
    <w:next w:val="Normal"/>
    <w:autoRedefine/>
    <w:uiPriority w:val="39"/>
    <w:semiHidden/>
    <w:unhideWhenUsed/>
    <w:rsid w:val="00556285"/>
    <w:pPr>
      <w:spacing w:line="280" w:lineRule="exact"/>
      <w:ind w:left="1920"/>
    </w:pPr>
    <w:rPr>
      <w:rFonts w:asciiTheme="minorHAnsi" w:eastAsiaTheme="minorHAnsi" w:hAnsiTheme="minorHAnsi" w:cstheme="minorBidi"/>
      <w:kern w:val="2"/>
      <w:sz w:val="20"/>
      <w:lang w:eastAsia="en-US"/>
      <w14:ligatures w14:val="standardContextual"/>
    </w:rPr>
  </w:style>
  <w:style w:type="paragraph" w:styleId="TableofFigures">
    <w:name w:val="table of figures"/>
    <w:basedOn w:val="Normal"/>
    <w:next w:val="Normal"/>
    <w:uiPriority w:val="99"/>
    <w:unhideWhenUsed/>
    <w:rsid w:val="00556285"/>
    <w:pPr>
      <w:spacing w:line="280" w:lineRule="exact"/>
    </w:pPr>
    <w:rPr>
      <w:rFonts w:ascii="Times New Roman" w:eastAsiaTheme="minorHAnsi" w:hAnsi="Times New Roman" w:cstheme="minorBidi"/>
      <w:color w:val="000000" w:themeColor="text1"/>
      <w:kern w:val="2"/>
      <w:szCs w:val="24"/>
      <w:lang w:eastAsia="en-US"/>
      <w14:ligatures w14:val="standardContextual"/>
    </w:rPr>
  </w:style>
  <w:style w:type="character" w:customStyle="1" w:styleId="FooterChar">
    <w:name w:val="Footer Char"/>
    <w:basedOn w:val="DefaultParagraphFont"/>
    <w:link w:val="Footer"/>
    <w:uiPriority w:val="99"/>
    <w:rsid w:val="00556285"/>
    <w:rPr>
      <w:rFonts w:ascii="Arial" w:eastAsia="SimSun" w:hAnsi="Arial" w:cs="Arial"/>
      <w:sz w:val="22"/>
      <w:lang w:val="es-ES" w:eastAsia="zh-CN"/>
    </w:rPr>
  </w:style>
  <w:style w:type="character" w:styleId="PageNumber">
    <w:name w:val="page number"/>
    <w:basedOn w:val="DefaultParagraphFont"/>
    <w:uiPriority w:val="99"/>
    <w:semiHidden/>
    <w:unhideWhenUsed/>
    <w:rsid w:val="00556285"/>
  </w:style>
  <w:style w:type="character" w:styleId="FollowedHyperlink">
    <w:name w:val="FollowedHyperlink"/>
    <w:basedOn w:val="DefaultParagraphFont"/>
    <w:uiPriority w:val="99"/>
    <w:semiHidden/>
    <w:unhideWhenUsed/>
    <w:rsid w:val="00556285"/>
    <w:rPr>
      <w:color w:val="800080" w:themeColor="followedHyperlink"/>
      <w:u w:val="single"/>
    </w:rPr>
  </w:style>
  <w:style w:type="character" w:styleId="CommentReference">
    <w:name w:val="annotation reference"/>
    <w:basedOn w:val="DefaultParagraphFont"/>
    <w:uiPriority w:val="99"/>
    <w:semiHidden/>
    <w:unhideWhenUsed/>
    <w:rsid w:val="00556285"/>
    <w:rPr>
      <w:sz w:val="16"/>
      <w:szCs w:val="16"/>
    </w:rPr>
  </w:style>
  <w:style w:type="character" w:customStyle="1" w:styleId="CommentTextChar">
    <w:name w:val="Comment Text Char"/>
    <w:basedOn w:val="DefaultParagraphFont"/>
    <w:uiPriority w:val="99"/>
    <w:rsid w:val="00556285"/>
    <w:rPr>
      <w:sz w:val="20"/>
      <w:szCs w:val="20"/>
    </w:rPr>
  </w:style>
  <w:style w:type="paragraph" w:styleId="CommentSubject">
    <w:name w:val="annotation subject"/>
    <w:basedOn w:val="CommentText"/>
    <w:next w:val="CommentText"/>
    <w:link w:val="CommentSubjectChar"/>
    <w:uiPriority w:val="99"/>
    <w:semiHidden/>
    <w:unhideWhenUsed/>
    <w:rsid w:val="00556285"/>
    <w:pPr>
      <w:spacing w:after="12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556285"/>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556285"/>
    <w:rPr>
      <w:rFonts w:asciiTheme="minorHAnsi" w:eastAsiaTheme="minorHAnsi" w:hAnsiTheme="minorHAnsi" w:cstheme="minorBidi"/>
      <w:b/>
      <w:bCs/>
      <w:kern w:val="2"/>
      <w:sz w:val="18"/>
      <w:lang w:val="es-ES" w:eastAsia="en-US"/>
      <w14:ligatures w14:val="standardContextual"/>
    </w:rPr>
  </w:style>
  <w:style w:type="character" w:styleId="SubtleReference">
    <w:name w:val="Subtle Reference"/>
    <w:basedOn w:val="DefaultParagraphFont"/>
    <w:uiPriority w:val="31"/>
    <w:qFormat/>
    <w:rsid w:val="00556285"/>
    <w:rPr>
      <w:smallCaps/>
      <w:color w:val="595959" w:themeColor="text1" w:themeTint="A6"/>
      <w:u w:val="none" w:color="7F7F7F" w:themeColor="text1" w:themeTint="8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eader" Target="header9.xml"/><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header" Target="header1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oter" Target="footer20.xml"/><Relationship Id="rId40" Type="http://schemas.openxmlformats.org/officeDocument/2006/relationships/footer" Target="footer2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9.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header" Target="header1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oter" Target="footer21.xml"/><Relationship Id="rId20" Type="http://schemas.openxmlformats.org/officeDocument/2006/relationships/header" Target="header5.xml"/><Relationship Id="rId41" Type="http://schemas.openxmlformats.org/officeDocument/2006/relationships/footer" Target="footer2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(S).dotm</Template>
  <TotalTime>41</TotalTime>
  <Pages>43</Pages>
  <Words>13222</Words>
  <Characters>75488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A/66/6</vt:lpstr>
    </vt:vector>
  </TitlesOfParts>
  <Company>WIPO</Company>
  <LinksUpToDate>false</LinksUpToDate>
  <CharactersWithSpaces>88533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A/66/6</dc:title>
  <dc:subject/>
  <dc:creator>WIPO</dc:creator>
  <cp:keywords>FOR OFFICIAL USE ONLY</cp:keywords>
  <dc:description/>
  <cp:lastModifiedBy>RUSSO Antonella</cp:lastModifiedBy>
  <cp:revision>2</cp:revision>
  <dcterms:created xsi:type="dcterms:W3CDTF">2025-05-21T15:30:00Z</dcterms:created>
  <dcterms:modified xsi:type="dcterms:W3CDTF">2025-07-09T10:12:00Z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