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D5F8B" w14:textId="77777777" w:rsidR="008B2CC1" w:rsidRPr="00B22B79" w:rsidRDefault="008B14EA" w:rsidP="008B14EA">
      <w:pPr>
        <w:spacing w:after="120"/>
        <w:jc w:val="right"/>
        <w:rPr>
          <w:lang w:val="es-ES_tradnl"/>
        </w:rPr>
      </w:pPr>
      <w:r w:rsidRPr="00B22B79">
        <w:rPr>
          <w:noProof/>
          <w:lang w:val="es-ES_tradnl" w:eastAsia="en-US"/>
        </w:rPr>
        <w:drawing>
          <wp:inline distT="0" distB="0" distL="0" distR="0" wp14:anchorId="011756D4" wp14:editId="776ABCB5">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B22B79">
        <w:rPr>
          <w:rFonts w:ascii="Arial Black" w:hAnsi="Arial Black"/>
          <w:caps/>
          <w:noProof/>
          <w:sz w:val="15"/>
          <w:szCs w:val="15"/>
          <w:lang w:val="es-ES_tradnl" w:eastAsia="en-US"/>
        </w:rPr>
        <mc:AlternateContent>
          <mc:Choice Requires="wps">
            <w:drawing>
              <wp:inline distT="0" distB="0" distL="0" distR="0" wp14:anchorId="54D666B6" wp14:editId="402F3C58">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5CEF4C7"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25C72E0A" w14:textId="31305D7D" w:rsidR="008B2CC1" w:rsidRPr="00B22B79" w:rsidRDefault="00A8121F" w:rsidP="008B14EA">
      <w:pPr>
        <w:jc w:val="right"/>
        <w:rPr>
          <w:rFonts w:ascii="Arial Black" w:hAnsi="Arial Black"/>
          <w:caps/>
          <w:sz w:val="15"/>
          <w:lang w:val="es-ES_tradnl"/>
        </w:rPr>
      </w:pPr>
      <w:r w:rsidRPr="00B22B79">
        <w:rPr>
          <w:rFonts w:ascii="Arial Black" w:hAnsi="Arial Black"/>
          <w:caps/>
          <w:sz w:val="15"/>
          <w:lang w:val="es-ES_tradnl"/>
        </w:rPr>
        <w:t>A/6</w:t>
      </w:r>
      <w:r w:rsidR="005A7311" w:rsidRPr="00B22B79">
        <w:rPr>
          <w:rFonts w:ascii="Arial Black" w:hAnsi="Arial Black"/>
          <w:caps/>
          <w:sz w:val="15"/>
          <w:lang w:val="es-ES_tradnl"/>
        </w:rPr>
        <w:t>6</w:t>
      </w:r>
      <w:r w:rsidRPr="00B22B79">
        <w:rPr>
          <w:rFonts w:ascii="Arial Black" w:hAnsi="Arial Black"/>
          <w:caps/>
          <w:sz w:val="15"/>
          <w:lang w:val="es-ES_tradnl"/>
        </w:rPr>
        <w:t>/</w:t>
      </w:r>
      <w:bookmarkStart w:id="0" w:name="Code"/>
      <w:r w:rsidR="006B1AD7" w:rsidRPr="00B22B79">
        <w:rPr>
          <w:rFonts w:ascii="Arial Black" w:hAnsi="Arial Black"/>
          <w:caps/>
          <w:sz w:val="15"/>
          <w:lang w:val="es-ES_tradnl"/>
        </w:rPr>
        <w:t>4</w:t>
      </w:r>
    </w:p>
    <w:bookmarkEnd w:id="0"/>
    <w:p w14:paraId="653E079A" w14:textId="277F64C5" w:rsidR="008B2CC1" w:rsidRPr="00B22B79" w:rsidRDefault="008B14EA" w:rsidP="008B14EA">
      <w:pPr>
        <w:jc w:val="right"/>
        <w:rPr>
          <w:rFonts w:ascii="Arial Black" w:hAnsi="Arial Black"/>
          <w:caps/>
          <w:sz w:val="15"/>
          <w:lang w:val="es-ES_tradnl"/>
        </w:rPr>
      </w:pPr>
      <w:r w:rsidRPr="00B22B79">
        <w:rPr>
          <w:rFonts w:ascii="Arial Black" w:hAnsi="Arial Black"/>
          <w:caps/>
          <w:sz w:val="15"/>
          <w:lang w:val="es-ES_tradnl"/>
        </w:rPr>
        <w:t xml:space="preserve">ORIGINAL: </w:t>
      </w:r>
      <w:bookmarkStart w:id="1" w:name="Original"/>
      <w:r w:rsidR="006B1AD7" w:rsidRPr="00B22B79">
        <w:rPr>
          <w:rFonts w:ascii="Arial Black" w:hAnsi="Arial Black"/>
          <w:caps/>
          <w:sz w:val="15"/>
          <w:lang w:val="es-ES_tradnl"/>
        </w:rPr>
        <w:t>Inglés</w:t>
      </w:r>
    </w:p>
    <w:bookmarkEnd w:id="1"/>
    <w:p w14:paraId="17B69436" w14:textId="5D49A3AB" w:rsidR="008B2CC1" w:rsidRPr="00B22B79" w:rsidRDefault="008B14EA" w:rsidP="008B14EA">
      <w:pPr>
        <w:spacing w:after="1200"/>
        <w:jc w:val="right"/>
        <w:rPr>
          <w:rFonts w:ascii="Arial Black" w:hAnsi="Arial Black"/>
          <w:caps/>
          <w:sz w:val="15"/>
          <w:lang w:val="es-ES_tradnl"/>
        </w:rPr>
      </w:pPr>
      <w:r w:rsidRPr="00B22B79">
        <w:rPr>
          <w:rFonts w:ascii="Arial Black" w:hAnsi="Arial Black"/>
          <w:sz w:val="15"/>
          <w:lang w:val="es-ES_tradnl"/>
        </w:rPr>
        <w:t>FECHA</w:t>
      </w:r>
      <w:r w:rsidRPr="00B22B79">
        <w:rPr>
          <w:rFonts w:ascii="Arial Black" w:hAnsi="Arial Black"/>
          <w:caps/>
          <w:sz w:val="15"/>
          <w:lang w:val="es-ES_tradnl"/>
        </w:rPr>
        <w:t xml:space="preserve">: </w:t>
      </w:r>
      <w:bookmarkStart w:id="2" w:name="Date"/>
      <w:r w:rsidR="006B1AD7" w:rsidRPr="00B22B79">
        <w:rPr>
          <w:rFonts w:ascii="Arial Black" w:hAnsi="Arial Black"/>
          <w:caps/>
          <w:sz w:val="15"/>
          <w:lang w:val="es-ES_tradnl"/>
        </w:rPr>
        <w:t>7 de mayo de 2025</w:t>
      </w:r>
    </w:p>
    <w:bookmarkEnd w:id="2"/>
    <w:p w14:paraId="5260995B" w14:textId="77777777" w:rsidR="008B2CC1" w:rsidRPr="00B22B79" w:rsidRDefault="00A8121F" w:rsidP="008B14EA">
      <w:pPr>
        <w:spacing w:after="600"/>
        <w:rPr>
          <w:b/>
          <w:sz w:val="28"/>
          <w:szCs w:val="28"/>
          <w:lang w:val="es-ES_tradnl"/>
        </w:rPr>
      </w:pPr>
      <w:r w:rsidRPr="00B22B79">
        <w:rPr>
          <w:b/>
          <w:sz w:val="28"/>
          <w:szCs w:val="28"/>
          <w:lang w:val="es-ES_tradnl"/>
        </w:rPr>
        <w:t>Asambleas de los Estados miembros de la OMPI</w:t>
      </w:r>
    </w:p>
    <w:p w14:paraId="5EE82BAC" w14:textId="77777777" w:rsidR="00511D0C" w:rsidRPr="00B22B79" w:rsidRDefault="00A8121F" w:rsidP="00511D0C">
      <w:pPr>
        <w:rPr>
          <w:b/>
          <w:sz w:val="24"/>
          <w:szCs w:val="24"/>
          <w:lang w:val="es-ES_tradnl"/>
        </w:rPr>
      </w:pPr>
      <w:r w:rsidRPr="00B22B79">
        <w:rPr>
          <w:b/>
          <w:sz w:val="24"/>
          <w:szCs w:val="24"/>
          <w:lang w:val="es-ES_tradnl"/>
        </w:rPr>
        <w:t xml:space="preserve">Sexagésima </w:t>
      </w:r>
      <w:r w:rsidR="005A7311" w:rsidRPr="00B22B79">
        <w:rPr>
          <w:b/>
          <w:sz w:val="24"/>
          <w:szCs w:val="24"/>
          <w:lang w:val="es-ES_tradnl"/>
        </w:rPr>
        <w:t xml:space="preserve">sexta </w:t>
      </w:r>
      <w:r w:rsidRPr="00B22B79">
        <w:rPr>
          <w:b/>
          <w:sz w:val="24"/>
          <w:szCs w:val="24"/>
          <w:lang w:val="es-ES_tradnl"/>
        </w:rPr>
        <w:t>serie de reuniones</w:t>
      </w:r>
    </w:p>
    <w:p w14:paraId="0BE049BE" w14:textId="77777777" w:rsidR="008B2CC1" w:rsidRPr="00B22B79" w:rsidRDefault="00A8121F" w:rsidP="008B14EA">
      <w:pPr>
        <w:spacing w:after="720"/>
        <w:rPr>
          <w:b/>
          <w:sz w:val="24"/>
          <w:szCs w:val="24"/>
          <w:lang w:val="es-ES_tradnl"/>
        </w:rPr>
      </w:pPr>
      <w:r w:rsidRPr="00B22B79">
        <w:rPr>
          <w:b/>
          <w:sz w:val="24"/>
          <w:szCs w:val="24"/>
          <w:lang w:val="es-ES_tradnl"/>
        </w:rPr>
        <w:t xml:space="preserve">Ginebra, </w:t>
      </w:r>
      <w:r w:rsidR="005A7311" w:rsidRPr="00B22B79">
        <w:rPr>
          <w:b/>
          <w:sz w:val="24"/>
          <w:szCs w:val="24"/>
          <w:lang w:val="es-ES_tradnl"/>
        </w:rPr>
        <w:t>8</w:t>
      </w:r>
      <w:r w:rsidR="004A7B16" w:rsidRPr="00B22B79">
        <w:rPr>
          <w:b/>
          <w:sz w:val="24"/>
          <w:szCs w:val="24"/>
          <w:lang w:val="es-ES_tradnl"/>
        </w:rPr>
        <w:t xml:space="preserve"> a 17 de julio de 202</w:t>
      </w:r>
      <w:r w:rsidR="005A7311" w:rsidRPr="00B22B79">
        <w:rPr>
          <w:b/>
          <w:sz w:val="24"/>
          <w:szCs w:val="24"/>
          <w:lang w:val="es-ES_tradnl"/>
        </w:rPr>
        <w:t>5</w:t>
      </w:r>
    </w:p>
    <w:p w14:paraId="3679B2D9" w14:textId="6D18C99C" w:rsidR="008B2CC1" w:rsidRPr="00B22B79" w:rsidRDefault="006B1AD7" w:rsidP="008B14EA">
      <w:pPr>
        <w:spacing w:after="360"/>
        <w:rPr>
          <w:caps/>
          <w:sz w:val="24"/>
          <w:lang w:val="es-ES_tradnl"/>
        </w:rPr>
      </w:pPr>
      <w:bookmarkStart w:id="3" w:name="TitleOfDoc"/>
      <w:r w:rsidRPr="00B22B79">
        <w:rPr>
          <w:caps/>
          <w:sz w:val="24"/>
          <w:lang w:val="es-ES_tradnl"/>
        </w:rPr>
        <w:t>NOMBRAMIENTO DEL DIRECTOR GENERAL EN 2026</w:t>
      </w:r>
    </w:p>
    <w:p w14:paraId="75CF0AD7" w14:textId="6AFB547D" w:rsidR="008B2CC1" w:rsidRPr="00B22B79" w:rsidRDefault="006B1AD7" w:rsidP="008B14EA">
      <w:pPr>
        <w:spacing w:after="960"/>
        <w:rPr>
          <w:i/>
          <w:lang w:val="es-ES_tradnl"/>
        </w:rPr>
      </w:pPr>
      <w:bookmarkStart w:id="4" w:name="Prepared"/>
      <w:bookmarkEnd w:id="3"/>
      <w:r w:rsidRPr="00B22B79">
        <w:rPr>
          <w:i/>
          <w:lang w:val="es-ES_tradnl"/>
        </w:rPr>
        <w:t>memorando preparado por la Secretaría</w:t>
      </w:r>
    </w:p>
    <w:bookmarkEnd w:id="4"/>
    <w:p w14:paraId="39140812" w14:textId="6FD92116" w:rsidR="006B1AD7" w:rsidRPr="00B22B79" w:rsidRDefault="006B1AD7" w:rsidP="006B1AD7">
      <w:pPr>
        <w:spacing w:after="240"/>
        <w:ind w:right="96"/>
        <w:rPr>
          <w:rFonts w:ascii="Times New Roman" w:eastAsia="Times New Roman" w:hAnsi="Times New Roman" w:cs="Times New Roman"/>
          <w:sz w:val="24"/>
          <w:szCs w:val="22"/>
          <w:lang w:val="es-ES_tradnl" w:eastAsia="en-US"/>
        </w:rPr>
      </w:pPr>
      <w:r w:rsidRPr="00B22B79">
        <w:rPr>
          <w:rFonts w:eastAsia="Times New Roman" w:cs="Times New Roman"/>
          <w:lang w:val="es-ES_tradnl" w:eastAsia="en-US"/>
        </w:rPr>
        <w:t>1.</w:t>
      </w:r>
      <w:r w:rsidRPr="00B22B79">
        <w:rPr>
          <w:rFonts w:eastAsia="Times New Roman" w:cs="Times New Roman"/>
          <w:lang w:val="es-ES_tradnl" w:eastAsia="en-US"/>
        </w:rPr>
        <w:tab/>
        <w:t xml:space="preserve">El mandato del </w:t>
      </w:r>
      <w:r w:rsidR="004E35CC" w:rsidRPr="00B22B79">
        <w:rPr>
          <w:rFonts w:eastAsia="Times New Roman" w:cs="Times New Roman"/>
          <w:lang w:val="es-ES_tradnl" w:eastAsia="en-US"/>
        </w:rPr>
        <w:t>director general</w:t>
      </w:r>
      <w:r w:rsidRPr="00B22B79">
        <w:rPr>
          <w:rFonts w:eastAsia="Times New Roman" w:cs="Times New Roman"/>
          <w:lang w:val="es-ES_tradnl" w:eastAsia="en-US"/>
        </w:rPr>
        <w:t xml:space="preserve"> finalizará el 30 de septiembre de 2026</w:t>
      </w:r>
      <w:r w:rsidR="00E90511">
        <w:rPr>
          <w:rFonts w:eastAsia="Times New Roman" w:cs="Times New Roman"/>
          <w:lang w:val="es-ES_tradnl" w:eastAsia="en-US"/>
        </w:rPr>
        <w:t>.</w:t>
      </w:r>
      <w:r w:rsidR="00DF72B8" w:rsidRPr="00B22B79">
        <w:rPr>
          <w:rFonts w:eastAsia="Times New Roman" w:cs="Times New Roman"/>
          <w:lang w:val="es-ES_tradnl" w:eastAsia="en-US"/>
        </w:rPr>
        <w:t xml:space="preserve"> </w:t>
      </w:r>
      <w:r w:rsidRPr="00B22B79">
        <w:rPr>
          <w:rFonts w:eastAsia="Times New Roman" w:cs="Times New Roman"/>
          <w:lang w:val="es-ES_tradnl" w:eastAsia="en-US"/>
        </w:rPr>
        <w:t xml:space="preserve">A ese respecto, el presente memorando recuerda las disposiciones estatutarias relativas a la designación y el nombramiento de directores generales de la OMPI, así como el </w:t>
      </w:r>
      <w:r w:rsidR="00DF72B8" w:rsidRPr="00B22B79">
        <w:rPr>
          <w:rFonts w:eastAsia="Times New Roman" w:cs="Times New Roman"/>
          <w:lang w:val="es-ES_tradnl" w:eastAsia="en-US"/>
        </w:rPr>
        <w:t xml:space="preserve">Procedimiento </w:t>
      </w:r>
      <w:r w:rsidRPr="00B22B79">
        <w:rPr>
          <w:rFonts w:eastAsia="Times New Roman" w:cs="Times New Roman"/>
          <w:lang w:val="es-ES_tradnl" w:eastAsia="en-US"/>
        </w:rPr>
        <w:t>para la designación y el nombramiento de directores generales de la OMPI, adoptado por la Asamblea General de la OMPI en 1998 y modificado en 2019.</w:t>
      </w:r>
      <w:r w:rsidRPr="00B22B79">
        <w:rPr>
          <w:rFonts w:eastAsia="Times New Roman"/>
          <w:szCs w:val="22"/>
          <w:vertAlign w:val="superscript"/>
          <w:lang w:val="es-ES_tradnl" w:eastAsia="en-US"/>
        </w:rPr>
        <w:footnoteReference w:id="2"/>
      </w:r>
      <w:r w:rsidR="00DF72B8" w:rsidRPr="00B22B79">
        <w:rPr>
          <w:rFonts w:eastAsia="Times New Roman" w:cs="Times New Roman"/>
          <w:lang w:val="es-ES_tradnl" w:eastAsia="en-US"/>
        </w:rPr>
        <w:t xml:space="preserve"> </w:t>
      </w:r>
      <w:r w:rsidRPr="00B22B79">
        <w:rPr>
          <w:rFonts w:eastAsia="Times New Roman" w:cs="Times New Roman"/>
          <w:lang w:val="es-ES_tradnl" w:eastAsia="en-US"/>
        </w:rPr>
        <w:t>En el memorando se explican asimismo las medidas que han de tomarse para iniciar ese procedimiento y se expone un calendario para la ejecución de las medidas correspondientes.</w:t>
      </w:r>
    </w:p>
    <w:p w14:paraId="50867115" w14:textId="77777777" w:rsidR="006B1AD7" w:rsidRPr="00B22B79" w:rsidRDefault="006B1AD7" w:rsidP="006B1AD7">
      <w:pPr>
        <w:keepNext/>
        <w:spacing w:before="240" w:after="240"/>
        <w:outlineLvl w:val="2"/>
        <w:rPr>
          <w:bCs/>
          <w:szCs w:val="26"/>
          <w:u w:val="single"/>
          <w:lang w:val="es-ES_tradnl"/>
        </w:rPr>
      </w:pPr>
      <w:r w:rsidRPr="00B22B79">
        <w:rPr>
          <w:bCs/>
          <w:szCs w:val="26"/>
          <w:u w:val="single"/>
          <w:lang w:val="es-ES_tradnl"/>
        </w:rPr>
        <w:t>Disposiciones estatutarias</w:t>
      </w:r>
    </w:p>
    <w:p w14:paraId="50AD049A" w14:textId="77777777" w:rsidR="006B1AD7" w:rsidRPr="00B22B79" w:rsidRDefault="006B1AD7" w:rsidP="006B1AD7">
      <w:pPr>
        <w:spacing w:after="240"/>
        <w:ind w:right="96"/>
        <w:rPr>
          <w:rFonts w:eastAsia="Times New Roman"/>
          <w:szCs w:val="22"/>
          <w:lang w:val="es-ES_tradnl" w:eastAsia="en-US"/>
        </w:rPr>
      </w:pPr>
      <w:r w:rsidRPr="00B22B79">
        <w:rPr>
          <w:rFonts w:eastAsia="Times New Roman" w:cs="Times New Roman"/>
          <w:lang w:val="es-ES_tradnl" w:eastAsia="en-US"/>
        </w:rPr>
        <w:t>2.</w:t>
      </w:r>
      <w:r w:rsidRPr="00B22B79">
        <w:rPr>
          <w:rFonts w:eastAsia="Times New Roman" w:cs="Times New Roman"/>
          <w:lang w:val="es-ES_tradnl" w:eastAsia="en-US"/>
        </w:rPr>
        <w:tab/>
        <w:t>El Convenio que establece la Organización Mundial de la Propiedad Intelectual (Convenio de la OMPI) contiene las disposiciones siguientes relativas a la designación y el nombramiento del director general:</w:t>
      </w:r>
    </w:p>
    <w:p w14:paraId="189656D9" w14:textId="77777777" w:rsidR="006B1AD7" w:rsidRPr="00B22B79" w:rsidRDefault="006B1AD7" w:rsidP="006B1AD7">
      <w:pPr>
        <w:keepNext/>
        <w:tabs>
          <w:tab w:val="left" w:pos="567"/>
          <w:tab w:val="center" w:pos="4320"/>
          <w:tab w:val="right" w:pos="8640"/>
        </w:tabs>
        <w:spacing w:after="240"/>
        <w:ind w:left="562"/>
        <w:rPr>
          <w:szCs w:val="22"/>
          <w:lang w:val="es-ES_tradnl"/>
        </w:rPr>
      </w:pPr>
      <w:r w:rsidRPr="00B22B79">
        <w:rPr>
          <w:u w:val="single"/>
          <w:lang w:val="es-ES_tradnl"/>
        </w:rPr>
        <w:t>Designación</w:t>
      </w:r>
    </w:p>
    <w:p w14:paraId="5A8E8092" w14:textId="77777777" w:rsidR="006B1AD7" w:rsidRPr="00B22B79" w:rsidRDefault="006B1AD7" w:rsidP="006B1AD7">
      <w:pPr>
        <w:keepNext/>
        <w:tabs>
          <w:tab w:val="center" w:pos="4320"/>
          <w:tab w:val="right" w:pos="8640"/>
        </w:tabs>
        <w:spacing w:after="240"/>
        <w:ind w:firstLine="562"/>
        <w:rPr>
          <w:szCs w:val="22"/>
          <w:lang w:val="es-ES_tradnl"/>
        </w:rPr>
      </w:pPr>
      <w:r w:rsidRPr="00B22B79">
        <w:rPr>
          <w:u w:val="single"/>
          <w:lang w:val="es-ES_tradnl"/>
        </w:rPr>
        <w:t>Artículo 8.3)</w:t>
      </w:r>
    </w:p>
    <w:p w14:paraId="27E754A8" w14:textId="77777777" w:rsidR="006B1AD7" w:rsidRPr="00B22B79" w:rsidRDefault="006B1AD7" w:rsidP="006B1AD7">
      <w:pPr>
        <w:keepNext/>
        <w:tabs>
          <w:tab w:val="center" w:pos="4320"/>
          <w:tab w:val="right" w:pos="8640"/>
        </w:tabs>
        <w:spacing w:after="240"/>
        <w:ind w:firstLine="562"/>
        <w:rPr>
          <w:szCs w:val="22"/>
          <w:lang w:val="es-ES_tradnl"/>
        </w:rPr>
      </w:pPr>
      <w:r w:rsidRPr="00B22B79">
        <w:rPr>
          <w:lang w:val="es-ES_tradnl"/>
        </w:rPr>
        <w:t>“El Comité de Coordinación:</w:t>
      </w:r>
    </w:p>
    <w:p w14:paraId="70A76EEB" w14:textId="761CAF8C" w:rsidR="006B1AD7" w:rsidRPr="00B22B79" w:rsidRDefault="006B1AD7" w:rsidP="006B1AD7">
      <w:pPr>
        <w:tabs>
          <w:tab w:val="right" w:pos="1418"/>
          <w:tab w:val="left" w:pos="1701"/>
          <w:tab w:val="center" w:pos="4320"/>
          <w:tab w:val="right" w:pos="8640"/>
        </w:tabs>
        <w:spacing w:after="240"/>
        <w:ind w:left="562"/>
        <w:rPr>
          <w:szCs w:val="22"/>
          <w:lang w:val="es-ES_tradnl"/>
        </w:rPr>
      </w:pPr>
      <w:r w:rsidRPr="00B22B79">
        <w:rPr>
          <w:lang w:val="es-ES_tradnl"/>
        </w:rPr>
        <w:tab/>
        <w:t xml:space="preserve">[...] v) al cesar en sus funciones el </w:t>
      </w:r>
      <w:r w:rsidR="004E35CC" w:rsidRPr="00B22B79">
        <w:rPr>
          <w:lang w:val="es-ES_tradnl"/>
        </w:rPr>
        <w:t>director general</w:t>
      </w:r>
      <w:r w:rsidRPr="00B22B79">
        <w:rPr>
          <w:lang w:val="es-ES_tradnl"/>
        </w:rPr>
        <w:t xml:space="preserve"> o en caso de que quedara vacante dicho cargo, propondrá el nombre de un candidato para ser designado para ese puesto por la Asamblea General; si la Asamblea General no designa al candidato propuesto, el </w:t>
      </w:r>
      <w:r w:rsidRPr="00B22B79">
        <w:rPr>
          <w:lang w:val="es-ES_tradnl"/>
        </w:rPr>
        <w:lastRenderedPageBreak/>
        <w:t>Comité de Coordinación presentará otro candidato, repitiéndose este procedimiento hasta que la Asamblea General designe al último candidato propuesto;”</w:t>
      </w:r>
    </w:p>
    <w:p w14:paraId="62572EEC" w14:textId="1BDEDF8F" w:rsidR="006B1AD7" w:rsidRPr="00B22B79" w:rsidRDefault="006B1AD7" w:rsidP="00B22B79">
      <w:pPr>
        <w:spacing w:after="240"/>
        <w:ind w:left="567"/>
        <w:rPr>
          <w:szCs w:val="22"/>
          <w:lang w:val="es-ES_tradnl"/>
        </w:rPr>
      </w:pPr>
      <w:r w:rsidRPr="00B22B79">
        <w:rPr>
          <w:u w:val="single"/>
          <w:lang w:val="es-ES_tradnl"/>
        </w:rPr>
        <w:t>Nombramiento</w:t>
      </w:r>
    </w:p>
    <w:p w14:paraId="45AFEFD2" w14:textId="77777777" w:rsidR="006B1AD7" w:rsidRPr="00B22B79" w:rsidRDefault="006B1AD7" w:rsidP="006B1AD7">
      <w:pPr>
        <w:tabs>
          <w:tab w:val="center" w:pos="4320"/>
          <w:tab w:val="right" w:pos="8640"/>
        </w:tabs>
        <w:spacing w:after="240"/>
        <w:ind w:left="562"/>
        <w:rPr>
          <w:szCs w:val="22"/>
          <w:u w:val="single"/>
          <w:lang w:val="es-ES_tradnl"/>
        </w:rPr>
      </w:pPr>
      <w:r w:rsidRPr="00B22B79">
        <w:rPr>
          <w:u w:val="single"/>
          <w:lang w:val="es-ES_tradnl"/>
        </w:rPr>
        <w:t>Artículo 6.2)</w:t>
      </w:r>
    </w:p>
    <w:p w14:paraId="09902E33" w14:textId="77777777" w:rsidR="006B1AD7" w:rsidRPr="00B22B79" w:rsidRDefault="006B1AD7" w:rsidP="006B1AD7">
      <w:pPr>
        <w:tabs>
          <w:tab w:val="center" w:pos="4320"/>
          <w:tab w:val="right" w:pos="8640"/>
        </w:tabs>
        <w:spacing w:after="240"/>
        <w:ind w:left="562"/>
        <w:rPr>
          <w:szCs w:val="22"/>
          <w:lang w:val="es-ES_tradnl"/>
        </w:rPr>
      </w:pPr>
      <w:r w:rsidRPr="00B22B79">
        <w:rPr>
          <w:lang w:val="es-ES_tradnl"/>
        </w:rPr>
        <w:t>“La Asamblea General:</w:t>
      </w:r>
    </w:p>
    <w:p w14:paraId="7B490502" w14:textId="7BB8351C" w:rsidR="006B1AD7" w:rsidRPr="00B22B79" w:rsidRDefault="006B1AD7" w:rsidP="006B1AD7">
      <w:pPr>
        <w:tabs>
          <w:tab w:val="right" w:pos="1418"/>
          <w:tab w:val="left" w:pos="1701"/>
          <w:tab w:val="center" w:pos="4320"/>
          <w:tab w:val="right" w:pos="8640"/>
        </w:tabs>
        <w:spacing w:after="240"/>
        <w:ind w:left="562"/>
        <w:rPr>
          <w:szCs w:val="22"/>
          <w:lang w:val="es-ES_tradnl"/>
        </w:rPr>
      </w:pPr>
      <w:r w:rsidRPr="00B22B79">
        <w:rPr>
          <w:lang w:val="es-ES_tradnl"/>
        </w:rPr>
        <w:tab/>
        <w:t xml:space="preserve">i) designará al </w:t>
      </w:r>
      <w:r w:rsidR="004E35CC" w:rsidRPr="00B22B79">
        <w:rPr>
          <w:lang w:val="es-ES_tradnl"/>
        </w:rPr>
        <w:t>director general</w:t>
      </w:r>
      <w:r w:rsidRPr="00B22B79">
        <w:rPr>
          <w:lang w:val="es-ES_tradnl"/>
        </w:rPr>
        <w:t xml:space="preserve"> a propuesta del Comité de Coordinación;”</w:t>
      </w:r>
    </w:p>
    <w:p w14:paraId="3B521D8E" w14:textId="77777777" w:rsidR="006B1AD7" w:rsidRPr="00B22B79" w:rsidRDefault="006B1AD7" w:rsidP="006B1AD7">
      <w:pPr>
        <w:tabs>
          <w:tab w:val="right" w:pos="1134"/>
          <w:tab w:val="left" w:pos="1418"/>
          <w:tab w:val="center" w:pos="4320"/>
          <w:tab w:val="right" w:pos="8640"/>
        </w:tabs>
        <w:spacing w:after="240"/>
        <w:ind w:left="562"/>
        <w:rPr>
          <w:szCs w:val="22"/>
          <w:lang w:val="es-ES_tradnl"/>
        </w:rPr>
      </w:pPr>
      <w:r w:rsidRPr="00B22B79">
        <w:rPr>
          <w:u w:val="single"/>
          <w:lang w:val="es-ES_tradnl"/>
        </w:rPr>
        <w:t>Artículo 6.3)</w:t>
      </w:r>
    </w:p>
    <w:p w14:paraId="5844A5EE" w14:textId="2D69061A" w:rsidR="006B1AD7" w:rsidRPr="00B22B79" w:rsidRDefault="006B1AD7" w:rsidP="006B1AD7">
      <w:pPr>
        <w:spacing w:after="240"/>
        <w:ind w:left="562" w:firstLine="562"/>
        <w:rPr>
          <w:szCs w:val="22"/>
          <w:lang w:val="es-ES_tradnl"/>
        </w:rPr>
      </w:pPr>
      <w:r w:rsidRPr="00B22B79">
        <w:rPr>
          <w:lang w:val="es-ES_tradnl"/>
        </w:rPr>
        <w:t xml:space="preserve">“g) La designación del </w:t>
      </w:r>
      <w:r w:rsidR="004E35CC" w:rsidRPr="00B22B79">
        <w:rPr>
          <w:lang w:val="es-ES_tradnl"/>
        </w:rPr>
        <w:t>director general</w:t>
      </w:r>
      <w:r w:rsidRPr="00B22B79">
        <w:rPr>
          <w:lang w:val="es-ES_tradnl"/>
        </w:rPr>
        <w:t xml:space="preserve"> [...] [requerirá] la mayoría prevista, no solo en la Asamblea General sino también en la Asamblea de la Unión de París y en la Asamblea de la Unión de Berna.”</w:t>
      </w:r>
    </w:p>
    <w:p w14:paraId="5C9E7107" w14:textId="77777777" w:rsidR="006B1AD7" w:rsidRPr="00B22B79" w:rsidRDefault="006B1AD7" w:rsidP="006B1AD7">
      <w:pPr>
        <w:spacing w:after="240"/>
        <w:rPr>
          <w:szCs w:val="22"/>
          <w:lang w:val="es-ES_tradnl"/>
        </w:rPr>
      </w:pPr>
      <w:r w:rsidRPr="00B22B79">
        <w:rPr>
          <w:lang w:val="es-ES_tradnl"/>
        </w:rPr>
        <w:t>Además, el Convenio de la OMPI contiene la disposición siguiente sobre el nombramiento de los directores generales adjuntos.</w:t>
      </w:r>
    </w:p>
    <w:p w14:paraId="45630404" w14:textId="6F617A14" w:rsidR="006B1AD7" w:rsidRPr="00B22B79" w:rsidRDefault="006B1AD7" w:rsidP="00B22B79">
      <w:pPr>
        <w:spacing w:after="240"/>
        <w:ind w:left="567"/>
        <w:rPr>
          <w:szCs w:val="22"/>
          <w:u w:val="single"/>
          <w:lang w:val="es-ES_tradnl"/>
        </w:rPr>
      </w:pPr>
      <w:r w:rsidRPr="00B22B79">
        <w:rPr>
          <w:u w:val="single"/>
          <w:lang w:val="es-ES_tradnl"/>
        </w:rPr>
        <w:t>Artículo 9.7)</w:t>
      </w:r>
    </w:p>
    <w:p w14:paraId="029DEB91" w14:textId="1409A21F" w:rsidR="006B1AD7" w:rsidRPr="00B22B79" w:rsidRDefault="006B1AD7" w:rsidP="006B1AD7">
      <w:pPr>
        <w:spacing w:after="240"/>
        <w:ind w:left="567" w:right="96"/>
        <w:rPr>
          <w:rFonts w:eastAsia="Times New Roman"/>
          <w:szCs w:val="22"/>
          <w:lang w:val="es-ES_tradnl" w:eastAsia="en-US"/>
        </w:rPr>
      </w:pPr>
      <w:r w:rsidRPr="00B22B79">
        <w:rPr>
          <w:rFonts w:eastAsia="Times New Roman" w:cs="Times New Roman"/>
          <w:lang w:val="es-ES_tradnl" w:eastAsia="en-US"/>
        </w:rPr>
        <w:t xml:space="preserve">“El </w:t>
      </w:r>
      <w:r w:rsidR="004E35CC" w:rsidRPr="00B22B79">
        <w:rPr>
          <w:rFonts w:eastAsia="Times New Roman" w:cs="Times New Roman"/>
          <w:lang w:val="es-ES_tradnl" w:eastAsia="en-US"/>
        </w:rPr>
        <w:t>director general</w:t>
      </w:r>
      <w:r w:rsidRPr="00B22B79">
        <w:rPr>
          <w:rFonts w:eastAsia="Times New Roman" w:cs="Times New Roman"/>
          <w:lang w:val="es-ES_tradnl" w:eastAsia="en-US"/>
        </w:rPr>
        <w:t xml:space="preserve"> nombrará el personal necesario para el buen funcionamiento de la Oficina Internacional. Nombrará los Directores Generales Adjuntos, previa aprobación del Comité de Coordinación.”</w:t>
      </w:r>
    </w:p>
    <w:p w14:paraId="7F62D28B" w14:textId="77777777" w:rsidR="006B1AD7" w:rsidRPr="00B22B79" w:rsidRDefault="006B1AD7" w:rsidP="006B1AD7">
      <w:pPr>
        <w:spacing w:after="240"/>
        <w:ind w:right="96"/>
        <w:rPr>
          <w:rFonts w:eastAsia="Times New Roman"/>
          <w:szCs w:val="22"/>
          <w:u w:val="single"/>
          <w:lang w:val="es-ES_tradnl" w:eastAsia="en-US"/>
        </w:rPr>
      </w:pPr>
      <w:r w:rsidRPr="00B22B79">
        <w:rPr>
          <w:rFonts w:eastAsia="Times New Roman" w:cs="Times New Roman"/>
          <w:u w:val="single"/>
          <w:lang w:val="es-ES_tradnl" w:eastAsia="en-US"/>
        </w:rPr>
        <w:t>Fases del procedimiento</w:t>
      </w:r>
    </w:p>
    <w:p w14:paraId="0D341989" w14:textId="0F12010D" w:rsidR="006B1AD7" w:rsidRPr="00B22B79" w:rsidRDefault="006B1AD7" w:rsidP="006B1AD7">
      <w:pPr>
        <w:spacing w:after="240"/>
        <w:ind w:right="96"/>
        <w:rPr>
          <w:rFonts w:eastAsia="Times New Roman"/>
          <w:szCs w:val="22"/>
          <w:lang w:val="es-ES_tradnl" w:eastAsia="en-US"/>
        </w:rPr>
      </w:pPr>
      <w:r w:rsidRPr="00B22B79">
        <w:rPr>
          <w:rFonts w:eastAsia="Times New Roman" w:cs="Times New Roman"/>
          <w:lang w:val="es-ES_tradnl" w:eastAsia="en-US"/>
        </w:rPr>
        <w:t>3.</w:t>
      </w:r>
      <w:r w:rsidRPr="00B22B79">
        <w:rPr>
          <w:rFonts w:eastAsia="Times New Roman" w:cs="Times New Roman"/>
          <w:lang w:val="es-ES_tradnl" w:eastAsia="en-US"/>
        </w:rPr>
        <w:tab/>
        <w:t>En la reunión celebrada en septiembre de 1998, la Asamblea General de la OMPI adoptó</w:t>
      </w:r>
      <w:r w:rsidRPr="00B22B79">
        <w:rPr>
          <w:rFonts w:eastAsia="Times New Roman"/>
          <w:szCs w:val="22"/>
          <w:vertAlign w:val="superscript"/>
          <w:lang w:val="es-ES_tradnl" w:eastAsia="en-US"/>
        </w:rPr>
        <w:footnoteReference w:id="3"/>
      </w:r>
      <w:r w:rsidRPr="00B22B79">
        <w:rPr>
          <w:rFonts w:eastAsia="Times New Roman" w:cs="Times New Roman"/>
          <w:lang w:val="es-ES_tradnl" w:eastAsia="en-US"/>
        </w:rPr>
        <w:t xml:space="preserve"> el Procedimiento para la nominación y la designación de directores generales de la OMPI, que fueron modificados</w:t>
      </w:r>
      <w:r w:rsidRPr="00B22B79">
        <w:rPr>
          <w:rFonts w:eastAsia="Times New Roman"/>
          <w:szCs w:val="22"/>
          <w:vertAlign w:val="superscript"/>
          <w:lang w:val="es-ES_tradnl" w:eastAsia="en-US"/>
        </w:rPr>
        <w:footnoteReference w:id="4"/>
      </w:r>
      <w:r w:rsidRPr="00B22B79">
        <w:rPr>
          <w:rFonts w:eastAsia="Times New Roman" w:cs="Times New Roman"/>
          <w:lang w:val="es-ES_tradnl" w:eastAsia="en-US"/>
        </w:rPr>
        <w:t xml:space="preserve"> en 2019 por la Asamblea General de la OMPI.</w:t>
      </w:r>
      <w:r w:rsidR="00DF72B8" w:rsidRPr="00B22B79">
        <w:rPr>
          <w:rFonts w:eastAsia="Times New Roman" w:cs="Times New Roman"/>
          <w:lang w:val="es-ES_tradnl" w:eastAsia="en-US"/>
        </w:rPr>
        <w:t xml:space="preserve"> </w:t>
      </w:r>
      <w:r w:rsidRPr="00B22B79">
        <w:rPr>
          <w:rFonts w:eastAsia="Times New Roman" w:cs="Times New Roman"/>
          <w:lang w:val="es-ES_tradnl" w:eastAsia="en-US"/>
        </w:rPr>
        <w:t>El Procedimiento de 2019 figura en el Anexo I del presente memorando y en lo sucesivo, se denomina “Procedimiento de 2019”.</w:t>
      </w:r>
    </w:p>
    <w:p w14:paraId="22C44AB4" w14:textId="471A2868" w:rsidR="006B1AD7" w:rsidRPr="00B22B79" w:rsidRDefault="006B1AD7" w:rsidP="006B1AD7">
      <w:pPr>
        <w:spacing w:after="240"/>
        <w:ind w:right="-1"/>
        <w:rPr>
          <w:rFonts w:eastAsia="Times New Roman"/>
          <w:szCs w:val="22"/>
          <w:lang w:val="es-ES_tradnl" w:eastAsia="en-US"/>
        </w:rPr>
      </w:pPr>
      <w:bookmarkStart w:id="5" w:name="_Hlk191634118"/>
      <w:r w:rsidRPr="00B22B79">
        <w:rPr>
          <w:rFonts w:eastAsia="Times New Roman" w:cs="Times New Roman"/>
          <w:lang w:val="es-ES_tradnl" w:eastAsia="en-US"/>
        </w:rPr>
        <w:t>4.</w:t>
      </w:r>
      <w:r w:rsidRPr="00B22B79">
        <w:rPr>
          <w:rFonts w:eastAsia="Times New Roman" w:cs="Times New Roman"/>
          <w:lang w:val="es-ES_tradnl" w:eastAsia="en-US"/>
        </w:rPr>
        <w:tab/>
        <w:t>De conformidad con el Procedimiento de 2019, la primera medida consiste en el envío de una circular del presidente del Comité de Coordinación de la OMPI a todos los Estados miembros de la OMPI</w:t>
      </w:r>
      <w:bookmarkEnd w:id="5"/>
      <w:r w:rsidRPr="00B22B79">
        <w:rPr>
          <w:rFonts w:eastAsia="Times New Roman" w:cs="Times New Roman"/>
          <w:lang w:val="es-ES_tradnl" w:eastAsia="en-US"/>
        </w:rPr>
        <w:t>, con el fin de invitarlos a proponer a uno de sus nacionales como candidato al puesto de director general de la OMPI.</w:t>
      </w:r>
      <w:r w:rsidR="00DF72B8" w:rsidRPr="00B22B79">
        <w:rPr>
          <w:rFonts w:eastAsia="Times New Roman" w:cs="Times New Roman"/>
          <w:lang w:val="es-ES_tradnl" w:eastAsia="en-US"/>
        </w:rPr>
        <w:t xml:space="preserve"> </w:t>
      </w:r>
      <w:r w:rsidRPr="00B22B79">
        <w:rPr>
          <w:rFonts w:eastAsia="Times New Roman" w:cs="Times New Roman"/>
          <w:lang w:val="es-ES_tradnl" w:eastAsia="en-US"/>
        </w:rPr>
        <w:t>Se prevé enviar esa circular el 24 de julio de 2025.</w:t>
      </w:r>
      <w:r w:rsidR="00DF72B8" w:rsidRPr="00B22B79">
        <w:rPr>
          <w:rFonts w:eastAsia="Times New Roman" w:cs="Times New Roman"/>
          <w:lang w:val="es-ES_tradnl" w:eastAsia="en-US"/>
        </w:rPr>
        <w:t xml:space="preserve"> </w:t>
      </w:r>
      <w:r w:rsidRPr="00B22B79">
        <w:rPr>
          <w:rFonts w:eastAsia="Times New Roman" w:cs="Times New Roman"/>
          <w:lang w:val="es-ES_tradnl" w:eastAsia="en-US"/>
        </w:rPr>
        <w:t>Una copia de la circular figura en el Anexo II del presente memorando.</w:t>
      </w:r>
      <w:r w:rsidR="00DF72B8" w:rsidRPr="00B22B79">
        <w:rPr>
          <w:rFonts w:eastAsia="Times New Roman" w:cs="Times New Roman"/>
          <w:lang w:val="es-ES_tradnl" w:eastAsia="en-US"/>
        </w:rPr>
        <w:t xml:space="preserve"> </w:t>
      </w:r>
      <w:r w:rsidRPr="00B22B79">
        <w:rPr>
          <w:rFonts w:eastAsia="Times New Roman" w:cs="Times New Roman"/>
          <w:lang w:val="es-ES_tradnl" w:eastAsia="en-US"/>
        </w:rPr>
        <w:t>El plazo para el envío de candidaturas se vence tres meses después del envío de la circular.</w:t>
      </w:r>
    </w:p>
    <w:p w14:paraId="5F729C21" w14:textId="77777777" w:rsidR="006B1AD7" w:rsidRPr="00B22B79" w:rsidRDefault="006B1AD7" w:rsidP="006B1AD7">
      <w:pPr>
        <w:keepNext/>
        <w:spacing w:before="240" w:after="240"/>
        <w:outlineLvl w:val="2"/>
        <w:rPr>
          <w:bCs/>
          <w:szCs w:val="22"/>
          <w:lang w:val="es-ES_tradnl"/>
        </w:rPr>
      </w:pPr>
      <w:r w:rsidRPr="00B22B79">
        <w:rPr>
          <w:bCs/>
          <w:szCs w:val="26"/>
          <w:lang w:val="es-ES_tradnl"/>
        </w:rPr>
        <w:t>5.</w:t>
      </w:r>
      <w:r w:rsidRPr="00B22B79">
        <w:rPr>
          <w:bCs/>
          <w:szCs w:val="26"/>
          <w:lang w:val="es-ES_tradnl"/>
        </w:rPr>
        <w:tab/>
        <w:t>Tras cumplirse el plazo para presentar las candidaturas, el presidente del Comité de Coordinación de la OMPI enviará a los Estados miembros una nota con una recopilación de todas las candidaturas recibidas.</w:t>
      </w:r>
    </w:p>
    <w:p w14:paraId="4ADC756E" w14:textId="77777777" w:rsidR="006B1AD7" w:rsidRPr="00B22B79" w:rsidRDefault="006B1AD7" w:rsidP="006B1AD7">
      <w:pPr>
        <w:spacing w:after="720"/>
        <w:rPr>
          <w:szCs w:val="22"/>
          <w:lang w:val="es-ES_tradnl"/>
        </w:rPr>
      </w:pPr>
      <w:r w:rsidRPr="00B22B79">
        <w:rPr>
          <w:lang w:val="es-ES_tradnl"/>
        </w:rPr>
        <w:t>6.</w:t>
      </w:r>
      <w:r w:rsidRPr="00B22B79">
        <w:rPr>
          <w:lang w:val="es-ES_tradnl"/>
        </w:rPr>
        <w:tab/>
        <w:t>En lo que se refiere a la designación de un candidato al puesto de director general, y el sucesivo nombramiento en esa calidad, el director general convocará una sesión extraordinaria del Comité de Coordinación de la OMPI y un período extraordinario de sesiones de la Asamblea General de la OMPI, la Asamblea de la Unión de París y la Asamblea de la Unión de Berna, respectivamente, de conformidad con el orden cronológico establecido en el Procedimiento de 2019, según el calendario que figura más abajo.</w:t>
      </w:r>
    </w:p>
    <w:p w14:paraId="0691D5D4" w14:textId="77777777" w:rsidR="006B1AD7" w:rsidRPr="00B22B79" w:rsidRDefault="006B1AD7" w:rsidP="006B1AD7">
      <w:pPr>
        <w:keepNext/>
        <w:spacing w:before="240" w:after="240"/>
        <w:outlineLvl w:val="2"/>
        <w:rPr>
          <w:bCs/>
          <w:szCs w:val="26"/>
          <w:u w:val="single"/>
          <w:lang w:val="es-ES_tradnl"/>
        </w:rPr>
      </w:pPr>
      <w:r w:rsidRPr="00B22B79">
        <w:rPr>
          <w:bCs/>
          <w:szCs w:val="26"/>
          <w:u w:val="single"/>
          <w:lang w:val="es-ES_tradnl"/>
        </w:rPr>
        <w:lastRenderedPageBreak/>
        <w:t>Calendario</w:t>
      </w:r>
    </w:p>
    <w:p w14:paraId="23C4E9D4" w14:textId="77777777" w:rsidR="006B1AD7" w:rsidRPr="00B22B79" w:rsidRDefault="006B1AD7" w:rsidP="006B1AD7">
      <w:pPr>
        <w:spacing w:before="220" w:after="240"/>
        <w:ind w:right="101"/>
        <w:rPr>
          <w:rFonts w:eastAsia="Times New Roman"/>
          <w:szCs w:val="22"/>
          <w:lang w:val="es-ES_tradnl" w:eastAsia="en-US"/>
        </w:rPr>
      </w:pPr>
      <w:r w:rsidRPr="00B22B79">
        <w:rPr>
          <w:rFonts w:eastAsia="Times New Roman" w:cs="Times New Roman"/>
          <w:lang w:val="es-ES_tradnl" w:eastAsia="en-US"/>
        </w:rPr>
        <w:t>7.</w:t>
      </w:r>
      <w:r w:rsidRPr="00B22B79">
        <w:rPr>
          <w:rFonts w:eastAsia="Times New Roman" w:cs="Times New Roman"/>
          <w:lang w:val="es-ES_tradnl" w:eastAsia="en-US"/>
        </w:rPr>
        <w:tab/>
        <w:t>De conformidad con el Procedimiento de 2019, se propone el calendario siguiente:</w:t>
      </w: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1"/>
        <w:gridCol w:w="6553"/>
      </w:tblGrid>
      <w:tr w:rsidR="006B1AD7" w:rsidRPr="00B22B79" w14:paraId="4CC63744" w14:textId="77777777" w:rsidTr="00E740FB">
        <w:trPr>
          <w:trHeight w:val="450"/>
        </w:trPr>
        <w:tc>
          <w:tcPr>
            <w:tcW w:w="2911" w:type="dxa"/>
          </w:tcPr>
          <w:p w14:paraId="544B2C40" w14:textId="77777777" w:rsidR="006B1AD7" w:rsidRPr="00B22B79" w:rsidRDefault="006B1AD7" w:rsidP="006B1AD7">
            <w:pPr>
              <w:spacing w:after="240"/>
              <w:ind w:right="96"/>
              <w:rPr>
                <w:rFonts w:eastAsia="Times New Roman"/>
                <w:szCs w:val="22"/>
                <w:lang w:val="es-ES_tradnl" w:eastAsia="en-US"/>
              </w:rPr>
            </w:pPr>
            <w:r w:rsidRPr="00B22B79">
              <w:rPr>
                <w:rFonts w:eastAsia="Times New Roman" w:cs="Times New Roman"/>
                <w:lang w:val="es-ES_tradnl" w:eastAsia="en-US"/>
              </w:rPr>
              <w:t>24 de julio de 2025:</w:t>
            </w:r>
          </w:p>
        </w:tc>
        <w:tc>
          <w:tcPr>
            <w:tcW w:w="6553" w:type="dxa"/>
          </w:tcPr>
          <w:p w14:paraId="62ED82F7" w14:textId="749E252A" w:rsidR="006B1AD7" w:rsidRPr="00B22B79" w:rsidRDefault="006B1AD7" w:rsidP="006B1AD7">
            <w:pPr>
              <w:spacing w:after="240"/>
              <w:ind w:right="96"/>
              <w:rPr>
                <w:rFonts w:eastAsia="Times New Roman"/>
                <w:szCs w:val="22"/>
                <w:lang w:val="es-ES_tradnl" w:eastAsia="en-US"/>
              </w:rPr>
            </w:pPr>
            <w:r w:rsidRPr="00B22B79">
              <w:rPr>
                <w:rFonts w:eastAsia="Times New Roman" w:cs="Times New Roman"/>
                <w:lang w:val="es-ES_tradnl" w:eastAsia="en-US"/>
              </w:rPr>
              <w:t>Envío de la circular en la que se invita a proponer candidatos</w:t>
            </w:r>
            <w:r w:rsidR="00E90511">
              <w:rPr>
                <w:rFonts w:eastAsia="Times New Roman" w:cs="Times New Roman"/>
                <w:lang w:val="es-ES_tradnl" w:eastAsia="en-US"/>
              </w:rPr>
              <w:t>.</w:t>
            </w:r>
          </w:p>
        </w:tc>
      </w:tr>
      <w:tr w:rsidR="006B1AD7" w:rsidRPr="00B22B79" w14:paraId="50E44739" w14:textId="77777777" w:rsidTr="00E740FB">
        <w:trPr>
          <w:trHeight w:val="450"/>
        </w:trPr>
        <w:tc>
          <w:tcPr>
            <w:tcW w:w="2911" w:type="dxa"/>
          </w:tcPr>
          <w:p w14:paraId="6B42F701" w14:textId="77777777" w:rsidR="006B1AD7" w:rsidRPr="00B22B79" w:rsidRDefault="006B1AD7" w:rsidP="006B1AD7">
            <w:pPr>
              <w:spacing w:after="240"/>
              <w:ind w:right="96"/>
              <w:rPr>
                <w:rFonts w:eastAsia="Times New Roman"/>
                <w:szCs w:val="22"/>
                <w:lang w:val="es-ES_tradnl" w:eastAsia="en-US"/>
              </w:rPr>
            </w:pPr>
            <w:r w:rsidRPr="00B22B79">
              <w:rPr>
                <w:rFonts w:eastAsia="Times New Roman" w:cs="Times New Roman"/>
                <w:lang w:val="es-ES_tradnl" w:eastAsia="en-US"/>
              </w:rPr>
              <w:t>24 de octubre de 2025:</w:t>
            </w:r>
          </w:p>
        </w:tc>
        <w:tc>
          <w:tcPr>
            <w:tcW w:w="6553" w:type="dxa"/>
          </w:tcPr>
          <w:p w14:paraId="030AD043" w14:textId="6E95B2B8" w:rsidR="006B1AD7" w:rsidRPr="00B22B79" w:rsidRDefault="006B1AD7" w:rsidP="006B1AD7">
            <w:pPr>
              <w:spacing w:after="240"/>
              <w:ind w:right="96"/>
              <w:rPr>
                <w:rFonts w:eastAsia="Times New Roman"/>
                <w:szCs w:val="22"/>
                <w:lang w:val="es-ES_tradnl" w:eastAsia="en-US"/>
              </w:rPr>
            </w:pPr>
            <w:r w:rsidRPr="00B22B79">
              <w:rPr>
                <w:rFonts w:eastAsia="Times New Roman" w:cs="Times New Roman"/>
                <w:lang w:val="es-ES_tradnl" w:eastAsia="en-US"/>
              </w:rPr>
              <w:t>Vencimiento del plazo para presentar candidaturas</w:t>
            </w:r>
            <w:r w:rsidR="00E90511">
              <w:rPr>
                <w:rFonts w:eastAsia="Times New Roman" w:cs="Times New Roman"/>
                <w:lang w:val="es-ES_tradnl" w:eastAsia="en-US"/>
              </w:rPr>
              <w:t>.</w:t>
            </w:r>
          </w:p>
        </w:tc>
      </w:tr>
      <w:tr w:rsidR="006B1AD7" w:rsidRPr="00B22B79" w14:paraId="17E7EF23" w14:textId="77777777" w:rsidTr="00E740FB">
        <w:trPr>
          <w:trHeight w:val="669"/>
        </w:trPr>
        <w:tc>
          <w:tcPr>
            <w:tcW w:w="2911" w:type="dxa"/>
          </w:tcPr>
          <w:p w14:paraId="608D27FB" w14:textId="0C638D29" w:rsidR="006B1AD7" w:rsidRPr="00B22B79" w:rsidRDefault="006B1AD7" w:rsidP="006B1AD7">
            <w:pPr>
              <w:spacing w:after="240"/>
              <w:ind w:right="96"/>
              <w:rPr>
                <w:rFonts w:eastAsia="Times New Roman"/>
                <w:szCs w:val="22"/>
                <w:lang w:val="es-ES_tradnl" w:eastAsia="en-US"/>
              </w:rPr>
            </w:pPr>
            <w:r w:rsidRPr="00B22B79">
              <w:rPr>
                <w:rFonts w:eastAsia="Times New Roman" w:cs="Times New Roman"/>
                <w:lang w:val="es-ES_tradnl" w:eastAsia="en-US"/>
              </w:rPr>
              <w:t>12 y 13 de febrero de</w:t>
            </w:r>
            <w:r w:rsidR="00B22B79" w:rsidRPr="00B22B79">
              <w:rPr>
                <w:rFonts w:eastAsia="Times New Roman" w:cs="Times New Roman"/>
                <w:lang w:val="es-ES_tradnl" w:eastAsia="en-US"/>
              </w:rPr>
              <w:t> </w:t>
            </w:r>
            <w:r w:rsidRPr="00B22B79">
              <w:rPr>
                <w:rFonts w:eastAsia="Times New Roman" w:cs="Times New Roman"/>
                <w:lang w:val="es-ES_tradnl" w:eastAsia="en-US"/>
              </w:rPr>
              <w:t>2026:</w:t>
            </w:r>
          </w:p>
        </w:tc>
        <w:tc>
          <w:tcPr>
            <w:tcW w:w="6553" w:type="dxa"/>
          </w:tcPr>
          <w:p w14:paraId="2243A399" w14:textId="6DAE30D0" w:rsidR="006B1AD7" w:rsidRPr="00B22B79" w:rsidRDefault="006B1AD7" w:rsidP="006B1AD7">
            <w:pPr>
              <w:spacing w:after="240"/>
              <w:ind w:right="96"/>
              <w:rPr>
                <w:rFonts w:eastAsia="Times New Roman"/>
                <w:szCs w:val="22"/>
                <w:lang w:val="es-ES_tradnl" w:eastAsia="en-US"/>
              </w:rPr>
            </w:pPr>
            <w:bookmarkStart w:id="6" w:name="_Hlk191635162"/>
            <w:r w:rsidRPr="00B22B79">
              <w:rPr>
                <w:rFonts w:eastAsia="Times New Roman" w:cs="Times New Roman"/>
                <w:lang w:val="es-ES_tradnl" w:eastAsia="en-US"/>
              </w:rPr>
              <w:t xml:space="preserve">Sesión extraordinaria del Comité de Coordinación </w:t>
            </w:r>
            <w:bookmarkEnd w:id="6"/>
            <w:r w:rsidRPr="00B22B79">
              <w:rPr>
                <w:rFonts w:eastAsia="Times New Roman" w:cs="Times New Roman"/>
                <w:lang w:val="es-ES_tradnl" w:eastAsia="en-US"/>
              </w:rPr>
              <w:t>destinada a designar al candidato para el puesto de director general</w:t>
            </w:r>
            <w:r w:rsidR="00E90511">
              <w:rPr>
                <w:rFonts w:eastAsia="Times New Roman" w:cs="Times New Roman"/>
                <w:lang w:val="es-ES_tradnl" w:eastAsia="en-US"/>
              </w:rPr>
              <w:t>.</w:t>
            </w:r>
          </w:p>
        </w:tc>
      </w:tr>
      <w:tr w:rsidR="006B1AD7" w:rsidRPr="00B22B79" w14:paraId="2EADAA59" w14:textId="77777777" w:rsidTr="00E740FB">
        <w:trPr>
          <w:trHeight w:val="915"/>
        </w:trPr>
        <w:tc>
          <w:tcPr>
            <w:tcW w:w="2911" w:type="dxa"/>
          </w:tcPr>
          <w:p w14:paraId="37CDE14A" w14:textId="77777777" w:rsidR="006B1AD7" w:rsidRPr="00B22B79" w:rsidRDefault="006B1AD7" w:rsidP="006B1AD7">
            <w:pPr>
              <w:spacing w:after="240"/>
              <w:ind w:right="96"/>
              <w:rPr>
                <w:rFonts w:eastAsia="Times New Roman"/>
                <w:szCs w:val="22"/>
                <w:lang w:val="es-ES_tradnl" w:eastAsia="en-US"/>
              </w:rPr>
            </w:pPr>
            <w:r w:rsidRPr="00B22B79">
              <w:rPr>
                <w:rFonts w:eastAsia="Times New Roman" w:cs="Times New Roman"/>
                <w:lang w:val="es-ES_tradnl" w:eastAsia="en-US"/>
              </w:rPr>
              <w:t>21 de abril de 2026:</w:t>
            </w:r>
          </w:p>
        </w:tc>
        <w:tc>
          <w:tcPr>
            <w:tcW w:w="6553" w:type="dxa"/>
          </w:tcPr>
          <w:p w14:paraId="7048A9F9" w14:textId="79DE9EB1" w:rsidR="006B1AD7" w:rsidRPr="00B22B79" w:rsidRDefault="006B1AD7" w:rsidP="006B1AD7">
            <w:pPr>
              <w:spacing w:after="240"/>
              <w:ind w:right="96"/>
              <w:rPr>
                <w:rFonts w:eastAsia="Times New Roman"/>
                <w:szCs w:val="22"/>
                <w:lang w:val="es-ES_tradnl" w:eastAsia="en-US"/>
              </w:rPr>
            </w:pPr>
            <w:r w:rsidRPr="00B22B79">
              <w:rPr>
                <w:rFonts w:eastAsia="Times New Roman" w:cs="Times New Roman"/>
                <w:lang w:val="es-ES_tradnl" w:eastAsia="en-US"/>
              </w:rPr>
              <w:t>Período extraordinario de sesiones de la Asamblea General de la OMPI, de la Asamblea de la Unión de París y de la Asamblea de la Unión de Berna para nombrar al director general</w:t>
            </w:r>
            <w:r w:rsidR="00E90511">
              <w:rPr>
                <w:rFonts w:eastAsia="Times New Roman" w:cs="Times New Roman"/>
                <w:lang w:val="es-ES_tradnl" w:eastAsia="en-US"/>
              </w:rPr>
              <w:t>.</w:t>
            </w:r>
          </w:p>
        </w:tc>
      </w:tr>
      <w:tr w:rsidR="006B1AD7" w:rsidRPr="00B22B79" w14:paraId="29C58149" w14:textId="77777777" w:rsidTr="00E740FB">
        <w:trPr>
          <w:trHeight w:val="450"/>
        </w:trPr>
        <w:tc>
          <w:tcPr>
            <w:tcW w:w="2911" w:type="dxa"/>
          </w:tcPr>
          <w:p w14:paraId="576CD998" w14:textId="77777777" w:rsidR="006B1AD7" w:rsidRPr="00B22B79" w:rsidRDefault="006B1AD7" w:rsidP="006B1AD7">
            <w:pPr>
              <w:spacing w:after="240"/>
              <w:ind w:right="96"/>
              <w:rPr>
                <w:rFonts w:eastAsia="Times New Roman"/>
                <w:szCs w:val="22"/>
                <w:lang w:val="es-ES_tradnl" w:eastAsia="en-US"/>
              </w:rPr>
            </w:pPr>
            <w:r w:rsidRPr="00B22B79">
              <w:rPr>
                <w:rFonts w:eastAsia="Times New Roman" w:cs="Times New Roman"/>
                <w:lang w:val="es-ES_tradnl" w:eastAsia="en-US"/>
              </w:rPr>
              <w:t>1 de octubre de 2026:</w:t>
            </w:r>
          </w:p>
        </w:tc>
        <w:tc>
          <w:tcPr>
            <w:tcW w:w="6553" w:type="dxa"/>
          </w:tcPr>
          <w:p w14:paraId="05E47E14" w14:textId="7167F401" w:rsidR="006B1AD7" w:rsidRPr="00B22B79" w:rsidRDefault="00E90511" w:rsidP="006B1AD7">
            <w:pPr>
              <w:spacing w:after="240"/>
              <w:ind w:right="96"/>
              <w:rPr>
                <w:rFonts w:eastAsia="Times New Roman"/>
                <w:szCs w:val="22"/>
                <w:lang w:val="es-ES_tradnl" w:eastAsia="en-US"/>
              </w:rPr>
            </w:pPr>
            <w:r>
              <w:rPr>
                <w:rFonts w:eastAsia="Times New Roman" w:cs="Times New Roman"/>
                <w:lang w:val="es-ES_tradnl" w:eastAsia="en-US"/>
              </w:rPr>
              <w:t>C</w:t>
            </w:r>
            <w:r w:rsidR="006B1AD7" w:rsidRPr="00B22B79">
              <w:rPr>
                <w:rFonts w:eastAsia="Times New Roman" w:cs="Times New Roman"/>
                <w:lang w:val="es-ES_tradnl" w:eastAsia="en-US"/>
              </w:rPr>
              <w:t>omienzo del mandato del próximo director general</w:t>
            </w:r>
            <w:r>
              <w:rPr>
                <w:rFonts w:eastAsia="Times New Roman" w:cs="Times New Roman"/>
                <w:lang w:val="es-ES_tradnl" w:eastAsia="en-US"/>
              </w:rPr>
              <w:t>.</w:t>
            </w:r>
          </w:p>
        </w:tc>
      </w:tr>
    </w:tbl>
    <w:p w14:paraId="18FD93F4" w14:textId="77777777" w:rsidR="006B1AD7" w:rsidRPr="00B22B79" w:rsidRDefault="006B1AD7" w:rsidP="00B22B79">
      <w:pPr>
        <w:tabs>
          <w:tab w:val="left" w:pos="6096"/>
        </w:tabs>
        <w:spacing w:before="480" w:after="240"/>
        <w:ind w:left="5530"/>
        <w:rPr>
          <w:lang w:val="es-ES_tradnl"/>
        </w:rPr>
      </w:pPr>
      <w:r w:rsidRPr="00B22B79">
        <w:rPr>
          <w:i/>
          <w:lang w:val="es-ES_tradnl"/>
        </w:rPr>
        <w:t>8.</w:t>
      </w:r>
      <w:r w:rsidRPr="00B22B79">
        <w:rPr>
          <w:lang w:val="es-ES_tradnl"/>
        </w:rPr>
        <w:tab/>
      </w:r>
      <w:r w:rsidRPr="00B22B79">
        <w:rPr>
          <w:i/>
          <w:lang w:val="es-ES_tradnl"/>
        </w:rPr>
        <w:t>Se invita a la Asamblea General de la OMPI, el Comité de Coordinación de la OMPI y las Asambleas de la Unión de París y de la Unión de Berna, en lo que a cada una concierne, a</w:t>
      </w:r>
    </w:p>
    <w:p w14:paraId="5321C797" w14:textId="77777777" w:rsidR="006B1AD7" w:rsidRPr="00B22B79" w:rsidRDefault="006B1AD7" w:rsidP="00B22B79">
      <w:pPr>
        <w:numPr>
          <w:ilvl w:val="0"/>
          <w:numId w:val="7"/>
        </w:numPr>
        <w:spacing w:after="240"/>
        <w:ind w:left="6521" w:hanging="425"/>
        <w:rPr>
          <w:rFonts w:eastAsia="Times New Roman"/>
          <w:i/>
          <w:szCs w:val="22"/>
          <w:lang w:val="es-ES_tradnl" w:eastAsia="en-US"/>
        </w:rPr>
      </w:pPr>
      <w:r w:rsidRPr="00B22B79">
        <w:rPr>
          <w:rFonts w:eastAsia="Times New Roman" w:cs="Times New Roman"/>
          <w:i/>
          <w:lang w:val="es-ES_tradnl" w:eastAsia="en-US"/>
        </w:rPr>
        <w:t>tomar nota de la circular que figura en el Anexo II, que ha de enviarse según se indica en el párrafo 7;</w:t>
      </w:r>
    </w:p>
    <w:p w14:paraId="51F2BE6D" w14:textId="77777777" w:rsidR="006B1AD7" w:rsidRPr="00B22B79" w:rsidRDefault="006B1AD7" w:rsidP="00B22B79">
      <w:pPr>
        <w:numPr>
          <w:ilvl w:val="0"/>
          <w:numId w:val="7"/>
        </w:numPr>
        <w:spacing w:after="240"/>
        <w:ind w:left="6521" w:hanging="425"/>
        <w:rPr>
          <w:rFonts w:eastAsia="Times New Roman"/>
          <w:i/>
          <w:szCs w:val="22"/>
          <w:lang w:val="es-ES_tradnl" w:eastAsia="en-US"/>
        </w:rPr>
      </w:pPr>
      <w:r w:rsidRPr="00B22B79">
        <w:rPr>
          <w:rFonts w:eastAsia="Times New Roman" w:cs="Times New Roman"/>
          <w:i/>
          <w:lang w:val="es-ES_tradnl" w:eastAsia="en-US"/>
        </w:rPr>
        <w:t>aprobar la convocación de la Asamblea General de la OMPI, la Asamblea de la Unión de París y la asamblea de la Unión de Berna el 21 de abril de 2026;</w:t>
      </w:r>
    </w:p>
    <w:p w14:paraId="68803BE1" w14:textId="77777777" w:rsidR="006B1AD7" w:rsidRPr="00B22B79" w:rsidRDefault="006B1AD7" w:rsidP="00B22B79">
      <w:pPr>
        <w:numPr>
          <w:ilvl w:val="0"/>
          <w:numId w:val="7"/>
        </w:numPr>
        <w:spacing w:after="600"/>
        <w:ind w:left="6520" w:hanging="425"/>
        <w:rPr>
          <w:rFonts w:eastAsia="Times New Roman"/>
          <w:i/>
          <w:szCs w:val="22"/>
          <w:lang w:val="es-ES_tradnl" w:eastAsia="en-US"/>
        </w:rPr>
      </w:pPr>
      <w:r w:rsidRPr="00B22B79">
        <w:rPr>
          <w:rFonts w:eastAsia="Times New Roman" w:cs="Times New Roman"/>
          <w:i/>
          <w:lang w:val="es-ES_tradnl" w:eastAsia="en-US"/>
        </w:rPr>
        <w:t>aprobar el calendario de las medidas de procedimiento expuestas en el párrafo 7.</w:t>
      </w:r>
    </w:p>
    <w:p w14:paraId="1A86103D" w14:textId="2FD129D2" w:rsidR="006B1AD7" w:rsidRPr="00B22B79" w:rsidRDefault="006B1AD7" w:rsidP="00B22B79">
      <w:pPr>
        <w:pStyle w:val="Endofdocument-Annex"/>
        <w:rPr>
          <w:lang w:val="es-ES_tradnl"/>
        </w:rPr>
        <w:sectPr w:rsidR="006B1AD7" w:rsidRPr="00B22B79" w:rsidSect="006B1AD7">
          <w:headerReference w:type="default" r:id="rId8"/>
          <w:endnotePr>
            <w:numFmt w:val="decimal"/>
          </w:endnotePr>
          <w:pgSz w:w="11907" w:h="16840" w:code="9"/>
          <w:pgMar w:top="567" w:right="1134" w:bottom="1418" w:left="1418" w:header="510" w:footer="1021" w:gutter="0"/>
          <w:cols w:space="720"/>
          <w:titlePg/>
          <w:docGrid w:linePitch="299"/>
        </w:sectPr>
      </w:pPr>
      <w:r w:rsidRPr="00B22B79">
        <w:rPr>
          <w:lang w:val="es-ES_tradnl"/>
        </w:rPr>
        <w:t xml:space="preserve">[Siguen los </w:t>
      </w:r>
      <w:r w:rsidR="00B22B79" w:rsidRPr="00B22B79">
        <w:rPr>
          <w:lang w:val="es-ES_tradnl"/>
        </w:rPr>
        <w:t>A</w:t>
      </w:r>
      <w:r w:rsidRPr="00B22B79">
        <w:rPr>
          <w:lang w:val="es-ES_tradnl"/>
        </w:rPr>
        <w:t>nexos]</w:t>
      </w:r>
    </w:p>
    <w:p w14:paraId="268858DF" w14:textId="77777777" w:rsidR="006B1AD7" w:rsidRPr="00B22B79" w:rsidRDefault="006B1AD7" w:rsidP="00B22B79">
      <w:pPr>
        <w:keepNext/>
        <w:spacing w:before="480" w:after="220"/>
        <w:outlineLvl w:val="3"/>
        <w:rPr>
          <w:bCs/>
          <w:iCs/>
          <w:szCs w:val="28"/>
          <w:lang w:val="es-ES_tradnl"/>
        </w:rPr>
      </w:pPr>
      <w:r w:rsidRPr="00B22B79">
        <w:rPr>
          <w:bCs/>
          <w:szCs w:val="28"/>
          <w:lang w:val="es-ES_tradnl"/>
        </w:rPr>
        <w:lastRenderedPageBreak/>
        <w:t>PROCEDIMIENTO PARA LA DESIGNACIÓN Y EL NOMBRAMIENTO DE DIRECTORES GENERALES DE LA OMPI</w:t>
      </w:r>
    </w:p>
    <w:p w14:paraId="57C627B8" w14:textId="77777777" w:rsidR="006B1AD7" w:rsidRPr="00B22B79" w:rsidRDefault="006B1AD7" w:rsidP="006B1AD7">
      <w:pPr>
        <w:keepNext/>
        <w:keepLines/>
        <w:spacing w:before="240" w:after="220"/>
        <w:outlineLvl w:val="4"/>
        <w:rPr>
          <w:rFonts w:eastAsiaTheme="majorEastAsia"/>
          <w:u w:val="single"/>
          <w:lang w:val="es-ES_tradnl"/>
        </w:rPr>
      </w:pPr>
      <w:r w:rsidRPr="00B22B79">
        <w:rPr>
          <w:rFonts w:eastAsiaTheme="majorEastAsia" w:cstheme="majorBidi"/>
          <w:u w:val="single"/>
          <w:lang w:val="es-ES_tradnl"/>
        </w:rPr>
        <w:t>Procedimiento para la publicación de una vacante inminente y la presentación de candidaturas</w:t>
      </w:r>
    </w:p>
    <w:p w14:paraId="67EEAD56" w14:textId="06D992C0" w:rsidR="006B1AD7" w:rsidRPr="00B22B79" w:rsidRDefault="006B1AD7" w:rsidP="006B1AD7">
      <w:pPr>
        <w:tabs>
          <w:tab w:val="left" w:pos="567"/>
          <w:tab w:val="left" w:pos="1134"/>
          <w:tab w:val="right" w:pos="1985"/>
          <w:tab w:val="left" w:pos="2268"/>
        </w:tabs>
        <w:spacing w:after="240"/>
        <w:rPr>
          <w:szCs w:val="22"/>
          <w:lang w:val="es-ES_tradnl"/>
        </w:rPr>
      </w:pPr>
      <w:r w:rsidRPr="00B22B79">
        <w:rPr>
          <w:lang w:val="es-ES_tradnl"/>
        </w:rPr>
        <w:t>1.</w:t>
      </w:r>
      <w:r w:rsidRPr="00B22B79">
        <w:rPr>
          <w:lang w:val="es-ES_tradnl"/>
        </w:rPr>
        <w:tab/>
        <w:t xml:space="preserve">Por lo menos seis meses antes de la reunión del Comité de Coordinación que se vaya a convocar para proponer un candidato al puesto de </w:t>
      </w:r>
      <w:r w:rsidR="004E35CC" w:rsidRPr="00B22B79">
        <w:rPr>
          <w:lang w:val="es-ES_tradnl"/>
        </w:rPr>
        <w:t>director general</w:t>
      </w:r>
      <w:r w:rsidRPr="00B22B79">
        <w:rPr>
          <w:lang w:val="es-ES_tradnl"/>
        </w:rPr>
        <w:t xml:space="preserve">, el Presidente del Comité de Coordinación enviará una circular por la que invitará a todos los Estados miembros de la OMPI a que propongan a uno de sus nacionales como candidato al puesto de </w:t>
      </w:r>
      <w:r w:rsidR="004E35CC" w:rsidRPr="00B22B79">
        <w:rPr>
          <w:lang w:val="es-ES_tradnl"/>
        </w:rPr>
        <w:t>director general</w:t>
      </w:r>
      <w:r w:rsidRPr="00B22B79">
        <w:rPr>
          <w:lang w:val="es-ES_tradnl"/>
        </w:rPr>
        <w:t xml:space="preserve"> de la OMPI.</w:t>
      </w:r>
    </w:p>
    <w:p w14:paraId="4A7CA0DF" w14:textId="77777777" w:rsidR="006B1AD7" w:rsidRPr="00B22B79" w:rsidRDefault="006B1AD7" w:rsidP="006B1AD7">
      <w:pPr>
        <w:tabs>
          <w:tab w:val="left" w:pos="567"/>
          <w:tab w:val="left" w:pos="1134"/>
          <w:tab w:val="right" w:pos="1985"/>
          <w:tab w:val="left" w:pos="2268"/>
        </w:tabs>
        <w:spacing w:after="240"/>
        <w:rPr>
          <w:szCs w:val="22"/>
          <w:lang w:val="es-ES_tradnl"/>
        </w:rPr>
      </w:pPr>
      <w:r w:rsidRPr="00B22B79">
        <w:rPr>
          <w:lang w:val="es-ES_tradnl"/>
        </w:rPr>
        <w:t>2.</w:t>
      </w:r>
      <w:r w:rsidRPr="00B22B79">
        <w:rPr>
          <w:lang w:val="es-ES_tradnl"/>
        </w:rPr>
        <w:tab/>
        <w:t xml:space="preserve">La candidatura presentada por un Estado miembro deberá ir acompañada de un </w:t>
      </w:r>
      <w:r w:rsidRPr="00B22B79">
        <w:rPr>
          <w:i/>
          <w:iCs/>
          <w:lang w:val="es-ES_tradnl"/>
        </w:rPr>
        <w:t>curriculum vitae</w:t>
      </w:r>
      <w:r w:rsidRPr="00B22B79">
        <w:rPr>
          <w:lang w:val="es-ES_tradnl"/>
        </w:rPr>
        <w:t xml:space="preserve"> del candidato.</w:t>
      </w:r>
    </w:p>
    <w:p w14:paraId="2A3462AE" w14:textId="268051E5" w:rsidR="006B1AD7" w:rsidRPr="00B22B79" w:rsidRDefault="006B1AD7" w:rsidP="006B1AD7">
      <w:pPr>
        <w:tabs>
          <w:tab w:val="left" w:pos="567"/>
          <w:tab w:val="left" w:pos="1134"/>
          <w:tab w:val="right" w:pos="1985"/>
          <w:tab w:val="left" w:pos="2268"/>
        </w:tabs>
        <w:spacing w:after="240"/>
        <w:rPr>
          <w:szCs w:val="22"/>
          <w:lang w:val="es-ES_tradnl"/>
        </w:rPr>
      </w:pPr>
      <w:r w:rsidRPr="00B22B79">
        <w:rPr>
          <w:lang w:val="es-ES_tradnl"/>
        </w:rPr>
        <w:t>3.</w:t>
      </w:r>
      <w:r w:rsidRPr="00B22B79">
        <w:rPr>
          <w:lang w:val="es-ES_tradnl"/>
        </w:rPr>
        <w:tab/>
        <w:t>En la circular que el presidente del Comité de Coordinación enviará para invitar a presentar las candidaturas se especificará la fecha y hora (de Ginebra) exactas del plazo para hacerlo.</w:t>
      </w:r>
      <w:r w:rsidR="00DF72B8" w:rsidRPr="00B22B79">
        <w:rPr>
          <w:lang w:val="es-ES_tradnl"/>
        </w:rPr>
        <w:t xml:space="preserve"> </w:t>
      </w:r>
      <w:r w:rsidRPr="00B22B79">
        <w:rPr>
          <w:lang w:val="es-ES_tradnl"/>
        </w:rPr>
        <w:t>La fecha será tres meses después de la fecha de la circular.</w:t>
      </w:r>
    </w:p>
    <w:p w14:paraId="36BA749E" w14:textId="5E30FE55" w:rsidR="006B1AD7" w:rsidRPr="00B22B79" w:rsidRDefault="006B1AD7" w:rsidP="006B1AD7">
      <w:pPr>
        <w:tabs>
          <w:tab w:val="left" w:pos="567"/>
          <w:tab w:val="left" w:pos="1134"/>
          <w:tab w:val="right" w:pos="1985"/>
          <w:tab w:val="left" w:pos="2268"/>
        </w:tabs>
        <w:spacing w:after="240"/>
        <w:rPr>
          <w:szCs w:val="22"/>
          <w:lang w:val="es-ES_tradnl"/>
        </w:rPr>
      </w:pPr>
      <w:r w:rsidRPr="00B22B79">
        <w:rPr>
          <w:lang w:val="es-ES_tradnl"/>
        </w:rPr>
        <w:t>4.</w:t>
      </w:r>
      <w:r w:rsidRPr="00B22B79">
        <w:rPr>
          <w:lang w:val="es-ES_tradnl"/>
        </w:rPr>
        <w:tab/>
        <w:t>Una vez recibidas las propuestas, el presidente del Comité de Coordinación, en colaboración con la Oficina Internacional, las comunicará sin dilación a todos los Estados miembros.</w:t>
      </w:r>
      <w:r w:rsidR="00DF72B8" w:rsidRPr="00B22B79">
        <w:rPr>
          <w:lang w:val="es-ES_tradnl"/>
        </w:rPr>
        <w:t xml:space="preserve"> </w:t>
      </w:r>
      <w:r w:rsidRPr="00B22B79">
        <w:rPr>
          <w:lang w:val="es-ES_tradnl"/>
        </w:rPr>
        <w:t>Inmediatamente después de cumplido el plazo para presentar las candidaturas, el presidente enviará a los Estados miembros una nota con una recopilación de todas las candidaturas recibidas.</w:t>
      </w:r>
    </w:p>
    <w:p w14:paraId="2A18AF36" w14:textId="7E181E38" w:rsidR="006B1AD7" w:rsidRPr="00B22B79" w:rsidRDefault="006B1AD7" w:rsidP="006B1AD7">
      <w:pPr>
        <w:tabs>
          <w:tab w:val="left" w:pos="567"/>
          <w:tab w:val="left" w:pos="1134"/>
          <w:tab w:val="right" w:pos="1985"/>
          <w:tab w:val="left" w:pos="2268"/>
        </w:tabs>
        <w:spacing w:after="240"/>
        <w:rPr>
          <w:szCs w:val="22"/>
          <w:lang w:val="es-ES_tradnl"/>
        </w:rPr>
      </w:pPr>
      <w:r w:rsidRPr="00B22B79">
        <w:rPr>
          <w:lang w:val="es-ES_tradnl"/>
        </w:rPr>
        <w:t>5.</w:t>
      </w:r>
      <w:r w:rsidRPr="00B22B79">
        <w:rPr>
          <w:lang w:val="es-ES_tradnl"/>
        </w:rPr>
        <w:tab/>
        <w:t xml:space="preserve">El Comité de Coordinación se reunirá para designar un candidato al puesto de </w:t>
      </w:r>
      <w:r w:rsidR="004E35CC" w:rsidRPr="00B22B79">
        <w:rPr>
          <w:lang w:val="es-ES_tradnl"/>
        </w:rPr>
        <w:t>director general</w:t>
      </w:r>
      <w:r w:rsidRPr="00B22B79">
        <w:rPr>
          <w:lang w:val="es-ES_tradnl"/>
        </w:rPr>
        <w:t xml:space="preserve">, y lo hará no más de tres meses ni menos de dos meses antes de la Asamblea General de la OMPI que designará al </w:t>
      </w:r>
      <w:r w:rsidR="004E35CC" w:rsidRPr="00B22B79">
        <w:rPr>
          <w:lang w:val="es-ES_tradnl"/>
        </w:rPr>
        <w:t>director general</w:t>
      </w:r>
      <w:r w:rsidRPr="00B22B79">
        <w:rPr>
          <w:lang w:val="es-ES_tradnl"/>
        </w:rPr>
        <w:t xml:space="preserve"> propuesto por el Comité de Coordinación.</w:t>
      </w:r>
    </w:p>
    <w:p w14:paraId="10066DFB" w14:textId="77777777" w:rsidR="006B1AD7" w:rsidRPr="00B22B79" w:rsidRDefault="006B1AD7" w:rsidP="006B1AD7">
      <w:pPr>
        <w:tabs>
          <w:tab w:val="left" w:pos="567"/>
          <w:tab w:val="left" w:pos="1134"/>
          <w:tab w:val="right" w:pos="1985"/>
          <w:tab w:val="left" w:pos="2268"/>
        </w:tabs>
        <w:spacing w:after="480"/>
        <w:rPr>
          <w:szCs w:val="22"/>
          <w:u w:val="single"/>
          <w:lang w:val="es-ES_tradnl"/>
        </w:rPr>
      </w:pPr>
      <w:r w:rsidRPr="00B22B79">
        <w:rPr>
          <w:lang w:val="es-ES_tradnl"/>
        </w:rPr>
        <w:t>6.</w:t>
      </w:r>
      <w:r w:rsidRPr="00B22B79">
        <w:rPr>
          <w:lang w:val="es-ES_tradnl"/>
        </w:rPr>
        <w:tab/>
        <w:t>Inmediatamente después de adoptada la decisión del Comité de Coordinación, su presidente la notificará a todos los Estados miembros.</w:t>
      </w:r>
    </w:p>
    <w:p w14:paraId="61B5F4F9" w14:textId="4E8A1D67" w:rsidR="006B1AD7" w:rsidRPr="00B22B79" w:rsidRDefault="006B1AD7" w:rsidP="006B1AD7">
      <w:pPr>
        <w:keepNext/>
        <w:keepLines/>
        <w:spacing w:before="240" w:after="220"/>
        <w:outlineLvl w:val="4"/>
        <w:rPr>
          <w:rFonts w:eastAsiaTheme="majorEastAsia"/>
          <w:u w:val="single"/>
          <w:lang w:val="es-ES_tradnl"/>
        </w:rPr>
      </w:pPr>
      <w:r w:rsidRPr="00B22B79">
        <w:rPr>
          <w:rFonts w:eastAsiaTheme="majorEastAsia" w:cstheme="majorBidi"/>
          <w:u w:val="single"/>
          <w:lang w:val="es-ES_tradnl"/>
        </w:rPr>
        <w:t xml:space="preserve">Procedimiento por el que el Comité de Coordinación propondrá un candidato para el puesto de </w:t>
      </w:r>
      <w:r w:rsidR="004E35CC" w:rsidRPr="00B22B79">
        <w:rPr>
          <w:rFonts w:eastAsiaTheme="majorEastAsia" w:cstheme="majorBidi"/>
          <w:u w:val="single"/>
          <w:lang w:val="es-ES_tradnl"/>
        </w:rPr>
        <w:t>director general</w:t>
      </w:r>
    </w:p>
    <w:p w14:paraId="1C83D68A" w14:textId="77777777" w:rsidR="006B1AD7" w:rsidRPr="00B22B79" w:rsidRDefault="006B1AD7" w:rsidP="006B1AD7">
      <w:pPr>
        <w:tabs>
          <w:tab w:val="left" w:pos="567"/>
        </w:tabs>
        <w:spacing w:after="240"/>
        <w:rPr>
          <w:szCs w:val="22"/>
          <w:lang w:val="es-ES_tradnl"/>
        </w:rPr>
      </w:pPr>
      <w:r w:rsidRPr="00B22B79">
        <w:rPr>
          <w:lang w:val="es-ES_tradnl"/>
        </w:rPr>
        <w:t>I.</w:t>
      </w:r>
      <w:r w:rsidRPr="00B22B79">
        <w:rPr>
          <w:lang w:val="es-ES_tradnl"/>
        </w:rPr>
        <w:tab/>
      </w:r>
      <w:r w:rsidRPr="00B22B79">
        <w:rPr>
          <w:u w:val="single"/>
          <w:lang w:val="es-ES_tradnl"/>
        </w:rPr>
        <w:t>Principios generales</w:t>
      </w:r>
    </w:p>
    <w:p w14:paraId="08CA3D0F" w14:textId="77777777" w:rsidR="006B1AD7" w:rsidRPr="00B22B79" w:rsidRDefault="006B1AD7" w:rsidP="006B1AD7">
      <w:pPr>
        <w:tabs>
          <w:tab w:val="left" w:pos="567"/>
        </w:tabs>
        <w:spacing w:after="240"/>
        <w:rPr>
          <w:szCs w:val="22"/>
          <w:lang w:val="es-ES_tradnl"/>
        </w:rPr>
      </w:pPr>
      <w:r w:rsidRPr="00B22B79">
        <w:rPr>
          <w:lang w:val="es-ES_tradnl"/>
        </w:rPr>
        <w:t>1.</w:t>
      </w:r>
      <w:r w:rsidRPr="00B22B79">
        <w:rPr>
          <w:lang w:val="es-ES_tradnl"/>
        </w:rPr>
        <w:tab/>
        <w:t>La elección de un candidato para su designación al puesto de director general se regirá por el respeto a la dignidad de los candidatos y de los países que los hayan propuesto y por la transparencia en el proceso de selección.</w:t>
      </w:r>
    </w:p>
    <w:p w14:paraId="51952285" w14:textId="3C265DD5" w:rsidR="006B1AD7" w:rsidRPr="00B22B79" w:rsidRDefault="006B1AD7" w:rsidP="006B1AD7">
      <w:pPr>
        <w:tabs>
          <w:tab w:val="left" w:pos="567"/>
        </w:tabs>
        <w:spacing w:after="240"/>
        <w:rPr>
          <w:szCs w:val="22"/>
          <w:lang w:val="es-ES_tradnl"/>
        </w:rPr>
      </w:pPr>
      <w:r w:rsidRPr="00B22B79">
        <w:rPr>
          <w:lang w:val="es-ES_tradnl"/>
        </w:rPr>
        <w:t>2.</w:t>
      </w:r>
      <w:r w:rsidRPr="00B22B79">
        <w:rPr>
          <w:lang w:val="es-ES_tradnl"/>
        </w:rPr>
        <w:tab/>
        <w:t>De ser posible, la designación de un candidato para el puesto de director general se debería hacer por consenso.</w:t>
      </w:r>
      <w:r w:rsidR="00DF72B8" w:rsidRPr="00B22B79">
        <w:rPr>
          <w:lang w:val="es-ES_tradnl"/>
        </w:rPr>
        <w:t xml:space="preserve"> </w:t>
      </w:r>
      <w:r w:rsidRPr="00B22B79">
        <w:rPr>
          <w:lang w:val="es-ES_tradnl"/>
        </w:rPr>
        <w:t>Esto facilitaría el nombramiento del director general por parte de la Asamblea General.</w:t>
      </w:r>
      <w:r w:rsidR="00DF72B8" w:rsidRPr="00B22B79">
        <w:rPr>
          <w:lang w:val="es-ES_tradnl"/>
        </w:rPr>
        <w:t xml:space="preserve"> </w:t>
      </w:r>
      <w:r w:rsidRPr="00B22B79">
        <w:rPr>
          <w:lang w:val="es-ES_tradnl"/>
        </w:rPr>
        <w:t>No obstante, se reconoce que, probablemente, una votación será un medio necesario para llegar a un consenso sobre la designación de un candidato.</w:t>
      </w:r>
    </w:p>
    <w:p w14:paraId="2E7A8113" w14:textId="6E06E8E2" w:rsidR="006B1AD7" w:rsidRPr="00B22B79" w:rsidRDefault="006B1AD7" w:rsidP="004E35CC">
      <w:pPr>
        <w:tabs>
          <w:tab w:val="left" w:pos="567"/>
        </w:tabs>
        <w:rPr>
          <w:lang w:val="es-ES_tradnl"/>
        </w:rPr>
      </w:pPr>
      <w:r w:rsidRPr="00B22B79">
        <w:rPr>
          <w:lang w:val="es-ES_tradnl"/>
        </w:rPr>
        <w:t>3.</w:t>
      </w:r>
      <w:r w:rsidRPr="00B22B79">
        <w:rPr>
          <w:lang w:val="es-ES_tradnl"/>
        </w:rPr>
        <w:tab/>
        <w:t>Si bien se acogerán favorablemente las iniciativas destinadas a seleccionar un candidato mediante consultas que permitan alcanzar el consenso en todas las etapas del proceso de selección, esas iniciativas no deberán demorar indebidamente el proceso de toma de decisiones.</w:t>
      </w:r>
      <w:r w:rsidRPr="00B22B79">
        <w:rPr>
          <w:lang w:val="es-ES_tradnl"/>
        </w:rPr>
        <w:br w:type="page"/>
      </w:r>
    </w:p>
    <w:p w14:paraId="4F045EF4" w14:textId="77777777" w:rsidR="00DF72B8" w:rsidRPr="00B22B79" w:rsidRDefault="006B1AD7" w:rsidP="006B1AD7">
      <w:pPr>
        <w:tabs>
          <w:tab w:val="left" w:pos="567"/>
        </w:tabs>
        <w:spacing w:after="240"/>
        <w:rPr>
          <w:u w:val="single"/>
          <w:lang w:val="es-ES_tradnl"/>
        </w:rPr>
      </w:pPr>
      <w:r w:rsidRPr="00B22B79">
        <w:rPr>
          <w:lang w:val="es-ES_tradnl"/>
        </w:rPr>
        <w:lastRenderedPageBreak/>
        <w:t>II.</w:t>
      </w:r>
      <w:r w:rsidRPr="00B22B79">
        <w:rPr>
          <w:lang w:val="es-ES_tradnl"/>
        </w:rPr>
        <w:tab/>
      </w:r>
      <w:r w:rsidRPr="00B22B79">
        <w:rPr>
          <w:u w:val="single"/>
          <w:lang w:val="es-ES_tradnl"/>
        </w:rPr>
        <w:t>Derecho de voto</w:t>
      </w:r>
    </w:p>
    <w:p w14:paraId="7025DB2E" w14:textId="0D3540D2" w:rsidR="006B1AD7" w:rsidRPr="00B22B79" w:rsidRDefault="006B1AD7" w:rsidP="006B1AD7">
      <w:pPr>
        <w:tabs>
          <w:tab w:val="left" w:pos="567"/>
        </w:tabs>
        <w:spacing w:before="240" w:after="220"/>
        <w:rPr>
          <w:szCs w:val="22"/>
          <w:lang w:val="es-ES_tradnl"/>
        </w:rPr>
      </w:pPr>
      <w:r w:rsidRPr="00B22B79">
        <w:rPr>
          <w:lang w:val="es-ES_tradnl"/>
        </w:rPr>
        <w:tab/>
        <w:t>Según lo establecido, a los fines de la designación de un candidato al puesto de director general por parte del Comité de Coordinación, podrán votar todos los miembros del Comité de Coordinación, excepto los miembros asociados.</w:t>
      </w:r>
    </w:p>
    <w:p w14:paraId="77565FFB" w14:textId="77777777" w:rsidR="006B1AD7" w:rsidRPr="00B22B79" w:rsidRDefault="006B1AD7" w:rsidP="006B1AD7">
      <w:pPr>
        <w:tabs>
          <w:tab w:val="left" w:pos="567"/>
        </w:tabs>
        <w:spacing w:after="240"/>
        <w:rPr>
          <w:szCs w:val="22"/>
          <w:lang w:val="es-ES_tradnl"/>
        </w:rPr>
      </w:pPr>
      <w:r w:rsidRPr="00B22B79">
        <w:rPr>
          <w:lang w:val="es-ES_tradnl"/>
        </w:rPr>
        <w:t>III.</w:t>
      </w:r>
      <w:r w:rsidRPr="00B22B79">
        <w:rPr>
          <w:lang w:val="es-ES_tradnl"/>
        </w:rPr>
        <w:tab/>
      </w:r>
      <w:r w:rsidRPr="00B22B79">
        <w:rPr>
          <w:u w:val="single"/>
          <w:lang w:val="es-ES_tradnl"/>
        </w:rPr>
        <w:t>Procesos decisorios</w:t>
      </w:r>
    </w:p>
    <w:p w14:paraId="47AD0C28" w14:textId="5C5DBCB3" w:rsidR="006B1AD7" w:rsidRPr="00B22B79" w:rsidRDefault="006B1AD7" w:rsidP="006B1AD7">
      <w:pPr>
        <w:tabs>
          <w:tab w:val="left" w:pos="567"/>
        </w:tabs>
        <w:spacing w:after="240"/>
        <w:rPr>
          <w:szCs w:val="22"/>
          <w:lang w:val="es-ES_tradnl"/>
        </w:rPr>
      </w:pPr>
      <w:r w:rsidRPr="00B22B79">
        <w:rPr>
          <w:lang w:val="es-ES_tradnl"/>
        </w:rPr>
        <w:t>1.</w:t>
      </w:r>
      <w:r w:rsidRPr="00B22B79">
        <w:rPr>
          <w:lang w:val="es-ES_tradnl"/>
        </w:rPr>
        <w:tab/>
        <w:t>Si hubiera más de tres candidatos, antes de realizar una votación oficial se podría evaluar, mediante un sondeo informal de opinión, el apoyo relativo que obtendrían los candidatos.</w:t>
      </w:r>
      <w:r w:rsidR="00DF72B8" w:rsidRPr="00B22B79">
        <w:rPr>
          <w:lang w:val="es-ES_tradnl"/>
        </w:rPr>
        <w:t xml:space="preserve"> </w:t>
      </w:r>
      <w:r w:rsidRPr="00B22B79">
        <w:rPr>
          <w:lang w:val="es-ES_tradnl"/>
        </w:rPr>
        <w:t>Para realizar este sondeo, cada miembro del Comité de Coordinación con derecho a voto indicará su primera y segunda opción en la lista de candidatos de su papeleta de votación.</w:t>
      </w:r>
      <w:r w:rsidR="00DF72B8" w:rsidRPr="00B22B79">
        <w:rPr>
          <w:lang w:val="es-ES_tradnl"/>
        </w:rPr>
        <w:t xml:space="preserve"> </w:t>
      </w:r>
      <w:r w:rsidRPr="00B22B79">
        <w:rPr>
          <w:lang w:val="es-ES_tradnl"/>
        </w:rPr>
        <w:t>La votación será secreta.</w:t>
      </w:r>
      <w:r w:rsidR="00DF72B8" w:rsidRPr="00B22B79">
        <w:rPr>
          <w:lang w:val="es-ES_tradnl"/>
        </w:rPr>
        <w:t xml:space="preserve"> </w:t>
      </w:r>
      <w:r w:rsidRPr="00B22B79">
        <w:rPr>
          <w:lang w:val="es-ES_tradnl"/>
        </w:rPr>
        <w:t>Si los candidatos fueran tres o menos se omitirán los procedimientos descritos en el párrafo presente y en el siguiente.</w:t>
      </w:r>
    </w:p>
    <w:p w14:paraId="36102276" w14:textId="77777777" w:rsidR="00DF72B8" w:rsidRPr="00B22B79" w:rsidRDefault="006B1AD7" w:rsidP="006B1AD7">
      <w:pPr>
        <w:tabs>
          <w:tab w:val="left" w:pos="567"/>
        </w:tabs>
        <w:spacing w:after="240"/>
        <w:rPr>
          <w:lang w:val="es-ES_tradnl"/>
        </w:rPr>
      </w:pPr>
      <w:r w:rsidRPr="00B22B79">
        <w:rPr>
          <w:lang w:val="es-ES_tradnl"/>
        </w:rPr>
        <w:t>2.</w:t>
      </w:r>
      <w:r w:rsidRPr="00B22B79">
        <w:rPr>
          <w:lang w:val="es-ES_tradnl"/>
        </w:rPr>
        <w:tab/>
        <w:t>La votación formal mediante voto secreto se desarrollará en varios pasos, con la antelación suficiente en cada caso, a fin de reducir gradualmente el número de candidatos hasta llegar a una lista de selección de tres candidatos.</w:t>
      </w:r>
      <w:r w:rsidR="00DF72B8" w:rsidRPr="00B22B79">
        <w:rPr>
          <w:lang w:val="es-ES_tradnl"/>
        </w:rPr>
        <w:t xml:space="preserve"> </w:t>
      </w:r>
      <w:r w:rsidRPr="00B22B79">
        <w:rPr>
          <w:lang w:val="es-ES_tradnl"/>
        </w:rPr>
        <w:t>Tras cada votación, el candidato que obtenga el menor número de votos no podrá participar en la próxima votación.</w:t>
      </w:r>
      <w:r w:rsidR="00DF72B8" w:rsidRPr="00B22B79">
        <w:rPr>
          <w:lang w:val="es-ES_tradnl"/>
        </w:rPr>
        <w:t xml:space="preserve"> </w:t>
      </w:r>
      <w:r w:rsidRPr="00B22B79">
        <w:rPr>
          <w:lang w:val="es-ES_tradnl"/>
        </w:rPr>
        <w:t>Sin embargo, si los candidatos fueran muchos, a fin de limitar el número de votaciones, se podría declarar que los dos o tres candidatos menos votados no tuvieran derecho a participar en la siguiente votación.</w:t>
      </w:r>
      <w:r w:rsidR="00DF72B8" w:rsidRPr="00B22B79">
        <w:rPr>
          <w:lang w:val="es-ES_tradnl"/>
        </w:rPr>
        <w:t xml:space="preserve"> </w:t>
      </w:r>
      <w:r w:rsidRPr="00B22B79">
        <w:rPr>
          <w:lang w:val="es-ES_tradnl"/>
        </w:rPr>
        <w:t>Tras realizar consultas, el presidente determinará el número exacto en cada paso, a la luz del número de candidatos que vayan quedando en cada ocasión.</w:t>
      </w:r>
      <w:r w:rsidR="00DF72B8" w:rsidRPr="00B22B79">
        <w:rPr>
          <w:lang w:val="es-ES_tradnl"/>
        </w:rPr>
        <w:t xml:space="preserve"> </w:t>
      </w:r>
      <w:r w:rsidRPr="00B22B79">
        <w:rPr>
          <w:lang w:val="es-ES_tradnl"/>
        </w:rPr>
        <w:t>Esos pasos se desarrollarán con el espíritu del siguiente ejemplo ilustrativo basado en una circunstancia teórica con diez candidatos:</w:t>
      </w:r>
      <w:r w:rsidR="00DF72B8" w:rsidRPr="00B22B79">
        <w:rPr>
          <w:lang w:val="es-ES_tradnl"/>
        </w:rPr>
        <w:t xml:space="preserve"> </w:t>
      </w:r>
      <w:r w:rsidRPr="00B22B79">
        <w:rPr>
          <w:lang w:val="es-ES_tradnl"/>
        </w:rPr>
        <w:t>después de la primera votación oficial entre los diez candidatos, la participación en la siguiente votación se limitará a los siete candidatos más votados.</w:t>
      </w:r>
      <w:r w:rsidR="00DF72B8" w:rsidRPr="00B22B79">
        <w:rPr>
          <w:lang w:val="es-ES_tradnl"/>
        </w:rPr>
        <w:t xml:space="preserve"> </w:t>
      </w:r>
      <w:r w:rsidRPr="00B22B79">
        <w:rPr>
          <w:lang w:val="es-ES_tradnl"/>
        </w:rPr>
        <w:t>Tras la segunda votación oficial, la participación en la siguiente votación se limitará a los cinco candidatos más votados.</w:t>
      </w:r>
      <w:r w:rsidR="00DF72B8" w:rsidRPr="00B22B79">
        <w:rPr>
          <w:lang w:val="es-ES_tradnl"/>
        </w:rPr>
        <w:t xml:space="preserve"> </w:t>
      </w:r>
      <w:r w:rsidRPr="00B22B79">
        <w:rPr>
          <w:lang w:val="es-ES_tradnl"/>
        </w:rPr>
        <w:t>Después de la tercera votación oficial se confeccionará una lista de selección con los tres candidatos más votados.</w:t>
      </w:r>
    </w:p>
    <w:p w14:paraId="384842FF" w14:textId="75BB85FD" w:rsidR="006B1AD7" w:rsidRPr="00B22B79" w:rsidRDefault="006B1AD7" w:rsidP="006B1AD7">
      <w:pPr>
        <w:tabs>
          <w:tab w:val="left" w:pos="567"/>
        </w:tabs>
        <w:spacing w:after="120"/>
        <w:rPr>
          <w:szCs w:val="22"/>
          <w:lang w:val="es-ES_tradnl"/>
        </w:rPr>
      </w:pPr>
      <w:r w:rsidRPr="00B22B79">
        <w:rPr>
          <w:lang w:val="es-ES_tradnl"/>
        </w:rPr>
        <w:t>3.</w:t>
      </w:r>
      <w:r w:rsidRPr="00B22B79">
        <w:rPr>
          <w:lang w:val="es-ES_tradnl"/>
        </w:rPr>
        <w:tab/>
        <w:t>Si las consultas basadas en la lista de selección de los tres candidatos no arrojan progresos, continuará el proceso de votación.</w:t>
      </w:r>
      <w:r w:rsidR="00DF72B8" w:rsidRPr="00B22B79">
        <w:rPr>
          <w:lang w:val="es-ES_tradnl"/>
        </w:rPr>
        <w:t xml:space="preserve"> </w:t>
      </w:r>
      <w:r w:rsidRPr="00B22B79">
        <w:rPr>
          <w:lang w:val="es-ES_tradnl"/>
        </w:rPr>
        <w:t>Tras la votación de los candidatos de la lista de selección se realizará una última votación limitada a los dos candidatos más votados.</w:t>
      </w:r>
      <w:r w:rsidR="00DF72B8" w:rsidRPr="00B22B79">
        <w:rPr>
          <w:lang w:val="es-ES_tradnl"/>
        </w:rPr>
        <w:t xml:space="preserve"> </w:t>
      </w:r>
      <w:r w:rsidRPr="00B22B79">
        <w:rPr>
          <w:lang w:val="es-ES_tradnl"/>
        </w:rPr>
        <w:t>Consiguientemente, el Comité de Coordinación adoptará su decisión final entre esos dos candidatos, a más tardar el último día de su reunión.</w:t>
      </w:r>
    </w:p>
    <w:p w14:paraId="473F08AD" w14:textId="77777777" w:rsidR="006B1AD7" w:rsidRPr="00B22B79" w:rsidRDefault="006B1AD7" w:rsidP="006B1AD7">
      <w:pPr>
        <w:tabs>
          <w:tab w:val="left" w:pos="567"/>
        </w:tabs>
        <w:spacing w:after="480"/>
        <w:rPr>
          <w:szCs w:val="22"/>
          <w:lang w:val="es-ES_tradnl"/>
        </w:rPr>
      </w:pPr>
      <w:r w:rsidRPr="00B22B79">
        <w:rPr>
          <w:lang w:val="es-ES_tradnl"/>
        </w:rPr>
        <w:t>4.</w:t>
      </w:r>
      <w:r w:rsidRPr="00B22B79">
        <w:rPr>
          <w:lang w:val="es-ES_tradnl"/>
        </w:rPr>
        <w:tab/>
        <w:t>El presidente del Comité de Coordinación comunicará al presidente de la Asamblea General el nombre del candidato, con miras a su nombramiento para el puesto de director general.</w:t>
      </w:r>
    </w:p>
    <w:p w14:paraId="583CBF18" w14:textId="77777777" w:rsidR="006B1AD7" w:rsidRPr="00B22B79" w:rsidRDefault="006B1AD7" w:rsidP="006B1AD7">
      <w:pPr>
        <w:keepNext/>
        <w:tabs>
          <w:tab w:val="left" w:pos="567"/>
        </w:tabs>
        <w:spacing w:after="240"/>
        <w:rPr>
          <w:szCs w:val="22"/>
          <w:lang w:val="es-ES_tradnl"/>
        </w:rPr>
      </w:pPr>
      <w:r w:rsidRPr="00B22B79">
        <w:rPr>
          <w:u w:val="single"/>
          <w:lang w:val="es-ES_tradnl"/>
        </w:rPr>
        <w:t>Nombramiento del director general</w:t>
      </w:r>
    </w:p>
    <w:p w14:paraId="2D7BEB4A" w14:textId="77777777" w:rsidR="006B1AD7" w:rsidRPr="00B22B79" w:rsidRDefault="006B1AD7" w:rsidP="00B22B79">
      <w:pPr>
        <w:keepNext/>
        <w:tabs>
          <w:tab w:val="left" w:pos="567"/>
        </w:tabs>
        <w:spacing w:after="600"/>
        <w:rPr>
          <w:szCs w:val="22"/>
          <w:lang w:val="es-ES_tradnl"/>
        </w:rPr>
      </w:pPr>
      <w:r w:rsidRPr="00B22B79">
        <w:rPr>
          <w:lang w:val="es-ES_tradnl"/>
        </w:rPr>
        <w:t>La Asamblea General de la OMPI, que nombrará al director general a propuesta del Comité de Coordinación, se reunirá no más de seis meses ni menos de cuatro meses antes de que finalice el mandato del director general saliente.</w:t>
      </w:r>
    </w:p>
    <w:p w14:paraId="052EC173" w14:textId="1A212974" w:rsidR="006B1AD7" w:rsidRPr="00B22B79" w:rsidRDefault="006B1AD7" w:rsidP="00B22B79">
      <w:pPr>
        <w:pStyle w:val="Endofdocument-Annex"/>
        <w:rPr>
          <w:szCs w:val="22"/>
          <w:lang w:val="es-ES_tradnl"/>
        </w:rPr>
      </w:pPr>
      <w:r w:rsidRPr="00B22B79">
        <w:rPr>
          <w:lang w:val="es-ES_tradnl" w:eastAsia="en-US"/>
        </w:rPr>
        <w:t>[Sigue el Anexo II]</w:t>
      </w:r>
    </w:p>
    <w:p w14:paraId="6DBFFA31" w14:textId="77777777" w:rsidR="006B1AD7" w:rsidRPr="00B22B79" w:rsidRDefault="006B1AD7" w:rsidP="006B1AD7">
      <w:pPr>
        <w:tabs>
          <w:tab w:val="left" w:pos="567"/>
          <w:tab w:val="center" w:pos="4320"/>
          <w:tab w:val="right" w:pos="8640"/>
        </w:tabs>
        <w:rPr>
          <w:szCs w:val="22"/>
          <w:highlight w:val="yellow"/>
          <w:lang w:val="es-ES_tradnl"/>
        </w:rPr>
        <w:sectPr w:rsidR="006B1AD7" w:rsidRPr="00B22B79" w:rsidSect="006B1AD7">
          <w:headerReference w:type="default" r:id="rId9"/>
          <w:headerReference w:type="first" r:id="rId10"/>
          <w:endnotePr>
            <w:numFmt w:val="decimal"/>
          </w:endnotePr>
          <w:pgSz w:w="11907" w:h="16840" w:code="9"/>
          <w:pgMar w:top="567" w:right="1134" w:bottom="1418" w:left="1418" w:header="510" w:footer="1021" w:gutter="0"/>
          <w:pgNumType w:start="1"/>
          <w:cols w:space="720"/>
          <w:titlePg/>
          <w:docGrid w:linePitch="299"/>
        </w:sectPr>
      </w:pPr>
    </w:p>
    <w:p w14:paraId="0F3E9FF4" w14:textId="77777777" w:rsidR="006B1AD7" w:rsidRPr="00B22B79" w:rsidRDefault="006B1AD7" w:rsidP="006B1AD7">
      <w:pPr>
        <w:keepNext/>
        <w:keepLines/>
        <w:spacing w:before="240" w:after="220"/>
        <w:outlineLvl w:val="4"/>
        <w:rPr>
          <w:rFonts w:eastAsiaTheme="majorEastAsia"/>
          <w:u w:val="single"/>
          <w:lang w:val="es-ES_tradnl"/>
        </w:rPr>
      </w:pPr>
      <w:r w:rsidRPr="00B22B79">
        <w:rPr>
          <w:rFonts w:eastAsiaTheme="majorEastAsia" w:cstheme="majorBidi"/>
          <w:u w:val="single"/>
          <w:lang w:val="es-ES_tradnl"/>
        </w:rPr>
        <w:lastRenderedPageBreak/>
        <w:t>Circular que se enviará a los Estados miembros de la OMPI para invitarlos a proponer candidatos al puesto de director general</w:t>
      </w:r>
    </w:p>
    <w:p w14:paraId="708B0098" w14:textId="71D57D87" w:rsidR="006B1AD7" w:rsidRPr="00B22B79" w:rsidRDefault="006B1AD7" w:rsidP="00B22B79">
      <w:pPr>
        <w:tabs>
          <w:tab w:val="center" w:pos="4320"/>
          <w:tab w:val="right" w:pos="8640"/>
        </w:tabs>
        <w:spacing w:after="480"/>
        <w:rPr>
          <w:szCs w:val="22"/>
          <w:lang w:val="es-ES_tradnl"/>
        </w:rPr>
      </w:pPr>
      <w:r w:rsidRPr="00B22B79">
        <w:rPr>
          <w:u w:val="single"/>
          <w:lang w:val="es-ES_tradnl"/>
        </w:rPr>
        <w:t xml:space="preserve">C. N </w:t>
      </w:r>
      <w:r w:rsidRPr="00B22B79">
        <w:rPr>
          <w:u w:val="single"/>
          <w:lang w:val="es-ES_tradnl"/>
        </w:rPr>
        <w:noBreakHyphen/>
      </w:r>
    </w:p>
    <w:p w14:paraId="1FA2C6D3" w14:textId="77777777" w:rsidR="006B1AD7" w:rsidRPr="00B22B79" w:rsidRDefault="006B1AD7" w:rsidP="006B1AD7">
      <w:pPr>
        <w:tabs>
          <w:tab w:val="center" w:pos="4320"/>
          <w:tab w:val="right" w:pos="8640"/>
        </w:tabs>
        <w:spacing w:after="240"/>
        <w:rPr>
          <w:szCs w:val="22"/>
          <w:lang w:val="es-ES_tradnl"/>
        </w:rPr>
      </w:pPr>
      <w:r w:rsidRPr="00B22B79">
        <w:rPr>
          <w:lang w:val="es-ES_tradnl"/>
        </w:rPr>
        <w:t>El presidente del Comité de Coordinación de la Organización Mundial de la Propiedad Intelectual (OMPI) saluda atentamente al ministro/la ministra de Relaciones Exteriores y tiene el honor de comunicar a cada uno de los Gobiernos de los Estados miembros de la OMPI lo siguiente:</w:t>
      </w:r>
    </w:p>
    <w:p w14:paraId="42B24D04" w14:textId="77777777" w:rsidR="006B1AD7" w:rsidRPr="00B22B79" w:rsidRDefault="006B1AD7" w:rsidP="006B1AD7">
      <w:pPr>
        <w:tabs>
          <w:tab w:val="center" w:pos="4320"/>
          <w:tab w:val="right" w:pos="8640"/>
        </w:tabs>
        <w:spacing w:after="240"/>
        <w:rPr>
          <w:szCs w:val="22"/>
          <w:lang w:val="es-ES_tradnl"/>
        </w:rPr>
      </w:pPr>
      <w:r w:rsidRPr="00B22B79">
        <w:rPr>
          <w:lang w:val="es-ES_tradnl"/>
        </w:rPr>
        <w:t>El mandato del director general de la OMPI, Sr. Daren Tang, concluirá el 30 de septiembre de 2026.</w:t>
      </w:r>
    </w:p>
    <w:p w14:paraId="4D416D6A" w14:textId="526AD219" w:rsidR="006B1AD7" w:rsidRPr="00B22B79" w:rsidRDefault="006B1AD7" w:rsidP="006B1AD7">
      <w:pPr>
        <w:tabs>
          <w:tab w:val="center" w:pos="4320"/>
          <w:tab w:val="right" w:pos="8640"/>
        </w:tabs>
        <w:spacing w:after="240"/>
        <w:rPr>
          <w:szCs w:val="22"/>
          <w:lang w:val="es-ES_tradnl"/>
        </w:rPr>
      </w:pPr>
      <w:r w:rsidRPr="00B22B79">
        <w:rPr>
          <w:lang w:val="es-ES_tradnl"/>
        </w:rPr>
        <w:t>De conformidad con las disposiciones del Convenio que establece la Organización Mundial de la Propiedad Intelectual y con arreglo al Procedimiento para la designación y el nombramiento de los directores generales de la OMPI adoptado por la Asamblea General de la OMPI en septiembre de 1998, modificado en octubre de 2019, el Comité de Coordinación de la OMPI se reunirá en sesión extraordinaria los días 12 y 13 de febrero de 2026 con el fin de designar a una persona para su nombramiento por la Asamblea General de la OMPI en el cargo de director general.</w:t>
      </w:r>
      <w:r w:rsidR="00DF72B8" w:rsidRPr="00B22B79">
        <w:rPr>
          <w:lang w:val="es-ES_tradnl"/>
        </w:rPr>
        <w:t xml:space="preserve"> </w:t>
      </w:r>
      <w:r w:rsidRPr="00B22B79">
        <w:rPr>
          <w:lang w:val="es-ES_tradnl"/>
        </w:rPr>
        <w:t>La decisión sobre el nombramiento de la persona designada por el Comité de Coordinación de la OMPI incumbirá a la Asamblea General de la OMPI reunida en período extraordinario de sesiones el 21 de abril de 2026.</w:t>
      </w:r>
    </w:p>
    <w:p w14:paraId="620F68FA" w14:textId="2D220562" w:rsidR="006B1AD7" w:rsidRPr="00B22B79" w:rsidRDefault="006B1AD7" w:rsidP="006B1AD7">
      <w:pPr>
        <w:spacing w:after="480"/>
        <w:rPr>
          <w:szCs w:val="22"/>
          <w:lang w:val="es-ES_tradnl"/>
        </w:rPr>
      </w:pPr>
      <w:r w:rsidRPr="00B22B79">
        <w:rPr>
          <w:lang w:val="es-ES_tradnl"/>
        </w:rPr>
        <w:t>Los Gobiernos de los Estados miembros de la OMPI, si lo desean, podrán proponer el nombre de uno de sus nacionales como candidato para su designación por parte del Comité de Coordinación de la OMPI.</w:t>
      </w:r>
      <w:r w:rsidR="00DF72B8" w:rsidRPr="00B22B79">
        <w:rPr>
          <w:lang w:val="es-ES_tradnl"/>
        </w:rPr>
        <w:t xml:space="preserve"> </w:t>
      </w:r>
      <w:r w:rsidRPr="00B22B79">
        <w:rPr>
          <w:lang w:val="es-ES_tradnl"/>
        </w:rPr>
        <w:t xml:space="preserve">Toda propuesta irá acompañada del </w:t>
      </w:r>
      <w:r w:rsidRPr="00B22B79">
        <w:rPr>
          <w:i/>
          <w:iCs/>
          <w:lang w:val="es-ES_tradnl"/>
        </w:rPr>
        <w:t>curriculum vitae</w:t>
      </w:r>
      <w:r w:rsidRPr="00B22B79">
        <w:rPr>
          <w:lang w:val="es-ES_tradnl"/>
        </w:rPr>
        <w:t xml:space="preserve"> de la persona propuesta, y dirigida por el ministro/la ministra de Relaciones Exteriores del Estado miembro que efectúa la propuesta al presidente del Comité de Coordinación de la OMPI, en la dirección de la OMPI en Ginebra.</w:t>
      </w:r>
      <w:r w:rsidR="00DF72B8" w:rsidRPr="00B22B79">
        <w:rPr>
          <w:lang w:val="es-ES_tradnl"/>
        </w:rPr>
        <w:t xml:space="preserve"> </w:t>
      </w:r>
      <w:r w:rsidRPr="00B22B79">
        <w:rPr>
          <w:lang w:val="es-ES_tradnl"/>
        </w:rPr>
        <w:t>Las propuestas deberán llegar a la OMPI antes de las 17.00 del viernes 24 de octubre de 2025.</w:t>
      </w:r>
    </w:p>
    <w:p w14:paraId="043B2720" w14:textId="77777777" w:rsidR="006B1AD7" w:rsidRPr="00B22B79" w:rsidRDefault="006B1AD7" w:rsidP="00B22B79">
      <w:pPr>
        <w:spacing w:after="600"/>
        <w:ind w:left="5534"/>
        <w:rPr>
          <w:szCs w:val="22"/>
          <w:lang w:val="es-ES_tradnl"/>
        </w:rPr>
      </w:pPr>
      <w:r w:rsidRPr="00B22B79">
        <w:rPr>
          <w:lang w:val="es-ES_tradnl"/>
        </w:rPr>
        <w:t>24 de julio de 2025</w:t>
      </w:r>
    </w:p>
    <w:p w14:paraId="22DFDC68" w14:textId="6D259B3F" w:rsidR="00152CEA" w:rsidRPr="00B22B79" w:rsidRDefault="006B1AD7" w:rsidP="006B1AD7">
      <w:pPr>
        <w:pStyle w:val="Endofdocument-Annex"/>
        <w:rPr>
          <w:lang w:val="es-ES_tradnl"/>
        </w:rPr>
      </w:pPr>
      <w:r w:rsidRPr="00B22B79">
        <w:rPr>
          <w:lang w:val="es-ES_tradnl"/>
        </w:rPr>
        <w:t>[Fin del Anexo</w:t>
      </w:r>
      <w:r w:rsidR="00B22B79" w:rsidRPr="00B22B79">
        <w:rPr>
          <w:lang w:val="es-ES_tradnl"/>
        </w:rPr>
        <w:t xml:space="preserve"> </w:t>
      </w:r>
      <w:r w:rsidRPr="00B22B79">
        <w:rPr>
          <w:lang w:val="es-ES_tradnl"/>
        </w:rPr>
        <w:t>II y del documento]</w:t>
      </w:r>
    </w:p>
    <w:sectPr w:rsidR="00152CEA" w:rsidRPr="00B22B79" w:rsidSect="006B1AD7">
      <w:headerReference w:type="default" r:id="rId11"/>
      <w:headerReference w:type="first" r:id="rId12"/>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658BC" w14:textId="77777777" w:rsidR="006B1AD7" w:rsidRDefault="006B1AD7">
      <w:r>
        <w:separator/>
      </w:r>
    </w:p>
  </w:endnote>
  <w:endnote w:type="continuationSeparator" w:id="0">
    <w:p w14:paraId="24BA397A" w14:textId="77777777" w:rsidR="006B1AD7" w:rsidRPr="009D30E6" w:rsidRDefault="006B1AD7" w:rsidP="007E663E">
      <w:pPr>
        <w:rPr>
          <w:sz w:val="17"/>
          <w:szCs w:val="17"/>
        </w:rPr>
      </w:pPr>
      <w:r w:rsidRPr="009D30E6">
        <w:rPr>
          <w:sz w:val="17"/>
          <w:szCs w:val="17"/>
        </w:rPr>
        <w:separator/>
      </w:r>
    </w:p>
    <w:p w14:paraId="173BBFDC" w14:textId="77777777" w:rsidR="006B1AD7" w:rsidRPr="007E663E" w:rsidRDefault="006B1AD7" w:rsidP="007E663E">
      <w:pPr>
        <w:spacing w:after="60"/>
        <w:rPr>
          <w:sz w:val="17"/>
          <w:szCs w:val="17"/>
        </w:rPr>
      </w:pPr>
      <w:r>
        <w:rPr>
          <w:sz w:val="17"/>
        </w:rPr>
        <w:t>[Continuación de la nota de la página anterior]</w:t>
      </w:r>
    </w:p>
  </w:endnote>
  <w:endnote w:type="continuationNotice" w:id="1">
    <w:p w14:paraId="1EB61D12" w14:textId="77777777" w:rsidR="006B1AD7" w:rsidRPr="007E663E" w:rsidRDefault="006B1AD7"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altName w:val="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7EE3E" w14:textId="77777777" w:rsidR="006B1AD7" w:rsidRDefault="006B1AD7">
      <w:r>
        <w:separator/>
      </w:r>
    </w:p>
  </w:footnote>
  <w:footnote w:type="continuationSeparator" w:id="0">
    <w:p w14:paraId="2C1ACD70" w14:textId="77777777" w:rsidR="006B1AD7" w:rsidRPr="009D30E6" w:rsidRDefault="006B1AD7" w:rsidP="007E663E">
      <w:pPr>
        <w:rPr>
          <w:sz w:val="17"/>
          <w:szCs w:val="17"/>
        </w:rPr>
      </w:pPr>
      <w:r w:rsidRPr="009D30E6">
        <w:rPr>
          <w:sz w:val="17"/>
          <w:szCs w:val="17"/>
        </w:rPr>
        <w:separator/>
      </w:r>
    </w:p>
    <w:p w14:paraId="1B4804C0" w14:textId="77777777" w:rsidR="006B1AD7" w:rsidRPr="007E663E" w:rsidRDefault="006B1AD7" w:rsidP="007E663E">
      <w:pPr>
        <w:spacing w:after="60"/>
        <w:rPr>
          <w:sz w:val="17"/>
          <w:szCs w:val="17"/>
        </w:rPr>
      </w:pPr>
      <w:r>
        <w:rPr>
          <w:sz w:val="17"/>
        </w:rPr>
        <w:t>[Continuación de la nota de la página anterior]</w:t>
      </w:r>
    </w:p>
  </w:footnote>
  <w:footnote w:type="continuationNotice" w:id="1">
    <w:p w14:paraId="36E0161C" w14:textId="77777777" w:rsidR="006B1AD7" w:rsidRPr="007E663E" w:rsidRDefault="006B1AD7" w:rsidP="007E663E">
      <w:pPr>
        <w:spacing w:before="60"/>
        <w:jc w:val="right"/>
        <w:rPr>
          <w:sz w:val="17"/>
          <w:szCs w:val="17"/>
        </w:rPr>
      </w:pPr>
      <w:r w:rsidRPr="007E663E">
        <w:rPr>
          <w:sz w:val="17"/>
          <w:szCs w:val="17"/>
        </w:rPr>
        <w:t>[Sigue la nota en la página siguiente]</w:t>
      </w:r>
    </w:p>
  </w:footnote>
  <w:footnote w:id="2">
    <w:p w14:paraId="1F9C8377" w14:textId="77777777" w:rsidR="006B1AD7" w:rsidRDefault="006B1AD7" w:rsidP="006B1AD7">
      <w:pPr>
        <w:pStyle w:val="FootnoteText"/>
      </w:pPr>
      <w:r>
        <w:rPr>
          <w:rStyle w:val="FootnoteReference"/>
        </w:rPr>
        <w:footnoteRef/>
      </w:r>
      <w:r>
        <w:t xml:space="preserve"> Véanse el párrafo 14.ii) y el Anexo III del documento A/59/4 y el párrafo 42.ii) del documento A/59/14.</w:t>
      </w:r>
    </w:p>
  </w:footnote>
  <w:footnote w:id="3">
    <w:p w14:paraId="526C362F" w14:textId="77777777" w:rsidR="006B1AD7" w:rsidRDefault="006B1AD7" w:rsidP="006B1AD7">
      <w:pPr>
        <w:pStyle w:val="FootnoteText"/>
      </w:pPr>
      <w:r>
        <w:rPr>
          <w:rStyle w:val="FootnoteReference"/>
        </w:rPr>
        <w:footnoteRef/>
      </w:r>
      <w:r>
        <w:t xml:space="preserve"> Véanse los documentos WO/GA/23/6, párrafo 5 y WO/GA/23/7, párrafo 22.</w:t>
      </w:r>
    </w:p>
  </w:footnote>
  <w:footnote w:id="4">
    <w:p w14:paraId="1C678DA1" w14:textId="77777777" w:rsidR="006B1AD7" w:rsidRDefault="006B1AD7" w:rsidP="006B1AD7">
      <w:pPr>
        <w:pStyle w:val="FootnoteText"/>
      </w:pPr>
      <w:r>
        <w:rPr>
          <w:rStyle w:val="FootnoteReference"/>
        </w:rPr>
        <w:footnoteRef/>
      </w:r>
      <w:r>
        <w:t xml:space="preserve"> Véanse el párrafo 14 ii) y el Anexo III del documento A/59/4 y el párrafo 42 ii) del documento A/59/14.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12A30" w14:textId="77777777" w:rsidR="006B1AD7" w:rsidRDefault="006B1AD7" w:rsidP="00477D6B">
    <w:pPr>
      <w:jc w:val="right"/>
    </w:pPr>
    <w:r>
      <w:t>A/66/4</w:t>
    </w:r>
  </w:p>
  <w:p w14:paraId="66AC3EF7" w14:textId="77777777" w:rsidR="006B1AD7" w:rsidRDefault="006B1AD7" w:rsidP="007014AA">
    <w:pPr>
      <w:spacing w:after="240"/>
      <w:jc w:val="right"/>
    </w:pPr>
    <w:r>
      <w:t xml:space="preserve">página </w:t>
    </w:r>
    <w:r>
      <w:fldChar w:fldCharType="begin"/>
    </w:r>
    <w:r>
      <w:instrText xml:space="preserve"> PAGE  \* MERGEFORMAT </w:instrText>
    </w:r>
    <w:r>
      <w:fldChar w:fldCharType="separate"/>
    </w:r>
    <w:r>
      <w:t>6</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AA380" w14:textId="77777777" w:rsidR="006B1AD7" w:rsidRDefault="006B1AD7" w:rsidP="00477D6B">
    <w:pPr>
      <w:jc w:val="right"/>
    </w:pPr>
    <w:r>
      <w:t>A/66/4</w:t>
    </w:r>
  </w:p>
  <w:p w14:paraId="037F5F6A" w14:textId="77777777" w:rsidR="006B1AD7" w:rsidRDefault="006B1AD7" w:rsidP="00477D6B">
    <w:pPr>
      <w:jc w:val="right"/>
    </w:pPr>
    <w:r>
      <w:t xml:space="preserve">Anexo I, página </w:t>
    </w:r>
    <w:r>
      <w:fldChar w:fldCharType="begin"/>
    </w:r>
    <w:r>
      <w:instrText xml:space="preserve"> PAGE  \* MERGEFORMAT </w:instrText>
    </w:r>
    <w:r>
      <w:fldChar w:fldCharType="separate"/>
    </w:r>
    <w:r>
      <w:t>2</w:t>
    </w:r>
    <w:r>
      <w:fldChar w:fldCharType="end"/>
    </w:r>
  </w:p>
  <w:p w14:paraId="487C0700" w14:textId="77777777" w:rsidR="006B1AD7" w:rsidRDefault="006B1AD7" w:rsidP="00477D6B">
    <w:pPr>
      <w:jc w:val="right"/>
    </w:pPr>
  </w:p>
  <w:p w14:paraId="59256C41" w14:textId="77777777" w:rsidR="006B1AD7" w:rsidRDefault="006B1AD7"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05B44" w14:textId="77777777" w:rsidR="00B22B79" w:rsidRDefault="00B22B79" w:rsidP="00B22B79">
    <w:pPr>
      <w:jc w:val="right"/>
    </w:pPr>
    <w:r>
      <w:t>A/66/4</w:t>
    </w:r>
  </w:p>
  <w:p w14:paraId="490DC877" w14:textId="62B572E1" w:rsidR="00B22B79" w:rsidRDefault="00B22B79" w:rsidP="00B22B79">
    <w:pPr>
      <w:pStyle w:val="Header"/>
      <w:jc w:val="right"/>
    </w:pPr>
    <w:r>
      <w:t>ANEXO I</w:t>
    </w:r>
  </w:p>
  <w:p w14:paraId="73DED29B" w14:textId="77777777" w:rsidR="00B22B79" w:rsidRDefault="00B22B79" w:rsidP="00B22B79">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3EB49" w14:textId="61C0D30F" w:rsidR="00F84474" w:rsidRDefault="006B1AD7" w:rsidP="00477D6B">
    <w:pPr>
      <w:jc w:val="right"/>
    </w:pPr>
    <w:bookmarkStart w:id="7" w:name="Code2"/>
    <w:bookmarkEnd w:id="7"/>
    <w:r>
      <w:t>A/66/4</w:t>
    </w:r>
  </w:p>
  <w:p w14:paraId="2EB6478E"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21E3EC21" w14:textId="77777777" w:rsidR="00F84474" w:rsidRDefault="00F84474" w:rsidP="00477D6B">
    <w:pPr>
      <w:jc w:val="right"/>
    </w:pPr>
  </w:p>
  <w:p w14:paraId="3FE663CA" w14:textId="77777777" w:rsidR="004F7418" w:rsidRDefault="004F7418"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59A05" w14:textId="77777777" w:rsidR="00B22B79" w:rsidRDefault="00B22B79" w:rsidP="00B22B79">
    <w:pPr>
      <w:jc w:val="right"/>
    </w:pPr>
    <w:r>
      <w:t>A/66/4</w:t>
    </w:r>
  </w:p>
  <w:p w14:paraId="52827F71" w14:textId="53B58973" w:rsidR="00B22B79" w:rsidRDefault="00B22B79" w:rsidP="00B22B79">
    <w:pPr>
      <w:pStyle w:val="Header"/>
      <w:jc w:val="right"/>
    </w:pPr>
    <w:r>
      <w:t>ANEXO II</w:t>
    </w:r>
  </w:p>
  <w:p w14:paraId="735FF2C8" w14:textId="77777777" w:rsidR="00B22B79" w:rsidRDefault="00B22B79" w:rsidP="00B22B7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BEB1B1B"/>
    <w:multiLevelType w:val="hybridMultilevel"/>
    <w:tmpl w:val="E438FBFE"/>
    <w:lvl w:ilvl="0" w:tplc="C4F697CA">
      <w:start w:val="1"/>
      <w:numFmt w:val="lowerRoman"/>
      <w:lvlText w:val="%1)"/>
      <w:lvlJc w:val="left"/>
      <w:pPr>
        <w:ind w:left="6250" w:hanging="360"/>
      </w:pPr>
      <w:rPr>
        <w:rFonts w:hint="default"/>
        <w:i/>
      </w:rPr>
    </w:lvl>
    <w:lvl w:ilvl="1" w:tplc="04090019" w:tentative="1">
      <w:start w:val="1"/>
      <w:numFmt w:val="lowerLetter"/>
      <w:lvlText w:val="%2."/>
      <w:lvlJc w:val="left"/>
      <w:pPr>
        <w:ind w:left="6970" w:hanging="360"/>
      </w:pPr>
    </w:lvl>
    <w:lvl w:ilvl="2" w:tplc="0409001B" w:tentative="1">
      <w:start w:val="1"/>
      <w:numFmt w:val="lowerRoman"/>
      <w:lvlText w:val="%3."/>
      <w:lvlJc w:val="right"/>
      <w:pPr>
        <w:ind w:left="7690" w:hanging="180"/>
      </w:pPr>
    </w:lvl>
    <w:lvl w:ilvl="3" w:tplc="0409000F" w:tentative="1">
      <w:start w:val="1"/>
      <w:numFmt w:val="decimal"/>
      <w:lvlText w:val="%4."/>
      <w:lvlJc w:val="left"/>
      <w:pPr>
        <w:ind w:left="8410" w:hanging="360"/>
      </w:pPr>
    </w:lvl>
    <w:lvl w:ilvl="4" w:tplc="04090019" w:tentative="1">
      <w:start w:val="1"/>
      <w:numFmt w:val="lowerLetter"/>
      <w:lvlText w:val="%5."/>
      <w:lvlJc w:val="left"/>
      <w:pPr>
        <w:ind w:left="9130" w:hanging="360"/>
      </w:pPr>
    </w:lvl>
    <w:lvl w:ilvl="5" w:tplc="0409001B" w:tentative="1">
      <w:start w:val="1"/>
      <w:numFmt w:val="lowerRoman"/>
      <w:lvlText w:val="%6."/>
      <w:lvlJc w:val="right"/>
      <w:pPr>
        <w:ind w:left="9850" w:hanging="180"/>
      </w:pPr>
    </w:lvl>
    <w:lvl w:ilvl="6" w:tplc="0409000F" w:tentative="1">
      <w:start w:val="1"/>
      <w:numFmt w:val="decimal"/>
      <w:lvlText w:val="%7."/>
      <w:lvlJc w:val="left"/>
      <w:pPr>
        <w:ind w:left="10570" w:hanging="360"/>
      </w:pPr>
    </w:lvl>
    <w:lvl w:ilvl="7" w:tplc="04090019" w:tentative="1">
      <w:start w:val="1"/>
      <w:numFmt w:val="lowerLetter"/>
      <w:lvlText w:val="%8."/>
      <w:lvlJc w:val="left"/>
      <w:pPr>
        <w:ind w:left="11290" w:hanging="360"/>
      </w:pPr>
    </w:lvl>
    <w:lvl w:ilvl="8" w:tplc="0409001B" w:tentative="1">
      <w:start w:val="1"/>
      <w:numFmt w:val="lowerRoman"/>
      <w:lvlText w:val="%9."/>
      <w:lvlJc w:val="right"/>
      <w:pPr>
        <w:ind w:left="1201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05541363">
    <w:abstractNumId w:val="2"/>
  </w:num>
  <w:num w:numId="2" w16cid:durableId="366106094">
    <w:abstractNumId w:val="5"/>
  </w:num>
  <w:num w:numId="3" w16cid:durableId="527137612">
    <w:abstractNumId w:val="0"/>
  </w:num>
  <w:num w:numId="4" w16cid:durableId="357853381">
    <w:abstractNumId w:val="6"/>
  </w:num>
  <w:num w:numId="5" w16cid:durableId="196164486">
    <w:abstractNumId w:val="1"/>
  </w:num>
  <w:num w:numId="6" w16cid:durableId="1241792273">
    <w:abstractNumId w:val="3"/>
  </w:num>
  <w:num w:numId="7" w16cid:durableId="4434285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AD7"/>
    <w:rsid w:val="0001053A"/>
    <w:rsid w:val="000E3BB3"/>
    <w:rsid w:val="000F5E56"/>
    <w:rsid w:val="00130BBC"/>
    <w:rsid w:val="001362EE"/>
    <w:rsid w:val="00152CEA"/>
    <w:rsid w:val="001832A6"/>
    <w:rsid w:val="001C4DD3"/>
    <w:rsid w:val="001D50D1"/>
    <w:rsid w:val="002334B1"/>
    <w:rsid w:val="002427DF"/>
    <w:rsid w:val="002634C4"/>
    <w:rsid w:val="002C17F7"/>
    <w:rsid w:val="002F4E68"/>
    <w:rsid w:val="00307787"/>
    <w:rsid w:val="00307F9E"/>
    <w:rsid w:val="00354647"/>
    <w:rsid w:val="00377273"/>
    <w:rsid w:val="003845C1"/>
    <w:rsid w:val="00387287"/>
    <w:rsid w:val="003D41D4"/>
    <w:rsid w:val="00423E3E"/>
    <w:rsid w:val="00427AF4"/>
    <w:rsid w:val="0045231F"/>
    <w:rsid w:val="004647DA"/>
    <w:rsid w:val="00477D6B"/>
    <w:rsid w:val="004A6C37"/>
    <w:rsid w:val="004A7B16"/>
    <w:rsid w:val="004E35CC"/>
    <w:rsid w:val="004F7418"/>
    <w:rsid w:val="00511862"/>
    <w:rsid w:val="00511D0C"/>
    <w:rsid w:val="0055013B"/>
    <w:rsid w:val="0056224D"/>
    <w:rsid w:val="00571B99"/>
    <w:rsid w:val="005A7311"/>
    <w:rsid w:val="005D64EC"/>
    <w:rsid w:val="005F2477"/>
    <w:rsid w:val="00605827"/>
    <w:rsid w:val="00610F5A"/>
    <w:rsid w:val="00672847"/>
    <w:rsid w:val="00675021"/>
    <w:rsid w:val="0069159F"/>
    <w:rsid w:val="006A06C6"/>
    <w:rsid w:val="006B1AD7"/>
    <w:rsid w:val="006D25ED"/>
    <w:rsid w:val="007211CA"/>
    <w:rsid w:val="00775352"/>
    <w:rsid w:val="007E63AC"/>
    <w:rsid w:val="007E663E"/>
    <w:rsid w:val="00815082"/>
    <w:rsid w:val="00843582"/>
    <w:rsid w:val="008A3C96"/>
    <w:rsid w:val="008B14EA"/>
    <w:rsid w:val="008B2CC1"/>
    <w:rsid w:val="008D209A"/>
    <w:rsid w:val="0090731E"/>
    <w:rsid w:val="00934FEB"/>
    <w:rsid w:val="00966A22"/>
    <w:rsid w:val="00972F03"/>
    <w:rsid w:val="00975C44"/>
    <w:rsid w:val="009A0C8B"/>
    <w:rsid w:val="009B6241"/>
    <w:rsid w:val="009E2B74"/>
    <w:rsid w:val="00A16FC0"/>
    <w:rsid w:val="00A32C9E"/>
    <w:rsid w:val="00A7453D"/>
    <w:rsid w:val="00A8121F"/>
    <w:rsid w:val="00A95F8F"/>
    <w:rsid w:val="00AB613D"/>
    <w:rsid w:val="00B1716B"/>
    <w:rsid w:val="00B22B79"/>
    <w:rsid w:val="00B65A0A"/>
    <w:rsid w:val="00B72D36"/>
    <w:rsid w:val="00BA063E"/>
    <w:rsid w:val="00BC4164"/>
    <w:rsid w:val="00BD2DCC"/>
    <w:rsid w:val="00BE1A8C"/>
    <w:rsid w:val="00C06472"/>
    <w:rsid w:val="00C50414"/>
    <w:rsid w:val="00C90559"/>
    <w:rsid w:val="00D36B79"/>
    <w:rsid w:val="00D40CF0"/>
    <w:rsid w:val="00D56C7C"/>
    <w:rsid w:val="00D71B4D"/>
    <w:rsid w:val="00D90289"/>
    <w:rsid w:val="00D93D55"/>
    <w:rsid w:val="00DF72B8"/>
    <w:rsid w:val="00E45C84"/>
    <w:rsid w:val="00E504E5"/>
    <w:rsid w:val="00E73ABF"/>
    <w:rsid w:val="00E90511"/>
    <w:rsid w:val="00EB5556"/>
    <w:rsid w:val="00EB7A3E"/>
    <w:rsid w:val="00EC401A"/>
    <w:rsid w:val="00EF530A"/>
    <w:rsid w:val="00EF6622"/>
    <w:rsid w:val="00F55408"/>
    <w:rsid w:val="00F66152"/>
    <w:rsid w:val="00F80845"/>
    <w:rsid w:val="00F84474"/>
    <w:rsid w:val="00F8795B"/>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E5CBC0"/>
  <w15:docId w15:val="{A0971BAD-57E6-430B-97D2-C7FD76510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FootnoteReference">
    <w:name w:val="footnote reference"/>
    <w:semiHidden/>
    <w:rsid w:val="006B1AD7"/>
    <w:rPr>
      <w:vertAlign w:val="superscript"/>
    </w:rPr>
  </w:style>
  <w:style w:type="character" w:customStyle="1" w:styleId="FootnoteTextChar">
    <w:name w:val="Footnote Text Char"/>
    <w:basedOn w:val="DefaultParagraphFont"/>
    <w:link w:val="FootnoteText"/>
    <w:semiHidden/>
    <w:rsid w:val="006B1AD7"/>
    <w:rPr>
      <w:rFonts w:ascii="Arial" w:eastAsia="SimSun" w:hAnsi="Arial" w:cs="Arial"/>
      <w:sz w:val="18"/>
      <w:lang w:val="es-ES" w:eastAsia="zh-CN"/>
    </w:rPr>
  </w:style>
  <w:style w:type="table" w:styleId="TableGrid">
    <w:name w:val="Table Grid"/>
    <w:basedOn w:val="TableNormal"/>
    <w:rsid w:val="006B1AD7"/>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0511"/>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66%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 66 (S).dotm</Template>
  <TotalTime>3</TotalTime>
  <Pages>6</Pages>
  <Words>2076</Words>
  <Characters>10462</Characters>
  <Application>Microsoft Office Word</Application>
  <DocSecurity>0</DocSecurity>
  <Lines>87</Lines>
  <Paragraphs>25</Paragraphs>
  <ScaleCrop>false</ScaleCrop>
  <HeadingPairs>
    <vt:vector size="2" baseType="variant">
      <vt:variant>
        <vt:lpstr>Title</vt:lpstr>
      </vt:variant>
      <vt:variant>
        <vt:i4>1</vt:i4>
      </vt:variant>
    </vt:vector>
  </HeadingPairs>
  <TitlesOfParts>
    <vt:vector size="1" baseType="lpstr">
      <vt:lpstr>A/66/</vt:lpstr>
    </vt:vector>
  </TitlesOfParts>
  <Company>WIPO</Company>
  <LinksUpToDate>false</LinksUpToDate>
  <CharactersWithSpaces>12513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A/66/</dc:title>
  <dc:creator>MIGLIORE Liliana</dc:creator>
  <cp:keywords>FOR OFFICIAL USE ONLY</cp:keywords>
  <cp:lastModifiedBy>RUSSO Antonella</cp:lastModifiedBy>
  <cp:revision>3</cp:revision>
  <cp:lastPrinted>2025-05-05T08:40:00Z</cp:lastPrinted>
  <dcterms:created xsi:type="dcterms:W3CDTF">2025-05-05T08:39:00Z</dcterms:created>
  <dcterms:modified xsi:type="dcterms:W3CDTF">2025-05-05T08:40:00Z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2023-11-21T14:56:02Z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04651a4f-cab9-4ad3-aa54-3fc6766d826d</vt:lpwstr>
  </property>
  <property fmtid="{D5CDD505-2E9C-101B-9397-08002B2CF9AE}" pid="14" name="MSIP_Label_20773ee6-353b-4fb9-a59d-0b94c8c67bea_ContentBits">
    <vt:lpwstr>0</vt:lpwstr>
  </property>
</Properties>
</file>