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03E0" w14:textId="77777777" w:rsidR="008B2CC1" w:rsidRPr="00426AC7" w:rsidRDefault="008B14EA" w:rsidP="008B14EA">
      <w:pPr>
        <w:spacing w:after="120"/>
        <w:jc w:val="right"/>
        <w:rPr>
          <w:lang w:val="es-ES_tradnl"/>
        </w:rPr>
      </w:pPr>
      <w:r w:rsidRPr="00426AC7">
        <w:rPr>
          <w:noProof/>
          <w:lang w:val="es-ES_tradnl" w:eastAsia="en-US"/>
        </w:rPr>
        <w:drawing>
          <wp:inline distT="0" distB="0" distL="0" distR="0" wp14:anchorId="2FB5ED8E" wp14:editId="71673B2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26AC7">
        <w:rPr>
          <w:rFonts w:ascii="Arial Black" w:hAnsi="Arial Black"/>
          <w:caps/>
          <w:noProof/>
          <w:sz w:val="15"/>
          <w:szCs w:val="15"/>
          <w:lang w:val="es-ES_tradnl" w:eastAsia="en-US"/>
        </w:rPr>
        <mc:AlternateContent>
          <mc:Choice Requires="wps">
            <w:drawing>
              <wp:inline distT="0" distB="0" distL="0" distR="0" wp14:anchorId="2055F7FA" wp14:editId="1D17085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w14:anchorId="60E8E4F8">
              <v:line id="Straight Connector 3"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27E4D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0EB6722F" w14:textId="030AD45D" w:rsidR="008B2CC1" w:rsidRPr="00426AC7" w:rsidRDefault="00A8121F" w:rsidP="008B14EA">
      <w:pPr>
        <w:jc w:val="right"/>
        <w:rPr>
          <w:rFonts w:ascii="Arial Black" w:hAnsi="Arial Black"/>
          <w:caps/>
          <w:sz w:val="15"/>
          <w:lang w:val="es-ES_tradnl"/>
        </w:rPr>
      </w:pPr>
      <w:r w:rsidRPr="00426AC7">
        <w:rPr>
          <w:rFonts w:ascii="Arial Black" w:hAnsi="Arial Black"/>
          <w:caps/>
          <w:sz w:val="15"/>
          <w:lang w:val="es-ES_tradnl"/>
        </w:rPr>
        <w:t>A/6</w:t>
      </w:r>
      <w:r w:rsidR="005A7311" w:rsidRPr="00426AC7">
        <w:rPr>
          <w:rFonts w:ascii="Arial Black" w:hAnsi="Arial Black"/>
          <w:caps/>
          <w:sz w:val="15"/>
          <w:lang w:val="es-ES_tradnl"/>
        </w:rPr>
        <w:t>6</w:t>
      </w:r>
      <w:r w:rsidRPr="00426AC7">
        <w:rPr>
          <w:rFonts w:ascii="Arial Black" w:hAnsi="Arial Black"/>
          <w:caps/>
          <w:sz w:val="15"/>
          <w:lang w:val="es-ES_tradnl"/>
        </w:rPr>
        <w:t>/</w:t>
      </w:r>
      <w:bookmarkStart w:id="0" w:name="Code"/>
      <w:r w:rsidR="001E39A2" w:rsidRPr="00426AC7">
        <w:rPr>
          <w:rFonts w:ascii="Arial Black" w:hAnsi="Arial Black"/>
          <w:caps/>
          <w:sz w:val="15"/>
          <w:lang w:val="es-ES_tradnl"/>
        </w:rPr>
        <w:t>11</w:t>
      </w:r>
    </w:p>
    <w:bookmarkEnd w:id="0"/>
    <w:p w14:paraId="08472555" w14:textId="18D50FD0" w:rsidR="008B2CC1" w:rsidRPr="00426AC7" w:rsidRDefault="008B14EA" w:rsidP="008B14EA">
      <w:pPr>
        <w:jc w:val="right"/>
        <w:rPr>
          <w:rFonts w:ascii="Arial Black" w:hAnsi="Arial Black"/>
          <w:caps/>
          <w:sz w:val="15"/>
          <w:lang w:val="es-ES_tradnl"/>
        </w:rPr>
      </w:pPr>
      <w:r w:rsidRPr="00426AC7">
        <w:rPr>
          <w:rFonts w:ascii="Arial Black" w:hAnsi="Arial Black"/>
          <w:caps/>
          <w:sz w:val="15"/>
          <w:lang w:val="es-ES_tradnl"/>
        </w:rPr>
        <w:t xml:space="preserve">ORIGINAL: </w:t>
      </w:r>
      <w:bookmarkStart w:id="1" w:name="Original"/>
      <w:r w:rsidR="001E39A2" w:rsidRPr="00426AC7">
        <w:rPr>
          <w:rFonts w:ascii="Arial Black" w:hAnsi="Arial Black"/>
          <w:caps/>
          <w:sz w:val="15"/>
          <w:lang w:val="es-ES_tradnl"/>
        </w:rPr>
        <w:t>INGLÉS</w:t>
      </w:r>
    </w:p>
    <w:bookmarkEnd w:id="1"/>
    <w:p w14:paraId="2C6FE075" w14:textId="6B8B9453" w:rsidR="008B2CC1" w:rsidRPr="00426AC7" w:rsidRDefault="008B14EA" w:rsidP="008B14EA">
      <w:pPr>
        <w:spacing w:after="1200"/>
        <w:jc w:val="right"/>
        <w:rPr>
          <w:rFonts w:ascii="Arial Black" w:hAnsi="Arial Black"/>
          <w:caps/>
          <w:sz w:val="15"/>
          <w:lang w:val="es-ES_tradnl"/>
        </w:rPr>
      </w:pPr>
      <w:r w:rsidRPr="00426AC7">
        <w:rPr>
          <w:rFonts w:ascii="Arial Black" w:hAnsi="Arial Black"/>
          <w:sz w:val="15"/>
          <w:lang w:val="es-ES_tradnl"/>
        </w:rPr>
        <w:t>FECHA</w:t>
      </w:r>
      <w:r w:rsidRPr="00426AC7">
        <w:rPr>
          <w:rFonts w:ascii="Arial Black" w:hAnsi="Arial Black"/>
          <w:caps/>
          <w:sz w:val="15"/>
          <w:lang w:val="es-ES_tradnl"/>
        </w:rPr>
        <w:t xml:space="preserve">: </w:t>
      </w:r>
      <w:bookmarkStart w:id="2" w:name="Date"/>
      <w:r w:rsidR="00BF15C0" w:rsidRPr="00426AC7">
        <w:rPr>
          <w:rFonts w:ascii="Arial Black" w:hAnsi="Arial Black"/>
          <w:caps/>
          <w:sz w:val="15"/>
          <w:lang w:val="es-ES_tradnl"/>
        </w:rPr>
        <w:t>25</w:t>
      </w:r>
      <w:r w:rsidR="001E39A2" w:rsidRPr="00426AC7">
        <w:rPr>
          <w:rFonts w:ascii="Arial Black" w:hAnsi="Arial Black"/>
          <w:caps/>
          <w:sz w:val="15"/>
          <w:lang w:val="es-ES_tradnl"/>
        </w:rPr>
        <w:t xml:space="preserve"> DE </w:t>
      </w:r>
      <w:r w:rsidR="00BF15C0" w:rsidRPr="00426AC7">
        <w:rPr>
          <w:rFonts w:ascii="Arial Black" w:hAnsi="Arial Black"/>
          <w:caps/>
          <w:sz w:val="15"/>
          <w:lang w:val="es-ES_tradnl"/>
        </w:rPr>
        <w:t xml:space="preserve">septiembre </w:t>
      </w:r>
      <w:r w:rsidR="001E39A2" w:rsidRPr="00426AC7">
        <w:rPr>
          <w:rFonts w:ascii="Arial Black" w:hAnsi="Arial Black"/>
          <w:caps/>
          <w:sz w:val="15"/>
          <w:lang w:val="es-ES_tradnl"/>
        </w:rPr>
        <w:t>DE 2025</w:t>
      </w:r>
    </w:p>
    <w:bookmarkEnd w:id="2"/>
    <w:p w14:paraId="5B02B348" w14:textId="77777777" w:rsidR="008B2CC1" w:rsidRPr="00426AC7" w:rsidRDefault="00A8121F" w:rsidP="008B14EA">
      <w:pPr>
        <w:spacing w:after="600"/>
        <w:rPr>
          <w:b/>
          <w:sz w:val="28"/>
          <w:szCs w:val="28"/>
          <w:lang w:val="es-ES_tradnl"/>
        </w:rPr>
      </w:pPr>
      <w:r w:rsidRPr="00426AC7">
        <w:rPr>
          <w:b/>
          <w:sz w:val="28"/>
          <w:szCs w:val="28"/>
          <w:lang w:val="es-ES_tradnl"/>
        </w:rPr>
        <w:t>Asambleas de los Estados miembros de la OMPI</w:t>
      </w:r>
    </w:p>
    <w:p w14:paraId="11A4B5A3" w14:textId="77777777" w:rsidR="00511D0C" w:rsidRPr="00426AC7" w:rsidRDefault="00A8121F" w:rsidP="00511D0C">
      <w:pPr>
        <w:rPr>
          <w:b/>
          <w:sz w:val="24"/>
          <w:szCs w:val="24"/>
          <w:lang w:val="es-ES_tradnl"/>
        </w:rPr>
      </w:pPr>
      <w:r w:rsidRPr="00426AC7">
        <w:rPr>
          <w:b/>
          <w:sz w:val="24"/>
          <w:szCs w:val="24"/>
          <w:lang w:val="es-ES_tradnl"/>
        </w:rPr>
        <w:t xml:space="preserve">Sexagésima </w:t>
      </w:r>
      <w:r w:rsidR="005A7311" w:rsidRPr="00426AC7">
        <w:rPr>
          <w:b/>
          <w:sz w:val="24"/>
          <w:szCs w:val="24"/>
          <w:lang w:val="es-ES_tradnl"/>
        </w:rPr>
        <w:t xml:space="preserve">sexta </w:t>
      </w:r>
      <w:r w:rsidRPr="00426AC7">
        <w:rPr>
          <w:b/>
          <w:sz w:val="24"/>
          <w:szCs w:val="24"/>
          <w:lang w:val="es-ES_tradnl"/>
        </w:rPr>
        <w:t>serie de reuniones</w:t>
      </w:r>
    </w:p>
    <w:p w14:paraId="76D8F7F1" w14:textId="77777777" w:rsidR="008B2CC1" w:rsidRPr="00426AC7" w:rsidRDefault="00A8121F" w:rsidP="008B14EA">
      <w:pPr>
        <w:spacing w:after="720"/>
        <w:rPr>
          <w:b/>
          <w:sz w:val="24"/>
          <w:szCs w:val="24"/>
          <w:lang w:val="es-ES_tradnl"/>
        </w:rPr>
      </w:pPr>
      <w:r w:rsidRPr="00426AC7">
        <w:rPr>
          <w:b/>
          <w:sz w:val="24"/>
          <w:szCs w:val="24"/>
          <w:lang w:val="es-ES_tradnl"/>
        </w:rPr>
        <w:t xml:space="preserve">Ginebra, </w:t>
      </w:r>
      <w:r w:rsidR="005A7311" w:rsidRPr="00426AC7">
        <w:rPr>
          <w:b/>
          <w:sz w:val="24"/>
          <w:szCs w:val="24"/>
          <w:lang w:val="es-ES_tradnl"/>
        </w:rPr>
        <w:t>8</w:t>
      </w:r>
      <w:r w:rsidR="004A7B16" w:rsidRPr="00426AC7">
        <w:rPr>
          <w:b/>
          <w:sz w:val="24"/>
          <w:szCs w:val="24"/>
          <w:lang w:val="es-ES_tradnl"/>
        </w:rPr>
        <w:t xml:space="preserve"> a 17 de julio de 202</w:t>
      </w:r>
      <w:r w:rsidR="005A7311" w:rsidRPr="00426AC7">
        <w:rPr>
          <w:b/>
          <w:sz w:val="24"/>
          <w:szCs w:val="24"/>
          <w:lang w:val="es-ES_tradnl"/>
        </w:rPr>
        <w:t>5</w:t>
      </w:r>
    </w:p>
    <w:p w14:paraId="7CACCE8F" w14:textId="0FE4F8C2" w:rsidR="008B2CC1" w:rsidRPr="00426AC7" w:rsidRDefault="001E39A2" w:rsidP="008B14EA">
      <w:pPr>
        <w:spacing w:after="360"/>
        <w:rPr>
          <w:caps/>
          <w:szCs w:val="22"/>
          <w:lang w:val="es-ES_tradnl"/>
        </w:rPr>
      </w:pPr>
      <w:bookmarkStart w:id="3" w:name="TitleOfDoc"/>
      <w:r w:rsidRPr="00426AC7">
        <w:rPr>
          <w:caps/>
          <w:szCs w:val="22"/>
          <w:lang w:val="es-ES_tradnl"/>
        </w:rPr>
        <w:t>INFORME</w:t>
      </w:r>
      <w:r w:rsidR="00411190" w:rsidRPr="00426AC7">
        <w:rPr>
          <w:caps/>
          <w:szCs w:val="22"/>
          <w:lang w:val="es-ES_tradnl"/>
        </w:rPr>
        <w:t xml:space="preserve"> GENERAL</w:t>
      </w:r>
    </w:p>
    <w:p w14:paraId="0C7D4774" w14:textId="145524D9" w:rsidR="008B2CC1" w:rsidRPr="00426AC7" w:rsidRDefault="001D2044" w:rsidP="008B14EA">
      <w:pPr>
        <w:spacing w:after="960"/>
        <w:rPr>
          <w:i/>
          <w:szCs w:val="22"/>
          <w:lang w:val="es-ES_tradnl"/>
        </w:rPr>
      </w:pPr>
      <w:bookmarkStart w:id="4" w:name="Prepared"/>
      <w:bookmarkEnd w:id="3"/>
      <w:r w:rsidRPr="00426AC7">
        <w:rPr>
          <w:i/>
          <w:szCs w:val="22"/>
          <w:lang w:val="es-ES_tradnl"/>
        </w:rPr>
        <w:t xml:space="preserve">aprobado </w:t>
      </w:r>
      <w:r w:rsidR="001E39A2" w:rsidRPr="00426AC7">
        <w:rPr>
          <w:i/>
          <w:szCs w:val="22"/>
          <w:lang w:val="es-ES_tradnl"/>
        </w:rPr>
        <w:t xml:space="preserve">por </w:t>
      </w:r>
      <w:r w:rsidRPr="00426AC7">
        <w:rPr>
          <w:i/>
          <w:szCs w:val="22"/>
          <w:lang w:val="es-ES_tradnl"/>
        </w:rPr>
        <w:t>las Asambleas</w:t>
      </w:r>
    </w:p>
    <w:bookmarkEnd w:id="4"/>
    <w:p w14:paraId="3D2AD83A" w14:textId="55BC0976" w:rsidR="009B6AFA" w:rsidRPr="00426AC7" w:rsidRDefault="009B6AFA">
      <w:pPr>
        <w:rPr>
          <w:szCs w:val="22"/>
          <w:lang w:val="es-ES_tradnl"/>
        </w:rPr>
      </w:pPr>
      <w:r w:rsidRPr="00426AC7">
        <w:rPr>
          <w:szCs w:val="22"/>
          <w:lang w:val="es-ES_tradnl"/>
        </w:rPr>
        <w:br w:type="page"/>
      </w:r>
    </w:p>
    <w:sdt>
      <w:sdtPr>
        <w:rPr>
          <w:rFonts w:ascii="Arial" w:eastAsia="SimSun" w:hAnsi="Arial" w:cs="Arial"/>
          <w:color w:val="auto"/>
          <w:sz w:val="22"/>
          <w:szCs w:val="20"/>
          <w:lang w:eastAsia="zh-CN"/>
        </w:rPr>
        <w:id w:val="953057852"/>
        <w:docPartObj>
          <w:docPartGallery w:val="Table of Contents"/>
          <w:docPartUnique/>
        </w:docPartObj>
      </w:sdtPr>
      <w:sdtEndPr>
        <w:rPr>
          <w:b/>
          <w:bCs/>
          <w:noProof/>
        </w:rPr>
      </w:sdtEndPr>
      <w:sdtContent>
        <w:p w14:paraId="571F9A95" w14:textId="7D3F7BF0" w:rsidR="00E01F06" w:rsidRDefault="00E01F06" w:rsidP="00E01F06">
          <w:pPr>
            <w:pStyle w:val="TOCHeading"/>
            <w:spacing w:before="0" w:after="240" w:line="240" w:lineRule="auto"/>
            <w:rPr>
              <w:rFonts w:ascii="Arial" w:hAnsi="Arial" w:cs="Arial"/>
              <w:color w:val="auto"/>
              <w:sz w:val="22"/>
              <w:szCs w:val="22"/>
            </w:rPr>
          </w:pPr>
          <w:r>
            <w:rPr>
              <w:rFonts w:ascii="Arial" w:hAnsi="Arial" w:cs="Arial"/>
              <w:color w:val="auto"/>
              <w:sz w:val="22"/>
              <w:szCs w:val="22"/>
            </w:rPr>
            <w:t>ÍNDICE</w:t>
          </w:r>
        </w:p>
        <w:p w14:paraId="1C995A18" w14:textId="0EC38B74" w:rsidR="00E01F06" w:rsidRDefault="00E01F06">
          <w:pPr>
            <w:pStyle w:val="TOC2"/>
            <w:rPr>
              <w:rFonts w:asciiTheme="minorHAnsi" w:eastAsiaTheme="minorEastAsia" w:hAnsiTheme="minorHAnsi" w:cstheme="minorBidi"/>
              <w:noProof/>
              <w:kern w:val="2"/>
              <w:sz w:val="24"/>
              <w:szCs w:val="24"/>
              <w:lang w:eastAsia="en-US"/>
              <w14:ligatures w14:val="standardContextual"/>
            </w:rPr>
          </w:pPr>
          <w:r>
            <w:fldChar w:fldCharType="begin"/>
          </w:r>
          <w:r>
            <w:instrText xml:space="preserve"> TOC \o "1-3" \h \z \u </w:instrText>
          </w:r>
          <w:r>
            <w:fldChar w:fldCharType="separate"/>
          </w:r>
          <w:hyperlink w:anchor="_Toc209694186" w:history="1">
            <w:r w:rsidRPr="00660F4B">
              <w:rPr>
                <w:rStyle w:val="Hyperlink"/>
                <w:noProof/>
                <w:lang w:val="es-ES_tradnl"/>
              </w:rPr>
              <w:t>INTRODUCCIÓN</w:t>
            </w:r>
            <w:r>
              <w:rPr>
                <w:noProof/>
                <w:webHidden/>
              </w:rPr>
              <w:tab/>
            </w:r>
            <w:r>
              <w:rPr>
                <w:noProof/>
                <w:webHidden/>
              </w:rPr>
              <w:fldChar w:fldCharType="begin"/>
            </w:r>
            <w:r>
              <w:rPr>
                <w:noProof/>
                <w:webHidden/>
              </w:rPr>
              <w:instrText xml:space="preserve"> PAGEREF _Toc209694186 \h </w:instrText>
            </w:r>
            <w:r>
              <w:rPr>
                <w:noProof/>
                <w:webHidden/>
              </w:rPr>
            </w:r>
            <w:r>
              <w:rPr>
                <w:noProof/>
                <w:webHidden/>
              </w:rPr>
              <w:fldChar w:fldCharType="separate"/>
            </w:r>
            <w:r w:rsidR="0083629F">
              <w:rPr>
                <w:noProof/>
                <w:webHidden/>
              </w:rPr>
              <w:t>3</w:t>
            </w:r>
            <w:r>
              <w:rPr>
                <w:noProof/>
                <w:webHidden/>
              </w:rPr>
              <w:fldChar w:fldCharType="end"/>
            </w:r>
          </w:hyperlink>
        </w:p>
        <w:p w14:paraId="422209F5" w14:textId="5E6ABC58"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187" w:history="1">
            <w:r w:rsidRPr="00660F4B">
              <w:rPr>
                <w:rStyle w:val="Hyperlink"/>
                <w:noProof/>
                <w:lang w:val="es-ES_tradnl"/>
              </w:rPr>
              <w:t>PUNTO 1 DEL ORDEN DEL DÍA CONSOLIDADO</w:t>
            </w:r>
            <w:r>
              <w:rPr>
                <w:rStyle w:val="Hyperlink"/>
                <w:noProof/>
                <w:lang w:val="es-ES_tradnl"/>
              </w:rPr>
              <w:t>:</w:t>
            </w:r>
            <w:r w:rsidRPr="00660F4B">
              <w:rPr>
                <w:rStyle w:val="Hyperlink"/>
                <w:noProof/>
                <w:lang w:val="es-ES_tradnl"/>
              </w:rPr>
              <w:t xml:space="preserve"> APERTURA DE LA SERIE DE REUNIONES</w:t>
            </w:r>
            <w:r>
              <w:rPr>
                <w:noProof/>
                <w:webHidden/>
              </w:rPr>
              <w:tab/>
            </w:r>
            <w:r>
              <w:rPr>
                <w:noProof/>
                <w:webHidden/>
              </w:rPr>
              <w:fldChar w:fldCharType="begin"/>
            </w:r>
            <w:r>
              <w:rPr>
                <w:noProof/>
                <w:webHidden/>
              </w:rPr>
              <w:instrText xml:space="preserve"> PAGEREF _Toc209694187 \h </w:instrText>
            </w:r>
            <w:r>
              <w:rPr>
                <w:noProof/>
                <w:webHidden/>
              </w:rPr>
            </w:r>
            <w:r>
              <w:rPr>
                <w:noProof/>
                <w:webHidden/>
              </w:rPr>
              <w:fldChar w:fldCharType="separate"/>
            </w:r>
            <w:r w:rsidR="0083629F">
              <w:rPr>
                <w:noProof/>
                <w:webHidden/>
              </w:rPr>
              <w:t>5</w:t>
            </w:r>
            <w:r>
              <w:rPr>
                <w:noProof/>
                <w:webHidden/>
              </w:rPr>
              <w:fldChar w:fldCharType="end"/>
            </w:r>
          </w:hyperlink>
        </w:p>
        <w:p w14:paraId="2EE4E188" w14:textId="71C886C3"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188" w:history="1">
            <w:r w:rsidRPr="00660F4B">
              <w:rPr>
                <w:rStyle w:val="Hyperlink"/>
                <w:noProof/>
                <w:lang w:val="es-ES_tradnl"/>
              </w:rPr>
              <w:t>PUNTO 2 DEL ORDEN DEL DÍA CONSOLIDADO APROBACIÓN DEL ORDEN DEL DÍA</w:t>
            </w:r>
            <w:r>
              <w:rPr>
                <w:noProof/>
                <w:webHidden/>
              </w:rPr>
              <w:tab/>
            </w:r>
            <w:r>
              <w:rPr>
                <w:noProof/>
                <w:webHidden/>
              </w:rPr>
              <w:fldChar w:fldCharType="begin"/>
            </w:r>
            <w:r>
              <w:rPr>
                <w:noProof/>
                <w:webHidden/>
              </w:rPr>
              <w:instrText xml:space="preserve"> PAGEREF _Toc209694188 \h </w:instrText>
            </w:r>
            <w:r>
              <w:rPr>
                <w:noProof/>
                <w:webHidden/>
              </w:rPr>
            </w:r>
            <w:r>
              <w:rPr>
                <w:noProof/>
                <w:webHidden/>
              </w:rPr>
              <w:fldChar w:fldCharType="separate"/>
            </w:r>
            <w:r w:rsidR="0083629F">
              <w:rPr>
                <w:noProof/>
                <w:webHidden/>
              </w:rPr>
              <w:t>5</w:t>
            </w:r>
            <w:r>
              <w:rPr>
                <w:noProof/>
                <w:webHidden/>
              </w:rPr>
              <w:fldChar w:fldCharType="end"/>
            </w:r>
          </w:hyperlink>
        </w:p>
        <w:p w14:paraId="1DACFCF8" w14:textId="04237FD3"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189" w:history="1">
            <w:r w:rsidRPr="00660F4B">
              <w:rPr>
                <w:rStyle w:val="Hyperlink"/>
                <w:noProof/>
                <w:lang w:val="es-ES_tradnl"/>
              </w:rPr>
              <w:t>PUNTO 3 DEL ORDEN DEL DÍA CONSOLIDADO DISCURSO DEL DIRECTOR GENERAL A LAS ASAMBLEAS DE LA OMPI</w:t>
            </w:r>
            <w:r>
              <w:rPr>
                <w:noProof/>
                <w:webHidden/>
              </w:rPr>
              <w:tab/>
            </w:r>
            <w:r>
              <w:rPr>
                <w:noProof/>
                <w:webHidden/>
              </w:rPr>
              <w:fldChar w:fldCharType="begin"/>
            </w:r>
            <w:r>
              <w:rPr>
                <w:noProof/>
                <w:webHidden/>
              </w:rPr>
              <w:instrText xml:space="preserve"> PAGEREF _Toc209694189 \h </w:instrText>
            </w:r>
            <w:r>
              <w:rPr>
                <w:noProof/>
                <w:webHidden/>
              </w:rPr>
            </w:r>
            <w:r>
              <w:rPr>
                <w:noProof/>
                <w:webHidden/>
              </w:rPr>
              <w:fldChar w:fldCharType="separate"/>
            </w:r>
            <w:r w:rsidR="0083629F">
              <w:rPr>
                <w:noProof/>
                <w:webHidden/>
              </w:rPr>
              <w:t>5</w:t>
            </w:r>
            <w:r>
              <w:rPr>
                <w:noProof/>
                <w:webHidden/>
              </w:rPr>
              <w:fldChar w:fldCharType="end"/>
            </w:r>
          </w:hyperlink>
        </w:p>
        <w:p w14:paraId="1071726A" w14:textId="622A1F11"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190" w:history="1">
            <w:r w:rsidRPr="00660F4B">
              <w:rPr>
                <w:rStyle w:val="Hyperlink"/>
                <w:noProof/>
                <w:lang w:val="es-ES_tradnl"/>
              </w:rPr>
              <w:t>PUNTO 4 DEL ORDEN DEL DÍA CONSOLIDADO DECLARACIONES GENERALES</w:t>
            </w:r>
            <w:r>
              <w:rPr>
                <w:noProof/>
                <w:webHidden/>
              </w:rPr>
              <w:tab/>
            </w:r>
            <w:r>
              <w:rPr>
                <w:noProof/>
                <w:webHidden/>
              </w:rPr>
              <w:fldChar w:fldCharType="begin"/>
            </w:r>
            <w:r>
              <w:rPr>
                <w:noProof/>
                <w:webHidden/>
              </w:rPr>
              <w:instrText xml:space="preserve"> PAGEREF _Toc209694190 \h </w:instrText>
            </w:r>
            <w:r>
              <w:rPr>
                <w:noProof/>
                <w:webHidden/>
              </w:rPr>
            </w:r>
            <w:r>
              <w:rPr>
                <w:noProof/>
                <w:webHidden/>
              </w:rPr>
              <w:fldChar w:fldCharType="separate"/>
            </w:r>
            <w:r w:rsidR="0083629F">
              <w:rPr>
                <w:noProof/>
                <w:webHidden/>
              </w:rPr>
              <w:t>16</w:t>
            </w:r>
            <w:r>
              <w:rPr>
                <w:noProof/>
                <w:webHidden/>
              </w:rPr>
              <w:fldChar w:fldCharType="end"/>
            </w:r>
          </w:hyperlink>
        </w:p>
        <w:p w14:paraId="6B3F0873" w14:textId="73730C6B"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191" w:history="1">
            <w:r w:rsidRPr="00660F4B">
              <w:rPr>
                <w:rStyle w:val="Hyperlink"/>
                <w:noProof/>
                <w:lang w:val="es-ES_tradnl"/>
              </w:rPr>
              <w:t>PUNTO 5 DEL ORDEN DEL DÍA CONSOLIDADO ELECCIÓN DE LAS MESAS</w:t>
            </w:r>
            <w:r>
              <w:rPr>
                <w:noProof/>
                <w:webHidden/>
              </w:rPr>
              <w:tab/>
            </w:r>
            <w:r>
              <w:rPr>
                <w:noProof/>
                <w:webHidden/>
              </w:rPr>
              <w:fldChar w:fldCharType="begin"/>
            </w:r>
            <w:r>
              <w:rPr>
                <w:noProof/>
                <w:webHidden/>
              </w:rPr>
              <w:instrText xml:space="preserve"> PAGEREF _Toc209694191 \h </w:instrText>
            </w:r>
            <w:r>
              <w:rPr>
                <w:noProof/>
                <w:webHidden/>
              </w:rPr>
            </w:r>
            <w:r>
              <w:rPr>
                <w:noProof/>
                <w:webHidden/>
              </w:rPr>
              <w:fldChar w:fldCharType="separate"/>
            </w:r>
            <w:r w:rsidR="0083629F">
              <w:rPr>
                <w:noProof/>
                <w:webHidden/>
              </w:rPr>
              <w:t>17</w:t>
            </w:r>
            <w:r>
              <w:rPr>
                <w:noProof/>
                <w:webHidden/>
              </w:rPr>
              <w:fldChar w:fldCharType="end"/>
            </w:r>
          </w:hyperlink>
        </w:p>
        <w:p w14:paraId="6C34099A" w14:textId="1030FA13"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192" w:history="1">
            <w:r w:rsidRPr="00660F4B">
              <w:rPr>
                <w:rStyle w:val="Hyperlink"/>
                <w:noProof/>
                <w:lang w:val="es-ES_tradnl"/>
              </w:rPr>
              <w:t>PUNTO 6 DEL ORDEN DEL DÍA CONSOLIDADO ADMISIÓN DE OBSERVADORES</w:t>
            </w:r>
            <w:r>
              <w:rPr>
                <w:noProof/>
                <w:webHidden/>
              </w:rPr>
              <w:tab/>
            </w:r>
            <w:r>
              <w:rPr>
                <w:noProof/>
                <w:webHidden/>
              </w:rPr>
              <w:fldChar w:fldCharType="begin"/>
            </w:r>
            <w:r>
              <w:rPr>
                <w:noProof/>
                <w:webHidden/>
              </w:rPr>
              <w:instrText xml:space="preserve"> PAGEREF _Toc209694192 \h </w:instrText>
            </w:r>
            <w:r>
              <w:rPr>
                <w:noProof/>
                <w:webHidden/>
              </w:rPr>
            </w:r>
            <w:r>
              <w:rPr>
                <w:noProof/>
                <w:webHidden/>
              </w:rPr>
              <w:fldChar w:fldCharType="separate"/>
            </w:r>
            <w:r w:rsidR="0083629F">
              <w:rPr>
                <w:noProof/>
                <w:webHidden/>
              </w:rPr>
              <w:t>17</w:t>
            </w:r>
            <w:r>
              <w:rPr>
                <w:noProof/>
                <w:webHidden/>
              </w:rPr>
              <w:fldChar w:fldCharType="end"/>
            </w:r>
          </w:hyperlink>
        </w:p>
        <w:p w14:paraId="23615375" w14:textId="4F7C2A0A"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193" w:history="1">
            <w:r w:rsidRPr="00660F4B">
              <w:rPr>
                <w:rStyle w:val="Hyperlink"/>
                <w:noProof/>
                <w:lang w:val="es-ES_tradnl"/>
              </w:rPr>
              <w:t>PUNTO 7 DEL ORDEN DEL DÍA CONSOLIDADO NOMBRAMIENTO DEL DIRECTOR GENERAL EN 2026</w:t>
            </w:r>
            <w:r>
              <w:rPr>
                <w:noProof/>
                <w:webHidden/>
              </w:rPr>
              <w:tab/>
            </w:r>
            <w:r>
              <w:rPr>
                <w:noProof/>
                <w:webHidden/>
              </w:rPr>
              <w:fldChar w:fldCharType="begin"/>
            </w:r>
            <w:r>
              <w:rPr>
                <w:noProof/>
                <w:webHidden/>
              </w:rPr>
              <w:instrText xml:space="preserve"> PAGEREF _Toc209694193 \h </w:instrText>
            </w:r>
            <w:r>
              <w:rPr>
                <w:noProof/>
                <w:webHidden/>
              </w:rPr>
            </w:r>
            <w:r>
              <w:rPr>
                <w:noProof/>
                <w:webHidden/>
              </w:rPr>
              <w:fldChar w:fldCharType="separate"/>
            </w:r>
            <w:r w:rsidR="0083629F">
              <w:rPr>
                <w:noProof/>
                <w:webHidden/>
              </w:rPr>
              <w:t>23</w:t>
            </w:r>
            <w:r>
              <w:rPr>
                <w:noProof/>
                <w:webHidden/>
              </w:rPr>
              <w:fldChar w:fldCharType="end"/>
            </w:r>
          </w:hyperlink>
        </w:p>
        <w:p w14:paraId="67CB6261" w14:textId="22AB660E"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194" w:history="1">
            <w:r w:rsidRPr="00660F4B">
              <w:rPr>
                <w:rStyle w:val="Hyperlink"/>
                <w:noProof/>
                <w:lang w:val="es-ES_tradnl"/>
              </w:rPr>
              <w:t>PUNTO 8 DEL ORDEN DEL DÍA CONSOLIDADO COMPOSICIÓN DEL COMITÉ DE COORDINACIÓN DE LA OMPI Y DE LOS COMITÉS EJECUTIVOS DE LA UNIÓN DE PARÍS Y LA UNIÓN DE BERNA</w:t>
            </w:r>
            <w:r>
              <w:rPr>
                <w:noProof/>
                <w:webHidden/>
              </w:rPr>
              <w:tab/>
            </w:r>
            <w:r>
              <w:rPr>
                <w:noProof/>
                <w:webHidden/>
              </w:rPr>
              <w:fldChar w:fldCharType="begin"/>
            </w:r>
            <w:r>
              <w:rPr>
                <w:noProof/>
                <w:webHidden/>
              </w:rPr>
              <w:instrText xml:space="preserve"> PAGEREF _Toc209694194 \h </w:instrText>
            </w:r>
            <w:r>
              <w:rPr>
                <w:noProof/>
                <w:webHidden/>
              </w:rPr>
            </w:r>
            <w:r>
              <w:rPr>
                <w:noProof/>
                <w:webHidden/>
              </w:rPr>
              <w:fldChar w:fldCharType="separate"/>
            </w:r>
            <w:r w:rsidR="0083629F">
              <w:rPr>
                <w:noProof/>
                <w:webHidden/>
              </w:rPr>
              <w:t>25</w:t>
            </w:r>
            <w:r>
              <w:rPr>
                <w:noProof/>
                <w:webHidden/>
              </w:rPr>
              <w:fldChar w:fldCharType="end"/>
            </w:r>
          </w:hyperlink>
        </w:p>
        <w:p w14:paraId="008A09E5" w14:textId="55D4F105"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195" w:history="1">
            <w:r w:rsidRPr="00660F4B">
              <w:rPr>
                <w:rStyle w:val="Hyperlink"/>
                <w:noProof/>
                <w:lang w:val="es-ES_tradnl"/>
              </w:rPr>
              <w:t>PUNTO 9 DEL ORDEN DEL DÍA CONSOLIDADO COMPOSICIÓN DEL COMITÉ DEL PROGRAMA Y PRESUPUESTO</w:t>
            </w:r>
            <w:r>
              <w:rPr>
                <w:noProof/>
                <w:webHidden/>
              </w:rPr>
              <w:tab/>
            </w:r>
            <w:r>
              <w:rPr>
                <w:noProof/>
                <w:webHidden/>
              </w:rPr>
              <w:fldChar w:fldCharType="begin"/>
            </w:r>
            <w:r>
              <w:rPr>
                <w:noProof/>
                <w:webHidden/>
              </w:rPr>
              <w:instrText xml:space="preserve"> PAGEREF _Toc209694195 \h </w:instrText>
            </w:r>
            <w:r>
              <w:rPr>
                <w:noProof/>
                <w:webHidden/>
              </w:rPr>
            </w:r>
            <w:r>
              <w:rPr>
                <w:noProof/>
                <w:webHidden/>
              </w:rPr>
              <w:fldChar w:fldCharType="separate"/>
            </w:r>
            <w:r w:rsidR="0083629F">
              <w:rPr>
                <w:noProof/>
                <w:webHidden/>
              </w:rPr>
              <w:t>30</w:t>
            </w:r>
            <w:r>
              <w:rPr>
                <w:noProof/>
                <w:webHidden/>
              </w:rPr>
              <w:fldChar w:fldCharType="end"/>
            </w:r>
          </w:hyperlink>
        </w:p>
        <w:p w14:paraId="4AAA43D3" w14:textId="3E5191FD"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196" w:history="1">
            <w:r w:rsidRPr="00660F4B">
              <w:rPr>
                <w:rStyle w:val="Hyperlink"/>
                <w:noProof/>
                <w:lang w:val="es-ES_tradnl"/>
              </w:rPr>
              <w:t>PUNTO 10 DEL ORDEN DEL DÍA CONSOLIDADO INFORMES DE AUDITORÍA Y SUPERVISIÓN</w:t>
            </w:r>
            <w:r>
              <w:rPr>
                <w:noProof/>
                <w:webHidden/>
              </w:rPr>
              <w:tab/>
            </w:r>
            <w:r>
              <w:rPr>
                <w:noProof/>
                <w:webHidden/>
              </w:rPr>
              <w:fldChar w:fldCharType="begin"/>
            </w:r>
            <w:r>
              <w:rPr>
                <w:noProof/>
                <w:webHidden/>
              </w:rPr>
              <w:instrText xml:space="preserve"> PAGEREF _Toc209694196 \h </w:instrText>
            </w:r>
            <w:r>
              <w:rPr>
                <w:noProof/>
                <w:webHidden/>
              </w:rPr>
            </w:r>
            <w:r>
              <w:rPr>
                <w:noProof/>
                <w:webHidden/>
              </w:rPr>
              <w:fldChar w:fldCharType="separate"/>
            </w:r>
            <w:r w:rsidR="0083629F">
              <w:rPr>
                <w:noProof/>
                <w:webHidden/>
              </w:rPr>
              <w:t>31</w:t>
            </w:r>
            <w:r>
              <w:rPr>
                <w:noProof/>
                <w:webHidden/>
              </w:rPr>
              <w:fldChar w:fldCharType="end"/>
            </w:r>
          </w:hyperlink>
        </w:p>
        <w:p w14:paraId="0EF1F643" w14:textId="17F0CE1E"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200" w:history="1">
            <w:r w:rsidRPr="00660F4B">
              <w:rPr>
                <w:rStyle w:val="Hyperlink"/>
                <w:noProof/>
                <w:lang w:val="es-ES_tradnl"/>
              </w:rPr>
              <w:t>PUNTO 11 DEL ORDEN DEL DÍA CONSOLIDADO INFORME DEL COMITÉ DEL PROGRAMA Y PRESUPUESTO (PBC)</w:t>
            </w:r>
            <w:r>
              <w:rPr>
                <w:noProof/>
                <w:webHidden/>
              </w:rPr>
              <w:tab/>
            </w:r>
            <w:r>
              <w:rPr>
                <w:noProof/>
                <w:webHidden/>
              </w:rPr>
              <w:fldChar w:fldCharType="begin"/>
            </w:r>
            <w:r>
              <w:rPr>
                <w:noProof/>
                <w:webHidden/>
              </w:rPr>
              <w:instrText xml:space="preserve"> PAGEREF _Toc209694200 \h </w:instrText>
            </w:r>
            <w:r>
              <w:rPr>
                <w:noProof/>
                <w:webHidden/>
              </w:rPr>
            </w:r>
            <w:r>
              <w:rPr>
                <w:noProof/>
                <w:webHidden/>
              </w:rPr>
              <w:fldChar w:fldCharType="separate"/>
            </w:r>
            <w:r w:rsidR="0083629F">
              <w:rPr>
                <w:noProof/>
                <w:webHidden/>
              </w:rPr>
              <w:t>34</w:t>
            </w:r>
            <w:r>
              <w:rPr>
                <w:noProof/>
                <w:webHidden/>
              </w:rPr>
              <w:fldChar w:fldCharType="end"/>
            </w:r>
          </w:hyperlink>
        </w:p>
        <w:p w14:paraId="738114D8" w14:textId="5FF242B1"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201" w:history="1">
            <w:r w:rsidRPr="00660F4B">
              <w:rPr>
                <w:rStyle w:val="Hyperlink"/>
                <w:noProof/>
                <w:lang w:val="es-ES_tradnl"/>
              </w:rPr>
              <w:t>PUNTO 12 DEL ORDEN DEL DÍA CONSOLIDADO INFORMES DE COMITÉS DE LA OMPI</w:t>
            </w:r>
            <w:r>
              <w:rPr>
                <w:noProof/>
                <w:webHidden/>
              </w:rPr>
              <w:tab/>
            </w:r>
            <w:r>
              <w:rPr>
                <w:noProof/>
                <w:webHidden/>
              </w:rPr>
              <w:fldChar w:fldCharType="begin"/>
            </w:r>
            <w:r>
              <w:rPr>
                <w:noProof/>
                <w:webHidden/>
              </w:rPr>
              <w:instrText xml:space="preserve"> PAGEREF _Toc209694201 \h </w:instrText>
            </w:r>
            <w:r>
              <w:rPr>
                <w:noProof/>
                <w:webHidden/>
              </w:rPr>
            </w:r>
            <w:r>
              <w:rPr>
                <w:noProof/>
                <w:webHidden/>
              </w:rPr>
              <w:fldChar w:fldCharType="separate"/>
            </w:r>
            <w:r w:rsidR="0083629F">
              <w:rPr>
                <w:noProof/>
                <w:webHidden/>
              </w:rPr>
              <w:t>45</w:t>
            </w:r>
            <w:r>
              <w:rPr>
                <w:noProof/>
                <w:webHidden/>
              </w:rPr>
              <w:fldChar w:fldCharType="end"/>
            </w:r>
          </w:hyperlink>
        </w:p>
        <w:p w14:paraId="21003007" w14:textId="2DD0FF01"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209" w:history="1">
            <w:r w:rsidRPr="00660F4B">
              <w:rPr>
                <w:rStyle w:val="Hyperlink"/>
                <w:noProof/>
                <w:lang w:val="es-ES_tradnl"/>
              </w:rPr>
              <w:t>PUNTO 13 DEL ORDEN DEL DÍA CONSOLIDADO SISTEMA DE MADRID</w:t>
            </w:r>
            <w:r>
              <w:rPr>
                <w:noProof/>
                <w:webHidden/>
              </w:rPr>
              <w:tab/>
            </w:r>
            <w:r>
              <w:rPr>
                <w:noProof/>
                <w:webHidden/>
              </w:rPr>
              <w:fldChar w:fldCharType="begin"/>
            </w:r>
            <w:r>
              <w:rPr>
                <w:noProof/>
                <w:webHidden/>
              </w:rPr>
              <w:instrText xml:space="preserve"> PAGEREF _Toc209694209 \h </w:instrText>
            </w:r>
            <w:r>
              <w:rPr>
                <w:noProof/>
                <w:webHidden/>
              </w:rPr>
            </w:r>
            <w:r>
              <w:rPr>
                <w:noProof/>
                <w:webHidden/>
              </w:rPr>
              <w:fldChar w:fldCharType="separate"/>
            </w:r>
            <w:r w:rsidR="0083629F">
              <w:rPr>
                <w:noProof/>
                <w:webHidden/>
              </w:rPr>
              <w:t>45</w:t>
            </w:r>
            <w:r>
              <w:rPr>
                <w:noProof/>
                <w:webHidden/>
              </w:rPr>
              <w:fldChar w:fldCharType="end"/>
            </w:r>
          </w:hyperlink>
        </w:p>
        <w:p w14:paraId="1F3F3DCF" w14:textId="605D01E2"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210" w:history="1">
            <w:r w:rsidRPr="00660F4B">
              <w:rPr>
                <w:rStyle w:val="Hyperlink"/>
                <w:noProof/>
                <w:lang w:val="es-ES_tradnl"/>
              </w:rPr>
              <w:t>PUNTO 14 DEL ORDEN DEL DÍA CONSOLIDADO SISTEMA DE LA HAYA</w:t>
            </w:r>
            <w:r>
              <w:rPr>
                <w:noProof/>
                <w:webHidden/>
              </w:rPr>
              <w:tab/>
            </w:r>
            <w:r>
              <w:rPr>
                <w:noProof/>
                <w:webHidden/>
              </w:rPr>
              <w:fldChar w:fldCharType="begin"/>
            </w:r>
            <w:r>
              <w:rPr>
                <w:noProof/>
                <w:webHidden/>
              </w:rPr>
              <w:instrText xml:space="preserve"> PAGEREF _Toc209694210 \h </w:instrText>
            </w:r>
            <w:r>
              <w:rPr>
                <w:noProof/>
                <w:webHidden/>
              </w:rPr>
            </w:r>
            <w:r>
              <w:rPr>
                <w:noProof/>
                <w:webHidden/>
              </w:rPr>
              <w:fldChar w:fldCharType="separate"/>
            </w:r>
            <w:r w:rsidR="0083629F">
              <w:rPr>
                <w:noProof/>
                <w:webHidden/>
              </w:rPr>
              <w:t>46</w:t>
            </w:r>
            <w:r>
              <w:rPr>
                <w:noProof/>
                <w:webHidden/>
              </w:rPr>
              <w:fldChar w:fldCharType="end"/>
            </w:r>
          </w:hyperlink>
        </w:p>
        <w:p w14:paraId="5832E9B1" w14:textId="7D2D0CBD"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211" w:history="1">
            <w:r w:rsidRPr="00660F4B">
              <w:rPr>
                <w:rStyle w:val="Hyperlink"/>
                <w:noProof/>
                <w:lang w:val="es-ES_tradnl"/>
              </w:rPr>
              <w:t>PUNTO 15 DEL ORDEN DEL DÍA CONSOLIDADO SISTEMA DE LISBOA</w:t>
            </w:r>
            <w:r>
              <w:rPr>
                <w:noProof/>
                <w:webHidden/>
              </w:rPr>
              <w:tab/>
            </w:r>
            <w:r>
              <w:rPr>
                <w:noProof/>
                <w:webHidden/>
              </w:rPr>
              <w:fldChar w:fldCharType="begin"/>
            </w:r>
            <w:r>
              <w:rPr>
                <w:noProof/>
                <w:webHidden/>
              </w:rPr>
              <w:instrText xml:space="preserve"> PAGEREF _Toc209694211 \h </w:instrText>
            </w:r>
            <w:r>
              <w:rPr>
                <w:noProof/>
                <w:webHidden/>
              </w:rPr>
            </w:r>
            <w:r>
              <w:rPr>
                <w:noProof/>
                <w:webHidden/>
              </w:rPr>
              <w:fldChar w:fldCharType="separate"/>
            </w:r>
            <w:r w:rsidR="0083629F">
              <w:rPr>
                <w:noProof/>
                <w:webHidden/>
              </w:rPr>
              <w:t>46</w:t>
            </w:r>
            <w:r>
              <w:rPr>
                <w:noProof/>
                <w:webHidden/>
              </w:rPr>
              <w:fldChar w:fldCharType="end"/>
            </w:r>
          </w:hyperlink>
        </w:p>
        <w:p w14:paraId="343C0DAF" w14:textId="43815055"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212" w:history="1">
            <w:r w:rsidRPr="00660F4B">
              <w:rPr>
                <w:rStyle w:val="Hyperlink"/>
                <w:noProof/>
                <w:lang w:val="es-ES_tradnl"/>
              </w:rPr>
              <w:t>PUNTO 16 DEL ORDEN DEL DÍA CONSOLIDADO CENTRO DE ARBITRAJE Y MEDIACIÓN DE LA OMPI, Y NOMBRES DE DOMINIO</w:t>
            </w:r>
            <w:r>
              <w:rPr>
                <w:noProof/>
                <w:webHidden/>
              </w:rPr>
              <w:tab/>
            </w:r>
            <w:r>
              <w:rPr>
                <w:noProof/>
                <w:webHidden/>
              </w:rPr>
              <w:fldChar w:fldCharType="begin"/>
            </w:r>
            <w:r>
              <w:rPr>
                <w:noProof/>
                <w:webHidden/>
              </w:rPr>
              <w:instrText xml:space="preserve"> PAGEREF _Toc209694212 \h </w:instrText>
            </w:r>
            <w:r>
              <w:rPr>
                <w:noProof/>
                <w:webHidden/>
              </w:rPr>
            </w:r>
            <w:r>
              <w:rPr>
                <w:noProof/>
                <w:webHidden/>
              </w:rPr>
              <w:fldChar w:fldCharType="separate"/>
            </w:r>
            <w:r w:rsidR="0083629F">
              <w:rPr>
                <w:noProof/>
                <w:webHidden/>
              </w:rPr>
              <w:t>46</w:t>
            </w:r>
            <w:r>
              <w:rPr>
                <w:noProof/>
                <w:webHidden/>
              </w:rPr>
              <w:fldChar w:fldCharType="end"/>
            </w:r>
          </w:hyperlink>
        </w:p>
        <w:p w14:paraId="7EE5B901" w14:textId="6E0CC6E3"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213" w:history="1">
            <w:r w:rsidRPr="00660F4B">
              <w:rPr>
                <w:rStyle w:val="Hyperlink"/>
                <w:noProof/>
                <w:lang w:val="es-ES_tradnl"/>
              </w:rPr>
              <w:t>PUNTO 17 DEL ORDEN DEL DÍA CONSOLIDADO Tratado sobre el Derecho de Patentes (PLT)</w:t>
            </w:r>
            <w:r>
              <w:rPr>
                <w:noProof/>
                <w:webHidden/>
              </w:rPr>
              <w:tab/>
            </w:r>
            <w:r>
              <w:rPr>
                <w:noProof/>
                <w:webHidden/>
              </w:rPr>
              <w:fldChar w:fldCharType="begin"/>
            </w:r>
            <w:r>
              <w:rPr>
                <w:noProof/>
                <w:webHidden/>
              </w:rPr>
              <w:instrText xml:space="preserve"> PAGEREF _Toc209694213 \h </w:instrText>
            </w:r>
            <w:r>
              <w:rPr>
                <w:noProof/>
                <w:webHidden/>
              </w:rPr>
            </w:r>
            <w:r>
              <w:rPr>
                <w:noProof/>
                <w:webHidden/>
              </w:rPr>
              <w:fldChar w:fldCharType="separate"/>
            </w:r>
            <w:r w:rsidR="0083629F">
              <w:rPr>
                <w:noProof/>
                <w:webHidden/>
              </w:rPr>
              <w:t>46</w:t>
            </w:r>
            <w:r>
              <w:rPr>
                <w:noProof/>
                <w:webHidden/>
              </w:rPr>
              <w:fldChar w:fldCharType="end"/>
            </w:r>
          </w:hyperlink>
        </w:p>
        <w:p w14:paraId="4DF751AD" w14:textId="60853F20"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214" w:history="1">
            <w:r w:rsidRPr="00660F4B">
              <w:rPr>
                <w:rStyle w:val="Hyperlink"/>
                <w:noProof/>
                <w:lang w:val="es-ES_tradnl"/>
              </w:rPr>
              <w:t>PUNTO 18 DEL ORDEN DEL DÍA CONSOLIDADO Tratado de Singapur sobre el Derecho de Marcas (STLT)</w:t>
            </w:r>
            <w:r>
              <w:rPr>
                <w:noProof/>
                <w:webHidden/>
              </w:rPr>
              <w:tab/>
            </w:r>
            <w:r>
              <w:rPr>
                <w:noProof/>
                <w:webHidden/>
              </w:rPr>
              <w:fldChar w:fldCharType="begin"/>
            </w:r>
            <w:r>
              <w:rPr>
                <w:noProof/>
                <w:webHidden/>
              </w:rPr>
              <w:instrText xml:space="preserve"> PAGEREF _Toc209694214 \h </w:instrText>
            </w:r>
            <w:r>
              <w:rPr>
                <w:noProof/>
                <w:webHidden/>
              </w:rPr>
            </w:r>
            <w:r>
              <w:rPr>
                <w:noProof/>
                <w:webHidden/>
              </w:rPr>
              <w:fldChar w:fldCharType="separate"/>
            </w:r>
            <w:r w:rsidR="0083629F">
              <w:rPr>
                <w:noProof/>
                <w:webHidden/>
              </w:rPr>
              <w:t>46</w:t>
            </w:r>
            <w:r>
              <w:rPr>
                <w:noProof/>
                <w:webHidden/>
              </w:rPr>
              <w:fldChar w:fldCharType="end"/>
            </w:r>
          </w:hyperlink>
        </w:p>
        <w:p w14:paraId="24052C7F" w14:textId="0C9A601A"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215" w:history="1">
            <w:r w:rsidRPr="00660F4B">
              <w:rPr>
                <w:rStyle w:val="Hyperlink"/>
                <w:noProof/>
                <w:lang w:val="es-ES_tradnl"/>
              </w:rPr>
              <w:t>PUNTO 19 DEL ORDEN DEL DÍA CONSOLIDADO INFORME SOBRE EL RSULTADO DE LA CONFERENCIA DIPLOMÁTICA PARA LA CELEBRACIÓN Y ADOPCIÓN DE UN TRATADO SOBRE EL DERECHO DE LOS DISEÑOS (DLT)</w:t>
            </w:r>
            <w:r>
              <w:rPr>
                <w:noProof/>
                <w:webHidden/>
              </w:rPr>
              <w:tab/>
            </w:r>
            <w:r>
              <w:rPr>
                <w:noProof/>
                <w:webHidden/>
              </w:rPr>
              <w:fldChar w:fldCharType="begin"/>
            </w:r>
            <w:r>
              <w:rPr>
                <w:noProof/>
                <w:webHidden/>
              </w:rPr>
              <w:instrText xml:space="preserve"> PAGEREF _Toc209694215 \h </w:instrText>
            </w:r>
            <w:r>
              <w:rPr>
                <w:noProof/>
                <w:webHidden/>
              </w:rPr>
            </w:r>
            <w:r>
              <w:rPr>
                <w:noProof/>
                <w:webHidden/>
              </w:rPr>
              <w:fldChar w:fldCharType="separate"/>
            </w:r>
            <w:r w:rsidR="0083629F">
              <w:rPr>
                <w:noProof/>
                <w:webHidden/>
              </w:rPr>
              <w:t>46</w:t>
            </w:r>
            <w:r>
              <w:rPr>
                <w:noProof/>
                <w:webHidden/>
              </w:rPr>
              <w:fldChar w:fldCharType="end"/>
            </w:r>
          </w:hyperlink>
        </w:p>
        <w:p w14:paraId="7588C506" w14:textId="73085976" w:rsidR="00E01F06" w:rsidRDefault="00E01F06">
          <w:pPr>
            <w:pStyle w:val="TOC3"/>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9694216" w:history="1">
            <w:r w:rsidRPr="00660F4B">
              <w:rPr>
                <w:rStyle w:val="Hyperlink"/>
                <w:noProof/>
                <w:lang w:val="es-ES_tradnl"/>
              </w:rPr>
              <w:t>PUNTO 20 DEL ORDEN DEL DÍA CONSOLIDADO</w:t>
            </w:r>
            <w:r>
              <w:rPr>
                <w:noProof/>
                <w:webHidden/>
              </w:rPr>
              <w:tab/>
            </w:r>
            <w:r>
              <w:rPr>
                <w:noProof/>
                <w:webHidden/>
              </w:rPr>
              <w:fldChar w:fldCharType="begin"/>
            </w:r>
            <w:r>
              <w:rPr>
                <w:noProof/>
                <w:webHidden/>
              </w:rPr>
              <w:instrText xml:space="preserve"> PAGEREF _Toc209694216 \h </w:instrText>
            </w:r>
            <w:r>
              <w:rPr>
                <w:noProof/>
                <w:webHidden/>
              </w:rPr>
            </w:r>
            <w:r>
              <w:rPr>
                <w:noProof/>
                <w:webHidden/>
              </w:rPr>
              <w:fldChar w:fldCharType="separate"/>
            </w:r>
            <w:r w:rsidR="0083629F">
              <w:rPr>
                <w:noProof/>
                <w:webHidden/>
              </w:rPr>
              <w:t>47</w:t>
            </w:r>
            <w:r>
              <w:rPr>
                <w:noProof/>
                <w:webHidden/>
              </w:rPr>
              <w:fldChar w:fldCharType="end"/>
            </w:r>
          </w:hyperlink>
        </w:p>
        <w:p w14:paraId="1AFB5C8F" w14:textId="05E51E0C"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217" w:history="1">
            <w:r w:rsidRPr="00660F4B">
              <w:rPr>
                <w:rStyle w:val="Hyperlink"/>
                <w:noProof/>
                <w:lang w:val="es-ES_tradnl"/>
              </w:rPr>
              <w:t>PUNTO 21 DEL ORDEN DEL DÍA CONSOLIDADO INFORME SOBRE ASUNTOS RELATIVOS AL PERSONAL</w:t>
            </w:r>
            <w:r>
              <w:rPr>
                <w:noProof/>
                <w:webHidden/>
              </w:rPr>
              <w:tab/>
            </w:r>
            <w:r>
              <w:rPr>
                <w:noProof/>
                <w:webHidden/>
              </w:rPr>
              <w:fldChar w:fldCharType="begin"/>
            </w:r>
            <w:r>
              <w:rPr>
                <w:noProof/>
                <w:webHidden/>
              </w:rPr>
              <w:instrText xml:space="preserve"> PAGEREF _Toc209694217 \h </w:instrText>
            </w:r>
            <w:r>
              <w:rPr>
                <w:noProof/>
                <w:webHidden/>
              </w:rPr>
            </w:r>
            <w:r>
              <w:rPr>
                <w:noProof/>
                <w:webHidden/>
              </w:rPr>
              <w:fldChar w:fldCharType="separate"/>
            </w:r>
            <w:r w:rsidR="0083629F">
              <w:rPr>
                <w:noProof/>
                <w:webHidden/>
              </w:rPr>
              <w:t>60</w:t>
            </w:r>
            <w:r>
              <w:rPr>
                <w:noProof/>
                <w:webHidden/>
              </w:rPr>
              <w:fldChar w:fldCharType="end"/>
            </w:r>
          </w:hyperlink>
        </w:p>
        <w:p w14:paraId="381AAAA6" w14:textId="70ADE9A5"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218" w:history="1">
            <w:r w:rsidRPr="00660F4B">
              <w:rPr>
                <w:rStyle w:val="Hyperlink"/>
                <w:noProof/>
                <w:lang w:val="es-ES_tradnl"/>
              </w:rPr>
              <w:t>PUNTO 22 DEL ORDEN DEL DÍA CONSOLIDADO Renovación del mandato de la presidenta y el presidente adjunto de la Junta de Apelación de la OMPI</w:t>
            </w:r>
            <w:r>
              <w:rPr>
                <w:noProof/>
                <w:webHidden/>
              </w:rPr>
              <w:tab/>
            </w:r>
            <w:r>
              <w:rPr>
                <w:noProof/>
                <w:webHidden/>
              </w:rPr>
              <w:fldChar w:fldCharType="begin"/>
            </w:r>
            <w:r>
              <w:rPr>
                <w:noProof/>
                <w:webHidden/>
              </w:rPr>
              <w:instrText xml:space="preserve"> PAGEREF _Toc209694218 \h </w:instrText>
            </w:r>
            <w:r>
              <w:rPr>
                <w:noProof/>
                <w:webHidden/>
              </w:rPr>
            </w:r>
            <w:r>
              <w:rPr>
                <w:noProof/>
                <w:webHidden/>
              </w:rPr>
              <w:fldChar w:fldCharType="separate"/>
            </w:r>
            <w:r w:rsidR="0083629F">
              <w:rPr>
                <w:noProof/>
                <w:webHidden/>
              </w:rPr>
              <w:t>60</w:t>
            </w:r>
            <w:r>
              <w:rPr>
                <w:noProof/>
                <w:webHidden/>
              </w:rPr>
              <w:fldChar w:fldCharType="end"/>
            </w:r>
          </w:hyperlink>
        </w:p>
        <w:p w14:paraId="72116DD4" w14:textId="4C501685" w:rsidR="00E01F06" w:rsidRDefault="00E01F06">
          <w:pPr>
            <w:pStyle w:val="TOC2"/>
            <w:rPr>
              <w:rFonts w:asciiTheme="minorHAnsi" w:eastAsiaTheme="minorEastAsia" w:hAnsiTheme="minorHAnsi" w:cstheme="minorBidi"/>
              <w:noProof/>
              <w:kern w:val="2"/>
              <w:sz w:val="24"/>
              <w:szCs w:val="24"/>
              <w:lang w:eastAsia="en-US"/>
              <w14:ligatures w14:val="standardContextual"/>
            </w:rPr>
          </w:pPr>
          <w:hyperlink w:anchor="_Toc209694219" w:history="1">
            <w:r w:rsidRPr="00660F4B">
              <w:rPr>
                <w:rStyle w:val="Hyperlink"/>
                <w:noProof/>
                <w:lang w:val="es-ES_tradnl"/>
              </w:rPr>
              <w:t>PUNTO 23 DEL ORDEN DEL DÍA CONSOLIDADO APROBACIÓN DE LOS INFORMES</w:t>
            </w:r>
            <w:r>
              <w:rPr>
                <w:noProof/>
                <w:webHidden/>
              </w:rPr>
              <w:tab/>
            </w:r>
            <w:r>
              <w:rPr>
                <w:noProof/>
                <w:webHidden/>
              </w:rPr>
              <w:fldChar w:fldCharType="begin"/>
            </w:r>
            <w:r>
              <w:rPr>
                <w:noProof/>
                <w:webHidden/>
              </w:rPr>
              <w:instrText xml:space="preserve"> PAGEREF _Toc209694219 \h </w:instrText>
            </w:r>
            <w:r>
              <w:rPr>
                <w:noProof/>
                <w:webHidden/>
              </w:rPr>
            </w:r>
            <w:r>
              <w:rPr>
                <w:noProof/>
                <w:webHidden/>
              </w:rPr>
              <w:fldChar w:fldCharType="separate"/>
            </w:r>
            <w:r w:rsidR="0083629F">
              <w:rPr>
                <w:noProof/>
                <w:webHidden/>
              </w:rPr>
              <w:t>60</w:t>
            </w:r>
            <w:r>
              <w:rPr>
                <w:noProof/>
                <w:webHidden/>
              </w:rPr>
              <w:fldChar w:fldCharType="end"/>
            </w:r>
          </w:hyperlink>
        </w:p>
        <w:p w14:paraId="2FBE95E4" w14:textId="00B747D3" w:rsidR="00E01F06" w:rsidRDefault="00E01F06" w:rsidP="00E01F06">
          <w:pPr>
            <w:pStyle w:val="TOC2"/>
          </w:pPr>
          <w:hyperlink w:anchor="_Toc209694220" w:history="1">
            <w:r w:rsidRPr="00660F4B">
              <w:rPr>
                <w:rStyle w:val="Hyperlink"/>
                <w:noProof/>
                <w:lang w:val="es-ES_tradnl"/>
              </w:rPr>
              <w:t>PUNTO 24 DEL ORDEN DEL DÍA CONSOLIDADO CLAUSURA DE LA SERIE DE REUNIONES</w:t>
            </w:r>
            <w:r>
              <w:rPr>
                <w:noProof/>
                <w:webHidden/>
              </w:rPr>
              <w:tab/>
            </w:r>
            <w:r>
              <w:rPr>
                <w:noProof/>
                <w:webHidden/>
              </w:rPr>
              <w:fldChar w:fldCharType="begin"/>
            </w:r>
            <w:r>
              <w:rPr>
                <w:noProof/>
                <w:webHidden/>
              </w:rPr>
              <w:instrText xml:space="preserve"> PAGEREF _Toc209694220 \h </w:instrText>
            </w:r>
            <w:r>
              <w:rPr>
                <w:noProof/>
                <w:webHidden/>
              </w:rPr>
            </w:r>
            <w:r>
              <w:rPr>
                <w:noProof/>
                <w:webHidden/>
              </w:rPr>
              <w:fldChar w:fldCharType="separate"/>
            </w:r>
            <w:r w:rsidR="0083629F">
              <w:rPr>
                <w:noProof/>
                <w:webHidden/>
              </w:rPr>
              <w:t>60</w:t>
            </w:r>
            <w:r>
              <w:rPr>
                <w:noProof/>
                <w:webHidden/>
              </w:rPr>
              <w:fldChar w:fldCharType="end"/>
            </w:r>
          </w:hyperlink>
          <w:r>
            <w:rPr>
              <w:b/>
              <w:bCs/>
              <w:noProof/>
            </w:rPr>
            <w:fldChar w:fldCharType="end"/>
          </w:r>
        </w:p>
      </w:sdtContent>
    </w:sdt>
    <w:p w14:paraId="473007DE" w14:textId="77777777" w:rsidR="00E01F06" w:rsidRDefault="00E01F06">
      <w:pPr>
        <w:rPr>
          <w:bCs/>
          <w:iCs/>
          <w:caps/>
          <w:szCs w:val="22"/>
          <w:lang w:val="es-ES_tradnl"/>
        </w:rPr>
      </w:pPr>
      <w:r>
        <w:rPr>
          <w:szCs w:val="22"/>
          <w:lang w:val="es-ES_tradnl"/>
        </w:rPr>
        <w:br w:type="page"/>
      </w:r>
    </w:p>
    <w:p w14:paraId="0D4A6047" w14:textId="61EFCA48" w:rsidR="009B6AFA" w:rsidRPr="00426AC7" w:rsidRDefault="009B6AFA" w:rsidP="009B6AFA">
      <w:pPr>
        <w:pStyle w:val="Heading2"/>
        <w:rPr>
          <w:szCs w:val="22"/>
          <w:lang w:val="es-ES_tradnl"/>
        </w:rPr>
      </w:pPr>
      <w:bookmarkStart w:id="5" w:name="_Toc209694186"/>
      <w:r w:rsidRPr="00426AC7">
        <w:rPr>
          <w:szCs w:val="22"/>
          <w:lang w:val="es-ES_tradnl"/>
        </w:rPr>
        <w:lastRenderedPageBreak/>
        <w:t>INTRODUCCIÓN</w:t>
      </w:r>
      <w:bookmarkEnd w:id="5"/>
    </w:p>
    <w:p w14:paraId="71AABAE7" w14:textId="19B2C7FF" w:rsidR="00767062" w:rsidRPr="00426AC7" w:rsidRDefault="00767062" w:rsidP="00300323">
      <w:pPr>
        <w:pStyle w:val="ONUMFS"/>
        <w:rPr>
          <w:szCs w:val="22"/>
          <w:lang w:val="es-ES_tradnl"/>
        </w:rPr>
      </w:pPr>
      <w:r w:rsidRPr="00426AC7">
        <w:rPr>
          <w:szCs w:val="22"/>
          <w:lang w:val="es-ES_tradnl"/>
        </w:rPr>
        <w:t>En el presente informe general se da cuenta de las decisiones de las siguientes 22 Asambleas y demás órganos de los Estados miembros de la OMPI (las “Asambleas”):</w:t>
      </w:r>
    </w:p>
    <w:p w14:paraId="3DD12E66" w14:textId="77777777" w:rsidR="00767062" w:rsidRPr="00426AC7" w:rsidRDefault="00767062" w:rsidP="00767062">
      <w:pPr>
        <w:pStyle w:val="BodyText"/>
        <w:spacing w:after="0"/>
        <w:ind w:left="1170" w:hanging="603"/>
        <w:rPr>
          <w:szCs w:val="22"/>
          <w:lang w:val="es-ES_tradnl"/>
        </w:rPr>
      </w:pPr>
      <w:r w:rsidRPr="00426AC7">
        <w:rPr>
          <w:szCs w:val="22"/>
          <w:lang w:val="es-ES_tradnl"/>
        </w:rPr>
        <w:t>1)</w:t>
      </w:r>
      <w:r w:rsidRPr="00426AC7">
        <w:rPr>
          <w:szCs w:val="22"/>
          <w:lang w:val="es-ES_tradnl"/>
        </w:rPr>
        <w:tab/>
        <w:t>Asamblea General de la OMPI: Quincuagésimo octavo período de sesiones (</w:t>
      </w:r>
      <w:bookmarkStart w:id="6" w:name="_Hlk152583956"/>
      <w:r w:rsidRPr="00426AC7">
        <w:rPr>
          <w:szCs w:val="22"/>
          <w:lang w:val="es-ES_tradnl"/>
        </w:rPr>
        <w:t>27.º ordinario</w:t>
      </w:r>
      <w:bookmarkEnd w:id="6"/>
      <w:r w:rsidRPr="00426AC7">
        <w:rPr>
          <w:szCs w:val="22"/>
          <w:lang w:val="es-ES_tradnl"/>
        </w:rPr>
        <w:t>)</w:t>
      </w:r>
    </w:p>
    <w:p w14:paraId="1CEDC9E9" w14:textId="77777777" w:rsidR="00767062" w:rsidRPr="00426AC7" w:rsidRDefault="00767062" w:rsidP="00767062">
      <w:pPr>
        <w:pStyle w:val="BodyText"/>
        <w:spacing w:after="0"/>
        <w:ind w:left="1170" w:hanging="603"/>
        <w:rPr>
          <w:szCs w:val="22"/>
          <w:lang w:val="es-ES_tradnl"/>
        </w:rPr>
      </w:pPr>
      <w:r w:rsidRPr="00426AC7">
        <w:rPr>
          <w:szCs w:val="22"/>
          <w:lang w:val="es-ES_tradnl"/>
        </w:rPr>
        <w:t>2)</w:t>
      </w:r>
      <w:r w:rsidRPr="00426AC7">
        <w:rPr>
          <w:szCs w:val="22"/>
          <w:lang w:val="es-ES_tradnl"/>
        </w:rPr>
        <w:tab/>
        <w:t>Conferencia de la OMPI, cuadragésimo sexto período de sesiones (27.º ordinario)</w:t>
      </w:r>
    </w:p>
    <w:p w14:paraId="6967B4BA" w14:textId="77777777" w:rsidR="00767062" w:rsidRPr="00426AC7" w:rsidRDefault="00767062" w:rsidP="00767062">
      <w:pPr>
        <w:pStyle w:val="BodyText"/>
        <w:spacing w:after="0"/>
        <w:ind w:left="1170" w:hanging="603"/>
        <w:rPr>
          <w:szCs w:val="22"/>
          <w:lang w:val="es-ES_tradnl"/>
        </w:rPr>
      </w:pPr>
      <w:r w:rsidRPr="00426AC7">
        <w:rPr>
          <w:szCs w:val="22"/>
          <w:lang w:val="es-ES_tradnl"/>
        </w:rPr>
        <w:t>3)</w:t>
      </w:r>
      <w:r w:rsidRPr="00426AC7">
        <w:rPr>
          <w:szCs w:val="22"/>
          <w:lang w:val="es-ES_tradnl"/>
        </w:rPr>
        <w:tab/>
        <w:t>Comité de Coordinación de la OMPI, octogésima cuarta sesión (56.ª ordinaria)</w:t>
      </w:r>
    </w:p>
    <w:p w14:paraId="4A8D2F8B" w14:textId="77777777" w:rsidR="00767062" w:rsidRPr="00426AC7" w:rsidRDefault="00767062" w:rsidP="00767062">
      <w:pPr>
        <w:pStyle w:val="BodyText"/>
        <w:spacing w:after="0"/>
        <w:ind w:left="1170" w:hanging="603"/>
        <w:rPr>
          <w:szCs w:val="22"/>
          <w:lang w:val="es-ES_tradnl"/>
        </w:rPr>
      </w:pPr>
      <w:r w:rsidRPr="00426AC7">
        <w:rPr>
          <w:szCs w:val="22"/>
          <w:lang w:val="es-ES_tradnl"/>
        </w:rPr>
        <w:t>4)</w:t>
      </w:r>
      <w:r w:rsidRPr="00426AC7">
        <w:rPr>
          <w:szCs w:val="22"/>
          <w:lang w:val="es-ES_tradnl"/>
        </w:rPr>
        <w:tab/>
        <w:t>Asamblea de la Unión de París, sexagésimo primer período de sesiones (27.º ordinario)</w:t>
      </w:r>
    </w:p>
    <w:p w14:paraId="2565B785" w14:textId="77777777" w:rsidR="00767062" w:rsidRPr="00426AC7" w:rsidRDefault="00767062" w:rsidP="00767062">
      <w:pPr>
        <w:pStyle w:val="BodyText"/>
        <w:spacing w:after="0"/>
        <w:ind w:left="1170" w:hanging="603"/>
        <w:rPr>
          <w:szCs w:val="22"/>
          <w:lang w:val="es-ES_tradnl"/>
        </w:rPr>
      </w:pPr>
      <w:r w:rsidRPr="00426AC7">
        <w:rPr>
          <w:szCs w:val="22"/>
          <w:lang w:val="es-ES_tradnl"/>
        </w:rPr>
        <w:t>5)</w:t>
      </w:r>
      <w:r w:rsidRPr="00426AC7">
        <w:rPr>
          <w:szCs w:val="22"/>
          <w:lang w:val="es-ES_tradnl"/>
        </w:rPr>
        <w:tab/>
        <w:t>Comité Ejecutivo de la Unión de París, sexagésimo quinto período de sesiones (61.º ordinario)</w:t>
      </w:r>
    </w:p>
    <w:p w14:paraId="4A3E42DB" w14:textId="77777777" w:rsidR="00767062" w:rsidRPr="00426AC7" w:rsidRDefault="00767062" w:rsidP="00767062">
      <w:pPr>
        <w:pStyle w:val="BodyText"/>
        <w:spacing w:after="0"/>
        <w:ind w:left="1170" w:hanging="603"/>
        <w:rPr>
          <w:szCs w:val="22"/>
          <w:lang w:val="es-ES_tradnl"/>
        </w:rPr>
      </w:pPr>
      <w:r w:rsidRPr="00426AC7">
        <w:rPr>
          <w:szCs w:val="22"/>
          <w:lang w:val="es-ES_tradnl"/>
        </w:rPr>
        <w:t>6)</w:t>
      </w:r>
      <w:r w:rsidRPr="00426AC7">
        <w:rPr>
          <w:szCs w:val="22"/>
          <w:lang w:val="es-ES_tradnl"/>
        </w:rPr>
        <w:tab/>
        <w:t>Asamblea de la Unión de Berna, quincuagésimo quinto período de sesiones (27.º ordinario)</w:t>
      </w:r>
    </w:p>
    <w:p w14:paraId="5197A7B8" w14:textId="77777777" w:rsidR="00767062" w:rsidRPr="00426AC7" w:rsidRDefault="00767062" w:rsidP="00767062">
      <w:pPr>
        <w:pStyle w:val="BodyText"/>
        <w:spacing w:after="0"/>
        <w:ind w:left="1170" w:hanging="603"/>
        <w:rPr>
          <w:szCs w:val="22"/>
          <w:lang w:val="es-ES_tradnl"/>
        </w:rPr>
      </w:pPr>
      <w:r w:rsidRPr="00426AC7">
        <w:rPr>
          <w:szCs w:val="22"/>
          <w:lang w:val="es-ES_tradnl"/>
        </w:rPr>
        <w:t>7)</w:t>
      </w:r>
      <w:r w:rsidRPr="00426AC7">
        <w:rPr>
          <w:szCs w:val="22"/>
          <w:lang w:val="es-ES_tradnl"/>
        </w:rPr>
        <w:tab/>
        <w:t>Comité Ejecutivo de la Unión de Berna, septuagésimo primer período de sesiones (56.º ordinario)</w:t>
      </w:r>
    </w:p>
    <w:p w14:paraId="420A27B8" w14:textId="77777777" w:rsidR="00767062" w:rsidRPr="00426AC7" w:rsidRDefault="00767062" w:rsidP="00767062">
      <w:pPr>
        <w:pStyle w:val="BodyText"/>
        <w:spacing w:after="0"/>
        <w:ind w:left="1170" w:hanging="603"/>
        <w:rPr>
          <w:szCs w:val="22"/>
          <w:lang w:val="es-ES_tradnl"/>
        </w:rPr>
      </w:pPr>
      <w:r w:rsidRPr="00426AC7">
        <w:rPr>
          <w:szCs w:val="22"/>
          <w:lang w:val="es-ES_tradnl"/>
        </w:rPr>
        <w:t>8)</w:t>
      </w:r>
      <w:r w:rsidRPr="00426AC7">
        <w:rPr>
          <w:szCs w:val="22"/>
          <w:lang w:val="es-ES_tradnl"/>
        </w:rPr>
        <w:tab/>
        <w:t>Asamblea de la Unión de Madrid, quincuagésimo noveno período de sesiones (26.º ordinario)</w:t>
      </w:r>
    </w:p>
    <w:p w14:paraId="1AA28A93" w14:textId="77777777" w:rsidR="00767062" w:rsidRPr="00426AC7" w:rsidRDefault="00767062" w:rsidP="00767062">
      <w:pPr>
        <w:pStyle w:val="BodyText"/>
        <w:spacing w:after="0"/>
        <w:ind w:left="1170" w:hanging="603"/>
        <w:rPr>
          <w:szCs w:val="22"/>
          <w:lang w:val="es-ES_tradnl"/>
        </w:rPr>
      </w:pPr>
      <w:r w:rsidRPr="00426AC7">
        <w:rPr>
          <w:szCs w:val="22"/>
          <w:lang w:val="es-ES_tradnl"/>
        </w:rPr>
        <w:t>9)</w:t>
      </w:r>
      <w:r w:rsidRPr="00426AC7">
        <w:rPr>
          <w:szCs w:val="22"/>
          <w:lang w:val="es-ES_tradnl"/>
        </w:rPr>
        <w:tab/>
        <w:t>Asamblea de la Unión de La Haya, cuadragésimo quinto período de sesiones (25.º ordinario)</w:t>
      </w:r>
    </w:p>
    <w:p w14:paraId="68AADCE0" w14:textId="77777777" w:rsidR="00767062" w:rsidRPr="00426AC7" w:rsidRDefault="00767062" w:rsidP="00767062">
      <w:pPr>
        <w:pStyle w:val="BodyText"/>
        <w:spacing w:after="0"/>
        <w:ind w:left="1170" w:hanging="603"/>
        <w:rPr>
          <w:szCs w:val="22"/>
          <w:lang w:val="es-ES_tradnl"/>
        </w:rPr>
      </w:pPr>
      <w:r w:rsidRPr="00426AC7">
        <w:rPr>
          <w:szCs w:val="22"/>
          <w:lang w:val="es-ES_tradnl"/>
        </w:rPr>
        <w:t>10)</w:t>
      </w:r>
      <w:r w:rsidRPr="00426AC7">
        <w:rPr>
          <w:szCs w:val="22"/>
          <w:lang w:val="es-ES_tradnl"/>
        </w:rPr>
        <w:tab/>
        <w:t>Asamblea de la Unión de Niza, cuadragésimo quinto período de sesiones (27.º ordinario)</w:t>
      </w:r>
    </w:p>
    <w:p w14:paraId="7DE87568" w14:textId="77777777" w:rsidR="00767062" w:rsidRPr="00426AC7" w:rsidRDefault="00767062" w:rsidP="00767062">
      <w:pPr>
        <w:pStyle w:val="BodyText"/>
        <w:spacing w:after="0"/>
        <w:ind w:left="1170" w:hanging="603"/>
        <w:rPr>
          <w:szCs w:val="22"/>
          <w:lang w:val="es-ES_tradnl"/>
        </w:rPr>
      </w:pPr>
      <w:r w:rsidRPr="00426AC7">
        <w:rPr>
          <w:szCs w:val="22"/>
          <w:lang w:val="es-ES_tradnl"/>
        </w:rPr>
        <w:t>11)</w:t>
      </w:r>
      <w:r w:rsidRPr="00426AC7">
        <w:rPr>
          <w:szCs w:val="22"/>
          <w:lang w:val="es-ES_tradnl"/>
        </w:rPr>
        <w:tab/>
        <w:t>Asamblea de la Unión de Lisboa, cuadragésimo segundo período de sesiones (26.º ordinario)</w:t>
      </w:r>
    </w:p>
    <w:p w14:paraId="59ED1688" w14:textId="77777777" w:rsidR="00767062" w:rsidRPr="00426AC7" w:rsidRDefault="00767062" w:rsidP="00767062">
      <w:pPr>
        <w:pStyle w:val="BodyText"/>
        <w:spacing w:after="0"/>
        <w:ind w:left="1170" w:hanging="603"/>
        <w:rPr>
          <w:szCs w:val="22"/>
          <w:lang w:val="es-ES_tradnl"/>
        </w:rPr>
      </w:pPr>
      <w:r w:rsidRPr="00426AC7">
        <w:rPr>
          <w:szCs w:val="22"/>
          <w:lang w:val="es-ES_tradnl"/>
        </w:rPr>
        <w:t>12)</w:t>
      </w:r>
      <w:r w:rsidRPr="00426AC7">
        <w:rPr>
          <w:szCs w:val="22"/>
          <w:lang w:val="es-ES_tradnl"/>
        </w:rPr>
        <w:tab/>
        <w:t>Asamblea de la Unión de Locarno, cuadragésimo quinto período de sesiones (26.º ordinario)</w:t>
      </w:r>
    </w:p>
    <w:p w14:paraId="77865411" w14:textId="77777777" w:rsidR="00767062" w:rsidRPr="00426AC7" w:rsidRDefault="00767062" w:rsidP="00767062">
      <w:pPr>
        <w:pStyle w:val="BodyText"/>
        <w:spacing w:after="0"/>
        <w:ind w:left="1170" w:hanging="603"/>
        <w:rPr>
          <w:szCs w:val="22"/>
          <w:lang w:val="es-ES_tradnl"/>
        </w:rPr>
      </w:pPr>
      <w:r w:rsidRPr="00426AC7">
        <w:rPr>
          <w:szCs w:val="22"/>
          <w:lang w:val="es-ES_tradnl"/>
        </w:rPr>
        <w:t>13)</w:t>
      </w:r>
      <w:r w:rsidRPr="00426AC7">
        <w:rPr>
          <w:szCs w:val="22"/>
          <w:lang w:val="es-ES_tradnl"/>
        </w:rPr>
        <w:tab/>
        <w:t>Asamblea de la Unión de la CIP [Clasificación Internacional de Patentes], cuadragésimo sexto período de sesiones (25.º ordinario)</w:t>
      </w:r>
    </w:p>
    <w:p w14:paraId="77540942" w14:textId="0E3CDC33" w:rsidR="00767062" w:rsidRPr="00426AC7" w:rsidRDefault="00767062" w:rsidP="00767062">
      <w:pPr>
        <w:pStyle w:val="BodyText"/>
        <w:spacing w:after="0"/>
        <w:ind w:left="1170" w:hanging="603"/>
        <w:rPr>
          <w:szCs w:val="22"/>
          <w:lang w:val="es-ES_tradnl"/>
        </w:rPr>
      </w:pPr>
      <w:r w:rsidRPr="00426AC7">
        <w:rPr>
          <w:szCs w:val="22"/>
          <w:lang w:val="es-ES_tradnl"/>
        </w:rPr>
        <w:t>14)</w:t>
      </w:r>
      <w:r w:rsidRPr="00426AC7">
        <w:rPr>
          <w:szCs w:val="22"/>
          <w:lang w:val="es-ES_tradnl"/>
        </w:rPr>
        <w:tab/>
        <w:t>Asamblea de la Unión del PCT [Tratado de Cooperación en materia de Patentes], quincuagésimo séptimo período de sesiones (25.º ordinario)</w:t>
      </w:r>
    </w:p>
    <w:p w14:paraId="6DF41732" w14:textId="77777777" w:rsidR="00767062" w:rsidRPr="00426AC7" w:rsidRDefault="00767062" w:rsidP="00767062">
      <w:pPr>
        <w:pStyle w:val="BodyText"/>
        <w:spacing w:after="0"/>
        <w:ind w:left="1170" w:hanging="603"/>
        <w:rPr>
          <w:szCs w:val="22"/>
          <w:lang w:val="es-ES_tradnl"/>
        </w:rPr>
      </w:pPr>
      <w:r w:rsidRPr="00426AC7">
        <w:rPr>
          <w:szCs w:val="22"/>
          <w:lang w:val="es-ES_tradnl"/>
        </w:rPr>
        <w:t>15)</w:t>
      </w:r>
      <w:r w:rsidRPr="00426AC7">
        <w:rPr>
          <w:szCs w:val="22"/>
          <w:lang w:val="es-ES_tradnl"/>
        </w:rPr>
        <w:tab/>
        <w:t>Asamblea de la Unión de Budapest, cuadragésimo segundo período de sesiones (23.º ordinario)</w:t>
      </w:r>
    </w:p>
    <w:p w14:paraId="482ABA7F" w14:textId="77777777" w:rsidR="00767062" w:rsidRPr="00426AC7" w:rsidRDefault="00767062" w:rsidP="00767062">
      <w:pPr>
        <w:pStyle w:val="BodyText"/>
        <w:spacing w:after="0"/>
        <w:ind w:left="1170" w:hanging="603"/>
        <w:rPr>
          <w:szCs w:val="22"/>
          <w:lang w:val="es-ES_tradnl"/>
        </w:rPr>
      </w:pPr>
      <w:r w:rsidRPr="00426AC7">
        <w:rPr>
          <w:szCs w:val="22"/>
          <w:lang w:val="es-ES_tradnl"/>
        </w:rPr>
        <w:t>16)</w:t>
      </w:r>
      <w:r w:rsidRPr="00426AC7">
        <w:rPr>
          <w:szCs w:val="22"/>
          <w:lang w:val="es-ES_tradnl"/>
        </w:rPr>
        <w:tab/>
        <w:t>Asamblea de la Unión de Viena, trigésimo octavo período de sesiones (23.º ordinario)</w:t>
      </w:r>
    </w:p>
    <w:p w14:paraId="2A41722E" w14:textId="77777777" w:rsidR="00767062" w:rsidRPr="00426AC7" w:rsidRDefault="00767062" w:rsidP="00767062">
      <w:pPr>
        <w:pStyle w:val="BodyText"/>
        <w:spacing w:after="0"/>
        <w:ind w:left="1170" w:hanging="603"/>
        <w:rPr>
          <w:szCs w:val="22"/>
          <w:lang w:val="es-ES_tradnl"/>
        </w:rPr>
      </w:pPr>
      <w:r w:rsidRPr="00426AC7">
        <w:rPr>
          <w:szCs w:val="22"/>
          <w:lang w:val="es-ES_tradnl"/>
        </w:rPr>
        <w:t>17)</w:t>
      </w:r>
      <w:r w:rsidRPr="00426AC7">
        <w:rPr>
          <w:szCs w:val="22"/>
          <w:lang w:val="es-ES_tradnl"/>
        </w:rPr>
        <w:tab/>
        <w:t>Asamblea del WCT [Tratado de la OMPI sobre Derecho de Autor], vigésimo quinto período de sesiones (12.º extraordinario)</w:t>
      </w:r>
    </w:p>
    <w:p w14:paraId="2BC61299" w14:textId="77777777" w:rsidR="00767062" w:rsidRPr="00426AC7" w:rsidRDefault="00767062" w:rsidP="00767062">
      <w:pPr>
        <w:pStyle w:val="BodyText"/>
        <w:spacing w:after="0"/>
        <w:ind w:left="1170" w:hanging="603"/>
        <w:rPr>
          <w:szCs w:val="22"/>
          <w:lang w:val="es-ES_tradnl"/>
        </w:rPr>
      </w:pPr>
      <w:r w:rsidRPr="00426AC7">
        <w:rPr>
          <w:szCs w:val="22"/>
          <w:lang w:val="es-ES_tradnl"/>
        </w:rPr>
        <w:t>18)</w:t>
      </w:r>
      <w:r w:rsidRPr="00426AC7">
        <w:rPr>
          <w:szCs w:val="22"/>
          <w:lang w:val="es-ES_tradnl"/>
        </w:rPr>
        <w:tab/>
        <w:t>Asamblea del WPPT [Tratado de la OMPI sobre Interpretación o Ejecución y Fonogramas], vigésimo quinto período de sesiones (12.º ordinario)</w:t>
      </w:r>
    </w:p>
    <w:p w14:paraId="68C440C9" w14:textId="77777777" w:rsidR="00767062" w:rsidRPr="00426AC7" w:rsidRDefault="00767062" w:rsidP="00767062">
      <w:pPr>
        <w:pStyle w:val="BodyText"/>
        <w:spacing w:after="0"/>
        <w:ind w:left="1170" w:hanging="603"/>
        <w:rPr>
          <w:szCs w:val="22"/>
          <w:lang w:val="es-ES_tradnl"/>
        </w:rPr>
      </w:pPr>
      <w:r w:rsidRPr="00426AC7">
        <w:rPr>
          <w:szCs w:val="22"/>
          <w:lang w:val="es-ES_tradnl"/>
        </w:rPr>
        <w:t>19)</w:t>
      </w:r>
      <w:r w:rsidRPr="00426AC7">
        <w:rPr>
          <w:szCs w:val="22"/>
          <w:lang w:val="es-ES_tradnl"/>
        </w:rPr>
        <w:tab/>
        <w:t>Asamblea del PLT [Tratado sobre el Derecho de Patentes], vigésimo cuarto período de sesiones (11.º ordinario)</w:t>
      </w:r>
    </w:p>
    <w:p w14:paraId="4BF64A9E" w14:textId="77777777" w:rsidR="00767062" w:rsidRPr="00426AC7" w:rsidRDefault="00767062" w:rsidP="00767062">
      <w:pPr>
        <w:pStyle w:val="BodyText"/>
        <w:spacing w:after="0"/>
        <w:ind w:left="1170" w:hanging="603"/>
        <w:rPr>
          <w:szCs w:val="22"/>
          <w:lang w:val="es-ES_tradnl"/>
        </w:rPr>
      </w:pPr>
      <w:r w:rsidRPr="00426AC7">
        <w:rPr>
          <w:szCs w:val="22"/>
          <w:lang w:val="es-ES_tradnl"/>
        </w:rPr>
        <w:t>20)</w:t>
      </w:r>
      <w:r w:rsidRPr="00426AC7">
        <w:rPr>
          <w:szCs w:val="22"/>
          <w:lang w:val="es-ES_tradnl"/>
        </w:rPr>
        <w:tab/>
        <w:t>Asamblea del Tratado de Singapur [Tratado de Singapur sobre el Derecho de Marcas], decimoctavo período de sesiones (9.º ordinario)</w:t>
      </w:r>
    </w:p>
    <w:p w14:paraId="429962F2" w14:textId="77777777" w:rsidR="00767062" w:rsidRPr="00426AC7" w:rsidRDefault="00767062" w:rsidP="00767062">
      <w:pPr>
        <w:pStyle w:val="BodyText"/>
        <w:spacing w:after="0"/>
        <w:ind w:left="1170" w:hanging="608"/>
        <w:rPr>
          <w:szCs w:val="22"/>
          <w:lang w:val="es-ES_tradnl"/>
        </w:rPr>
      </w:pPr>
      <w:r w:rsidRPr="00426AC7">
        <w:rPr>
          <w:szCs w:val="22"/>
          <w:lang w:val="es-ES_tradnl"/>
        </w:rPr>
        <w:t>21)</w:t>
      </w:r>
      <w:r w:rsidRPr="00426AC7">
        <w:rPr>
          <w:szCs w:val="22"/>
          <w:lang w:val="es-ES_tradnl"/>
        </w:rPr>
        <w:tab/>
        <w:t xml:space="preserve">Asamblea del Tratado de Marrakech [Tratado de Marrakech para facilitar el acceso a las obras publicadas a las personas ciegas, con discapacidad visual o con otras dificultades para acceder al texto impreso], </w:t>
      </w:r>
      <w:bookmarkStart w:id="7" w:name="_Hlk202349173"/>
      <w:r w:rsidRPr="00426AC7">
        <w:rPr>
          <w:szCs w:val="22"/>
          <w:lang w:val="es-ES_tradnl"/>
        </w:rPr>
        <w:t>décimo período ordinario</w:t>
      </w:r>
      <w:bookmarkEnd w:id="7"/>
      <w:r w:rsidRPr="00426AC7">
        <w:rPr>
          <w:szCs w:val="22"/>
          <w:lang w:val="es-ES_tradnl"/>
        </w:rPr>
        <w:t xml:space="preserve"> de sesiones</w:t>
      </w:r>
    </w:p>
    <w:p w14:paraId="1175A5B3" w14:textId="77777777" w:rsidR="00767062" w:rsidRPr="00426AC7" w:rsidRDefault="00767062" w:rsidP="00767062">
      <w:pPr>
        <w:pStyle w:val="BodyText"/>
        <w:ind w:left="1170" w:hanging="603"/>
        <w:rPr>
          <w:szCs w:val="22"/>
          <w:lang w:val="es-ES_tradnl"/>
        </w:rPr>
      </w:pPr>
      <w:r w:rsidRPr="00426AC7">
        <w:rPr>
          <w:szCs w:val="22"/>
          <w:lang w:val="es-ES_tradnl"/>
        </w:rPr>
        <w:t>22)</w:t>
      </w:r>
      <w:r w:rsidRPr="00426AC7">
        <w:rPr>
          <w:szCs w:val="22"/>
          <w:lang w:val="es-ES_tradnl"/>
        </w:rPr>
        <w:tab/>
        <w:t>Asamblea del BTAP [Tratado de Beijing sobre Interpretaciones y Ejecuciones Audiovisuales], sexto período ordinario de sesiones</w:t>
      </w:r>
    </w:p>
    <w:p w14:paraId="696277F3" w14:textId="77777777" w:rsidR="00767062" w:rsidRPr="00426AC7" w:rsidRDefault="00767062" w:rsidP="003A76AB">
      <w:pPr>
        <w:pStyle w:val="ONUMFS"/>
        <w:numPr>
          <w:ilvl w:val="0"/>
          <w:numId w:val="0"/>
        </w:numPr>
        <w:rPr>
          <w:szCs w:val="22"/>
          <w:lang w:val="es-ES_tradnl"/>
        </w:rPr>
      </w:pPr>
      <w:r w:rsidRPr="00426AC7">
        <w:rPr>
          <w:szCs w:val="22"/>
          <w:lang w:val="es-ES_tradnl"/>
        </w:rPr>
        <w:t>que se reunieron en Ginebra del 8 al 17 de julio de 2025, donde tuvieron lugar las deliberaciones y se tomaron las decisiones en reuniones conjuntas de dos o más de dichas Asambleas y otros órganos convocados (en adelante, “reuniones conjuntas” y “Asambleas de los Estados miembros”, respectivamente).</w:t>
      </w:r>
    </w:p>
    <w:p w14:paraId="01A0A0C3" w14:textId="6B5C8A57" w:rsidR="00767062" w:rsidRPr="00426AC7" w:rsidRDefault="00767062" w:rsidP="00300323">
      <w:pPr>
        <w:pStyle w:val="ONUMFS"/>
        <w:rPr>
          <w:szCs w:val="22"/>
          <w:lang w:val="es-ES_tradnl"/>
        </w:rPr>
      </w:pPr>
      <w:r w:rsidRPr="00426AC7">
        <w:rPr>
          <w:szCs w:val="22"/>
          <w:lang w:val="es-ES_tradnl"/>
        </w:rPr>
        <w:t>Además de este informe general, se han elaborado otros informe</w:t>
      </w:r>
      <w:r w:rsidR="00C06C15" w:rsidRPr="00426AC7">
        <w:rPr>
          <w:szCs w:val="22"/>
          <w:lang w:val="es-ES_tradnl"/>
        </w:rPr>
        <w:t>s</w:t>
      </w:r>
      <w:r w:rsidRPr="00426AC7">
        <w:rPr>
          <w:szCs w:val="22"/>
          <w:lang w:val="es-ES_tradnl"/>
        </w:rPr>
        <w:t xml:space="preserve"> sobre los períodos de sesiones de la Asamblea General de la OMPI (WO/GA/5</w:t>
      </w:r>
      <w:r w:rsidR="00411190" w:rsidRPr="00426AC7">
        <w:rPr>
          <w:szCs w:val="22"/>
          <w:lang w:val="es-ES_tradnl"/>
        </w:rPr>
        <w:t>8</w:t>
      </w:r>
      <w:r w:rsidRPr="00426AC7">
        <w:rPr>
          <w:szCs w:val="22"/>
          <w:lang w:val="es-ES_tradnl"/>
        </w:rPr>
        <w:t xml:space="preserve">/14), el Comité de Coordinación de la </w:t>
      </w:r>
      <w:r w:rsidRPr="00426AC7">
        <w:rPr>
          <w:szCs w:val="22"/>
          <w:lang w:val="es-ES_tradnl"/>
        </w:rPr>
        <w:lastRenderedPageBreak/>
        <w:t>OMPI (WO/CC/84/2), la Asamblea de la Unión de Madrid (MM/A/59/3), la Asamblea de la Unión de La Haya (H/A/45/2), la Asamblea de la Unión de Lisboa (</w:t>
      </w:r>
      <w:r w:rsidR="00700456" w:rsidRPr="00426AC7">
        <w:rPr>
          <w:szCs w:val="22"/>
          <w:lang w:val="es-ES_tradnl"/>
        </w:rPr>
        <w:t>LI/A/42/3</w:t>
      </w:r>
      <w:r w:rsidRPr="00426AC7">
        <w:rPr>
          <w:szCs w:val="22"/>
          <w:lang w:val="es-ES_tradnl"/>
        </w:rPr>
        <w:t>) y la Asamblea del Tratado de Singapur (STLT/A/18/</w:t>
      </w:r>
      <w:r w:rsidR="00700456" w:rsidRPr="00426AC7">
        <w:rPr>
          <w:szCs w:val="22"/>
          <w:lang w:val="es-ES_tradnl"/>
        </w:rPr>
        <w:t>1</w:t>
      </w:r>
      <w:r w:rsidRPr="00426AC7">
        <w:rPr>
          <w:szCs w:val="22"/>
          <w:lang w:val="es-ES_tradnl"/>
        </w:rPr>
        <w:t>). También se han elaborado informes consolidados de los períodos de sesiones de los demás órganos, como se indica a continuación: Conferencia de la OMPI (WO/CF/46/1), Asamblea de la Unión de París (P/A/61/1), Comité Ejecutivo de la Unión de París (P/EC/65/1), Asamblea de la Unión de Berna (B/A/55/1), Comité Ejecutivo de la Unión de Berna (B/EC/71/1), Asamblea de la Unión de Niza (N/A/45/1), Asamblea de la Unión de Locarno (LO/A/45/1), Asamblea de la Unión de la CIP (IPC/A/46/1), Asamblea de la Unión de</w:t>
      </w:r>
      <w:r w:rsidR="00700456" w:rsidRPr="00426AC7">
        <w:rPr>
          <w:szCs w:val="22"/>
          <w:lang w:val="es-ES_tradnl"/>
        </w:rPr>
        <w:t>l PCT</w:t>
      </w:r>
      <w:r w:rsidRPr="00426AC7">
        <w:rPr>
          <w:szCs w:val="22"/>
          <w:lang w:val="es-ES_tradnl"/>
        </w:rPr>
        <w:t xml:space="preserve"> (PCT/A/57/1), </w:t>
      </w:r>
      <w:r w:rsidR="00700456" w:rsidRPr="00426AC7">
        <w:rPr>
          <w:szCs w:val="22"/>
          <w:lang w:val="es-ES_tradnl"/>
        </w:rPr>
        <w:t xml:space="preserve">Asamblea de la Unión de Budapest (B/P/A/42/1), </w:t>
      </w:r>
      <w:r w:rsidRPr="00426AC7">
        <w:rPr>
          <w:szCs w:val="22"/>
          <w:lang w:val="es-ES_tradnl"/>
        </w:rPr>
        <w:t xml:space="preserve">Asamblea de la Unión de Viena </w:t>
      </w:r>
      <w:r w:rsidR="00700456" w:rsidRPr="00426AC7">
        <w:rPr>
          <w:szCs w:val="22"/>
          <w:lang w:val="es-ES_tradnl"/>
        </w:rPr>
        <w:t xml:space="preserve">(VA/A/23/1), </w:t>
      </w:r>
      <w:r w:rsidRPr="00426AC7">
        <w:rPr>
          <w:szCs w:val="22"/>
          <w:lang w:val="es-ES_tradnl"/>
        </w:rPr>
        <w:t xml:space="preserve">Asamblea del Tratado de la OMPI sobre Derecho de Autor </w:t>
      </w:r>
      <w:r w:rsidR="00700456" w:rsidRPr="00426AC7">
        <w:rPr>
          <w:szCs w:val="22"/>
          <w:lang w:val="es-ES_tradnl"/>
        </w:rPr>
        <w:t xml:space="preserve">(WCT/A/23/1), </w:t>
      </w:r>
      <w:r w:rsidRPr="00426AC7">
        <w:rPr>
          <w:szCs w:val="22"/>
          <w:lang w:val="es-ES_tradnl"/>
        </w:rPr>
        <w:t>Asamblea del Tratado de la OMPI sobre Interpretación o Ejecución y Fonogramas</w:t>
      </w:r>
      <w:r w:rsidR="00700456" w:rsidRPr="00426AC7">
        <w:rPr>
          <w:szCs w:val="22"/>
          <w:lang w:val="es-ES_tradnl"/>
        </w:rPr>
        <w:t xml:space="preserve"> (WPPT/A/25/ ),</w:t>
      </w:r>
      <w:r w:rsidRPr="00426AC7">
        <w:rPr>
          <w:szCs w:val="22"/>
          <w:lang w:val="es-ES_tradnl"/>
        </w:rPr>
        <w:t xml:space="preserve"> Asamblea del Tratado sobre el Derecho de Patentes</w:t>
      </w:r>
      <w:r w:rsidR="00700456" w:rsidRPr="00426AC7">
        <w:rPr>
          <w:szCs w:val="22"/>
          <w:lang w:val="es-ES_tradnl"/>
        </w:rPr>
        <w:t xml:space="preserve"> (PLT/A/241), </w:t>
      </w:r>
      <w:r w:rsidRPr="00426AC7">
        <w:rPr>
          <w:szCs w:val="22"/>
          <w:lang w:val="es-ES_tradnl"/>
        </w:rPr>
        <w:t>Asamblea del Tratado de Marrakech (MVT/A/10/1) y Asamblea del Tratado de Beijing (BTAP/A/6/1).</w:t>
      </w:r>
    </w:p>
    <w:p w14:paraId="0A441982" w14:textId="659DF8B0" w:rsidR="00767062" w:rsidRPr="00426AC7" w:rsidRDefault="00767062" w:rsidP="00300323">
      <w:pPr>
        <w:pStyle w:val="ONUMFS"/>
        <w:rPr>
          <w:szCs w:val="22"/>
          <w:lang w:val="es-ES_tradnl"/>
        </w:rPr>
      </w:pPr>
      <w:r w:rsidRPr="00426AC7">
        <w:rPr>
          <w:szCs w:val="22"/>
          <w:lang w:val="es-ES_tradnl"/>
        </w:rPr>
        <w:t xml:space="preserve">En el documento </w:t>
      </w:r>
      <w:hyperlink r:id="rId9" w:history="1">
        <w:r w:rsidRPr="00426AC7">
          <w:rPr>
            <w:rStyle w:val="Hyperlink"/>
            <w:szCs w:val="22"/>
            <w:lang w:val="es-ES_tradnl"/>
          </w:rPr>
          <w:t>A/66/INF/1 Rev.</w:t>
        </w:r>
      </w:hyperlink>
      <w:r w:rsidRPr="00426AC7">
        <w:rPr>
          <w:szCs w:val="22"/>
          <w:lang w:val="es-ES_tradnl"/>
        </w:rPr>
        <w:t xml:space="preserve"> figura la lista de los miembros de las Asambleas, así como de los observadores acreditados ante ellas, compilada al 4 de julio de 2025.</w:t>
      </w:r>
    </w:p>
    <w:p w14:paraId="71933A56" w14:textId="3D99AE80" w:rsidR="00767062" w:rsidRPr="00426AC7" w:rsidRDefault="00767062" w:rsidP="00300323">
      <w:pPr>
        <w:pStyle w:val="ONUMFS"/>
        <w:rPr>
          <w:szCs w:val="22"/>
          <w:lang w:val="es-ES_tradnl"/>
        </w:rPr>
      </w:pPr>
      <w:r w:rsidRPr="00426AC7">
        <w:rPr>
          <w:szCs w:val="22"/>
          <w:lang w:val="es-ES_tradnl"/>
        </w:rPr>
        <w:t xml:space="preserve">Las reuniones en las que se abordaron los siguientes puntos del orden del día (documento </w:t>
      </w:r>
      <w:hyperlink r:id="rId10" w:history="1">
        <w:r w:rsidRPr="00426AC7">
          <w:rPr>
            <w:rStyle w:val="Hyperlink"/>
            <w:szCs w:val="22"/>
            <w:lang w:val="es-ES_tradnl"/>
          </w:rPr>
          <w:t>A/66/1</w:t>
        </w:r>
      </w:hyperlink>
      <w:r w:rsidRPr="00426AC7">
        <w:rPr>
          <w:szCs w:val="22"/>
          <w:lang w:val="es-ES_tradnl"/>
        </w:rPr>
        <w:t>) estuvieron presididas por las siguientes personas: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767062" w:rsidRPr="00426AC7" w14:paraId="5B47D2CB" w14:textId="77777777" w:rsidTr="62D966B3">
        <w:trPr>
          <w:tblHeader/>
        </w:trPr>
        <w:tc>
          <w:tcPr>
            <w:tcW w:w="3906" w:type="dxa"/>
          </w:tcPr>
          <w:p w14:paraId="3831DDBB" w14:textId="55D79007" w:rsidR="00767062" w:rsidRPr="00426AC7" w:rsidRDefault="00767062" w:rsidP="00062A90">
            <w:pPr>
              <w:rPr>
                <w:szCs w:val="22"/>
                <w:lang w:val="es-ES_tradnl"/>
              </w:rPr>
            </w:pPr>
            <w:r w:rsidRPr="00426AC7">
              <w:rPr>
                <w:szCs w:val="22"/>
                <w:lang w:val="es-ES_tradnl"/>
              </w:rPr>
              <w:t>Puntos 1</w:t>
            </w:r>
            <w:r w:rsidR="00411190" w:rsidRPr="00426AC7">
              <w:rPr>
                <w:szCs w:val="22"/>
                <w:lang w:val="es-ES_tradnl"/>
              </w:rPr>
              <w:t xml:space="preserve"> a </w:t>
            </w:r>
            <w:r w:rsidRPr="00426AC7">
              <w:rPr>
                <w:szCs w:val="22"/>
                <w:lang w:val="es-ES_tradnl"/>
              </w:rPr>
              <w:t>7, 9</w:t>
            </w:r>
            <w:r w:rsidR="00411190" w:rsidRPr="00426AC7">
              <w:rPr>
                <w:szCs w:val="22"/>
                <w:lang w:val="es-ES_tradnl"/>
              </w:rPr>
              <w:t xml:space="preserve"> a</w:t>
            </w:r>
            <w:r w:rsidRPr="00426AC7">
              <w:rPr>
                <w:szCs w:val="22"/>
                <w:lang w:val="es-ES_tradnl"/>
              </w:rPr>
              <w:t xml:space="preserve"> 12, 16, 17, 19, 20, 23 y 24</w:t>
            </w:r>
          </w:p>
        </w:tc>
        <w:tc>
          <w:tcPr>
            <w:tcW w:w="4645" w:type="dxa"/>
          </w:tcPr>
          <w:p w14:paraId="6C142121" w14:textId="77777777" w:rsidR="00767062" w:rsidRPr="00426AC7" w:rsidRDefault="00767062" w:rsidP="62D966B3">
            <w:pPr>
              <w:spacing w:after="220"/>
              <w:rPr>
                <w:lang w:val="es-ES_tradnl"/>
              </w:rPr>
            </w:pPr>
            <w:r w:rsidRPr="00426AC7">
              <w:rPr>
                <w:lang w:val="es-ES_tradnl"/>
              </w:rPr>
              <w:t xml:space="preserve">Embajador </w:t>
            </w:r>
            <w:bookmarkStart w:id="8" w:name="_Hlk167874522"/>
            <w:r w:rsidRPr="00426AC7">
              <w:rPr>
                <w:lang w:val="es-ES_tradnl"/>
              </w:rPr>
              <w:t>Alfredo Suescum</w:t>
            </w:r>
            <w:bookmarkEnd w:id="8"/>
            <w:r w:rsidRPr="00426AC7">
              <w:rPr>
                <w:lang w:val="es-ES_tradnl"/>
              </w:rPr>
              <w:t xml:space="preserve"> (Sr.) (Panamá), presidente de la Asamblea General de la OMPI</w:t>
            </w:r>
          </w:p>
        </w:tc>
      </w:tr>
      <w:tr w:rsidR="00767062" w:rsidRPr="00426AC7" w14:paraId="60DB72DB" w14:textId="77777777" w:rsidTr="62D966B3">
        <w:tc>
          <w:tcPr>
            <w:tcW w:w="3906" w:type="dxa"/>
          </w:tcPr>
          <w:p w14:paraId="6D6E8D7C" w14:textId="77777777" w:rsidR="00767062" w:rsidRPr="00426AC7" w:rsidRDefault="00767062" w:rsidP="00062A90">
            <w:pPr>
              <w:rPr>
                <w:szCs w:val="22"/>
                <w:lang w:val="es-ES_tradnl"/>
              </w:rPr>
            </w:pPr>
            <w:r w:rsidRPr="00426AC7">
              <w:rPr>
                <w:szCs w:val="22"/>
                <w:lang w:val="es-ES_tradnl"/>
              </w:rPr>
              <w:t>Puntos 21 y 22</w:t>
            </w:r>
          </w:p>
        </w:tc>
        <w:tc>
          <w:tcPr>
            <w:tcW w:w="4645" w:type="dxa"/>
          </w:tcPr>
          <w:p w14:paraId="4536C2C9" w14:textId="127C601C" w:rsidR="00767062" w:rsidRPr="00426AC7" w:rsidRDefault="00767062" w:rsidP="62D966B3">
            <w:pPr>
              <w:spacing w:after="220"/>
              <w:rPr>
                <w:lang w:val="es-ES_tradnl"/>
              </w:rPr>
            </w:pPr>
            <w:r w:rsidRPr="00426AC7">
              <w:rPr>
                <w:lang w:val="es-ES_tradnl"/>
              </w:rPr>
              <w:t xml:space="preserve">Karan Thapar (Sr.) (India), </w:t>
            </w:r>
            <w:r w:rsidR="00411190" w:rsidRPr="00426AC7">
              <w:rPr>
                <w:lang w:val="es-ES_tradnl"/>
              </w:rPr>
              <w:t>vice</w:t>
            </w:r>
            <w:r w:rsidRPr="00426AC7">
              <w:rPr>
                <w:lang w:val="es-ES_tradnl"/>
              </w:rPr>
              <w:t>president</w:t>
            </w:r>
            <w:r w:rsidR="00411190" w:rsidRPr="00426AC7">
              <w:rPr>
                <w:lang w:val="es-ES_tradnl"/>
              </w:rPr>
              <w:t>e</w:t>
            </w:r>
            <w:r w:rsidRPr="00426AC7">
              <w:rPr>
                <w:lang w:val="es-ES_tradnl"/>
              </w:rPr>
              <w:t xml:space="preserve"> del Comité de Coordinación de la OMPI </w:t>
            </w:r>
          </w:p>
        </w:tc>
      </w:tr>
    </w:tbl>
    <w:tbl>
      <w:tblPr>
        <w:tblW w:w="0" w:type="auto"/>
        <w:tblInd w:w="738" w:type="dxa"/>
        <w:tblLook w:val="04A0" w:firstRow="1" w:lastRow="0" w:firstColumn="1" w:lastColumn="0" w:noHBand="0" w:noVBand="1"/>
        <w:tblCaption w:val="Items presided by Chairs"/>
        <w:tblDescription w:val="Items presided by Chairs"/>
      </w:tblPr>
      <w:tblGrid>
        <w:gridCol w:w="3906"/>
        <w:gridCol w:w="4646"/>
      </w:tblGrid>
      <w:tr w:rsidR="00767062" w:rsidRPr="00426AC7" w14:paraId="278659E6" w14:textId="77777777" w:rsidTr="62D966B3">
        <w:tc>
          <w:tcPr>
            <w:tcW w:w="3906" w:type="dxa"/>
          </w:tcPr>
          <w:p w14:paraId="5DD23398" w14:textId="77777777" w:rsidR="00767062" w:rsidRPr="00426AC7" w:rsidRDefault="00767062" w:rsidP="00062A90">
            <w:pPr>
              <w:rPr>
                <w:szCs w:val="22"/>
                <w:lang w:val="es-ES_tradnl"/>
              </w:rPr>
            </w:pPr>
            <w:r w:rsidRPr="00426AC7">
              <w:rPr>
                <w:szCs w:val="22"/>
                <w:lang w:val="es-ES_tradnl"/>
              </w:rPr>
              <w:t>Punto 8</w:t>
            </w:r>
          </w:p>
        </w:tc>
        <w:tc>
          <w:tcPr>
            <w:tcW w:w="4646" w:type="dxa"/>
          </w:tcPr>
          <w:p w14:paraId="6412279B" w14:textId="77777777" w:rsidR="00767062" w:rsidRPr="00426AC7" w:rsidRDefault="00767062" w:rsidP="62D966B3">
            <w:pPr>
              <w:spacing w:after="220"/>
              <w:rPr>
                <w:lang w:val="es-ES_tradnl"/>
              </w:rPr>
            </w:pPr>
            <w:r w:rsidRPr="00426AC7">
              <w:rPr>
                <w:lang w:val="es-ES_tradnl"/>
              </w:rPr>
              <w:t>Abdulaziz Alswailem (Sr.) (Arabia Saudita), presidente de la Conferencia del WIPO, Ainna Vilengi Kaundu (Sra.) (Namibia), vicepresidenta de la Conferencia del WIPO</w:t>
            </w:r>
          </w:p>
        </w:tc>
      </w:tr>
    </w:tbl>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767062" w:rsidRPr="00426AC7" w14:paraId="6ADFFFBA" w14:textId="77777777" w:rsidTr="62D966B3">
        <w:tc>
          <w:tcPr>
            <w:tcW w:w="3906" w:type="dxa"/>
          </w:tcPr>
          <w:p w14:paraId="6833984E" w14:textId="77777777" w:rsidR="00767062" w:rsidRPr="00426AC7" w:rsidRDefault="00767062" w:rsidP="00062A90">
            <w:pPr>
              <w:rPr>
                <w:szCs w:val="22"/>
                <w:lang w:val="es-ES_tradnl"/>
              </w:rPr>
            </w:pPr>
            <w:r w:rsidRPr="00426AC7">
              <w:rPr>
                <w:szCs w:val="22"/>
                <w:lang w:val="es-ES_tradnl"/>
              </w:rPr>
              <w:t>Punto 13</w:t>
            </w:r>
          </w:p>
        </w:tc>
        <w:tc>
          <w:tcPr>
            <w:tcW w:w="4645" w:type="dxa"/>
          </w:tcPr>
          <w:p w14:paraId="1E66DAAE" w14:textId="487FD9A2" w:rsidR="00767062" w:rsidRPr="00426AC7" w:rsidRDefault="00767062" w:rsidP="62D966B3">
            <w:pPr>
              <w:spacing w:after="220"/>
              <w:rPr>
                <w:lang w:val="es-ES_tradnl"/>
              </w:rPr>
            </w:pPr>
            <w:r w:rsidRPr="00426AC7">
              <w:rPr>
                <w:lang w:val="es-ES_tradnl"/>
              </w:rPr>
              <w:t>Jérémie Fénichel (Sr.) (Francia), vicepresidente de la Asamblea de la Unión de Madrid, en ausencia de Loreto Bresky (Sra.) (Chile), presidenta de la Asamblea de la Unión de Madrid</w:t>
            </w:r>
          </w:p>
        </w:tc>
      </w:tr>
      <w:tr w:rsidR="00767062" w:rsidRPr="00426AC7" w14:paraId="55EC0A19" w14:textId="77777777" w:rsidTr="62D966B3">
        <w:tc>
          <w:tcPr>
            <w:tcW w:w="3906" w:type="dxa"/>
          </w:tcPr>
          <w:p w14:paraId="2E627D74" w14:textId="77777777" w:rsidR="00767062" w:rsidRPr="00426AC7" w:rsidRDefault="00767062" w:rsidP="00062A90">
            <w:pPr>
              <w:rPr>
                <w:szCs w:val="22"/>
                <w:lang w:val="es-ES_tradnl"/>
              </w:rPr>
            </w:pPr>
            <w:r w:rsidRPr="00426AC7">
              <w:rPr>
                <w:szCs w:val="22"/>
                <w:lang w:val="es-ES_tradnl"/>
              </w:rPr>
              <w:t>Punto 14</w:t>
            </w:r>
          </w:p>
        </w:tc>
        <w:tc>
          <w:tcPr>
            <w:tcW w:w="4645" w:type="dxa"/>
          </w:tcPr>
          <w:p w14:paraId="1373A0C9" w14:textId="77777777" w:rsidR="00767062" w:rsidRPr="00426AC7" w:rsidRDefault="00767062" w:rsidP="62D966B3">
            <w:pPr>
              <w:spacing w:after="220"/>
              <w:rPr>
                <w:lang w:val="es-ES_tradnl"/>
              </w:rPr>
            </w:pPr>
            <w:r w:rsidRPr="00426AC7">
              <w:rPr>
                <w:color w:val="000000" w:themeColor="text1"/>
                <w:lang w:val="es-ES_tradnl"/>
              </w:rPr>
              <w:t>Pascal Faure</w:t>
            </w:r>
            <w:r w:rsidRPr="00426AC7">
              <w:rPr>
                <w:lang w:val="es-ES_tradnl"/>
              </w:rPr>
              <w:t>(Sr.) (Francia), presidente de la Asamblea de la Unión de La Haya</w:t>
            </w:r>
          </w:p>
        </w:tc>
      </w:tr>
      <w:tr w:rsidR="00767062" w:rsidRPr="00426AC7" w14:paraId="3ACFDFF4" w14:textId="77777777" w:rsidTr="62D966B3">
        <w:tc>
          <w:tcPr>
            <w:tcW w:w="3906" w:type="dxa"/>
          </w:tcPr>
          <w:p w14:paraId="5B4C3B12" w14:textId="77777777" w:rsidR="00767062" w:rsidRPr="00426AC7" w:rsidRDefault="00767062" w:rsidP="00062A90">
            <w:pPr>
              <w:rPr>
                <w:szCs w:val="22"/>
                <w:lang w:val="es-ES_tradnl"/>
              </w:rPr>
            </w:pPr>
            <w:r w:rsidRPr="00426AC7">
              <w:rPr>
                <w:szCs w:val="22"/>
                <w:lang w:val="es-ES_tradnl"/>
              </w:rPr>
              <w:t>Punto 15</w:t>
            </w:r>
          </w:p>
        </w:tc>
        <w:tc>
          <w:tcPr>
            <w:tcW w:w="4645" w:type="dxa"/>
          </w:tcPr>
          <w:p w14:paraId="16830127" w14:textId="6BCD087A" w:rsidR="00767062" w:rsidRPr="00426AC7" w:rsidRDefault="00767062" w:rsidP="62D966B3">
            <w:pPr>
              <w:spacing w:after="220"/>
              <w:rPr>
                <w:lang w:val="es-ES_tradnl"/>
              </w:rPr>
            </w:pPr>
            <w:bookmarkStart w:id="9" w:name="_Hlk202463906"/>
            <w:r w:rsidRPr="00426AC7">
              <w:rPr>
                <w:lang w:val="es-ES_tradnl"/>
              </w:rPr>
              <w:t xml:space="preserve">Grace Issahaque (Ghana) (Sra.), vicepresidenta de la Asamblea de la Unión de Lisboa, en ausencia de Matúš Medvec (Sr.) (Eslovaquia), presidente de la Asamblea de la Unión de Lisboa </w:t>
            </w:r>
            <w:bookmarkEnd w:id="9"/>
          </w:p>
        </w:tc>
      </w:tr>
      <w:tr w:rsidR="00767062" w:rsidRPr="00426AC7" w14:paraId="6768574D" w14:textId="77777777" w:rsidTr="62D966B3">
        <w:tc>
          <w:tcPr>
            <w:tcW w:w="3906" w:type="dxa"/>
          </w:tcPr>
          <w:p w14:paraId="53CF629D" w14:textId="77777777" w:rsidR="00767062" w:rsidRPr="00426AC7" w:rsidRDefault="00767062" w:rsidP="00062A90">
            <w:pPr>
              <w:rPr>
                <w:szCs w:val="22"/>
                <w:lang w:val="es-ES_tradnl"/>
              </w:rPr>
            </w:pPr>
            <w:r w:rsidRPr="00426AC7">
              <w:rPr>
                <w:szCs w:val="22"/>
                <w:lang w:val="es-ES_tradnl"/>
              </w:rPr>
              <w:t>Punto 18</w:t>
            </w:r>
          </w:p>
        </w:tc>
        <w:tc>
          <w:tcPr>
            <w:tcW w:w="4645" w:type="dxa"/>
          </w:tcPr>
          <w:p w14:paraId="56070C1B" w14:textId="77777777" w:rsidR="00767062" w:rsidRPr="00426AC7" w:rsidDel="00937ED1" w:rsidRDefault="00767062" w:rsidP="62D966B3">
            <w:pPr>
              <w:spacing w:after="220"/>
              <w:rPr>
                <w:lang w:val="es-ES_tradnl"/>
              </w:rPr>
            </w:pPr>
            <w:r w:rsidRPr="00426AC7">
              <w:rPr>
                <w:lang w:val="es-ES_tradnl"/>
              </w:rPr>
              <w:t>Kathrine Myhre (Sra.) (Noruega), presidenta de la Asamblea del Tratado de Singapur</w:t>
            </w:r>
          </w:p>
        </w:tc>
      </w:tr>
    </w:tbl>
    <w:p w14:paraId="28EA099A" w14:textId="3F4F4A59" w:rsidR="00767062" w:rsidRPr="00426AC7" w:rsidRDefault="00767062" w:rsidP="005F4088">
      <w:pPr>
        <w:pStyle w:val="ONUMFS"/>
        <w:spacing w:after="480"/>
        <w:rPr>
          <w:szCs w:val="22"/>
          <w:lang w:val="es-ES_tradnl"/>
        </w:rPr>
      </w:pPr>
      <w:r w:rsidRPr="00426AC7">
        <w:rPr>
          <w:szCs w:val="22"/>
          <w:lang w:val="es-ES_tradnl"/>
        </w:rPr>
        <w:t xml:space="preserve">El orden del día aprobado, la lista de documentos y la lista de participantes figuran en los documentos </w:t>
      </w:r>
      <w:hyperlink r:id="rId11" w:history="1">
        <w:r w:rsidRPr="00426AC7">
          <w:rPr>
            <w:rStyle w:val="Hyperlink"/>
            <w:szCs w:val="22"/>
            <w:lang w:val="es-ES_tradnl"/>
          </w:rPr>
          <w:t>A/66/1</w:t>
        </w:r>
      </w:hyperlink>
      <w:r w:rsidRPr="00426AC7">
        <w:rPr>
          <w:szCs w:val="22"/>
          <w:lang w:val="es-ES_tradnl"/>
        </w:rPr>
        <w:t xml:space="preserve">, </w:t>
      </w:r>
      <w:hyperlink r:id="rId12" w:history="1">
        <w:r w:rsidRPr="00426AC7">
          <w:rPr>
            <w:rStyle w:val="Hyperlink"/>
            <w:szCs w:val="22"/>
            <w:lang w:val="es-ES_tradnl"/>
          </w:rPr>
          <w:t>A/66/2</w:t>
        </w:r>
      </w:hyperlink>
      <w:r w:rsidRPr="00426AC7">
        <w:rPr>
          <w:szCs w:val="22"/>
          <w:lang w:val="es-ES_tradnl"/>
        </w:rPr>
        <w:t xml:space="preserve"> y A/6</w:t>
      </w:r>
      <w:r w:rsidR="004D5BAD" w:rsidRPr="00426AC7">
        <w:rPr>
          <w:szCs w:val="22"/>
          <w:lang w:val="es-ES_tradnl"/>
        </w:rPr>
        <w:t>6</w:t>
      </w:r>
      <w:r w:rsidRPr="00426AC7">
        <w:rPr>
          <w:szCs w:val="22"/>
          <w:lang w:val="es-ES_tradnl"/>
        </w:rPr>
        <w:t>/INF/5, respectivamente.</w:t>
      </w:r>
    </w:p>
    <w:p w14:paraId="357F309D" w14:textId="77777777" w:rsidR="00767062" w:rsidRPr="00426AC7" w:rsidRDefault="00767062" w:rsidP="006B4E18">
      <w:pPr>
        <w:pStyle w:val="Heading2"/>
        <w:spacing w:before="0" w:after="120" w:line="480" w:lineRule="auto"/>
        <w:rPr>
          <w:szCs w:val="22"/>
          <w:lang w:val="es-ES_tradnl"/>
        </w:rPr>
      </w:pPr>
      <w:bookmarkStart w:id="10" w:name="_Toc209694187"/>
      <w:r w:rsidRPr="00426AC7">
        <w:rPr>
          <w:szCs w:val="22"/>
          <w:lang w:val="es-ES_tradnl"/>
        </w:rPr>
        <w:lastRenderedPageBreak/>
        <w:t>PUNTO 1 DEL ORDEN DEL DÍA CONSOLIDADO</w:t>
      </w:r>
      <w:r w:rsidRPr="00426AC7">
        <w:rPr>
          <w:szCs w:val="22"/>
          <w:lang w:val="es-ES_tradnl"/>
        </w:rPr>
        <w:br/>
        <w:t>APERTURA DE LA SERIE DE REUNIONES</w:t>
      </w:r>
      <w:bookmarkEnd w:id="10"/>
    </w:p>
    <w:p w14:paraId="6B78BE71" w14:textId="77777777" w:rsidR="00767062" w:rsidRPr="00426AC7" w:rsidRDefault="00767062" w:rsidP="005F4088">
      <w:pPr>
        <w:pStyle w:val="ONUMFS"/>
        <w:rPr>
          <w:szCs w:val="22"/>
          <w:lang w:val="es-ES_tradnl"/>
        </w:rPr>
      </w:pPr>
      <w:r w:rsidRPr="00426AC7">
        <w:rPr>
          <w:szCs w:val="22"/>
          <w:lang w:val="es-ES_tradnl"/>
        </w:rPr>
        <w:t xml:space="preserve">La sexagésima sexta serie de reuniones de las Asambleas fue convocada por el director general de la OMPI, Sr. Daren Tang </w:t>
      </w:r>
      <w:bookmarkStart w:id="11" w:name="_Hlk169167919"/>
      <w:r w:rsidRPr="00426AC7">
        <w:rPr>
          <w:szCs w:val="22"/>
          <w:lang w:val="es-ES_tradnl"/>
        </w:rPr>
        <w:t>(en adelante denominado “el director general”)</w:t>
      </w:r>
      <w:bookmarkEnd w:id="11"/>
      <w:r w:rsidRPr="00426AC7">
        <w:rPr>
          <w:szCs w:val="22"/>
          <w:lang w:val="es-ES_tradnl"/>
        </w:rPr>
        <w:t>.</w:t>
      </w:r>
    </w:p>
    <w:p w14:paraId="122ED2DD" w14:textId="31A1932D" w:rsidR="00767062" w:rsidRPr="00426AC7" w:rsidRDefault="00767062" w:rsidP="62D966B3">
      <w:pPr>
        <w:pStyle w:val="ONUMFS"/>
        <w:rPr>
          <w:lang w:val="es-ES_tradnl"/>
        </w:rPr>
      </w:pPr>
      <w:r w:rsidRPr="00426AC7">
        <w:rPr>
          <w:lang w:val="es-ES_tradnl"/>
        </w:rPr>
        <w:t xml:space="preserve">La serie de reuniones fue inaugurada en el marco de una sesión conjunta de las 22 Asambleas y demás órganos por el </w:t>
      </w:r>
      <w:r w:rsidR="00411190" w:rsidRPr="00426AC7">
        <w:rPr>
          <w:lang w:val="es-ES_tradnl"/>
        </w:rPr>
        <w:t xml:space="preserve">presidente de la Asamblea General de la OMPI, </w:t>
      </w:r>
      <w:r w:rsidRPr="00426AC7">
        <w:rPr>
          <w:lang w:val="es-ES_tradnl"/>
        </w:rPr>
        <w:t xml:space="preserve">embajador </w:t>
      </w:r>
      <w:r w:rsidR="00411190" w:rsidRPr="00426AC7">
        <w:rPr>
          <w:lang w:val="es-ES_tradnl"/>
        </w:rPr>
        <w:t>Sr. </w:t>
      </w:r>
      <w:r w:rsidRPr="00426AC7">
        <w:rPr>
          <w:lang w:val="es-ES_tradnl"/>
        </w:rPr>
        <w:t>Alfredo Suescum (Panamá).</w:t>
      </w:r>
    </w:p>
    <w:p w14:paraId="295C2BA6" w14:textId="6CB2188A" w:rsidR="00767062" w:rsidRPr="00426AC7" w:rsidRDefault="00767062" w:rsidP="005F4088">
      <w:pPr>
        <w:pStyle w:val="ONUMFS"/>
        <w:spacing w:after="480"/>
        <w:rPr>
          <w:szCs w:val="22"/>
          <w:lang w:val="es-ES_tradnl"/>
        </w:rPr>
      </w:pPr>
      <w:r w:rsidRPr="00426AC7">
        <w:rPr>
          <w:szCs w:val="22"/>
          <w:lang w:val="es-ES_tradnl"/>
        </w:rPr>
        <w:t>El presidente dio la bienvenida a todas las delegaciones, sin olvidarse de las que participan a distancia desde distintos puntos del planeta. Agradeció a las delegaciones la confianza depositada en él y les instó a celebrar debates en un espíritu participativo y de colaboración para lograr resultados significativos para la OMPI y concluir satisfactoriamente las Asambleas.</w:t>
      </w:r>
    </w:p>
    <w:p w14:paraId="50033E18" w14:textId="77777777" w:rsidR="00767062" w:rsidRPr="00426AC7" w:rsidRDefault="00767062" w:rsidP="006B4E18">
      <w:pPr>
        <w:pStyle w:val="Heading2"/>
        <w:spacing w:before="0" w:after="120" w:line="480" w:lineRule="auto"/>
        <w:rPr>
          <w:szCs w:val="22"/>
          <w:lang w:val="es-ES_tradnl"/>
        </w:rPr>
      </w:pPr>
      <w:bookmarkStart w:id="12" w:name="_Toc209694188"/>
      <w:bookmarkStart w:id="13" w:name="_Hlk171954777"/>
      <w:r w:rsidRPr="00426AC7">
        <w:rPr>
          <w:szCs w:val="22"/>
          <w:lang w:val="es-ES_tradnl"/>
        </w:rPr>
        <w:t>PUNTO 2 DEL ORDEN DEL DÍA CONSOLIDADO</w:t>
      </w:r>
      <w:r w:rsidRPr="00426AC7">
        <w:rPr>
          <w:szCs w:val="22"/>
          <w:lang w:val="es-ES_tradnl"/>
        </w:rPr>
        <w:br/>
        <w:t>APROBACIÓN DEL ORDEN DEL DÍA</w:t>
      </w:r>
      <w:bookmarkEnd w:id="12"/>
    </w:p>
    <w:p w14:paraId="277200CD" w14:textId="77777777" w:rsidR="00767062" w:rsidRPr="00426AC7" w:rsidRDefault="00767062" w:rsidP="005F4088">
      <w:pPr>
        <w:pStyle w:val="ONUMFS"/>
        <w:rPr>
          <w:szCs w:val="22"/>
          <w:lang w:val="es-ES_tradnl"/>
        </w:rPr>
      </w:pPr>
      <w:r w:rsidRPr="00426AC7">
        <w:rPr>
          <w:szCs w:val="22"/>
          <w:lang w:val="es-ES_tradnl"/>
        </w:rPr>
        <w:t>Los debates se basaron en el documento A/66/ 1 Prov. 3.</w:t>
      </w:r>
    </w:p>
    <w:p w14:paraId="5B958965" w14:textId="48E812B2" w:rsidR="00767062" w:rsidRPr="00426AC7" w:rsidRDefault="00767062" w:rsidP="005F4088">
      <w:pPr>
        <w:pStyle w:val="ONUMFS"/>
        <w:spacing w:after="480"/>
        <w:rPr>
          <w:szCs w:val="22"/>
          <w:lang w:val="es-ES_tradnl"/>
        </w:rPr>
      </w:pPr>
      <w:r w:rsidRPr="00426AC7">
        <w:rPr>
          <w:szCs w:val="22"/>
          <w:lang w:val="es-ES_tradnl"/>
        </w:rPr>
        <w:t xml:space="preserve">Las Asambleas de la OMPI, en lo que a cada una concierne, aprobaron el orden del día propuesto en el documento A/66/1 Prov.3 (denominado en el presente documento “orden del día consolidado”, documento </w:t>
      </w:r>
      <w:hyperlink r:id="rId13" w:history="1">
        <w:r w:rsidRPr="00426AC7">
          <w:rPr>
            <w:rStyle w:val="Hyperlink"/>
            <w:szCs w:val="22"/>
            <w:lang w:val="es-ES_tradnl"/>
          </w:rPr>
          <w:t>A/66/1</w:t>
        </w:r>
      </w:hyperlink>
      <w:r w:rsidRPr="00426AC7">
        <w:rPr>
          <w:szCs w:val="22"/>
          <w:lang w:val="es-ES_tradnl"/>
        </w:rPr>
        <w:t>).</w:t>
      </w:r>
    </w:p>
    <w:p w14:paraId="12C4C821" w14:textId="77777777" w:rsidR="00767062" w:rsidRPr="00426AC7" w:rsidRDefault="00767062" w:rsidP="006B4E18">
      <w:pPr>
        <w:pStyle w:val="Heading2"/>
        <w:spacing w:before="0" w:after="120" w:line="480" w:lineRule="auto"/>
        <w:rPr>
          <w:szCs w:val="22"/>
          <w:lang w:val="es-ES_tradnl"/>
        </w:rPr>
      </w:pPr>
      <w:bookmarkStart w:id="14" w:name="_Toc209694189"/>
      <w:bookmarkEnd w:id="13"/>
      <w:r w:rsidRPr="00426AC7">
        <w:rPr>
          <w:szCs w:val="22"/>
          <w:lang w:val="es-ES_tradnl"/>
        </w:rPr>
        <w:t>PUNTO 3 DEL ORDEN DEL DÍA CONSOLIDADO</w:t>
      </w:r>
      <w:r w:rsidRPr="00426AC7">
        <w:rPr>
          <w:szCs w:val="22"/>
          <w:lang w:val="es-ES_tradnl"/>
        </w:rPr>
        <w:br/>
        <w:t>DISCURSO DEL DIRECTOR GENERAL A LAS ASAMBLEAS DE LA OMPI</w:t>
      </w:r>
      <w:bookmarkEnd w:id="14"/>
    </w:p>
    <w:p w14:paraId="2466DDC3" w14:textId="20BDF588" w:rsidR="009B6AFA" w:rsidRPr="00426AC7" w:rsidRDefault="00767062" w:rsidP="62D966B3">
      <w:pPr>
        <w:pStyle w:val="ONUMFS"/>
        <w:rPr>
          <w:lang w:val="es-ES_tradnl"/>
        </w:rPr>
      </w:pPr>
      <w:r w:rsidRPr="00426AC7">
        <w:rPr>
          <w:lang w:val="es-ES_tradnl"/>
        </w:rPr>
        <w:t>A continuación consta el discurso del director general:</w:t>
      </w:r>
    </w:p>
    <w:p w14:paraId="1D176FF2" w14:textId="77777777" w:rsidR="00BF4970" w:rsidRPr="00426AC7" w:rsidRDefault="009B6AFA" w:rsidP="62D966B3">
      <w:pPr>
        <w:pStyle w:val="ONUMFS"/>
        <w:numPr>
          <w:ilvl w:val="0"/>
          <w:numId w:val="0"/>
        </w:numPr>
        <w:ind w:left="567"/>
        <w:rPr>
          <w:lang w:val="es-ES_tradnl"/>
        </w:rPr>
      </w:pPr>
      <w:r w:rsidRPr="00426AC7">
        <w:rPr>
          <w:lang w:val="es-ES_tradnl"/>
        </w:rPr>
        <w:t>“</w:t>
      </w:r>
      <w:r w:rsidR="00BF4970" w:rsidRPr="00426AC7">
        <w:rPr>
          <w:lang w:val="es-ES_tradnl"/>
        </w:rPr>
        <w:t xml:space="preserve">Excelentísimo embajador Alfredo Suescum, presidente de la Asamblea General de la OMPI, </w:t>
      </w:r>
    </w:p>
    <w:p w14:paraId="272E4EF6" w14:textId="77777777" w:rsidR="00BF4970" w:rsidRPr="00426AC7" w:rsidRDefault="00BF4970" w:rsidP="62D966B3">
      <w:pPr>
        <w:pStyle w:val="ONUMFS"/>
        <w:numPr>
          <w:ilvl w:val="0"/>
          <w:numId w:val="0"/>
        </w:numPr>
        <w:ind w:left="567"/>
        <w:rPr>
          <w:lang w:val="es-ES_tradnl"/>
        </w:rPr>
      </w:pPr>
      <w:r w:rsidRPr="00426AC7">
        <w:rPr>
          <w:lang w:val="es-ES_tradnl"/>
        </w:rPr>
        <w:t xml:space="preserve">Excelencias, Ministros, </w:t>
      </w:r>
    </w:p>
    <w:p w14:paraId="3698081D"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Jefes de Oficinas de PI,</w:t>
      </w:r>
    </w:p>
    <w:p w14:paraId="017C04B9"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Queridos colegas y amigos:</w:t>
      </w:r>
    </w:p>
    <w:p w14:paraId="0DCDEBED" w14:textId="08B80236"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Buenos días y bienvenidos a la </w:t>
      </w:r>
      <w:hyperlink r:id="rId14" w:history="1">
        <w:r w:rsidRPr="00426AC7">
          <w:rPr>
            <w:rStyle w:val="Hyperlink"/>
            <w:szCs w:val="22"/>
            <w:lang w:val="es-ES_tradnl"/>
          </w:rPr>
          <w:t>sexagésima sexta serie de reuniones de las Asambleas de los Estados miembros de la OMPI</w:t>
        </w:r>
      </w:hyperlink>
      <w:r w:rsidRPr="00426AC7">
        <w:rPr>
          <w:szCs w:val="22"/>
          <w:lang w:val="es-ES_tradnl"/>
        </w:rPr>
        <w:t>.</w:t>
      </w:r>
    </w:p>
    <w:p w14:paraId="2FE097DA"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Nos complace dar la bienvenida a más de mil seiscientos delegados, el mayor número de nuestra historia, entre los que se encuentra la cifra récord de 40 ministros y viceministros y casi 100 directores de oficinas de PI. Es, sin duda, la mayor reunión mundial de líderes de PI. </w:t>
      </w:r>
    </w:p>
    <w:p w14:paraId="562E4060" w14:textId="77777777" w:rsidR="00BF4970" w:rsidRPr="00426AC7" w:rsidRDefault="00BF4970" w:rsidP="62D966B3">
      <w:pPr>
        <w:pStyle w:val="ONUMFS"/>
        <w:numPr>
          <w:ilvl w:val="0"/>
          <w:numId w:val="0"/>
        </w:numPr>
        <w:ind w:left="567"/>
        <w:rPr>
          <w:lang w:val="es-ES_tradnl"/>
        </w:rPr>
      </w:pPr>
      <w:r w:rsidRPr="00426AC7">
        <w:rPr>
          <w:lang w:val="es-ES_tradnl"/>
        </w:rPr>
        <w:t xml:space="preserve">También es para mí una alegría anunciar que la familia de la OMPI se ha agrandado. Hace dos semanas, los Estados Federados de Micronesia se adhirieron al Convenio de la </w:t>
      </w:r>
      <w:r w:rsidRPr="00426AC7">
        <w:rPr>
          <w:lang w:val="es-ES_tradnl"/>
        </w:rPr>
        <w:lastRenderedPageBreak/>
        <w:t>OMPI, convirtiéndose en nuestro Estado miembro N.º194. Les invito a que les demos todos la bienvenida a la OMPI y a su primera Asamblea General con un caluroso aplauso.</w:t>
      </w:r>
    </w:p>
    <w:p w14:paraId="47689195" w14:textId="77777777" w:rsidR="00BF4970" w:rsidRPr="00426AC7" w:rsidRDefault="00BF4970" w:rsidP="000054F7">
      <w:pPr>
        <w:pStyle w:val="ONUMFS"/>
        <w:numPr>
          <w:ilvl w:val="0"/>
          <w:numId w:val="0"/>
        </w:numPr>
        <w:ind w:left="567"/>
        <w:rPr>
          <w:i/>
          <w:iCs/>
          <w:szCs w:val="22"/>
          <w:lang w:val="es-ES_tradnl"/>
        </w:rPr>
      </w:pPr>
      <w:bookmarkStart w:id="15" w:name="_Hlk201745529"/>
      <w:r w:rsidRPr="00426AC7">
        <w:rPr>
          <w:i/>
          <w:iCs/>
          <w:szCs w:val="22"/>
          <w:lang w:val="es-ES_tradnl"/>
        </w:rPr>
        <w:t>Panorama mundial</w:t>
      </w:r>
    </w:p>
    <w:p w14:paraId="11A5D61A"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Queridos colegas, queridos amigos:</w:t>
      </w:r>
    </w:p>
    <w:p w14:paraId="2213562D"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Nos reunimos en un momento en el que las tormentas de nuestro mundo intensificarse más y más cada día. Los conflictos políticos, la incertidumbre económica, la aceleración tecnológica y los cambios sociales parecen converger y perturban nuestro mundo de una manera sin precedentes.</w:t>
      </w:r>
    </w:p>
    <w:p w14:paraId="5ADDAEB3"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Pero en estos tiempos difíciles, creo que es más importante que nunca recordar lo que tenemos en común y nos congrega. En la OMPI, lo que nos une es creer en el ingenio humano de la imaginación, la invención, la innovación y la creatividad. </w:t>
      </w:r>
    </w:p>
    <w:p w14:paraId="0583E545"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Esta cualidad que caracteriza a la humanidad nos aportó el fuego, la rueda, la agricultura, las ciudades, la medicina, la ciencia, la poesía, la música y las artes. Y a lo largo de nuestra vida, ha vencido enfermedades, ha prolongado la esperanza de vida humana, ha aprovechado nuevas formas de energía, nos ha dado nuevos cauces para compartir nuestras historias con el mundo entero y ha revolucionado nuestra forma de trabajar, vivir y jugar.</w:t>
      </w:r>
    </w:p>
    <w:p w14:paraId="2FFF2C2F"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Como comunidad mundial de PI, nuestra responsabilidad común y compartida para con la humanidad es cultivar ese ingenio y canalizarlo hacia lo que es bueno para todos.</w:t>
      </w:r>
    </w:p>
    <w:p w14:paraId="6B4ECFAD"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w:t>
      </w:r>
    </w:p>
    <w:p w14:paraId="4982206D"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Esa misión esencial de apoyo a los innovadores y creadores de todo el mundo no está aislada, sino que forma parte de un contexto mundial. Somos un organismo mundial dedicado a la PI, la innovación y la creatividad, y gozamos, pues, de un punto de vista global y único, y quiero ahora exponerles tres tendencias que conforman hoy el ecosistema mundial de innovación.</w:t>
      </w:r>
    </w:p>
    <w:p w14:paraId="2022C3C0"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En primer lugar, a pesar de los retos y los vientos desfavorables, la actividad innovadora mundial sigue siendo tenaz. Cada minuto se presentan en el mundo más de 40 solicitudes de PI. Desde 2018 se han presentado más de 20 millones de solicitudes por año, y fueron más de 23 millones en 2023. Esto supone un 150% más que en 2010.</w:t>
      </w:r>
    </w:p>
    <w:p w14:paraId="70BC6188" w14:textId="6B7E053A" w:rsidR="00BF4970" w:rsidRPr="00426AC7" w:rsidRDefault="00BF4970" w:rsidP="000054F7">
      <w:pPr>
        <w:pStyle w:val="ONUMFS"/>
        <w:numPr>
          <w:ilvl w:val="0"/>
          <w:numId w:val="0"/>
        </w:numPr>
        <w:ind w:left="567"/>
        <w:rPr>
          <w:szCs w:val="22"/>
          <w:lang w:val="es-ES_tradnl"/>
        </w:rPr>
      </w:pPr>
      <w:r w:rsidRPr="00426AC7">
        <w:rPr>
          <w:szCs w:val="22"/>
          <w:lang w:val="es-ES_tradnl"/>
        </w:rPr>
        <w:t>Bajo estas cifras se esconde una transformación menos visible pero más profunda, en cuanto a dónde se crea y se preserva hoy el valor. A medida que las empresas y los países innovan, crean y digitalizan sus actividades, el valor está pasando de los activos tangibles a los intangibles, como la PI, los datos, las marcas, y los conocimientos especializados. La OMPI estima que el valor mundial de los activos intangibles alcanzó casi</w:t>
      </w:r>
      <w:r w:rsidR="000054F7" w:rsidRPr="00426AC7">
        <w:rPr>
          <w:szCs w:val="22"/>
          <w:lang w:val="es-ES_tradnl"/>
        </w:rPr>
        <w:t> </w:t>
      </w:r>
      <w:r w:rsidRPr="00426AC7">
        <w:rPr>
          <w:szCs w:val="22"/>
          <w:lang w:val="es-ES_tradnl"/>
        </w:rPr>
        <w:t xml:space="preserve">80 billones de dólares el año pasado, más que el tamaño de las mayores economías del mundo juntas. </w:t>
      </w:r>
    </w:p>
    <w:p w14:paraId="05F694DF" w14:textId="244C1922" w:rsidR="00BF4970" w:rsidRPr="00426AC7" w:rsidRDefault="00BF4970" w:rsidP="000054F7">
      <w:pPr>
        <w:pStyle w:val="ONUMFS"/>
        <w:numPr>
          <w:ilvl w:val="0"/>
          <w:numId w:val="0"/>
        </w:numPr>
        <w:ind w:left="567"/>
        <w:rPr>
          <w:szCs w:val="22"/>
          <w:lang w:val="es-ES_tradnl"/>
        </w:rPr>
      </w:pPr>
      <w:r w:rsidRPr="00426AC7">
        <w:rPr>
          <w:szCs w:val="22"/>
          <w:lang w:val="es-ES_tradnl"/>
        </w:rPr>
        <w:t>Esta tendencia va en aumento: mañana publicaremos un informe que muestra que la inversión en activos intangibles está creciendo casi cuatro veces más rápido que la inversión en activos tangibles, con los Estados Unidos en cabeza, y alcanzando casi el</w:t>
      </w:r>
      <w:r w:rsidR="000054F7" w:rsidRPr="00426AC7">
        <w:rPr>
          <w:szCs w:val="22"/>
          <w:lang w:val="es-ES_tradnl"/>
        </w:rPr>
        <w:t> </w:t>
      </w:r>
      <w:r w:rsidRPr="00426AC7">
        <w:rPr>
          <w:szCs w:val="22"/>
          <w:lang w:val="es-ES_tradnl"/>
        </w:rPr>
        <w:t xml:space="preserve">15 % del PIB el año pasado. </w:t>
      </w:r>
    </w:p>
    <w:p w14:paraId="5FB9E93B"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En segundo lugar, la innovación es cada vez más digital.</w:t>
      </w:r>
    </w:p>
    <w:p w14:paraId="7A355B70" w14:textId="39ECE1C9"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Un tercio de los más de 3,5 millones de solicitudes de patente que se presentan cada año están relacionadas con tecnologías digitales como la IA, la computación cuántica, la </w:t>
      </w:r>
      <w:r w:rsidRPr="00426AC7">
        <w:rPr>
          <w:szCs w:val="22"/>
          <w:lang w:val="es-ES_tradnl"/>
        </w:rPr>
        <w:lastRenderedPageBreak/>
        <w:t xml:space="preserve">ciberseguridad, el Internet de las cosas, etc. y la inversión en programas informáticos y datos avanza más rápido que en cualquier otro activo intangible. Los Estados Unidos también son lideres en gasto en programas informáticos, con más de la mitad de la inversión mundial. Pero lo interesante es que </w:t>
      </w:r>
      <w:hyperlink r:id="rId15" w:history="1">
        <w:r w:rsidRPr="00426AC7">
          <w:rPr>
            <w:rStyle w:val="Hyperlink"/>
            <w:szCs w:val="22"/>
            <w:lang w:val="es-ES_tradnl"/>
          </w:rPr>
          <w:t>varias de las tasas de crecimiento más rápido se registran en países de ingresos medianos como la Argentina, el Camerún, la India, Indonesia, Irán y el Senegal</w:t>
        </w:r>
      </w:hyperlink>
      <w:r w:rsidRPr="00426AC7">
        <w:rPr>
          <w:szCs w:val="22"/>
          <w:lang w:val="es-ES_tradnl"/>
        </w:rPr>
        <w:t xml:space="preserve">. </w:t>
      </w:r>
    </w:p>
    <w:p w14:paraId="6C01E42D" w14:textId="77777777" w:rsidR="00BF4970" w:rsidRPr="00426AC7" w:rsidRDefault="00BF4970" w:rsidP="62D966B3">
      <w:pPr>
        <w:pStyle w:val="ONUMFS"/>
        <w:numPr>
          <w:ilvl w:val="0"/>
          <w:numId w:val="0"/>
        </w:numPr>
        <w:ind w:left="567"/>
        <w:rPr>
          <w:lang w:val="es-ES_tradnl"/>
        </w:rPr>
      </w:pPr>
      <w:r w:rsidRPr="00426AC7">
        <w:rPr>
          <w:lang w:val="es-ES_tradnl"/>
        </w:rPr>
        <w:t>La innovación digital no solo está transformando la innovación industrial sino también la economía creativa. La tecnología, los medios de información, la cultura y los contenidos se están fusionando de formas nuevas y dinámicas. Buen ejemplo de ellos son los videojuegos, que representan una industria de 200 000 millones de dólares. Los desarrolladores utilizan mundos digitales para contar historias enraizadas en su propia fantasía, leyendas y culturas pero transformadas en juegos que atraen a personas de todo el mundo. El Mito Negro Wukong de China, la serie Witcher de Polonia, Clair Obscur de Francia, y Bahamut de la Arabia Saudita son ejemplos de cómo confluyen hoy de nuevas maneras la innovación digital, la expresión creativa y el patrimonio local.</w:t>
      </w:r>
    </w:p>
    <w:p w14:paraId="1F9B825E" w14:textId="15159D38"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En tercer lugar, los motores de la PI, la innovación y la creatividad están cada vez más esparcidos por el mundo. En la actualidad, siete de cada diez solicitudes de PI proceden de Asia, África y América Latina. </w:t>
      </w:r>
      <w:hyperlink r:id="rId16" w:history="1">
        <w:r w:rsidRPr="00426AC7">
          <w:rPr>
            <w:rStyle w:val="Hyperlink"/>
            <w:szCs w:val="22"/>
            <w:lang w:val="es-ES_tradnl"/>
          </w:rPr>
          <w:t>Según WIPO Pulse, nuestra encuesta mundial de opinión sobre la PI, también en esas regiones la PI se percibe hoy de forma más positiva</w:t>
        </w:r>
      </w:hyperlink>
      <w:r w:rsidRPr="00426AC7">
        <w:rPr>
          <w:szCs w:val="22"/>
          <w:lang w:val="es-ES_tradnl"/>
        </w:rPr>
        <w:t>. Y en cuanto a la economía creativa, el año pasado, los ingresos mundiales de la música aumentaron más rápidamente en Oriente Medio y África del Norte, África Subsahariana y América Latina.</w:t>
      </w:r>
    </w:p>
    <w:p w14:paraId="2BE518E8" w14:textId="77777777" w:rsidR="00BF4970" w:rsidRPr="00426AC7" w:rsidRDefault="00BF4970" w:rsidP="62D966B3">
      <w:pPr>
        <w:pStyle w:val="ONUMFS"/>
        <w:numPr>
          <w:ilvl w:val="0"/>
          <w:numId w:val="0"/>
        </w:numPr>
        <w:ind w:left="567"/>
        <w:rPr>
          <w:lang w:val="es-ES_tradnl"/>
        </w:rPr>
      </w:pPr>
      <w:r w:rsidRPr="00426AC7">
        <w:rPr>
          <w:lang w:val="es-ES_tradnl"/>
        </w:rPr>
        <w:t>Países de todos los tamaños y en diferentes fases de desarrollo ven ahora la innovación, la creatividad y la PI no como preocupaciones secundarias o técnicas, sino como elementos centrales de su desarrollo, crecimiento y prosperidad. Este año están con nosotros más ministros que nunca en las Asambleas de la OMPI, muchos de ellos de países en desarrollo, lo que es testimonio del creciente interés político de todos los países por nuestra labor. Y en mis visitas oficiales en el extranjero, cada vez es más frecuente que los jefes de Estado hablen de la PI no solo desde el punto de vista de los derechos, sino como un activo empresarial y financiero, y como un motor horizontal de empleo, inversión, crecimiento empresarial y desarrollo económico.</w:t>
      </w:r>
    </w:p>
    <w:p w14:paraId="0EF93E12"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En este contexto, la labor de la OMPI también se ha transformado. Hemos dado un paso adelante para que la PI no consista solo en registrar y proteger, sino en comercializar y utilizar. Nos hemos esforzado para llevar la PI a las bases, acercando nuestros programas a quienes innovan y crean sobre el terreno, tanto en las ciudades como en las zonas rurales. Hemos puesto nuestro empeño al servicio de los menos favorecidos, como las mujeres, los jóvenes y las pymes, los Pueblos Indígenas y las comunidades locales, a la par de nuestros interlocutores habituales. Y nos hemos centrado en garantizar que nuestro trabajo sea concreto y tenga impacto, y ofrezca resultados visibles a las comunidades y a las personas de carne y hueso, y no se reduzca a bonitas palabras escritas. </w:t>
      </w:r>
    </w:p>
    <w:p w14:paraId="0ACEFE73"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Si una imagen vale más que mil palabras, creo que un video puede transmitir un millón de impresiones. Así que me gustaría compartir con ustedes un breve video que muestra parte de nuestro trabajo, en todo el mundo, para llevar la PI a la vida de la gente normal y corriente.</w:t>
      </w:r>
    </w:p>
    <w:p w14:paraId="42044750"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Video: breve video que muestra parte del trabajo de la OMPI</w:t>
      </w:r>
    </w:p>
    <w:p w14:paraId="3930911E"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lastRenderedPageBreak/>
        <w:t xml:space="preserve">Gracias a su apoyo, hemos podido llevar la PI a esas personas y transformar su vida de forma que les permita hacer realidad sus esperanzas y aspiraciones. Gracias por ayudarnos a hacer realidad nuestra visión colectiva. </w:t>
      </w:r>
    </w:p>
    <w:p w14:paraId="173C0990" w14:textId="3BC18BB3"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En el informe que ahora les presento sobre la labor que hemos realizado desde el año pasado, </w:t>
      </w:r>
      <w:hyperlink r:id="rId17" w:history="1">
        <w:r w:rsidRPr="00426AC7">
          <w:rPr>
            <w:rStyle w:val="Hyperlink"/>
            <w:szCs w:val="22"/>
            <w:lang w:val="es-ES_tradnl"/>
          </w:rPr>
          <w:t>me ceñiré a los cuatro pilares y fundamentos del Plan Estratégico a Mediano Plazo de la OMPI</w:t>
        </w:r>
      </w:hyperlink>
      <w:r w:rsidRPr="00426AC7">
        <w:rPr>
          <w:szCs w:val="22"/>
          <w:lang w:val="es-ES_tradnl"/>
        </w:rPr>
        <w:t>.</w:t>
      </w:r>
    </w:p>
    <w:bookmarkEnd w:id="15"/>
    <w:p w14:paraId="75478EBC" w14:textId="77777777" w:rsidR="00BF4970" w:rsidRPr="00426AC7" w:rsidRDefault="00BF4970" w:rsidP="000054F7">
      <w:pPr>
        <w:pStyle w:val="ONUMFS"/>
        <w:numPr>
          <w:ilvl w:val="0"/>
          <w:numId w:val="0"/>
        </w:numPr>
        <w:ind w:left="567"/>
        <w:rPr>
          <w:i/>
          <w:iCs/>
          <w:szCs w:val="22"/>
          <w:lang w:val="es-ES_tradnl"/>
        </w:rPr>
      </w:pPr>
      <w:r w:rsidRPr="00426AC7">
        <w:rPr>
          <w:i/>
          <w:iCs/>
          <w:szCs w:val="22"/>
          <w:lang w:val="es-ES_tradnl"/>
        </w:rPr>
        <w:t>Pilar 1</w:t>
      </w:r>
    </w:p>
    <w:p w14:paraId="553BAFB1"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En el pilar 1, el objetivo es facilitar la comprensión de la PI, de modo que sea inteligible, cercana y visible, aclarar en qué consiste, de modo que no solo sea para expertos sino para todos.</w:t>
      </w:r>
    </w:p>
    <w:p w14:paraId="6DCFFAA1" w14:textId="3BE2F276"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Nuestra positiva labor sigue acercándonos a inspiradores innovadores y creadores de todo el mundo. </w:t>
      </w:r>
      <w:hyperlink r:id="rId18" w:history="1">
        <w:r w:rsidRPr="00426AC7">
          <w:rPr>
            <w:rStyle w:val="Hyperlink"/>
            <w:szCs w:val="22"/>
            <w:lang w:val="es-ES_tradnl"/>
          </w:rPr>
          <w:t>Ejemplo de ello y que acabamos de ver es Isabella Springmuhl, diseñadora de moda guatemalteca y primera diseñadora con síndrome de Down que participa en la Semana de la Moda de Londres</w:t>
        </w:r>
      </w:hyperlink>
      <w:r w:rsidRPr="00426AC7">
        <w:rPr>
          <w:szCs w:val="22"/>
          <w:lang w:val="es-ES_tradnl"/>
        </w:rPr>
        <w:t>.</w:t>
      </w:r>
    </w:p>
    <w:p w14:paraId="5ECEF0D1"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De visita en Guatemala, conocí a Isabella en su taller, en el que combina tejidos tradicionales y artesanía con moda moderna. Su historia ha sido nuestro video más visto del año. </w:t>
      </w:r>
    </w:p>
    <w:p w14:paraId="43F9655B" w14:textId="51ED8B1D" w:rsidR="00BF4970" w:rsidRPr="00426AC7" w:rsidRDefault="00BF4970" w:rsidP="000054F7">
      <w:pPr>
        <w:pStyle w:val="ONUMFS"/>
        <w:numPr>
          <w:ilvl w:val="0"/>
          <w:numId w:val="0"/>
        </w:numPr>
        <w:ind w:left="567"/>
        <w:rPr>
          <w:szCs w:val="22"/>
          <w:lang w:val="es-ES_tradnl"/>
        </w:rPr>
      </w:pPr>
      <w:r w:rsidRPr="00426AC7">
        <w:rPr>
          <w:szCs w:val="22"/>
          <w:lang w:val="es-ES_tradnl"/>
        </w:rPr>
        <w:t>El video de la historia de Isabella forma parte de una biblioteca cada vez mayor de más de</w:t>
      </w:r>
      <w:r w:rsidR="000054F7" w:rsidRPr="00426AC7">
        <w:rPr>
          <w:szCs w:val="22"/>
          <w:lang w:val="es-ES_tradnl"/>
        </w:rPr>
        <w:t> </w:t>
      </w:r>
      <w:r w:rsidRPr="00426AC7">
        <w:rPr>
          <w:szCs w:val="22"/>
          <w:lang w:val="es-ES_tradnl"/>
        </w:rPr>
        <w:t>250 videos, diseñados para diferentes canales y plataformas de medios sociales. Se trata de un cambio radical con respecto a aquellos tiempos en los que nuestras comunicaciones se centraban en especialistas en PI.</w:t>
      </w:r>
    </w:p>
    <w:p w14:paraId="51B22F52"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Gracias a este cambio, hoy tenemos casi 600 000 seguidores en los medios sociales, como Instagram y TikTok. Estas son nuestras plataformas de más rápido crecimiento y son la clave de nuestra interacción con los jóvenes.</w:t>
      </w:r>
    </w:p>
    <w:p w14:paraId="3BCE3FC5" w14:textId="1D3DDBF2" w:rsidR="00BF4970" w:rsidRPr="00426AC7" w:rsidRDefault="00BF4970" w:rsidP="000054F7">
      <w:pPr>
        <w:pStyle w:val="ONUMFS"/>
        <w:numPr>
          <w:ilvl w:val="0"/>
          <w:numId w:val="0"/>
        </w:numPr>
        <w:ind w:left="567"/>
        <w:rPr>
          <w:szCs w:val="22"/>
          <w:lang w:val="es-ES_tradnl"/>
        </w:rPr>
      </w:pPr>
      <w:hyperlink r:id="rId19" w:history="1">
        <w:r w:rsidRPr="00426AC7">
          <w:rPr>
            <w:rStyle w:val="Hyperlink"/>
            <w:szCs w:val="22"/>
            <w:lang w:val="es-ES_tradnl"/>
          </w:rPr>
          <w:t>El Día Mundial de la PI de este año ha sido otro evento destacado. En torno a la PI y la música, nuestra campaña atrajo 30 millones de visitas y 60 000 opiniones expresadas y comentarios</w:t>
        </w:r>
      </w:hyperlink>
      <w:r w:rsidRPr="00426AC7">
        <w:rPr>
          <w:szCs w:val="22"/>
          <w:lang w:val="es-ES_tradnl"/>
        </w:rPr>
        <w:t xml:space="preserve">, y más de 240 países y territorios celebraron la PI y la música con nosotros. </w:t>
      </w:r>
    </w:p>
    <w:p w14:paraId="72714061"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Queremos mantener viva esa energía en torno a otro tema que nos une y nos apasiona a todos. </w:t>
      </w:r>
    </w:p>
    <w:p w14:paraId="7DBFC4F1"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En 2026 se celebran los Juegos Olímpicos de Invierno en Italia, la Copa Mundial de Fútbol en América del Norte y los primeros Juegos Olímpicos de la Juventud en África, en el Senegal, y me complace anunciar que el tema del Día Mundial de la PI del próximo año será la PI y el deporte. Quedan todos ustedes invitados a celebrarlo con nosotros. </w:t>
      </w:r>
    </w:p>
    <w:p w14:paraId="40F34D8F" w14:textId="77777777" w:rsidR="00BF4970" w:rsidRPr="00426AC7" w:rsidRDefault="00BF4970" w:rsidP="000054F7">
      <w:pPr>
        <w:pStyle w:val="ONUMFS"/>
        <w:numPr>
          <w:ilvl w:val="0"/>
          <w:numId w:val="0"/>
        </w:numPr>
        <w:ind w:left="567"/>
        <w:rPr>
          <w:bCs/>
          <w:i/>
          <w:iCs/>
          <w:szCs w:val="22"/>
          <w:lang w:val="es-ES_tradnl"/>
        </w:rPr>
      </w:pPr>
      <w:r w:rsidRPr="00426AC7">
        <w:rPr>
          <w:bCs/>
          <w:i/>
          <w:szCs w:val="22"/>
          <w:lang w:val="es-ES_tradnl"/>
        </w:rPr>
        <w:t>Pilar 2</w:t>
      </w:r>
    </w:p>
    <w:p w14:paraId="50F3321A"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El pilar 2 está dedicado al papel que desempeña la OMPI en cuanto foro mundial por excelencia para establecer las normas de PI, debatir cuestiones en este ámbito y modelar el futuro de la PI.</w:t>
      </w:r>
    </w:p>
    <w:p w14:paraId="1CD5F068" w14:textId="1B3C06F3" w:rsidR="00BF4970" w:rsidRPr="00426AC7" w:rsidRDefault="00BF4970" w:rsidP="62D966B3">
      <w:pPr>
        <w:pStyle w:val="ONUMFS"/>
        <w:numPr>
          <w:ilvl w:val="0"/>
          <w:numId w:val="0"/>
        </w:numPr>
        <w:ind w:left="567"/>
        <w:rPr>
          <w:lang w:val="es-ES_tradnl"/>
        </w:rPr>
      </w:pPr>
      <w:r w:rsidRPr="00426AC7">
        <w:rPr>
          <w:lang w:val="es-ES_tradnl"/>
        </w:rPr>
        <w:t xml:space="preserve">El año 2024 fue histórico, pues estuvo marcado por la conclusión de dos nuevos tratados, a saber, </w:t>
      </w:r>
      <w:hyperlink r:id="rId20">
        <w:r w:rsidRPr="00426AC7">
          <w:rPr>
            <w:rStyle w:val="Hyperlink"/>
            <w:lang w:val="es-ES_tradnl"/>
          </w:rPr>
          <w:t>el Tratado de la OMPI sobre la Propiedad Intelectual, los Recursos Genéticos y los Conocimientos Tradicionales Asociados, en mayo</w:t>
        </w:r>
      </w:hyperlink>
      <w:r w:rsidRPr="00426AC7">
        <w:rPr>
          <w:lang w:val="es-ES_tradnl"/>
        </w:rPr>
        <w:t xml:space="preserve">, </w:t>
      </w:r>
      <w:hyperlink r:id="rId21">
        <w:r w:rsidRPr="00426AC7">
          <w:rPr>
            <w:rStyle w:val="Hyperlink"/>
            <w:lang w:val="es-ES_tradnl"/>
          </w:rPr>
          <w:t>y el Tratado de Riad sobre el Derecho de los Diseños, en noviembre</w:t>
        </w:r>
      </w:hyperlink>
      <w:r w:rsidRPr="00426AC7">
        <w:rPr>
          <w:lang w:val="es-ES_tradnl"/>
        </w:rPr>
        <w:t xml:space="preserve">. Estoy especialmente orgulloso de que se adoptaran por consenso, lo cual se ha convertido en algo demasiado poco frecuente en estos tiempos difíciles para las negociaciones multilaterales. </w:t>
      </w:r>
    </w:p>
    <w:p w14:paraId="56747AE8"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lastRenderedPageBreak/>
        <w:t xml:space="preserve">Agradecemos a los Estados miembros el espíritu constructivo, colaborativo y pragmático que ha permitido este logro sin precedentes, lo cual demuestra que, si bien las negociaciones multilaterales son difíciles, en la OMPI no es imposible llegar juntos a la línea de meta. </w:t>
      </w:r>
    </w:p>
    <w:p w14:paraId="4D9BE7CD"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Ahora bien, la función de la OMPI va más allá de negociaciones formales de tratados. Gran parte de nuestra labor gira en torno a un diálogo más informal y a foros en los que actuamos como coordinador neutral, profesional e inclusivo de diferentes grupos y comunidades. </w:t>
      </w:r>
    </w:p>
    <w:p w14:paraId="71189549"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Algunas de estas conversaciones versan sobre cuestiones como la financiación mediante la PI, las patentes esenciales para cumplir con las normas técnicas y el análisis de patentes. Otros temas son más transversales, como el Simposio sobre las Mujeres y la PI y el Diálogo de la OMPI para Líderes de TIC (WILD), una nueva conversación mundial para estos especialistas de las oficinas de PI. </w:t>
      </w:r>
    </w:p>
    <w:p w14:paraId="57240E59" w14:textId="72D27D4D"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Un tema que sigue dominando los debates es la PI y la IA. </w:t>
      </w:r>
      <w:hyperlink r:id="rId22" w:history="1">
        <w:r w:rsidRPr="00426AC7">
          <w:rPr>
            <w:rStyle w:val="Hyperlink"/>
            <w:szCs w:val="22"/>
            <w:lang w:val="es-ES_tradnl"/>
          </w:rPr>
          <w:t>Tenemos el orgullo de ser un foro verdaderamente mundial y de que más de 14 000 participantes de más de 170 países hayan estado presentes en el Diálogo de la OMPI sobre PI y Tecnologías de Vanguardia en los últimos cinco años</w:t>
        </w:r>
      </w:hyperlink>
      <w:r w:rsidRPr="00426AC7">
        <w:rPr>
          <w:szCs w:val="22"/>
          <w:lang w:val="es-ES_tradnl"/>
        </w:rPr>
        <w:t>.</w:t>
      </w:r>
    </w:p>
    <w:p w14:paraId="1D475DDA" w14:textId="333DB9B2" w:rsidR="00BF4970" w:rsidRPr="00426AC7" w:rsidRDefault="00BF4970" w:rsidP="000054F7">
      <w:pPr>
        <w:pStyle w:val="ONUMFS"/>
        <w:numPr>
          <w:ilvl w:val="0"/>
          <w:numId w:val="0"/>
        </w:numPr>
        <w:ind w:left="567"/>
        <w:rPr>
          <w:szCs w:val="22"/>
          <w:lang w:val="es-ES_tradnl"/>
        </w:rPr>
      </w:pPr>
      <w:r w:rsidRPr="00426AC7">
        <w:rPr>
          <w:szCs w:val="22"/>
          <w:lang w:val="es-ES_tradnl"/>
        </w:rPr>
        <w:t>Para proseguir con la labor en este ámbito, en diciembre se presentará una nueva iniciativa, l</w:t>
      </w:r>
      <w:r w:rsidR="0003212C" w:rsidRPr="00426AC7">
        <w:rPr>
          <w:szCs w:val="22"/>
          <w:lang w:val="es-ES_tradnl"/>
        </w:rPr>
        <w:t>a Plataforma de Diálogo</w:t>
      </w:r>
      <w:r w:rsidRPr="00426AC7">
        <w:rPr>
          <w:szCs w:val="22"/>
          <w:lang w:val="es-ES_tradnl"/>
        </w:rPr>
        <w:t xml:space="preserve"> sobre Infraestructura de IA (</w:t>
      </w:r>
      <w:r w:rsidR="0003212C" w:rsidRPr="00426AC7">
        <w:rPr>
          <w:szCs w:val="22"/>
          <w:lang w:val="es-ES_tradnl"/>
        </w:rPr>
        <w:t>AIII</w:t>
      </w:r>
      <w:r w:rsidRPr="00426AC7">
        <w:rPr>
          <w:szCs w:val="22"/>
          <w:lang w:val="es-ES_tradnl"/>
        </w:rPr>
        <w:t xml:space="preserve">). Será un foro para intercambiar ideas y reunir a los asociados en torno a los identificadores digitales y otros metadatos que son cada vez más importantes para todos los participantes en la economía creativa a medida que el contenido pasa a ser digital. </w:t>
      </w:r>
    </w:p>
    <w:p w14:paraId="55E82ECA" w14:textId="64AE3DA2"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También estamos tomando medidas activas para unir a la comunidad de la PI </w:t>
      </w:r>
      <w:r w:rsidR="00F97BF6" w:rsidRPr="00426AC7">
        <w:rPr>
          <w:szCs w:val="22"/>
          <w:lang w:val="es-ES_tradnl"/>
        </w:rPr>
        <w:t>a fin de</w:t>
      </w:r>
      <w:r w:rsidRPr="00426AC7">
        <w:rPr>
          <w:szCs w:val="22"/>
          <w:lang w:val="es-ES_tradnl"/>
        </w:rPr>
        <w:t xml:space="preserve"> que tome la iniciativa y dé forma al futuro de forma más estructurada</w:t>
      </w:r>
      <w:hyperlink r:id="rId23" w:history="1">
        <w:r w:rsidRPr="00426AC7">
          <w:rPr>
            <w:rStyle w:val="Hyperlink"/>
            <w:szCs w:val="22"/>
            <w:lang w:val="es-ES_tradnl"/>
          </w:rPr>
          <w:t>. La semana pasada se publicó el Informe de prospectiva de la OMPI, que explora el futuro de la PI en los próximos diez años.</w:t>
        </w:r>
      </w:hyperlink>
    </w:p>
    <w:p w14:paraId="4757D6DF" w14:textId="77777777" w:rsidR="00BF4970" w:rsidRPr="00426AC7" w:rsidRDefault="00BF4970" w:rsidP="62D966B3">
      <w:pPr>
        <w:pStyle w:val="ONUMFS"/>
        <w:numPr>
          <w:ilvl w:val="0"/>
          <w:numId w:val="0"/>
        </w:numPr>
        <w:ind w:left="567"/>
        <w:rPr>
          <w:lang w:val="es-ES_tradnl"/>
        </w:rPr>
      </w:pPr>
      <w:r w:rsidRPr="00426AC7">
        <w:rPr>
          <w:lang w:val="es-ES_tradnl"/>
        </w:rPr>
        <w:t xml:space="preserve">Este ejercicio es fundamental porque las oficinas de PI tienen un carácter muy funcional y no disponen de mucho tiempo para pensar con demasiada antelación. Lo sé personalmente por haber dirigido una oficina nacional de PI. En realidad se trata es una situación muy arriesgada en el actual panorama de la innovación, que cambia con rapidez. La OMPI ayudará a las oficinas de PI a crear capacidades de previsión y a generar a escala mundial una comunidad de práctica dedicada a la previsión que nos ayude a todos a reflexionar a largo plazo y anticipar el cambio de forma más eficaz. </w:t>
      </w:r>
    </w:p>
    <w:p w14:paraId="0FDAFA89"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Con la transformación de la geografía de la actividad de PI, se observa que más innovadores, inventores, creadores y empresarios de países en desarrollo se unen a las filas de aquellos en los países desarrollados. En consecuencia, las demandas de los países en desarrollo convergen con las de los países desarrollados. </w:t>
      </w:r>
    </w:p>
    <w:p w14:paraId="5ECA2539"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Esto es evidente en el ámbito de la observancia de la PI. En las últimas semanas, he hablado en actos dedicados a la observancia en África, Europa y Asia. Los temas planteados, que van desde la piratería digital hasta la impresión de falsificaciones, son comunes a todas esas regiones. Y allá donde voy en todo el mundo se habla del precio de la piratería de la PI, en particular, la pérdida de empleo y de vidas en algunos casos, y la ruina de creadores e inventores locales. </w:t>
      </w:r>
    </w:p>
    <w:p w14:paraId="0C02D22E" w14:textId="77777777" w:rsidR="00BF4970" w:rsidRPr="00426AC7" w:rsidRDefault="00BF4970" w:rsidP="62D966B3">
      <w:pPr>
        <w:pStyle w:val="ONUMFS"/>
        <w:numPr>
          <w:ilvl w:val="0"/>
          <w:numId w:val="0"/>
        </w:numPr>
        <w:ind w:left="567"/>
        <w:rPr>
          <w:lang w:val="es-ES_tradnl"/>
        </w:rPr>
      </w:pPr>
      <w:r w:rsidRPr="00426AC7">
        <w:rPr>
          <w:lang w:val="es-ES_tradnl"/>
        </w:rPr>
        <w:t xml:space="preserve">La OMPI sigue teniendo la firme determinación de luchar contra la piratería y la falsificación. El año pasado se llevó a cabo una nueva campaña digital sobre la piratería en el ámbito de los deportes que tuvo más de 60 millones de visualizaciones. También se </w:t>
      </w:r>
      <w:r w:rsidRPr="00426AC7">
        <w:rPr>
          <w:lang w:val="es-ES_tradnl"/>
        </w:rPr>
        <w:lastRenderedPageBreak/>
        <w:t>impartió formación a cerca de 1 500 funcionarios encargados del cumplimiento de la ley, fiscales y jueces de todo el mundo.</w:t>
      </w:r>
    </w:p>
    <w:p w14:paraId="6345D359" w14:textId="2E4630F2" w:rsidR="00BF4970" w:rsidRPr="00426AC7" w:rsidRDefault="00BF4970" w:rsidP="62D966B3">
      <w:pPr>
        <w:pStyle w:val="ONUMFS"/>
        <w:numPr>
          <w:ilvl w:val="0"/>
          <w:numId w:val="0"/>
        </w:numPr>
        <w:ind w:left="567"/>
        <w:rPr>
          <w:lang w:val="es-ES_tradnl"/>
        </w:rPr>
      </w:pPr>
      <w:r w:rsidRPr="00426AC7">
        <w:rPr>
          <w:lang w:val="es-ES_tradnl"/>
        </w:rPr>
        <w:t xml:space="preserve">Asimismo, </w:t>
      </w:r>
      <w:hyperlink r:id="rId24">
        <w:r w:rsidRPr="00426AC7">
          <w:rPr>
            <w:rStyle w:val="Hyperlink"/>
            <w:lang w:val="es-ES_tradnl"/>
          </w:rPr>
          <w:t>se añadieron miles de sitios web infractores de la PI a la base de datos WIPO Alert, plataforma mundial que recoge los sitios web que vulneran el derecho de autor</w:t>
        </w:r>
      </w:hyperlink>
      <w:r w:rsidRPr="00426AC7">
        <w:rPr>
          <w:lang w:val="es-ES_tradnl"/>
        </w:rPr>
        <w:t>. Además, se siguen desarrollando dos nuevas herramientas, a saber, WIPO Alert Pay, centrada en combatir la financiación de sitios pirata, y WIPO CRIS, un sistema de registro aduanero concebido para impulsar la observancia de la PI en las fronteras.</w:t>
      </w:r>
    </w:p>
    <w:p w14:paraId="08C9F6B8"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En cuanto a los proyectos futuros, más adelante este año se iniciará un nuevo diálogo sobre la protección de la PI en el comercio electrónico. Además, el próximo año se creará un foro para fiscales de PI con el objetivo de respaldar una comunidad de práctica mundial para fiscales especializados en delitos de PI.</w:t>
      </w:r>
    </w:p>
    <w:p w14:paraId="470AAE36" w14:textId="77777777" w:rsidR="00BF4970" w:rsidRPr="00426AC7" w:rsidRDefault="00BF4970" w:rsidP="62D966B3">
      <w:pPr>
        <w:pStyle w:val="ONUMFS"/>
        <w:numPr>
          <w:ilvl w:val="0"/>
          <w:numId w:val="0"/>
        </w:numPr>
        <w:ind w:left="567"/>
        <w:rPr>
          <w:lang w:val="es-ES_tradnl"/>
        </w:rPr>
      </w:pPr>
      <w:r w:rsidRPr="00426AC7">
        <w:rPr>
          <w:lang w:val="es-ES_tradnl"/>
        </w:rPr>
        <w:t xml:space="preserve">Las alianzas sustentan toda esta labor y la forma en la que se logran resultados. Estamos profundizando en la colaboración dentro del sistema de las Naciones Unidas, lo cual es más importante que nunca en el contexto de su reforma y de las iniciativas por el 80 aniversario de la ONU. En particular, destaca nuestra labor trilateral con la Organización Mundial de la Salud (OMS) y la Organización Mundial del Comercio (OMC) y las colaboraciones con el Centro de Comercio Internacional (ITC) acerca de las empresarias y la moda indígena y con la Convención Marco de las Naciones Unidas sobre el Cambio Climático (CMNUCC) en relación con el </w:t>
      </w:r>
      <w:r w:rsidRPr="00426AC7">
        <w:rPr>
          <w:i/>
          <w:iCs/>
          <w:lang w:val="es-ES_tradnl"/>
        </w:rPr>
        <w:t>Libro sobre tecnología ecológica de la OMPI</w:t>
      </w:r>
      <w:r w:rsidRPr="00426AC7">
        <w:rPr>
          <w:lang w:val="es-ES_tradnl"/>
        </w:rPr>
        <w:t>.</w:t>
      </w:r>
    </w:p>
    <w:p w14:paraId="7FCA1E63" w14:textId="77777777" w:rsidR="00BF4970" w:rsidRPr="00426AC7" w:rsidRDefault="00BF4970" w:rsidP="62D966B3">
      <w:pPr>
        <w:pStyle w:val="ONUMFS"/>
        <w:numPr>
          <w:ilvl w:val="0"/>
          <w:numId w:val="0"/>
        </w:numPr>
        <w:ind w:left="567"/>
        <w:rPr>
          <w:lang w:val="es-ES_tradnl"/>
        </w:rPr>
      </w:pPr>
      <w:r w:rsidRPr="00426AC7">
        <w:rPr>
          <w:lang w:val="es-ES_tradnl"/>
        </w:rPr>
        <w:t>Más allá de las Naciones Unidas, colaboramos con ONG y otros interlocutores de ideas afines y nos complace formar parte de Regionalized Vaccine Manufacturing Collaborative para ayudar a crear capacidad de fabricación de vacunas en los países en desarrollo. Seguimos colaborando estrechamente con asociaciones internaciones de PI e innovación, como AUTM, INTA, LESI y FICPI, entre otros, todos hoy presentes aquí, para impulsar la agenda de PI en todo el mundo.</w:t>
      </w:r>
    </w:p>
    <w:p w14:paraId="07FCB4D4"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También estaremos presentes en la Exposición Universal de Osaka (Japón) para dar a conocer la PI a los millones de visitantes de la PI. Todas estas alianzas amplían el alcance de la OMPI y su capacidad para obtener resultados prácticos y expandir sus programas.</w:t>
      </w:r>
    </w:p>
    <w:p w14:paraId="04B1DC0C" w14:textId="77777777" w:rsidR="00BF4970" w:rsidRPr="00426AC7" w:rsidRDefault="00BF4970" w:rsidP="000054F7">
      <w:pPr>
        <w:pStyle w:val="ONUMFS"/>
        <w:numPr>
          <w:ilvl w:val="0"/>
          <w:numId w:val="0"/>
        </w:numPr>
        <w:ind w:left="567"/>
        <w:rPr>
          <w:bCs/>
          <w:i/>
          <w:iCs/>
          <w:szCs w:val="22"/>
          <w:lang w:val="es-ES_tradnl"/>
        </w:rPr>
      </w:pPr>
      <w:r w:rsidRPr="00426AC7">
        <w:rPr>
          <w:bCs/>
          <w:i/>
          <w:szCs w:val="22"/>
          <w:lang w:val="es-ES_tradnl"/>
        </w:rPr>
        <w:t>Pilar 3</w:t>
      </w:r>
    </w:p>
    <w:p w14:paraId="36536039"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El pilar 3 se centra en los datos y servicios de PI, que constituyen la sala de máquinas de la innovación mundial. </w:t>
      </w:r>
    </w:p>
    <w:p w14:paraId="379F3676" w14:textId="3CD816EA" w:rsidR="00BF4970" w:rsidRPr="00426AC7" w:rsidRDefault="00BF4970" w:rsidP="62D966B3">
      <w:pPr>
        <w:pStyle w:val="ONUMFS"/>
        <w:numPr>
          <w:ilvl w:val="0"/>
          <w:numId w:val="0"/>
        </w:numPr>
        <w:ind w:left="567"/>
        <w:rPr>
          <w:lang w:val="es-ES_tradnl"/>
        </w:rPr>
      </w:pPr>
      <w:hyperlink r:id="rId25">
        <w:r w:rsidRPr="00426AC7">
          <w:rPr>
            <w:rStyle w:val="Hyperlink"/>
            <w:lang w:val="es-ES_tradnl"/>
          </w:rPr>
          <w:t>A pesar de que los vientos económicos en contra han planteado un desafío para todas las oficinas de PI y para la OMPI, nos complace mostrar que la presentación de solicitudes en el marco de los Sistemas del PCT, de Madrid y de La Haya crecieron el año pasado. –del 0,5 %, el 1,2 % y el 6,8 % respectivamente</w:t>
        </w:r>
      </w:hyperlink>
      <w:r w:rsidRPr="00426AC7">
        <w:rPr>
          <w:lang w:val="es-ES_tradnl"/>
        </w:rPr>
        <w:t>. El uso de los servicios del Centro de Arbitraje y Mediación de la OMPI también aumentó un 25 %, debido en gran parte al incremento de la mediación.</w:t>
      </w:r>
    </w:p>
    <w:p w14:paraId="71F918D7"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La OMPI es el único organismo de las Naciones Unidas que presta estos servicios mundiales de PI al sector privado. Cada año se resuelven cientos de controversias sobre PI y se reciben cientos de miles de solicitudes de títulos de PI presentadas mediante nuestros registros por empresas, profesionales e inventores particulares, hemos construido una filosofía centrada en la atención al cliente que refleja la de las oficinas nacionales de PI.</w:t>
      </w:r>
    </w:p>
    <w:p w14:paraId="7C3AF759" w14:textId="77777777" w:rsidR="00BF4970" w:rsidRPr="00426AC7" w:rsidRDefault="00BF4970" w:rsidP="62D966B3">
      <w:pPr>
        <w:pStyle w:val="ONUMFS"/>
        <w:numPr>
          <w:ilvl w:val="0"/>
          <w:numId w:val="0"/>
        </w:numPr>
        <w:ind w:left="567"/>
        <w:rPr>
          <w:lang w:val="es-ES_tradnl"/>
        </w:rPr>
      </w:pPr>
      <w:r w:rsidRPr="00426AC7">
        <w:rPr>
          <w:lang w:val="es-ES_tradnl"/>
        </w:rPr>
        <w:lastRenderedPageBreak/>
        <w:t>Nos complace que muchas empresas, inventores y creadores ya recurran a nuestros servicios, pero deseamos ofrecer aún más a nuestros clientes. Para lograrlo, se ha constituido el Equipo Técnico para el Crecimiento Futuro con la finalidad de mejorar la atención al cliente y la comercialización de los servicios ofrecidos. Ello permite impulsar el crecimiento con una actitud más estratégica y proactiva, al tiempo que proseguimos las reformas de las operaciones internas con el fin de que los registros sean más eficientes y fáciles de usar.</w:t>
      </w:r>
    </w:p>
    <w:p w14:paraId="7D300C49" w14:textId="50C5782B" w:rsidR="00BF4970" w:rsidRPr="00426AC7" w:rsidRDefault="00BF4970" w:rsidP="000054F7">
      <w:pPr>
        <w:pStyle w:val="ONUMFS"/>
        <w:numPr>
          <w:ilvl w:val="0"/>
          <w:numId w:val="0"/>
        </w:numPr>
        <w:ind w:left="567"/>
        <w:rPr>
          <w:szCs w:val="22"/>
          <w:lang w:val="es-ES_tradnl"/>
        </w:rPr>
      </w:pPr>
      <w:hyperlink r:id="rId26" w:history="1">
        <w:r w:rsidRPr="00426AC7">
          <w:rPr>
            <w:rStyle w:val="Hyperlink"/>
            <w:szCs w:val="22"/>
            <w:lang w:val="es-ES_tradnl"/>
          </w:rPr>
          <w:t>Un ejemplo es la nueva plataforma eMadrid</w:t>
        </w:r>
      </w:hyperlink>
      <w:r w:rsidRPr="00426AC7">
        <w:rPr>
          <w:szCs w:val="22"/>
          <w:lang w:val="es-ES_tradnl"/>
        </w:rPr>
        <w:t>, cuyo proyecto no comenzó a partir de una visión de TI, sino con consultas exhaustivas a cerca de 1 000 clientes de todo el mundo y con distinto grado de especialización, de modo que el rediseño del sistema se basó en sus necesidades.</w:t>
      </w:r>
    </w:p>
    <w:p w14:paraId="37544F92"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Ante el aumento del número de solicitudes de títulos de PI en todo el mundo, gran parte de la labor de la OMPI también consiste en ayudar a las oficinas de PI de los Estados miembros a atender a sus clientes. Las oficinas de PI de todo el mundo están sometidas a una enorme presión para digitalizarse, gestionar los costos informáticos y llegar a todo el territorio de sus países respectivos, y no solo a las capitales. </w:t>
      </w:r>
    </w:p>
    <w:p w14:paraId="387D620A" w14:textId="0950A9C7" w:rsidR="00BF4970" w:rsidRPr="00426AC7" w:rsidRDefault="00BF4970" w:rsidP="000054F7">
      <w:pPr>
        <w:pStyle w:val="ONUMFS"/>
        <w:numPr>
          <w:ilvl w:val="0"/>
          <w:numId w:val="0"/>
        </w:numPr>
        <w:ind w:left="567"/>
        <w:rPr>
          <w:szCs w:val="22"/>
          <w:lang w:val="es-ES_tradnl"/>
        </w:rPr>
      </w:pPr>
      <w:hyperlink r:id="rId27" w:history="1">
        <w:r w:rsidRPr="00426AC7">
          <w:rPr>
            <w:rStyle w:val="Hyperlink"/>
            <w:szCs w:val="22"/>
            <w:lang w:val="es-ES_tradnl"/>
          </w:rPr>
          <w:t>Por este motivo, la OMPI está ayudando actualmente a 94 Oficinas de PI a utilizar de forma gratuita nuestras soluciones operativas para Oficinas de PI</w:t>
        </w:r>
      </w:hyperlink>
      <w:r w:rsidRPr="00426AC7">
        <w:rPr>
          <w:szCs w:val="22"/>
          <w:lang w:val="es-ES_tradnl"/>
        </w:rPr>
        <w:t>, y alrededor de una cuarta parte se está pasando a los servicios basados en la nube, entre ellas Botswana, que es la primera Oficina de PI de África que recurre a este servicio.</w:t>
      </w:r>
    </w:p>
    <w:p w14:paraId="3D26F6D8" w14:textId="77777777" w:rsidR="00BF4970" w:rsidRPr="00426AC7" w:rsidRDefault="00BF4970" w:rsidP="62D966B3">
      <w:pPr>
        <w:pStyle w:val="ONUMFS"/>
        <w:numPr>
          <w:ilvl w:val="0"/>
          <w:numId w:val="0"/>
        </w:numPr>
        <w:ind w:left="567"/>
        <w:rPr>
          <w:lang w:val="es-ES_tradnl"/>
        </w:rPr>
      </w:pPr>
      <w:r w:rsidRPr="00426AC7">
        <w:rPr>
          <w:lang w:val="es-ES_tradnl"/>
        </w:rPr>
        <w:t xml:space="preserve">También estamos impulsando la modernización regional. A través del Registro de PI de la ASEAN, hemos ayudado a unificar 10 millones de registros de PI de los Estados miembros de la ASEAN en una única base de datos en la que se pueden realizar búsquedas, lo que supone un gran salto con respecto al antiguo sistema fragmentado, en el que se cuentan millones de accesos. Partiendo de esta base, ahora estamos explorando la posibilidad de trabajar con la ARIPO en África en una plataforma similar. </w:t>
      </w:r>
    </w:p>
    <w:p w14:paraId="1AD894D0"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Estimados colegas, amigas y amigos:</w:t>
      </w:r>
    </w:p>
    <w:p w14:paraId="01D1A8F6"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La información, los datos y las perspectivas sólidas son fundamentales para ayudarles, como responsables de la formulación de políticas y líderes, a conocer sus ecosistemas de innovación y creación, así como qué hay que hacer para mejorarlos. </w:t>
      </w:r>
    </w:p>
    <w:p w14:paraId="634B9E16" w14:textId="3E3AB051" w:rsidR="00BF4970" w:rsidRPr="00426AC7" w:rsidRDefault="00BF4970" w:rsidP="62D966B3">
      <w:pPr>
        <w:pStyle w:val="ONUMFS"/>
        <w:numPr>
          <w:ilvl w:val="0"/>
          <w:numId w:val="0"/>
        </w:numPr>
        <w:ind w:left="567"/>
        <w:rPr>
          <w:lang w:val="es-ES_tradnl"/>
        </w:rPr>
      </w:pPr>
      <w:r w:rsidRPr="00426AC7">
        <w:rPr>
          <w:lang w:val="es-ES_tradnl"/>
        </w:rPr>
        <w:t xml:space="preserve">En este sentido, la OMPI desempeña un papel único y estratégico. </w:t>
      </w:r>
      <w:hyperlink r:id="rId28">
        <w:r w:rsidRPr="00426AC7">
          <w:rPr>
            <w:rStyle w:val="Hyperlink"/>
            <w:lang w:val="es-ES_tradnl"/>
          </w:rPr>
          <w:t>Nuestro Índice Mundial de Innovación, que abarca más de 130 economías, es utilizado ampliamente por responsables de políticas, líderes de opinión e investigadores de más de 90 países.</w:t>
        </w:r>
      </w:hyperlink>
      <w:r w:rsidRPr="00426AC7">
        <w:rPr>
          <w:lang w:val="es-ES_tradnl"/>
        </w:rPr>
        <w:t xml:space="preserve"> El año pasado, nuestro tema especial fue la iniciativa empresarial social, que suscitó nuevas e interesantes asociaciones con la Fundación Skoll, el Foro Económico Mundial y la Fundación Schwab.</w:t>
      </w:r>
    </w:p>
    <w:p w14:paraId="66FC9F17" w14:textId="26503750"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El pilar 3 también incluye nuestro trabajo para abordar retos globales como el cambio climático y la atención sanitaria. Algunos son nuevos, como el Centro de Excelencia de Fabricación Médica. Este centro apoya la fabricación local a través de asociaciones con los sectores interesados. Otros están bien establecidos, como WIPO Green, </w:t>
      </w:r>
      <w:hyperlink r:id="rId29" w:history="1">
        <w:r w:rsidRPr="00426AC7">
          <w:rPr>
            <w:rStyle w:val="Hyperlink"/>
            <w:szCs w:val="22"/>
            <w:lang w:val="es-ES_tradnl"/>
          </w:rPr>
          <w:t>nuestro mercado de tecnología sostenible, que alberga más de 140 000 tecnologías verdes de más de 140 países, y que está llevando a cabo proyectos de gran impacto en China, Tayikistán y en toda América Latina</w:t>
        </w:r>
      </w:hyperlink>
      <w:r w:rsidRPr="00426AC7">
        <w:rPr>
          <w:szCs w:val="22"/>
          <w:lang w:val="es-ES_tradnl"/>
        </w:rPr>
        <w:t xml:space="preserve">. </w:t>
      </w:r>
    </w:p>
    <w:p w14:paraId="047011D2" w14:textId="77777777" w:rsidR="00BF4970" w:rsidRPr="00426AC7" w:rsidRDefault="00BF4970" w:rsidP="000054F7">
      <w:pPr>
        <w:pStyle w:val="ONUMFS"/>
        <w:keepNext/>
        <w:keepLines/>
        <w:numPr>
          <w:ilvl w:val="0"/>
          <w:numId w:val="0"/>
        </w:numPr>
        <w:ind w:left="567"/>
        <w:rPr>
          <w:i/>
          <w:iCs/>
          <w:szCs w:val="22"/>
          <w:lang w:val="es-ES_tradnl"/>
        </w:rPr>
      </w:pPr>
      <w:r w:rsidRPr="00426AC7">
        <w:rPr>
          <w:i/>
          <w:iCs/>
          <w:szCs w:val="22"/>
          <w:lang w:val="es-ES_tradnl"/>
        </w:rPr>
        <w:lastRenderedPageBreak/>
        <w:t>Pilar 4</w:t>
      </w:r>
    </w:p>
    <w:p w14:paraId="5A685E4F" w14:textId="77777777" w:rsidR="00BF4970" w:rsidRPr="00426AC7" w:rsidRDefault="00BF4970" w:rsidP="000054F7">
      <w:pPr>
        <w:pStyle w:val="ONUMFS"/>
        <w:keepNext/>
        <w:keepLines/>
        <w:numPr>
          <w:ilvl w:val="0"/>
          <w:numId w:val="0"/>
        </w:numPr>
        <w:ind w:left="567"/>
        <w:rPr>
          <w:szCs w:val="22"/>
          <w:lang w:val="es-ES_tradnl"/>
        </w:rPr>
      </w:pPr>
      <w:r w:rsidRPr="00426AC7">
        <w:rPr>
          <w:szCs w:val="22"/>
          <w:lang w:val="es-ES_tradnl"/>
        </w:rPr>
        <w:t xml:space="preserve">El pilar 4 consiste en hacer de la PI un catalizador del crecimiento y el desarrollo </w:t>
      </w:r>
      <w:r w:rsidRPr="00426AC7">
        <w:rPr>
          <w:i/>
          <w:iCs/>
          <w:szCs w:val="22"/>
          <w:lang w:val="es-ES_tradnl"/>
        </w:rPr>
        <w:t>de todos los países</w:t>
      </w:r>
      <w:r w:rsidRPr="00426AC7">
        <w:rPr>
          <w:szCs w:val="22"/>
          <w:lang w:val="es-ES_tradnl"/>
        </w:rPr>
        <w:t xml:space="preserve">. </w:t>
      </w:r>
    </w:p>
    <w:p w14:paraId="70F6DF4D"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El trabajo de la OMPI en este ámbito ha evolucionado en los últimos años, y se guía por tres principios fundamentales. </w:t>
      </w:r>
    </w:p>
    <w:p w14:paraId="49E18EAC" w14:textId="74EF11DF"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En primer lugar, tratamos de lograr efectos y evitar las ayudas puntuales al desarrollo que no aportan resultados concretos sobre el terreno. Por eso, junto con el formato más tradicional de seminario/taller, hemos sido pioneros en un enfoque por proyectos en el que tutelamos a un grupo de beneficiarios cuidadosamente seleccionados por ustedes durante un período de 9 a 12 meses, ayudándoles a incorporar la PI a su trayectoria vital. </w:t>
      </w:r>
      <w:hyperlink r:id="rId30" w:history="1">
        <w:r w:rsidRPr="00426AC7">
          <w:rPr>
            <w:rStyle w:val="Hyperlink"/>
            <w:szCs w:val="22"/>
            <w:lang w:val="es-ES_tradnl"/>
          </w:rPr>
          <w:t>En estos momentos, hemos llevado a cabo cerca de 90 proyectos que han transformado la vida de más de 2 000 beneficiarios</w:t>
        </w:r>
      </w:hyperlink>
      <w:r w:rsidRPr="00426AC7">
        <w:rPr>
          <w:szCs w:val="22"/>
          <w:lang w:val="es-ES_tradnl"/>
        </w:rPr>
        <w:t xml:space="preserve">. </w:t>
      </w:r>
    </w:p>
    <w:p w14:paraId="6D2B4681"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En segundo lugar, no intentamos hacerlo todo nosotros mismos, sino que buscamos socios que puedan ayudarnos a ampliar el alcance. Esto significa que buscamos activamente socios locales y comunitarios que puedan ayudarnos a llevar nuestros programas a sus miembros y comunidades, y cuando encontramos a estos socios, confiamos en ellos para que ofrezcan nuestras herramientas, programas y trabajo en nuestro nombre. Un ejemplo es el trabajo que realizamos con la CII y la FICCI en la India, que nos ha permitido llegar a miles de empresas del enorme sector de las pymes de la India. </w:t>
      </w:r>
    </w:p>
    <w:p w14:paraId="303CC3E4" w14:textId="77777777" w:rsidR="00BF4970" w:rsidRPr="00426AC7" w:rsidRDefault="00BF4970" w:rsidP="62D966B3">
      <w:pPr>
        <w:pStyle w:val="ONUMFS"/>
        <w:numPr>
          <w:ilvl w:val="0"/>
          <w:numId w:val="0"/>
        </w:numPr>
        <w:ind w:left="567"/>
        <w:rPr>
          <w:lang w:val="es-ES_tradnl"/>
        </w:rPr>
      </w:pPr>
      <w:r w:rsidRPr="00426AC7">
        <w:rPr>
          <w:lang w:val="es-ES_tradnl"/>
        </w:rPr>
        <w:t>En tercer lugar, no creemos en dar cosas, sino en crear capacidades. Esto es lo que queremos decir cuando afirmamos que el apoyo de la OMPI no consiste en dar limosnas -y esto no es lo que los países quieren de todos modos. Se trata más bien de crear aptitudes, capacidades y confianza, para que lo que se imparta sea sostenido y sostenible. Un ejemplo de ello es nuestro trabajo en Namibia para apoyar a las empresarias, que ha pasado de ser un proyecto de la OMPI a ser un programa ministerial dirigido por namibios para namibios.</w:t>
      </w:r>
    </w:p>
    <w:p w14:paraId="2633D394"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Como resultado de estas 3 nuevas formas de trabajar, me complace informar de que los programas, proyectos y ayudas de la OMPI han llegado a 400 000 jóvenes, 300 000 mujeres y 200 000 pymes en los últimos cuatro años, y en este mismo período la Academia de la OMPI ha formado a 620 000 personas de 190 países, prácticamente todo el mundo. Nos hemos convertido en el mayor proveedor de competencias, formación y capacidades en materia de propiedad intelectual. </w:t>
      </w:r>
    </w:p>
    <w:p w14:paraId="2D488EC3"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Permítame compartir algunos aspectos destacados</w:t>
      </w:r>
    </w:p>
    <w:p w14:paraId="539998F1" w14:textId="58C57963"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En primer lugar, </w:t>
      </w:r>
      <w:hyperlink r:id="rId31" w:history="1">
        <w:r w:rsidRPr="00426AC7">
          <w:rPr>
            <w:rStyle w:val="Hyperlink"/>
            <w:szCs w:val="22"/>
            <w:lang w:val="es-ES_tradnl"/>
          </w:rPr>
          <w:t>50 000 pymes de más de 180 países han utilizado nuestra herramienta de diagnóstico de la PI para comprender cómo la PI conecta con su negocio y su estrategia de crecimiento</w:t>
        </w:r>
      </w:hyperlink>
      <w:r w:rsidRPr="00426AC7">
        <w:rPr>
          <w:szCs w:val="22"/>
          <w:lang w:val="es-ES_tradnl"/>
        </w:rPr>
        <w:t>, lo que ha aumentado la concienciación fundamental sobre la PI entre los líderes empresariales. Estamos orgullosos de que la herramienta esté disponible en casi 30 idiomas.</w:t>
      </w:r>
    </w:p>
    <w:p w14:paraId="468D480B"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También ayudamos a las empresas a hacer un uso más inteligente y estratégico de la PI. Las pymes de más de 60 países se han beneficiado de las sesiones de asesoramiento sobre gestión de la PI, que abarcan desde la IA y la agroindustria hasta la tecnología médica y la moda y el diseño. </w:t>
      </w:r>
    </w:p>
    <w:p w14:paraId="35119674" w14:textId="56FF48B4"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Las asociaciones con organizaciones intermediarias de pymes también están creciendo. Ahora tenemos 100 en funcionamiento. </w:t>
      </w:r>
      <w:hyperlink r:id="rId32" w:history="1">
        <w:r w:rsidRPr="00426AC7">
          <w:rPr>
            <w:rStyle w:val="Hyperlink"/>
            <w:szCs w:val="22"/>
            <w:lang w:val="es-ES_tradnl"/>
          </w:rPr>
          <w:t xml:space="preserve">El mes pasado, firmé un nuevo acuerdo con el INPI de Francia y el organismo de Cámaras Consulares Africanas y Francófonas para </w:t>
        </w:r>
        <w:r w:rsidRPr="00426AC7">
          <w:rPr>
            <w:rStyle w:val="Hyperlink"/>
            <w:szCs w:val="22"/>
            <w:lang w:val="es-ES_tradnl"/>
          </w:rPr>
          <w:lastRenderedPageBreak/>
          <w:t>atender a más pymes en el África francófona</w:t>
        </w:r>
      </w:hyperlink>
      <w:r w:rsidRPr="00426AC7">
        <w:rPr>
          <w:szCs w:val="22"/>
          <w:lang w:val="es-ES_tradnl"/>
        </w:rPr>
        <w:t>. Este es exactamente el tipo de asociación específica que nos ayuda a desarrollar los conocimientos y las capacidades en materia de PI de forma muy concreta en diferentes partes del mundo.</w:t>
      </w:r>
    </w:p>
    <w:p w14:paraId="7EC5AC6A"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Y no nos detendremos aquí. Nuestro objetivo es llegar a otras 100 000 pymes en los próximos dos años. Para ayudar a conseguirlo, proponemos una nueva iniciativa: el programa mundial de capacitación empresarial (GEEP). Este programa es un servicio integral, adaptado a cada etapa del recorrido empresarial: desde la comprensión de la propiedad intelectual, su protección y su utilización para el crecimiento y la comercialización. Vemos el GEEP como un plan global para el éxito empresarial. </w:t>
      </w:r>
    </w:p>
    <w:p w14:paraId="00745B45" w14:textId="77777777" w:rsidR="00BF4970" w:rsidRPr="00426AC7" w:rsidRDefault="00BF4970" w:rsidP="62D966B3">
      <w:pPr>
        <w:pStyle w:val="ONUMFS"/>
        <w:numPr>
          <w:ilvl w:val="0"/>
          <w:numId w:val="0"/>
        </w:numPr>
        <w:ind w:left="567"/>
        <w:rPr>
          <w:lang w:val="es-ES_tradnl"/>
        </w:rPr>
      </w:pPr>
      <w:r w:rsidRPr="00426AC7">
        <w:rPr>
          <w:lang w:val="es-ES_tradnl"/>
        </w:rPr>
        <w:t>En segundo lugar, casi 5 000 mujeres empresarias se beneficiaron de nuestros programas de formación y tutoría el año pasado. Algunos esfuerzos son nacionales, como el apoyo a las tejedoras de cestas en Djibouti o a la comunidad artesanal de Tally en Egipto. Otros abarcan regiones, como nuestra iniciativa de marcas y moda en el mundo árabe. También estamos creando conexiones interregionales, vinculando a mujeres de África y el Caribe para compartir las mejores prácticas, inspirarse mutuamente y promover la igualdad de género a través de la PI.</w:t>
      </w:r>
    </w:p>
    <w:p w14:paraId="0ADE03D1" w14:textId="5FD8BF3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En tercer lugar, estamos empoderando a la próxima generación. </w:t>
      </w:r>
      <w:hyperlink r:id="rId33" w:history="1">
        <w:r w:rsidRPr="00426AC7">
          <w:rPr>
            <w:rStyle w:val="Hyperlink"/>
            <w:szCs w:val="22"/>
            <w:lang w:val="es-ES_tradnl"/>
          </w:rPr>
          <w:t>El año pasado pusimos en marcha la primera estrategia de la OMPI para la capacitación de los jóvenes, IP YES!</w:t>
        </w:r>
      </w:hyperlink>
      <w:r w:rsidRPr="00426AC7">
        <w:rPr>
          <w:szCs w:val="22"/>
          <w:lang w:val="es-ES_tradnl"/>
        </w:rPr>
        <w:t xml:space="preserve"> Una prioridad es acceder a los jóvenes a una edad temprana. Por eso estamos trabajando para llevar la PI y la innovación a las escuelas primarias y secundarias, y ampliando nuestros campamentos de verano sobre PI a Antigua y Barbuda, Estonia, Letonia, Lituania y Jordania. </w:t>
      </w:r>
    </w:p>
    <w:p w14:paraId="024520AD"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Pero la educación sobre la PI también debe conducir a la aplicación de la PI. Por ejemplo, en Zambia y Tanzania, hemos ayudado a 100 jóvenes a comercializar sus inventos. Esto ha llevado a la concesión de una docena de patentes. Así es como ayudamos a la próxima generación no solo a imaginar el futuro, sino a construirlo. </w:t>
      </w:r>
    </w:p>
    <w:p w14:paraId="31035139" w14:textId="77777777" w:rsidR="00BF4970" w:rsidRPr="00426AC7" w:rsidRDefault="00BF4970" w:rsidP="62D966B3">
      <w:pPr>
        <w:pStyle w:val="ONUMFS"/>
        <w:numPr>
          <w:ilvl w:val="0"/>
          <w:numId w:val="0"/>
        </w:numPr>
        <w:ind w:left="567"/>
        <w:rPr>
          <w:lang w:val="es-ES_tradnl"/>
        </w:rPr>
      </w:pPr>
      <w:r w:rsidRPr="00426AC7">
        <w:rPr>
          <w:lang w:val="es-ES_tradnl"/>
        </w:rPr>
        <w:t xml:space="preserve">En cuarto lugar, estamos profundizando en el apoyo a los pueblos indígenas y a las comunidades locales. Un ejemplo procede de la región peruana de Pasco, una zona productora de té, donde hemos trabajado con 15 comunidades locales ashaninka para registrar una marca colectiva. También hay proyectos activos en Australia para las empresas de las primeras naciones en Bushfoods, y en Guatemala, donde hemos iniciado un nuevo proyecto para 30 tejedoras indígenas. </w:t>
      </w:r>
    </w:p>
    <w:p w14:paraId="674FB4A9" w14:textId="5F980099" w:rsidR="00BF4970" w:rsidRPr="00426AC7" w:rsidRDefault="00BF4970" w:rsidP="000054F7">
      <w:pPr>
        <w:pStyle w:val="ONUMFS"/>
        <w:numPr>
          <w:ilvl w:val="0"/>
          <w:numId w:val="0"/>
        </w:numPr>
        <w:ind w:left="567"/>
        <w:rPr>
          <w:szCs w:val="22"/>
          <w:lang w:val="es-ES_tradnl"/>
        </w:rPr>
      </w:pPr>
      <w:bookmarkStart w:id="16" w:name="_Hlk202780945"/>
      <w:r w:rsidRPr="00426AC7">
        <w:rPr>
          <w:szCs w:val="22"/>
          <w:lang w:val="es-ES_tradnl"/>
        </w:rPr>
        <w:t xml:space="preserve">También estamos aumentando la sensibilización acerca de la PI entre quienes practican la medicina tradicional gracias a un proyecto en Botswana, que se basa en un exitoso proyecto piloto ejecutado en Etiopía. Y estamos intensificando la labor en favor de otros grupos marginados, como los empresarios con discapacidad intelectual de México y los empresarios migrantes de España. </w:t>
      </w:r>
      <w:hyperlink r:id="rId34" w:history="1">
        <w:r w:rsidRPr="00426AC7">
          <w:rPr>
            <w:rStyle w:val="Hyperlink"/>
            <w:szCs w:val="22"/>
            <w:lang w:val="es-ES_tradnl"/>
          </w:rPr>
          <w:t>Gracias a nuestro Consorcio de Libros Accesibles, las personas con dificultades para acceder al texto impreso, en todo el mundo, han tenido a su alcance 1,1 millones de títulos accesibles</w:t>
        </w:r>
      </w:hyperlink>
      <w:r w:rsidRPr="00426AC7">
        <w:rPr>
          <w:szCs w:val="22"/>
          <w:lang w:val="es-ES_tradnl"/>
        </w:rPr>
        <w:t>.</w:t>
      </w:r>
    </w:p>
    <w:p w14:paraId="77D2B263"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En quinto lugar, los Estados miembros están prestando mucha más atención a la comercialización de la PI y nos piden apoyo para ir más allá de la protección de la PI, para que esta se traduzca en puestos de trabajo, inversiones y resultados económicos.</w:t>
      </w:r>
    </w:p>
    <w:p w14:paraId="69127334" w14:textId="10E97EC6" w:rsidR="00BF4970" w:rsidRPr="00426AC7" w:rsidRDefault="00BF4970" w:rsidP="000054F7">
      <w:pPr>
        <w:pStyle w:val="ONUMFS"/>
        <w:numPr>
          <w:ilvl w:val="0"/>
          <w:numId w:val="0"/>
        </w:numPr>
        <w:ind w:left="567"/>
        <w:rPr>
          <w:szCs w:val="22"/>
          <w:lang w:val="es-ES_tradnl"/>
        </w:rPr>
      </w:pPr>
      <w:r w:rsidRPr="00426AC7">
        <w:rPr>
          <w:szCs w:val="22"/>
          <w:lang w:val="es-ES_tradnl"/>
        </w:rPr>
        <w:t xml:space="preserve">Para apoyar a inventores e investigadores, </w:t>
      </w:r>
      <w:hyperlink r:id="rId35" w:history="1">
        <w:r w:rsidRPr="00426AC7">
          <w:rPr>
            <w:rStyle w:val="Hyperlink"/>
            <w:szCs w:val="22"/>
            <w:lang w:val="es-ES_tradnl"/>
          </w:rPr>
          <w:t>nuestra red mundial de 1 600 Centros de Apoyo a la Tecnología y la Innovación, activos en más de 90 países, trató más de 2,2 millones de peticiones el año pasado</w:t>
        </w:r>
      </w:hyperlink>
      <w:r w:rsidRPr="00426AC7">
        <w:rPr>
          <w:szCs w:val="22"/>
          <w:lang w:val="es-ES_tradnl"/>
        </w:rPr>
        <w:t xml:space="preserve">, y con su aportación, los avances de la investigación se convierten en resultados comerciales. Nuestra próxima etapa consiste en ayudarlos a ascender en la cadena de valor, pasando de proporcionar información a </w:t>
      </w:r>
      <w:r w:rsidRPr="00426AC7">
        <w:rPr>
          <w:szCs w:val="22"/>
          <w:lang w:val="es-ES_tradnl"/>
        </w:rPr>
        <w:lastRenderedPageBreak/>
        <w:t>convertirse en oficinas de transferencia de tecnología, utilizando una referencia que lanzaremos próximamente.</w:t>
      </w:r>
    </w:p>
    <w:p w14:paraId="03DA79D2"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La comercialización de la PI no se refiere únicamente a la innovación industrial, también puede referirse a productos del patrimonio tradicional, elaborados por comunidades locales y centrados en prácticas tradicionales.</w:t>
      </w:r>
    </w:p>
    <w:p w14:paraId="6F801E4A"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En países como Camboya, Chile, Ghana y Granada, así como en Kazajstán, Togo y Vanuatu, estamos estableciendo una intensa colaboración con los productores locales para garantizar la protección de las indicaciones geográficas o las marcas colectivas y luego articular esa PI, de base más comunitaria, con la correcta combinación de marcas, diseños y derechos de autor, de modo que los distintos tipos de PI se conjuguen para ayudar a esos productos a entrar en nuevos mercados.</w:t>
      </w:r>
    </w:p>
    <w:p w14:paraId="2116F525" w14:textId="71D1D779" w:rsidR="00BF4970" w:rsidRPr="00426AC7" w:rsidRDefault="00BF4970" w:rsidP="62D966B3">
      <w:pPr>
        <w:pStyle w:val="ONUMFS"/>
        <w:numPr>
          <w:ilvl w:val="0"/>
          <w:numId w:val="0"/>
        </w:numPr>
        <w:ind w:left="567"/>
        <w:rPr>
          <w:lang w:val="es-ES_tradnl"/>
        </w:rPr>
      </w:pPr>
      <w:hyperlink r:id="rId36">
        <w:r w:rsidRPr="00426AC7">
          <w:rPr>
            <w:rStyle w:val="Hyperlink"/>
            <w:lang w:val="es-ES_tradnl"/>
          </w:rPr>
          <w:t>Nuestros esfuerzos por lograr que la PI sea considerada un activo financiero y por dar impulso a la valoración de la PI, a que se utilice como garantía y para financiación también avanzan a buen ritmo</w:t>
        </w:r>
      </w:hyperlink>
      <w:r w:rsidRPr="00426AC7">
        <w:rPr>
          <w:lang w:val="es-ES_tradnl"/>
        </w:rPr>
        <w:t>. Hemos completado una serie de estudios que se va nutriendo y hemos empezado a colaborar en esta cuestión con las comunidades de los ámbitos de la contabilidad, la valoración y las finanzas. Necesitaremos su ayuda para poner en marcha proyectos piloto en esta esfera, ya que tengo la sensación de que todavía es un tema muy nuevo para muchas de las personas que trabajan en finanzas.</w:t>
      </w:r>
    </w:p>
    <w:p w14:paraId="08C75474"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En sexto lugar, se intensifica nuestra labor en favor de la economía creativa y los creadores, con una fuerte demanda procedente tanto de países desarrollados como de países en desarrollo para que la OMPI contribuya al crecimiento de la economía creativa.</w:t>
      </w:r>
    </w:p>
    <w:p w14:paraId="61FF889B"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Para dar apoyo en este campo, hemos creado un nuevo modelo de economía creativa que aporta más profundidad y coherencia a la forma de medir la contribución económica. Ya hemos puesto a prueba este proyecto en Azerbaiyán, Kirguistán, Filipinas, Tailandia y Trinidad y Tabago, y esperamos llegar a más de 10 países a finales de año.</w:t>
      </w:r>
    </w:p>
    <w:p w14:paraId="2328916E" w14:textId="77777777" w:rsidR="00BF4970" w:rsidRPr="00426AC7" w:rsidRDefault="00BF4970" w:rsidP="62D966B3">
      <w:pPr>
        <w:pStyle w:val="ONUMFS"/>
        <w:numPr>
          <w:ilvl w:val="0"/>
          <w:numId w:val="0"/>
        </w:numPr>
        <w:ind w:left="567"/>
        <w:rPr>
          <w:lang w:val="es-ES_tradnl"/>
        </w:rPr>
      </w:pPr>
      <w:r w:rsidRPr="00426AC7">
        <w:rPr>
          <w:lang w:val="es-ES_tradnl"/>
        </w:rPr>
        <w:t xml:space="preserve">También nos complace informar que WIPO Connect, nuestro </w:t>
      </w:r>
      <w:r w:rsidRPr="00426AC7">
        <w:rPr>
          <w:i/>
          <w:iCs/>
          <w:lang w:val="es-ES_tradnl"/>
        </w:rPr>
        <w:t>software</w:t>
      </w:r>
      <w:r w:rsidRPr="00426AC7">
        <w:rPr>
          <w:lang w:val="es-ES_tradnl"/>
        </w:rPr>
        <w:t xml:space="preserve"> gratuito para la gestión colectiva del derecho de autor y los derechos conexos, está siendo utilizado actualmente por 60 organismos de gestión colectiva y, lo que es más importante, el año pasado distribuyó más de 30 millones de dólares a creadores y artistas intérpretes o ejecutantes de países en desarrollo. A través de WIPO Connect, ECCO, el OGC del Caribe, acaba de anunciar la distribución de más de un millón de dólares en regalías a músicos de lugares como Dominica, Santa Lucía y Saint Kitts y Nevis.</w:t>
      </w:r>
    </w:p>
    <w:p w14:paraId="665FEABF" w14:textId="77777777" w:rsidR="00BF4970" w:rsidRPr="00426AC7" w:rsidRDefault="00BF4970" w:rsidP="62D966B3">
      <w:pPr>
        <w:pStyle w:val="ONUMFS"/>
        <w:numPr>
          <w:ilvl w:val="0"/>
          <w:numId w:val="0"/>
        </w:numPr>
        <w:ind w:left="567"/>
        <w:rPr>
          <w:lang w:val="es-ES_tradnl"/>
        </w:rPr>
      </w:pPr>
      <w:r w:rsidRPr="00426AC7">
        <w:rPr>
          <w:lang w:val="es-ES_tradnl"/>
        </w:rPr>
        <w:t xml:space="preserve">Este también ha sido un año importante para CLIP, o </w:t>
      </w:r>
      <w:r w:rsidRPr="00426AC7">
        <w:rPr>
          <w:i/>
          <w:iCs/>
          <w:lang w:val="es-ES_tradnl"/>
        </w:rPr>
        <w:t>Creators Learn IP</w:t>
      </w:r>
      <w:r w:rsidRPr="00426AC7">
        <w:rPr>
          <w:lang w:val="es-ES_tradnl"/>
        </w:rPr>
        <w:t xml:space="preserve"> (Los creadores aprenden PI), nuestra plataforma gratuita en línea para sensibilizar a los creadores acerca de la PI, ahora disponible en los 6 idiomas de la ONU y en portugués. Acabamos de nombrar a nuestro primer grupo de Campeones de CLIP, entre los que se encuentra Solange Cesarovna, de Cabo Verde, que está ayudando a dar a conocer CLIP y ampliar su alcance. Prevemos ampliar la plataforma más allá de la música, también a las artes visuales.</w:t>
      </w:r>
    </w:p>
    <w:p w14:paraId="08BD8DA9"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Por último, más allá de los programas dirigidos a las personas en los Estados miembros, nuestro trabajo también se realiza en el nivel de las políticas nacionales.</w:t>
      </w:r>
    </w:p>
    <w:p w14:paraId="6AF051ED"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Actualmente estamos ayudando a más de 65 países en el trabajo relativo a sus estrategias nacionales de PI, que cada vez más se actualizan o revisan para alinearse con la nueva visión de la PI que muchos de ustedes comparten. Esto es fundamental para posicionar la PI de una manera totalmente diferente y es una de las herramientas de política más poderosas para que los gobiernos reformen su sistema de PI y lo conviertan en un ecosistema de innovación.</w:t>
      </w:r>
    </w:p>
    <w:p w14:paraId="2083E085"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lastRenderedPageBreak/>
        <w:t>Para los países menos adelantados, hemos creado el Paquete de Apoyo a la Graduación de los PMA, que es nuestro conjunto de servicios y apoyo a los PMA que están en el camino hacia la graduación y que ya está activo en Angola, Laos y Santo Tomé y Príncipe; hay nuevas iniciativas en marcha en Bangladesh y Nepal. Otros 40 PMA se han beneficiado de asesoramiento legislativo, y hemos creado un conjunto de herramientas para la graduación en derecho de patentes y tecnología.</w:t>
      </w:r>
    </w:p>
    <w:p w14:paraId="7E4905AF"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Además de como herramienta para el desarrollo, vemos la PI como un puente entre países y siempre encontramos oportunidades de aunar a los Estados miembros en el aprendizaje.</w:t>
      </w:r>
    </w:p>
    <w:p w14:paraId="526C13B1"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Algunos acontecimientos destacados en este ámbito son la primera Conferencia de jefes de oficinas de PI para los 17 Estados miembros de la OAPI, celebrada en Yaundé el año pasado, y la última Reunión Ministerial sobre PI para América Central y la República Dominicana, celebrada en Guatemala. También estamos intensificando el apoyo a los Pequeños Estados Insulares en Desarrollo y aumentando las oportunidades de cooperación Sur-Sur y triangular.</w:t>
      </w:r>
    </w:p>
    <w:p w14:paraId="173C56BA" w14:textId="77777777" w:rsidR="00BF4970" w:rsidRPr="00426AC7" w:rsidRDefault="00BF4970" w:rsidP="000054F7">
      <w:pPr>
        <w:pStyle w:val="ONUMFS"/>
        <w:numPr>
          <w:ilvl w:val="0"/>
          <w:numId w:val="0"/>
        </w:numPr>
        <w:ind w:left="567"/>
        <w:rPr>
          <w:b/>
          <w:bCs/>
          <w:i/>
          <w:iCs/>
          <w:szCs w:val="22"/>
          <w:lang w:val="es-ES_tradnl"/>
        </w:rPr>
      </w:pPr>
      <w:r w:rsidRPr="00426AC7">
        <w:rPr>
          <w:szCs w:val="22"/>
          <w:lang w:val="es-ES_tradnl"/>
        </w:rPr>
        <w:t>Queremos que la OMPI sea un puente y un nexo, y esta Asamblea General es una oportunidad más para que así sea, con tantas actividades de creación de redes que se están organizando.</w:t>
      </w:r>
    </w:p>
    <w:p w14:paraId="00D7E6DB" w14:textId="77777777" w:rsidR="00BF4970" w:rsidRPr="00426AC7" w:rsidRDefault="00BF4970" w:rsidP="000054F7">
      <w:pPr>
        <w:pStyle w:val="ONUMFS"/>
        <w:numPr>
          <w:ilvl w:val="0"/>
          <w:numId w:val="0"/>
        </w:numPr>
        <w:ind w:left="567"/>
        <w:rPr>
          <w:szCs w:val="22"/>
          <w:lang w:val="es-ES_tradnl"/>
        </w:rPr>
      </w:pPr>
      <w:r w:rsidRPr="00426AC7">
        <w:rPr>
          <w:i/>
          <w:iCs/>
          <w:szCs w:val="22"/>
          <w:lang w:val="es-ES_tradnl"/>
        </w:rPr>
        <w:t>Fundamento</w:t>
      </w:r>
    </w:p>
    <w:p w14:paraId="75C00565"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Queridos amigos, queridos colegas,</w:t>
      </w:r>
    </w:p>
    <w:p w14:paraId="629BE97A"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El fundamento de toda esta labor es la solidez financiera de la OMPI. La gestión por resultados, la planificación estratégica, los sólidos controles internos, la gobernanza eficaz... no son meras funciones administrativas, sino que constituyen la propia savia de la organización, órganos esenciales que mantienen a la OMPI en forma, sana y lista para prestar servicio.</w:t>
      </w:r>
    </w:p>
    <w:p w14:paraId="1258E762"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A este respecto, me complace informar de otro año de finanzas sanas. Los ingresos en 2024 alcanzaron los 496,7 millones de francos suizos, los beneficios de las inversiones ascendieron a 73,7 millones de francos y cerramos el año con un superávit de 140 millones de francos. Navegamos con seguridad y prudencia para poder brindarles servicios sin cargarlos con pesadas contribuciones.</w:t>
      </w:r>
    </w:p>
    <w:p w14:paraId="77B149F4"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Pero las organizaciones fuertes no se construyen únicamente sobre la base de sus finanzas; la cultura y las personas son igualmente vitales. Por eso estamos intensificando nuestros esfuerzos para alinear nuestro talento y nuestros recursos humanos con nuestros objetivos estratégicos. Hemos acelerado la aplicación de nuestro Plan de Acción de Diversidad Geográfica, poniendo en marcha proyectos piloto en Botswana, Estonia y Paraguay. También puedo decir que el 60% de los colegas que se incorporaron el año pasado son mujeres. Seguiremos esforzándonos por construir una cultura de trabajo más diversa, abierta, vibrante, colaborativa y orientada a los resultados.</w:t>
      </w:r>
    </w:p>
    <w:bookmarkEnd w:id="16"/>
    <w:p w14:paraId="676F0E0C"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w:t>
      </w:r>
    </w:p>
    <w:p w14:paraId="2A7ADEAB" w14:textId="77777777" w:rsidR="00BF4970" w:rsidRPr="00426AC7" w:rsidRDefault="00BF4970" w:rsidP="000054F7">
      <w:pPr>
        <w:pStyle w:val="ONUMFS"/>
        <w:keepNext/>
        <w:keepLines/>
        <w:numPr>
          <w:ilvl w:val="0"/>
          <w:numId w:val="0"/>
        </w:numPr>
        <w:ind w:left="567"/>
        <w:rPr>
          <w:szCs w:val="22"/>
          <w:lang w:val="es-ES_tradnl"/>
        </w:rPr>
      </w:pPr>
      <w:r w:rsidRPr="00426AC7">
        <w:rPr>
          <w:szCs w:val="22"/>
          <w:lang w:val="es-ES_tradnl"/>
        </w:rPr>
        <w:t>Estimados colegas, amigas y amigos:</w:t>
      </w:r>
    </w:p>
    <w:p w14:paraId="46BD06B6"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Para concluir, permítanme volver al punto de partida: nuestra misión de salvaguardar y promover el espíritu humano de innovación y creatividad, y de apoyar a los innovadores y creadores de todo el mundo.</w:t>
      </w:r>
    </w:p>
    <w:p w14:paraId="5CB73D9F"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lastRenderedPageBreak/>
        <w:t>Con su apoyo, hemos emprendido juntos un viaje de transformación en la OMPI y en el ecosistema mundial de la PI para hacer que esta sea relevante, concreta y visible para todo el mundo y no solo para una minoría.</w:t>
      </w:r>
    </w:p>
    <w:p w14:paraId="7CC3DDDE"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Como comunidad mundial de la PI, podemos sentir orgullo por la influencia que hemos tenido en la vida de cientos de miles de personas de todo el mundo. Sin embargo, aún hay muchas más que necesitan de nuestra ayuda y apoyo para comercializar sus ideas y hacer realidad sus aspiraciones.</w:t>
      </w:r>
    </w:p>
    <w:p w14:paraId="01237714"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Mi equipo y yo les prometemos todo nuestro apoyo mientras continuamos juntos este viaje de transformación para que, en los próximos años, nuestra visión de la innovación y la creatividad al servicio de todo el mundo cobre vida.</w:t>
      </w:r>
    </w:p>
    <w:p w14:paraId="489BDD42" w14:textId="77777777" w:rsidR="00BF4970" w:rsidRPr="00426AC7" w:rsidRDefault="00BF4970" w:rsidP="000054F7">
      <w:pPr>
        <w:pStyle w:val="ONUMFS"/>
        <w:numPr>
          <w:ilvl w:val="0"/>
          <w:numId w:val="0"/>
        </w:numPr>
        <w:ind w:left="567"/>
        <w:rPr>
          <w:szCs w:val="22"/>
          <w:lang w:val="es-ES_tradnl"/>
        </w:rPr>
      </w:pPr>
      <w:r w:rsidRPr="00426AC7">
        <w:rPr>
          <w:szCs w:val="22"/>
          <w:lang w:val="es-ES_tradnl"/>
        </w:rPr>
        <w:t>Muchas gracias por su caluroso apoyo; les deseo lo mejor para estas Asambleas.</w:t>
      </w:r>
    </w:p>
    <w:p w14:paraId="626FCE25" w14:textId="4FFF2A01" w:rsidR="009B6AFA" w:rsidRPr="00426AC7" w:rsidRDefault="00BF4970" w:rsidP="000054F7">
      <w:pPr>
        <w:pStyle w:val="ONUMFS"/>
        <w:numPr>
          <w:ilvl w:val="0"/>
          <w:numId w:val="0"/>
        </w:numPr>
        <w:spacing w:after="480"/>
        <w:ind w:left="567"/>
        <w:rPr>
          <w:szCs w:val="22"/>
          <w:lang w:val="es-ES_tradnl"/>
        </w:rPr>
      </w:pPr>
      <w:r w:rsidRPr="00426AC7">
        <w:rPr>
          <w:szCs w:val="22"/>
          <w:lang w:val="es-ES_tradnl"/>
        </w:rPr>
        <w:t>Gracias.”</w:t>
      </w:r>
    </w:p>
    <w:p w14:paraId="67997AE4" w14:textId="77777777" w:rsidR="00767062" w:rsidRPr="00426AC7" w:rsidRDefault="00767062" w:rsidP="005027A2">
      <w:pPr>
        <w:pStyle w:val="Heading2"/>
        <w:spacing w:before="0" w:after="120" w:line="480" w:lineRule="auto"/>
        <w:rPr>
          <w:szCs w:val="22"/>
          <w:lang w:val="es-ES_tradnl"/>
        </w:rPr>
      </w:pPr>
      <w:bookmarkStart w:id="17" w:name="_Toc209694190"/>
      <w:r w:rsidRPr="00426AC7">
        <w:rPr>
          <w:szCs w:val="22"/>
          <w:lang w:val="es-ES_tradnl"/>
        </w:rPr>
        <w:t>PUNTO 4 DEL ORDEN DEL DÍA CONSOLIDADO</w:t>
      </w:r>
      <w:r w:rsidRPr="00426AC7">
        <w:rPr>
          <w:szCs w:val="22"/>
          <w:lang w:val="es-ES_tradnl"/>
        </w:rPr>
        <w:br/>
        <w:t>DECLARACIONES GENERALES</w:t>
      </w:r>
      <w:bookmarkEnd w:id="17"/>
    </w:p>
    <w:p w14:paraId="060C764A" w14:textId="47BF07E3" w:rsidR="00767062" w:rsidRPr="00426AC7" w:rsidRDefault="00767062" w:rsidP="62D966B3">
      <w:pPr>
        <w:pStyle w:val="ONUMFS"/>
        <w:rPr>
          <w:lang w:val="es-ES_tradnl"/>
        </w:rPr>
      </w:pPr>
      <w:r w:rsidRPr="00426AC7">
        <w:rPr>
          <w:lang w:val="es-ES_tradnl"/>
        </w:rPr>
        <w:t>Las delegaciones y los representantes de los siguientes 14</w:t>
      </w:r>
      <w:r w:rsidR="00124732" w:rsidRPr="00426AC7">
        <w:rPr>
          <w:lang w:val="es-ES_tradnl"/>
        </w:rPr>
        <w:t>1</w:t>
      </w:r>
      <w:r w:rsidRPr="00426AC7">
        <w:rPr>
          <w:lang w:val="es-ES_tradnl"/>
        </w:rPr>
        <w:t xml:space="preserve"> Estados (incluidos 11 en nombre de grupos de Estados), ocho organizaciones intergubernamentales (OIG) y 29 organizaciones no gubernamentales (ONG) formularon declaraciones orales o escritas en relación con este punto del orden del día: Albania, Alemania, Angola, Antigua y Barbuda, Arabia Saudita, Argelia, Argentina, Armenia, Australia, Austria, Azerbaiyán, Bahamas, Bahrein, Bangladesh, Belarús, Belice, Bhután, </w:t>
      </w:r>
      <w:r w:rsidR="00481EDF" w:rsidRPr="00426AC7">
        <w:rPr>
          <w:lang w:val="es-ES_tradnl"/>
        </w:rPr>
        <w:t xml:space="preserve">Bolivia (Estado Plurinacional de), </w:t>
      </w:r>
      <w:r w:rsidRPr="00426AC7">
        <w:rPr>
          <w:lang w:val="es-ES_tradnl"/>
        </w:rPr>
        <w:t>Botswana, Brasil, Burkina Faso, Cabo Verde, Camboya, Camerún, Canadá, Chile, China, Colombia, Congo, Costa Rica, Côte d'Ivoire, Croacia, Cuba, Chipre, Dinamarca, Ecuador, Egipto, El Salvador, Emiratos Árabes Unidos, Eslovaquia, Eslovenia, España, Estados Unidos de América, Estonia, Eswatini, Etiopía, Federación de Rusia, Filipinas, Finlandia, Francia, Gabón, Gambia, Georgia, Ghana, Grecia, Granada, Guatemala, Guinea, GuineaBissau</w:t>
      </w:r>
      <w:r w:rsidRPr="00426AC7">
        <w:rPr>
          <w:lang w:val="es-ES_tradnl"/>
        </w:rPr>
        <w:noBreakHyphen/>
        <w:t xml:space="preserve">, Honduras, Hungría, Islandia, India, Indonesia, </w:t>
      </w:r>
      <w:r w:rsidR="00481EDF" w:rsidRPr="00426AC7">
        <w:rPr>
          <w:lang w:val="es-ES_tradnl"/>
        </w:rPr>
        <w:t xml:space="preserve">Irán (República Islámica del), </w:t>
      </w:r>
      <w:r w:rsidRPr="00426AC7">
        <w:rPr>
          <w:lang w:val="es-ES_tradnl"/>
        </w:rPr>
        <w:t xml:space="preserve">Iraq, Israel, Italia, Jamaica, Japón, Jordania, Kazajstán, Kenia, Kuwait, Kirguistán, Letonia, Lesotho, Líbano, Lituania, Madagascar, Malawi, Malasia, Malí, Marruecos, México, Mongolia, Mozambique, Namibia, Nepal, Níger, Nigeria, Noruega, Nueva Zelandia, Omán, Pakistán, Panamá, Paraguay, Perú, Polonia, Portugal, Qatar, Reino Unido, República Árabe Siria, República Checa, República de Corea, República Democrática del Congo, República Dominicana, República de Moldova, República Democrática Popular Lao, República Popular Democrática de Corea, República Unida de Tanzanía, Rumanía, Rwanda, Saint Kitts y Nevis, Samoa, Santa Sede, Serbia, Seychelles, Sierra Leona, Singapur, Sudáfrica, Sri Lanka, Sudán, Suecia, Suiza, Tailandia, Tayikistán, </w:t>
      </w:r>
      <w:r w:rsidR="00292233" w:rsidRPr="00426AC7">
        <w:rPr>
          <w:lang w:val="es-ES_tradnl"/>
        </w:rPr>
        <w:t>Timor</w:t>
      </w:r>
      <w:r w:rsidR="00292233" w:rsidRPr="00426AC7">
        <w:rPr>
          <w:szCs w:val="22"/>
          <w:lang w:val="es-ES_tradnl"/>
        </w:rPr>
        <w:noBreakHyphen/>
      </w:r>
      <w:r w:rsidR="00124732" w:rsidRPr="00426AC7">
        <w:rPr>
          <w:lang w:val="es-ES_tradnl"/>
        </w:rPr>
        <w:t xml:space="preserve">Leste, </w:t>
      </w:r>
      <w:r w:rsidRPr="00426AC7">
        <w:rPr>
          <w:lang w:val="es-ES_tradnl"/>
        </w:rPr>
        <w:t xml:space="preserve">Togo, Trinidad y Tabago, Túnez, Türkiye, Uganda, Ucrania, Uruguay, Uzbekistán, Vanuatu, </w:t>
      </w:r>
      <w:r w:rsidR="00481EDF" w:rsidRPr="00426AC7">
        <w:rPr>
          <w:lang w:val="es-ES_tradnl"/>
        </w:rPr>
        <w:t xml:space="preserve">Venezuela (República Bolivariana de), </w:t>
      </w:r>
      <w:r w:rsidRPr="00426AC7">
        <w:rPr>
          <w:lang w:val="es-ES_tradnl"/>
        </w:rPr>
        <w:t xml:space="preserve">Viet Nam, Zambia, Zimbabwe, Unión Europea, Organización Africana de la Propiedad Intelectual (OAPI), Organización Regional Africana de la Propiedad Intelectual (ARIPO), Oficina Euroasiática de Patentes, Liga de los Estados Árabes (LEA), Organización de Cooperación Islámica (OCI), Oficina de Patentes del Consejo de Cooperación de los Estados Árabes del Golfo (Oficina de Patentes del CCG), South Centre (CS), Consorcio para Nombres Comunes de Alimentos (CCFN), European Commercial Patent Services Group (PatCom), Global Expert Network on Copyright User Rights (User Rights Network), Escuela Latinoamericana de la Propiedad Intelectual (ELAPI), Asociación Interamericana de la Propiedad Industrial (ASIPI), Asociación Internacional para la Protección de la Propiedad Intelectual (AIPPI), International Association of Young Lawyers (AIJA), Cámara de Comercio Internacional (CCI), Comité Internacional para los Pueblos Indígenas de las Américas (Incomindios), International Generic and Biosimilar Medecines Association (IGBA), </w:t>
      </w:r>
      <w:r w:rsidRPr="00426AC7">
        <w:rPr>
          <w:lang w:val="es-ES_tradnl"/>
        </w:rPr>
        <w:lastRenderedPageBreak/>
        <w:t>International Intellectual Property Commercialization Council (IIPCC), Maloca</w:t>
      </w:r>
      <w:r w:rsidRPr="00426AC7">
        <w:rPr>
          <w:i/>
          <w:iCs/>
          <w:lang w:val="es-ES_tradnl"/>
        </w:rPr>
        <w:t xml:space="preserve"> Internationale</w:t>
      </w:r>
      <w:r w:rsidRPr="00426AC7">
        <w:rPr>
          <w:lang w:val="es-ES_tradnl"/>
        </w:rPr>
        <w:t>, Organization for an International Geographical Indications Network (ORIGIN), Third World Network Berhad (TWN), All-China Patent Agents Association (ACPAA), American Arab Intellectual Property Association (AAIPA), Bahrain Intellectual Property Society (BIPS), Brand Owners Protection Group (Gulf BPG), China Council for the Promotion of International Trade (CCPIT), Egyptian Council for Innovation, Creativity and Intellectual Property Protection (ECCIPP), Emirates Intellectual Property Association (EIPA), Emirates Reprographic Rights Management Association (ERRA), Emirates Science Club, Asociación Alemana para la Protección de la Propiedad Intelectual (GRUR), Health and Environment Program (HEP), Institute for Intellectual Property and Social Justice (IIPSJ), Intellectual Property Protection Association (IPPA), Japan Intellectual Property Association (JIPA) y Knowledge Ecology International (KEI).</w:t>
      </w:r>
    </w:p>
    <w:p w14:paraId="2722B938" w14:textId="77777777" w:rsidR="00767062" w:rsidRPr="00426AC7" w:rsidRDefault="00767062" w:rsidP="005F4088">
      <w:pPr>
        <w:pStyle w:val="ONUMFS"/>
        <w:spacing w:after="480"/>
        <w:rPr>
          <w:szCs w:val="22"/>
          <w:lang w:val="es-ES_tradnl"/>
        </w:rPr>
      </w:pPr>
      <w:r w:rsidRPr="00426AC7">
        <w:rPr>
          <w:szCs w:val="22"/>
          <w:lang w:val="es-ES_tradnl"/>
        </w:rPr>
        <w:t>Las declaraciones relativas a este punto del orden del día constan en el Anexo.</w:t>
      </w:r>
    </w:p>
    <w:p w14:paraId="7A2865FE" w14:textId="77777777" w:rsidR="00767062" w:rsidRPr="00426AC7" w:rsidRDefault="00767062" w:rsidP="005027A2">
      <w:pPr>
        <w:pStyle w:val="Heading2"/>
        <w:spacing w:before="0" w:after="120" w:line="480" w:lineRule="auto"/>
        <w:rPr>
          <w:szCs w:val="22"/>
          <w:lang w:val="es-ES_tradnl"/>
        </w:rPr>
      </w:pPr>
      <w:bookmarkStart w:id="18" w:name="_Toc209694191"/>
      <w:r w:rsidRPr="00426AC7">
        <w:rPr>
          <w:szCs w:val="22"/>
          <w:lang w:val="es-ES_tradnl"/>
        </w:rPr>
        <w:t>PUNTO 5 DEL ORDEN DEL DÍA CONSOLIDADO</w:t>
      </w:r>
      <w:r w:rsidRPr="00426AC7">
        <w:rPr>
          <w:szCs w:val="22"/>
          <w:lang w:val="es-ES_tradnl"/>
        </w:rPr>
        <w:br/>
        <w:t>ELECCIÓN DE LAS MESAS</w:t>
      </w:r>
      <w:bookmarkEnd w:id="18"/>
    </w:p>
    <w:p w14:paraId="7ADDBA81" w14:textId="043C05B1" w:rsidR="00767062" w:rsidRPr="00426AC7" w:rsidRDefault="00767062" w:rsidP="005F4088">
      <w:pPr>
        <w:pStyle w:val="ONUMFS"/>
        <w:rPr>
          <w:szCs w:val="22"/>
          <w:lang w:val="es-ES_tradnl"/>
        </w:rPr>
      </w:pPr>
      <w:r w:rsidRPr="00426AC7">
        <w:rPr>
          <w:szCs w:val="22"/>
          <w:lang w:val="es-ES_tradnl"/>
        </w:rPr>
        <w:t xml:space="preserve">Los debates se basaron en el documento </w:t>
      </w:r>
      <w:hyperlink r:id="rId37" w:history="1">
        <w:r w:rsidRPr="00426AC7">
          <w:rPr>
            <w:rStyle w:val="Hyperlink"/>
            <w:szCs w:val="22"/>
            <w:lang w:val="es-ES_tradnl"/>
          </w:rPr>
          <w:t>A/66/INF/2</w:t>
        </w:r>
      </w:hyperlink>
      <w:r w:rsidRPr="00426AC7">
        <w:rPr>
          <w:szCs w:val="22"/>
          <w:lang w:val="es-ES_tradnl"/>
        </w:rPr>
        <w:t>.</w:t>
      </w:r>
    </w:p>
    <w:p w14:paraId="2748E32C" w14:textId="77777777" w:rsidR="00767062" w:rsidRPr="00426AC7" w:rsidRDefault="00767062" w:rsidP="005F4088">
      <w:pPr>
        <w:pStyle w:val="ONUMFS"/>
        <w:rPr>
          <w:szCs w:val="22"/>
          <w:lang w:val="es-ES_tradnl"/>
        </w:rPr>
      </w:pPr>
      <w:r w:rsidRPr="00426AC7">
        <w:rPr>
          <w:szCs w:val="22"/>
          <w:lang w:val="es-ES_tradnl"/>
        </w:rPr>
        <w:t>Al presentar el punto 5 del orden del día, la consejera jurídica recordó que, en las Asambleas del presente año, los Estados miembros están obligados a elegir a los miembros de las mesas directivas, a saber: una presidencia y dos vicepresidencias para las 22 Asambleas y demás órganos de los Estados miembros de la OMPI y de las Uniones, para un total de 66 puestos de las mesas. Recordó que todos los miembros, a excepción de los del Comité de Coordinación y de los Comités Ejecutivos de las Uniones de París y de Berna, son nombrados para un mandato de dos años. El presidente y los vicepresidentes del Comité de Coordinación y de los Comités Ejecutivos de las Uniones de París y de Berna tienen un mandato de un año. La consejera jurídica recordó que, de conformidad con el artículo 9.2) del Reglamento general de la OMPI, el mandato de la mesa directiva comenzará después de la última reunión del período de sesiones en el que haya sido elegida y la mesa directiva continuará en sus funciones hasta que comience el mandato de la nueva mesa elegida. La consejera jurídica dijo que le complace anunciar que los Estados miembros han logrado el consenso respecto de las mesas que han de ser elegidas, y añadió que la lista de candidaturas se proyecta en la pantalla.</w:t>
      </w:r>
    </w:p>
    <w:p w14:paraId="323FCFA6" w14:textId="77777777" w:rsidR="00767062" w:rsidRPr="00426AC7" w:rsidRDefault="00767062" w:rsidP="005F4088">
      <w:pPr>
        <w:pStyle w:val="ONUMFS"/>
        <w:rPr>
          <w:szCs w:val="22"/>
          <w:lang w:val="es-ES_tradnl"/>
        </w:rPr>
      </w:pPr>
      <w:r w:rsidRPr="00426AC7">
        <w:rPr>
          <w:szCs w:val="22"/>
          <w:lang w:val="es-ES_tradnl"/>
        </w:rPr>
        <w:t>El presidente dio las gracias a la consejera jurídica y propuso la aprobación de las candidaturas, que han obtenido el consenso entre los Estados miembros.</w:t>
      </w:r>
    </w:p>
    <w:p w14:paraId="5AB01C3D" w14:textId="2789334A" w:rsidR="009B6AFA" w:rsidRPr="00426AC7" w:rsidRDefault="00767062" w:rsidP="00945489">
      <w:pPr>
        <w:pStyle w:val="ONUMFS"/>
        <w:spacing w:after="480"/>
        <w:ind w:left="567"/>
        <w:rPr>
          <w:szCs w:val="22"/>
          <w:lang w:val="es-ES_tradnl"/>
        </w:rPr>
      </w:pPr>
      <w:r w:rsidRPr="00426AC7">
        <w:rPr>
          <w:szCs w:val="22"/>
          <w:lang w:val="es-ES_tradnl"/>
        </w:rPr>
        <w:t xml:space="preserve">Las Asambleas de la OMPI, en lo que a cada una concierne, eligieron sus respectivas mesas, según figura en el documento </w:t>
      </w:r>
      <w:hyperlink r:id="rId38" w:history="1">
        <w:r w:rsidRPr="00426AC7">
          <w:rPr>
            <w:rStyle w:val="Hyperlink"/>
            <w:szCs w:val="22"/>
            <w:lang w:val="es-ES_tradnl"/>
          </w:rPr>
          <w:t>A/66/INF/2</w:t>
        </w:r>
      </w:hyperlink>
      <w:r w:rsidRPr="00426AC7">
        <w:rPr>
          <w:szCs w:val="22"/>
          <w:lang w:val="es-ES_tradnl"/>
        </w:rPr>
        <w:t>.</w:t>
      </w:r>
    </w:p>
    <w:p w14:paraId="31382E1F" w14:textId="09065FEC" w:rsidR="009B6AFA" w:rsidRPr="00426AC7" w:rsidRDefault="00945489" w:rsidP="005027A2">
      <w:pPr>
        <w:pStyle w:val="Heading2"/>
        <w:spacing w:before="0" w:after="120" w:line="480" w:lineRule="auto"/>
        <w:rPr>
          <w:szCs w:val="22"/>
          <w:lang w:val="es-ES_tradnl"/>
        </w:rPr>
      </w:pPr>
      <w:bookmarkStart w:id="19" w:name="_Toc209694192"/>
      <w:bookmarkStart w:id="20" w:name="_Hlk171954803"/>
      <w:r w:rsidRPr="00426AC7">
        <w:rPr>
          <w:szCs w:val="22"/>
          <w:lang w:val="es-ES_tradnl"/>
        </w:rPr>
        <w:t>PUNTO 6 DEL ORDEN DEL DÍA CONSOLIDADO</w:t>
      </w:r>
      <w:r w:rsidRPr="00426AC7">
        <w:rPr>
          <w:szCs w:val="22"/>
          <w:lang w:val="es-ES_tradnl"/>
        </w:rPr>
        <w:br/>
        <w:t>ADMISIÓN DE OBSERVADORES</w:t>
      </w:r>
      <w:bookmarkEnd w:id="19"/>
    </w:p>
    <w:p w14:paraId="6D2165F5" w14:textId="5D68A49A" w:rsidR="00945489" w:rsidRPr="00426AC7" w:rsidRDefault="00945489" w:rsidP="00945489">
      <w:pPr>
        <w:pStyle w:val="ONUMFS"/>
        <w:rPr>
          <w:szCs w:val="22"/>
          <w:lang w:val="es-ES_tradnl"/>
        </w:rPr>
      </w:pPr>
      <w:bookmarkStart w:id="21" w:name="_Hlk169775998"/>
      <w:bookmarkStart w:id="22" w:name="_Hlk160528655"/>
      <w:r w:rsidRPr="00426AC7">
        <w:rPr>
          <w:szCs w:val="22"/>
          <w:lang w:val="es-ES_tradnl"/>
        </w:rPr>
        <w:t xml:space="preserve">Los debates se basaron en el documento </w:t>
      </w:r>
      <w:hyperlink r:id="rId39" w:history="1">
        <w:r w:rsidRPr="00426AC7">
          <w:rPr>
            <w:rStyle w:val="Hyperlink"/>
            <w:szCs w:val="22"/>
            <w:lang w:val="es-ES_tradnl"/>
          </w:rPr>
          <w:t>A/66/3 Rev. 2.</w:t>
        </w:r>
      </w:hyperlink>
    </w:p>
    <w:p w14:paraId="3551533B" w14:textId="0F8012CF" w:rsidR="00945489" w:rsidRPr="00426AC7" w:rsidRDefault="00945489" w:rsidP="62D966B3">
      <w:pPr>
        <w:pStyle w:val="ONUMFS"/>
        <w:rPr>
          <w:lang w:val="es-ES_tradnl"/>
        </w:rPr>
      </w:pPr>
      <w:r w:rsidRPr="00426AC7">
        <w:rPr>
          <w:lang w:val="es-ES_tradnl"/>
        </w:rPr>
        <w:t xml:space="preserve">Al presentar el punto 6 del orden del día, la </w:t>
      </w:r>
      <w:r w:rsidR="00844F75" w:rsidRPr="00426AC7">
        <w:rPr>
          <w:lang w:val="es-ES_tradnl"/>
        </w:rPr>
        <w:t>c</w:t>
      </w:r>
      <w:r w:rsidRPr="00426AC7">
        <w:rPr>
          <w:lang w:val="es-ES_tradnl"/>
        </w:rPr>
        <w:t xml:space="preserve">onsejera </w:t>
      </w:r>
      <w:r w:rsidR="00844F75" w:rsidRPr="00426AC7">
        <w:rPr>
          <w:lang w:val="es-ES_tradnl"/>
        </w:rPr>
        <w:t>j</w:t>
      </w:r>
      <w:r w:rsidRPr="00426AC7">
        <w:rPr>
          <w:lang w:val="es-ES_tradnl"/>
        </w:rPr>
        <w:t xml:space="preserve">urídica señaló a la atención de las delegaciones el documento A/66/3 Rev. 2 e invitó a los Estados Miembros a que examinaran las solicitudes de concesión de la condición de observador presentadas por una ONG </w:t>
      </w:r>
      <w:r w:rsidRPr="00426AC7">
        <w:rPr>
          <w:lang w:val="es-ES_tradnl"/>
        </w:rPr>
        <w:lastRenderedPageBreak/>
        <w:t>internacional y 12 ONG nacionales, enumeradas en el párrafo 4 del documento A/66/3 Rev. 2. En lo que respecta a las ocho organizaciones nacionales no gubernamentales, y de conformidad con los principios aplicables a las ONG nacionales que adoptaron los Estados miembros, antes de que se presentara la petición de la ONG a las Asambleas de los Estados miembros, la Secretaría celebró las consultas necesarias con el Estado miembro de la OMPI del que procede la ONG. Además, informó a los Estados miembros que se ha recibido el acuerdo necesario en relación con las 12 solicitudes de las ONG nacionales en cuestión.</w:t>
      </w:r>
    </w:p>
    <w:p w14:paraId="0BF2C625" w14:textId="77777777" w:rsidR="00945489" w:rsidRPr="00426AC7" w:rsidRDefault="00945489" w:rsidP="62D966B3">
      <w:pPr>
        <w:pStyle w:val="ONUMFS"/>
        <w:rPr>
          <w:lang w:val="es-ES_tradnl"/>
        </w:rPr>
      </w:pPr>
      <w:r w:rsidRPr="00426AC7">
        <w:rPr>
          <w:lang w:val="es-ES_tradnl"/>
        </w:rPr>
        <w:t>La delegación de China expresó desacuerdo con la admisión de la Fundación Wikimedia como observador en la OMPI. En opinión de la delegación, la Fundación Wikimedia gestiona proyectos, incluido el sitio web Wikipedia, con una gran cantidad de contenidos e información errónea que violan el principio de una sola China. En los últimos cinco años, China ha manifestado reiteradamente su preocupación al respecto en las reuniones pertinentes de la OMPI. La delegación continuó subrayando que la Fundación Wikimedia sigue llevando a cabo actividades como en el pasado, sin mostrar interés alguno por abordar la cuestión. Hasta que la Fundación Wikimedia aborde las graves preocupaciones de China, la delegación de China se opondrá a la admisión de la Fundación Wikimedia como observador. La delegación añadió que desea reiterar tres importantes puntos relativos a la solicitud. En primer lugar, señaló que las actividades de los observadores de la OMPI deben atenerse a los principios de la Carta de las Naciones Unidas (ONU), que es primordial, y marca el camino para determinar si una organización cumple los criterios para obtener la condición de observador. Las operaciones de la Fundación Wikimedia socavan el principio de una sola China, así como la soberanía y la integridad territorial de China, y son contrarias a la resolución 2758 de la Asamblea General de las Naciones Unidas y a la postura reiterada de la OMPI sobre el principio de una sola China. Como organismo especializado de la ONU, la OMPI debe aplicar estrictamente las resoluciones pertinentes de la Asamblea General de las Naciones Unidas y no debe aceptar a la Fundación Wikimedia como observador. En segundo lugar, señaló que los observadores deben demostrar una voluntad sincera de comunicación y cooperación. A lo largo de los años, China ha expresado en repetidas ocasiones su preocupación por cuestiones relacionadas con la Fundación Wikimedia, ante las que siempre ha hecho la vista gorda y no ha tomado medidas correctoras concretas. En cambio, la Fundación Wikimedia intentó pasar de largo año tras año. Según la delegación, eso demuestra una falta de sinceridad en el cumplimiento de las responsabilidades y obligaciones de un observador. Tolerar este tipo de acciones no solo socava la autoridad de la OMPI, sino que también obstaculiza su desarrollo saludable y a largo plazo. En tercer lugar, la delegación desea volver a hacer hincapié en que la decisión sobre la admisión de observadores siempre ha sido tomada por los Estados miembros de la OMPI sobre la base del consenso y espera que todas las partes mantengan el método de trabajo basado en el consenso, en un espíritu de unidad y cooperación. La delegación instó a todos los Estados miembros a que se atengan a los métodos de trabajo de la OMPI, basados desde hace tiempo en el consenso, y los defiendan, para mantener el dinamismo y la estabilidad del sistema internacional de gobernanza de la propiedad intelectual (PI).</w:t>
      </w:r>
    </w:p>
    <w:p w14:paraId="7BA82665" w14:textId="0F1B9174" w:rsidR="00945489" w:rsidRPr="00426AC7" w:rsidRDefault="00945489" w:rsidP="62D966B3">
      <w:pPr>
        <w:pStyle w:val="ONUMFS"/>
        <w:rPr>
          <w:lang w:val="es-ES_tradnl"/>
        </w:rPr>
      </w:pPr>
      <w:r w:rsidRPr="00426AC7">
        <w:rPr>
          <w:lang w:val="es-ES_tradnl"/>
        </w:rPr>
        <w:t>La delegación del Japón, haciendo uso de la palabra en nombre del Grupo B, dio las gracias a la Secretaría por haber preparado el documento A/66/3 Rev. 2 y expresó apoyo a todas las peticiones que en él se exponen. La delegación declaró que el Grupo B entiende, sobre la base del párrafo 4 del documento A/66/3 Rev. 2, que todas las solicitudes de concesión de la condición de observador recibidas por la Secretaría contienen la información necesaria para permitir el examen y la posterior concesión de la condición de observador. En opinión del Grupo B, las solicitudes publicadas cumplen todos los requisitos de procedimiento. La delegación recordó que las organizaciones enumeradas en los Anexos 1 y 2 del documento</w:t>
      </w:r>
      <w:r w:rsidR="00A94EEE" w:rsidRPr="00426AC7">
        <w:rPr>
          <w:lang w:val="es-ES_tradnl"/>
        </w:rPr>
        <w:t> </w:t>
      </w:r>
      <w:r w:rsidRPr="00426AC7">
        <w:rPr>
          <w:lang w:val="es-ES_tradnl"/>
        </w:rPr>
        <w:t xml:space="preserve">A/66/3 Rev. 2, que comprenden una ONG internacional y 12 ONG nacionales, demostraron una clara pertinencia para las cuestiones de PI. Esas organizaciones se ajustan a los principios de admisión de observadores de la OMPI, como se indica en el sitio web de la OMPI, que hacen hincapié en las contribuciones sustantivas a las deliberaciones sobre propiedad intelectual. El Grupo B destaca que la participación de observadores enriquece los </w:t>
      </w:r>
      <w:r w:rsidRPr="00426AC7">
        <w:rPr>
          <w:lang w:val="es-ES_tradnl"/>
        </w:rPr>
        <w:lastRenderedPageBreak/>
        <w:t>debates políticos de la OMPI gracias a sus conocimientos técnicos y a la diversidad regional, como se puso de manifiesto en sesiones anteriores. La inclusión de varias entidades garantizó una representación equilibrada de sectores divergentes. La delegación subrayó el compromiso de larga data de la OMPI con la inclusión, como reflejan las 209 ONG internacionales y 111 nacionales acreditadas como observadoras. La delegación subrayó que denegar la condición de observador sin motivos de peso sería contrario al espíritu de transparencia e inclusión. Por lo tanto, el Grupo B solicita respetuosamente la aprobación de la lista completa de solicitudes de concesión de la condición de observador del documento A/66/3 Rev. 2, en sintonía con los precedentes establecidos y la equidad de procedimiento.</w:t>
      </w:r>
    </w:p>
    <w:p w14:paraId="7CD5F04A" w14:textId="77777777" w:rsidR="00945489" w:rsidRPr="00426AC7" w:rsidRDefault="00945489" w:rsidP="62D966B3">
      <w:pPr>
        <w:pStyle w:val="ONUMFS"/>
        <w:rPr>
          <w:lang w:val="es-ES_tradnl"/>
        </w:rPr>
      </w:pPr>
      <w:r w:rsidRPr="00426AC7">
        <w:rPr>
          <w:lang w:val="es-ES_tradnl"/>
        </w:rPr>
        <w:t>La delegación de la República de Corea apoyó la aprobación de la condición de observador para la Korea Intellectual Property Protection Agency (KOIPA). La delegación considera que la participación de la KOIPA en calidad de observador contribuirá positivamente a la labor de la OMPI al aportar a los debates diversos conocimientos especializados y perspectivas, especialmente en el ámbito de la observancia y la protección de la propiedad intelectual. Como institución pública, la KOIPA desempeña un papel clave en la salvaguardia de los derechos de PI y en la lucha contra las infracciones, a escala tanto nacional como internacional. La delegación observó que las experiencias y las mejores prácticas de la KOIPA podrían constituir una valiosa aportación a los esfuerzos en curso en la OMPI para mejorar el sistema mundial de protección de la PI. A este respecto, la delegación dijo que acogerá con satisfacción la participación de la KOIPA en la labor de la OMPI y expresó apoyo a su solicitud de que se le conceda la condición de observador.</w:t>
      </w:r>
    </w:p>
    <w:p w14:paraId="367053F9" w14:textId="77777777" w:rsidR="00945489" w:rsidRPr="00426AC7" w:rsidRDefault="00945489" w:rsidP="00945489">
      <w:pPr>
        <w:pStyle w:val="ONUMFS"/>
        <w:rPr>
          <w:szCs w:val="22"/>
          <w:lang w:val="es-ES_tradnl"/>
        </w:rPr>
      </w:pPr>
      <w:r w:rsidRPr="00426AC7">
        <w:rPr>
          <w:szCs w:val="22"/>
          <w:lang w:val="es-ES_tradnl"/>
        </w:rPr>
        <w:t>La delegación de Cuba apoyó la declaración realizada por la delegación de China. La delegación subrayó la importancia de adoptar por consenso la decisión sobre la admisión de observadores y de respetar ese principio en el seno de la OMPI.</w:t>
      </w:r>
    </w:p>
    <w:p w14:paraId="0E525280" w14:textId="77777777" w:rsidR="00945489" w:rsidRPr="00426AC7" w:rsidRDefault="00945489" w:rsidP="00945489">
      <w:pPr>
        <w:pStyle w:val="ONUMFS"/>
        <w:rPr>
          <w:szCs w:val="22"/>
          <w:lang w:val="es-ES_tradnl"/>
        </w:rPr>
      </w:pPr>
      <w:r w:rsidRPr="00426AC7">
        <w:rPr>
          <w:szCs w:val="22"/>
          <w:lang w:val="es-ES_tradnl"/>
        </w:rPr>
        <w:t>La delegación de los Estados Unidos de América se mostró de acuerdo con la declaración realizada por la delegación del Japón en nombre del Grupo B. Apoyó la aprobación de la lista completa de solicitudes de observadores que figura en el documento A/66/3 Rev. 2. Lamentó que, un año más, China se oponga a admitir a la Fundación Wikimedia como observador en la OMPI. Recordó que China sigue afirmando que la participación de Wikimedia es incompatible con el denominado principio de una sola China, que se refiere específicamente a la postura de Beijing de que Taiwán forma parte de China. Subrayó que los países y las organizaciones privadas de todo el mundo toman sus propias decisiones respecto de las interacciones con Taiwán. Señaló que la posición de un Estado miembro no puede servir de base para excluir a una ONG, especialmente una con conocimientos especializados directamente relacionados con la labor de la OMPI. Declaró que se trata de otro caso en el que China intenta intimidar y castigar a cualquier entidad que decida comprometerse con Taiwán. Según la delegación, la postura de China es muy lamentable porque los observadores son fundamentales para el trabajo de los Comités y las Asambleas de la OMPI. Los observadores contribuyen de manera significativa a los debates mediante opiniones amplias y fundamentadas, y su participación mejora los debates en las Asambleas de la OMPI y ayuda a impulsar las actividades y los objetivos de la OMPI. En concreto, el objetivo del trabajo de la Fundación Wikimedia es proporcionar la infraestructura necesaria para difundir el conocimiento libre en todo el mundo. Junto con las filiales nacionales de Wikimedia, la Fundación Wikimedia demuestra su interés por las cuestiones relacionadas con los derechos de autor, un tema que guarda relación directa con la labor de la OMPI. La delegación tiene claro que la Fundación Wikimedia tiene un interés legítimo en obtener la condición de observador en la OMPI. La delegación concluyó que la solicitud de Wikimedia debería decidirse en función de sus méritos y de lo que podría aportar a los debates sobre cuestiones de PI en las Asambleas de la OMPI. La delegación observó que la solicitud de Wikimedia es sólida y que, por tanto, no debería denegársele la condición de observador porque un Estado miembro decida politizar ese punto del orden del día. La delegación instó a la aprobación de todas las organizaciones enumeradas en el documento A/66/3 Rev. 2.</w:t>
      </w:r>
    </w:p>
    <w:p w14:paraId="0733A037" w14:textId="77777777" w:rsidR="00945489" w:rsidRPr="00426AC7" w:rsidRDefault="00945489" w:rsidP="00945489">
      <w:pPr>
        <w:pStyle w:val="ONUMFS"/>
        <w:rPr>
          <w:szCs w:val="22"/>
          <w:lang w:val="es-ES_tradnl"/>
        </w:rPr>
      </w:pPr>
      <w:r w:rsidRPr="00426AC7">
        <w:rPr>
          <w:szCs w:val="22"/>
          <w:lang w:val="es-ES_tradnl"/>
        </w:rPr>
        <w:lastRenderedPageBreak/>
        <w:t>La delegación de Belarús tomó nota de las preocupaciones planteadas por la delegación de China sobre la admisión de la Fundación Wikimedia en calidad de observador. La delegación señaló que no es lógico conceder la condición de observador a una organización a la que los Estados miembros plantean objeciones fundadas. La delegación subrayó que las organizaciones que soliciten la condición de observador deben comprometerse a cooperar con la OMPI con buena voluntad y a contribuir constructivamente a la labor. La delegación apoyó el mantenimiento de la política de decisiones basadas en el consenso, incluida la admisión de observadores.</w:t>
      </w:r>
    </w:p>
    <w:p w14:paraId="62961BCB" w14:textId="77777777" w:rsidR="00945489" w:rsidRPr="00426AC7" w:rsidRDefault="00945489" w:rsidP="00945489">
      <w:pPr>
        <w:pStyle w:val="ONUMFS"/>
        <w:rPr>
          <w:szCs w:val="22"/>
          <w:lang w:val="es-ES_tradnl"/>
        </w:rPr>
      </w:pPr>
      <w:r w:rsidRPr="00426AC7">
        <w:rPr>
          <w:szCs w:val="22"/>
          <w:lang w:val="es-ES_tradnl"/>
        </w:rPr>
        <w:t>La delegación de Argelia tomó nota de las preocupaciones expresadas por la delegación de China. Dijo que reconoce el papel fundamental de los observadores a la hora de enriquecer las deliberaciones en los organismos especializados de las Naciones Unidas, incluida la OMPI. No obstante, subrayó la importancia de mantener el principio del consenso en las cuestiones relativas a la admisión de observadores.</w:t>
      </w:r>
    </w:p>
    <w:p w14:paraId="33B53554" w14:textId="77777777" w:rsidR="00945489" w:rsidRPr="00426AC7" w:rsidRDefault="00945489" w:rsidP="00945489">
      <w:pPr>
        <w:pStyle w:val="ONUMFS"/>
        <w:rPr>
          <w:szCs w:val="22"/>
          <w:lang w:val="es-ES_tradnl"/>
        </w:rPr>
      </w:pPr>
      <w:r w:rsidRPr="00426AC7">
        <w:rPr>
          <w:szCs w:val="22"/>
          <w:lang w:val="es-ES_tradnl"/>
        </w:rPr>
        <w:t>La delegación de Nicaragua reiteró que las actividades de la OMPI deben limitarse a la promoción, la protección y el uso de la PI como herramienta para el desarrollo socioeconómico. Nicaragua rechaza la solicitud de admisión de la Fundación Wikimedia como observador en la OMPI porque Wikimedia difunde información errónea contra China y socava el principio de una sola China, que atenta contra la soberanía china. Por lo tanto, la delegación dijo que no cree que la Fundación Wikimedia cumpla los criterios para convertirse en observador de la OMPI. La Fundación Wikimedia contradijo las resoluciones de la Asamblea General de la ONU que reconocen el principio de una sola China, y la delegación señaló que la OMPI debe alinearse con esas resoluciones de la Asamblea General de la ONU. Subrayó el apoyo al principio de una sola China y a la República Popular China. Dijo apoyar la declaración de la delegación de China rechazando la admisión como observador de la Fundación Wikimedia. Por último, añadió que considera que deben respetarse los procedimientos de admisión de observadores y que la decisión debe adoptarse por consenso de los Estados miembros.</w:t>
      </w:r>
    </w:p>
    <w:p w14:paraId="49CBB7A6" w14:textId="77777777" w:rsidR="00945489" w:rsidRPr="00426AC7" w:rsidRDefault="00945489" w:rsidP="00945489">
      <w:pPr>
        <w:pStyle w:val="ONUMFS"/>
        <w:rPr>
          <w:szCs w:val="22"/>
          <w:lang w:val="es-ES_tradnl"/>
        </w:rPr>
      </w:pPr>
      <w:r w:rsidRPr="00426AC7">
        <w:rPr>
          <w:szCs w:val="22"/>
          <w:lang w:val="es-ES_tradnl"/>
        </w:rPr>
        <w:t>La delegación de la República Bolivariana de Venezuela apoyó la posición de China de rechazar la solicitud de la Fundación Wikimedia de obtener la condición de observador por ser incompatible con el principio de una sola China. La delegación subrayó la importancia de respetar el principio del consenso en esta materia y reiteró la oposición a la solicitud de la Fundación Wikimedia.</w:t>
      </w:r>
    </w:p>
    <w:p w14:paraId="275136DE" w14:textId="77777777" w:rsidR="00945489" w:rsidRPr="00426AC7" w:rsidRDefault="00945489" w:rsidP="00945489">
      <w:pPr>
        <w:pStyle w:val="ONUMFS"/>
        <w:rPr>
          <w:szCs w:val="22"/>
          <w:lang w:val="es-ES_tradnl"/>
        </w:rPr>
      </w:pPr>
      <w:r w:rsidRPr="00426AC7">
        <w:rPr>
          <w:szCs w:val="22"/>
          <w:lang w:val="es-ES_tradnl"/>
        </w:rPr>
        <w:t>La delegación de la República Popular Democrática de Corea recordó que las decisiones sobre la admisión de observadores en las Asambleas de la OMPI siempre se han tomado por consenso de todos los Estados miembros de la OMPI. Instó a respetar la larga tradición de la OMPI de tomar decisiones por consenso y con espíritu de unidad y cooperación. Reafirmó el apoyo al principio de una sola China e insistió en que la Fundación Wikimedia no cumple con la resolución 2758 de la Asamblea General de la ONU y, por tanto, no está cualificada para participar en las Asambleas de la OMPI.</w:t>
      </w:r>
    </w:p>
    <w:p w14:paraId="71B2BB23" w14:textId="77777777" w:rsidR="00945489" w:rsidRPr="00426AC7" w:rsidRDefault="00945489" w:rsidP="00945489">
      <w:pPr>
        <w:pStyle w:val="ONUMFS"/>
        <w:rPr>
          <w:szCs w:val="22"/>
          <w:lang w:val="es-ES_tradnl"/>
        </w:rPr>
      </w:pPr>
      <w:r w:rsidRPr="00426AC7">
        <w:rPr>
          <w:szCs w:val="22"/>
          <w:lang w:val="es-ES_tradnl"/>
        </w:rPr>
        <w:t xml:space="preserve">La delegación del Pakistán dio las gracias al presidente y a la Secretaría por la preparación del documento A/66/3 Rev. 2. Destacó la importancia de la admisión de observadores responsables como una tarea importante para el funcionamiento de la OMPI. Las interacciones de los observadores en las Asambleas de la OMPI y en las Uniones administradas por la OMPI permiten desempeñar importantes funciones de apoyo y orientan a los Estados miembros en la evaluación de los progresos y prioridades de la labor de la OMPI. En opinión de la delegación, un requisito previo para la admisión de observadores es el reconocimiento y el respeto de los principios mundialmente reconocidos. Añadió que un aspirante a gozar de la condición de observador que propugna conceptos partidistas e información errónea es motivo definitivo de preocupación sobre sus credenciales. La delegación se mostró partidaria de tomar decisiones por consenso sobre la cuestión de la </w:t>
      </w:r>
      <w:r w:rsidRPr="00426AC7">
        <w:rPr>
          <w:szCs w:val="22"/>
          <w:lang w:val="es-ES_tradnl"/>
        </w:rPr>
        <w:lastRenderedPageBreak/>
        <w:t>admisión de observadores. Secundó la posición manifestada por otras delegaciones sobre la imposibilidad de aceptar la admisión de la Fundación Wikimedia como observador en la OMPI.</w:t>
      </w:r>
    </w:p>
    <w:p w14:paraId="70C21B68" w14:textId="6447327D" w:rsidR="00945489" w:rsidRPr="00426AC7" w:rsidRDefault="00945489" w:rsidP="62D966B3">
      <w:pPr>
        <w:pStyle w:val="ONUMFS"/>
        <w:rPr>
          <w:lang w:val="es-ES_tradnl"/>
        </w:rPr>
      </w:pPr>
      <w:r w:rsidRPr="00426AC7">
        <w:rPr>
          <w:lang w:val="es-ES_tradnl"/>
        </w:rPr>
        <w:t xml:space="preserve">La delegación de la Federación </w:t>
      </w:r>
      <w:r w:rsidR="003371C2" w:rsidRPr="00426AC7">
        <w:rPr>
          <w:lang w:val="es-ES_tradnl"/>
        </w:rPr>
        <w:t xml:space="preserve">de </w:t>
      </w:r>
      <w:r w:rsidRPr="00426AC7">
        <w:rPr>
          <w:lang w:val="es-ES_tradnl"/>
        </w:rPr>
        <w:t>Rus</w:t>
      </w:r>
      <w:r w:rsidR="003371C2" w:rsidRPr="00426AC7">
        <w:rPr>
          <w:lang w:val="es-ES_tradnl"/>
        </w:rPr>
        <w:t>ia</w:t>
      </w:r>
      <w:r w:rsidRPr="00426AC7">
        <w:rPr>
          <w:lang w:val="es-ES_tradnl"/>
        </w:rPr>
        <w:t xml:space="preserve"> apoyó la declaración de la delegación de China</w:t>
      </w:r>
      <w:r w:rsidR="00065135" w:rsidRPr="00426AC7">
        <w:rPr>
          <w:lang w:val="es-ES_tradnl"/>
        </w:rPr>
        <w:t xml:space="preserve"> subrayando</w:t>
      </w:r>
      <w:r w:rsidRPr="00426AC7">
        <w:rPr>
          <w:lang w:val="es-ES_tradnl"/>
        </w:rPr>
        <w:t xml:space="preserve"> que considera que la participación de los observadores debe basarse en </w:t>
      </w:r>
      <w:r w:rsidR="003371C2" w:rsidRPr="00426AC7">
        <w:rPr>
          <w:lang w:val="es-ES_tradnl"/>
        </w:rPr>
        <w:t xml:space="preserve">las </w:t>
      </w:r>
      <w:r w:rsidRPr="00426AC7">
        <w:rPr>
          <w:lang w:val="es-ES_tradnl"/>
        </w:rPr>
        <w:t xml:space="preserve">normas. La admisión de observadores </w:t>
      </w:r>
      <w:r w:rsidR="003371C2" w:rsidRPr="00426AC7">
        <w:rPr>
          <w:lang w:val="es-ES_tradnl"/>
        </w:rPr>
        <w:t xml:space="preserve">cuyas actividades tienen por fin </w:t>
      </w:r>
      <w:r w:rsidRPr="00426AC7">
        <w:rPr>
          <w:lang w:val="es-ES_tradnl"/>
        </w:rPr>
        <w:t>menoscaba</w:t>
      </w:r>
      <w:r w:rsidR="003371C2" w:rsidRPr="00426AC7">
        <w:rPr>
          <w:lang w:val="es-ES_tradnl"/>
        </w:rPr>
        <w:t>r</w:t>
      </w:r>
      <w:r w:rsidRPr="00426AC7">
        <w:rPr>
          <w:lang w:val="es-ES_tradnl"/>
        </w:rPr>
        <w:t xml:space="preserve"> la integridad territorial y la soberanía de los Estados miembros sería contraproducente y contradiría los objetivos originales de la participación de observadores en la labor de la OMPI. Señaló que las decisiones sobre la admisión de observadores </w:t>
      </w:r>
      <w:r w:rsidR="00940E16" w:rsidRPr="00426AC7">
        <w:rPr>
          <w:lang w:val="es-ES_tradnl"/>
        </w:rPr>
        <w:t xml:space="preserve">en la OMPI </w:t>
      </w:r>
      <w:r w:rsidRPr="00426AC7">
        <w:rPr>
          <w:lang w:val="es-ES_tradnl"/>
        </w:rPr>
        <w:t>se toman siempre por consenso</w:t>
      </w:r>
      <w:r w:rsidR="00940E16" w:rsidRPr="00426AC7">
        <w:rPr>
          <w:lang w:val="es-ES_tradnl"/>
        </w:rPr>
        <w:t xml:space="preserve"> y que</w:t>
      </w:r>
      <w:r w:rsidRPr="00426AC7">
        <w:rPr>
          <w:lang w:val="es-ES_tradnl"/>
        </w:rPr>
        <w:t xml:space="preserve"> </w:t>
      </w:r>
      <w:r w:rsidR="00940E16" w:rsidRPr="00426AC7">
        <w:rPr>
          <w:lang w:val="es-ES_tradnl"/>
        </w:rPr>
        <w:t>n</w:t>
      </w:r>
      <w:r w:rsidRPr="00426AC7">
        <w:rPr>
          <w:lang w:val="es-ES_tradnl"/>
        </w:rPr>
        <w:t xml:space="preserve">o existe la práctica de conceder </w:t>
      </w:r>
      <w:r w:rsidR="00815957">
        <w:rPr>
          <w:lang w:val="es-ES_tradnl"/>
        </w:rPr>
        <w:t xml:space="preserve">la condición </w:t>
      </w:r>
      <w:r w:rsidRPr="00426AC7">
        <w:rPr>
          <w:lang w:val="es-ES_tradnl"/>
        </w:rPr>
        <w:t>de observador a organizaciones sobre las que algunos Estados miembros tienen dudas u objeciones. Expresó el deseo de que se mantengan estas antiguas tradiciones de la OMPI basadas en el espíritu de cooperación y profesionalidad.</w:t>
      </w:r>
    </w:p>
    <w:p w14:paraId="61A261FC" w14:textId="5326CA75" w:rsidR="00945489" w:rsidRPr="00426AC7" w:rsidRDefault="00945489" w:rsidP="00945489">
      <w:pPr>
        <w:pStyle w:val="ONUMFS"/>
        <w:rPr>
          <w:szCs w:val="22"/>
          <w:lang w:val="es-ES_tradnl"/>
        </w:rPr>
      </w:pPr>
      <w:r w:rsidRPr="00426AC7">
        <w:rPr>
          <w:szCs w:val="22"/>
          <w:lang w:val="es-ES_tradnl"/>
        </w:rPr>
        <w:t>La delegación del Reino Unido apoyó la declaración hecha por la delegación del Japón en nombre del Grupo B y dio las gracias a la Secretaría por la preparación del documento</w:t>
      </w:r>
      <w:r w:rsidR="00A94EEE" w:rsidRPr="00426AC7">
        <w:rPr>
          <w:szCs w:val="22"/>
          <w:lang w:val="es-ES_tradnl"/>
        </w:rPr>
        <w:t> </w:t>
      </w:r>
      <w:r w:rsidRPr="00426AC7">
        <w:rPr>
          <w:szCs w:val="22"/>
          <w:lang w:val="es-ES_tradnl"/>
        </w:rPr>
        <w:t>A/66/3 Rev. 2. Subrayó que los observadores son importantes para las actividades de la OMPI, ya que enriquecen las conversaciones y los debates y aportan valiosas contribuciones en todos los comités y órganos. Dijo que, en su opinión, todas las solicitudes deben examinarse en función de sus méritos individuales y que todas las organizaciones enumeradas en el documento cumplen las normas de la OMPI para participar en calidad de observadores. Wikimedia tiene un interés legítimo en participar como observador en la OMPI. Dijo lamentar que también este año la oposición a la admisión de Wikimedia impida el consenso. Instó a que se apruebe la lista completa de organizaciones que figura en el documento A/66/3 Rev. 2.</w:t>
      </w:r>
    </w:p>
    <w:p w14:paraId="2D95EE78" w14:textId="4AB5900F" w:rsidR="00945489" w:rsidRPr="00426AC7" w:rsidRDefault="00945489" w:rsidP="62D966B3">
      <w:pPr>
        <w:pStyle w:val="ONUMFS"/>
        <w:rPr>
          <w:lang w:val="es-ES_tradnl"/>
        </w:rPr>
      </w:pPr>
      <w:r w:rsidRPr="00426AC7">
        <w:rPr>
          <w:lang w:val="es-ES_tradnl"/>
        </w:rPr>
        <w:t xml:space="preserve">La delegación de la República Islámica del Irán tomó nota de las preocupaciones planteadas por la delegación de China. Aunque la contribución de los observadores es siempre bienvenida e importante, la delegación reafirmó que los principios establecidos de toma de decisiones por consenso </w:t>
      </w:r>
      <w:r w:rsidR="00DA1078" w:rsidRPr="00426AC7">
        <w:rPr>
          <w:lang w:val="es-ES_tradnl"/>
        </w:rPr>
        <w:t xml:space="preserve">siguen </w:t>
      </w:r>
      <w:r w:rsidRPr="00426AC7">
        <w:rPr>
          <w:lang w:val="es-ES_tradnl"/>
        </w:rPr>
        <w:t>siendo una prioridad para la OMPI y son muy valorados por los Estados miembros de la Organización.</w:t>
      </w:r>
    </w:p>
    <w:p w14:paraId="6BEA36FA" w14:textId="77777777" w:rsidR="00945489" w:rsidRPr="00426AC7" w:rsidRDefault="00945489" w:rsidP="62D966B3">
      <w:pPr>
        <w:pStyle w:val="ONUMFS"/>
        <w:rPr>
          <w:lang w:val="es-ES_tradnl"/>
        </w:rPr>
      </w:pPr>
      <w:r w:rsidRPr="00426AC7">
        <w:rPr>
          <w:lang w:val="es-ES_tradnl"/>
        </w:rPr>
        <w:t>La delegación de Francia dio las gracias al presidente y lo felicitó por su elección. Hizo suya la declaración realizada en nombre del Grupo B y agradeció a la Secretaría la preparación del documento A/66/3 Rev. 2. Apoyó la concesión de la condición de observador a todas las ONG que lo solicitaron. Respaldó, en particular, la solicitud de la condición de observador presentada por la Société des Auteurs Compositeurs et Éditeurs de Musique (SACEM), que desempeña un papel importante en el ámbito de los derechos de autor y presta servicios esenciales a los autores. Señaló que siempre ha estado a favor de la participación y el compromiso de la sociedad civil en las organizaciones multilaterales. Por último, respaldó la admisión de la Fundación Wikimedia, que trabaja en favor del libre intercambio de conocimientos.</w:t>
      </w:r>
    </w:p>
    <w:p w14:paraId="134BF64E" w14:textId="77777777" w:rsidR="00945489" w:rsidRPr="00426AC7" w:rsidRDefault="00945489" w:rsidP="62D966B3">
      <w:pPr>
        <w:pStyle w:val="ONUMFS"/>
        <w:rPr>
          <w:lang w:val="es-ES_tradnl"/>
        </w:rPr>
      </w:pPr>
      <w:r w:rsidRPr="00426AC7">
        <w:rPr>
          <w:lang w:val="es-ES_tradnl"/>
        </w:rPr>
        <w:t>La delegación del Canadá expresó su apoyo a la inclusión y participación práctica de las ONG en los debates pertinentes de organismos de las Naciones Unidas como la OMPI. En su opinión, los observadores enriquecen las conversaciones en la OMPI y es importante que se oiga su voz en los organismos de las Naciones Unidas además de las de los Estados miembros, a la luz de la incidencia de la OMPI en la actividad de los usuarios finales del sistema internacional de PI. La delegación no apoyó que se deje de lado a ONG que demuestran y manifiestan claramente su interés por la labor de la OMPI. Expresó que la lista completa de ONG que solicitan ser admitidas como observadoras debe ser acogida en su totalidad.</w:t>
      </w:r>
    </w:p>
    <w:p w14:paraId="6434CDF3" w14:textId="091EB1B6" w:rsidR="00945489" w:rsidRPr="00426AC7" w:rsidRDefault="00945489" w:rsidP="00945489">
      <w:pPr>
        <w:pStyle w:val="ONUMFS"/>
        <w:rPr>
          <w:szCs w:val="22"/>
          <w:lang w:val="es-ES_tradnl"/>
        </w:rPr>
      </w:pPr>
      <w:r w:rsidRPr="00426AC7">
        <w:rPr>
          <w:szCs w:val="22"/>
          <w:lang w:val="es-ES_tradnl"/>
        </w:rPr>
        <w:t>La delegación de Suiza dio las gracias a la Secretaría por la preparación del documento</w:t>
      </w:r>
      <w:r w:rsidR="00A94EEE" w:rsidRPr="00426AC7">
        <w:rPr>
          <w:szCs w:val="22"/>
          <w:lang w:val="es-ES_tradnl"/>
        </w:rPr>
        <w:t> </w:t>
      </w:r>
      <w:r w:rsidRPr="00426AC7">
        <w:rPr>
          <w:szCs w:val="22"/>
          <w:lang w:val="es-ES_tradnl"/>
        </w:rPr>
        <w:t>A/66/3 Rev. 2. Hizo suya la declaración hecha en nombre del Grupo</w:t>
      </w:r>
      <w:r w:rsidR="00A94EEE" w:rsidRPr="00426AC7">
        <w:rPr>
          <w:szCs w:val="22"/>
          <w:lang w:val="es-ES_tradnl"/>
        </w:rPr>
        <w:t> </w:t>
      </w:r>
      <w:r w:rsidRPr="00426AC7">
        <w:rPr>
          <w:szCs w:val="22"/>
          <w:lang w:val="es-ES_tradnl"/>
        </w:rPr>
        <w:t xml:space="preserve">B, así como </w:t>
      </w:r>
      <w:r w:rsidRPr="00426AC7">
        <w:rPr>
          <w:szCs w:val="22"/>
          <w:lang w:val="es-ES_tradnl"/>
        </w:rPr>
        <w:lastRenderedPageBreak/>
        <w:t>las de los Estados Unidos de América, el Reino Unido, Francia y el Canadá, y apoya todas las solicitudes de que se conceda la condición de observador que figuran en el documento. También ha recordado a los Estados miembros que la Fundación Wikimedia lleva esperando su aceptación desde 2020. La delegación señaló que el objetivo de la Fundación Wikimedia es promover contenidos educativos en todo el mundo y destacó la conexión directa de Wikimedia con las cuestiones de PI. Añadió que la Fundación Wikimedia podría contribuir de forma significativa a la labor de la OMPI. Por lo tanto, apoyó la solicitud de que se conceda la condición de observador a la Fundación Wikimedia y, de hecho, todas las solicitudes, y pidió la aprobación de las solicitudes por los Estados miembros.</w:t>
      </w:r>
    </w:p>
    <w:p w14:paraId="58CDC548" w14:textId="2D2ADD9A" w:rsidR="00945489" w:rsidRPr="00426AC7" w:rsidRDefault="00945489" w:rsidP="62D966B3">
      <w:pPr>
        <w:pStyle w:val="ONUMFS"/>
        <w:rPr>
          <w:lang w:val="es-ES_tradnl"/>
        </w:rPr>
      </w:pPr>
      <w:r w:rsidRPr="00426AC7">
        <w:rPr>
          <w:lang w:val="es-ES_tradnl"/>
        </w:rPr>
        <w:t xml:space="preserve">La delegación de China dio las gracias a los Estados miembros que apoyaron su posición. Observó que </w:t>
      </w:r>
      <w:r w:rsidR="00823027" w:rsidRPr="00426AC7">
        <w:rPr>
          <w:lang w:val="es-ES_tradnl"/>
        </w:rPr>
        <w:t>algunas</w:t>
      </w:r>
      <w:r w:rsidRPr="00426AC7">
        <w:rPr>
          <w:lang w:val="es-ES_tradnl"/>
        </w:rPr>
        <w:t xml:space="preserve"> Estados miembros apoyan la solicitud de la Fundación Wikimedia y que sus declaraciones, si bien parecen altisonantes, carecen de fundamento. En primer lugar, la delegación reiteró que el respeto de las garantías procesales es un requisito previo fundamental para examinar las solicitudes de los observadores y que la facultad de conceder la condición de observador corresponde únicamente a las Asambleas de la OMPI, tal como dispone el Convenio de la OMPI. Mientras que la Secretaría solo puede llevar a cabo un examen formal de las solicitudes, las Asambleas de la OMPI toman decisiones de fondo en esta materia, siguiendo un enfoque basado en el consenso, lo que significa que mientras un Estado miembro se oponga, el solicitante en cuestión no podrá gozar de la condición de observador. En segundo lugar, la delegación señaló que el cumplimiento de las normas es un requisito fundamental para obtener la condición de observador. Declaró que la OMPI, como organismo especializado de las Naciones Unidas, debe observar la Carta de las Naciones Unidas y los principios del derecho internacional, incluidas las resoluciones de la Asamblea General de la ONU. Al violar de modo flagrante la resolución 2758 de la Asamblea General de la ONU, la Fundación Wikimedia queda claramente descalificada. La delegación observó que los Estados miembros que alientan las violaciones del derecho están politizando los debates y tolerando distorsiones del derecho internacional, lo que, a su vez, socava los cimientos del sistema mundial de PI. En tercer lugar, la delegación señaló que el objetivo primordial de admitir observadores es contribuir a la labor de la OMPI. China apoyó sistemáticamente a diversas organizaciones que participan en la labor de la OMPI, alentándolas a contribuir a la cooperación internacional en el ámbito de la PI. Sin embargo, permitir que una organización que menoscaba la soberanía y la integridad territorial de un Estado miembro se convierta en observador perturbaría claramente la labor de la OMPI y dañaría el clima de cooperación. Esto es totalmente contrario al propósito de admitir observadores y, si una práctica tan errónea se deja sin control y se generaliza, cualquier país podría sufrirla y la autoridad y credibilidad de la OMPI se verían debilitadas. En los últimos cinco años, China ha manifestado reiteradamente su postura al respecto. La delegación dijo que aconseja que la Fundación Wikimedia corrija su rumbo y no fuerce la marcha. Por último, la delegación manifestó el deseo de responder a la declaración de la delegación de los Estados Unidos de América. Subrayó que la cuestión de Taiwán es un asunto puramente interno de China que no admite ninguna injerencia extranjera y que Estados Unidos de América no tienen derecho a hacer comentarios arbitrarios. Recordó que los Estados Unidos de América acusan a China de amenazar a otros países y organizaciones. Señaló que se trata de acusaciones infundadas, y que la comunidad internacional ve claramente que los Estados Unidos de América, y no China, utilizan los aranceles para coaccionar o amenazar a otros países, o lanzan unilateralmente ataques militares contra otro país.</w:t>
      </w:r>
    </w:p>
    <w:p w14:paraId="69164B79" w14:textId="77777777" w:rsidR="00945489" w:rsidRPr="00426AC7" w:rsidRDefault="00945489" w:rsidP="00945489">
      <w:pPr>
        <w:pStyle w:val="ONUMFS"/>
        <w:rPr>
          <w:szCs w:val="22"/>
          <w:lang w:val="es-ES_tradnl"/>
        </w:rPr>
      </w:pPr>
      <w:r w:rsidRPr="00426AC7">
        <w:rPr>
          <w:szCs w:val="22"/>
          <w:lang w:val="es-ES_tradnl"/>
        </w:rPr>
        <w:t>El presidente dio las gracias a todas las delegaciones por sus declaraciones y reconoció el consenso sobre todas las solicitudes de admisión como observadores, excepto la de la Fundación Wikimedia. Propuso, por lo tanto, adoptar un párrafo de decisión como el que figura en el documento A/66/3 Rev. 2, salvo en lo que se refiere a la solicitud de la Fundación Wikimedia.</w:t>
      </w:r>
    </w:p>
    <w:p w14:paraId="175A4583" w14:textId="77777777" w:rsidR="00945489" w:rsidRPr="00426AC7" w:rsidRDefault="00945489" w:rsidP="000054F7">
      <w:pPr>
        <w:pStyle w:val="ONUMFS"/>
        <w:keepNext/>
        <w:keepLines/>
        <w:spacing w:after="120"/>
        <w:ind w:left="567"/>
        <w:rPr>
          <w:szCs w:val="22"/>
          <w:lang w:val="es-ES_tradnl"/>
        </w:rPr>
      </w:pPr>
      <w:r w:rsidRPr="00426AC7">
        <w:rPr>
          <w:szCs w:val="22"/>
          <w:lang w:val="es-ES_tradnl"/>
        </w:rPr>
        <w:lastRenderedPageBreak/>
        <w:t>Las Asambleas de la OMPI, en lo que a cada una concierne, decidieron conceder la condición de observador a las siguientes organizaciones:</w:t>
      </w:r>
    </w:p>
    <w:p w14:paraId="7D298349" w14:textId="77777777" w:rsidR="00945489" w:rsidRPr="00426AC7" w:rsidRDefault="00945489" w:rsidP="000054F7">
      <w:pPr>
        <w:pStyle w:val="ONUMFS"/>
        <w:numPr>
          <w:ilvl w:val="2"/>
          <w:numId w:val="3"/>
        </w:numPr>
        <w:spacing w:after="120"/>
        <w:ind w:left="1701" w:hanging="567"/>
        <w:rPr>
          <w:szCs w:val="22"/>
          <w:lang w:val="es-ES_tradnl"/>
        </w:rPr>
      </w:pPr>
      <w:r w:rsidRPr="00426AC7">
        <w:rPr>
          <w:szCs w:val="22"/>
          <w:lang w:val="es-ES_tradnl"/>
        </w:rPr>
        <w:t>Asociación de Tecnología, Educación, Desarrollo, Investigación y Comunicación (TEDIC);</w:t>
      </w:r>
    </w:p>
    <w:p w14:paraId="3C9E7969" w14:textId="77777777" w:rsidR="00945489" w:rsidRPr="00654B8C" w:rsidRDefault="00945489" w:rsidP="000054F7">
      <w:pPr>
        <w:pStyle w:val="ONUMFS"/>
        <w:numPr>
          <w:ilvl w:val="2"/>
          <w:numId w:val="3"/>
        </w:numPr>
        <w:spacing w:after="120"/>
        <w:ind w:left="1701" w:hanging="567"/>
        <w:rPr>
          <w:szCs w:val="22"/>
          <w:lang w:val="en-US"/>
        </w:rPr>
      </w:pPr>
      <w:r w:rsidRPr="00654B8C">
        <w:rPr>
          <w:szCs w:val="22"/>
          <w:lang w:val="en-US"/>
        </w:rPr>
        <w:t xml:space="preserve">Chamber for the Protection of Copyright of Artists, Creators and </w:t>
      </w:r>
      <w:r w:rsidRPr="00426AC7">
        <w:rPr>
          <w:szCs w:val="22"/>
          <w:lang w:val="es-ES_tradnl"/>
        </w:rPr>
        <w:t>Ре</w:t>
      </w:r>
      <w:r w:rsidRPr="00654B8C">
        <w:rPr>
          <w:szCs w:val="22"/>
          <w:lang w:val="en-US"/>
        </w:rPr>
        <w:t>rf</w:t>
      </w:r>
      <w:r w:rsidRPr="00426AC7">
        <w:rPr>
          <w:szCs w:val="22"/>
          <w:lang w:val="es-ES_tradnl"/>
        </w:rPr>
        <w:t>о</w:t>
      </w:r>
      <w:r w:rsidRPr="00654B8C">
        <w:rPr>
          <w:szCs w:val="22"/>
          <w:lang w:val="en-US"/>
        </w:rPr>
        <w:t>rm</w:t>
      </w:r>
      <w:r w:rsidRPr="00426AC7">
        <w:rPr>
          <w:szCs w:val="22"/>
          <w:lang w:val="es-ES_tradnl"/>
        </w:rPr>
        <w:t>е</w:t>
      </w:r>
      <w:r w:rsidRPr="00654B8C">
        <w:rPr>
          <w:szCs w:val="22"/>
          <w:lang w:val="en-US"/>
        </w:rPr>
        <w:t>rs (SIIP);</w:t>
      </w:r>
    </w:p>
    <w:p w14:paraId="26A48E95" w14:textId="77777777" w:rsidR="00945489" w:rsidRPr="00654B8C" w:rsidRDefault="00945489" w:rsidP="000054F7">
      <w:pPr>
        <w:pStyle w:val="ONUMFS"/>
        <w:numPr>
          <w:ilvl w:val="2"/>
          <w:numId w:val="3"/>
        </w:numPr>
        <w:spacing w:after="120"/>
        <w:ind w:left="1701" w:hanging="567"/>
        <w:rPr>
          <w:szCs w:val="22"/>
          <w:lang w:val="en-US"/>
        </w:rPr>
      </w:pPr>
      <w:r w:rsidRPr="00654B8C">
        <w:rPr>
          <w:szCs w:val="22"/>
          <w:lang w:val="en-US"/>
        </w:rPr>
        <w:t>Copyright Society of China (CSC);</w:t>
      </w:r>
    </w:p>
    <w:p w14:paraId="11FEB104" w14:textId="77777777" w:rsidR="00945489" w:rsidRPr="00426AC7" w:rsidRDefault="00945489" w:rsidP="005A48DF">
      <w:pPr>
        <w:pStyle w:val="ONUMFS"/>
        <w:numPr>
          <w:ilvl w:val="2"/>
          <w:numId w:val="3"/>
        </w:numPr>
        <w:spacing w:after="120"/>
        <w:ind w:left="1701" w:hanging="567"/>
        <w:rPr>
          <w:lang w:val="es-ES_tradnl"/>
        </w:rPr>
      </w:pPr>
      <w:r w:rsidRPr="00426AC7">
        <w:rPr>
          <w:lang w:val="es-ES_tradnl"/>
        </w:rPr>
        <w:t>Emirates Publishers Association (EPA);</w:t>
      </w:r>
    </w:p>
    <w:p w14:paraId="72D9937B" w14:textId="77777777" w:rsidR="00945489" w:rsidRPr="003123C5" w:rsidRDefault="00945489" w:rsidP="005A48DF">
      <w:pPr>
        <w:pStyle w:val="ONUMFS"/>
        <w:numPr>
          <w:ilvl w:val="2"/>
          <w:numId w:val="3"/>
        </w:numPr>
        <w:spacing w:after="120"/>
        <w:ind w:left="1701" w:hanging="567"/>
        <w:rPr>
          <w:lang w:val="it-IT"/>
        </w:rPr>
      </w:pPr>
      <w:r w:rsidRPr="003123C5">
        <w:rPr>
          <w:lang w:val="it-IT"/>
        </w:rPr>
        <w:t>INDICAM per la tutela della proprietà intellettuale (INDICAM);</w:t>
      </w:r>
    </w:p>
    <w:p w14:paraId="1FFBDC42" w14:textId="77777777" w:rsidR="00945489" w:rsidRPr="00426AC7" w:rsidRDefault="00945489" w:rsidP="005A48DF">
      <w:pPr>
        <w:pStyle w:val="ONUMFS"/>
        <w:numPr>
          <w:ilvl w:val="2"/>
          <w:numId w:val="3"/>
        </w:numPr>
        <w:spacing w:after="120"/>
        <w:ind w:left="1701" w:hanging="567"/>
        <w:rPr>
          <w:lang w:val="es-ES_tradnl"/>
        </w:rPr>
      </w:pPr>
      <w:r w:rsidRPr="00426AC7">
        <w:rPr>
          <w:lang w:val="es-ES_tradnl"/>
        </w:rPr>
        <w:t>InfoCons Association;</w:t>
      </w:r>
    </w:p>
    <w:p w14:paraId="1C3D8C26" w14:textId="77777777" w:rsidR="00945489" w:rsidRPr="00654B8C" w:rsidRDefault="00945489" w:rsidP="000054F7">
      <w:pPr>
        <w:pStyle w:val="ONUMFS"/>
        <w:numPr>
          <w:ilvl w:val="2"/>
          <w:numId w:val="3"/>
        </w:numPr>
        <w:spacing w:after="120"/>
        <w:ind w:left="1701" w:hanging="567"/>
        <w:rPr>
          <w:szCs w:val="22"/>
          <w:lang w:val="en-US"/>
        </w:rPr>
      </w:pPr>
      <w:r w:rsidRPr="00654B8C">
        <w:rPr>
          <w:szCs w:val="22"/>
          <w:lang w:val="en-US"/>
        </w:rPr>
        <w:t>International Intellectual Property Alliance (IIPA);</w:t>
      </w:r>
    </w:p>
    <w:p w14:paraId="00363BD1" w14:textId="77777777" w:rsidR="00945489" w:rsidRPr="00654B8C" w:rsidRDefault="00945489" w:rsidP="000054F7">
      <w:pPr>
        <w:pStyle w:val="ONUMFS"/>
        <w:numPr>
          <w:ilvl w:val="2"/>
          <w:numId w:val="3"/>
        </w:numPr>
        <w:spacing w:after="120"/>
        <w:ind w:left="1701" w:hanging="567"/>
        <w:rPr>
          <w:szCs w:val="22"/>
          <w:lang w:val="en-US"/>
        </w:rPr>
      </w:pPr>
      <w:r w:rsidRPr="00654B8C">
        <w:rPr>
          <w:szCs w:val="22"/>
          <w:lang w:val="en-US"/>
        </w:rPr>
        <w:t xml:space="preserve">Korea Property Protection Association </w:t>
      </w:r>
      <w:bookmarkStart w:id="23" w:name="_Hlk203034649"/>
      <w:r w:rsidRPr="00654B8C">
        <w:rPr>
          <w:szCs w:val="22"/>
          <w:lang w:val="en-US"/>
        </w:rPr>
        <w:t>(KOIPA</w:t>
      </w:r>
      <w:bookmarkEnd w:id="23"/>
      <w:r w:rsidRPr="00654B8C">
        <w:rPr>
          <w:szCs w:val="22"/>
          <w:lang w:val="en-US"/>
        </w:rPr>
        <w:t>);</w:t>
      </w:r>
    </w:p>
    <w:p w14:paraId="3BA16245" w14:textId="77777777" w:rsidR="00945489" w:rsidRPr="00426AC7" w:rsidRDefault="00945489" w:rsidP="000054F7">
      <w:pPr>
        <w:pStyle w:val="ONUMFS"/>
        <w:numPr>
          <w:ilvl w:val="2"/>
          <w:numId w:val="3"/>
        </w:numPr>
        <w:spacing w:after="120"/>
        <w:ind w:left="1701" w:hanging="567"/>
        <w:rPr>
          <w:szCs w:val="22"/>
          <w:lang w:val="es-ES_tradnl"/>
        </w:rPr>
      </w:pPr>
      <w:r w:rsidRPr="00426AC7">
        <w:rPr>
          <w:szCs w:val="22"/>
          <w:lang w:val="es-ES_tradnl"/>
        </w:rPr>
        <w:t>Cámara de Comercio de Puerto Rico (NPRCC)</w:t>
      </w:r>
    </w:p>
    <w:p w14:paraId="3943C464" w14:textId="77777777" w:rsidR="00945489" w:rsidRPr="003123C5" w:rsidRDefault="00945489" w:rsidP="000054F7">
      <w:pPr>
        <w:pStyle w:val="ONUMFS"/>
        <w:numPr>
          <w:ilvl w:val="2"/>
          <w:numId w:val="3"/>
        </w:numPr>
        <w:spacing w:after="120"/>
        <w:ind w:left="1701" w:hanging="567"/>
        <w:rPr>
          <w:szCs w:val="22"/>
          <w:lang w:val="it-IT"/>
        </w:rPr>
      </w:pPr>
      <w:r w:rsidRPr="003123C5">
        <w:rPr>
          <w:szCs w:val="22"/>
          <w:lang w:val="it-IT"/>
        </w:rPr>
        <w:t>News/Media Alliance (N/MA);</w:t>
      </w:r>
    </w:p>
    <w:p w14:paraId="77D1F196" w14:textId="77777777" w:rsidR="00945489" w:rsidRPr="00654B8C" w:rsidRDefault="00945489" w:rsidP="000054F7">
      <w:pPr>
        <w:pStyle w:val="ONUMFS"/>
        <w:numPr>
          <w:ilvl w:val="2"/>
          <w:numId w:val="3"/>
        </w:numPr>
        <w:spacing w:after="120"/>
        <w:ind w:left="1701" w:hanging="567"/>
        <w:rPr>
          <w:szCs w:val="22"/>
          <w:lang w:val="fr-FR"/>
        </w:rPr>
      </w:pPr>
      <w:r w:rsidRPr="00654B8C">
        <w:rPr>
          <w:szCs w:val="22"/>
          <w:lang w:val="fr-FR"/>
        </w:rPr>
        <w:t>Société des Auteurs Compositeurs et Éditeurs de Musique (SACEM) y</w:t>
      </w:r>
    </w:p>
    <w:p w14:paraId="7B2BF29F" w14:textId="4C2E0FB6" w:rsidR="009B6AFA" w:rsidRPr="00654B8C" w:rsidRDefault="00945489" w:rsidP="000054F7">
      <w:pPr>
        <w:pStyle w:val="ONUMFS"/>
        <w:numPr>
          <w:ilvl w:val="2"/>
          <w:numId w:val="3"/>
        </w:numPr>
        <w:spacing w:after="480"/>
        <w:ind w:left="1701" w:hanging="567"/>
        <w:rPr>
          <w:szCs w:val="22"/>
          <w:lang w:val="en-US"/>
        </w:rPr>
      </w:pPr>
      <w:r w:rsidRPr="00654B8C">
        <w:rPr>
          <w:szCs w:val="22"/>
          <w:lang w:val="en-US"/>
        </w:rPr>
        <w:t>United States Council for International Business (USCIB).</w:t>
      </w:r>
    </w:p>
    <w:p w14:paraId="22E48BEE" w14:textId="29D8671E" w:rsidR="009B6AFA" w:rsidRPr="00426AC7" w:rsidRDefault="00945489" w:rsidP="005027A2">
      <w:pPr>
        <w:pStyle w:val="Heading2"/>
        <w:spacing w:before="0" w:after="120" w:line="480" w:lineRule="auto"/>
        <w:rPr>
          <w:caps w:val="0"/>
          <w:szCs w:val="22"/>
          <w:lang w:val="es-ES_tradnl"/>
        </w:rPr>
      </w:pPr>
      <w:bookmarkStart w:id="24" w:name="_Toc209694193"/>
      <w:bookmarkEnd w:id="20"/>
      <w:bookmarkEnd w:id="21"/>
      <w:bookmarkEnd w:id="22"/>
      <w:r w:rsidRPr="00426AC7">
        <w:rPr>
          <w:szCs w:val="22"/>
          <w:lang w:val="es-ES_tradnl"/>
        </w:rPr>
        <w:t>PUNTO 7 DEL ORDEN DEL DÍA CONSOLIDADO</w:t>
      </w:r>
      <w:r w:rsidR="00DA24EA" w:rsidRPr="00426AC7">
        <w:rPr>
          <w:szCs w:val="22"/>
          <w:lang w:val="es-ES_tradnl"/>
        </w:rPr>
        <w:br/>
      </w:r>
      <w:r w:rsidR="000A1FBF" w:rsidRPr="00426AC7">
        <w:rPr>
          <w:caps w:val="0"/>
          <w:szCs w:val="22"/>
          <w:lang w:val="es-ES_tradnl"/>
        </w:rPr>
        <w:t>NOMBRAMIENTO DEL DIRECTOR GENERAL EN 2026</w:t>
      </w:r>
      <w:bookmarkEnd w:id="24"/>
    </w:p>
    <w:p w14:paraId="4DAC8B51" w14:textId="7EB43F6E" w:rsidR="00945489" w:rsidRPr="00426AC7" w:rsidRDefault="00945489" w:rsidP="00945489">
      <w:pPr>
        <w:pStyle w:val="ONUMFS"/>
        <w:rPr>
          <w:szCs w:val="22"/>
          <w:lang w:val="es-ES_tradnl"/>
        </w:rPr>
      </w:pPr>
      <w:r w:rsidRPr="00426AC7">
        <w:rPr>
          <w:szCs w:val="22"/>
          <w:lang w:val="es-ES_tradnl"/>
        </w:rPr>
        <w:t xml:space="preserve">Los debates se basaron en el documento </w:t>
      </w:r>
      <w:hyperlink r:id="rId40" w:tgtFrame="_blank" w:history="1">
        <w:r w:rsidRPr="00426AC7">
          <w:rPr>
            <w:rStyle w:val="Hyperlink"/>
            <w:szCs w:val="22"/>
            <w:lang w:val="es-ES_tradnl"/>
          </w:rPr>
          <w:t>A/66/4</w:t>
        </w:r>
      </w:hyperlink>
      <w:r w:rsidRPr="00426AC7">
        <w:rPr>
          <w:szCs w:val="22"/>
          <w:lang w:val="es-ES_tradnl"/>
        </w:rPr>
        <w:t>.</w:t>
      </w:r>
    </w:p>
    <w:p w14:paraId="6F69816F" w14:textId="77777777" w:rsidR="00945489" w:rsidRPr="00426AC7" w:rsidRDefault="00945489" w:rsidP="00945489">
      <w:pPr>
        <w:pStyle w:val="ONUMFS"/>
        <w:rPr>
          <w:szCs w:val="22"/>
          <w:lang w:val="es-ES_tradnl"/>
        </w:rPr>
      </w:pPr>
      <w:r w:rsidRPr="00426AC7">
        <w:rPr>
          <w:szCs w:val="22"/>
          <w:lang w:val="es-ES_tradnl"/>
        </w:rPr>
        <w:t>Al presentar el punto 7 del orden del día, relativo al nombramiento del director general en 2026, la consejera jurídica señaló a la atención de las delegaciones el documento A/66/4. Recordó que el mandato del director general expira el 30 de septiembre de 2026. Señaló que el documento de trabajo recuerda las disposiciones constitucionales relativas a la designación y el nombramiento de los directores generales de la OMPI, así como los procedimientos correspondientes adoptados por la Asamblea General de la OMPI en 1998 y modificados en 2019.</w:t>
      </w:r>
    </w:p>
    <w:p w14:paraId="3D976574" w14:textId="77777777" w:rsidR="00945489" w:rsidRPr="00426AC7" w:rsidRDefault="00945489" w:rsidP="62D966B3">
      <w:pPr>
        <w:pStyle w:val="ONUMFS"/>
        <w:rPr>
          <w:lang w:val="es-ES_tradnl"/>
        </w:rPr>
      </w:pPr>
      <w:r w:rsidRPr="00426AC7">
        <w:rPr>
          <w:lang w:val="es-ES_tradnl"/>
        </w:rPr>
        <w:t>La consejera jurídica describió el calendario para la aplicación de las medidas de procedimiento contenidas en el documento A/66/4, en el que figura: el 24 de julio de 2025, el envío de la circular en la que se invita a proponer candidaturas; el 24 de octubre de 2025, la fecha límite para la presentación de candidaturas; el 12 y el 13 de febrero de 2026, la convocación de una sesión extraordinaria del Comité de Coordinación para designar a un candidato al puesto de director general; el 21 de abril de 2026, el período extraordinario de sesiones de la Asamblea General, la Asamblea de la Unión de París y la Asamblea de la Unión de Berna para nombrar al director general, y el 1 de octubre de 2026, el inicio del mandato del próximo director general.</w:t>
      </w:r>
    </w:p>
    <w:p w14:paraId="741BDCCB" w14:textId="52F3F8DD" w:rsidR="00945489" w:rsidRPr="00426AC7" w:rsidRDefault="00945489" w:rsidP="00945489">
      <w:pPr>
        <w:pStyle w:val="ONUMFS"/>
        <w:rPr>
          <w:szCs w:val="22"/>
          <w:lang w:val="es-ES_tradnl"/>
        </w:rPr>
      </w:pPr>
      <w:r w:rsidRPr="00426AC7">
        <w:rPr>
          <w:szCs w:val="22"/>
          <w:lang w:val="es-ES_tradnl"/>
        </w:rPr>
        <w:t xml:space="preserve">La delegación del Pakistán, haciendo uso de la palabra en nombre del Grupo de Países de Asia y el Pacífico, tomó nota de la información contenida en el documento A/66/4 y expresó su disposición a apoyar el proceso de nombramiento del director general de la OMPI en 2026. La delegación agradeció la transparencia y claridad del calendario y los procedimientos propuestos por la Secretaría y destacó la disposición a participar de forma constructiva en todas las fases del proceso. En su opinión, la selección del director general es una de las decisiones más importantes que toma la Organización. El liderazgo de la OMPI debe inspirar </w:t>
      </w:r>
      <w:r w:rsidRPr="00426AC7">
        <w:rPr>
          <w:szCs w:val="22"/>
          <w:lang w:val="es-ES_tradnl"/>
        </w:rPr>
        <w:lastRenderedPageBreak/>
        <w:t>confianza entre sus diversos miembros, responder a las necesidades cambiantes del panorama mundial de la PI y defender los valores fundamentales de la Organización de inclusión, equidad y desarrollo de la PI. Por lo tanto, es esencial que el proceso refleje no solo la competencia, sino también el equilibrio y la equidad en la representación. La delegación desea aprovechar la oportunidad para expresar su sincero agradecimiento al director general</w:t>
      </w:r>
      <w:r w:rsidR="00DA1078" w:rsidRPr="00426AC7">
        <w:rPr>
          <w:szCs w:val="22"/>
          <w:lang w:val="es-ES_tradnl"/>
        </w:rPr>
        <w:t xml:space="preserve"> </w:t>
      </w:r>
      <w:r w:rsidRPr="00426AC7">
        <w:rPr>
          <w:szCs w:val="22"/>
          <w:lang w:val="es-ES_tradnl"/>
        </w:rPr>
        <w:t>por su liderazgo visionario y colaborador. Destacó que su mandato se caracteriza por el empeño en reforzar la capacidad de respuesta a las necesidades de los Estados miembros y avanzar en el desarrollo del ecosistema mundial de PI. Mientras la OMPI se prepara para el proceso de designación, el Grupo reafirma su compromiso de participar de forma constructiva y seguir cooperando con los demás grupos regionales.</w:t>
      </w:r>
    </w:p>
    <w:p w14:paraId="6BF246CA" w14:textId="77777777" w:rsidR="00945489" w:rsidRPr="00426AC7" w:rsidRDefault="00945489" w:rsidP="00945489">
      <w:pPr>
        <w:pStyle w:val="ONUMFS"/>
        <w:rPr>
          <w:szCs w:val="22"/>
          <w:lang w:val="es-ES_tradnl"/>
        </w:rPr>
      </w:pPr>
      <w:r w:rsidRPr="00426AC7">
        <w:rPr>
          <w:szCs w:val="22"/>
          <w:lang w:val="es-ES_tradnl"/>
        </w:rPr>
        <w:t>La delegación del Ecuador, haciendo uso de la palabra en nombre del Grupo de Países de América Latina y el Caribe (GRULAC), agradeció a la Secretaría la preparación del documento A/66/4, que ofrece un panorama claro de los pasos pertinentes que deben darse y el calendario propuesto para la designación y el nombramiento del director general de la OMPI en 2026. Dijo estar de acuerdo con las sugerencias formuladas en el documento y tomó nota del calendario propuesto para su aplicación. El GRULAC valora la labor del director general de la OMPI y las iniciativas adoptadas que ayudan a todos los miembros a reforzar sus sistemas de PI. La delegación reiteró el compromiso con un proceso inclusivo y transparente en consonancia con las normas de la OMPI.</w:t>
      </w:r>
    </w:p>
    <w:p w14:paraId="489294B7" w14:textId="7A746638" w:rsidR="00945489" w:rsidRPr="00426AC7" w:rsidRDefault="00945489" w:rsidP="00945489">
      <w:pPr>
        <w:pStyle w:val="ONUMFS"/>
        <w:rPr>
          <w:szCs w:val="22"/>
          <w:lang w:val="es-ES_tradnl"/>
        </w:rPr>
      </w:pPr>
      <w:r w:rsidRPr="00426AC7">
        <w:rPr>
          <w:szCs w:val="22"/>
          <w:lang w:val="es-ES_tradnl"/>
        </w:rPr>
        <w:t xml:space="preserve">La delegación de China agradeció a la Secretaría la preparación del documento A/66/4 y la presentación del proceso de nombramiento del director general en 2026. Expresó el deseo de que, gracias a los esfuerzos concertados de todos los Estados miembros y de la Secretaría, y observando los procedimientos pertinentes, la Organización pueda seleccionar a un futuro director general que merezca el reconocimiento de todos los Estados miembros. Asimismo, dijo esperar que el </w:t>
      </w:r>
      <w:r w:rsidR="00540680" w:rsidRPr="00426AC7">
        <w:rPr>
          <w:szCs w:val="22"/>
          <w:lang w:val="es-ES_tradnl"/>
        </w:rPr>
        <w:t xml:space="preserve">futuro </w:t>
      </w:r>
      <w:r w:rsidRPr="00426AC7">
        <w:rPr>
          <w:szCs w:val="22"/>
          <w:lang w:val="es-ES_tradnl"/>
        </w:rPr>
        <w:t>director general lleve adelante la Organización a pesar de todos los desafíos y siga promoviendo el sistema multilateral de PI, llevándolo hacia una dirección más integradora, transparente y equilibrada.</w:t>
      </w:r>
    </w:p>
    <w:p w14:paraId="3A600886" w14:textId="6176BA2C" w:rsidR="00945489" w:rsidRPr="00426AC7" w:rsidRDefault="00945489" w:rsidP="00945489">
      <w:pPr>
        <w:pStyle w:val="ONUMFS"/>
        <w:rPr>
          <w:szCs w:val="22"/>
          <w:lang w:val="es-ES_tradnl"/>
        </w:rPr>
      </w:pPr>
      <w:r w:rsidRPr="00426AC7">
        <w:rPr>
          <w:szCs w:val="22"/>
          <w:lang w:val="es-ES_tradnl"/>
        </w:rPr>
        <w:t xml:space="preserve">La delegación de la Arabia Saudita rindió homenaje al liderazgo visionario del director general, demostrado a lo largo de su mandato, durante el cual se observaron en el Reino de la Arabia Saudita avances considerables en el desarrollo de la innovación y la creatividad. Las iniciativas y el apoyo de la OMPI ayudaron a responder a los desafíos existentes y contribuyeron a que los sistemas de PI respondan mejor a los desafíos tecnológicos y de otro tipo. Habida cuenta de que la fecha para la designación y el nombramiento de un nuevo director general está próxima, en 2026, la delegación dijo confiar en que prosiga la cooperación constructiva con la OMPI y todos los Estados miembros, manteniendo el impulso ya logrado, ya sea mediante la continuación de la dirección actual o bien tras seleccionar a otra persona competente y cualificada capaz de llevar adelante las políticas de la Organización. La delegación afirmó que la OMPI </w:t>
      </w:r>
      <w:r w:rsidR="00DA1078" w:rsidRPr="00426AC7">
        <w:rPr>
          <w:szCs w:val="22"/>
          <w:lang w:val="es-ES_tradnl"/>
        </w:rPr>
        <w:t xml:space="preserve">es </w:t>
      </w:r>
      <w:r w:rsidRPr="00426AC7">
        <w:rPr>
          <w:szCs w:val="22"/>
          <w:lang w:val="es-ES_tradnl"/>
        </w:rPr>
        <w:t>uno de los motores esenciales del desarrollo de la PI en todo el mundo y ha respondido a las expectativas de sus Estados miembros.</w:t>
      </w:r>
    </w:p>
    <w:p w14:paraId="1133C091" w14:textId="3811C419" w:rsidR="00945489" w:rsidRPr="00426AC7" w:rsidRDefault="00945489" w:rsidP="00945489">
      <w:pPr>
        <w:pStyle w:val="ONUMFS"/>
        <w:rPr>
          <w:szCs w:val="22"/>
          <w:lang w:val="es-ES_tradnl"/>
        </w:rPr>
      </w:pPr>
      <w:r w:rsidRPr="00426AC7">
        <w:rPr>
          <w:szCs w:val="22"/>
          <w:lang w:val="es-ES_tradnl"/>
        </w:rPr>
        <w:t>La delegación de Tailandia agradeció a la Secretaría la información facilitada y reafirmó su apoyo a un proceso abierto y transparente, como lo ha señalado la delegación del Pakistán. La delegación expresó reconocimiento por la labor del director general, que dem</w:t>
      </w:r>
      <w:r w:rsidR="00DA1078" w:rsidRPr="00426AC7">
        <w:rPr>
          <w:szCs w:val="22"/>
          <w:lang w:val="es-ES_tradnl"/>
        </w:rPr>
        <w:t>uestra</w:t>
      </w:r>
      <w:r w:rsidRPr="00426AC7">
        <w:rPr>
          <w:szCs w:val="22"/>
          <w:lang w:val="es-ES_tradnl"/>
        </w:rPr>
        <w:t xml:space="preserve"> un liderazgo dedicado a la promoción de un sistema de PI integrador. Tailandia mantiene su compromiso de trabajar con todas las delegaciones para apoyar un proceso fluido y basado en el consenso, en interés de la OMPI.</w:t>
      </w:r>
    </w:p>
    <w:p w14:paraId="096F43E2" w14:textId="46AD3AAD" w:rsidR="00945489" w:rsidRPr="00426AC7" w:rsidRDefault="00945489" w:rsidP="00945489">
      <w:pPr>
        <w:pStyle w:val="ONUMFS"/>
        <w:rPr>
          <w:szCs w:val="22"/>
          <w:lang w:val="es-ES_tradnl"/>
        </w:rPr>
      </w:pPr>
      <w:r w:rsidRPr="00426AC7">
        <w:rPr>
          <w:szCs w:val="22"/>
          <w:lang w:val="es-ES_tradnl"/>
        </w:rPr>
        <w:t>El presidente dio las gracias a las delegaciones que tomaron la palabra. Al no haber más peticiones de palabra, propuso el siguiente párrafo de decisión que figura en el documento de trabajo</w:t>
      </w:r>
      <w:r w:rsidR="00A94EEE" w:rsidRPr="00426AC7">
        <w:rPr>
          <w:szCs w:val="22"/>
          <w:lang w:val="es-ES_tradnl"/>
        </w:rPr>
        <w:t> </w:t>
      </w:r>
      <w:r w:rsidRPr="00426AC7">
        <w:rPr>
          <w:szCs w:val="22"/>
          <w:lang w:val="es-ES_tradnl"/>
        </w:rPr>
        <w:t>A/66/4.</w:t>
      </w:r>
    </w:p>
    <w:p w14:paraId="0C8BFA57" w14:textId="77777777" w:rsidR="00945489" w:rsidRPr="00426AC7" w:rsidRDefault="00945489" w:rsidP="00945489">
      <w:pPr>
        <w:pStyle w:val="ONUMFS"/>
        <w:ind w:left="567"/>
        <w:rPr>
          <w:szCs w:val="22"/>
          <w:lang w:val="es-ES_tradnl"/>
        </w:rPr>
      </w:pPr>
      <w:r w:rsidRPr="00426AC7">
        <w:rPr>
          <w:szCs w:val="22"/>
          <w:lang w:val="es-ES_tradnl"/>
        </w:rPr>
        <w:lastRenderedPageBreak/>
        <w:t>La Asamblea General de la OMPI, el Comité de Coordinación de la OMPI y las Asambleas de las Uniones de París y de Berna, en lo que a cada una concierne,</w:t>
      </w:r>
    </w:p>
    <w:p w14:paraId="710F88C9" w14:textId="14756BCA" w:rsidR="00945489" w:rsidRPr="00426AC7" w:rsidRDefault="00945489" w:rsidP="00945489">
      <w:pPr>
        <w:pStyle w:val="ONUMFS"/>
        <w:numPr>
          <w:ilvl w:val="2"/>
          <w:numId w:val="3"/>
        </w:numPr>
        <w:rPr>
          <w:szCs w:val="22"/>
          <w:lang w:val="es-ES_tradnl"/>
        </w:rPr>
      </w:pPr>
      <w:r w:rsidRPr="00426AC7">
        <w:rPr>
          <w:szCs w:val="22"/>
          <w:lang w:val="es-ES_tradnl"/>
        </w:rPr>
        <w:t>tomaron nota de la circular expuesta en el Anexo II del documento A/66/4, que ha de enviarse según se indica en el párrafo 7 de ese documento;</w:t>
      </w:r>
    </w:p>
    <w:p w14:paraId="7BFF7529" w14:textId="1EC16EF1" w:rsidR="00945489" w:rsidRPr="00426AC7" w:rsidRDefault="00945489" w:rsidP="00945489">
      <w:pPr>
        <w:pStyle w:val="ONUMFS"/>
        <w:numPr>
          <w:ilvl w:val="2"/>
          <w:numId w:val="3"/>
        </w:numPr>
        <w:rPr>
          <w:szCs w:val="22"/>
          <w:lang w:val="es-ES_tradnl"/>
        </w:rPr>
      </w:pPr>
      <w:r w:rsidRPr="00426AC7">
        <w:rPr>
          <w:szCs w:val="22"/>
          <w:lang w:val="es-ES_tradnl"/>
        </w:rPr>
        <w:tab/>
        <w:t>aprobaron la convocación de la Asamblea General de la OMPI, la Asamblea de la Unión de París y la Asamblea de la Unión de Berna el 21 de abril de 2026;</w:t>
      </w:r>
    </w:p>
    <w:p w14:paraId="57CEF611" w14:textId="31B04DBB" w:rsidR="009B6AFA" w:rsidRPr="00426AC7" w:rsidRDefault="00945489" w:rsidP="00945489">
      <w:pPr>
        <w:pStyle w:val="ONUMFS"/>
        <w:numPr>
          <w:ilvl w:val="2"/>
          <w:numId w:val="3"/>
        </w:numPr>
        <w:spacing w:after="480"/>
        <w:rPr>
          <w:szCs w:val="22"/>
          <w:lang w:val="es-ES_tradnl"/>
        </w:rPr>
      </w:pPr>
      <w:r w:rsidRPr="00426AC7">
        <w:rPr>
          <w:szCs w:val="22"/>
          <w:lang w:val="es-ES_tradnl"/>
        </w:rPr>
        <w:tab/>
        <w:t>aprobaron el calendario de las medidas de procedimiento expuestas en el documento A/66/4.</w:t>
      </w:r>
    </w:p>
    <w:p w14:paraId="7FFABE37" w14:textId="047A183E" w:rsidR="009B6AFA" w:rsidRPr="00426AC7" w:rsidRDefault="00945489" w:rsidP="005027A2">
      <w:pPr>
        <w:pStyle w:val="Heading2"/>
        <w:spacing w:line="480" w:lineRule="auto"/>
        <w:rPr>
          <w:szCs w:val="22"/>
          <w:lang w:val="es-ES_tradnl"/>
        </w:rPr>
      </w:pPr>
      <w:bookmarkStart w:id="25" w:name="_Toc209694194"/>
      <w:bookmarkStart w:id="26" w:name="_Hlk171954843"/>
      <w:r w:rsidRPr="00426AC7">
        <w:rPr>
          <w:szCs w:val="22"/>
          <w:lang w:val="es-ES_tradnl"/>
        </w:rPr>
        <w:t>PUNTO 8 DEL ORDEN DEL DÍA CONSOLIDADO</w:t>
      </w:r>
      <w:r w:rsidRPr="00426AC7">
        <w:rPr>
          <w:szCs w:val="22"/>
          <w:lang w:val="es-ES_tradnl"/>
        </w:rPr>
        <w:br/>
      </w:r>
      <w:r w:rsidR="005027A2" w:rsidRPr="00426AC7">
        <w:rPr>
          <w:caps w:val="0"/>
          <w:szCs w:val="22"/>
          <w:lang w:val="es-ES_tradnl"/>
        </w:rPr>
        <w:t>COMPOSICIÓN DEL COMITÉ DE COORDINACIÓN DE LA OMPI Y DE LOS COMITÉS EJECUTIVOS DE LA UNIÓN DE PARÍS Y LA UNIÓN DE BERNA</w:t>
      </w:r>
      <w:bookmarkEnd w:id="25"/>
    </w:p>
    <w:p w14:paraId="54999C95" w14:textId="6475FD36" w:rsidR="00945489" w:rsidRPr="00426AC7" w:rsidRDefault="00945489" w:rsidP="00945489">
      <w:pPr>
        <w:pStyle w:val="ONUMFS"/>
        <w:rPr>
          <w:szCs w:val="22"/>
          <w:lang w:val="es-ES_tradnl"/>
        </w:rPr>
      </w:pPr>
      <w:r w:rsidRPr="00426AC7">
        <w:rPr>
          <w:szCs w:val="22"/>
          <w:lang w:val="es-ES_tradnl"/>
        </w:rPr>
        <w:t xml:space="preserve">Los debates se basaron en el documento </w:t>
      </w:r>
      <w:hyperlink r:id="rId41" w:tgtFrame="_blank" w:history="1">
        <w:r w:rsidRPr="00426AC7">
          <w:rPr>
            <w:rStyle w:val="Hyperlink"/>
            <w:szCs w:val="22"/>
            <w:lang w:val="es-ES_tradnl"/>
          </w:rPr>
          <w:t>A/66/5</w:t>
        </w:r>
      </w:hyperlink>
      <w:r w:rsidRPr="00426AC7">
        <w:rPr>
          <w:szCs w:val="22"/>
          <w:lang w:val="es-ES_tradnl"/>
        </w:rPr>
        <w:t>.</w:t>
      </w:r>
    </w:p>
    <w:p w14:paraId="2418F11F" w14:textId="720BEB84" w:rsidR="00945489" w:rsidRPr="00426AC7" w:rsidRDefault="00945489" w:rsidP="62D966B3">
      <w:pPr>
        <w:pStyle w:val="ONUMFS"/>
        <w:rPr>
          <w:lang w:val="es-ES_tradnl"/>
        </w:rPr>
      </w:pPr>
      <w:r w:rsidRPr="00426AC7">
        <w:rPr>
          <w:lang w:val="es-ES_tradnl"/>
        </w:rPr>
        <w:t>En ausencia del presidente de la Conferencia de la OMPI, Sr. Abdulaziz Alswailem (Arabia Saudita), la vicepresidenta, Sra. </w:t>
      </w:r>
      <w:r w:rsidRPr="00426AC7">
        <w:rPr>
          <w:rStyle w:val="size"/>
          <w:shd w:val="clear" w:color="auto" w:fill="FFFFFF"/>
          <w:lang w:val="es-ES_tradnl"/>
        </w:rPr>
        <w:t>Ainna Vilengi Kaundu</w:t>
      </w:r>
      <w:r w:rsidRPr="00426AC7">
        <w:rPr>
          <w:rStyle w:val="size"/>
          <w:b/>
          <w:bCs/>
          <w:shd w:val="clear" w:color="auto" w:fill="FFFFFF"/>
          <w:lang w:val="es-ES_tradnl"/>
        </w:rPr>
        <w:t xml:space="preserve"> </w:t>
      </w:r>
      <w:r w:rsidRPr="00426AC7">
        <w:rPr>
          <w:rStyle w:val="size"/>
          <w:shd w:val="clear" w:color="auto" w:fill="FFFFFF"/>
          <w:lang w:val="es-ES_tradnl"/>
        </w:rPr>
        <w:t>(Namibia) asumió la función de presidenta (en lo sucesivo, “la presidenta”). Abrió el</w:t>
      </w:r>
      <w:r w:rsidRPr="00426AC7">
        <w:rPr>
          <w:lang w:val="es-ES_tradnl"/>
        </w:rPr>
        <w:t xml:space="preserve"> punto del orden del día, señalando que no se abrió, sino que se aplazó, la semana anterior, ya que la Secretaría no ha recibido todas las candidaturas para la elección en estos órganos.</w:t>
      </w:r>
    </w:p>
    <w:p w14:paraId="6BE708CD" w14:textId="77777777" w:rsidR="00945489" w:rsidRPr="00426AC7" w:rsidRDefault="00945489" w:rsidP="00945489">
      <w:pPr>
        <w:pStyle w:val="ONUMFS"/>
        <w:rPr>
          <w:szCs w:val="22"/>
          <w:lang w:val="es-ES_tradnl"/>
        </w:rPr>
      </w:pPr>
      <w:r w:rsidRPr="00426AC7">
        <w:rPr>
          <w:szCs w:val="22"/>
          <w:lang w:val="es-ES_tradnl"/>
        </w:rPr>
        <w:t>La presidenta informó a las delegaciones que, tras las consultas informales, se ha llegado a un consenso sobre los Estados que serán elegidos miembros del Comité de Coordinación. Invitó a la consejera jurídica a presentar brevemente el documento en examen, preparado por la Secretaría.</w:t>
      </w:r>
    </w:p>
    <w:p w14:paraId="194998CF" w14:textId="53C7EA7C" w:rsidR="00945489" w:rsidRPr="00426AC7" w:rsidRDefault="00945489" w:rsidP="62D966B3">
      <w:pPr>
        <w:pStyle w:val="ONUMFS"/>
        <w:rPr>
          <w:lang w:val="es-ES_tradnl"/>
        </w:rPr>
      </w:pPr>
      <w:r w:rsidRPr="00426AC7">
        <w:rPr>
          <w:lang w:val="es-ES_tradnl"/>
        </w:rPr>
        <w:t xml:space="preserve">Al presentar el punto 8 del orden del día, la consejera jurídica señaló a la atención de las delegaciones el documento A/66/5. Recordó que la composición del Comité de Coordinación se establece una vez cada dos años, en el período ordinario de sesiones de las Asambleas de la OMPI, y está integrada por miembros de los Comités Ejecutivos de las Uniones de París y de Berna; miembros </w:t>
      </w:r>
      <w:r w:rsidRPr="00426AC7">
        <w:rPr>
          <w:i/>
          <w:iCs/>
          <w:lang w:val="es-ES_tradnl"/>
        </w:rPr>
        <w:t>ad</w:t>
      </w:r>
      <w:r w:rsidR="0009228E" w:rsidRPr="00426AC7">
        <w:rPr>
          <w:i/>
          <w:iCs/>
          <w:lang w:val="es-ES_tradnl"/>
        </w:rPr>
        <w:t> </w:t>
      </w:r>
      <w:r w:rsidRPr="00426AC7">
        <w:rPr>
          <w:i/>
          <w:iCs/>
          <w:lang w:val="es-ES_tradnl"/>
        </w:rPr>
        <w:t>hoc</w:t>
      </w:r>
      <w:r w:rsidRPr="00426AC7">
        <w:rPr>
          <w:lang w:val="es-ES_tradnl"/>
        </w:rPr>
        <w:t xml:space="preserve"> designados por la Conferencia de la OMPI, es decir, Estados que forman parte del Convenio de la OMPI pero no son miembros de las Uniones de París o de Berna; y Suiza, como Estado anfitrión, en calidad de miembro </w:t>
      </w:r>
      <w:r w:rsidRPr="00426AC7">
        <w:rPr>
          <w:i/>
          <w:iCs/>
          <w:lang w:val="es-ES_tradnl"/>
        </w:rPr>
        <w:t>ex</w:t>
      </w:r>
      <w:r w:rsidR="000707D4" w:rsidRPr="00426AC7">
        <w:rPr>
          <w:i/>
          <w:iCs/>
          <w:lang w:val="es-ES_tradnl"/>
        </w:rPr>
        <w:t> </w:t>
      </w:r>
      <w:r w:rsidRPr="00426AC7">
        <w:rPr>
          <w:i/>
          <w:iCs/>
          <w:lang w:val="es-ES_tradnl"/>
        </w:rPr>
        <w:t>officio</w:t>
      </w:r>
      <w:r w:rsidRPr="00426AC7">
        <w:rPr>
          <w:lang w:val="es-ES_tradnl"/>
        </w:rPr>
        <w:t>. La consejera jurídica anunció que el mandato de los actuales miembros de los Comités Ejecutivos de las Uniones de París y Berna y del Comité de Coordinación expiran en el año en curso. Por lo tanto, los nuevos miembros deben ser elegidos durante las presentes Asambleas para ejercer sus funciones hasta la clausura del próximo periodo ordinario de sesiones de las Asambleas.</w:t>
      </w:r>
    </w:p>
    <w:p w14:paraId="37780C40" w14:textId="2EDB6D7E" w:rsidR="00945489" w:rsidRPr="00426AC7" w:rsidRDefault="00945489" w:rsidP="62D966B3">
      <w:pPr>
        <w:pStyle w:val="ONUMFS"/>
        <w:rPr>
          <w:lang w:val="es-ES_tradnl"/>
        </w:rPr>
      </w:pPr>
      <w:r w:rsidRPr="00426AC7">
        <w:rPr>
          <w:lang w:val="es-ES_tradnl"/>
        </w:rPr>
        <w:t xml:space="preserve">La consejera jurídica recordó que, como se explica en el documento de trabajo, la nueva composición del Comité de Coordinación debe constar de 90 miembros, lo que supone un aumento con respecto a los 83 miembros actuales. Sin embargo, a falta de acuerdo sobre la mejor manera de asignar los siete puestos adicionales del Comité de Coordinación, los Estados miembros consensuaron que el Comité de Coordinación debe permanecer excepcionalmente en 83 miembros. Si la Conferencia de la OMPI, la Asamblea de la Unión de París y la Asamblea de la Unión de Berna lo aprueban, el Comité de Coordinación estaría compuesto, para el período comprendido entre la clausura del presente período de sesiones y la clausura del próximo período ordinario de sesiones de las Asambleas de las Uniones de París y de Berna y de la Conferencia de la OMPI en 2027, por los 41 países elegidos para formar parte del Comité Ejecutivo de la Unión de París, los 40 países elegidos para formar parte del Comité </w:t>
      </w:r>
      <w:r w:rsidRPr="00426AC7">
        <w:rPr>
          <w:lang w:val="es-ES_tradnl"/>
        </w:rPr>
        <w:lastRenderedPageBreak/>
        <w:t xml:space="preserve">Ejecutivo de la Unión de Berna, un miembro </w:t>
      </w:r>
      <w:r w:rsidRPr="00426AC7">
        <w:rPr>
          <w:i/>
          <w:iCs/>
          <w:lang w:val="es-ES_tradnl"/>
        </w:rPr>
        <w:t>ad hoc</w:t>
      </w:r>
      <w:r w:rsidRPr="00426AC7">
        <w:rPr>
          <w:lang w:val="es-ES_tradnl"/>
        </w:rPr>
        <w:t xml:space="preserve"> designado por la Conferencia y el Estado anfitrión como miembro </w:t>
      </w:r>
      <w:r w:rsidRPr="00426AC7">
        <w:rPr>
          <w:i/>
          <w:iCs/>
          <w:lang w:val="es-ES_tradnl"/>
        </w:rPr>
        <w:t>ex</w:t>
      </w:r>
      <w:r w:rsidR="00DA77A4" w:rsidRPr="00426AC7">
        <w:rPr>
          <w:i/>
          <w:iCs/>
          <w:lang w:val="es-ES_tradnl"/>
        </w:rPr>
        <w:t> </w:t>
      </w:r>
      <w:r w:rsidRPr="00426AC7">
        <w:rPr>
          <w:i/>
          <w:iCs/>
          <w:lang w:val="es-ES_tradnl"/>
        </w:rPr>
        <w:t>officio</w:t>
      </w:r>
      <w:r w:rsidRPr="00426AC7">
        <w:rPr>
          <w:lang w:val="es-ES_tradnl"/>
        </w:rPr>
        <w:t>. La consejera jurídica anunció que se entregó a los Estados miembros un documento informal con la lista de los 83 miembros propuestos para el Comité de Coordinación.</w:t>
      </w:r>
    </w:p>
    <w:p w14:paraId="137ABEEE" w14:textId="77777777" w:rsidR="00945489" w:rsidRPr="00426AC7" w:rsidRDefault="00945489" w:rsidP="62D966B3">
      <w:pPr>
        <w:pStyle w:val="ONUMFS"/>
        <w:rPr>
          <w:lang w:val="es-ES_tradnl"/>
        </w:rPr>
      </w:pPr>
      <w:r w:rsidRPr="00426AC7">
        <w:rPr>
          <w:lang w:val="es-ES_tradnl"/>
        </w:rPr>
        <w:t>Las Asambleas de las Uniones de París y de Berna, y la Conferencia de la OMPI, en lo que a cada una concierne, decidieron por acuerdo unánime de todos los Estados miembros de la OMPI, que el Comité de Coordinación, compuesto excepcionalmente por 83 miembros, ha sido debidamente constituido, teniendo en cuenta, en particular, sus funciones con respecto al proceso de nombramiento del próximo director general, y ningún Estado miembro de ningún órgano pertinente de la OMPI podrá fundare en ese hecho para impugnar la validez de la designación por el Comité de Coordinación de un candidato para su nombramiento como director general en 2026.</w:t>
      </w:r>
    </w:p>
    <w:p w14:paraId="66FB7578" w14:textId="6EEEBC55" w:rsidR="00945489" w:rsidRPr="00426AC7" w:rsidRDefault="00945489" w:rsidP="62D966B3">
      <w:pPr>
        <w:pStyle w:val="ONUMFS"/>
        <w:rPr>
          <w:lang w:val="es-ES_tradnl"/>
        </w:rPr>
      </w:pPr>
      <w:r w:rsidRPr="00426AC7">
        <w:rPr>
          <w:lang w:val="es-ES_tradnl"/>
        </w:rPr>
        <w:t xml:space="preserve">La consejera jurídica recordó a las delegaciones que el párrafo se incluyó igualmente en la decisión adoptada en la última oportunidad en que se estableció la composición del Comité de Coordinación, en el año anterior al nombramiento del director general en 2019. En aquel momento, se produjo una situación similar en relación con la composición excepcional de 83 miembros del Comité de Coordinación -y a ese respecto, la consejera jurídica remitió a las delegaciones al documento A/59/14, párrafo 96-, a pesar de la disposición correspondiente que exige una composición más amplia. Por lo tanto, al igual que en 2019, se propuso incluir el mencionado párrafo para confirmar que la composición de 83 </w:t>
      </w:r>
      <w:r w:rsidR="00426AC7" w:rsidRPr="00426AC7">
        <w:rPr>
          <w:lang w:val="es-ES_tradnl"/>
        </w:rPr>
        <w:t>miembros del</w:t>
      </w:r>
      <w:r w:rsidRPr="00426AC7">
        <w:rPr>
          <w:lang w:val="es-ES_tradnl"/>
        </w:rPr>
        <w:t xml:space="preserve"> Comité de Coordinación no puede fundamentar una impugnación del proceso de nombramiento del director general en 2026.</w:t>
      </w:r>
    </w:p>
    <w:p w14:paraId="57D66199" w14:textId="77777777" w:rsidR="00945489" w:rsidRPr="00426AC7" w:rsidRDefault="00945489" w:rsidP="00945489">
      <w:pPr>
        <w:pStyle w:val="ONUMFS"/>
        <w:rPr>
          <w:szCs w:val="22"/>
          <w:lang w:val="es-ES_tradnl"/>
        </w:rPr>
      </w:pPr>
      <w:r w:rsidRPr="00426AC7">
        <w:rPr>
          <w:szCs w:val="22"/>
          <w:lang w:val="es-ES_tradnl"/>
        </w:rPr>
        <w:t>La consejera jurídica señaló que el texto de la decisión propuesta también refleja un lenguaje estándar según el cual el presidente de la Asamblea General de la OMPI mantendrá consultas sobre la asignación de los puestos vacantes para determinar la composición del Comité de Coordinación y los Comités Ejecutivos de las Uniones de París y de Berna en las Asambleas de la OMPI de 2027. Por último, la propuesta de decisión incluye texto en el que se especifican los órganos de los que son miembros los países en cuestión, en relación con las afirmaciones que contiene. Dicho texto, resultado de consultas informales, es coherente con el adoptado en el punto 9 del orden del día sobre la composición del Comité del Programa y Presupuesto (PBC).</w:t>
      </w:r>
    </w:p>
    <w:p w14:paraId="566AFEBA" w14:textId="77777777" w:rsidR="00945489" w:rsidRPr="00426AC7" w:rsidRDefault="00945489" w:rsidP="62D966B3">
      <w:pPr>
        <w:pStyle w:val="ONUMFS"/>
        <w:rPr>
          <w:lang w:val="es-ES_tradnl"/>
        </w:rPr>
      </w:pPr>
      <w:r w:rsidRPr="00426AC7">
        <w:rPr>
          <w:lang w:val="es-ES_tradnl"/>
        </w:rPr>
        <w:t>El presidente dio las gracias a la consejera jurídica, así como a los coordinadores de los grupos y a las delegaciones, por su participación activa en las consultas celebradas durante las Asambleas en curso. Declaró que, si bien no hay consenso sobre la composición completa de 90 miembros del Comité de Coordinación, se ha llegado al consenso sobre 83 miembros. Por consiguiente, propone que las delegaciones procedan a la elección, con carácter excepcional, de estos 83 miembros. El presidente declaró que, como acababa de mencionar la consejera jurídica, el párrafo de decisión propuesto se había puesto de manera informal a disposición de los Estados miembros y, a su entender, es aceptable para todos.</w:t>
      </w:r>
    </w:p>
    <w:p w14:paraId="61BAFEBC" w14:textId="0FBBFAE0" w:rsidR="00945489" w:rsidRPr="00426AC7" w:rsidRDefault="00945489" w:rsidP="62D966B3">
      <w:pPr>
        <w:pStyle w:val="ONUMFS"/>
        <w:rPr>
          <w:lang w:val="es-ES_tradnl"/>
        </w:rPr>
      </w:pPr>
      <w:r w:rsidRPr="00426AC7">
        <w:rPr>
          <w:lang w:val="es-ES_tradnl"/>
        </w:rPr>
        <w:t xml:space="preserve">La delegación del Pakistán, haciendo uso de la palabra en nombre del Grupo de Asia y el Pacífico, desea que conste en acta su declaración. El Grupo agradece a la Secretaría la preparación del documento A/66/5 sobre la composición del Comité de Coordinación. Desea reiterar la posición expresada en la propuesta conjunta del Grupo de Asia y el Pacífico y del Grupo Africano, contenida en el documento A/64/9, presentada inicialmente en 2021 y reafirmada en reuniones posteriores. El Grupo de Asia y el Pacífico considera que la actual asignación de puestos en el Comité de Coordinación no es equitativa ni verdaderamente representativa de la realidad geográfica de los miembros de la OMPI. El Grupo apoya una asignación justa y equitativa de las vacantes en el Comité de Coordinación de la OMPI sobre la base de una distribución geográfica equitativa. El principio de distribución geográfica equitativa se consagra en el Artículo 14.4) del Convenio de París y en el artículo 23 del Convenio de </w:t>
      </w:r>
      <w:r w:rsidRPr="00426AC7">
        <w:rPr>
          <w:lang w:val="es-ES_tradnl"/>
        </w:rPr>
        <w:lastRenderedPageBreak/>
        <w:t xml:space="preserve">Berna. El Grupo considera que este principio debe guiar la asignación de las nuevas vacantes para corregir los desequilibrios existentes en la representación de los grupos en el Comité de Coordinación. También recuerda que el aumento del número de miembros del Comité de Coordinación se debe a las nuevas adhesiones, principalmente del Grupo de Asia y el Pacífico y del Grupo Africano, y que el Grupo de Asia y el Pacífico representa por sí solo 16 de las 24 adhesiones a los Convenios de París y de Berna desde 2011. El Grupo de Asia y el Pacífico considera que esta tendencia refleja claramente la realidad cambiante de los miembros de la OMPI y debe retomarse adecuadamente en sus estructuras de gobierno. El Grupo de Asia y el Pacífico respeta la diversidad de puntos de vista, añadiendo que el Grupo opina que limitar la asignación de puestos a parámetros económicos socava los principios fundacionales del multilateralismo, que son la inclusividad, el equilibrio, la equidad y la solidaridad de los Estados miembros. La OMPI es un organismo especializado de las </w:t>
      </w:r>
      <w:r w:rsidR="008C4371" w:rsidRPr="00426AC7">
        <w:rPr>
          <w:lang w:val="es-ES_tradnl"/>
        </w:rPr>
        <w:t>Naciones Unidas (ONU)</w:t>
      </w:r>
      <w:r w:rsidRPr="00426AC7">
        <w:rPr>
          <w:lang w:val="es-ES_tradnl"/>
        </w:rPr>
        <w:t>, y sus estructuras de gobierno deben reflejar la diversidad de sus miembros, no solo su peso económico. La representación geográfica equitativa en los principales órganos decisorios de la OMPI es vital para garantizar la legitimidad de las decisiones adoptadas en los distintos órganos de la OMPI y la sostenibilidad a largo plazo de las políticas de la Organización. Todos los grupos regionales deben tener una voz significativa en la configuración de la dirección de la OMPI y en la orientación de su labor futura. En conclusión, el Grupo de Asia y el Pacífico pidió que durante la sesión se tome una decisión constructiva y basada en el consenso, que garantice que la nueva composición del Comité de Coordinación encarne realmente el principio de distribución geográfica equitativa y corrija los desequilibrios históricos en la representación.</w:t>
      </w:r>
    </w:p>
    <w:p w14:paraId="5DCB51FB" w14:textId="77777777" w:rsidR="00945489" w:rsidRPr="00426AC7" w:rsidRDefault="00945489" w:rsidP="00945489">
      <w:pPr>
        <w:pStyle w:val="ONUMFS"/>
        <w:rPr>
          <w:szCs w:val="22"/>
          <w:lang w:val="es-ES_tradnl"/>
        </w:rPr>
      </w:pPr>
      <w:r w:rsidRPr="00426AC7">
        <w:rPr>
          <w:szCs w:val="22"/>
          <w:lang w:val="es-ES_tradnl"/>
        </w:rPr>
        <w:t>La delegación de Namibia, haciendo uso de la palabra en nombre del Grupo Africano, tomó nota de los apartados de decisión propuestos para la composición del Comité de Coordinación y de los Comités Ejecutivos de las Uniones de París y de Berna. El Grupo aprecia el esfuerzo realizado por la presidenta para facilitar el consenso sobre el punto del orden del día y afirmó la importancia de salvaguardar el consenso en el multilateralismo. En un espíritu de flexibilidad, el Grupo Africano considera esta decisión como un compromiso alcanzado en circunstancias excepcionales, y no como la norma, dadas sus repercusiones para el consenso y el precedente que sentaría.</w:t>
      </w:r>
    </w:p>
    <w:p w14:paraId="5C14E24C" w14:textId="77777777" w:rsidR="00945489" w:rsidRPr="00426AC7" w:rsidRDefault="00945489" w:rsidP="00945489">
      <w:pPr>
        <w:pStyle w:val="ONUMFS"/>
        <w:rPr>
          <w:szCs w:val="22"/>
          <w:lang w:val="es-ES_tradnl"/>
        </w:rPr>
      </w:pPr>
      <w:r w:rsidRPr="00426AC7">
        <w:rPr>
          <w:szCs w:val="22"/>
          <w:lang w:val="es-ES_tradnl"/>
        </w:rPr>
        <w:t>La presidenta dio las gracias a la delegación de Namibia y concedió la palabra a la delegación del Japón. También recordó a las delegaciones que abriría el turno de palabra sobre el punto del orden del día después de la decisión, asegurándoles que tendrían la oportunidad de hacer comentarios.</w:t>
      </w:r>
    </w:p>
    <w:p w14:paraId="283A6ED4" w14:textId="5BB52752" w:rsidR="00945489" w:rsidRPr="00426AC7" w:rsidRDefault="00945489" w:rsidP="00945489">
      <w:pPr>
        <w:pStyle w:val="ONUMFS"/>
        <w:rPr>
          <w:szCs w:val="22"/>
          <w:lang w:val="es-ES_tradnl"/>
        </w:rPr>
      </w:pPr>
      <w:r w:rsidRPr="00426AC7">
        <w:rPr>
          <w:szCs w:val="22"/>
          <w:lang w:val="es-ES_tradnl"/>
        </w:rPr>
        <w:t>Haciendo uso de la palabra en nombre del Grupo B, la delegación del Japón agradeció a la Secretaría la preparación del documento A/66/5 sobre la composición del Comité de Coordinación de la OMPI y los Comités Ejecutivos de las Uniones de París y de Berna. Aunque el Grupo</w:t>
      </w:r>
      <w:r w:rsidR="0009228E" w:rsidRPr="00426AC7">
        <w:rPr>
          <w:szCs w:val="22"/>
          <w:lang w:val="es-ES_tradnl"/>
        </w:rPr>
        <w:t> </w:t>
      </w:r>
      <w:r w:rsidRPr="00426AC7">
        <w:rPr>
          <w:szCs w:val="22"/>
          <w:lang w:val="es-ES_tradnl"/>
        </w:rPr>
        <w:t xml:space="preserve">B reconoce que la representación geográfica es uno de los criterios que deben tenerse en cuenta para determinar la asignación de nuevos puestos, reitera que el equilibrio geográfico debe complementarse con el reconocimiento de las contribuciones materiales al sistema internacional de PI, incluido el número de solicitudes y registros de PI. A este respecto, las partes interesadas de los países del Grupo B están realizando contribuciones fundamentales y vitales para el buen funcionamiento de los servicios y actividades de la OMPI. La asignación propuesta de 44 puestos por Comité Ejecutivo y la inclusión de miembros </w:t>
      </w:r>
      <w:r w:rsidRPr="00426AC7">
        <w:rPr>
          <w:i/>
          <w:szCs w:val="22"/>
          <w:lang w:val="es-ES_tradnl"/>
        </w:rPr>
        <w:t>ad hoc</w:t>
      </w:r>
      <w:r w:rsidRPr="00426AC7">
        <w:rPr>
          <w:szCs w:val="22"/>
          <w:lang w:val="es-ES_tradnl"/>
        </w:rPr>
        <w:t xml:space="preserve"> ajenos a la Unión no deberían diluir la voz de las principales partes interesadas que impulsan el ecosistema de la PI. El Grupo B concluyó expresando su disposición a seguir contribuyendo a los debates sobre este asunto.</w:t>
      </w:r>
    </w:p>
    <w:p w14:paraId="64BA8019" w14:textId="77777777" w:rsidR="00945489" w:rsidRPr="00426AC7" w:rsidRDefault="00945489" w:rsidP="00945489">
      <w:pPr>
        <w:pStyle w:val="ONUMFS"/>
        <w:rPr>
          <w:szCs w:val="22"/>
          <w:lang w:val="es-ES_tradnl"/>
        </w:rPr>
      </w:pPr>
      <w:r w:rsidRPr="00426AC7">
        <w:rPr>
          <w:szCs w:val="22"/>
          <w:lang w:val="es-ES_tradnl"/>
        </w:rPr>
        <w:t>La presidenta dio las gracias a la delegación del Japón y, a menos que hubiera objeciones, pidió a la Secretaría que proyectara en la pantalla el siguiente párrafo de decisión.</w:t>
      </w:r>
    </w:p>
    <w:p w14:paraId="61D12B0D" w14:textId="77777777" w:rsidR="00945489" w:rsidRPr="00426AC7" w:rsidRDefault="00945489" w:rsidP="009B0266">
      <w:pPr>
        <w:pStyle w:val="ONUMFS"/>
        <w:keepNext/>
        <w:keepLines/>
        <w:ind w:left="567"/>
        <w:rPr>
          <w:rFonts w:eastAsia="Times New Roman"/>
          <w:szCs w:val="22"/>
          <w:lang w:val="es-ES_tradnl"/>
        </w:rPr>
      </w:pPr>
      <w:r w:rsidRPr="00426AC7">
        <w:rPr>
          <w:szCs w:val="22"/>
          <w:lang w:val="es-ES_tradnl"/>
        </w:rPr>
        <w:lastRenderedPageBreak/>
        <w:t>Tras las consultas oficiosas mantenidas entre los Estados miembros,</w:t>
      </w:r>
    </w:p>
    <w:p w14:paraId="306D881C" w14:textId="77777777" w:rsidR="00945489" w:rsidRPr="00426AC7" w:rsidRDefault="00945489" w:rsidP="0016174D">
      <w:pPr>
        <w:pStyle w:val="ONUMFS"/>
        <w:numPr>
          <w:ilvl w:val="2"/>
          <w:numId w:val="3"/>
        </w:numPr>
        <w:rPr>
          <w:rFonts w:eastAsia="Times New Roman"/>
          <w:lang w:val="es-ES_tradnl"/>
        </w:rPr>
      </w:pPr>
      <w:r w:rsidRPr="00426AC7">
        <w:rPr>
          <w:lang w:val="es-ES_tradnl"/>
        </w:rPr>
        <w:t xml:space="preserve">la Asamblea de la Unión de París eligió a los Estados siguientes en calidad de miembros </w:t>
      </w:r>
      <w:r w:rsidRPr="00426AC7">
        <w:rPr>
          <w:i/>
          <w:iCs/>
          <w:lang w:val="es-ES_tradnl"/>
        </w:rPr>
        <w:t>ordinarios</w:t>
      </w:r>
      <w:r w:rsidRPr="00426AC7">
        <w:rPr>
          <w:lang w:val="es-ES_tradnl"/>
        </w:rPr>
        <w:t xml:space="preserve"> del </w:t>
      </w:r>
      <w:r w:rsidRPr="00426AC7">
        <w:rPr>
          <w:i/>
          <w:iCs/>
          <w:lang w:val="es-ES_tradnl"/>
        </w:rPr>
        <w:t>Comité Ejecutivo de la Unión de París</w:t>
      </w:r>
      <w:r w:rsidRPr="00426AC7">
        <w:rPr>
          <w:lang w:val="es-ES_tradnl"/>
        </w:rPr>
        <w:t xml:space="preserve">: Alemania, Argelia, Armenia, Austria, Bangladesh, Bélgica, Camerún, Canadá, Chile, China, Costa Rica, Côte d’ Ivoire, Dinamarca, Ecuador, Egipto, Eslovenia, Francia, Guatemala, India, Indonesia, Irán (República Islámica del), Jamaica, Kazajstán, Lesotho, Líbano, Luxemburgo, Malawi, Nueva Zelandia, Países Bajos (Reino de los), Panamá, Paraguay, Polonia, Portugal, Reino Unido, República de Moldova, República Popular Democrática de Corea, Sierra Leona, Türkiye, Ucrania, Uganda, Zambia (41); </w:t>
      </w:r>
    </w:p>
    <w:p w14:paraId="750B73B5" w14:textId="77777777" w:rsidR="00945489" w:rsidRPr="00426AC7" w:rsidRDefault="00945489" w:rsidP="00945489">
      <w:pPr>
        <w:pStyle w:val="ONUMFS"/>
        <w:numPr>
          <w:ilvl w:val="2"/>
          <w:numId w:val="3"/>
        </w:numPr>
        <w:rPr>
          <w:rFonts w:eastAsia="Times New Roman"/>
          <w:szCs w:val="22"/>
          <w:lang w:val="es-ES_tradnl"/>
        </w:rPr>
      </w:pPr>
      <w:r w:rsidRPr="00426AC7">
        <w:rPr>
          <w:szCs w:val="22"/>
          <w:lang w:val="es-ES_tradnl"/>
        </w:rPr>
        <w:t xml:space="preserve">la Asamblea de la Unión de Berna eligió por unanimidad a los siguientes Estados como miembros </w:t>
      </w:r>
      <w:r w:rsidRPr="00426AC7">
        <w:rPr>
          <w:i/>
          <w:szCs w:val="22"/>
          <w:lang w:val="es-ES_tradnl"/>
        </w:rPr>
        <w:t>ordinarios</w:t>
      </w:r>
      <w:r w:rsidRPr="00426AC7">
        <w:rPr>
          <w:szCs w:val="22"/>
          <w:lang w:val="es-ES_tradnl"/>
        </w:rPr>
        <w:t xml:space="preserve"> del </w:t>
      </w:r>
      <w:r w:rsidRPr="00426AC7">
        <w:rPr>
          <w:i/>
          <w:szCs w:val="22"/>
          <w:lang w:val="es-ES_tradnl"/>
        </w:rPr>
        <w:t>Comité Ejecutivo de la Unión de Berna</w:t>
      </w:r>
      <w:r w:rsidRPr="00426AC7">
        <w:rPr>
          <w:szCs w:val="22"/>
          <w:lang w:val="es-ES_tradnl"/>
        </w:rPr>
        <w:t>: Arabia Saudita, Argentina, Australia, Azerbaiyán, Brasil, Colombia (2026), Congo, Cuba, El Salvador, Emiratos Árabes Unidos, España, Estados Unidos de América, Estonia, Federación de Rusia, Finlandia, Gabón, Ghana, Irlanda, Islandia, Italia, Japón, Jordania, Kenya, Malasia, Marruecos, México, Namibia, Nigeria, Noruega, Pakistán, Perú, Qatar, República Checa, República de Corea, Singapur, Sudáfrica, Suecia, Tailandia, Trinidad y Tabago, Túnez, Uruguay (2027) (40);</w:t>
      </w:r>
    </w:p>
    <w:p w14:paraId="5362E947" w14:textId="77777777" w:rsidR="00945489" w:rsidRPr="00426AC7" w:rsidRDefault="00945489" w:rsidP="00945489">
      <w:pPr>
        <w:pStyle w:val="ONUMFS"/>
        <w:numPr>
          <w:ilvl w:val="2"/>
          <w:numId w:val="3"/>
        </w:numPr>
        <w:rPr>
          <w:szCs w:val="22"/>
          <w:lang w:val="es-ES_tradnl"/>
        </w:rPr>
      </w:pPr>
      <w:r w:rsidRPr="00426AC7">
        <w:rPr>
          <w:szCs w:val="22"/>
          <w:lang w:val="es-ES_tradnl"/>
        </w:rPr>
        <w:t>la Conferencia de la OMPI designó al siguiente Estado en calidad de miembro ad hoc del Comité de Coordinación de la OMPI: Somalia (1);</w:t>
      </w:r>
    </w:p>
    <w:p w14:paraId="149C32D2" w14:textId="77777777" w:rsidR="00945489" w:rsidRPr="00426AC7" w:rsidRDefault="00945489" w:rsidP="00E512B2">
      <w:pPr>
        <w:pStyle w:val="ONUMFS"/>
        <w:numPr>
          <w:ilvl w:val="2"/>
          <w:numId w:val="3"/>
        </w:numPr>
        <w:rPr>
          <w:lang w:val="es-ES_tradnl"/>
        </w:rPr>
      </w:pPr>
      <w:r w:rsidRPr="00426AC7">
        <w:rPr>
          <w:lang w:val="es-ES_tradnl"/>
        </w:rPr>
        <w:t>la Conferencia de la OMPI y las Asambleas de las Uniones de París y de Berna observaron que Suiza seguirá siendo miembro ordinario ex officio del Comité Ejecutivo de la Unión de París y del Comité Ejecutivo de la Unión de Berna.</w:t>
      </w:r>
    </w:p>
    <w:p w14:paraId="47565697" w14:textId="77777777" w:rsidR="00945489" w:rsidRPr="00426AC7" w:rsidRDefault="00945489" w:rsidP="005027A2">
      <w:pPr>
        <w:pStyle w:val="ONUMFS"/>
        <w:numPr>
          <w:ilvl w:val="0"/>
          <w:numId w:val="0"/>
        </w:numPr>
        <w:ind w:left="1134" w:firstLine="567"/>
        <w:rPr>
          <w:rFonts w:eastAsia="Times New Roman"/>
          <w:noProof/>
          <w:szCs w:val="22"/>
          <w:lang w:val="es-ES_tradnl"/>
        </w:rPr>
      </w:pPr>
      <w:r w:rsidRPr="00426AC7">
        <w:rPr>
          <w:szCs w:val="22"/>
          <w:lang w:val="es-ES_tradnl"/>
        </w:rPr>
        <w:t xml:space="preserve">Por consiguiente, en el período comprendido entre la clausura del presente período de sesiones y la clausura del próximo período ordinario de sesiones de las Asambleas de las Uniones de París y de Berna y de la Conferencia de la OMPI que se reunirá en 2027, el Comité de Coordinación de la OMPI estará compuesto por los siguientes Estados: </w:t>
      </w:r>
      <w:bookmarkStart w:id="27" w:name="_Hlk203492296"/>
    </w:p>
    <w:p w14:paraId="5644B074" w14:textId="502B8A34" w:rsidR="00945489" w:rsidRPr="00426AC7" w:rsidRDefault="00945489" w:rsidP="62D966B3">
      <w:pPr>
        <w:pStyle w:val="ONUMFS"/>
        <w:numPr>
          <w:ilvl w:val="0"/>
          <w:numId w:val="0"/>
        </w:numPr>
        <w:ind w:left="1134" w:firstLine="567"/>
        <w:rPr>
          <w:rFonts w:eastAsia="Times New Roman"/>
          <w:noProof/>
          <w:lang w:val="es-ES_tradnl"/>
        </w:rPr>
      </w:pPr>
      <w:r w:rsidRPr="00426AC7">
        <w:rPr>
          <w:lang w:val="es-ES_tradnl"/>
        </w:rPr>
        <w:t>Alemania, Arabia Saudita, Argelia, Argentina, Armenia, Australia, Austria, Azerbaiyán, Bangladesh, Bélgica, Brasil, Camerún, Canadá, Chile, China, Colombia</w:t>
      </w:r>
      <w:r w:rsidR="005027A2" w:rsidRPr="00426AC7">
        <w:rPr>
          <w:lang w:val="es-ES_tradnl"/>
        </w:rPr>
        <w:t> </w:t>
      </w:r>
      <w:r w:rsidRPr="00426AC7">
        <w:rPr>
          <w:lang w:val="es-ES_tradnl"/>
        </w:rPr>
        <w:t>(2026), Congo, Costa Rica, Côte d’Ivoire, Cuba, Dinamarca, Ecuador, Egipto, El Salvador, Eslovenia, Emiratos Árabes Unidos, España, Estados Unidos de América, Estonia, Federación de Rusia, Finlandia, Francia, Gabón, Ghana, Guatemala, India, Indonesia, Irán (República Islámica del), Irlanda, Islandia, Italia, Jamaica, Japón, Jordania, Kazajstán, Kenya, Lesotho, Líbano, Luxemburgo, Malawi, Malasia, Marruecos, México, Namibia, Nigeria, Noruega, Nueva Zelandia, Países Bajos (Reino de los), Pakistán, Panamá, Paraguay, Perú, Polonia, Portugal, Qatar, Reino Unido, República Checa, República de Corea, República de Moldova, República Popular Democrática de Corea, Sierra Leona, Singapur, Somalia (</w:t>
      </w:r>
      <w:r w:rsidRPr="00426AC7">
        <w:rPr>
          <w:i/>
          <w:iCs/>
          <w:lang w:val="es-ES_tradnl"/>
        </w:rPr>
        <w:t>ad hoc</w:t>
      </w:r>
      <w:r w:rsidRPr="00426AC7">
        <w:rPr>
          <w:lang w:val="es-ES_tradnl"/>
        </w:rPr>
        <w:t>), Sudáfrica, Suecia, Suiza (</w:t>
      </w:r>
      <w:r w:rsidRPr="00426AC7">
        <w:rPr>
          <w:i/>
          <w:iCs/>
          <w:lang w:val="es-ES_tradnl"/>
        </w:rPr>
        <w:t>ex officio</w:t>
      </w:r>
      <w:r w:rsidRPr="00426AC7">
        <w:rPr>
          <w:lang w:val="es-ES_tradnl"/>
        </w:rPr>
        <w:t xml:space="preserve">), Tailandia, Trinidad y Tabago, Túnez, Türkiye, Ucrania, Uganda, Uruguay (2027), Zambia (83). </w:t>
      </w:r>
      <w:bookmarkEnd w:id="27"/>
    </w:p>
    <w:p w14:paraId="24322490" w14:textId="13CFEB8A" w:rsidR="00945489" w:rsidRPr="00426AC7" w:rsidRDefault="00945489" w:rsidP="62D966B3">
      <w:pPr>
        <w:pStyle w:val="ONUMFS"/>
        <w:tabs>
          <w:tab w:val="clear" w:pos="567"/>
        </w:tabs>
        <w:ind w:left="567"/>
        <w:rPr>
          <w:lang w:val="es-ES_tradnl"/>
        </w:rPr>
      </w:pPr>
      <w:r w:rsidRPr="00426AC7">
        <w:rPr>
          <w:lang w:val="es-ES_tradnl"/>
        </w:rPr>
        <w:t>Las Asambleas de las Uniones de París y de Berna, y la Conferencia de la OMPI, en lo que a cada una concierne, decidieron por acuerdo unánime de todos los Estados miembros de la OMPI, que el Comité de Coordinación, compuesto excepcionalmente por</w:t>
      </w:r>
      <w:r w:rsidR="009B0266" w:rsidRPr="00426AC7">
        <w:rPr>
          <w:lang w:val="es-ES_tradnl"/>
        </w:rPr>
        <w:t> </w:t>
      </w:r>
      <w:r w:rsidRPr="00426AC7">
        <w:rPr>
          <w:lang w:val="es-ES_tradnl"/>
        </w:rPr>
        <w:t xml:space="preserve">83 miembros, ha sido debidamente constituido, teniendo en cuenta, en particular, sus funciones con respecto al proceso de nombramiento del próximo director general, y no servirá de base para que cualquier Estado miembro de cualquier órgano pertinente de la </w:t>
      </w:r>
      <w:r w:rsidRPr="00426AC7">
        <w:rPr>
          <w:lang w:val="es-ES_tradnl"/>
        </w:rPr>
        <w:lastRenderedPageBreak/>
        <w:t>OMPI impugne la validez de la designación por el Comité de Coordinación de un candidato al nombramiento al puesto de director general en 2026.</w:t>
      </w:r>
    </w:p>
    <w:p w14:paraId="32B17AA9" w14:textId="77777777" w:rsidR="00945489" w:rsidRPr="00426AC7" w:rsidRDefault="00945489" w:rsidP="005027A2">
      <w:pPr>
        <w:pStyle w:val="ONUMFS"/>
        <w:tabs>
          <w:tab w:val="clear" w:pos="567"/>
        </w:tabs>
        <w:ind w:left="567"/>
        <w:rPr>
          <w:lang w:val="es-ES_tradnl"/>
        </w:rPr>
      </w:pPr>
      <w:r w:rsidRPr="00426AC7">
        <w:rPr>
          <w:lang w:val="es-ES_tradnl"/>
        </w:rPr>
        <w:t>Las Asambleas de la OMPI, en lo que a cada una concierne, decidieron que la presidencia de la Asamblea General de la OMPI emprenda consultas con los Estados miembros en las Asambleas de la OMPI de 2027 en lo relativo a la asignación de los puestos vacantes, para proceder a la elección de la composición del Comité de Coordinación de la OMPI y de los Comités Ejecutivos de las Uniones de París y de Berna en esas mismas Asambleas de la OMPI.</w:t>
      </w:r>
    </w:p>
    <w:p w14:paraId="5DBB70C5" w14:textId="77777777" w:rsidR="00945489" w:rsidRPr="00426AC7" w:rsidRDefault="00945489" w:rsidP="005027A2">
      <w:pPr>
        <w:pStyle w:val="ONUMFS"/>
        <w:tabs>
          <w:tab w:val="clear" w:pos="567"/>
        </w:tabs>
        <w:ind w:left="567"/>
        <w:rPr>
          <w:lang w:val="es-ES_tradnl"/>
        </w:rPr>
      </w:pPr>
      <w:bookmarkStart w:id="28" w:name="_Hlk203505324"/>
      <w:r w:rsidRPr="00426AC7">
        <w:rPr>
          <w:lang w:val="es-ES_tradnl"/>
        </w:rPr>
        <w:t>Ucrania expresó su oposición al nombramiento de la Federación de Rusia como miembro del Comité Ejecutivo de la Unión de Berna para el período comprendido entre la clausura del presente período de sesiones y la clausura del próximo período ordinario de sesiones de la Asamblea General, en 2027.</w:t>
      </w:r>
    </w:p>
    <w:p w14:paraId="51A8EA16" w14:textId="77777777" w:rsidR="00945489" w:rsidRPr="00426AC7" w:rsidRDefault="00945489" w:rsidP="005027A2">
      <w:pPr>
        <w:pStyle w:val="ONUMFS"/>
        <w:tabs>
          <w:tab w:val="clear" w:pos="567"/>
        </w:tabs>
        <w:ind w:left="567"/>
        <w:rPr>
          <w:lang w:val="es-ES_tradnl"/>
        </w:rPr>
      </w:pPr>
      <w:r w:rsidRPr="00426AC7">
        <w:rPr>
          <w:lang w:val="es-ES_tradnl"/>
        </w:rPr>
        <w:t>La Federación de Rusia expresó su oposición al nombramiento de Ucrania como miembro del Comité Ejecutivo de la Unión de París para el período comprendido entre la clausura del presente período de sesiones y la clausura del próximo período ordinario de sesiones de la Asamblea General, en 2027.</w:t>
      </w:r>
    </w:p>
    <w:bookmarkEnd w:id="28"/>
    <w:p w14:paraId="582920A3" w14:textId="77777777" w:rsidR="00945489" w:rsidRPr="00426AC7" w:rsidRDefault="00945489" w:rsidP="00945489">
      <w:pPr>
        <w:pStyle w:val="ONUMFS"/>
        <w:rPr>
          <w:szCs w:val="22"/>
          <w:lang w:val="es-ES_tradnl"/>
        </w:rPr>
      </w:pPr>
      <w:r w:rsidRPr="00426AC7">
        <w:rPr>
          <w:szCs w:val="22"/>
          <w:lang w:val="es-ES_tradnl"/>
        </w:rPr>
        <w:t>Al no haber objeciones, la presidenta declaró adoptado el párrafo de decisión y dio la palabra a las delegaciones que desearan hacer constar sus declaraciones.</w:t>
      </w:r>
    </w:p>
    <w:p w14:paraId="3CD5F477" w14:textId="25C5A771" w:rsidR="00945489" w:rsidRPr="00426AC7" w:rsidRDefault="00945489" w:rsidP="00945489">
      <w:pPr>
        <w:pStyle w:val="ONUMFS"/>
        <w:rPr>
          <w:szCs w:val="22"/>
          <w:lang w:val="es-ES_tradnl"/>
        </w:rPr>
      </w:pPr>
      <w:r w:rsidRPr="00426AC7">
        <w:rPr>
          <w:szCs w:val="22"/>
          <w:lang w:val="es-ES_tradnl"/>
        </w:rPr>
        <w:t xml:space="preserve">La delegación de Estonia tomó la palabra en nombre de los siguientes miembros del Grupo de Estados de Europa Central y del Báltico (CEBS): Albania, Bosnia y Herzegovina, Bulgaria, Croacia, Eslovaquia, Eslovenia, Estonia, Letonia, Lituania, Macedonia del Norte, Montenegro, Polonia, República Checa, República de Moldova, Rumanía y Ucrania. La delegación declaró que estos miembros del Grupo CEBS se desvinculan firmemente de la elección de la Federación </w:t>
      </w:r>
      <w:r w:rsidR="003371C2" w:rsidRPr="00426AC7">
        <w:rPr>
          <w:szCs w:val="22"/>
          <w:lang w:val="es-ES_tradnl"/>
        </w:rPr>
        <w:t xml:space="preserve">de </w:t>
      </w:r>
      <w:r w:rsidRPr="00426AC7">
        <w:rPr>
          <w:szCs w:val="22"/>
          <w:lang w:val="es-ES_tradnl"/>
        </w:rPr>
        <w:t>Rus</w:t>
      </w:r>
      <w:r w:rsidR="003371C2" w:rsidRPr="00426AC7">
        <w:rPr>
          <w:szCs w:val="22"/>
          <w:lang w:val="es-ES_tradnl"/>
        </w:rPr>
        <w:t>ia</w:t>
      </w:r>
      <w:r w:rsidRPr="00426AC7">
        <w:rPr>
          <w:szCs w:val="22"/>
          <w:lang w:val="es-ES_tradnl"/>
        </w:rPr>
        <w:t xml:space="preserve"> como miembro del Comité de Coordinación para el periodo comprendido entre la clausura de la presente serie de reuniones y la clausura del próximo período ordinario de sesiones de las Asambleas en 2027, ya que un Estado que viola sistemáticamente las normas y los principios del derecho internacional de la forma más grave no tiene derecho a participar en la toma de decisiones estratégicas de la Organización. Por lo tanto, mientras la Federación de Rusia prosiga su agresión militar contra Ucrania, no puede servir como ejemplo de aliado responsable en la OMPI y, por otra parte, seguir como si nada con la Federación de Rusia en el Comité de Coordinación no es una opción para los países respetuosos de las normas. Estos miembros del Grupo CEBS reiteran su exigencia a la Federación de Rusia de que ponga fin inmediatamente a la guerra de agresión contra Ucrania, reafirmando las resoluciones de la ONU que condenan el intento de anexión del territorio ucraniano. No debe reconocerse como legítima ninguna adquisición territorial que resulte de la invasión armada de Ucrania por la Federación de Rusia y de la amenaza o el uso de la fuerza.</w:t>
      </w:r>
    </w:p>
    <w:p w14:paraId="77105E9B" w14:textId="4BEE2984" w:rsidR="00945489" w:rsidRPr="00426AC7" w:rsidRDefault="00945489" w:rsidP="00945489">
      <w:pPr>
        <w:pStyle w:val="ONUMFS"/>
        <w:rPr>
          <w:szCs w:val="22"/>
          <w:lang w:val="es-ES_tradnl"/>
        </w:rPr>
      </w:pPr>
      <w:r w:rsidRPr="00426AC7">
        <w:rPr>
          <w:szCs w:val="22"/>
          <w:lang w:val="es-ES_tradnl"/>
        </w:rPr>
        <w:t>La delegación de Dinamarca hizo su declaración en nombre de los siguientes Estados miembros de la Unión Europea y otros Estados: Alemania, Austria, Bélgica, Bulgaria, Chipre, Croacia, Dinamarca, Eslovaquia, Eslovenia, España, Estonia, Finlandia, Francia, Grecia, Irlanda, Italia, Letonia, Lituania, Luxemburgo, Malta, Países Bajos</w:t>
      </w:r>
      <w:r w:rsidR="00DA1078" w:rsidRPr="00426AC7">
        <w:rPr>
          <w:szCs w:val="22"/>
          <w:lang w:val="es-ES_tradnl"/>
        </w:rPr>
        <w:t xml:space="preserve"> (Reino de los)</w:t>
      </w:r>
      <w:r w:rsidRPr="00426AC7">
        <w:rPr>
          <w:szCs w:val="22"/>
          <w:lang w:val="es-ES_tradnl"/>
        </w:rPr>
        <w:t>, Polonia, Portugal, Reino Unido, República Checa, Rumanía y Suecia, así como Islandia, Noruega y el Reino Unido. Los Estados mencionados respaldan plenamente a Ucrania y se desvinculan de la elección de la Federación de Rusia como miembro del Comité de Coordinación para el período comprendido entre la clausura del presente período de sesiones y la clausura del próximo período ordinario de sesiones de la Asamblea General, en 2027.</w:t>
      </w:r>
    </w:p>
    <w:p w14:paraId="4A0A574B" w14:textId="77777777" w:rsidR="00945489" w:rsidRPr="00426AC7" w:rsidRDefault="00945489" w:rsidP="62D966B3">
      <w:pPr>
        <w:pStyle w:val="ONUMFS"/>
        <w:rPr>
          <w:lang w:val="es-ES_tradnl"/>
        </w:rPr>
      </w:pPr>
      <w:r w:rsidRPr="00426AC7">
        <w:rPr>
          <w:lang w:val="es-ES_tradnl"/>
        </w:rPr>
        <w:t xml:space="preserve">La delegación de Ucrania hizo suya la declaración hecha por la delegación de Estonia en nombre de los miembros del Grupo CEBS y a la declaración realizada por la delegación de Dinamarca en nombre de los Estados mencionados. La delegación también agradeció a los </w:t>
      </w:r>
      <w:r w:rsidRPr="00426AC7">
        <w:rPr>
          <w:lang w:val="es-ES_tradnl"/>
        </w:rPr>
        <w:lastRenderedPageBreak/>
        <w:t>Estados miembros su continuo apoyo y solidaridad con Ucrania. La delegación dejó constancia de que se desvincula enérgicamente de la decisión de elegir a la Federación de Rusia como miembro del Comité Ejecutivo de la Unión de Berna y miembro del Comité de Coordinación para el período comprendido entre la clausura del presente período de sesiones y la clausura del próximo período ordinario de sesiones de las Asambleas, en 2027. La delegación señaló que, como ha observado ya en numerosas ocasiones y en relación con el punto 9 del orden del día, la actual guerra de agresión de la Federación de Rusia contra Ucrania sigue infligiendo profundos daños humanos, culturales e institucionales, incluso a su sistema de PI. El Comité de Coordinación desempeña un papel vital en la gobernanza institucional de la OMPI, en particular a través de su mandato de proponer candidatos para el puesto de director general y otros nombramientos de alto nivel y de garantizar el correcto funcionamiento de los procesos de liderazgo de la Organización. La delegación sigue convencida de que permitir a la Federación de Rusia violar con persistencia el derecho internacional, hacer sistemáticamente un uso indebido de las plataformas multilaterales y formar parte de los comités supone una amenaza directa para la credibilidad y la neutralidad de los procedimientos rectores de la OMPI. La delegación instó una vez más a todos los Estados miembros a velar por que los valores y principios de la Organización se mantengan y no se vean socavados por las acciones o la presencia de un Estado agresor.</w:t>
      </w:r>
    </w:p>
    <w:p w14:paraId="09C3C32C" w14:textId="77777777" w:rsidR="00945489" w:rsidRPr="00426AC7" w:rsidRDefault="00945489" w:rsidP="62D966B3">
      <w:pPr>
        <w:pStyle w:val="ONUMFS"/>
        <w:rPr>
          <w:lang w:val="es-ES_tradnl"/>
        </w:rPr>
      </w:pPr>
      <w:r w:rsidRPr="00426AC7">
        <w:rPr>
          <w:lang w:val="es-ES_tradnl"/>
        </w:rPr>
        <w:t>La delegación de la Arabia Saudita agradeció a los Estados miembros la elección de la Arabia Saudita como miembro del Comité de Coordinación y del Comité Ejecutivo de la Unión de Berna. La delegación expresó gratitud por los esfuerzos realizados para renovar la composición de los principales órganos y garantizar la participación efectiva y plena de los Estados miembros y la representación geográfica mediante rotación, manteniendo así este principio en dichos órganos. La delegación acogió con satisfacción la oportunidad de participar activamente en estos órganos para contribuir a la aplicación de los objetivos estratégicos de la Organización. La delegación reiteró el compromiso de trabajar con todos los socios de la OMPI para promover el sistema de PI a escala internacional y regional, así como para implantar sistemas de protección de los derechos de PI.</w:t>
      </w:r>
    </w:p>
    <w:p w14:paraId="36232A2E" w14:textId="633FE5E5" w:rsidR="00945489" w:rsidRPr="00426AC7" w:rsidRDefault="00945489" w:rsidP="00945489">
      <w:pPr>
        <w:pStyle w:val="ONUMFS"/>
        <w:rPr>
          <w:szCs w:val="22"/>
          <w:lang w:val="es-ES_tradnl"/>
        </w:rPr>
      </w:pPr>
      <w:r w:rsidRPr="00426AC7">
        <w:rPr>
          <w:szCs w:val="22"/>
          <w:lang w:val="es-ES_tradnl"/>
        </w:rPr>
        <w:t xml:space="preserve">La delegación de la Federación de Rusia declaró que, basándose en el principio de reciprocidad, se opone al nombramiento de Ucrania como miembro del Comité de Coordinación y del Comité Ejecutivo de la Unión de París, como se indica en el apartado de la decisión. Además, teniendo en cuenta las declaraciones de </w:t>
      </w:r>
      <w:r w:rsidR="00671DC3" w:rsidRPr="00426AC7">
        <w:rPr>
          <w:szCs w:val="22"/>
          <w:lang w:val="es-ES_tradnl"/>
        </w:rPr>
        <w:t>varias</w:t>
      </w:r>
      <w:r w:rsidRPr="00426AC7">
        <w:rPr>
          <w:szCs w:val="22"/>
          <w:lang w:val="es-ES_tradnl"/>
        </w:rPr>
        <w:t xml:space="preserve"> delegaciones precedentes, la Federación de Rusia se desvinculó del consenso sobre la designación de </w:t>
      </w:r>
      <w:r w:rsidR="007F1B0B" w:rsidRPr="00426AC7">
        <w:rPr>
          <w:szCs w:val="22"/>
          <w:lang w:val="es-ES_tradnl"/>
        </w:rPr>
        <w:t>candidatos de entre los países</w:t>
      </w:r>
      <w:r w:rsidRPr="00426AC7">
        <w:rPr>
          <w:szCs w:val="22"/>
          <w:lang w:val="es-ES_tradnl"/>
        </w:rPr>
        <w:t xml:space="preserve"> del Grupo CEBS y de la Unión Europea que se habían desvinculado de la decisión de elegir a la Federación de Rusia.</w:t>
      </w:r>
    </w:p>
    <w:p w14:paraId="5F1E66E4" w14:textId="7E15ED37" w:rsidR="009B6AFA" w:rsidRPr="00426AC7" w:rsidRDefault="00945489" w:rsidP="0009228E">
      <w:pPr>
        <w:pStyle w:val="ONUMFS"/>
        <w:spacing w:after="480"/>
        <w:rPr>
          <w:szCs w:val="22"/>
          <w:lang w:val="es-ES_tradnl"/>
        </w:rPr>
      </w:pPr>
      <w:r w:rsidRPr="00426AC7">
        <w:rPr>
          <w:szCs w:val="22"/>
          <w:lang w:val="es-ES_tradnl"/>
        </w:rPr>
        <w:t>Al no haber más peticiones de palabra, la presidenta declaró cerrado el punto 8 del orden del día.</w:t>
      </w:r>
    </w:p>
    <w:p w14:paraId="2C5E1272" w14:textId="7650235C" w:rsidR="009B6AFA" w:rsidRPr="00426AC7" w:rsidRDefault="00996390" w:rsidP="005027A2">
      <w:pPr>
        <w:pStyle w:val="Heading2"/>
        <w:spacing w:before="0" w:after="120" w:line="480" w:lineRule="auto"/>
        <w:rPr>
          <w:szCs w:val="22"/>
          <w:lang w:val="es-ES_tradnl"/>
        </w:rPr>
      </w:pPr>
      <w:bookmarkStart w:id="29" w:name="_Toc209694195"/>
      <w:r w:rsidRPr="00426AC7">
        <w:rPr>
          <w:szCs w:val="22"/>
          <w:lang w:val="es-ES_tradnl"/>
        </w:rPr>
        <w:t>PUNTO 9 DEL ORDEN DEL DÍA CONSOLIDADO</w:t>
      </w:r>
      <w:r w:rsidRPr="00426AC7">
        <w:rPr>
          <w:szCs w:val="22"/>
          <w:lang w:val="es-ES_tradnl"/>
        </w:rPr>
        <w:br/>
        <w:t>COMPOSICIÓN DEL COMITÉ DEL PROGRAMA Y PRESUPUESTO</w:t>
      </w:r>
      <w:bookmarkEnd w:id="29"/>
    </w:p>
    <w:p w14:paraId="2FF65C2F" w14:textId="51227BAE" w:rsidR="009B6AFA" w:rsidRPr="00426AC7" w:rsidRDefault="00996390" w:rsidP="00DA24EA">
      <w:pPr>
        <w:pStyle w:val="ONUMFS"/>
        <w:spacing w:after="480"/>
        <w:rPr>
          <w:szCs w:val="22"/>
          <w:lang w:val="es-ES_tradnl"/>
        </w:rPr>
      </w:pPr>
      <w:r w:rsidRPr="00426AC7">
        <w:rPr>
          <w:szCs w:val="22"/>
          <w:lang w:val="es-ES_tradnl"/>
        </w:rPr>
        <w:t xml:space="preserve">Véase el informe del período de sesiones de la Asamblea General de la OMPI (documento </w:t>
      </w:r>
      <w:hyperlink r:id="rId42" w:history="1">
        <w:r w:rsidRPr="00426AC7">
          <w:rPr>
            <w:rStyle w:val="Hyperlink"/>
            <w:szCs w:val="22"/>
            <w:lang w:val="es-ES_tradnl"/>
          </w:rPr>
          <w:t>WO/GA/58/14</w:t>
        </w:r>
      </w:hyperlink>
      <w:r w:rsidRPr="00426AC7">
        <w:rPr>
          <w:szCs w:val="22"/>
          <w:lang w:val="es-ES_tradnl"/>
        </w:rPr>
        <w:t>.).</w:t>
      </w:r>
    </w:p>
    <w:p w14:paraId="372F47FB" w14:textId="0F61CE23" w:rsidR="00076CE0" w:rsidRPr="00426AC7" w:rsidRDefault="00076CE0" w:rsidP="009B0266">
      <w:pPr>
        <w:pStyle w:val="Heading2"/>
        <w:spacing w:before="0" w:after="120" w:line="480" w:lineRule="auto"/>
        <w:rPr>
          <w:szCs w:val="22"/>
          <w:lang w:val="es-ES_tradnl"/>
        </w:rPr>
      </w:pPr>
      <w:bookmarkStart w:id="30" w:name="_Toc209694196"/>
      <w:r w:rsidRPr="00426AC7">
        <w:rPr>
          <w:szCs w:val="22"/>
          <w:lang w:val="es-ES_tradnl"/>
        </w:rPr>
        <w:lastRenderedPageBreak/>
        <w:t>PUNTO 10 DEL ORDEN DEL DÍA CONSOLIDADO</w:t>
      </w:r>
      <w:r w:rsidR="00DA24EA" w:rsidRPr="00426AC7">
        <w:rPr>
          <w:szCs w:val="22"/>
          <w:lang w:val="es-ES_tradnl"/>
        </w:rPr>
        <w:br/>
      </w:r>
      <w:r w:rsidRPr="00426AC7">
        <w:rPr>
          <w:szCs w:val="22"/>
          <w:lang w:val="es-ES_tradnl"/>
        </w:rPr>
        <w:t>INFORMES DE AUDITORÍA Y SUPERVISIÓN</w:t>
      </w:r>
      <w:bookmarkEnd w:id="30"/>
    </w:p>
    <w:p w14:paraId="2BE92F71" w14:textId="77777777" w:rsidR="00076CE0" w:rsidRPr="00426AC7" w:rsidRDefault="00076CE0" w:rsidP="00D13AFC">
      <w:pPr>
        <w:pStyle w:val="Heading3"/>
        <w:numPr>
          <w:ilvl w:val="0"/>
          <w:numId w:val="6"/>
        </w:numPr>
        <w:spacing w:before="0" w:after="120"/>
        <w:ind w:left="0" w:firstLine="0"/>
        <w:rPr>
          <w:szCs w:val="22"/>
          <w:lang w:val="es-ES_tradnl"/>
        </w:rPr>
      </w:pPr>
      <w:bookmarkStart w:id="31" w:name="_Toc209694197"/>
      <w:r w:rsidRPr="00426AC7">
        <w:rPr>
          <w:szCs w:val="22"/>
          <w:lang w:val="es-ES_tradnl"/>
        </w:rPr>
        <w:t>Informe de la Comisión Consultiva Independiente de Supervisión (CCIS)</w:t>
      </w:r>
      <w:bookmarkEnd w:id="31"/>
    </w:p>
    <w:p w14:paraId="2BCDD1ED" w14:textId="2B9063ED" w:rsidR="00076CE0" w:rsidRPr="00426AC7" w:rsidRDefault="00076CE0" w:rsidP="00794964">
      <w:pPr>
        <w:pStyle w:val="ONUMFS"/>
        <w:spacing w:after="360"/>
        <w:rPr>
          <w:szCs w:val="22"/>
          <w:lang w:val="es-ES_tradnl"/>
        </w:rPr>
      </w:pPr>
      <w:r w:rsidRPr="00426AC7">
        <w:rPr>
          <w:szCs w:val="22"/>
          <w:lang w:val="es-ES_tradnl"/>
        </w:rPr>
        <w:t xml:space="preserve">Véase el informe del período de sesiones de la Asamblea General de la OMPI (documento </w:t>
      </w:r>
      <w:hyperlink r:id="rId43" w:history="1">
        <w:r w:rsidRPr="00426AC7">
          <w:rPr>
            <w:rStyle w:val="Hyperlink"/>
            <w:szCs w:val="22"/>
            <w:lang w:val="es-ES_tradnl"/>
          </w:rPr>
          <w:t>WO/GA/58/14</w:t>
        </w:r>
      </w:hyperlink>
      <w:r w:rsidRPr="00426AC7">
        <w:rPr>
          <w:szCs w:val="22"/>
          <w:lang w:val="es-ES_tradnl"/>
        </w:rPr>
        <w:t>).</w:t>
      </w:r>
    </w:p>
    <w:p w14:paraId="11FB3CB4" w14:textId="53B04146" w:rsidR="00076CE0" w:rsidRPr="00426AC7" w:rsidRDefault="00076CE0" w:rsidP="00D13AFC">
      <w:pPr>
        <w:pStyle w:val="Heading3"/>
        <w:numPr>
          <w:ilvl w:val="0"/>
          <w:numId w:val="6"/>
        </w:numPr>
        <w:spacing w:before="0" w:after="120"/>
        <w:ind w:left="0" w:firstLine="0"/>
        <w:rPr>
          <w:szCs w:val="22"/>
          <w:lang w:val="es-ES_tradnl"/>
        </w:rPr>
      </w:pPr>
      <w:bookmarkStart w:id="32" w:name="_Toc209694198"/>
      <w:r w:rsidRPr="00426AC7">
        <w:rPr>
          <w:szCs w:val="22"/>
          <w:lang w:val="es-ES_tradnl"/>
        </w:rPr>
        <w:t>Informe del auditor externo</w:t>
      </w:r>
      <w:bookmarkEnd w:id="32"/>
    </w:p>
    <w:p w14:paraId="6E54836E" w14:textId="254D822B" w:rsidR="00076CE0" w:rsidRPr="00426AC7" w:rsidRDefault="00076CE0" w:rsidP="00996390">
      <w:pPr>
        <w:pStyle w:val="ONUMFS"/>
        <w:rPr>
          <w:bCs/>
          <w:szCs w:val="22"/>
          <w:lang w:val="es-ES_tradnl"/>
        </w:rPr>
      </w:pPr>
      <w:r w:rsidRPr="00426AC7">
        <w:rPr>
          <w:bCs/>
          <w:szCs w:val="22"/>
          <w:lang w:val="es-ES_tradnl"/>
        </w:rPr>
        <w:t xml:space="preserve">Los debates se basaron en los documentos </w:t>
      </w:r>
      <w:hyperlink r:id="rId44" w:history="1">
        <w:r w:rsidRPr="00426AC7">
          <w:rPr>
            <w:rStyle w:val="Hyperlink"/>
            <w:bCs/>
            <w:szCs w:val="22"/>
            <w:lang w:val="es-ES_tradnl"/>
          </w:rPr>
          <w:t>A/66/6</w:t>
        </w:r>
      </w:hyperlink>
      <w:r w:rsidRPr="00426AC7">
        <w:rPr>
          <w:bCs/>
          <w:szCs w:val="22"/>
          <w:lang w:val="es-ES_tradnl"/>
        </w:rPr>
        <w:t xml:space="preserve"> y </w:t>
      </w:r>
      <w:hyperlink r:id="rId45" w:history="1">
        <w:r w:rsidRPr="00426AC7">
          <w:rPr>
            <w:rStyle w:val="Hyperlink"/>
            <w:bCs/>
            <w:szCs w:val="22"/>
            <w:lang w:val="es-ES_tradnl"/>
          </w:rPr>
          <w:t>A/66/7</w:t>
        </w:r>
      </w:hyperlink>
      <w:r w:rsidRPr="00426AC7">
        <w:rPr>
          <w:bCs/>
          <w:szCs w:val="22"/>
          <w:lang w:val="es-ES_tradnl"/>
        </w:rPr>
        <w:t>.</w:t>
      </w:r>
    </w:p>
    <w:p w14:paraId="13CDABD7" w14:textId="2CB523B4" w:rsidR="00076CE0" w:rsidRPr="00426AC7" w:rsidRDefault="00076CE0" w:rsidP="62D966B3">
      <w:pPr>
        <w:pStyle w:val="ONUMFS"/>
        <w:rPr>
          <w:lang w:val="es-ES_tradnl"/>
        </w:rPr>
      </w:pPr>
      <w:r w:rsidRPr="00426AC7">
        <w:rPr>
          <w:lang w:val="es-ES_tradnl"/>
        </w:rPr>
        <w:t xml:space="preserve">El presidente dio la bienvenida al representante del auditor externo, el Dr. Bahtiar Arif, director general de Auditoria VIII y Organización Internacional, auditor jefe de la Junta de Auditoría de la República de Indonesia (Badan Pemeriksa Keuangan (BPK), </w:t>
      </w:r>
      <w:r w:rsidR="00DA1078" w:rsidRPr="00426AC7">
        <w:rPr>
          <w:lang w:val="es-ES_tradnl"/>
        </w:rPr>
        <w:t xml:space="preserve">quien </w:t>
      </w:r>
      <w:r w:rsidRPr="00426AC7">
        <w:rPr>
          <w:lang w:val="es-ES_tradnl"/>
        </w:rPr>
        <w:t xml:space="preserve">presentó el informe siguiente: </w:t>
      </w:r>
    </w:p>
    <w:p w14:paraId="54461465" w14:textId="5C2CC427" w:rsidR="00076CE0" w:rsidRPr="00426AC7" w:rsidRDefault="00076CE0" w:rsidP="62D966B3">
      <w:pPr>
        <w:pStyle w:val="BodyText"/>
        <w:ind w:left="567"/>
        <w:rPr>
          <w:lang w:val="es-ES_tradnl"/>
        </w:rPr>
      </w:pPr>
      <w:r w:rsidRPr="00426AC7">
        <w:rPr>
          <w:lang w:val="es-ES_tradnl"/>
        </w:rPr>
        <w:t>“Sr.</w:t>
      </w:r>
      <w:r w:rsidR="00794964" w:rsidRPr="00426AC7">
        <w:rPr>
          <w:lang w:val="es-ES_tradnl"/>
        </w:rPr>
        <w:t> </w:t>
      </w:r>
      <w:r w:rsidRPr="00426AC7">
        <w:rPr>
          <w:lang w:val="es-ES_tradnl"/>
        </w:rPr>
        <w:t>presidente, excelencias, miembros de las Asambleas, subdirector general de la OMPI, la dirección, señoras y señores, buenos días. Es un honor para mí presentar los resultados de la auditoría de la OMPI correspondiente al año 2024 en las honorables Asambleas, en representación de la Junta de Auditoría de la República de Indonesia (Badan Pemeriksa Keuangan (BPK), como auditor encargado de las auditorías de la OMPI.</w:t>
      </w:r>
    </w:p>
    <w:p w14:paraId="1F8956DD" w14:textId="77777777" w:rsidR="00076CE0" w:rsidRPr="00426AC7" w:rsidRDefault="00076CE0" w:rsidP="00711B8D">
      <w:pPr>
        <w:pStyle w:val="BodyText"/>
        <w:ind w:left="567"/>
        <w:rPr>
          <w:bCs/>
          <w:szCs w:val="22"/>
          <w:lang w:val="es-ES_tradnl"/>
        </w:rPr>
      </w:pPr>
      <w:r w:rsidRPr="00426AC7">
        <w:rPr>
          <w:bCs/>
          <w:szCs w:val="22"/>
          <w:lang w:val="es-ES_tradnl"/>
        </w:rPr>
        <w:t>En calidad de auditor externo, cumplimos nuestro mandato de presentarles un informe exhaustivo, que abarca la auditoría financiera y de rendimiento correspondiente al año 2024 y el estado de aplicación de las recomendaciones de auditorías anteriores.</w:t>
      </w:r>
    </w:p>
    <w:p w14:paraId="72D60C89" w14:textId="77777777" w:rsidR="00076CE0" w:rsidRPr="00426AC7" w:rsidRDefault="00076CE0" w:rsidP="62D966B3">
      <w:pPr>
        <w:pStyle w:val="BodyText"/>
        <w:ind w:left="567"/>
        <w:rPr>
          <w:lang w:val="es-ES_tradnl"/>
        </w:rPr>
      </w:pPr>
      <w:r w:rsidRPr="00426AC7">
        <w:rPr>
          <w:lang w:val="es-ES_tradnl"/>
        </w:rPr>
        <w:t>Excelencias, señoras y señores, la Junta de Auditoría de la República de Indonesia mantiene el firme compromiso de prestar servicios de garantía de alta calidad, respetando sistemáticamente los principios de independencia, integridad y objetividad en todas las fases de nuestros procesos de auditoría.</w:t>
      </w:r>
    </w:p>
    <w:p w14:paraId="18ABE313" w14:textId="585D56F8" w:rsidR="00076CE0" w:rsidRPr="00426AC7" w:rsidRDefault="00076CE0" w:rsidP="00711B8D">
      <w:pPr>
        <w:pStyle w:val="BodyText"/>
        <w:ind w:left="567"/>
        <w:rPr>
          <w:bCs/>
          <w:szCs w:val="22"/>
          <w:lang w:val="es-ES_tradnl"/>
        </w:rPr>
      </w:pPr>
      <w:r w:rsidRPr="00426AC7">
        <w:rPr>
          <w:bCs/>
          <w:szCs w:val="22"/>
          <w:lang w:val="es-ES_tradnl"/>
        </w:rPr>
        <w:t>Sr.</w:t>
      </w:r>
      <w:r w:rsidR="00794964" w:rsidRPr="00426AC7">
        <w:rPr>
          <w:bCs/>
          <w:szCs w:val="22"/>
          <w:lang w:val="es-ES_tradnl"/>
        </w:rPr>
        <w:t> </w:t>
      </w:r>
      <w:r w:rsidRPr="00426AC7">
        <w:rPr>
          <w:bCs/>
          <w:szCs w:val="22"/>
          <w:lang w:val="es-ES_tradnl"/>
        </w:rPr>
        <w:t xml:space="preserve">presidente, señoras y señores, teniendo en cuenta la auditoría que hemos llevado a cabo, en nuestra opinión, los estados financieros de la OMPI de 2024 se presentan fielmente en todos sus aspectos significativos, de conformidad con las Normas Internacionales de Contabilidad del Sector Público (IPSAS), y las operaciones financieras se ajustan al Reglamento Financiero y Reglamentación Financiera de la OMPI. </w:t>
      </w:r>
    </w:p>
    <w:p w14:paraId="15331AC2" w14:textId="77777777" w:rsidR="00076CE0" w:rsidRPr="00426AC7" w:rsidRDefault="00076CE0" w:rsidP="00711B8D">
      <w:pPr>
        <w:pStyle w:val="BodyText"/>
        <w:ind w:left="567"/>
        <w:rPr>
          <w:bCs/>
          <w:szCs w:val="22"/>
          <w:lang w:val="es-ES_tradnl"/>
        </w:rPr>
      </w:pPr>
      <w:r w:rsidRPr="00426AC7">
        <w:rPr>
          <w:bCs/>
          <w:szCs w:val="22"/>
          <w:lang w:val="es-ES_tradnl"/>
        </w:rPr>
        <w:t>Al tiempo que se afirma la solidez de la gestión financiera de la OMPI, el informe de auditoría financiera destaca tres recomendaciones estratégicas destinadas a mejorar la gobernanza institucional, que creemos que seguirán fortaleciendo la gestión financiera de la OMPI sin comprometer la integridad y la equidad de los estados financieros.</w:t>
      </w:r>
    </w:p>
    <w:p w14:paraId="6496498F" w14:textId="5E48F5F8" w:rsidR="00076CE0" w:rsidRPr="00426AC7" w:rsidRDefault="00076CE0" w:rsidP="62D966B3">
      <w:pPr>
        <w:pStyle w:val="BodyText"/>
        <w:ind w:left="567"/>
        <w:rPr>
          <w:lang w:val="es-ES_tradnl"/>
        </w:rPr>
      </w:pPr>
      <w:r w:rsidRPr="00426AC7">
        <w:rPr>
          <w:lang w:val="es-ES_tradnl"/>
        </w:rPr>
        <w:t>Sr.</w:t>
      </w:r>
      <w:r w:rsidR="00794964" w:rsidRPr="00426AC7">
        <w:rPr>
          <w:lang w:val="es-ES_tradnl"/>
        </w:rPr>
        <w:t> </w:t>
      </w:r>
      <w:r w:rsidRPr="00426AC7">
        <w:rPr>
          <w:lang w:val="es-ES_tradnl"/>
        </w:rPr>
        <w:t xml:space="preserve">presidente, distinguidas señoras y señores, en primer lugar, abogamos firmemente por que la OMPI refuerce los informes financieros consolidados de la Organización optimizando su Sistema de gestión de la información administrativa (AIMS) para sustituir la actual consolidación manual. Esto no sólo mejorará los controles internos de la OMPI, sino que también perfeccionará en gran medida la precisión y eficiencia de los informes financieros de la OMPI. </w:t>
      </w:r>
    </w:p>
    <w:p w14:paraId="7490DEEB" w14:textId="77777777" w:rsidR="00076CE0" w:rsidRPr="00426AC7" w:rsidRDefault="00076CE0" w:rsidP="62D966B3">
      <w:pPr>
        <w:pStyle w:val="BodyText"/>
        <w:ind w:left="567"/>
        <w:rPr>
          <w:lang w:val="es-ES_tradnl"/>
        </w:rPr>
      </w:pPr>
      <w:r w:rsidRPr="00426AC7">
        <w:rPr>
          <w:lang w:val="es-ES_tradnl"/>
        </w:rPr>
        <w:t xml:space="preserve">En segundo lugar, recomendamos que se perfeccione de manera exhaustiva la política contable de la OMPI relativa a las tasas del Sistema de Madrid para tener en cuenta el tratamiento de las cuentas relacionadas con la estructura de pago de las tasas del Sistema de Madrid y mejorar la claridad y coherencia de sus informes financieros. </w:t>
      </w:r>
    </w:p>
    <w:p w14:paraId="74C4D3C1" w14:textId="77777777" w:rsidR="00076CE0" w:rsidRPr="00426AC7" w:rsidRDefault="00076CE0" w:rsidP="00711B8D">
      <w:pPr>
        <w:pStyle w:val="BodyText"/>
        <w:ind w:left="567"/>
        <w:rPr>
          <w:bCs/>
          <w:szCs w:val="22"/>
          <w:lang w:val="es-ES_tradnl"/>
        </w:rPr>
      </w:pPr>
      <w:r w:rsidRPr="00426AC7">
        <w:rPr>
          <w:bCs/>
          <w:szCs w:val="22"/>
          <w:lang w:val="es-ES_tradnl"/>
        </w:rPr>
        <w:lastRenderedPageBreak/>
        <w:t xml:space="preserve">En tercer lugar, me gustaría reconocer el reto administrativo que suponen para la OMPI los pagos no tramitados en relación con el registro de marcas, ya que esos pagos se acumulan. Para abordar eficazmente esta cuestión, recomendamos que la OMPI considere la posibilidad de establecer un sistema específico para gestionar los retrasos en la tramitación o velar por que las funcionalidades pertinentes se integren en el próximo marco de planificación de los recursos institucionales (PRI). </w:t>
      </w:r>
    </w:p>
    <w:p w14:paraId="3DFC9304" w14:textId="179B1AA3" w:rsidR="00076CE0" w:rsidRPr="00426AC7" w:rsidRDefault="00076CE0" w:rsidP="00711B8D">
      <w:pPr>
        <w:pStyle w:val="BodyText"/>
        <w:ind w:left="567"/>
        <w:rPr>
          <w:bCs/>
          <w:szCs w:val="22"/>
          <w:lang w:val="es-ES_tradnl"/>
        </w:rPr>
      </w:pPr>
      <w:r w:rsidRPr="00426AC7">
        <w:rPr>
          <w:bCs/>
          <w:szCs w:val="22"/>
          <w:lang w:val="es-ES_tradnl"/>
        </w:rPr>
        <w:t>Sr.</w:t>
      </w:r>
      <w:r w:rsidR="00794964" w:rsidRPr="00426AC7">
        <w:rPr>
          <w:bCs/>
          <w:szCs w:val="22"/>
          <w:lang w:val="es-ES_tradnl"/>
        </w:rPr>
        <w:t> </w:t>
      </w:r>
      <w:r w:rsidRPr="00426AC7">
        <w:rPr>
          <w:bCs/>
          <w:szCs w:val="22"/>
          <w:lang w:val="es-ES_tradnl"/>
        </w:rPr>
        <w:t xml:space="preserve">presidente, distinguidos miembros, señoras y señores, con respecto a la auditoría de rendimiento, nos centramos en el pilar 1 y el pilar 2 del Plan Estratégico a Mediano Plazo de la OMPI 2022-2026, (Pilar 1, “explicar en todo el mundo el potencial que tiene la propiedad intelectual de mejorar la vida de la humanidad en su conjunto, y en todas partes”, y pilar 2, “promover la colaboración entre las personas así como con las partes interesadas para dar forma al futuro del ecosistema mundial de la propiedad intelectual”). </w:t>
      </w:r>
    </w:p>
    <w:p w14:paraId="1DA0DCB1" w14:textId="77777777" w:rsidR="00076CE0" w:rsidRPr="00426AC7" w:rsidRDefault="00076CE0" w:rsidP="00711B8D">
      <w:pPr>
        <w:pStyle w:val="BodyText"/>
        <w:ind w:left="567"/>
        <w:rPr>
          <w:bCs/>
          <w:szCs w:val="22"/>
          <w:lang w:val="es-ES_tradnl"/>
        </w:rPr>
      </w:pPr>
      <w:r w:rsidRPr="00426AC7">
        <w:rPr>
          <w:bCs/>
          <w:szCs w:val="22"/>
          <w:lang w:val="es-ES_tradnl"/>
        </w:rPr>
        <w:t>El objetivo de la auditoría de rendimiento era evaluar la eficacia de la planificación, supervisión y evaluación de los programas y actividades para alcanzar los objetivos de los pilares 1 y 2. La auditoría concluyó que la planificación, supervisión y evaluación de los programas y actividades se gestionaron eficazmente durante todo el periodo auditado.</w:t>
      </w:r>
    </w:p>
    <w:p w14:paraId="3F3F3CC8" w14:textId="77777777" w:rsidR="00076CE0" w:rsidRPr="00426AC7" w:rsidRDefault="00076CE0" w:rsidP="00711B8D">
      <w:pPr>
        <w:pStyle w:val="BodyText"/>
        <w:ind w:left="567"/>
        <w:rPr>
          <w:bCs/>
          <w:szCs w:val="22"/>
          <w:lang w:val="es-ES_tradnl"/>
        </w:rPr>
      </w:pPr>
      <w:r w:rsidRPr="00426AC7">
        <w:rPr>
          <w:bCs/>
          <w:szCs w:val="22"/>
          <w:lang w:val="es-ES_tradnl"/>
        </w:rPr>
        <w:t xml:space="preserve">La auditoría también formuló tres recomendaciones para lograr posibles mejoras. </w:t>
      </w:r>
    </w:p>
    <w:p w14:paraId="780B8D42" w14:textId="77777777" w:rsidR="00076CE0" w:rsidRPr="00426AC7" w:rsidRDefault="00076CE0" w:rsidP="00711B8D">
      <w:pPr>
        <w:pStyle w:val="BodyText"/>
        <w:ind w:left="567"/>
        <w:rPr>
          <w:bCs/>
          <w:szCs w:val="22"/>
          <w:lang w:val="es-ES_tradnl"/>
        </w:rPr>
      </w:pPr>
      <w:r w:rsidRPr="00426AC7">
        <w:rPr>
          <w:bCs/>
          <w:szCs w:val="22"/>
          <w:lang w:val="es-ES_tradnl"/>
        </w:rPr>
        <w:t xml:space="preserve">En primer lugar, recomendamos que la Organización elabore un procedimiento operativo estándar con carácter formalizado para coordinar las reuniones y evalúe los indicadores clave de rendimiento. La formalización del procedimiento operativo estándar mejoraría la coherencia operativa, optimizaría la eficiencia de los procedimientos y establecería directrices ambiciosas para mejorar la coordinación de eventos, mientras que la mejora de los indicadores clave de rendimiento fomentaría el proceso de supervisión y evaluación del rendimiento de la OMPI. </w:t>
      </w:r>
    </w:p>
    <w:p w14:paraId="6E371D8D" w14:textId="77777777" w:rsidR="00076CE0" w:rsidRPr="00426AC7" w:rsidRDefault="00076CE0" w:rsidP="62D966B3">
      <w:pPr>
        <w:pStyle w:val="BodyText"/>
        <w:ind w:left="567"/>
        <w:rPr>
          <w:lang w:val="es-ES_tradnl"/>
        </w:rPr>
      </w:pPr>
      <w:r w:rsidRPr="00426AC7">
        <w:rPr>
          <w:lang w:val="es-ES_tradnl"/>
        </w:rPr>
        <w:t xml:space="preserve">En segundo lugar, el uso de herramientas avanzadas, como la traducción automática para las publicaciones, y de la aplicación WePerform, tiene el potencial de fomentar la accesibilidad y fortalecer de manera significativa las iniciativas de comunicación multilingüe de la OMPI. </w:t>
      </w:r>
    </w:p>
    <w:p w14:paraId="53759EBC" w14:textId="77777777" w:rsidR="00076CE0" w:rsidRPr="00426AC7" w:rsidRDefault="00076CE0" w:rsidP="62D966B3">
      <w:pPr>
        <w:pStyle w:val="BodyText"/>
        <w:ind w:left="567"/>
        <w:rPr>
          <w:lang w:val="es-ES_tradnl"/>
        </w:rPr>
      </w:pPr>
      <w:r w:rsidRPr="00426AC7">
        <w:rPr>
          <w:lang w:val="es-ES_tradnl"/>
        </w:rPr>
        <w:t xml:space="preserve">Por último, destacamos la necesidad de mejorar el proceso de realización de encuestas, lo que podría ofrecer un espectro más amplio de opiniones de los interesados y facilitar la mejora de los servicios, al tiempo que permitiría una evaluación más exhaustiva de los indicadores clave de rendimiento. </w:t>
      </w:r>
    </w:p>
    <w:p w14:paraId="62577D84" w14:textId="77777777" w:rsidR="00076CE0" w:rsidRPr="00426AC7" w:rsidRDefault="00076CE0" w:rsidP="00711B8D">
      <w:pPr>
        <w:pStyle w:val="BodyText"/>
        <w:ind w:left="567"/>
        <w:rPr>
          <w:bCs/>
          <w:szCs w:val="22"/>
          <w:lang w:val="es-ES_tradnl"/>
        </w:rPr>
      </w:pPr>
      <w:r w:rsidRPr="00426AC7">
        <w:rPr>
          <w:bCs/>
          <w:szCs w:val="22"/>
          <w:lang w:val="es-ES_tradnl"/>
        </w:rPr>
        <w:t>Al adoptar estas recomendaciones, la Organización puede reforzar su compromiso con la excelencia y amplificar su impacto en el panorama mundial de la propiedad intelectual.</w:t>
      </w:r>
    </w:p>
    <w:p w14:paraId="51772E62" w14:textId="573633E9" w:rsidR="00076CE0" w:rsidRPr="00426AC7" w:rsidRDefault="00076CE0" w:rsidP="00711B8D">
      <w:pPr>
        <w:pStyle w:val="BodyText"/>
        <w:ind w:left="567"/>
        <w:rPr>
          <w:bCs/>
          <w:szCs w:val="22"/>
          <w:lang w:val="es-ES_tradnl"/>
        </w:rPr>
      </w:pPr>
      <w:r w:rsidRPr="00426AC7">
        <w:rPr>
          <w:bCs/>
          <w:szCs w:val="22"/>
          <w:lang w:val="es-ES_tradnl"/>
        </w:rPr>
        <w:t>Sr. presidente, distinguidos miembros, señoras y señores, a fecha de marzo de 2025, la OMPI ha realizado avances encomiables al aplicar el 91 % de las recomendaciones emitidas entre 2018 y 2023, lo que refleja el firme empeño por mejorar las prácticas de gobernanza y gestión.</w:t>
      </w:r>
    </w:p>
    <w:p w14:paraId="643B41FC" w14:textId="77777777" w:rsidR="00076CE0" w:rsidRPr="00426AC7" w:rsidRDefault="00076CE0" w:rsidP="00711B8D">
      <w:pPr>
        <w:pStyle w:val="BodyText"/>
        <w:ind w:left="567"/>
        <w:rPr>
          <w:bCs/>
          <w:szCs w:val="22"/>
          <w:lang w:val="es-ES_tradnl"/>
        </w:rPr>
      </w:pPr>
      <w:r w:rsidRPr="00426AC7">
        <w:rPr>
          <w:bCs/>
          <w:szCs w:val="22"/>
          <w:lang w:val="es-ES_tradnl"/>
        </w:rPr>
        <w:t xml:space="preserve">En cuanto a las recomendaciones actualmente en curso relativas a la estrategia de activos, la dirección nos ha informado de que se presentó una estrategia de activos durante la 38.ª sesión del PBC para abordar dos recomendaciones de auditoría específicas. </w:t>
      </w:r>
    </w:p>
    <w:p w14:paraId="505F5F53" w14:textId="77777777" w:rsidR="00076CE0" w:rsidRPr="00426AC7" w:rsidRDefault="00076CE0" w:rsidP="00711B8D">
      <w:pPr>
        <w:pStyle w:val="BodyText"/>
        <w:ind w:left="567"/>
        <w:rPr>
          <w:bCs/>
          <w:szCs w:val="22"/>
          <w:lang w:val="es-ES_tradnl"/>
        </w:rPr>
      </w:pPr>
      <w:r w:rsidRPr="00426AC7">
        <w:rPr>
          <w:bCs/>
          <w:szCs w:val="22"/>
          <w:lang w:val="es-ES_tradnl"/>
        </w:rPr>
        <w:t xml:space="preserve">Si bien valoramos esta medida proactiva, es esencial señalar que esa información se ha transmitido después de emitir el informe de auditoría. </w:t>
      </w:r>
    </w:p>
    <w:p w14:paraId="75D8D9E0" w14:textId="77777777" w:rsidR="00076CE0" w:rsidRPr="00426AC7" w:rsidRDefault="00076CE0" w:rsidP="00711B8D">
      <w:pPr>
        <w:pStyle w:val="BodyText"/>
        <w:ind w:left="567"/>
        <w:rPr>
          <w:bCs/>
          <w:szCs w:val="22"/>
          <w:lang w:val="es-ES_tradnl"/>
        </w:rPr>
      </w:pPr>
      <w:r w:rsidRPr="00426AC7">
        <w:rPr>
          <w:bCs/>
          <w:szCs w:val="22"/>
          <w:lang w:val="es-ES_tradnl"/>
        </w:rPr>
        <w:lastRenderedPageBreak/>
        <w:t>Por consiguiente, aún no ha sido objeto de nuestro examen. En nuestro próximo informe de auditoría se incorporará una evaluación completa de esas medidas.</w:t>
      </w:r>
    </w:p>
    <w:p w14:paraId="1B2B67B4" w14:textId="3459A307" w:rsidR="00076CE0" w:rsidRPr="00426AC7" w:rsidRDefault="00076CE0" w:rsidP="62D966B3">
      <w:pPr>
        <w:pStyle w:val="BodyText"/>
        <w:ind w:left="567"/>
        <w:rPr>
          <w:lang w:val="es-ES_tradnl"/>
        </w:rPr>
      </w:pPr>
      <w:r w:rsidRPr="00426AC7">
        <w:rPr>
          <w:lang w:val="es-ES_tradnl"/>
        </w:rPr>
        <w:t>Excelencias, distinguidas señoras y señores, quisiera expresar mi sincero agradecimiento por la extraordinaria profesionalidad y experiencia de la dirección de la OMPI, cuyo apoyo y colaboración han sido decisivos para llevar a buen término nuestra auditoría. También quiero dar las gracias a la Comisión Consultiva Independiente de Supervisión(CCIS) y a mis colegas, que también están aquí presentes, por apoyarnos en el cumplimiento de nuestra labor de auditoría.</w:t>
      </w:r>
    </w:p>
    <w:p w14:paraId="6B362BA5" w14:textId="77777777" w:rsidR="00076CE0" w:rsidRPr="00426AC7" w:rsidRDefault="00076CE0" w:rsidP="00711B8D">
      <w:pPr>
        <w:pStyle w:val="BodyText"/>
        <w:ind w:left="567"/>
        <w:rPr>
          <w:bCs/>
          <w:szCs w:val="22"/>
          <w:lang w:val="es-ES_tradnl"/>
        </w:rPr>
      </w:pPr>
      <w:r w:rsidRPr="00426AC7">
        <w:rPr>
          <w:bCs/>
          <w:szCs w:val="22"/>
          <w:lang w:val="es-ES_tradnl"/>
        </w:rPr>
        <w:t>En nombre de la BPK, quisiera expresar nuestra sincera gratitud a las Asambleas por el privilegio de apoyar a la OMPI en su búsqueda de transparencia, rendición de cuentas y buena gobernanza. Es un gran honor contribuir a los esfuerzos de la Organización por alcanzar sus objetivos estratégicos.</w:t>
      </w:r>
    </w:p>
    <w:p w14:paraId="18354F2E" w14:textId="77777777" w:rsidR="00076CE0" w:rsidRPr="00426AC7" w:rsidRDefault="00076CE0" w:rsidP="00711B8D">
      <w:pPr>
        <w:pStyle w:val="BodyText"/>
        <w:ind w:left="567"/>
        <w:rPr>
          <w:bCs/>
          <w:szCs w:val="22"/>
          <w:lang w:val="es-ES_tradnl"/>
        </w:rPr>
      </w:pPr>
      <w:r w:rsidRPr="00426AC7">
        <w:rPr>
          <w:bCs/>
          <w:szCs w:val="22"/>
          <w:lang w:val="es-ES_tradnl"/>
        </w:rPr>
        <w:t>Además, también deseo agradecer con aprecio al anterior auditor externo, la Oficina Nacional de Auditoría del Reino Unido, su espíritu de colaboración y su participación constructiva para facilitar la transición eficaz y sin contratiempos.</w:t>
      </w:r>
    </w:p>
    <w:p w14:paraId="502B6376" w14:textId="77777777" w:rsidR="00076CE0" w:rsidRPr="00426AC7" w:rsidRDefault="00076CE0" w:rsidP="00711B8D">
      <w:pPr>
        <w:pStyle w:val="BodyText"/>
        <w:ind w:left="567"/>
        <w:rPr>
          <w:bCs/>
          <w:szCs w:val="22"/>
          <w:lang w:val="es-ES_tradnl"/>
        </w:rPr>
      </w:pPr>
      <w:r w:rsidRPr="00426AC7">
        <w:rPr>
          <w:bCs/>
          <w:szCs w:val="22"/>
          <w:lang w:val="es-ES_tradnl"/>
        </w:rPr>
        <w:t>Muchas gracias.”</w:t>
      </w:r>
    </w:p>
    <w:p w14:paraId="2B939836" w14:textId="77777777" w:rsidR="00076CE0" w:rsidRPr="00426AC7" w:rsidRDefault="00076CE0" w:rsidP="00996390">
      <w:pPr>
        <w:pStyle w:val="ONUMFS"/>
        <w:rPr>
          <w:szCs w:val="22"/>
          <w:lang w:val="es-ES_tradnl"/>
        </w:rPr>
      </w:pPr>
      <w:r w:rsidRPr="00426AC7">
        <w:rPr>
          <w:szCs w:val="22"/>
          <w:lang w:val="es-ES_tradnl"/>
        </w:rPr>
        <w:t xml:space="preserve">El presidente agradeció al auditor externo por su informe. </w:t>
      </w:r>
    </w:p>
    <w:p w14:paraId="58430A23" w14:textId="5AC20C27" w:rsidR="00076CE0" w:rsidRPr="00426AC7" w:rsidRDefault="00076CE0" w:rsidP="62D966B3">
      <w:pPr>
        <w:pStyle w:val="ONUMFS"/>
        <w:rPr>
          <w:lang w:val="es-ES_tradnl"/>
        </w:rPr>
      </w:pPr>
      <w:r w:rsidRPr="00426AC7">
        <w:rPr>
          <w:lang w:val="es-ES_tradnl"/>
        </w:rPr>
        <w:t>La delegación del Japón, haciendo uso de la palabra en nombre del Grupo B, dio las gracias al auditor externo por su exhaustivo informe sobre los estados financieros de la OMPI de</w:t>
      </w:r>
      <w:r w:rsidR="00AB24AE" w:rsidRPr="00426AC7">
        <w:rPr>
          <w:lang w:val="es-ES_tradnl"/>
        </w:rPr>
        <w:t> </w:t>
      </w:r>
      <w:r w:rsidRPr="00426AC7">
        <w:rPr>
          <w:lang w:val="es-ES_tradnl"/>
        </w:rPr>
        <w:t xml:space="preserve">2024, así como por la labor de auditoría realizada en 2024. El Grupo otorga gran importancia al informe, que ha analizado detenidamente, y valora positivamente su evaluación detallada de los aspectos financieros y de rendimiento de las operaciones de la OMPI. </w:t>
      </w:r>
      <w:r w:rsidR="00FF26BE" w:rsidRPr="00426AC7">
        <w:rPr>
          <w:lang w:val="es-ES_tradnl"/>
        </w:rPr>
        <w:t>R</w:t>
      </w:r>
      <w:r w:rsidRPr="00426AC7">
        <w:rPr>
          <w:lang w:val="es-ES_tradnl"/>
        </w:rPr>
        <w:t>econoce la valoración del auditor externo de que los estados financieros presentan fielmente todos los aspectos materiales de conformidad con las IPSAS. Asimismo, d</w:t>
      </w:r>
      <w:r w:rsidR="00FF26BE" w:rsidRPr="00426AC7">
        <w:rPr>
          <w:lang w:val="es-ES_tradnl"/>
        </w:rPr>
        <w:t>a</w:t>
      </w:r>
      <w:r w:rsidRPr="00426AC7">
        <w:rPr>
          <w:lang w:val="es-ES_tradnl"/>
        </w:rPr>
        <w:t xml:space="preserve"> las gracias al auditor externo por las perspectivas profesionales y valor</w:t>
      </w:r>
      <w:r w:rsidR="00FF26BE" w:rsidRPr="00426AC7">
        <w:rPr>
          <w:lang w:val="es-ES_tradnl"/>
        </w:rPr>
        <w:t>a</w:t>
      </w:r>
      <w:r w:rsidRPr="00426AC7">
        <w:rPr>
          <w:lang w:val="es-ES_tradnl"/>
        </w:rPr>
        <w:t xml:space="preserve"> positivamente el enfoque constructivo aplicado en la evaluación. El Grupo inst</w:t>
      </w:r>
      <w:r w:rsidR="00FF26BE" w:rsidRPr="00426AC7">
        <w:rPr>
          <w:lang w:val="es-ES_tradnl"/>
        </w:rPr>
        <w:t>a</w:t>
      </w:r>
      <w:r w:rsidRPr="00426AC7">
        <w:rPr>
          <w:lang w:val="es-ES_tradnl"/>
        </w:rPr>
        <w:t xml:space="preserve"> a la OMPI a seguir aplicando las recomendaciones del auditor externo derivadas de la auditoría de 2024 y espera recibir información actualizada sobre los avances en la aplicación en futuros informes. Por lo que respecta a otras cuestiones de fondo, recordó la declaración que había formulado en la 39.ª sesión del PBC.</w:t>
      </w:r>
    </w:p>
    <w:p w14:paraId="1EE8B53C" w14:textId="475A02D1" w:rsidR="00076CE0" w:rsidRPr="00426AC7" w:rsidRDefault="00076CE0" w:rsidP="00996390">
      <w:pPr>
        <w:pStyle w:val="ONUMFS"/>
        <w:rPr>
          <w:szCs w:val="22"/>
          <w:lang w:val="es-ES_tradnl"/>
        </w:rPr>
      </w:pPr>
      <w:r w:rsidRPr="00426AC7">
        <w:rPr>
          <w:szCs w:val="22"/>
          <w:lang w:val="es-ES_tradnl"/>
        </w:rPr>
        <w:t>La delegación de Estonia, haciendo uso de la palabra en nombre del Grupo CEBS, dio las gracias al auditor externo por el informe detallado, en el que se exponen las conclusiones y recomendaciones de manera clara y concisa. El Grupo señala que el informe del auditor externo indica que los resultados de la Organización han mejorado notablemente en 2024, logrando un notable aumento del superávit a pesar de los continuos retos geoeconómicos y geopolíticos. Al Grupo le complace oír que los controles internos de la Organización son, en general, sólidos y eficaces. En cuanto a los comentarios sustantivos, el Grupo recuerda las declaraciones formuladas durante la 39.ª sesión del PBC, en la que, entre otras cuestiones, hizo hincapié en la importancia de tomar medidas para aplicar las recomendaciones formuladas por el auditor externo: mejorar la optimización de los informes financieros, evaluando los actuales indicadores clave de rendimiento y formulándolos a nivel de resultados; elaborar un procedimiento operativo estándar unificado que incorpore las mejores prácticas y procesos armonizados para la coordinación de eventos; ampliar el uso de la traducción automática a todas las publicaciones que cumplan los criterios expuestos en la estrategia de traducción.</w:t>
      </w:r>
    </w:p>
    <w:p w14:paraId="607D9470" w14:textId="302BAD78" w:rsidR="00076CE0" w:rsidRPr="00426AC7" w:rsidRDefault="00076CE0" w:rsidP="00996390">
      <w:pPr>
        <w:pStyle w:val="ONUMFS"/>
        <w:rPr>
          <w:szCs w:val="22"/>
          <w:lang w:val="es-ES_tradnl"/>
        </w:rPr>
      </w:pPr>
      <w:r w:rsidRPr="00426AC7">
        <w:rPr>
          <w:szCs w:val="22"/>
          <w:lang w:val="es-ES_tradnl"/>
        </w:rPr>
        <w:t>La delegación de los Estados Unidos de América suscribió la declaración pronunciada por la delegación de Japón</w:t>
      </w:r>
      <w:r w:rsidR="005B5FB3" w:rsidRPr="00426AC7">
        <w:rPr>
          <w:szCs w:val="22"/>
          <w:lang w:val="es-ES_tradnl"/>
        </w:rPr>
        <w:t xml:space="preserve"> en nombre del Grupo B</w:t>
      </w:r>
      <w:r w:rsidRPr="00426AC7">
        <w:rPr>
          <w:szCs w:val="22"/>
          <w:lang w:val="es-ES_tradnl"/>
        </w:rPr>
        <w:t xml:space="preserve">, y dio las gracias al auditor externo por el informe contenido en el documento WO/PBC/39/4. Dijo que su país reconoce los progresos </w:t>
      </w:r>
      <w:r w:rsidRPr="00426AC7">
        <w:rPr>
          <w:szCs w:val="22"/>
          <w:lang w:val="es-ES_tradnl"/>
        </w:rPr>
        <w:lastRenderedPageBreak/>
        <w:t>realizados por la OMPI en la aplicación de las recomendaciones anteriores y señaló que se ha aplicado el</w:t>
      </w:r>
      <w:r w:rsidR="00AB24AE" w:rsidRPr="00426AC7">
        <w:rPr>
          <w:szCs w:val="22"/>
          <w:lang w:val="es-ES_tradnl"/>
        </w:rPr>
        <w:t> </w:t>
      </w:r>
      <w:r w:rsidRPr="00426AC7">
        <w:rPr>
          <w:szCs w:val="22"/>
          <w:lang w:val="es-ES_tradnl"/>
        </w:rPr>
        <w:t>91,2</w:t>
      </w:r>
      <w:r w:rsidR="007F2EA6" w:rsidRPr="00426AC7">
        <w:rPr>
          <w:szCs w:val="22"/>
          <w:lang w:val="es-ES_tradnl"/>
        </w:rPr>
        <w:t> </w:t>
      </w:r>
      <w:r w:rsidRPr="00426AC7">
        <w:rPr>
          <w:szCs w:val="22"/>
          <w:lang w:val="es-ES_tradnl"/>
        </w:rPr>
        <w:t xml:space="preserve">% de las recomendaciones pendientes. Los Estados Unidos de América </w:t>
      </w:r>
      <w:r w:rsidR="008F7A75" w:rsidRPr="00426AC7">
        <w:rPr>
          <w:szCs w:val="22"/>
          <w:lang w:val="es-ES_tradnl"/>
        </w:rPr>
        <w:t>alientan</w:t>
      </w:r>
      <w:r w:rsidRPr="00426AC7">
        <w:rPr>
          <w:szCs w:val="22"/>
          <w:lang w:val="es-ES_tradnl"/>
        </w:rPr>
        <w:t xml:space="preserve"> a la OMPI a dar prioridad a las cuestiones señaladas en relación con la consolidación de los estados financieros, la generación de balances de comprobación consolidados en el sistema financiero AIMS de la OMPI y la conciliación en el libro mayor. </w:t>
      </w:r>
      <w:r w:rsidR="008F7A75" w:rsidRPr="00426AC7">
        <w:rPr>
          <w:szCs w:val="22"/>
          <w:lang w:val="es-ES_tradnl"/>
        </w:rPr>
        <w:t>La delegación o</w:t>
      </w:r>
      <w:r w:rsidRPr="00426AC7">
        <w:rPr>
          <w:szCs w:val="22"/>
          <w:lang w:val="es-ES_tradnl"/>
        </w:rPr>
        <w:t>bservó que los problemas del sistema se centran en la introducción y conciliación manual, así como en los riesgos de control interno que plantean las modificaciones no autorizadas o involuntarias. Tomó nota de que la dirección de la OMPI está de acuerdo con todas las recomendaciones de la auditoría y alentó a la Organización a presentar un informe de situación sobre los avances realizados y los plazos antes del cierre del ejercicio de auditoría.</w:t>
      </w:r>
    </w:p>
    <w:p w14:paraId="4CB47E21" w14:textId="21229B4F" w:rsidR="00076CE0" w:rsidRPr="00426AC7" w:rsidRDefault="00076CE0" w:rsidP="00711B8D">
      <w:pPr>
        <w:pStyle w:val="ONUMFS"/>
        <w:spacing w:after="360"/>
        <w:ind w:left="567"/>
        <w:rPr>
          <w:szCs w:val="22"/>
          <w:lang w:val="es-ES_tradnl"/>
        </w:rPr>
      </w:pPr>
      <w:r w:rsidRPr="00426AC7">
        <w:rPr>
          <w:szCs w:val="22"/>
          <w:lang w:val="es-ES_tradnl"/>
        </w:rPr>
        <w:t>Las Asambleas de la OMPI, en lo que a cada una concierne, tomaron nota del “Informe del auditor externo” (documento A/66/6).</w:t>
      </w:r>
    </w:p>
    <w:p w14:paraId="435791FA" w14:textId="1A5B9775" w:rsidR="00076CE0" w:rsidRPr="00426AC7" w:rsidRDefault="00076CE0" w:rsidP="00D13AFC">
      <w:pPr>
        <w:pStyle w:val="Heading3"/>
        <w:numPr>
          <w:ilvl w:val="0"/>
          <w:numId w:val="8"/>
        </w:numPr>
        <w:spacing w:before="0" w:after="120"/>
        <w:ind w:left="567" w:hanging="567"/>
        <w:rPr>
          <w:szCs w:val="22"/>
          <w:lang w:val="es-ES_tradnl"/>
        </w:rPr>
      </w:pPr>
      <w:bookmarkStart w:id="33" w:name="_Toc209694199"/>
      <w:r w:rsidRPr="00426AC7">
        <w:rPr>
          <w:szCs w:val="22"/>
          <w:lang w:val="es-ES_tradnl"/>
        </w:rPr>
        <w:t>Informe de</w:t>
      </w:r>
      <w:r w:rsidR="00CD6E78" w:rsidRPr="00426AC7">
        <w:rPr>
          <w:szCs w:val="22"/>
          <w:lang w:val="es-ES_tradnl"/>
        </w:rPr>
        <w:t xml:space="preserve"> </w:t>
      </w:r>
      <w:r w:rsidRPr="00426AC7">
        <w:rPr>
          <w:szCs w:val="22"/>
          <w:lang w:val="es-ES_tradnl"/>
        </w:rPr>
        <w:t>l</w:t>
      </w:r>
      <w:r w:rsidR="00CD6E78" w:rsidRPr="00426AC7">
        <w:rPr>
          <w:szCs w:val="22"/>
          <w:lang w:val="es-ES_tradnl"/>
        </w:rPr>
        <w:t>a</w:t>
      </w:r>
      <w:r w:rsidRPr="00426AC7">
        <w:rPr>
          <w:szCs w:val="22"/>
          <w:lang w:val="es-ES_tradnl"/>
        </w:rPr>
        <w:t xml:space="preserve"> director</w:t>
      </w:r>
      <w:r w:rsidR="00CD6E78" w:rsidRPr="00426AC7">
        <w:rPr>
          <w:szCs w:val="22"/>
          <w:lang w:val="es-ES_tradnl"/>
        </w:rPr>
        <w:t>a</w:t>
      </w:r>
      <w:r w:rsidRPr="00426AC7">
        <w:rPr>
          <w:szCs w:val="22"/>
          <w:lang w:val="es-ES_tradnl"/>
        </w:rPr>
        <w:t xml:space="preserve"> de la División de Supervisión Interna (DSI)</w:t>
      </w:r>
      <w:bookmarkEnd w:id="33"/>
    </w:p>
    <w:p w14:paraId="1188036F" w14:textId="4E03DDF4" w:rsidR="00076CE0" w:rsidRPr="00426AC7" w:rsidRDefault="00076CE0" w:rsidP="00E153F3">
      <w:pPr>
        <w:pStyle w:val="ONUMFS"/>
        <w:spacing w:after="480"/>
        <w:rPr>
          <w:szCs w:val="22"/>
          <w:lang w:val="es-ES_tradnl"/>
        </w:rPr>
      </w:pPr>
      <w:r w:rsidRPr="00426AC7">
        <w:rPr>
          <w:szCs w:val="22"/>
          <w:lang w:val="es-ES_tradnl"/>
        </w:rPr>
        <w:t xml:space="preserve">Véase el informe del período de sesiones de la Asamblea General de la OMPI (documento </w:t>
      </w:r>
      <w:hyperlink r:id="rId46" w:history="1">
        <w:r w:rsidRPr="00426AC7">
          <w:rPr>
            <w:rStyle w:val="Hyperlink"/>
            <w:szCs w:val="22"/>
            <w:lang w:val="es-ES_tradnl"/>
          </w:rPr>
          <w:t>WO/GA/58/14</w:t>
        </w:r>
      </w:hyperlink>
      <w:r w:rsidRPr="00426AC7">
        <w:rPr>
          <w:szCs w:val="22"/>
          <w:lang w:val="es-ES_tradnl"/>
        </w:rPr>
        <w:t>).</w:t>
      </w:r>
    </w:p>
    <w:p w14:paraId="770786AC" w14:textId="6C4361CF" w:rsidR="009B6AFA" w:rsidRPr="00426AC7" w:rsidRDefault="001677C1" w:rsidP="00EF1A56">
      <w:pPr>
        <w:pStyle w:val="Heading2"/>
        <w:spacing w:before="0" w:after="120" w:line="480" w:lineRule="auto"/>
        <w:rPr>
          <w:szCs w:val="22"/>
          <w:lang w:val="es-ES_tradnl"/>
        </w:rPr>
      </w:pPr>
      <w:bookmarkStart w:id="34" w:name="_Toc209694200"/>
      <w:bookmarkStart w:id="35" w:name="_Hlk171954866"/>
      <w:bookmarkEnd w:id="26"/>
      <w:r w:rsidRPr="00426AC7">
        <w:rPr>
          <w:szCs w:val="22"/>
          <w:lang w:val="es-ES_tradnl"/>
        </w:rPr>
        <w:t>PUNTO 11 DEL ORDEN DEL DÍA CONSOLIDADO</w:t>
      </w:r>
      <w:r w:rsidRPr="00426AC7">
        <w:rPr>
          <w:szCs w:val="22"/>
          <w:lang w:val="es-ES_tradnl"/>
        </w:rPr>
        <w:br/>
        <w:t xml:space="preserve">INFORME </w:t>
      </w:r>
      <w:r w:rsidR="00113B44" w:rsidRPr="00426AC7">
        <w:rPr>
          <w:szCs w:val="22"/>
          <w:lang w:val="es-ES_tradnl"/>
        </w:rPr>
        <w:t>D</w:t>
      </w:r>
      <w:r w:rsidRPr="00426AC7">
        <w:rPr>
          <w:szCs w:val="22"/>
          <w:lang w:val="es-ES_tradnl"/>
        </w:rPr>
        <w:t>EL COMITÉ DEL PROGRAMA Y PRESUPUESTO (PBC)</w:t>
      </w:r>
      <w:bookmarkEnd w:id="34"/>
    </w:p>
    <w:p w14:paraId="4E95CC82" w14:textId="5BB0143A" w:rsidR="001677C1" w:rsidRPr="00426AC7" w:rsidRDefault="001677C1" w:rsidP="000361BF">
      <w:pPr>
        <w:pStyle w:val="ONUMFS"/>
        <w:rPr>
          <w:szCs w:val="22"/>
          <w:lang w:val="es-ES_tradnl"/>
        </w:rPr>
      </w:pPr>
      <w:r w:rsidRPr="00426AC7">
        <w:rPr>
          <w:szCs w:val="22"/>
          <w:lang w:val="es-ES_tradnl"/>
        </w:rPr>
        <w:t xml:space="preserve">Los debates se basaron en los documentos </w:t>
      </w:r>
      <w:hyperlink r:id="rId47" w:history="1">
        <w:r w:rsidRPr="00426AC7">
          <w:rPr>
            <w:rStyle w:val="Hyperlink"/>
            <w:szCs w:val="22"/>
            <w:lang w:val="es-ES_tradnl"/>
          </w:rPr>
          <w:t>A/66/7</w:t>
        </w:r>
      </w:hyperlink>
      <w:r w:rsidRPr="00426AC7">
        <w:rPr>
          <w:szCs w:val="22"/>
          <w:lang w:val="es-ES_tradnl"/>
        </w:rPr>
        <w:t xml:space="preserve"> y </w:t>
      </w:r>
      <w:hyperlink r:id="rId48" w:history="1">
        <w:r w:rsidRPr="00426AC7">
          <w:rPr>
            <w:rStyle w:val="Hyperlink"/>
            <w:szCs w:val="22"/>
            <w:lang w:val="es-ES_tradnl"/>
          </w:rPr>
          <w:t>A/66/9</w:t>
        </w:r>
      </w:hyperlink>
      <w:r w:rsidRPr="00426AC7">
        <w:rPr>
          <w:szCs w:val="22"/>
          <w:lang w:val="es-ES_tradnl"/>
        </w:rPr>
        <w:t>.</w:t>
      </w:r>
    </w:p>
    <w:p w14:paraId="345F42E6" w14:textId="61AAF817" w:rsidR="00A73167" w:rsidRPr="00426AC7" w:rsidRDefault="004725A4" w:rsidP="00A73167">
      <w:pPr>
        <w:pStyle w:val="ONUMFS"/>
        <w:rPr>
          <w:szCs w:val="22"/>
          <w:lang w:val="es-ES_tradnl"/>
        </w:rPr>
      </w:pPr>
      <w:r w:rsidRPr="00426AC7">
        <w:rPr>
          <w:szCs w:val="22"/>
          <w:lang w:val="es-ES_tradnl"/>
        </w:rPr>
        <w:t>Al abrir el examen del punto 11 del orden del día, e</w:t>
      </w:r>
      <w:r w:rsidR="001677C1" w:rsidRPr="00426AC7">
        <w:rPr>
          <w:szCs w:val="22"/>
          <w:lang w:val="es-ES_tradnl"/>
        </w:rPr>
        <w:t xml:space="preserve">l presidente </w:t>
      </w:r>
      <w:r w:rsidRPr="00426AC7">
        <w:rPr>
          <w:szCs w:val="22"/>
          <w:lang w:val="es-ES_tradnl"/>
        </w:rPr>
        <w:t>dio las gracias al presidente y vicepresidente salientes del PBC por la labor realizada durante las dos últimas sesiones y agradeció al presidente y vicepresidente entrantes por su elección y por su compromiso e interés. A continuación, invitó a la contralor</w:t>
      </w:r>
      <w:r w:rsidR="009823A3" w:rsidRPr="00426AC7">
        <w:rPr>
          <w:szCs w:val="22"/>
          <w:lang w:val="es-ES_tradnl"/>
        </w:rPr>
        <w:t>a</w:t>
      </w:r>
      <w:r w:rsidRPr="00426AC7">
        <w:rPr>
          <w:szCs w:val="22"/>
          <w:lang w:val="es-ES_tradnl"/>
        </w:rPr>
        <w:t xml:space="preserve"> y a la Secretaría del PBC a hacer una breve introducción</w:t>
      </w:r>
      <w:r w:rsidR="001677C1" w:rsidRPr="00426AC7">
        <w:rPr>
          <w:szCs w:val="22"/>
          <w:lang w:val="es-ES_tradnl"/>
        </w:rPr>
        <w:t>.</w:t>
      </w:r>
    </w:p>
    <w:p w14:paraId="70F6E66B" w14:textId="6A7BD14D" w:rsidR="00A73167" w:rsidRPr="00426AC7" w:rsidRDefault="001677C1" w:rsidP="62D966B3">
      <w:pPr>
        <w:pStyle w:val="ONUMFS"/>
        <w:rPr>
          <w:lang w:val="es-ES_tradnl"/>
        </w:rPr>
      </w:pPr>
      <w:r w:rsidRPr="00426AC7">
        <w:rPr>
          <w:lang w:val="es-ES_tradnl"/>
        </w:rPr>
        <w:t>La Secretaría informó de que en 2025 se han celebrado dos sesiones del PBC, una en mayo y otra en junio</w:t>
      </w:r>
      <w:r w:rsidR="004725A4" w:rsidRPr="00426AC7">
        <w:rPr>
          <w:lang w:val="es-ES_tradnl"/>
        </w:rPr>
        <w:t>, respectivamente</w:t>
      </w:r>
      <w:r w:rsidRPr="00426AC7">
        <w:rPr>
          <w:lang w:val="es-ES_tradnl"/>
        </w:rPr>
        <w:t xml:space="preserve">. Entre los </w:t>
      </w:r>
      <w:r w:rsidR="004725A4" w:rsidRPr="00426AC7">
        <w:rPr>
          <w:lang w:val="es-ES_tradnl"/>
        </w:rPr>
        <w:t xml:space="preserve">numerosos </w:t>
      </w:r>
      <w:r w:rsidRPr="00426AC7">
        <w:rPr>
          <w:lang w:val="es-ES_tradnl"/>
        </w:rPr>
        <w:t xml:space="preserve">puntos del orden del día tratados en esas </w:t>
      </w:r>
      <w:r w:rsidR="004725A4" w:rsidRPr="00426AC7">
        <w:rPr>
          <w:lang w:val="es-ES_tradnl"/>
        </w:rPr>
        <w:t xml:space="preserve">sesiones </w:t>
      </w:r>
      <w:r w:rsidRPr="00426AC7">
        <w:rPr>
          <w:lang w:val="es-ES_tradnl"/>
        </w:rPr>
        <w:t xml:space="preserve">figuran los relativos a auditoría y supervisión, examen del rendimiento y de cuestiones financieras, planificación y presupuestación y los puntos introducidos a raíz de la única sesión del PBC celebrada en 2024 y de las Asambleas de los Estados miembros de la OMPI, así como una propuesta para la elección de la Mesa de las sesiones del PBC que se celebrarán en el bienio 2026/27. </w:t>
      </w:r>
      <w:r w:rsidR="004725A4" w:rsidRPr="00426AC7">
        <w:rPr>
          <w:lang w:val="es-ES_tradnl"/>
        </w:rPr>
        <w:t xml:space="preserve">Los Estados miembros participaron intensamente a lo largo de las dos últimas sesiones y tomaron nota, o recomendaron su aprobación a las Asambleas, de una serie de puntos que se enumeran en el documento A/66/7. </w:t>
      </w:r>
      <w:r w:rsidRPr="00426AC7">
        <w:rPr>
          <w:lang w:val="es-ES_tradnl"/>
        </w:rPr>
        <w:t xml:space="preserve">La lista de decisiones incluye recomendaciones a las Asambleas para que aprueben el Informe financiero anual y los estados financieros de 2024 de la Organización </w:t>
      </w:r>
      <w:r w:rsidR="0020424C" w:rsidRPr="00426AC7">
        <w:rPr>
          <w:lang w:val="es-ES_tradnl"/>
        </w:rPr>
        <w:t xml:space="preserve">que figuran en el documento WO/PBC/39/6 </w:t>
      </w:r>
      <w:r w:rsidRPr="00426AC7">
        <w:rPr>
          <w:lang w:val="es-ES_tradnl"/>
        </w:rPr>
        <w:t>y un plan de financiación para restablecer la cobertura de las prestaciones a largo plazo de los empleados de la OMPI</w:t>
      </w:r>
      <w:r w:rsidR="0020424C" w:rsidRPr="00426AC7">
        <w:rPr>
          <w:lang w:val="es-ES_tradnl"/>
        </w:rPr>
        <w:t xml:space="preserve"> que figura en el documento WO/PBC/39/9.</w:t>
      </w:r>
      <w:r w:rsidRPr="00426AC7">
        <w:rPr>
          <w:lang w:val="es-ES_tradnl"/>
        </w:rPr>
        <w:t xml:space="preserve"> El PBC también ha pedido a la Secretaría que prepare un proyecto de mandato de la evaluación de 2021 de las Oficinas de la OMPI en el exterior y lo someta a consideración de la cuadragésima sesión del PBC. </w:t>
      </w:r>
      <w:r w:rsidR="004725A4" w:rsidRPr="00426AC7">
        <w:rPr>
          <w:lang w:val="es-ES_tradnl"/>
        </w:rPr>
        <w:t>La lista de decisiones del PBC también incl</w:t>
      </w:r>
      <w:r w:rsidR="0020424C" w:rsidRPr="00426AC7">
        <w:rPr>
          <w:lang w:val="es-ES_tradnl"/>
        </w:rPr>
        <w:t>uye</w:t>
      </w:r>
      <w:r w:rsidR="004725A4" w:rsidRPr="00426AC7">
        <w:rPr>
          <w:lang w:val="es-ES_tradnl"/>
        </w:rPr>
        <w:t xml:space="preserve"> recomendaciones a las Asambleas para que tom</w:t>
      </w:r>
      <w:r w:rsidR="0020424C" w:rsidRPr="00426AC7">
        <w:rPr>
          <w:lang w:val="es-ES_tradnl"/>
        </w:rPr>
        <w:t>e</w:t>
      </w:r>
      <w:r w:rsidR="004725A4" w:rsidRPr="00426AC7">
        <w:rPr>
          <w:lang w:val="es-ES_tradnl"/>
        </w:rPr>
        <w:t>n nota de los resultados positivos de la OMPI en 2024, recogidos en el Informe sobre el rendimiento de la OMPI en 2024 en el documento WO/PBC/38/3 Rev., y los informes de los órganos de auditoría y supervisión. La Secretaría dijo que e</w:t>
      </w:r>
      <w:r w:rsidRPr="00426AC7">
        <w:rPr>
          <w:lang w:val="es-ES_tradnl"/>
        </w:rPr>
        <w:t xml:space="preserve">n su trigésima octava sesión, el PBC examinó la propuesta de programa de trabajo y presupuesto para 2026/27 e identificó dos cuestiones pendientes para su consideración en la </w:t>
      </w:r>
      <w:r w:rsidR="004725A4" w:rsidRPr="00426AC7">
        <w:rPr>
          <w:lang w:val="es-ES_tradnl"/>
        </w:rPr>
        <w:t>trigésima novena</w:t>
      </w:r>
      <w:r w:rsidRPr="00426AC7">
        <w:rPr>
          <w:lang w:val="es-ES_tradnl"/>
        </w:rPr>
        <w:t xml:space="preserve"> sesión. En esa sesión, el Comité alcanzó un consenso sobre esas dos cuestiones y </w:t>
      </w:r>
      <w:r w:rsidR="0020424C" w:rsidRPr="00426AC7">
        <w:rPr>
          <w:lang w:val="es-ES_tradnl"/>
        </w:rPr>
        <w:t xml:space="preserve">decidió </w:t>
      </w:r>
      <w:r w:rsidRPr="00426AC7">
        <w:rPr>
          <w:lang w:val="es-ES_tradnl"/>
        </w:rPr>
        <w:t>remiti</w:t>
      </w:r>
      <w:r w:rsidR="0020424C" w:rsidRPr="00426AC7">
        <w:rPr>
          <w:lang w:val="es-ES_tradnl"/>
        </w:rPr>
        <w:t>r</w:t>
      </w:r>
      <w:r w:rsidRPr="00426AC7">
        <w:rPr>
          <w:lang w:val="es-ES_tradnl"/>
        </w:rPr>
        <w:t xml:space="preserve"> otras tres cuestiones pendientes a la sexagésima sexta serie de reuniones de las Asambleas de los Estados </w:t>
      </w:r>
      <w:r w:rsidRPr="00426AC7">
        <w:rPr>
          <w:lang w:val="es-ES_tradnl"/>
        </w:rPr>
        <w:lastRenderedPageBreak/>
        <w:t>miembros de la OMPI. En el documento A66/INF/4 figura la Situación relativa al pago de las contribuciones al 30 de junio de 2025</w:t>
      </w:r>
      <w:r w:rsidR="004725A4" w:rsidRPr="00426AC7">
        <w:rPr>
          <w:lang w:val="es-ES_tradnl"/>
        </w:rPr>
        <w:t xml:space="preserve"> y señaló que</w:t>
      </w:r>
      <w:r w:rsidRPr="00426AC7">
        <w:rPr>
          <w:lang w:val="es-ES_tradnl"/>
        </w:rPr>
        <w:t xml:space="preserve"> </w:t>
      </w:r>
      <w:r w:rsidR="004725A4" w:rsidRPr="00426AC7">
        <w:rPr>
          <w:lang w:val="es-ES_tradnl"/>
        </w:rPr>
        <w:t>d</w:t>
      </w:r>
      <w:r w:rsidRPr="00426AC7">
        <w:rPr>
          <w:lang w:val="es-ES_tradnl"/>
        </w:rPr>
        <w:t xml:space="preserve">esde </w:t>
      </w:r>
      <w:r w:rsidR="004725A4" w:rsidRPr="00426AC7">
        <w:rPr>
          <w:lang w:val="es-ES_tradnl"/>
        </w:rPr>
        <w:t xml:space="preserve">el 1 de julio de 2025 </w:t>
      </w:r>
      <w:r w:rsidRPr="00426AC7">
        <w:rPr>
          <w:lang w:val="es-ES_tradnl"/>
        </w:rPr>
        <w:t xml:space="preserve">se han recibido contribuciones de Nepal, lo que ha reducido </w:t>
      </w:r>
      <w:r w:rsidR="0020424C" w:rsidRPr="00426AC7">
        <w:rPr>
          <w:lang w:val="es-ES_tradnl"/>
        </w:rPr>
        <w:t xml:space="preserve">los </w:t>
      </w:r>
      <w:r w:rsidRPr="00426AC7">
        <w:rPr>
          <w:lang w:val="es-ES_tradnl"/>
        </w:rPr>
        <w:t>atrasos a unos 10,2 millones de francos suizos.</w:t>
      </w:r>
    </w:p>
    <w:p w14:paraId="4AAEFF9E" w14:textId="49E7C906" w:rsidR="001677C1" w:rsidRPr="00426AC7" w:rsidRDefault="001677C1" w:rsidP="62D966B3">
      <w:pPr>
        <w:pStyle w:val="ONUMFS"/>
        <w:rPr>
          <w:lang w:val="es-ES_tradnl"/>
        </w:rPr>
      </w:pPr>
      <w:r w:rsidRPr="00426AC7">
        <w:rPr>
          <w:lang w:val="es-ES_tradnl"/>
        </w:rPr>
        <w:t xml:space="preserve">El presidente observó que el PBC </w:t>
      </w:r>
      <w:r w:rsidR="00202FFA" w:rsidRPr="00426AC7">
        <w:rPr>
          <w:lang w:val="es-ES_tradnl"/>
        </w:rPr>
        <w:t>tomó</w:t>
      </w:r>
      <w:r w:rsidRPr="00426AC7">
        <w:rPr>
          <w:lang w:val="es-ES_tradnl"/>
        </w:rPr>
        <w:t xml:space="preserve"> decisiones y formul</w:t>
      </w:r>
      <w:r w:rsidR="00202FFA" w:rsidRPr="00426AC7">
        <w:rPr>
          <w:lang w:val="es-ES_tradnl"/>
        </w:rPr>
        <w:t>ó</w:t>
      </w:r>
      <w:r w:rsidRPr="00426AC7">
        <w:rPr>
          <w:lang w:val="es-ES_tradnl"/>
        </w:rPr>
        <w:t xml:space="preserve"> recomendaciones claras sobre todos los puntos, salvo uno, la propuesta de programa de trabajo y presupuesto para 2026/27 (</w:t>
      </w:r>
      <w:r w:rsidR="00A73167" w:rsidRPr="00426AC7">
        <w:rPr>
          <w:lang w:val="es-ES_tradnl"/>
        </w:rPr>
        <w:t xml:space="preserve">véase el </w:t>
      </w:r>
      <w:r w:rsidRPr="00426AC7">
        <w:rPr>
          <w:lang w:val="es-ES_tradnl"/>
        </w:rPr>
        <w:t xml:space="preserve">documento A/66/9). </w:t>
      </w:r>
      <w:r w:rsidR="00A73167" w:rsidRPr="00426AC7">
        <w:rPr>
          <w:lang w:val="es-ES_tradnl"/>
        </w:rPr>
        <w:t xml:space="preserve">Dio por sentado que las Asambleas están de acuerdo con todas las demás recomendaciones y declaró que no tiene intención de volver a tratar los temas acordados. Agradeció el compromiso de los coordinadores de grupo, los embajadores y todas las delegaciones para avanzar en las cuestiones pendientes. </w:t>
      </w:r>
      <w:r w:rsidRPr="00426AC7">
        <w:rPr>
          <w:lang w:val="es-ES_tradnl"/>
        </w:rPr>
        <w:t>Aunque el proyecto cuenta con un amplio apoyo, hay tres cuestiones pendientes que es preciso seguir examinando: i) una propuesta para suprimir todas las referencias a la Agenda 2030 para el Desarrollo Sostenible y a los ODS de la propuesta de programa de trabajo y presupuesto; ii)</w:t>
      </w:r>
      <w:r w:rsidR="00D61018" w:rsidRPr="00426AC7">
        <w:rPr>
          <w:lang w:val="es-ES_tradnl"/>
        </w:rPr>
        <w:t> </w:t>
      </w:r>
      <w:r w:rsidRPr="00426AC7">
        <w:rPr>
          <w:lang w:val="es-ES_tradnl"/>
        </w:rPr>
        <w:t xml:space="preserve">una propuesta para ajustar las solicitudes y e ingresos estimados para el Sistema de Lisboa en 2026/27 y revisar el presupuesto asignado a la Unión de Lisboa; y iii) una propuesta para suprimir el Fondo de Aceleración del Desarrollo y las referencias y presupuesto conexos en la propuesta de programa de trabajo y presupuesto. </w:t>
      </w:r>
      <w:r w:rsidR="00A73167" w:rsidRPr="00426AC7">
        <w:rPr>
          <w:lang w:val="es-ES_tradnl"/>
        </w:rPr>
        <w:t>Como l</w:t>
      </w:r>
      <w:r w:rsidRPr="00426AC7">
        <w:rPr>
          <w:lang w:val="es-ES_tradnl"/>
        </w:rPr>
        <w:t xml:space="preserve">as delegaciones han debatido estas cuestiones en las sesiones trigésima octava y trigésima novena del PBC, </w:t>
      </w:r>
      <w:r w:rsidR="00A73167" w:rsidRPr="00426AC7">
        <w:rPr>
          <w:lang w:val="es-ES_tradnl"/>
        </w:rPr>
        <w:t xml:space="preserve">el presidente les pidió </w:t>
      </w:r>
      <w:r w:rsidRPr="00426AC7">
        <w:rPr>
          <w:lang w:val="es-ES_tradnl"/>
        </w:rPr>
        <w:t>que no repitan las declaraciones ya formuladas.</w:t>
      </w:r>
    </w:p>
    <w:p w14:paraId="77E9AEE1" w14:textId="24D327B1" w:rsidR="00A73167" w:rsidRPr="00426AC7" w:rsidRDefault="00A73167" w:rsidP="0007413A">
      <w:pPr>
        <w:pStyle w:val="ONUMFS"/>
        <w:rPr>
          <w:szCs w:val="22"/>
          <w:lang w:val="es-ES_tradnl"/>
        </w:rPr>
      </w:pPr>
      <w:r w:rsidRPr="00426AC7">
        <w:rPr>
          <w:szCs w:val="22"/>
          <w:lang w:val="es-ES_tradnl"/>
        </w:rPr>
        <w:t xml:space="preserve">La delegación del Japón, haciendo uso de la palabra en nombre del Grupo B, agradeció a la Secretaría la preparación de la Lista de decisiones </w:t>
      </w:r>
      <w:r w:rsidR="003A54ED" w:rsidRPr="00426AC7">
        <w:rPr>
          <w:szCs w:val="22"/>
          <w:lang w:val="es-ES_tradnl"/>
        </w:rPr>
        <w:t>aprobadas</w:t>
      </w:r>
      <w:r w:rsidRPr="00426AC7">
        <w:rPr>
          <w:szCs w:val="22"/>
          <w:lang w:val="es-ES_tradnl"/>
        </w:rPr>
        <w:t xml:space="preserve"> por el PBC que figura en el documento A/66/7. El Grupo expresó su agradecimiento a los dos vicepresidentes del PBC, que presidieron las reuniones trigésima octava y trigésima novena, respectivamente, por su eficaz liderazgo y dedicación al proceso del PBC. El Grupo tomó nota de que, lamentablemente, los Estados miembros no pudieron alcanzar un consenso sobre la totalidad de la propuesta de programa de trabajo y presupuesto para 2026/27, pero observó con satisfacción que se ha llegado a un acuerdo sobre temas importantes como el Plan de financiación para restablecer la cobertura de las prestaciones a largo plazo de los empleados de la OMPI y las recomendaciones del comité de selección de dos nuevos miembros de la</w:t>
      </w:r>
      <w:r w:rsidR="00E153F3" w:rsidRPr="00426AC7">
        <w:rPr>
          <w:szCs w:val="22"/>
          <w:lang w:val="es-ES_tradnl"/>
        </w:rPr>
        <w:t> </w:t>
      </w:r>
      <w:r w:rsidRPr="00426AC7">
        <w:rPr>
          <w:szCs w:val="22"/>
          <w:lang w:val="es-ES_tradnl"/>
        </w:rPr>
        <w:t>CCIS.</w:t>
      </w:r>
      <w:r w:rsidR="00E153F3" w:rsidRPr="00426AC7">
        <w:rPr>
          <w:szCs w:val="22"/>
          <w:lang w:val="es-ES_tradnl"/>
        </w:rPr>
        <w:t xml:space="preserve"> </w:t>
      </w:r>
      <w:r w:rsidRPr="00426AC7">
        <w:rPr>
          <w:szCs w:val="22"/>
          <w:lang w:val="es-ES_tradnl"/>
        </w:rPr>
        <w:t>El Grupo B tomó nota del debate sobre el proyecto de mandato de la evaluación de</w:t>
      </w:r>
      <w:r w:rsidR="00E153F3" w:rsidRPr="00426AC7">
        <w:rPr>
          <w:szCs w:val="22"/>
          <w:lang w:val="es-ES_tradnl"/>
        </w:rPr>
        <w:t> </w:t>
      </w:r>
      <w:r w:rsidRPr="00426AC7">
        <w:rPr>
          <w:szCs w:val="22"/>
          <w:lang w:val="es-ES_tradnl"/>
        </w:rPr>
        <w:t xml:space="preserve">2021 de las oficinas de la OMPI </w:t>
      </w:r>
      <w:r w:rsidR="0007413A" w:rsidRPr="00426AC7">
        <w:rPr>
          <w:szCs w:val="22"/>
          <w:lang w:val="es-ES_tradnl"/>
        </w:rPr>
        <w:t xml:space="preserve">en el exterior </w:t>
      </w:r>
      <w:r w:rsidRPr="00426AC7">
        <w:rPr>
          <w:szCs w:val="22"/>
          <w:lang w:val="es-ES_tradnl"/>
        </w:rPr>
        <w:t>y segui</w:t>
      </w:r>
      <w:r w:rsidR="0007413A" w:rsidRPr="00426AC7">
        <w:rPr>
          <w:szCs w:val="22"/>
          <w:lang w:val="es-ES_tradnl"/>
        </w:rPr>
        <w:t>rá</w:t>
      </w:r>
      <w:r w:rsidRPr="00426AC7">
        <w:rPr>
          <w:szCs w:val="22"/>
          <w:lang w:val="es-ES_tradnl"/>
        </w:rPr>
        <w:t xml:space="preserve"> participando de forma constructiva en los debates del </w:t>
      </w:r>
      <w:r w:rsidR="0007413A" w:rsidRPr="00426AC7">
        <w:rPr>
          <w:szCs w:val="22"/>
          <w:lang w:val="es-ES_tradnl"/>
        </w:rPr>
        <w:t xml:space="preserve">PBC </w:t>
      </w:r>
      <w:r w:rsidRPr="00426AC7">
        <w:rPr>
          <w:szCs w:val="22"/>
          <w:lang w:val="es-ES_tradnl"/>
        </w:rPr>
        <w:t>en la cuadragésima</w:t>
      </w:r>
      <w:r w:rsidR="0007413A" w:rsidRPr="00426AC7">
        <w:rPr>
          <w:szCs w:val="22"/>
          <w:lang w:val="es-ES_tradnl"/>
        </w:rPr>
        <w:t xml:space="preserve"> sesión</w:t>
      </w:r>
      <w:r w:rsidRPr="00426AC7">
        <w:rPr>
          <w:szCs w:val="22"/>
          <w:lang w:val="es-ES_tradnl"/>
        </w:rPr>
        <w:t xml:space="preserve">. El Grupo </w:t>
      </w:r>
      <w:r w:rsidR="0007413A" w:rsidRPr="00426AC7">
        <w:rPr>
          <w:szCs w:val="22"/>
          <w:lang w:val="es-ES_tradnl"/>
        </w:rPr>
        <w:t xml:space="preserve">mantiene </w:t>
      </w:r>
      <w:r w:rsidRPr="00426AC7">
        <w:rPr>
          <w:szCs w:val="22"/>
          <w:lang w:val="es-ES_tradnl"/>
        </w:rPr>
        <w:t xml:space="preserve">su compromiso de colaborar con los Estados miembros para aprobar por consenso </w:t>
      </w:r>
      <w:r w:rsidR="0007413A" w:rsidRPr="00426AC7">
        <w:rPr>
          <w:szCs w:val="22"/>
          <w:lang w:val="es-ES_tradnl"/>
        </w:rPr>
        <w:t xml:space="preserve">la </w:t>
      </w:r>
      <w:r w:rsidR="0020424C" w:rsidRPr="00426AC7">
        <w:rPr>
          <w:szCs w:val="22"/>
          <w:lang w:val="es-ES_tradnl"/>
        </w:rPr>
        <w:t>p</w:t>
      </w:r>
      <w:r w:rsidR="0007413A" w:rsidRPr="00426AC7">
        <w:rPr>
          <w:szCs w:val="22"/>
          <w:lang w:val="es-ES_tradnl"/>
        </w:rPr>
        <w:t>ropuesta de</w:t>
      </w:r>
      <w:r w:rsidRPr="00426AC7">
        <w:rPr>
          <w:szCs w:val="22"/>
          <w:lang w:val="es-ES_tradnl"/>
        </w:rPr>
        <w:t xml:space="preserve"> </w:t>
      </w:r>
      <w:r w:rsidR="0007413A" w:rsidRPr="00426AC7">
        <w:rPr>
          <w:szCs w:val="22"/>
          <w:lang w:val="es-ES_tradnl"/>
        </w:rPr>
        <w:t>p</w:t>
      </w:r>
      <w:r w:rsidRPr="00426AC7">
        <w:rPr>
          <w:szCs w:val="22"/>
          <w:lang w:val="es-ES_tradnl"/>
        </w:rPr>
        <w:t xml:space="preserve">rograma de </w:t>
      </w:r>
      <w:r w:rsidR="0007413A" w:rsidRPr="00426AC7">
        <w:rPr>
          <w:szCs w:val="22"/>
          <w:lang w:val="es-ES_tradnl"/>
        </w:rPr>
        <w:t>t</w:t>
      </w:r>
      <w:r w:rsidRPr="00426AC7">
        <w:rPr>
          <w:szCs w:val="22"/>
          <w:lang w:val="es-ES_tradnl"/>
        </w:rPr>
        <w:t xml:space="preserve">rabajo y </w:t>
      </w:r>
      <w:r w:rsidR="0007413A" w:rsidRPr="00426AC7">
        <w:rPr>
          <w:szCs w:val="22"/>
          <w:lang w:val="es-ES_tradnl"/>
        </w:rPr>
        <w:t>p</w:t>
      </w:r>
      <w:r w:rsidRPr="00426AC7">
        <w:rPr>
          <w:szCs w:val="22"/>
          <w:lang w:val="es-ES_tradnl"/>
        </w:rPr>
        <w:t>resupuesto para 2026/27 y avanzar hacia un ecosistema de PI mundial equilibrado y eficaz.</w:t>
      </w:r>
    </w:p>
    <w:p w14:paraId="07B54F4C" w14:textId="77FF0D43" w:rsidR="00A73167" w:rsidRPr="00426AC7" w:rsidRDefault="001677C1" w:rsidP="00A73167">
      <w:pPr>
        <w:pStyle w:val="ONUMFS"/>
        <w:rPr>
          <w:szCs w:val="22"/>
          <w:lang w:val="es-ES_tradnl"/>
        </w:rPr>
      </w:pPr>
      <w:r w:rsidRPr="00426AC7">
        <w:rPr>
          <w:szCs w:val="22"/>
          <w:lang w:val="es-ES_tradnl"/>
        </w:rPr>
        <w:t>La delegación del Pakistán, haciendo uso de la palabra en nombre del APG, acogió con satisfacción el sólido rendimiento financiero logrado por la OMPI en 2024 y valoró positivamente que la propuesta de programa de trabajo y presupuesto esté centrada en el desarrollo. El considerable aumento del gasto destinado al desarrollo que prevé la propuesta y la creación del Fondo de Aceleración del Desarrollo ayudarán a la OMPI a impulsar su AD y a asistir a los Estados miembros en sus esfuerzos por alcanzar los ODS. La OMPI debe seguir dando prioridad a la asistencia técnica y al fortalecimiento de capacidades para prestar un apoyo adaptado a los países en desarrollo y a las economías emergentes. En la trigésima octava sesión del PBC se alcanzó un resultado equilibrado sobre la cuestión de las Oficinas de la OMPI en el exterior.</w:t>
      </w:r>
    </w:p>
    <w:p w14:paraId="641B7594" w14:textId="4CA7C535" w:rsidR="00A73167" w:rsidRPr="00426AC7" w:rsidRDefault="00A73167" w:rsidP="00A73167">
      <w:pPr>
        <w:pStyle w:val="ONUMFS"/>
        <w:rPr>
          <w:szCs w:val="22"/>
          <w:lang w:val="es-ES_tradnl"/>
        </w:rPr>
      </w:pPr>
      <w:r w:rsidRPr="00426AC7">
        <w:rPr>
          <w:szCs w:val="22"/>
          <w:lang w:val="es-ES_tradnl"/>
        </w:rPr>
        <w:t>La delegación de China acogió con satisfacción el espíritu de cooperación que ha caracterizado los debates de las dos sesiones del PBC celebradas en mayo y junio de 2025. Observó con satisfacción que, bajo la dirección de</w:t>
      </w:r>
      <w:r w:rsidR="00C36591" w:rsidRPr="00426AC7">
        <w:rPr>
          <w:szCs w:val="22"/>
          <w:lang w:val="es-ES_tradnl"/>
        </w:rPr>
        <w:t>l presidente y</w:t>
      </w:r>
      <w:r w:rsidRPr="00426AC7">
        <w:rPr>
          <w:szCs w:val="22"/>
          <w:lang w:val="es-ES_tradnl"/>
        </w:rPr>
        <w:t xml:space="preserve"> los vicepresidentes del PBC, la gran mayoría de los Estados miembros entablaron un amplio diálogo y coordinación con espíritu de cooperación durante las sesiones, lo que demostró una flexibilidad y un consenso considerables sobre una serie de cuestiones de la propuesta de presupuesto. Las cuestiones pendientes relativas a la propuesta de programa de trabajo y presupuesto deberían resolverse </w:t>
      </w:r>
      <w:r w:rsidRPr="00426AC7">
        <w:rPr>
          <w:szCs w:val="22"/>
          <w:lang w:val="es-ES_tradnl"/>
        </w:rPr>
        <w:lastRenderedPageBreak/>
        <w:t>por consenso.</w:t>
      </w:r>
      <w:r w:rsidR="00E153F3" w:rsidRPr="00426AC7">
        <w:rPr>
          <w:szCs w:val="22"/>
          <w:lang w:val="es-ES_tradnl"/>
        </w:rPr>
        <w:t xml:space="preserve"> </w:t>
      </w:r>
      <w:r w:rsidRPr="00426AC7">
        <w:rPr>
          <w:szCs w:val="22"/>
          <w:lang w:val="es-ES_tradnl"/>
        </w:rPr>
        <w:t>Mantener la unidad es vital para el desarrollo a largo plazo de la Organización.</w:t>
      </w:r>
      <w:r w:rsidR="00E153F3" w:rsidRPr="00426AC7">
        <w:rPr>
          <w:szCs w:val="22"/>
          <w:lang w:val="es-ES_tradnl"/>
        </w:rPr>
        <w:t xml:space="preserve"> </w:t>
      </w:r>
      <w:r w:rsidRPr="00426AC7">
        <w:rPr>
          <w:szCs w:val="22"/>
          <w:lang w:val="es-ES_tradnl"/>
        </w:rPr>
        <w:t>La delegación instó a todas las partes a demostrar flexibilidad y a comprometerse de forma constructiva para alcanzar un acuerdo sobre la propuesta de programa de trabajo y presupuesto en las actuales Asambleas.</w:t>
      </w:r>
    </w:p>
    <w:p w14:paraId="2408B1F7" w14:textId="77777777" w:rsidR="001677C1" w:rsidRPr="00426AC7" w:rsidRDefault="001677C1" w:rsidP="000361BF">
      <w:pPr>
        <w:pStyle w:val="ONUMFS"/>
        <w:rPr>
          <w:szCs w:val="22"/>
          <w:lang w:val="es-ES_tradnl"/>
        </w:rPr>
      </w:pPr>
      <w:r w:rsidRPr="00426AC7">
        <w:rPr>
          <w:szCs w:val="22"/>
          <w:lang w:val="es-ES_tradnl"/>
        </w:rPr>
        <w:t>La delegación de Namibia, haciendo uso de la palabra en nombre del Grupo Africano, elogió al PBC por su labor y, tras congratularse por el positivo rendimiento financiero de la OMPI, señaló que en la propuesta de programa de trabajo y presupuesto se incluye la previsión de un superávit de 7,6 millones de francos suizos en el bienio 2026/27. Ello confirma la eficacia de los métodos de trabajo actuales, que es preciso mantener, al igual que el enfoque unificado de la Organización en materia de planificación presupuestaria. La OMPI debe seguir promoviendo la PI como instrumento para abordar desafíos como el acceso a la salud pública, el cambio climático y la seguridad alimentaria. La propuesta de suprimir todas las referencias a la Agenda 2030 y a los ODS de la propuesta de programa de trabajo y presupuesto es motivo de preocupación. La Agenda 2030 y los ODS sirven de guía para la cooperación internacional y deben seguir presentes en el programa de trabajo y presupuesto. El desarrollo debe seguir siendo un pilar central del mandato de la Organización. A este respecto, el objetivo del Fondo de Aceleración del Desarrollo es reforzar los esfuerzos de la OMPI en materia de desarrollo y ofrecer asistencia específica a los países en desarrollo y a los países menos adelantados (PMA). Ello permitiría abordar los déficits de capacidad, nutrir el ecosistema de la innovación y reforzar el uso de la PI como herramienta para el desarrollo sostenible. El Grupo está a favor de la introducción de nuevos idiomas en el sistema de registro internacional, también en el marco de las estrategias de ejecución del Sector de Marcas y Diseños. La prolongada infrarrepresentación de los ciudadanos de determinados países, en particular los africanos, en puestos de liderazgo y alta dirección, así como en el conjunto de la plantilla de la OMPI, sigue siendo motivo de grave preocupación.</w:t>
      </w:r>
    </w:p>
    <w:p w14:paraId="7CA01835" w14:textId="3D32568C" w:rsidR="001677C1" w:rsidRPr="00426AC7" w:rsidRDefault="001677C1" w:rsidP="62D966B3">
      <w:pPr>
        <w:pStyle w:val="ONUMFS"/>
        <w:rPr>
          <w:lang w:val="es-ES_tradnl"/>
        </w:rPr>
      </w:pPr>
      <w:r w:rsidRPr="00426AC7">
        <w:rPr>
          <w:lang w:val="es-ES_tradnl"/>
        </w:rPr>
        <w:t>La delegación del Ecuador, haciendo uso de la palabra en nombre del GRULAC,</w:t>
      </w:r>
      <w:r w:rsidR="0020424C" w:rsidRPr="00426AC7">
        <w:rPr>
          <w:lang w:val="es-ES_tradnl"/>
        </w:rPr>
        <w:t xml:space="preserve"> dijo que confía en un período de sesiones de las Asambleas provechoso y exitoso que contribuya a hacer avanzar constructivamente hacia la aprobación del programa de trabajo y presupuesto para</w:t>
      </w:r>
      <w:r w:rsidR="00E153F3" w:rsidRPr="00426AC7">
        <w:rPr>
          <w:lang w:val="es-ES_tradnl"/>
        </w:rPr>
        <w:t> </w:t>
      </w:r>
      <w:r w:rsidR="0020424C" w:rsidRPr="00426AC7">
        <w:rPr>
          <w:lang w:val="es-ES_tradnl"/>
        </w:rPr>
        <w:t>2026/27.</w:t>
      </w:r>
      <w:r w:rsidRPr="00426AC7">
        <w:rPr>
          <w:lang w:val="es-ES_tradnl"/>
        </w:rPr>
        <w:t xml:space="preserve"> </w:t>
      </w:r>
      <w:r w:rsidR="0020424C" w:rsidRPr="00426AC7">
        <w:rPr>
          <w:lang w:val="es-ES_tradnl"/>
        </w:rPr>
        <w:t>R</w:t>
      </w:r>
      <w:r w:rsidRPr="00426AC7">
        <w:rPr>
          <w:lang w:val="es-ES_tradnl"/>
        </w:rPr>
        <w:t>eiteró que la labor del PBC debe contribuir a conectar la PI con las prioridades nacionales en materia de desarrollo, construir un ecosistema de PI inclusivo y representativo que esté en consonancia con las prioridades del desarrollo sostenible, velar por que los beneficios de la PI lleguen a todos y generen un impacto tangible, y promover el uso de la PI como motor del crecimiento y el desarrollo inclusivos. El GRULAC está comprometido con la búsqueda del consenso y la toma de decisiones que refuercen el mandato del PBC.</w:t>
      </w:r>
    </w:p>
    <w:p w14:paraId="24CDB466" w14:textId="36F8B34D" w:rsidR="001677C1" w:rsidRPr="00426AC7" w:rsidRDefault="001677C1" w:rsidP="000361BF">
      <w:pPr>
        <w:pStyle w:val="ONUMFS"/>
        <w:rPr>
          <w:szCs w:val="22"/>
          <w:lang w:val="es-ES_tradnl"/>
        </w:rPr>
      </w:pPr>
      <w:r w:rsidRPr="00426AC7">
        <w:rPr>
          <w:szCs w:val="22"/>
          <w:lang w:val="es-ES_tradnl"/>
        </w:rPr>
        <w:t>La delegación de Indonesia acogió con satisfacción la propuesta de programa de trabajo y presupuesto, que refleja el compromiso de la OMPI con la promoción de prioridades estratégicas que respondan a las necesidades de sus Estados miembros</w:t>
      </w:r>
      <w:r w:rsidR="0020424C" w:rsidRPr="00426AC7">
        <w:rPr>
          <w:szCs w:val="22"/>
          <w:lang w:val="es-ES_tradnl"/>
        </w:rPr>
        <w:t>, velando por que la PI siga siendo un habilitante poderoso de la innovación, la creatividad y el desarrollo económico a escala mundial.</w:t>
      </w:r>
      <w:r w:rsidR="00E153F3" w:rsidRPr="00426AC7">
        <w:rPr>
          <w:szCs w:val="22"/>
          <w:lang w:val="es-ES_tradnl"/>
        </w:rPr>
        <w:t xml:space="preserve"> </w:t>
      </w:r>
      <w:r w:rsidRPr="00426AC7">
        <w:rPr>
          <w:szCs w:val="22"/>
          <w:lang w:val="es-ES_tradnl"/>
        </w:rPr>
        <w:t xml:space="preserve">Los ODS deben seguir inspirando las actividades, los programas y la planificación presupuestaria de la OMPI. El sistema de PI es un motor fundamental para alcanzar esos Objetivos, en particular el ODS 3 (salud y bienestar), el ODS 8 (trabajo decente y crecimiento económico), el ODS 9 (industria, innovación e infraestructura), el ODS 10 (reducción de las desigualdades) y el ODS 13 (acción por el clima). Por lo tanto, la OMPI debe reforzar la asistencia técnica y los programas de fortalecimiento de capacidades para ayudar a los países en desarrollo a aprovechar la PI en beneficio del desarrollo sostenible y el crecimiento integrador y transformador. </w:t>
      </w:r>
      <w:r w:rsidR="0020424C" w:rsidRPr="00426AC7">
        <w:rPr>
          <w:szCs w:val="22"/>
          <w:lang w:val="es-ES_tradnl"/>
        </w:rPr>
        <w:t>Además, l</w:t>
      </w:r>
      <w:r w:rsidRPr="00426AC7">
        <w:rPr>
          <w:szCs w:val="22"/>
          <w:lang w:val="es-ES_tradnl"/>
        </w:rPr>
        <w:t>a continuada contribución a la buena gobernanza, la gestión de riesgos, los procesos de control interno, la toma de decisiones fundamentadas y la eficacia de la supervisión redunda</w:t>
      </w:r>
      <w:r w:rsidR="0020424C" w:rsidRPr="00426AC7">
        <w:rPr>
          <w:szCs w:val="22"/>
          <w:lang w:val="es-ES_tradnl"/>
        </w:rPr>
        <w:t>n</w:t>
      </w:r>
      <w:r w:rsidRPr="00426AC7">
        <w:rPr>
          <w:szCs w:val="22"/>
          <w:lang w:val="es-ES_tradnl"/>
        </w:rPr>
        <w:t xml:space="preserve"> en una mayor credibilidad de la OMPI y refuerza</w:t>
      </w:r>
      <w:r w:rsidR="0020424C" w:rsidRPr="00426AC7">
        <w:rPr>
          <w:szCs w:val="22"/>
          <w:lang w:val="es-ES_tradnl"/>
        </w:rPr>
        <w:t>n</w:t>
      </w:r>
      <w:r w:rsidRPr="00426AC7">
        <w:rPr>
          <w:szCs w:val="22"/>
          <w:lang w:val="es-ES_tradnl"/>
        </w:rPr>
        <w:t xml:space="preserve"> su capacidad de servir al interés público.</w:t>
      </w:r>
    </w:p>
    <w:p w14:paraId="028E6C60" w14:textId="14AC4437" w:rsidR="001677C1" w:rsidRPr="00426AC7" w:rsidRDefault="001677C1" w:rsidP="000361BF">
      <w:pPr>
        <w:pStyle w:val="ONUMFS"/>
        <w:rPr>
          <w:szCs w:val="22"/>
          <w:lang w:val="es-ES_tradnl"/>
        </w:rPr>
      </w:pPr>
      <w:bookmarkStart w:id="36" w:name="_Hlk203137594"/>
      <w:r w:rsidRPr="00426AC7">
        <w:rPr>
          <w:szCs w:val="22"/>
          <w:lang w:val="es-ES_tradnl"/>
        </w:rPr>
        <w:t xml:space="preserve">La delegación del Brasil expresó el apoyo de su país a la propuesta de programa de trabajo y presupuesto, que recibió un respaldo prácticamente unánime en la trigésima novena </w:t>
      </w:r>
      <w:r w:rsidRPr="00426AC7">
        <w:rPr>
          <w:szCs w:val="22"/>
          <w:lang w:val="es-ES_tradnl"/>
        </w:rPr>
        <w:lastRenderedPageBreak/>
        <w:t>sesión del PBC. Lamentablemente, no se ha llegado a un consenso sobre la asignación de recursos con carácter excepcional para financiar la participación de representantes de los Pueblos Indígenas y las comunidades locales en las reuniones del Comité Intergubernamental sobre Propiedad Intelectual y Recursos Genéticos, Conocimientos Tradicionales y Folclore (CIG) de la OMPI en el bienio 2026/27. Esta iniciativa goza de un amplio apoyo y justifica nuevos esfuerzos para obtener una aprobación consensuada en el próximo ciclo presupuestario. Al alinear su labor con la Agenda 2030, en su calidad de organismo especializado del sistema de las Naciones Unidas, la OMPI no solo mejora la eficiencia y la coherencia de su trabajo, sino que también refuerza el papel de la PI en la promoción del desarrollo sostenible. El Brasil respalda el Fondo de Aceleración del Desarrollo y, por lo que respecta a los distintos sistemas de registro, es favorable al enfoque presupuestario unificado de la Organización</w:t>
      </w:r>
      <w:r w:rsidR="008676FB" w:rsidRPr="00426AC7">
        <w:rPr>
          <w:szCs w:val="22"/>
          <w:lang w:val="es-ES_tradnl"/>
        </w:rPr>
        <w:t>, pues</w:t>
      </w:r>
      <w:r w:rsidRPr="00426AC7">
        <w:rPr>
          <w:szCs w:val="22"/>
          <w:lang w:val="es-ES_tradnl"/>
        </w:rPr>
        <w:t xml:space="preserve"> los distintos pilares de su labor deben estar en sinergia entre ellos y reforzarse mutuamente.</w:t>
      </w:r>
    </w:p>
    <w:p w14:paraId="2CE03EA5" w14:textId="6634EC73" w:rsidR="001677C1" w:rsidRPr="00426AC7" w:rsidRDefault="001677C1" w:rsidP="000361BF">
      <w:pPr>
        <w:pStyle w:val="ONUMFS"/>
        <w:rPr>
          <w:szCs w:val="22"/>
          <w:lang w:val="es-ES_tradnl"/>
        </w:rPr>
      </w:pPr>
      <w:bookmarkStart w:id="37" w:name="_Hlk203139531"/>
      <w:r w:rsidRPr="00426AC7">
        <w:rPr>
          <w:szCs w:val="22"/>
          <w:lang w:val="es-ES_tradnl"/>
        </w:rPr>
        <w:t xml:space="preserve">La delegación de El Salvador, haciendo suya la declaración realizada por la delegación del Ecuador en nombre del GRULAC, dijo que </w:t>
      </w:r>
      <w:r w:rsidR="0019282A" w:rsidRPr="00426AC7">
        <w:rPr>
          <w:szCs w:val="22"/>
          <w:lang w:val="es-ES_tradnl"/>
        </w:rPr>
        <w:t>e</w:t>
      </w:r>
      <w:r w:rsidRPr="00426AC7">
        <w:rPr>
          <w:szCs w:val="22"/>
          <w:lang w:val="es-ES_tradnl"/>
        </w:rPr>
        <w:t>l sólid</w:t>
      </w:r>
      <w:r w:rsidR="0019282A" w:rsidRPr="00426AC7">
        <w:rPr>
          <w:szCs w:val="22"/>
          <w:lang w:val="es-ES_tradnl"/>
        </w:rPr>
        <w:t>o</w:t>
      </w:r>
      <w:r w:rsidRPr="00426AC7">
        <w:rPr>
          <w:szCs w:val="22"/>
          <w:lang w:val="es-ES_tradnl"/>
        </w:rPr>
        <w:t xml:space="preserve"> </w:t>
      </w:r>
      <w:r w:rsidR="0019282A" w:rsidRPr="00426AC7">
        <w:rPr>
          <w:szCs w:val="22"/>
          <w:lang w:val="es-ES_tradnl"/>
        </w:rPr>
        <w:t xml:space="preserve">rendimiento </w:t>
      </w:r>
      <w:r w:rsidRPr="00426AC7">
        <w:rPr>
          <w:szCs w:val="22"/>
          <w:lang w:val="es-ES_tradnl"/>
        </w:rPr>
        <w:t>financier</w:t>
      </w:r>
      <w:r w:rsidR="0019282A" w:rsidRPr="00426AC7">
        <w:rPr>
          <w:szCs w:val="22"/>
          <w:lang w:val="es-ES_tradnl"/>
        </w:rPr>
        <w:t>o</w:t>
      </w:r>
      <w:r w:rsidRPr="00426AC7">
        <w:rPr>
          <w:szCs w:val="22"/>
          <w:lang w:val="es-ES_tradnl"/>
        </w:rPr>
        <w:t xml:space="preserve"> de la Organización </w:t>
      </w:r>
      <w:r w:rsidR="0019282A" w:rsidRPr="00426AC7">
        <w:rPr>
          <w:szCs w:val="22"/>
          <w:lang w:val="es-ES_tradnl"/>
        </w:rPr>
        <w:t xml:space="preserve">en 2024, con un superávit de 140 millones de francos suizos y unos activos netos que superan los 700 millones de francos suizos, </w:t>
      </w:r>
      <w:r w:rsidRPr="00426AC7">
        <w:rPr>
          <w:szCs w:val="22"/>
          <w:lang w:val="es-ES_tradnl"/>
        </w:rPr>
        <w:t xml:space="preserve">brinda una oportunidad que es preciso aprovechar para lograr un impacto aún más profundo en el desarrollo. Los esfuerzos para reforzar el sistema mundial de PI deben promover el desarrollo social y económico sostenible y el Fondo de Aceleración del Desarrollo es una herramienta esencial para ello. El programa de desarrollo de la Organización debe ser transversal en relación con todas sus actividades. </w:t>
      </w:r>
      <w:r w:rsidR="0019282A" w:rsidRPr="00426AC7">
        <w:rPr>
          <w:szCs w:val="22"/>
          <w:lang w:val="es-ES_tradnl"/>
        </w:rPr>
        <w:t xml:space="preserve">El </w:t>
      </w:r>
      <w:r w:rsidR="00CC29BB" w:rsidRPr="00426AC7">
        <w:rPr>
          <w:szCs w:val="22"/>
          <w:lang w:val="es-ES_tradnl"/>
        </w:rPr>
        <w:t xml:space="preserve">Fondo de Aceleración del Desarrollo es </w:t>
      </w:r>
      <w:r w:rsidR="0019282A" w:rsidRPr="00426AC7">
        <w:rPr>
          <w:szCs w:val="22"/>
          <w:lang w:val="es-ES_tradnl"/>
        </w:rPr>
        <w:t>una herramienta clave para lograr ese objetivo, permitiendo la creación y adopción de proyectos que promueven la innovación para garantizar mejores condiciones de vida y mejorar la base productiva de los países.</w:t>
      </w:r>
      <w:r w:rsidR="00CC29BB" w:rsidRPr="00426AC7">
        <w:rPr>
          <w:szCs w:val="22"/>
          <w:lang w:val="es-ES_tradnl"/>
        </w:rPr>
        <w:t xml:space="preserve"> </w:t>
      </w:r>
      <w:r w:rsidRPr="00426AC7">
        <w:rPr>
          <w:szCs w:val="22"/>
          <w:lang w:val="es-ES_tradnl"/>
        </w:rPr>
        <w:t>Los proyectos y programas de la OMPI deben estar estrechamente vinculados a la protección de los derechos de PI, garantizando así que estén alineados con su mandato.</w:t>
      </w:r>
      <w:bookmarkEnd w:id="36"/>
      <w:bookmarkEnd w:id="37"/>
    </w:p>
    <w:p w14:paraId="2270ED79" w14:textId="77777777" w:rsidR="00F63704" w:rsidRPr="00426AC7" w:rsidRDefault="001677C1" w:rsidP="00F63704">
      <w:pPr>
        <w:pStyle w:val="ONUMFS"/>
        <w:rPr>
          <w:szCs w:val="22"/>
          <w:lang w:val="es-ES_tradnl"/>
        </w:rPr>
      </w:pPr>
      <w:r w:rsidRPr="00426AC7">
        <w:rPr>
          <w:szCs w:val="22"/>
          <w:lang w:val="es-ES_tradnl"/>
        </w:rPr>
        <w:t>La delegación de México acogió con satisfacción el enfoque prudente adoptado en la formulación de la propuesta de programa de trabajo y presupuesto</w:t>
      </w:r>
      <w:r w:rsidR="001E5EE9" w:rsidRPr="00426AC7">
        <w:rPr>
          <w:szCs w:val="22"/>
          <w:lang w:val="es-ES_tradnl"/>
        </w:rPr>
        <w:t xml:space="preserve"> para 2026/27</w:t>
      </w:r>
      <w:r w:rsidRPr="00426AC7">
        <w:rPr>
          <w:szCs w:val="22"/>
          <w:lang w:val="es-ES_tradnl"/>
        </w:rPr>
        <w:t xml:space="preserve">, diseñada para proteger la salud financiera de la Organización sin debilitar su mandato; celebró también su enfoque centrado en el desarrollo y la inclusión, en consonancia con la Agenda 2030; e iniciativas como el </w:t>
      </w:r>
      <w:r w:rsidR="001E5EE9" w:rsidRPr="00426AC7">
        <w:rPr>
          <w:szCs w:val="22"/>
          <w:lang w:val="es-ES_tradnl"/>
        </w:rPr>
        <w:t xml:space="preserve">Plan </w:t>
      </w:r>
      <w:r w:rsidRPr="00426AC7">
        <w:rPr>
          <w:szCs w:val="22"/>
          <w:lang w:val="es-ES_tradnl"/>
        </w:rPr>
        <w:t xml:space="preserve">de </w:t>
      </w:r>
      <w:r w:rsidR="001E5EE9" w:rsidRPr="00426AC7">
        <w:rPr>
          <w:szCs w:val="22"/>
          <w:lang w:val="es-ES_tradnl"/>
        </w:rPr>
        <w:t xml:space="preserve">Acción sobre </w:t>
      </w:r>
      <w:r w:rsidRPr="00426AC7">
        <w:rPr>
          <w:szCs w:val="22"/>
          <w:lang w:val="es-ES_tradnl"/>
        </w:rPr>
        <w:t xml:space="preserve">PI </w:t>
      </w:r>
      <w:r w:rsidR="001E5EE9" w:rsidRPr="00426AC7">
        <w:rPr>
          <w:szCs w:val="22"/>
          <w:lang w:val="es-ES_tradnl"/>
        </w:rPr>
        <w:t xml:space="preserve">y Género </w:t>
      </w:r>
      <w:r w:rsidRPr="00426AC7">
        <w:rPr>
          <w:szCs w:val="22"/>
          <w:lang w:val="es-ES_tradnl"/>
        </w:rPr>
        <w:t xml:space="preserve">y el Fondo de Aceleración del Desarrollo. Alinear las actividades de la OMPI con los ODS permite conectarlas con las prioridades nacionales de desarrollo de los Estados miembros, mejorar la coordinación con otros organismos de las Naciones Unidas e impulsar la rendición de cuentas. </w:t>
      </w:r>
      <w:r w:rsidR="001E5EE9" w:rsidRPr="00426AC7">
        <w:rPr>
          <w:szCs w:val="22"/>
          <w:lang w:val="es-ES_tradnl"/>
        </w:rPr>
        <w:t xml:space="preserve">Dijo que </w:t>
      </w:r>
      <w:r w:rsidRPr="00426AC7">
        <w:rPr>
          <w:szCs w:val="22"/>
          <w:lang w:val="es-ES_tradnl"/>
        </w:rPr>
        <w:t>apoya la participación efectiva de los Pueblos Indígenas en el trabajo del CIG y colabora con otros países en la elaboración de propuestas para fortalecer el Fondo de Contribuciones Voluntarias de la OMPI y asegurar la participación informada de los Pueblos Indígenas. Aunque todavía no se ha alcanzado un consenso al respecto, México seguirá explorando soluciones prácticas y viables.</w:t>
      </w:r>
      <w:bookmarkStart w:id="38" w:name="_Hlk203144530"/>
    </w:p>
    <w:p w14:paraId="1790F54D" w14:textId="5C0CCD46" w:rsidR="001677C1" w:rsidRPr="00426AC7" w:rsidRDefault="001677C1" w:rsidP="62D966B3">
      <w:pPr>
        <w:pStyle w:val="ONUMFS"/>
        <w:rPr>
          <w:lang w:val="es-ES_tradnl"/>
        </w:rPr>
      </w:pPr>
      <w:r w:rsidRPr="00426AC7">
        <w:rPr>
          <w:lang w:val="es-ES_tradnl"/>
        </w:rPr>
        <w:t xml:space="preserve">La delegación de los Estados Unidos de América hizo suya la declaración realizada por la delegación del Japón en nombre del Grupo B. Reiteró su objeción a cualquier redacción que vincule la labor de la OMPI a la Agenda 2030 </w:t>
      </w:r>
      <w:r w:rsidR="008676FB" w:rsidRPr="00426AC7">
        <w:rPr>
          <w:lang w:val="es-ES_tradnl"/>
        </w:rPr>
        <w:t xml:space="preserve">para el Desarrollo Sostenible </w:t>
      </w:r>
      <w:r w:rsidRPr="00426AC7">
        <w:rPr>
          <w:lang w:val="es-ES_tradnl"/>
        </w:rPr>
        <w:t>o a los ODS, y su propuesta de suprimir todas las referencias a estos en la propuesta de programa de trabajo y presupuesto. El mandato de la OMPI consiste en promover la protección de la PI en todo el mundo, no en acabar con la pobreza, promover la salud o proporcionar agua potable</w:t>
      </w:r>
      <w:r w:rsidR="001E5EE9" w:rsidRPr="00426AC7">
        <w:rPr>
          <w:lang w:val="es-ES_tradnl"/>
        </w:rPr>
        <w:t>.</w:t>
      </w:r>
      <w:r w:rsidRPr="00426AC7">
        <w:rPr>
          <w:lang w:val="es-ES_tradnl"/>
        </w:rPr>
        <w:t xml:space="preserve"> </w:t>
      </w:r>
      <w:r w:rsidR="001E5EE9" w:rsidRPr="00426AC7">
        <w:rPr>
          <w:lang w:val="es-ES_tradnl"/>
        </w:rPr>
        <w:t>P</w:t>
      </w:r>
      <w:r w:rsidRPr="00426AC7">
        <w:rPr>
          <w:lang w:val="es-ES_tradnl"/>
        </w:rPr>
        <w:t>or más que un sistema de PI sólido podría contribuir a alcanzar esos objetivos y otros incluidos en los</w:t>
      </w:r>
      <w:r w:rsidR="00E153F3" w:rsidRPr="00426AC7">
        <w:rPr>
          <w:lang w:val="es-ES_tradnl"/>
        </w:rPr>
        <w:t> </w:t>
      </w:r>
      <w:r w:rsidRPr="00426AC7">
        <w:rPr>
          <w:lang w:val="es-ES_tradnl"/>
        </w:rPr>
        <w:t>ODS</w:t>
      </w:r>
      <w:r w:rsidR="001E5EE9" w:rsidRPr="00426AC7">
        <w:rPr>
          <w:lang w:val="es-ES_tradnl"/>
        </w:rPr>
        <w:t>, e</w:t>
      </w:r>
      <w:r w:rsidRPr="00426AC7">
        <w:rPr>
          <w:lang w:val="es-ES_tradnl"/>
        </w:rPr>
        <w:t xml:space="preserve">l presupuesto de la OMPI no tiene por objeto el logro de los ODS y sus estrategias de ejecución no están guiadas por los ODS, sino por </w:t>
      </w:r>
      <w:r w:rsidR="001E5EE9" w:rsidRPr="00426AC7">
        <w:rPr>
          <w:lang w:val="es-ES_tradnl"/>
        </w:rPr>
        <w:t>los resultados previstos en el edificio de la estrategia d</w:t>
      </w:r>
      <w:r w:rsidRPr="00426AC7">
        <w:rPr>
          <w:lang w:val="es-ES_tradnl"/>
        </w:rPr>
        <w:t xml:space="preserve">el Plan Estratégico a Mediano Plazo (PEMP) 2022-2026. Cualquier contribución al logro de los ODS no es más que un efecto colateral de la labor de la OMPI dirigida a la obtención de los resultados esperados. Por otro lado, los Estados miembros son libres de utilizar la labor de la OMPI en materia de PI para promover sus intereses nacionales en relación </w:t>
      </w:r>
      <w:r w:rsidRPr="00426AC7">
        <w:rPr>
          <w:lang w:val="es-ES_tradnl"/>
        </w:rPr>
        <w:lastRenderedPageBreak/>
        <w:t xml:space="preserve">con cualquier cuestión, incluida la consecución de los ODS. </w:t>
      </w:r>
      <w:r w:rsidR="001E5EE9" w:rsidRPr="00426AC7">
        <w:rPr>
          <w:lang w:val="es-ES_tradnl"/>
        </w:rPr>
        <w:t>La delegación se opuso a las referencias contenidas en la propuesta de programa de trabajo y presupuesto para 2026/27 que implican o instan a la OMPI a centrar su labor en la aplicación de los ODS en lugar de seguir su mandato de promover la protección de la PI en todo el mundo. La delegación reiteró su propuesta de eliminar todas las referencias a la Agenda 2030 para el Desarrollo Sostenible y a los ODS de la propuesta de programa de trabajo y presupuesto para 2026/27, que figura en el documento A/66/9. T</w:t>
      </w:r>
      <w:r w:rsidRPr="00426AC7">
        <w:rPr>
          <w:lang w:val="es-ES_tradnl"/>
        </w:rPr>
        <w:t>ambién se opone al incremento del presupuesto para el Sistema de Lisboa contemplado en la propuesta de programa de trabajo y presupuesto, que contiene previsiones infladas de solicitudes</w:t>
      </w:r>
      <w:r w:rsidR="001E5EE9" w:rsidRPr="00426AC7">
        <w:rPr>
          <w:lang w:val="es-ES_tradnl"/>
        </w:rPr>
        <w:t xml:space="preserve"> e</w:t>
      </w:r>
      <w:r w:rsidRPr="00426AC7">
        <w:rPr>
          <w:lang w:val="es-ES_tradnl"/>
        </w:rPr>
        <w:t xml:space="preserve"> ingresos que han sido preparadas por el Registro de Lisboa en lugar de las previsiones del economista jefe. En el pasado, las estimaciones del Registro de Lisboa han resultado especialmente poco fiables.</w:t>
      </w:r>
      <w:r w:rsidR="001E5EE9" w:rsidRPr="00426AC7">
        <w:rPr>
          <w:lang w:val="es-ES_tradnl"/>
        </w:rPr>
        <w:t xml:space="preserve"> Desde 2018, el Sistema de Lisboa solo ha alcanzado su objetivo de número de solicitudes en dos ocasiones. En esos dos años en los que el Sistema ha alcanzado sus estimaciones de solicitudes, las cifras reales de solicitudes han superado las estimaciones en una cantidad considerable. La delegación reiteró que las estimaciones del Registro de Lisboa han sido muy poco fiables</w:t>
      </w:r>
      <w:r w:rsidR="008676FB" w:rsidRPr="00426AC7">
        <w:rPr>
          <w:lang w:val="es-ES_tradnl"/>
        </w:rPr>
        <w:t xml:space="preserve">, y señaló que </w:t>
      </w:r>
      <w:r w:rsidRPr="00426AC7">
        <w:rPr>
          <w:lang w:val="es-ES_tradnl"/>
        </w:rPr>
        <w:t xml:space="preserve">los Sistemas del PCT, Madrid y La Haya se basan en proyecciones proporcionadas por el economista jefe y el mismo criterio debería aplicarse al Sistema de Lisboa. </w:t>
      </w:r>
      <w:r w:rsidR="001E5EE9" w:rsidRPr="00426AC7">
        <w:rPr>
          <w:lang w:val="es-ES_tradnl"/>
        </w:rPr>
        <w:t>La delegación se mostró preocupada por que o</w:t>
      </w:r>
      <w:r w:rsidRPr="00426AC7">
        <w:rPr>
          <w:lang w:val="es-ES_tradnl"/>
        </w:rPr>
        <w:t xml:space="preserve">tros Estados miembros no parecen interesados en que el Sistema de Lisboa llegue a ser autosuficiente. Debería realizarse un estudio sobre el modo de lograr la sostenibilidad financiera de las Uniones de Lisboa y La Haya y ayudar al PBC a identificar las enseñanzas extraídas de las Uniones que generan más ingresos. En resumen, hay que ajustar las estimaciones de solicitudes e ingresos del Sistema de Lisboa y reducir el presupuesto total de la Unión de Lisboa a 3 257 000 francos suizos. </w:t>
      </w:r>
      <w:r w:rsidR="00F53093" w:rsidRPr="00426AC7">
        <w:rPr>
          <w:lang w:val="es-ES_tradnl"/>
        </w:rPr>
        <w:t>La delegación n</w:t>
      </w:r>
      <w:r w:rsidR="00231663" w:rsidRPr="00426AC7">
        <w:rPr>
          <w:lang w:val="es-ES_tradnl"/>
        </w:rPr>
        <w:t>o</w:t>
      </w:r>
      <w:r w:rsidR="001E5EE9" w:rsidRPr="00426AC7">
        <w:rPr>
          <w:lang w:val="es-ES_tradnl"/>
        </w:rPr>
        <w:t xml:space="preserve"> apoya la propuesta de </w:t>
      </w:r>
      <w:r w:rsidRPr="00426AC7">
        <w:rPr>
          <w:lang w:val="es-ES_tradnl"/>
        </w:rPr>
        <w:t>creación del Fondo de Aceleración del Desarrollo</w:t>
      </w:r>
      <w:r w:rsidR="00231663" w:rsidRPr="00426AC7">
        <w:rPr>
          <w:lang w:val="es-ES_tradnl"/>
        </w:rPr>
        <w:t xml:space="preserve"> y considera que</w:t>
      </w:r>
      <w:r w:rsidR="001E5EE9" w:rsidRPr="00426AC7">
        <w:rPr>
          <w:lang w:val="es-ES_tradnl"/>
        </w:rPr>
        <w:t xml:space="preserve"> </w:t>
      </w:r>
      <w:r w:rsidR="00231663" w:rsidRPr="00426AC7">
        <w:rPr>
          <w:lang w:val="es-ES_tradnl"/>
        </w:rPr>
        <w:t>e</w:t>
      </w:r>
      <w:r w:rsidR="001E5EE9" w:rsidRPr="00426AC7">
        <w:rPr>
          <w:lang w:val="es-ES_tradnl"/>
        </w:rPr>
        <w:t>l establecimiento de dicho Fondo</w:t>
      </w:r>
      <w:r w:rsidRPr="00426AC7">
        <w:rPr>
          <w:lang w:val="es-ES_tradnl"/>
        </w:rPr>
        <w:t>, con un presupuesto asignado de más de 3 millones de francos suizos, supone una ampliación inadecuada de los proyectos de asistencia técnica de la Organización relacionados con el desarrollo, al margen de la supervisión de los Estados miembros. La OMPI ya dispone de un mecanismo para examinar y aprobar proyectos de asistencia técnica: el Comité de Desarrollo y Propiedad Intelectual (CDIP), al que ya se han asignado</w:t>
      </w:r>
      <w:r w:rsidR="00AB24AE" w:rsidRPr="00426AC7">
        <w:rPr>
          <w:lang w:val="es-ES_tradnl"/>
        </w:rPr>
        <w:t> </w:t>
      </w:r>
      <w:r w:rsidRPr="00426AC7">
        <w:rPr>
          <w:lang w:val="es-ES_tradnl"/>
        </w:rPr>
        <w:t xml:space="preserve">4,5 millones de francos suizos en el marco de la propuesta de programa de trabajo y presupuesto. </w:t>
      </w:r>
      <w:r w:rsidR="00231663" w:rsidRPr="00426AC7">
        <w:rPr>
          <w:lang w:val="es-ES_tradnl"/>
        </w:rPr>
        <w:t>Opina que n</w:t>
      </w:r>
      <w:r w:rsidRPr="00426AC7">
        <w:rPr>
          <w:lang w:val="es-ES_tradnl"/>
        </w:rPr>
        <w:t>o se justifica la creación de otro fondo con una finalidad similar pero sin la supervisión de los Estados miembros. En la trigésima novena sesión del PBC se celebraron debates positivos sobre la reorientación del uso de esos fondos en beneficio de todos los Estados miembros, garantizando la supervisión y evitando la duplicación de tareas.</w:t>
      </w:r>
      <w:bookmarkEnd w:id="38"/>
      <w:r w:rsidR="006140A3" w:rsidRPr="00426AC7">
        <w:rPr>
          <w:lang w:val="es-ES_tradnl"/>
        </w:rPr>
        <w:t xml:space="preserve"> La delegación concluyó afirmando que espera con interés colaborar constructivamente en este asunto.</w:t>
      </w:r>
    </w:p>
    <w:p w14:paraId="2F1F3A54" w14:textId="1A84E354" w:rsidR="001677C1" w:rsidRPr="00426AC7" w:rsidRDefault="001677C1" w:rsidP="000361BF">
      <w:pPr>
        <w:pStyle w:val="ONUMFS"/>
        <w:rPr>
          <w:szCs w:val="22"/>
          <w:lang w:val="es-ES_tradnl"/>
        </w:rPr>
      </w:pPr>
      <w:bookmarkStart w:id="39" w:name="_Hlk203145418"/>
      <w:r w:rsidRPr="00426AC7">
        <w:rPr>
          <w:szCs w:val="22"/>
          <w:lang w:val="es-ES_tradnl"/>
        </w:rPr>
        <w:t xml:space="preserve">La delegación de Túnez hizo suya la declaración realizada por la delegación de Namibia en nombre del Grupo Africano y elogió a la OMPI por sus resultados financieros. </w:t>
      </w:r>
      <w:r w:rsidR="006140A3" w:rsidRPr="00426AC7">
        <w:rPr>
          <w:szCs w:val="22"/>
          <w:lang w:val="es-ES_tradnl"/>
        </w:rPr>
        <w:t>La delegación</w:t>
      </w:r>
      <w:r w:rsidRPr="00426AC7">
        <w:rPr>
          <w:szCs w:val="22"/>
          <w:lang w:val="es-ES_tradnl"/>
        </w:rPr>
        <w:t xml:space="preserve"> es partidari</w:t>
      </w:r>
      <w:r w:rsidR="006140A3" w:rsidRPr="00426AC7">
        <w:rPr>
          <w:szCs w:val="22"/>
          <w:lang w:val="es-ES_tradnl"/>
        </w:rPr>
        <w:t>a</w:t>
      </w:r>
      <w:r w:rsidRPr="00426AC7">
        <w:rPr>
          <w:szCs w:val="22"/>
          <w:lang w:val="es-ES_tradnl"/>
        </w:rPr>
        <w:t xml:space="preserve"> de mantener la metodología presupuestaria actual, basada en los principios de solidaridad y unidad presupuestaria. La delegación manifestó su apoyo a los esfuerzos realizados por la OMPI para promover la AD, ejecutar proyectos que fomenten la innovación y la crea</w:t>
      </w:r>
      <w:r w:rsidR="006140A3" w:rsidRPr="00426AC7">
        <w:rPr>
          <w:szCs w:val="22"/>
          <w:lang w:val="es-ES_tradnl"/>
        </w:rPr>
        <w:t>tividad</w:t>
      </w:r>
      <w:r w:rsidRPr="00426AC7">
        <w:rPr>
          <w:szCs w:val="22"/>
          <w:lang w:val="es-ES_tradnl"/>
        </w:rPr>
        <w:t xml:space="preserve"> y contribuyan a generar empleo, así como a la creación del Fondo de Aceleración del Desarrollo, que mejorará la labor de la Organización sobre el terreno, ayudará a satisfacer las expectativas de los Estados miembros e impulsará su contribución a la consecución de los</w:t>
      </w:r>
      <w:r w:rsidR="00E153F3" w:rsidRPr="00426AC7">
        <w:rPr>
          <w:szCs w:val="22"/>
          <w:lang w:val="es-ES_tradnl"/>
        </w:rPr>
        <w:t> </w:t>
      </w:r>
      <w:r w:rsidRPr="00426AC7">
        <w:rPr>
          <w:szCs w:val="22"/>
          <w:lang w:val="es-ES_tradnl"/>
        </w:rPr>
        <w:t>ODS. En su calidad de organismo de las Naciones Unidas, la OMPI debe alinear su labor con la AD y tener en cuenta los ODS en sus actividades.</w:t>
      </w:r>
      <w:bookmarkEnd w:id="39"/>
    </w:p>
    <w:p w14:paraId="5C0D7A90" w14:textId="02BD7891" w:rsidR="001677C1" w:rsidRPr="00426AC7" w:rsidRDefault="001677C1" w:rsidP="62D966B3">
      <w:pPr>
        <w:pStyle w:val="ONUMFS"/>
        <w:rPr>
          <w:lang w:val="es-ES_tradnl"/>
        </w:rPr>
      </w:pPr>
      <w:bookmarkStart w:id="40" w:name="_Hlk203147264"/>
      <w:r w:rsidRPr="00426AC7">
        <w:rPr>
          <w:lang w:val="es-ES_tradnl"/>
        </w:rPr>
        <w:t>La delegación de Argelia, haciendo suya la declaración realizada por la delegación de Namibia en nombre del Grupo Africano, instó a todos los Estados miembros a seguir trabajando con el espíritu de cooperación que ha caracterizado las sesiones trigésima octava y trigésima novena del PBC a fin de alcanzar un consenso sobre las cuestiones pendientes. El positivo rendimiento financiero de la Organización durante el bienio en curso</w:t>
      </w:r>
      <w:r w:rsidR="0079012F" w:rsidRPr="00426AC7">
        <w:rPr>
          <w:lang w:val="es-ES_tradnl"/>
        </w:rPr>
        <w:t>, a pesar de las difíciles condiciones económicas,</w:t>
      </w:r>
      <w:r w:rsidRPr="00426AC7">
        <w:rPr>
          <w:lang w:val="es-ES_tradnl"/>
        </w:rPr>
        <w:t xml:space="preserve"> confirma la eficacia de sus métodos de trabajo. </w:t>
      </w:r>
      <w:r w:rsidR="0079012F" w:rsidRPr="00426AC7">
        <w:rPr>
          <w:lang w:val="es-ES_tradnl"/>
        </w:rPr>
        <w:t xml:space="preserve">Dijo que </w:t>
      </w:r>
      <w:r w:rsidRPr="00426AC7">
        <w:rPr>
          <w:lang w:val="es-ES_tradnl"/>
        </w:rPr>
        <w:t xml:space="preserve">apoya todas las iniciativas de desarrollo que figuran en la propuesta de programa de trabajo y presupuesto, incluidas las relativas a la Agenda 2030 y la creación del Fondo de Aceleración del Desarrollo. </w:t>
      </w:r>
      <w:r w:rsidRPr="00426AC7">
        <w:rPr>
          <w:lang w:val="es-ES_tradnl"/>
        </w:rPr>
        <w:lastRenderedPageBreak/>
        <w:t>Esto último, en particular, ayudaría a los países, incluidos los desarrollados, a promover el uso de la PI. La OMPI debe seguir incorporando a su labor las 45 Recomendaciones de la AD. Los esfuerzos de la OMPI en relación con los ODS, que constituyen un marco común en el sistema multilateral, son encomiables y es importante que queden consagrados en la propuesta de programa de trabajo y presupuesto. La OMPI también debe seguir promoviendo un sistema de</w:t>
      </w:r>
      <w:r w:rsidR="00E153F3" w:rsidRPr="00426AC7">
        <w:rPr>
          <w:lang w:val="es-ES_tradnl"/>
        </w:rPr>
        <w:t> </w:t>
      </w:r>
      <w:r w:rsidRPr="00426AC7">
        <w:rPr>
          <w:lang w:val="es-ES_tradnl"/>
        </w:rPr>
        <w:t>PI equilibrado como mecanismo para abordar cuestiones como la salud pública, el cambio climático, la seguridad alimentaria y la inteligencia artificial.</w:t>
      </w:r>
      <w:bookmarkEnd w:id="40"/>
      <w:r w:rsidRPr="00426AC7">
        <w:rPr>
          <w:lang w:val="es-ES_tradnl"/>
        </w:rPr>
        <w:t xml:space="preserve"> </w:t>
      </w:r>
    </w:p>
    <w:p w14:paraId="0C23BC2F" w14:textId="1D4C2BA3" w:rsidR="001677C1" w:rsidRPr="00426AC7" w:rsidRDefault="001677C1" w:rsidP="000361BF">
      <w:pPr>
        <w:pStyle w:val="ONUMFS"/>
        <w:rPr>
          <w:szCs w:val="22"/>
          <w:lang w:val="es-ES_tradnl"/>
        </w:rPr>
      </w:pPr>
      <w:r w:rsidRPr="00426AC7">
        <w:rPr>
          <w:szCs w:val="22"/>
          <w:lang w:val="es-ES_tradnl"/>
        </w:rPr>
        <w:t xml:space="preserve">La delegación de la República de Corea hizo suya la declaración realizada por la delegación del Pakistán en nombre del APG y acogió con satisfacción la propuesta de programa de trabajo y presupuesto para 2026/27. No obstante, la OMPI debe aplicarla de una manera que no solo promueva un fortalecimiento sostenible e integrador de las capacidades y reduzca las brechas en materia de PI, sino que también garantice un ecosistema sólido </w:t>
      </w:r>
      <w:r w:rsidR="0079012F" w:rsidRPr="00426AC7">
        <w:rPr>
          <w:szCs w:val="22"/>
          <w:lang w:val="es-ES_tradnl"/>
        </w:rPr>
        <w:t xml:space="preserve">y equilibrado </w:t>
      </w:r>
      <w:r w:rsidRPr="00426AC7">
        <w:rPr>
          <w:szCs w:val="22"/>
          <w:lang w:val="es-ES_tradnl"/>
        </w:rPr>
        <w:t>de PI para salvaguardar los intereses de todas las partes interesadas, incluidos los principales usuarios de los Sistemas del PCT, Madrid y La Haya.</w:t>
      </w:r>
    </w:p>
    <w:p w14:paraId="51F710B1" w14:textId="5D31F9A8" w:rsidR="001677C1" w:rsidRPr="00426AC7" w:rsidRDefault="001677C1" w:rsidP="62D966B3">
      <w:pPr>
        <w:pStyle w:val="ONUMFS"/>
        <w:rPr>
          <w:lang w:val="es-ES_tradnl"/>
        </w:rPr>
      </w:pPr>
      <w:r w:rsidRPr="00426AC7">
        <w:rPr>
          <w:lang w:val="es-ES_tradnl"/>
        </w:rPr>
        <w:t>La delegación del Estado Plurinacional de Bolivia se adhirió a la declaración formulada por la delegación del Ecuador en nombre del GRULAC y expresó la esperanza de que se apruebe la propuesta de programa de trabajo y presupuesto. Ello reforzaría el sistema mundial de PI</w:t>
      </w:r>
      <w:r w:rsidR="0079012F" w:rsidRPr="00426AC7">
        <w:rPr>
          <w:lang w:val="es-ES_tradnl"/>
        </w:rPr>
        <w:t xml:space="preserve"> que </w:t>
      </w:r>
      <w:r w:rsidRPr="00426AC7">
        <w:rPr>
          <w:lang w:val="es-ES_tradnl"/>
        </w:rPr>
        <w:t>contribu</w:t>
      </w:r>
      <w:r w:rsidR="0079012F" w:rsidRPr="00426AC7">
        <w:rPr>
          <w:lang w:val="es-ES_tradnl"/>
        </w:rPr>
        <w:t>ye</w:t>
      </w:r>
      <w:r w:rsidRPr="00426AC7">
        <w:rPr>
          <w:lang w:val="es-ES_tradnl"/>
        </w:rPr>
        <w:t xml:space="preserve"> a un crecimiento socioeconómico sostenible</w:t>
      </w:r>
      <w:r w:rsidR="0079012F" w:rsidRPr="00426AC7">
        <w:rPr>
          <w:lang w:val="es-ES_tradnl"/>
        </w:rPr>
        <w:t xml:space="preserve"> y </w:t>
      </w:r>
      <w:r w:rsidRPr="00426AC7">
        <w:rPr>
          <w:lang w:val="es-ES_tradnl"/>
        </w:rPr>
        <w:t>prom</w:t>
      </w:r>
      <w:r w:rsidR="0079012F" w:rsidRPr="00426AC7">
        <w:rPr>
          <w:lang w:val="es-ES_tradnl"/>
        </w:rPr>
        <w:t>ueve</w:t>
      </w:r>
      <w:r w:rsidRPr="00426AC7">
        <w:rPr>
          <w:lang w:val="es-ES_tradnl"/>
        </w:rPr>
        <w:t xml:space="preserve"> formas de organización basadas en la comunidad y en la cooperación social, así como las </w:t>
      </w:r>
      <w:r w:rsidR="00231663" w:rsidRPr="00426AC7">
        <w:rPr>
          <w:lang w:val="es-ES_tradnl"/>
        </w:rPr>
        <w:t>micro, pequeñas y medianas empresas (mipymes)</w:t>
      </w:r>
      <w:r w:rsidRPr="00426AC7">
        <w:rPr>
          <w:lang w:val="es-ES_tradnl"/>
        </w:rPr>
        <w:t>, pensando especialmente en las mujeres y los jóvenes</w:t>
      </w:r>
      <w:r w:rsidR="0079012F" w:rsidRPr="00426AC7">
        <w:rPr>
          <w:lang w:val="es-ES_tradnl"/>
        </w:rPr>
        <w:t xml:space="preserve"> como se refleja en la AD</w:t>
      </w:r>
      <w:r w:rsidRPr="00426AC7">
        <w:rPr>
          <w:lang w:val="es-ES_tradnl"/>
        </w:rPr>
        <w:t xml:space="preserve">. </w:t>
      </w:r>
      <w:r w:rsidR="0079012F" w:rsidRPr="00426AC7">
        <w:rPr>
          <w:lang w:val="es-ES_tradnl"/>
        </w:rPr>
        <w:t xml:space="preserve">La delegación acogió con satisfacción el enfoque armonizado y orientador del sistema multilateral que tiene en cuenta la Agenda 2030 y los ODS. </w:t>
      </w:r>
      <w:r w:rsidRPr="00426AC7">
        <w:rPr>
          <w:lang w:val="es-ES_tradnl"/>
        </w:rPr>
        <w:t>La asignación de recursos con cargo al presupuesto de la OMPI debe ser justa y unificada. De este modo se podrá garantizar la continuidad de sus prioridades, entre las que se encuentra la provisión de recursos financieros y humanos suficientes para permitir que los Pueblos Indígenas, cuyos conocimientos y experiencia pueden realizar una contribución sustancial a la labor de la OMPI, participen en sus deliberaciones de manera efectiva.</w:t>
      </w:r>
    </w:p>
    <w:p w14:paraId="0E484A4B" w14:textId="5708E2EA" w:rsidR="001677C1" w:rsidRPr="00426AC7" w:rsidRDefault="007B3227" w:rsidP="000361BF">
      <w:pPr>
        <w:pStyle w:val="ONUMFS"/>
        <w:rPr>
          <w:szCs w:val="22"/>
          <w:lang w:val="es-ES_tradnl"/>
        </w:rPr>
      </w:pPr>
      <w:bookmarkStart w:id="41" w:name="_Hlk203148980"/>
      <w:r w:rsidRPr="00426AC7">
        <w:rPr>
          <w:szCs w:val="22"/>
          <w:lang w:val="es-ES_tradnl"/>
        </w:rPr>
        <w:t>La delegación de Egipto hizo suya la declaración realizada por la delegación de Namibia en nombre del Grupo Africano y agradeció a la Secretaría la presentación del documento</w:t>
      </w:r>
      <w:r w:rsidR="00E153F3" w:rsidRPr="00426AC7">
        <w:rPr>
          <w:szCs w:val="22"/>
          <w:lang w:val="es-ES_tradnl"/>
        </w:rPr>
        <w:t> </w:t>
      </w:r>
      <w:r w:rsidRPr="00426AC7">
        <w:rPr>
          <w:szCs w:val="22"/>
          <w:lang w:val="es-ES_tradnl"/>
        </w:rPr>
        <w:t>A/66/7 y su diligente labor durante las trigésima octava y trigésima novena sesiones del PBC.</w:t>
      </w:r>
      <w:r w:rsidR="00E153F3" w:rsidRPr="00426AC7">
        <w:rPr>
          <w:szCs w:val="22"/>
          <w:lang w:val="es-ES_tradnl"/>
        </w:rPr>
        <w:t xml:space="preserve"> </w:t>
      </w:r>
      <w:r w:rsidRPr="00426AC7">
        <w:rPr>
          <w:szCs w:val="22"/>
          <w:lang w:val="es-ES_tradnl"/>
        </w:rPr>
        <w:t xml:space="preserve">Expresó su satisfacción por el desempeño de la Organización en 2024 y reconoció los progresos realizados en la consecución de los resultados previstos, ya que, según los informes, </w:t>
      </w:r>
      <w:r w:rsidR="00C43703" w:rsidRPr="00426AC7">
        <w:rPr>
          <w:szCs w:val="22"/>
          <w:lang w:val="es-ES_tradnl"/>
        </w:rPr>
        <w:t xml:space="preserve">se está camino de </w:t>
      </w:r>
      <w:r w:rsidR="008335E8" w:rsidRPr="00426AC7">
        <w:rPr>
          <w:szCs w:val="22"/>
          <w:lang w:val="es-ES_tradnl"/>
        </w:rPr>
        <w:t>cumplir con</w:t>
      </w:r>
      <w:r w:rsidR="00C43703" w:rsidRPr="00426AC7">
        <w:rPr>
          <w:szCs w:val="22"/>
          <w:lang w:val="es-ES_tradnl"/>
        </w:rPr>
        <w:t xml:space="preserve"> </w:t>
      </w:r>
      <w:r w:rsidRPr="00426AC7">
        <w:rPr>
          <w:szCs w:val="22"/>
          <w:lang w:val="es-ES_tradnl"/>
        </w:rPr>
        <w:t xml:space="preserve">el 79 % de los indicadores de rendimiento. </w:t>
      </w:r>
      <w:r w:rsidR="001677C1" w:rsidRPr="00426AC7">
        <w:rPr>
          <w:szCs w:val="22"/>
          <w:lang w:val="es-ES_tradnl"/>
        </w:rPr>
        <w:t>Egipto apoya la propuesta de programa de trabajo y presupuesto, que se ajusta plenamente tanto a los cuatro pilares estratégicos de la OMPI como al PEMP</w:t>
      </w:r>
      <w:r w:rsidRPr="00426AC7">
        <w:rPr>
          <w:szCs w:val="22"/>
          <w:lang w:val="es-ES_tradnl"/>
        </w:rPr>
        <w:t xml:space="preserve"> 2022-2026</w:t>
      </w:r>
      <w:r w:rsidR="001677C1" w:rsidRPr="00426AC7">
        <w:rPr>
          <w:szCs w:val="22"/>
          <w:lang w:val="es-ES_tradnl"/>
        </w:rPr>
        <w:t>, y espera con interés su aprobación. Egipto celebra el compromiso de la Organización con la aplicación de su AD y con el logro de los ODS, así como la creación del Fondo de Aceleración del Desarrollo. La propuesta de programa de trabajo y presupuesto garantiza la prudencia financiera y permite a la OMPI reforzar su papel en la promoción de un sistema internacional de PI equilibrado.</w:t>
      </w:r>
      <w:r w:rsidRPr="00426AC7">
        <w:rPr>
          <w:szCs w:val="22"/>
          <w:lang w:val="es-ES_tradnl"/>
        </w:rPr>
        <w:t xml:space="preserve"> La delegación también considera que la OMPI está bien posicionada para adaptar un programa de trabajo y presupuesto para 2026/27 financieramente sólido, resistente y orientado al desarrollo.</w:t>
      </w:r>
    </w:p>
    <w:p w14:paraId="0656D99E" w14:textId="4C9E5FD2" w:rsidR="001677C1" w:rsidRPr="00426AC7" w:rsidRDefault="001677C1" w:rsidP="000361BF">
      <w:pPr>
        <w:pStyle w:val="ONUMFS"/>
        <w:rPr>
          <w:szCs w:val="22"/>
          <w:lang w:val="es-ES_tradnl"/>
        </w:rPr>
      </w:pPr>
      <w:r w:rsidRPr="00426AC7">
        <w:rPr>
          <w:szCs w:val="22"/>
          <w:lang w:val="es-ES_tradnl"/>
        </w:rPr>
        <w:t xml:space="preserve">La delegación de </w:t>
      </w:r>
      <w:bookmarkEnd w:id="41"/>
      <w:r w:rsidRPr="00426AC7">
        <w:rPr>
          <w:szCs w:val="22"/>
          <w:lang w:val="es-ES_tradnl"/>
        </w:rPr>
        <w:t>la Argentina dijo que la Agenda 2030 no es vinculante y tiene un carácter aspiracional, y que los Estados son libres de interpretarla como consideren oportuno. En consecuencia, la Argentina apoya la propuesta de suprimir todas las referencias a ella y a los ODS de la propuesta de programa de trabajo y presupuesto. Cualquier mención que se haga a estos debe reconocer la soberanía de los Estados y su derecho a fijar sus propias políticas. También deben suprimirse las referencias al Fondo de Aceleración del Desarrollo</w:t>
      </w:r>
      <w:r w:rsidR="00134108" w:rsidRPr="00426AC7">
        <w:rPr>
          <w:szCs w:val="22"/>
          <w:lang w:val="es-ES_tradnl"/>
        </w:rPr>
        <w:t xml:space="preserve"> pues ello</w:t>
      </w:r>
      <w:r w:rsidRPr="00426AC7">
        <w:rPr>
          <w:szCs w:val="22"/>
          <w:lang w:val="es-ES_tradnl"/>
        </w:rPr>
        <w:t xml:space="preserve"> no implicaría la desfinanciación de áreas prioritarias, que presumiblemente seguirían recibiendo el apoyo habitual de la Organización.</w:t>
      </w:r>
    </w:p>
    <w:p w14:paraId="09FA96F2" w14:textId="77777777" w:rsidR="0013210C" w:rsidRPr="00426AC7" w:rsidRDefault="0013210C" w:rsidP="62D966B3">
      <w:pPr>
        <w:pStyle w:val="ONUMFS"/>
        <w:rPr>
          <w:lang w:val="es-ES_tradnl"/>
        </w:rPr>
      </w:pPr>
      <w:bookmarkStart w:id="42" w:name="_Hlk203235833"/>
      <w:r w:rsidRPr="00426AC7">
        <w:rPr>
          <w:lang w:val="es-ES_tradnl"/>
        </w:rPr>
        <w:lastRenderedPageBreak/>
        <w:t>La delegación de la Federación de Rusia dijo que acoge con satisfacción que el principio del multilingüismo se refleje en las áreas prioritarias de actividad del Sector de Marcas y Diseños en la propuesta de programa de trabajo y presupuesto para 2026/27.  Expresó su esperanza de que el principio del multilingüismo también se consagre en el próximo PEMP de la Organización.  Tomó nota de la participación activa y el enfoque multilateral de los Estados miembros en el proceso de preparación y ejecución del programa de trabajo y presupuesto de la OMPI.  Valoró positivamente la inclusión de la tarea relativa al fortalecimiento de la función de evaluación en la propuesta de programa de trabajo y presupuesto y reconoció la importancia de las referencias a los ODS.  Expresó satisfacción por la situación financiera estable de la Organización y los elevados indicadores de rendimiento, especialmente en relación con los sistemas de registro internacional administrados por la OMPI. Al mismo tiempo, hizo hincapié en que las perspectivas a largo plazo y los intereses estratégicos de todas las partes deben tenerse en cuenta en la planificación, la ejecución y la toma de decisiones del PBC, y que la labor del Comité debe basarse en los principios de transparencia, inclusividad y multilateralismo.  La delegación expresó su esperanza de que la Secretaría siga manteniendo un enfoque abierto a la hora de informar sobre la situación de las actividades financieras y administrativas de la OMPI y señaló que serían necesarias las propuestas de mejora expresadas en las sesiones del PBC.</w:t>
      </w:r>
    </w:p>
    <w:p w14:paraId="5467B3DE" w14:textId="199BD301" w:rsidR="001677C1" w:rsidRPr="00426AC7" w:rsidRDefault="001677C1" w:rsidP="000361BF">
      <w:pPr>
        <w:pStyle w:val="ONUMFS"/>
        <w:rPr>
          <w:szCs w:val="22"/>
          <w:lang w:val="es-ES_tradnl"/>
        </w:rPr>
      </w:pPr>
      <w:r w:rsidRPr="00426AC7">
        <w:rPr>
          <w:szCs w:val="22"/>
          <w:lang w:val="es-ES_tradnl"/>
        </w:rPr>
        <w:t>La delegación de Cuba hizo suya la declaración realizada por la delegación del Ecuador en nombre del GRULAC y señaló que debería mantenerse la mención de los ODS y el presupuesto previsto para el Fondo de Aceleración del Desarrollo en la propuesta de programa de trabajo y presupuesto. Cuba es partidaria de la sinergia presupuestaria entre las Uniones de los tratados administrados por la OMPI.</w:t>
      </w:r>
    </w:p>
    <w:p w14:paraId="35FAF1AB" w14:textId="77777777" w:rsidR="001677C1" w:rsidRPr="00426AC7" w:rsidRDefault="001677C1" w:rsidP="62D966B3">
      <w:pPr>
        <w:pStyle w:val="ONUMFS"/>
        <w:rPr>
          <w:lang w:val="es-ES_tradnl"/>
        </w:rPr>
      </w:pPr>
      <w:bookmarkStart w:id="43" w:name="_Hlk203237647"/>
      <w:r w:rsidRPr="00426AC7">
        <w:rPr>
          <w:lang w:val="es-ES_tradnl"/>
        </w:rPr>
        <w:t>La delegación de España, haciendo suya la declaración realizada por la delegación del Japón en nombre del Grupo B, acogió con satisfacción los esfuerzos realizados por la Secretaría para diseñar un programa de trabajo en consonancia con las prioridades estratégicas consagradas en el PEMP y los ODS. Estos últimos sirven de guía para el trabajo de todo el sistema de la ONU y de recordatorio de que la PI no es un objetivo en sí misma, sino un medio para alcanzar objetivos más elevados de progreso social y económico. La aprobación del presupuesto por consenso es clave para la estabilidad institucional de la OMPI, y el mantenimiento de su estabilidad financiera le permitirá seguir liderando el desarrollo del sistema mundial de PI.</w:t>
      </w:r>
      <w:bookmarkEnd w:id="42"/>
      <w:bookmarkEnd w:id="43"/>
    </w:p>
    <w:p w14:paraId="2138B282" w14:textId="21C7ACC1" w:rsidR="001677C1" w:rsidRPr="00426AC7" w:rsidRDefault="001677C1" w:rsidP="62D966B3">
      <w:pPr>
        <w:pStyle w:val="ONUMFS"/>
        <w:rPr>
          <w:lang w:val="es-ES_tradnl"/>
        </w:rPr>
      </w:pPr>
      <w:bookmarkStart w:id="44" w:name="_Hlk203239162"/>
      <w:r w:rsidRPr="00426AC7">
        <w:rPr>
          <w:lang w:val="es-ES_tradnl"/>
        </w:rPr>
        <w:t xml:space="preserve">La delegación de Francia, sumándose a la declaración formulada por la delegación del Japón en nombre del Grupo B, manifestó su oposición a cualquier reducción del presupuesto propuesto para el Sistema de Lisboa. Nueve nuevos miembros, cuatro de ellos países en desarrollo y PMA, se han adherido al Acta de Ginebra del Arreglo de Lisboa relativo a las Denominaciones de Origen y las Indicaciones Geográficas en los dos años anteriores. Por lo tanto, se necesitan recursos adicionales para el fortalecimiento de capacidades y la sensibilización sobre el uso eficaz del </w:t>
      </w:r>
      <w:r w:rsidR="007B3227" w:rsidRPr="00426AC7">
        <w:rPr>
          <w:lang w:val="es-ES_tradnl"/>
        </w:rPr>
        <w:t>s</w:t>
      </w:r>
      <w:r w:rsidRPr="00426AC7">
        <w:rPr>
          <w:lang w:val="es-ES_tradnl"/>
        </w:rPr>
        <w:t>istema</w:t>
      </w:r>
      <w:r w:rsidR="00134108" w:rsidRPr="00426AC7">
        <w:rPr>
          <w:lang w:val="es-ES_tradnl"/>
        </w:rPr>
        <w:t>, y e</w:t>
      </w:r>
      <w:r w:rsidRPr="00426AC7">
        <w:rPr>
          <w:lang w:val="es-ES_tradnl"/>
        </w:rPr>
        <w:t>l recorte de esta partida del presupuesto también repercutiría negativamente en el sistema electrónico de Lisboa (</w:t>
      </w:r>
      <w:r w:rsidRPr="00426AC7">
        <w:rPr>
          <w:i/>
          <w:iCs/>
          <w:lang w:val="es-ES_tradnl"/>
        </w:rPr>
        <w:t>eLisbon</w:t>
      </w:r>
      <w:r w:rsidRPr="00426AC7">
        <w:rPr>
          <w:lang w:val="es-ES_tradnl"/>
        </w:rPr>
        <w:t xml:space="preserve">). Es preciso mantener la estimación anual de 80 solicitudes. Según el economista jefe, el anexo V de la propuesta de programa de trabajo y presupuesto no constituye una base fiable para reducir el número previsto de solicitudes para 2026/27. El modelo utilizado para esas estimaciones difiere de los modelos aplicados al Sistema de Madrid y deja abierta la posibilidad de que las solicitudes puedan incluso superar las estimaciones. Tanto la OMPI como sus miembros están interesados en que las previsiones de financiación, personal y expertos sean suficientes, y que se fijen objetivos ambiciosos para todos los sistemas de registro. </w:t>
      </w:r>
      <w:r w:rsidR="00134108" w:rsidRPr="00426AC7">
        <w:rPr>
          <w:lang w:val="es-ES_tradnl"/>
        </w:rPr>
        <w:t>La delegación afirmó que esas</w:t>
      </w:r>
      <w:r w:rsidRPr="00426AC7">
        <w:rPr>
          <w:lang w:val="es-ES_tradnl"/>
        </w:rPr>
        <w:t xml:space="preserve"> ambiciones no deben rebajarse sobre la base de una evaluación preliminar</w:t>
      </w:r>
      <w:r w:rsidR="00134108" w:rsidRPr="00426AC7">
        <w:rPr>
          <w:lang w:val="es-ES_tradnl"/>
        </w:rPr>
        <w:t>, y añadió que</w:t>
      </w:r>
      <w:r w:rsidRPr="00426AC7">
        <w:rPr>
          <w:lang w:val="es-ES_tradnl"/>
        </w:rPr>
        <w:t xml:space="preserve"> Francia confía plenamente en las estimaciones de la Secretaría. </w:t>
      </w:r>
      <w:r w:rsidR="007B3227" w:rsidRPr="00426AC7">
        <w:rPr>
          <w:lang w:val="es-ES_tradnl"/>
        </w:rPr>
        <w:t>Además, e</w:t>
      </w:r>
      <w:r w:rsidRPr="00426AC7">
        <w:rPr>
          <w:lang w:val="es-ES_tradnl"/>
        </w:rPr>
        <w:t xml:space="preserve">n su calidad de organismo especializado de las Naciones Unidas, la OMPI </w:t>
      </w:r>
      <w:r w:rsidR="00134108" w:rsidRPr="00426AC7">
        <w:rPr>
          <w:lang w:val="es-ES_tradnl"/>
        </w:rPr>
        <w:t>debe contribuir</w:t>
      </w:r>
      <w:r w:rsidRPr="00426AC7">
        <w:rPr>
          <w:lang w:val="es-ES_tradnl"/>
        </w:rPr>
        <w:t xml:space="preserve"> a los esfuerzos dirigidos a alcanzar los ODS</w:t>
      </w:r>
      <w:r w:rsidR="00134108" w:rsidRPr="00426AC7">
        <w:rPr>
          <w:lang w:val="es-ES_tradnl"/>
        </w:rPr>
        <w:t>, y la</w:t>
      </w:r>
      <w:r w:rsidRPr="00426AC7">
        <w:rPr>
          <w:lang w:val="es-ES_tradnl"/>
        </w:rPr>
        <w:t xml:space="preserve"> PI debe seguir siendo una herramienta que ayude a construir un entorno sostenible e integrador para todos.</w:t>
      </w:r>
    </w:p>
    <w:p w14:paraId="00518CC0" w14:textId="4A0E64D4" w:rsidR="001677C1" w:rsidRPr="00426AC7" w:rsidRDefault="007B3227" w:rsidP="62D966B3">
      <w:pPr>
        <w:pStyle w:val="ONUMFS"/>
        <w:rPr>
          <w:lang w:val="es-ES_tradnl"/>
        </w:rPr>
      </w:pPr>
      <w:bookmarkStart w:id="45" w:name="_Hlk203249474"/>
      <w:bookmarkEnd w:id="44"/>
      <w:r w:rsidRPr="00426AC7">
        <w:rPr>
          <w:lang w:val="es-ES_tradnl"/>
        </w:rPr>
        <w:lastRenderedPageBreak/>
        <w:t>La delegación de Nepal, haciendo uso de la palabra en nombre del Grupo de los PMA, dijo que valora a la OMPI como organismo especializado de las Naciones Unidas centrado en la PI que desempeña un papel fundamental en el avance significativo de la Agenda 2030 para el Desarrollo Sostenible.</w:t>
      </w:r>
      <w:r w:rsidR="001677C1" w:rsidRPr="00426AC7">
        <w:rPr>
          <w:lang w:val="es-ES_tradnl"/>
        </w:rPr>
        <w:t xml:space="preserve"> </w:t>
      </w:r>
      <w:r w:rsidRPr="00426AC7">
        <w:rPr>
          <w:lang w:val="es-ES_tradnl"/>
        </w:rPr>
        <w:t>D</w:t>
      </w:r>
      <w:r w:rsidR="001677C1" w:rsidRPr="00426AC7">
        <w:rPr>
          <w:lang w:val="es-ES_tradnl"/>
        </w:rPr>
        <w:t xml:space="preserve">ijo que la labor de la OMPI se corresponde directamente con numerosas metas de los ODS, en particular las relativas a la innovación y la capacidad tecnológica, la salud basada en el acceso a los medicamentos, </w:t>
      </w:r>
      <w:r w:rsidRPr="00426AC7">
        <w:rPr>
          <w:lang w:val="es-ES_tradnl"/>
        </w:rPr>
        <w:t>la educación</w:t>
      </w:r>
      <w:r w:rsidR="001677C1" w:rsidRPr="00426AC7">
        <w:rPr>
          <w:lang w:val="es-ES_tradnl"/>
        </w:rPr>
        <w:t xml:space="preserve"> de calidad a través de la transferencia de conocimientos y la colaboración para el desarrollo. La OMPI debe seguir reforzando su contribución a la consecución de los ODS sin perder de vista su mandato fundamental en materia de PI. La delegación se congratuló por la especial atención que dedica la Organización a los PMA y por el apoyo constante que presta a la región africana. </w:t>
      </w:r>
      <w:r w:rsidR="00134108" w:rsidRPr="00426AC7">
        <w:rPr>
          <w:lang w:val="es-ES_tradnl"/>
        </w:rPr>
        <w:t>Añadió que e</w:t>
      </w:r>
      <w:r w:rsidR="001677C1" w:rsidRPr="00426AC7">
        <w:rPr>
          <w:lang w:val="es-ES_tradnl"/>
        </w:rPr>
        <w:t>l marco presupuestario propuesto es vital para garantizar que se asignen recursos suficientes a la asistencia técnica y al fortalecimiento de las capacidades de los PMA</w:t>
      </w:r>
      <w:bookmarkEnd w:id="45"/>
      <w:r w:rsidR="00134108" w:rsidRPr="00426AC7">
        <w:rPr>
          <w:lang w:val="es-ES_tradnl"/>
        </w:rPr>
        <w:t>, y subrayó que e</w:t>
      </w:r>
      <w:r w:rsidRPr="00426AC7">
        <w:rPr>
          <w:lang w:val="es-ES_tradnl"/>
        </w:rPr>
        <w:t>l éxito de los esfuerzos multilaterales está intrínsecamente ligado al avance significativo y sostenible de los PMA.</w:t>
      </w:r>
    </w:p>
    <w:p w14:paraId="08C1AC48" w14:textId="41AE2A3C" w:rsidR="001677C1" w:rsidRPr="00426AC7" w:rsidRDefault="001677C1" w:rsidP="62D966B3">
      <w:pPr>
        <w:pStyle w:val="ONUMFS"/>
        <w:rPr>
          <w:lang w:val="es-ES_tradnl"/>
        </w:rPr>
      </w:pPr>
      <w:bookmarkStart w:id="46" w:name="_Hlk203249549"/>
      <w:r w:rsidRPr="00426AC7">
        <w:rPr>
          <w:lang w:val="es-ES_tradnl"/>
        </w:rPr>
        <w:t xml:space="preserve">La delegación de Colombia, haciendo suya la declaración formulada por la delegación del Ecuador en nombre del GRULAC, observó con satisfacción que el PBC ha retomado la cuestión del proyecto de mandato de la evaluación de 2021 de las Oficinas de la OMPI en el exterior, en particular teniendo en cuenta que Colombia fue designada en 2019 para formar parte de la mencionada red. Con respecto a la Agenda 2030, en la </w:t>
      </w:r>
      <w:r w:rsidR="00602C53" w:rsidRPr="00426AC7">
        <w:rPr>
          <w:lang w:val="es-ES_tradnl"/>
        </w:rPr>
        <w:t>R</w:t>
      </w:r>
      <w:r w:rsidRPr="00426AC7">
        <w:rPr>
          <w:lang w:val="es-ES_tradnl"/>
        </w:rPr>
        <w:t>esolución 70/1 de la Asamblea General de las Naciones Unidas se establecen una serie de mandatos para los organismos de las Naciones Unidas</w:t>
      </w:r>
      <w:r w:rsidR="009A2A99" w:rsidRPr="00426AC7">
        <w:rPr>
          <w:lang w:val="es-ES_tradnl"/>
        </w:rPr>
        <w:t>, y en</w:t>
      </w:r>
      <w:r w:rsidRPr="00426AC7">
        <w:rPr>
          <w:lang w:val="es-ES_tradnl"/>
        </w:rPr>
        <w:t xml:space="preserve"> el Acuerdo entre las Naciones Unidas y la </w:t>
      </w:r>
      <w:r w:rsidR="00602C53" w:rsidRPr="00426AC7">
        <w:rPr>
          <w:lang w:val="es-ES_tradnl"/>
        </w:rPr>
        <w:t xml:space="preserve">OMPI </w:t>
      </w:r>
      <w:r w:rsidRPr="00426AC7">
        <w:rPr>
          <w:lang w:val="es-ES_tradnl"/>
        </w:rPr>
        <w:t>también se consagra un mandato más amplio para la OMPI. La Agenda 2030 y los ODS constituyen, por lo tanto, un referente fundamental y transversal para la PI y un conjunto de objetivos comunes que deben seguir guiando los programas y el trabajo de la Organización.</w:t>
      </w:r>
      <w:bookmarkEnd w:id="46"/>
    </w:p>
    <w:p w14:paraId="21E26F86" w14:textId="44DEB8BC" w:rsidR="001677C1" w:rsidRPr="00426AC7" w:rsidRDefault="001677C1" w:rsidP="000361BF">
      <w:pPr>
        <w:pStyle w:val="ONUMFS"/>
        <w:rPr>
          <w:szCs w:val="22"/>
          <w:lang w:val="es-ES_tradnl"/>
        </w:rPr>
      </w:pPr>
      <w:bookmarkStart w:id="47" w:name="_Hlk203250210"/>
      <w:r w:rsidRPr="00426AC7">
        <w:rPr>
          <w:szCs w:val="22"/>
          <w:lang w:val="es-ES_tradnl"/>
        </w:rPr>
        <w:t>La delegación de Uganda, sumándose a la declaración realizada por la delegación de Namibia en nombre del Grupo Africano, se manifestó a favor del Fondo de Aceleración del Desarrollo y subrayó su apoyo al presupuesto unificado, que refleja la complementariedad de los servicios y los pilares de la OMPI en aras de la consecución de resultados. La creación del Fondo de Aceleración del Desarrollo reafirma el papel de la OMPI a la hora de hacer frente a los retos mundiales, como el cambio climático y las pandemias.</w:t>
      </w:r>
      <w:bookmarkEnd w:id="47"/>
      <w:r w:rsidR="00602C53" w:rsidRPr="00426AC7">
        <w:rPr>
          <w:szCs w:val="22"/>
          <w:lang w:val="es-ES_tradnl"/>
        </w:rPr>
        <w:t xml:space="preserve"> La delegación dijo que la PI debe formar parte de la respuesta global, y el Fondo afirma ese papel.</w:t>
      </w:r>
    </w:p>
    <w:p w14:paraId="6BC95ACE" w14:textId="41F43B0C" w:rsidR="001677C1" w:rsidRPr="00426AC7" w:rsidRDefault="001677C1" w:rsidP="62D966B3">
      <w:pPr>
        <w:pStyle w:val="ONUMFS"/>
        <w:rPr>
          <w:lang w:val="es-ES_tradnl"/>
        </w:rPr>
      </w:pPr>
      <w:bookmarkStart w:id="48" w:name="_Hlk203301312"/>
      <w:r w:rsidRPr="00426AC7">
        <w:rPr>
          <w:lang w:val="es-ES_tradnl"/>
        </w:rPr>
        <w:t>La delegación de Italia reiteró su apoyo a la propuesta de programa de trabajo y presupuesto en su versión actual. Desde un planteamiento prudente, la propuesta prevé la asignación de recursos humanos y financieros suficientes para ejecutar plenamente todas las iniciativas y actividades previstas por la Organización. En virtud del Reglamento Financiero y Reglamentación Financiera de la OMPI, cabe la posibilidad de transferir recursos entre partidas de gastos a lo largo del bienio, en cuyo caso es preciso informar a los Estados miembros. La dotación presupuestaria del Sistema de Lisboa es adecuada y se ha determinado con vistas a contener los costes, en su mayoría relacionados con el personal, y suprimir los gastos superfluos. Los activos fijos, como el Registro de Lisboa, precisan un mantenimiento adecuado: la actualización de los contenidos y de la infraestructura informática permite a la OMPI responder con prontitud a las necesidades de información y de toma de decisiones, prestar servicios más eficaces a los usuarios y garantizar la transparencia y la buena gestión. La OMPI necesita un marco financiero equilibrado y sostenible para fomentar el desarrollo de una cultura de la PI y de toda la gama de activos de PI, en consonancia con sus objetivos y en beneficio de la sociedad.</w:t>
      </w:r>
    </w:p>
    <w:p w14:paraId="67D0AA59" w14:textId="625A4483" w:rsidR="001677C1" w:rsidRPr="00426AC7" w:rsidRDefault="001677C1" w:rsidP="62D966B3">
      <w:pPr>
        <w:pStyle w:val="ONUMFS"/>
        <w:rPr>
          <w:lang w:val="es-ES_tradnl"/>
        </w:rPr>
      </w:pPr>
      <w:bookmarkStart w:id="49" w:name="_Hlk203301450"/>
      <w:bookmarkEnd w:id="48"/>
      <w:r w:rsidRPr="00426AC7">
        <w:rPr>
          <w:lang w:val="es-ES_tradnl"/>
        </w:rPr>
        <w:t>La delegación de la República Islámica del Irán, haciendo suya la declaración realizada por la delegación del Pakistán en nombre del APG</w:t>
      </w:r>
      <w:r w:rsidR="00F63704" w:rsidRPr="00426AC7">
        <w:rPr>
          <w:lang w:val="es-ES_tradnl"/>
        </w:rPr>
        <w:t>. La delegación expresó su agradecimiento a los presidentes de las sesiones trigésima octava y trigésima novena del PBC y a la Secretaría por la preparación de las sesiones del PBC y del informe.</w:t>
      </w:r>
      <w:r w:rsidRPr="00426AC7">
        <w:rPr>
          <w:lang w:val="es-ES_tradnl"/>
        </w:rPr>
        <w:t xml:space="preserve"> </w:t>
      </w:r>
      <w:r w:rsidR="00F63704" w:rsidRPr="00426AC7">
        <w:rPr>
          <w:lang w:val="es-ES_tradnl"/>
        </w:rPr>
        <w:t>S</w:t>
      </w:r>
      <w:r w:rsidRPr="00426AC7">
        <w:rPr>
          <w:lang w:val="es-ES_tradnl"/>
        </w:rPr>
        <w:t xml:space="preserve">eñaló que la labor del PBC proporciona un marco para la aplicación eficaz y equilibrada de los objetivos de la </w:t>
      </w:r>
      <w:r w:rsidRPr="00426AC7">
        <w:rPr>
          <w:lang w:val="es-ES_tradnl"/>
        </w:rPr>
        <w:lastRenderedPageBreak/>
        <w:t>Organización</w:t>
      </w:r>
      <w:r w:rsidR="00F63704" w:rsidRPr="00426AC7">
        <w:rPr>
          <w:lang w:val="es-ES_tradnl"/>
        </w:rPr>
        <w:t>, que es vital en un momento en que la comunidad internacional sigue enfrentándose a incertidumbres y retos mundiales</w:t>
      </w:r>
      <w:r w:rsidRPr="00426AC7">
        <w:rPr>
          <w:lang w:val="es-ES_tradnl"/>
        </w:rPr>
        <w:t xml:space="preserve">. Acogió con satisfacción la prudente gestión financiera de la Secretaría y la atención prestada a los programas orientados al desarrollo y a las iniciativas de asistencia técnica, incluida la creación del Fondo de Aceleración del Desarrollo. Estos esfuerzos son esenciales para los países en desarrollo y los PMA y fundamentales para impulsar la AD. La </w:t>
      </w:r>
      <w:r w:rsidR="00F63704" w:rsidRPr="00426AC7">
        <w:rPr>
          <w:lang w:val="es-ES_tradnl"/>
        </w:rPr>
        <w:t xml:space="preserve">delegación </w:t>
      </w:r>
      <w:r w:rsidRPr="00426AC7">
        <w:rPr>
          <w:lang w:val="es-ES_tradnl"/>
        </w:rPr>
        <w:t>apoya la asignación de recursos orientada a fomentar la sinergia entre las Uniones y, en particular, el presupuesto propuesto para el Sistema de Lisboa.</w:t>
      </w:r>
      <w:bookmarkEnd w:id="49"/>
    </w:p>
    <w:p w14:paraId="410AC5BF" w14:textId="2FE3CE17" w:rsidR="001677C1" w:rsidRPr="00426AC7" w:rsidRDefault="00F63704" w:rsidP="62D966B3">
      <w:pPr>
        <w:pStyle w:val="ONUMFS"/>
        <w:rPr>
          <w:lang w:val="es-ES_tradnl"/>
        </w:rPr>
      </w:pPr>
      <w:bookmarkStart w:id="50" w:name="_Hlk203302387"/>
      <w:r w:rsidRPr="00426AC7">
        <w:rPr>
          <w:lang w:val="es-ES_tradnl"/>
        </w:rPr>
        <w:t xml:space="preserve">La delegación de Ucrania expresó su agradecimiento </w:t>
      </w:r>
      <w:r w:rsidR="000F0A8F" w:rsidRPr="00426AC7">
        <w:rPr>
          <w:lang w:val="es-ES_tradnl"/>
        </w:rPr>
        <w:t>a los vicepresidentes</w:t>
      </w:r>
      <w:r w:rsidRPr="00426AC7">
        <w:rPr>
          <w:lang w:val="es-ES_tradnl"/>
        </w:rPr>
        <w:t xml:space="preserve">, a la Secretaría de la OMPI y a los Estados miembros por sus constructivas contribuciones a la labor del PBC. La </w:t>
      </w:r>
      <w:r w:rsidR="000F0A8F" w:rsidRPr="00426AC7">
        <w:rPr>
          <w:lang w:val="es-ES_tradnl"/>
        </w:rPr>
        <w:t>d</w:t>
      </w:r>
      <w:r w:rsidRPr="00426AC7">
        <w:rPr>
          <w:lang w:val="es-ES_tradnl"/>
        </w:rPr>
        <w:t>elegación elogió los esfuerzos de la OMPI por mantener la estabilidad financiera y la autonomía institucional</w:t>
      </w:r>
      <w:r w:rsidR="000F0A8F" w:rsidRPr="00426AC7">
        <w:rPr>
          <w:lang w:val="es-ES_tradnl"/>
        </w:rPr>
        <w:t xml:space="preserve"> y dijo que está</w:t>
      </w:r>
      <w:r w:rsidR="001677C1" w:rsidRPr="00426AC7">
        <w:rPr>
          <w:lang w:val="es-ES_tradnl"/>
        </w:rPr>
        <w:t xml:space="preserve"> a favor de un enfoque equilibrado de la planificación presupuestaria de la Organización y de una asignación eficaz de los recursos en consonancia con sus objetivos estratégicos. Los recursos asignados al Sistema de Lisboa deben ser suficientes para apoyar la prestación de servicios de calidad, promover la sensibilización y fomentar las oportunidades económicas, en particular para los productores locales y las pymes. </w:t>
      </w:r>
      <w:r w:rsidRPr="00426AC7">
        <w:rPr>
          <w:lang w:val="es-ES_tradnl"/>
        </w:rPr>
        <w:t xml:space="preserve">Denunció la presencia y el funcionamiento de la Oficina de la OMPI en la Federación de Rusia. </w:t>
      </w:r>
      <w:r w:rsidR="000163A3" w:rsidRPr="00426AC7">
        <w:rPr>
          <w:lang w:val="es-ES_tradnl"/>
        </w:rPr>
        <w:t xml:space="preserve">Como subrayó anteriormente , la guerra de agresión no provocada de Rusia contra Ucrania socava gravemente el Derecho internacional y amenaza la integridad del sistema multilateral de PI. </w:t>
      </w:r>
      <w:r w:rsidR="001677C1" w:rsidRPr="00426AC7">
        <w:rPr>
          <w:lang w:val="es-ES_tradnl"/>
        </w:rPr>
        <w:t xml:space="preserve">La Oficina de la OMPI en la Federación de Rusia, un país que socava sistemáticamente el Estado de Derecho, utiliza la PI con fines armamentísticos y se apropia indebidamente de ella, es incompatible con los principios básicos de la OMPI y debería ser cerrada. El </w:t>
      </w:r>
      <w:r w:rsidR="00196052" w:rsidRPr="00426AC7">
        <w:rPr>
          <w:lang w:val="es-ES_tradnl"/>
        </w:rPr>
        <w:t xml:space="preserve">trágico </w:t>
      </w:r>
      <w:r w:rsidR="001677C1" w:rsidRPr="00426AC7">
        <w:rPr>
          <w:lang w:val="es-ES_tradnl"/>
        </w:rPr>
        <w:t>ataque con misiles lanzado por la Federación de Rusia contra Kiev la noche precedente</w:t>
      </w:r>
      <w:r w:rsidR="00BD290E" w:rsidRPr="00426AC7">
        <w:rPr>
          <w:lang w:val="es-ES_tradnl"/>
        </w:rPr>
        <w:t>, que ha ocasionado la muerte de dos mujeres y heridas a otras trece personas,</w:t>
      </w:r>
      <w:r w:rsidR="001677C1" w:rsidRPr="00426AC7">
        <w:rPr>
          <w:lang w:val="es-ES_tradnl"/>
        </w:rPr>
        <w:t xml:space="preserve"> es un recordatorio más del coste humano y material que conlleva su guerra de agresión contra Ucrania</w:t>
      </w:r>
      <w:r w:rsidR="00BD290E" w:rsidRPr="00426AC7">
        <w:rPr>
          <w:lang w:val="es-ES_tradnl"/>
        </w:rPr>
        <w:t xml:space="preserve"> y subraya la urgente necesidad de rendimiento de cuentas en todos los foros internacionales</w:t>
      </w:r>
      <w:r w:rsidR="001677C1" w:rsidRPr="00426AC7">
        <w:rPr>
          <w:lang w:val="es-ES_tradnl"/>
        </w:rPr>
        <w:t xml:space="preserve">. La Federación de Rusia debe asumir las consecuencias jurídicas de sus actos ilícitos </w:t>
      </w:r>
      <w:r w:rsidR="00FA6D58" w:rsidRPr="00426AC7">
        <w:rPr>
          <w:lang w:val="es-ES_tradnl"/>
        </w:rPr>
        <w:t xml:space="preserve">a escala internacional </w:t>
      </w:r>
      <w:r w:rsidR="001677C1" w:rsidRPr="00426AC7">
        <w:rPr>
          <w:lang w:val="es-ES_tradnl"/>
        </w:rPr>
        <w:t>y de su acoso a la comunidad de PI</w:t>
      </w:r>
      <w:r w:rsidR="00FA6D58" w:rsidRPr="00426AC7">
        <w:rPr>
          <w:lang w:val="es-ES_tradnl"/>
        </w:rPr>
        <w:t xml:space="preserve"> y toda la</w:t>
      </w:r>
      <w:r w:rsidR="001677C1" w:rsidRPr="00426AC7">
        <w:rPr>
          <w:lang w:val="es-ES_tradnl"/>
        </w:rPr>
        <w:t xml:space="preserve"> financiación de proyectos en ese país debe cesar inmediatamente</w:t>
      </w:r>
      <w:r w:rsidR="000F0A8F" w:rsidRPr="00426AC7">
        <w:rPr>
          <w:lang w:val="es-ES_tradnl"/>
        </w:rPr>
        <w:t xml:space="preserve">, </w:t>
      </w:r>
      <w:r w:rsidR="00FA6D58" w:rsidRPr="00426AC7">
        <w:rPr>
          <w:lang w:val="es-ES_tradnl"/>
        </w:rPr>
        <w:t xml:space="preserve">debe cerrarse la Oficina de la OMPI en Moscú </w:t>
      </w:r>
      <w:r w:rsidR="000F0A8F" w:rsidRPr="00426AC7">
        <w:rPr>
          <w:lang w:val="es-ES_tradnl"/>
        </w:rPr>
        <w:t>y reorientar</w:t>
      </w:r>
      <w:r w:rsidR="001677C1" w:rsidRPr="00426AC7">
        <w:rPr>
          <w:lang w:val="es-ES_tradnl"/>
        </w:rPr>
        <w:t xml:space="preserve"> esos fondos hacia asociaciones constructivas y respetuosas con los derechos ayudaría a restablecer la confianza en el Derecho internacional y la justicia en la comunidad de la PI.</w:t>
      </w:r>
    </w:p>
    <w:p w14:paraId="202A8E72" w14:textId="77777777" w:rsidR="001677C1" w:rsidRPr="00426AC7" w:rsidRDefault="001677C1" w:rsidP="000361BF">
      <w:pPr>
        <w:pStyle w:val="ONUMFS"/>
        <w:rPr>
          <w:szCs w:val="22"/>
          <w:lang w:val="es-ES_tradnl"/>
        </w:rPr>
      </w:pPr>
      <w:bookmarkStart w:id="51" w:name="_Hlk203302885"/>
      <w:bookmarkEnd w:id="50"/>
      <w:r w:rsidRPr="00426AC7">
        <w:rPr>
          <w:szCs w:val="22"/>
          <w:lang w:val="es-ES_tradnl"/>
        </w:rPr>
        <w:t>La delegación de Sudáfrica hizo suya la declaración realizada por la delegación de Namibia en nombre del Grupo Africano y subrayó la importancia de alcanzar los ODS y la necesidad de ajustar el programa y las actividades de la Organización en consecuencia. Sudáfrica se compromete a aplicar la AD y está a favor de la creación del Fondo de Aceleración del Desarrollo como pilar del mandato de la Organización.</w:t>
      </w:r>
      <w:bookmarkEnd w:id="51"/>
      <w:r w:rsidRPr="00426AC7">
        <w:rPr>
          <w:szCs w:val="22"/>
          <w:lang w:val="es-ES_tradnl"/>
        </w:rPr>
        <w:t xml:space="preserve"> </w:t>
      </w:r>
    </w:p>
    <w:p w14:paraId="7F323F86" w14:textId="2C011CDE" w:rsidR="001677C1" w:rsidRPr="00426AC7" w:rsidRDefault="001677C1" w:rsidP="62D966B3">
      <w:pPr>
        <w:pStyle w:val="ONUMFS"/>
        <w:rPr>
          <w:lang w:val="es-ES_tradnl"/>
        </w:rPr>
      </w:pPr>
      <w:bookmarkStart w:id="52" w:name="_Hlk203303780"/>
      <w:r w:rsidRPr="00426AC7">
        <w:rPr>
          <w:lang w:val="es-ES_tradnl"/>
        </w:rPr>
        <w:t xml:space="preserve">La delegación de Kenya, haciendo suya la declaración formulada por la delegación de Namibia en nombre del Grupo Africano, </w:t>
      </w:r>
      <w:r w:rsidR="00F63704" w:rsidRPr="00426AC7">
        <w:rPr>
          <w:lang w:val="es-ES_tradnl"/>
        </w:rPr>
        <w:t>reiteró su apoyo a la integración y aplicación de la AD de la OMPI y los ODS en todas las líneas de trabajo de la OMPI. E</w:t>
      </w:r>
      <w:r w:rsidRPr="00426AC7">
        <w:rPr>
          <w:lang w:val="es-ES_tradnl"/>
        </w:rPr>
        <w:t>xpresó su preocupación por la propuesta de suprimir las referencias a la Agenda 2030 y a los ODS de la propuesta de programa de trabajo y presupuesto. Kenya apoya el Fondo de Aceleración del Desarrollo, la aplicación de la AD y la incorporación de las recomendaciones de esta última y de los ODS en todas las líneas de trabajo de la OMPI. La OMPI debe seguir dedicando una atención especial a los países en desarrollo y a los PMA en cuestiones relacionadas con la PI y el desarrollo.</w:t>
      </w:r>
      <w:bookmarkEnd w:id="52"/>
    </w:p>
    <w:p w14:paraId="545B6AB7" w14:textId="6A05B313" w:rsidR="001677C1" w:rsidRPr="00426AC7" w:rsidRDefault="001677C1" w:rsidP="000361BF">
      <w:pPr>
        <w:pStyle w:val="ONUMFS"/>
        <w:rPr>
          <w:szCs w:val="22"/>
          <w:lang w:val="es-ES_tradnl"/>
        </w:rPr>
      </w:pPr>
      <w:r w:rsidRPr="00426AC7">
        <w:rPr>
          <w:szCs w:val="22"/>
          <w:lang w:val="es-ES_tradnl"/>
        </w:rPr>
        <w:t xml:space="preserve">La delegación de la República Popular Democrática de Corea expresó su apoyo a la propuesta de programa de trabajo y presupuesto y </w:t>
      </w:r>
      <w:r w:rsidR="0050757D" w:rsidRPr="00426AC7">
        <w:rPr>
          <w:szCs w:val="22"/>
          <w:lang w:val="es-ES_tradnl"/>
        </w:rPr>
        <w:t>recordó</w:t>
      </w:r>
      <w:r w:rsidRPr="00426AC7">
        <w:rPr>
          <w:szCs w:val="22"/>
          <w:lang w:val="es-ES_tradnl"/>
        </w:rPr>
        <w:t xml:space="preserve"> que </w:t>
      </w:r>
      <w:r w:rsidR="00153DBB" w:rsidRPr="00426AC7">
        <w:rPr>
          <w:szCs w:val="22"/>
          <w:lang w:val="es-ES_tradnl"/>
        </w:rPr>
        <w:t xml:space="preserve">la cuestión </w:t>
      </w:r>
      <w:r w:rsidRPr="00426AC7">
        <w:rPr>
          <w:szCs w:val="22"/>
          <w:lang w:val="es-ES_tradnl"/>
        </w:rPr>
        <w:t>ya ha sido objeto de un debate en profundidad en las últimas sesiones del PBC</w:t>
      </w:r>
      <w:r w:rsidR="0050757D" w:rsidRPr="00426AC7">
        <w:rPr>
          <w:szCs w:val="22"/>
          <w:lang w:val="es-ES_tradnl"/>
        </w:rPr>
        <w:t>, por lo que</w:t>
      </w:r>
      <w:r w:rsidRPr="00426AC7">
        <w:rPr>
          <w:szCs w:val="22"/>
          <w:lang w:val="es-ES_tradnl"/>
        </w:rPr>
        <w:t xml:space="preserve"> </w:t>
      </w:r>
      <w:r w:rsidR="0050757D" w:rsidRPr="00426AC7">
        <w:rPr>
          <w:szCs w:val="22"/>
          <w:lang w:val="es-ES_tradnl"/>
        </w:rPr>
        <w:t>l</w:t>
      </w:r>
      <w:r w:rsidRPr="00426AC7">
        <w:rPr>
          <w:szCs w:val="22"/>
          <w:lang w:val="es-ES_tradnl"/>
        </w:rPr>
        <w:t>os intentos de la delegación de Ucrania de incitar a la confrontación y politizar la OMPI solo sirven para socavar la Organización. La Secretaría debe velar por que los trabajos de las Asambleas estén en consonancia con la misión de la OMPI.</w:t>
      </w:r>
    </w:p>
    <w:p w14:paraId="7B8CDF70" w14:textId="11B536BF" w:rsidR="00F63704" w:rsidRPr="00426AC7" w:rsidRDefault="001677C1" w:rsidP="000361BF">
      <w:pPr>
        <w:pStyle w:val="ONUMFS"/>
        <w:rPr>
          <w:szCs w:val="22"/>
          <w:lang w:val="es-ES_tradnl"/>
        </w:rPr>
      </w:pPr>
      <w:r w:rsidRPr="00426AC7">
        <w:rPr>
          <w:szCs w:val="22"/>
          <w:lang w:val="es-ES_tradnl"/>
        </w:rPr>
        <w:lastRenderedPageBreak/>
        <w:t xml:space="preserve">El presidente suspendió </w:t>
      </w:r>
      <w:r w:rsidR="0050757D" w:rsidRPr="00426AC7">
        <w:rPr>
          <w:szCs w:val="22"/>
          <w:lang w:val="es-ES_tradnl"/>
        </w:rPr>
        <w:t>los</w:t>
      </w:r>
      <w:r w:rsidRPr="00426AC7">
        <w:rPr>
          <w:szCs w:val="22"/>
          <w:lang w:val="es-ES_tradnl"/>
        </w:rPr>
        <w:t xml:space="preserve"> debate</w:t>
      </w:r>
      <w:r w:rsidR="0050757D" w:rsidRPr="00426AC7">
        <w:rPr>
          <w:szCs w:val="22"/>
          <w:lang w:val="es-ES_tradnl"/>
        </w:rPr>
        <w:t>s</w:t>
      </w:r>
      <w:r w:rsidRPr="00426AC7">
        <w:rPr>
          <w:szCs w:val="22"/>
          <w:lang w:val="es-ES_tradnl"/>
        </w:rPr>
        <w:t xml:space="preserve"> de este punto del orden del día</w:t>
      </w:r>
      <w:r w:rsidR="00F63704" w:rsidRPr="00426AC7">
        <w:rPr>
          <w:szCs w:val="22"/>
          <w:lang w:val="es-ES_tradnl"/>
        </w:rPr>
        <w:t>, dada la ausencia de consenso sobre las tres cuestiones pendientes.</w:t>
      </w:r>
    </w:p>
    <w:p w14:paraId="2C6E965F" w14:textId="64417B46" w:rsidR="00F63704" w:rsidRPr="00426AC7" w:rsidRDefault="00F63704" w:rsidP="00F63704">
      <w:pPr>
        <w:pStyle w:val="ONUMFS"/>
        <w:rPr>
          <w:szCs w:val="22"/>
          <w:lang w:val="es-ES_tradnl"/>
        </w:rPr>
      </w:pPr>
      <w:r w:rsidRPr="00426AC7">
        <w:rPr>
          <w:szCs w:val="22"/>
          <w:lang w:val="es-ES_tradnl"/>
        </w:rPr>
        <w:t>Al reabrir el debate sobre el punto, el presidente agradeció a las delegaciones su participación constructiva en los debates de orden sobre el punto pendiente. El presidente invitó a las delegaciones a dedicar tiempo a las consultas, tal y como han solicitado algunos Estados miembros, para ponerse al día sobre la marcha de los debates.</w:t>
      </w:r>
    </w:p>
    <w:p w14:paraId="298B7615" w14:textId="74D5EE0B" w:rsidR="00F63704" w:rsidRPr="00426AC7" w:rsidRDefault="00F63704" w:rsidP="00F63704">
      <w:pPr>
        <w:pStyle w:val="ONUMFS"/>
        <w:rPr>
          <w:szCs w:val="22"/>
          <w:lang w:val="es-ES_tradnl"/>
        </w:rPr>
      </w:pPr>
      <w:r w:rsidRPr="00426AC7">
        <w:rPr>
          <w:szCs w:val="22"/>
          <w:lang w:val="es-ES_tradnl"/>
        </w:rPr>
        <w:t xml:space="preserve">La </w:t>
      </w:r>
      <w:r w:rsidR="00266164" w:rsidRPr="00426AC7">
        <w:rPr>
          <w:szCs w:val="22"/>
          <w:lang w:val="es-ES_tradnl"/>
        </w:rPr>
        <w:t>d</w:t>
      </w:r>
      <w:r w:rsidRPr="00426AC7">
        <w:rPr>
          <w:szCs w:val="22"/>
          <w:lang w:val="es-ES_tradnl"/>
        </w:rPr>
        <w:t xml:space="preserve">elegación de Suiza </w:t>
      </w:r>
      <w:r w:rsidR="00266164" w:rsidRPr="00426AC7">
        <w:rPr>
          <w:szCs w:val="22"/>
          <w:lang w:val="es-ES_tradnl"/>
        </w:rPr>
        <w:t xml:space="preserve">dijo </w:t>
      </w:r>
      <w:r w:rsidRPr="00426AC7">
        <w:rPr>
          <w:szCs w:val="22"/>
          <w:lang w:val="es-ES_tradnl"/>
        </w:rPr>
        <w:t xml:space="preserve">que ha facilitado debates constructivos entre las </w:t>
      </w:r>
      <w:r w:rsidR="00266164" w:rsidRPr="00426AC7">
        <w:rPr>
          <w:szCs w:val="22"/>
          <w:lang w:val="es-ES_tradnl"/>
        </w:rPr>
        <w:t>d</w:t>
      </w:r>
      <w:r w:rsidRPr="00426AC7">
        <w:rPr>
          <w:szCs w:val="22"/>
          <w:lang w:val="es-ES_tradnl"/>
        </w:rPr>
        <w:t xml:space="preserve">elegaciones y </w:t>
      </w:r>
      <w:r w:rsidR="00C60D68" w:rsidRPr="00426AC7">
        <w:rPr>
          <w:szCs w:val="22"/>
          <w:lang w:val="es-ES_tradnl"/>
        </w:rPr>
        <w:t>añadió</w:t>
      </w:r>
      <w:r w:rsidRPr="00426AC7">
        <w:rPr>
          <w:szCs w:val="22"/>
          <w:lang w:val="es-ES_tradnl"/>
        </w:rPr>
        <w:t xml:space="preserve"> que continuaría los debates más tarde ese mismo día.</w:t>
      </w:r>
    </w:p>
    <w:p w14:paraId="7E4F1151" w14:textId="4527203D" w:rsidR="00F63704" w:rsidRPr="00426AC7" w:rsidRDefault="00F63704" w:rsidP="00D73FDB">
      <w:pPr>
        <w:pStyle w:val="ONUMFS"/>
        <w:rPr>
          <w:szCs w:val="22"/>
          <w:lang w:val="es-ES_tradnl"/>
        </w:rPr>
      </w:pPr>
      <w:r w:rsidRPr="00426AC7">
        <w:rPr>
          <w:szCs w:val="22"/>
          <w:lang w:val="es-ES_tradnl"/>
        </w:rPr>
        <w:t xml:space="preserve">El </w:t>
      </w:r>
      <w:r w:rsidR="00224B64" w:rsidRPr="00426AC7">
        <w:rPr>
          <w:szCs w:val="22"/>
          <w:lang w:val="es-ES_tradnl"/>
        </w:rPr>
        <w:t>p</w:t>
      </w:r>
      <w:r w:rsidRPr="00426AC7">
        <w:rPr>
          <w:szCs w:val="22"/>
          <w:lang w:val="es-ES_tradnl"/>
        </w:rPr>
        <w:t xml:space="preserve">residente dio las gracias a la </w:t>
      </w:r>
      <w:r w:rsidR="00266164" w:rsidRPr="00426AC7">
        <w:rPr>
          <w:szCs w:val="22"/>
          <w:lang w:val="es-ES_tradnl"/>
        </w:rPr>
        <w:t>d</w:t>
      </w:r>
      <w:r w:rsidRPr="00426AC7">
        <w:rPr>
          <w:szCs w:val="22"/>
          <w:lang w:val="es-ES_tradnl"/>
        </w:rPr>
        <w:t xml:space="preserve">elegación de Suiza por haber facilitado los debates y suspendió </w:t>
      </w:r>
      <w:r w:rsidR="00C60D68" w:rsidRPr="00426AC7">
        <w:rPr>
          <w:szCs w:val="22"/>
          <w:lang w:val="es-ES_tradnl"/>
        </w:rPr>
        <w:t>los debates sobre</w:t>
      </w:r>
      <w:r w:rsidR="00266164" w:rsidRPr="00426AC7">
        <w:rPr>
          <w:szCs w:val="22"/>
          <w:lang w:val="es-ES_tradnl"/>
        </w:rPr>
        <w:t xml:space="preserve"> el </w:t>
      </w:r>
      <w:r w:rsidRPr="00426AC7">
        <w:rPr>
          <w:szCs w:val="22"/>
          <w:lang w:val="es-ES_tradnl"/>
        </w:rPr>
        <w:t>punto.</w:t>
      </w:r>
    </w:p>
    <w:p w14:paraId="6795D010" w14:textId="6815F2F7" w:rsidR="001677C1" w:rsidRPr="00426AC7" w:rsidRDefault="001677C1" w:rsidP="000361BF">
      <w:pPr>
        <w:pStyle w:val="ONUMFS"/>
        <w:rPr>
          <w:szCs w:val="22"/>
          <w:lang w:val="es-ES_tradnl"/>
        </w:rPr>
      </w:pPr>
      <w:r w:rsidRPr="00426AC7">
        <w:rPr>
          <w:szCs w:val="22"/>
          <w:lang w:val="es-ES_tradnl"/>
        </w:rPr>
        <w:t>Cuando se reanudó el debate del punto, el presidente informó del éxito de las consultas informales facilitadas por la delegación de Suiza</w:t>
      </w:r>
      <w:r w:rsidR="00266164" w:rsidRPr="00426AC7">
        <w:rPr>
          <w:szCs w:val="22"/>
          <w:lang w:val="es-ES_tradnl"/>
        </w:rPr>
        <w:t xml:space="preserve"> </w:t>
      </w:r>
      <w:r w:rsidR="00C60D68" w:rsidRPr="00426AC7">
        <w:rPr>
          <w:szCs w:val="22"/>
          <w:lang w:val="es-ES_tradnl"/>
        </w:rPr>
        <w:t xml:space="preserve">y </w:t>
      </w:r>
      <w:r w:rsidR="00266164" w:rsidRPr="00426AC7">
        <w:rPr>
          <w:szCs w:val="22"/>
          <w:lang w:val="es-ES_tradnl"/>
        </w:rPr>
        <w:t>agradeció a las delegaciones su compromiso, su trabajo constructivo y su espíritu en las Asambleas.</w:t>
      </w:r>
    </w:p>
    <w:p w14:paraId="53FA772A" w14:textId="0E43C447" w:rsidR="001677C1" w:rsidRPr="00426AC7" w:rsidRDefault="001677C1" w:rsidP="000361BF">
      <w:pPr>
        <w:pStyle w:val="ONUMFS"/>
        <w:rPr>
          <w:szCs w:val="22"/>
          <w:lang w:val="es-ES_tradnl"/>
        </w:rPr>
      </w:pPr>
      <w:r w:rsidRPr="00426AC7">
        <w:rPr>
          <w:szCs w:val="22"/>
          <w:lang w:val="es-ES_tradnl"/>
        </w:rPr>
        <w:t xml:space="preserve">La delegación de Suiza </w:t>
      </w:r>
      <w:r w:rsidR="00C60D68" w:rsidRPr="00426AC7">
        <w:rPr>
          <w:szCs w:val="22"/>
          <w:lang w:val="es-ES_tradnl"/>
        </w:rPr>
        <w:t xml:space="preserve">dio las gracias </w:t>
      </w:r>
      <w:r w:rsidR="00266164" w:rsidRPr="00426AC7">
        <w:rPr>
          <w:szCs w:val="22"/>
          <w:lang w:val="es-ES_tradnl"/>
        </w:rPr>
        <w:t>a las delegaciones</w:t>
      </w:r>
      <w:r w:rsidR="00C60D68" w:rsidRPr="00426AC7">
        <w:rPr>
          <w:szCs w:val="22"/>
          <w:lang w:val="es-ES_tradnl"/>
        </w:rPr>
        <w:t>,</w:t>
      </w:r>
      <w:r w:rsidR="00266164" w:rsidRPr="00426AC7">
        <w:rPr>
          <w:szCs w:val="22"/>
          <w:lang w:val="es-ES_tradnl"/>
        </w:rPr>
        <w:t xml:space="preserve"> y </w:t>
      </w:r>
      <w:r w:rsidR="00C60D68" w:rsidRPr="00426AC7">
        <w:rPr>
          <w:szCs w:val="22"/>
          <w:lang w:val="es-ES_tradnl"/>
        </w:rPr>
        <w:t xml:space="preserve">recordando que </w:t>
      </w:r>
      <w:r w:rsidRPr="00426AC7">
        <w:rPr>
          <w:szCs w:val="22"/>
          <w:lang w:val="es-ES_tradnl"/>
        </w:rPr>
        <w:t>las consultas giraron en torno a tres cuestiones relacionadas con el Fondo de Aceleración del Desarrollo en la propuesta de programa de trabajo y presupuesto para 2026/27</w:t>
      </w:r>
      <w:r w:rsidR="00C60D68" w:rsidRPr="00426AC7">
        <w:rPr>
          <w:szCs w:val="22"/>
          <w:lang w:val="es-ES_tradnl"/>
        </w:rPr>
        <w:t>, anunció que</w:t>
      </w:r>
      <w:r w:rsidRPr="00426AC7">
        <w:rPr>
          <w:szCs w:val="22"/>
          <w:lang w:val="es-ES_tradnl"/>
        </w:rPr>
        <w:t xml:space="preserve"> </w:t>
      </w:r>
      <w:r w:rsidR="00C60D68" w:rsidRPr="00426AC7">
        <w:rPr>
          <w:szCs w:val="22"/>
          <w:lang w:val="es-ES_tradnl"/>
        </w:rPr>
        <w:t>l</w:t>
      </w:r>
      <w:r w:rsidRPr="00426AC7">
        <w:rPr>
          <w:szCs w:val="22"/>
          <w:lang w:val="es-ES_tradnl"/>
        </w:rPr>
        <w:t>as tres cuestiones han quedado resueltas. En primer lugar, se ha acordado modificar el nombre del Fondo de Aceleración del Desarrollo por el de Programa de Aceleración de la Innovación, la Creatividad y el Desarrollo. El cambio de nombre no afectará a la esencia ni al contenido del Programa. En segundo lugar, el Programa seguirá dependiendo del Sector de Desarrollo Regional y Nacional. En tercer lugar, se ha ultimado un texto que aborda cuestiones relativas a la transparencia y al establecimiento de un mecanismo de supervisión para el Programa</w:t>
      </w:r>
      <w:r w:rsidR="00C60D68" w:rsidRPr="00426AC7">
        <w:rPr>
          <w:szCs w:val="22"/>
          <w:lang w:val="es-ES_tradnl"/>
        </w:rPr>
        <w:t>, y e</w:t>
      </w:r>
      <w:r w:rsidRPr="00426AC7">
        <w:rPr>
          <w:szCs w:val="22"/>
          <w:lang w:val="es-ES_tradnl"/>
        </w:rPr>
        <w:t>l funcionamiento de ese mecanismo, de acuerdo con la práctica de la OMPI, se aplicará de forma generalizada. Al término de las consultas informales, existe el entendimiento de que, de mantenerse el acuerdo, ninguna delegación bloqueará el consenso sobre la propuesta de programa de trabajo y presupuesto para 2026/27.</w:t>
      </w:r>
    </w:p>
    <w:p w14:paraId="6C5E613B" w14:textId="4535AABD" w:rsidR="001677C1" w:rsidRPr="00426AC7" w:rsidRDefault="001677C1" w:rsidP="62D966B3">
      <w:pPr>
        <w:pStyle w:val="ONUMFS"/>
        <w:rPr>
          <w:lang w:val="es-ES_tradnl"/>
        </w:rPr>
      </w:pPr>
      <w:r w:rsidRPr="00426AC7">
        <w:rPr>
          <w:lang w:val="es-ES_tradnl"/>
        </w:rPr>
        <w:t>La delegación de los Estados Unidos de América anunció que no se opondrá a la adopción por consenso de la propuesta de programa de trabajo y presupuesto para 2026/27</w:t>
      </w:r>
      <w:r w:rsidR="00C60D68" w:rsidRPr="00426AC7">
        <w:rPr>
          <w:lang w:val="es-ES_tradnl"/>
        </w:rPr>
        <w:t xml:space="preserve"> pero</w:t>
      </w:r>
      <w:r w:rsidRPr="00426AC7">
        <w:rPr>
          <w:lang w:val="es-ES_tradnl"/>
        </w:rPr>
        <w:t xml:space="preserve"> </w:t>
      </w:r>
      <w:r w:rsidR="00C60D68" w:rsidRPr="00426AC7">
        <w:rPr>
          <w:lang w:val="es-ES_tradnl"/>
        </w:rPr>
        <w:t>que s</w:t>
      </w:r>
      <w:r w:rsidRPr="00426AC7">
        <w:rPr>
          <w:lang w:val="es-ES_tradnl"/>
        </w:rPr>
        <w:t xml:space="preserve">igue oponiéndose enérgicamente a las referencias que en él se hacen a que la OMPI debe centrar su labor en la aplicación de los ODS en lugar de en su mandato de promover la protección de la PI en todo el mundo. Esas referencias dan una falsa imagen de cuáles son los motores de la labor de la OMPI y no tienen cabida en su programa de trabajo y presupuesto. No obstante, los Estados Unidos </w:t>
      </w:r>
      <w:r w:rsidR="00C60D68" w:rsidRPr="00426AC7">
        <w:rPr>
          <w:lang w:val="es-ES_tradnl"/>
        </w:rPr>
        <w:t xml:space="preserve">de América </w:t>
      </w:r>
      <w:r w:rsidRPr="00426AC7">
        <w:rPr>
          <w:lang w:val="es-ES_tradnl"/>
        </w:rPr>
        <w:t>desean resolver las cuestiones difíciles por consenso, por el bien de la salud de la Organización a largo plazo. Por esta razón se desmarca del consenso sobre la decisión de aprobar el programa de trabajo y presupuesto para</w:t>
      </w:r>
      <w:r w:rsidR="00D73FDB" w:rsidRPr="00426AC7">
        <w:rPr>
          <w:lang w:val="es-ES_tradnl"/>
        </w:rPr>
        <w:t> </w:t>
      </w:r>
      <w:r w:rsidRPr="00426AC7">
        <w:rPr>
          <w:lang w:val="es-ES_tradnl"/>
        </w:rPr>
        <w:t xml:space="preserve">2026/27. </w:t>
      </w:r>
      <w:r w:rsidR="00266164" w:rsidRPr="00426AC7">
        <w:rPr>
          <w:lang w:val="es-ES_tradnl"/>
        </w:rPr>
        <w:t xml:space="preserve">Además, </w:t>
      </w:r>
      <w:r w:rsidRPr="00426AC7">
        <w:rPr>
          <w:lang w:val="es-ES_tradnl"/>
        </w:rPr>
        <w:t>los Estados Unidos</w:t>
      </w:r>
      <w:r w:rsidR="00C60D68" w:rsidRPr="00426AC7">
        <w:rPr>
          <w:lang w:val="es-ES_tradnl"/>
        </w:rPr>
        <w:t xml:space="preserve"> de América</w:t>
      </w:r>
      <w:r w:rsidRPr="00426AC7">
        <w:rPr>
          <w:lang w:val="es-ES_tradnl"/>
        </w:rPr>
        <w:t xml:space="preserve"> reiter</w:t>
      </w:r>
      <w:r w:rsidR="00C60D68" w:rsidRPr="00426AC7">
        <w:rPr>
          <w:lang w:val="es-ES_tradnl"/>
        </w:rPr>
        <w:t>an</w:t>
      </w:r>
      <w:r w:rsidRPr="00426AC7">
        <w:rPr>
          <w:lang w:val="es-ES_tradnl"/>
        </w:rPr>
        <w:t xml:space="preserve"> su firme objeción al aumento del presupuesto y al incremento del déficit para el Sistema de Lisboa previstos en la propuesta de programa de trabajo y presupuesto. </w:t>
      </w:r>
      <w:r w:rsidR="00C60D68" w:rsidRPr="00426AC7">
        <w:rPr>
          <w:lang w:val="es-ES_tradnl"/>
        </w:rPr>
        <w:t>La delegación v</w:t>
      </w:r>
      <w:r w:rsidRPr="00426AC7">
        <w:rPr>
          <w:lang w:val="es-ES_tradnl"/>
        </w:rPr>
        <w:t>olvió a manifestar su preocupación por las proyecciones de la Unión de Lisboa que en él se exponen</w:t>
      </w:r>
      <w:r w:rsidR="00C60D68" w:rsidRPr="00426AC7">
        <w:rPr>
          <w:lang w:val="es-ES_tradnl"/>
        </w:rPr>
        <w:t>, y recomendó que</w:t>
      </w:r>
      <w:r w:rsidRPr="00426AC7">
        <w:rPr>
          <w:lang w:val="es-ES_tradnl"/>
        </w:rPr>
        <w:t xml:space="preserve"> </w:t>
      </w:r>
      <w:r w:rsidR="00C60D68" w:rsidRPr="00426AC7">
        <w:rPr>
          <w:lang w:val="es-ES_tradnl"/>
        </w:rPr>
        <w:t>e</w:t>
      </w:r>
      <w:r w:rsidRPr="00426AC7">
        <w:rPr>
          <w:lang w:val="es-ES_tradnl"/>
        </w:rPr>
        <w:t xml:space="preserve">n futuros programas de trabajo y presupuesto, el economista jefe de la OMPI </w:t>
      </w:r>
      <w:r w:rsidR="00477EE5" w:rsidRPr="00426AC7">
        <w:rPr>
          <w:lang w:val="es-ES_tradnl"/>
        </w:rPr>
        <w:t>disponga</w:t>
      </w:r>
      <w:r w:rsidRPr="00426AC7">
        <w:rPr>
          <w:lang w:val="es-ES_tradnl"/>
        </w:rPr>
        <w:t xml:space="preserve"> de tiempo e información suficientes para preparar proyecciones para todas las Uniones de la OMPI financiadas mediante tasas. Asimismo, los Estados Unidos </w:t>
      </w:r>
      <w:r w:rsidR="00C60D68" w:rsidRPr="00426AC7">
        <w:rPr>
          <w:lang w:val="es-ES_tradnl"/>
        </w:rPr>
        <w:t xml:space="preserve">de América </w:t>
      </w:r>
      <w:r w:rsidRPr="00426AC7">
        <w:rPr>
          <w:lang w:val="es-ES_tradnl"/>
        </w:rPr>
        <w:t xml:space="preserve">mantienen su propuesta de realizar un estudio que ayude a ilustrar las vías para alcanzar la sostenibilidad financiera de todas las Uniones financiadas mediante tasas, en particular las Uniones de Lisboa y La Haya, con el fin de ayudar al PBC a identificar las enseñanzas extraídas de la Uniones que generan más ingresos. </w:t>
      </w:r>
      <w:r w:rsidR="00477EE5" w:rsidRPr="00426AC7">
        <w:rPr>
          <w:lang w:val="es-ES_tradnl"/>
        </w:rPr>
        <w:t>La delegación observó que, d</w:t>
      </w:r>
      <w:r w:rsidRPr="00426AC7">
        <w:rPr>
          <w:lang w:val="es-ES_tradnl"/>
        </w:rPr>
        <w:t>e no realizarse dicho estudio, la Organización estaría ignorando de forma negligente los incumplimientos por parte de sus Uniones de las obligaciones que les incumben en virtud de los tratados de ser autosuficientes desde el punto de vista financiero.</w:t>
      </w:r>
    </w:p>
    <w:p w14:paraId="53453C7F" w14:textId="07FA1DE1" w:rsidR="001677C1" w:rsidRPr="00426AC7" w:rsidRDefault="001677C1" w:rsidP="000361BF">
      <w:pPr>
        <w:pStyle w:val="ONUMFS"/>
        <w:rPr>
          <w:szCs w:val="22"/>
          <w:lang w:val="es-ES_tradnl"/>
        </w:rPr>
      </w:pPr>
      <w:r w:rsidRPr="00426AC7">
        <w:rPr>
          <w:szCs w:val="22"/>
          <w:lang w:val="es-ES_tradnl"/>
        </w:rPr>
        <w:lastRenderedPageBreak/>
        <w:t>La delegación de la Argentina reiteró su posición con respecto a cualquier mención de la Agenda 2030 y los ODS en la propuesta de programa de trabajo y presupuesto</w:t>
      </w:r>
      <w:r w:rsidR="00477EE5" w:rsidRPr="00426AC7">
        <w:rPr>
          <w:szCs w:val="22"/>
          <w:lang w:val="es-ES_tradnl"/>
        </w:rPr>
        <w:t>, pues opina que</w:t>
      </w:r>
      <w:r w:rsidRPr="00426AC7">
        <w:rPr>
          <w:szCs w:val="22"/>
          <w:lang w:val="es-ES_tradnl"/>
        </w:rPr>
        <w:t xml:space="preserve"> </w:t>
      </w:r>
      <w:r w:rsidR="00477EE5" w:rsidRPr="00426AC7">
        <w:rPr>
          <w:szCs w:val="22"/>
          <w:lang w:val="es-ES_tradnl"/>
        </w:rPr>
        <w:t>l</w:t>
      </w:r>
      <w:r w:rsidRPr="00426AC7">
        <w:rPr>
          <w:szCs w:val="22"/>
          <w:lang w:val="es-ES_tradnl"/>
        </w:rPr>
        <w:t>a Agenda</w:t>
      </w:r>
      <w:r w:rsidR="000361BF" w:rsidRPr="00426AC7">
        <w:rPr>
          <w:szCs w:val="22"/>
          <w:lang w:val="es-ES_tradnl"/>
        </w:rPr>
        <w:t> </w:t>
      </w:r>
      <w:r w:rsidRPr="00426AC7">
        <w:rPr>
          <w:szCs w:val="22"/>
          <w:lang w:val="es-ES_tradnl"/>
        </w:rPr>
        <w:t>2030 no es vinculante y tiene carácter aspiracional, por lo que los Estados son libres de interpretarla como consideren oportuno. La delegación manifestó que la Argentina no desea perturbar el consenso alcanzado</w:t>
      </w:r>
      <w:r w:rsidR="00477EE5" w:rsidRPr="00426AC7">
        <w:rPr>
          <w:szCs w:val="22"/>
          <w:lang w:val="es-ES_tradnl"/>
        </w:rPr>
        <w:t xml:space="preserve"> pero que </w:t>
      </w:r>
      <w:r w:rsidRPr="00426AC7">
        <w:rPr>
          <w:szCs w:val="22"/>
          <w:lang w:val="es-ES_tradnl"/>
        </w:rPr>
        <w:t>se desmarc</w:t>
      </w:r>
      <w:r w:rsidR="00477EE5" w:rsidRPr="00426AC7">
        <w:rPr>
          <w:szCs w:val="22"/>
          <w:lang w:val="es-ES_tradnl"/>
        </w:rPr>
        <w:t>a</w:t>
      </w:r>
      <w:r w:rsidRPr="00426AC7">
        <w:rPr>
          <w:szCs w:val="22"/>
          <w:lang w:val="es-ES_tradnl"/>
        </w:rPr>
        <w:t xml:space="preserve"> de cualquier mención que se haga de esos conceptos en el programa de trabajo y presupuesto. </w:t>
      </w:r>
      <w:r w:rsidR="00477EE5" w:rsidRPr="00426AC7">
        <w:rPr>
          <w:szCs w:val="22"/>
          <w:lang w:val="es-ES_tradnl"/>
        </w:rPr>
        <w:t>Además, subrayó que d</w:t>
      </w:r>
      <w:r w:rsidRPr="00426AC7">
        <w:rPr>
          <w:szCs w:val="22"/>
          <w:lang w:val="es-ES_tradnl"/>
        </w:rPr>
        <w:t>ebe respetarse la soberanía de los Estados y su libertad para determinar sus propias políticas.</w:t>
      </w:r>
    </w:p>
    <w:p w14:paraId="72AFEEAE" w14:textId="77777777" w:rsidR="001677C1" w:rsidRPr="00426AC7" w:rsidRDefault="001677C1" w:rsidP="000361BF">
      <w:pPr>
        <w:pStyle w:val="ONUMFS"/>
        <w:rPr>
          <w:szCs w:val="22"/>
          <w:lang w:val="es-ES_tradnl"/>
        </w:rPr>
      </w:pPr>
      <w:r w:rsidRPr="00426AC7">
        <w:rPr>
          <w:szCs w:val="22"/>
          <w:lang w:val="es-ES_tradnl"/>
        </w:rPr>
        <w:t>El presidente anunció la siguiente decisión, que se mostró en la pantalla:</w:t>
      </w:r>
    </w:p>
    <w:p w14:paraId="62648750" w14:textId="52734FA7" w:rsidR="001677C1" w:rsidRPr="00426AC7" w:rsidRDefault="001677C1" w:rsidP="000361BF">
      <w:pPr>
        <w:pStyle w:val="ONUMFS"/>
        <w:ind w:left="567"/>
        <w:rPr>
          <w:szCs w:val="22"/>
          <w:lang w:val="es-ES_tradnl"/>
        </w:rPr>
      </w:pPr>
      <w:r w:rsidRPr="00426AC7">
        <w:rPr>
          <w:szCs w:val="22"/>
          <w:lang w:val="es-ES_tradnl"/>
        </w:rPr>
        <w:t>Con respecto a todos los asuntos examinados en el marco de este punto del orden del día, salvo los relativos a la propuesta de programa de trabajo y presupuesto para el bienio</w:t>
      </w:r>
      <w:r w:rsidR="000361BF" w:rsidRPr="00426AC7">
        <w:rPr>
          <w:szCs w:val="22"/>
          <w:lang w:val="es-ES_tradnl"/>
        </w:rPr>
        <w:t> </w:t>
      </w:r>
      <w:r w:rsidRPr="00426AC7">
        <w:rPr>
          <w:szCs w:val="22"/>
          <w:lang w:val="es-ES_tradnl"/>
        </w:rPr>
        <w:t>26/27, las Asambleas de la OMPI, en lo que a cada una concierne:</w:t>
      </w:r>
    </w:p>
    <w:p w14:paraId="45A7FCE0" w14:textId="77777777" w:rsidR="001677C1" w:rsidRPr="00426AC7" w:rsidRDefault="001677C1" w:rsidP="00D1313F">
      <w:pPr>
        <w:pStyle w:val="ONUMFS"/>
        <w:numPr>
          <w:ilvl w:val="2"/>
          <w:numId w:val="3"/>
        </w:numPr>
        <w:rPr>
          <w:szCs w:val="22"/>
          <w:lang w:val="es-ES_tradnl"/>
        </w:rPr>
      </w:pPr>
      <w:r w:rsidRPr="00426AC7">
        <w:rPr>
          <w:szCs w:val="22"/>
          <w:lang w:val="es-ES_tradnl"/>
        </w:rPr>
        <w:t>tomaron nota de la “Lista de decisiones adoptadas por el Comité del Programa y Presupuesto” (documentos WO/PBC/38/6 y WO/PBC/39/10); y</w:t>
      </w:r>
    </w:p>
    <w:p w14:paraId="589CFE08" w14:textId="77777777" w:rsidR="001677C1" w:rsidRPr="00426AC7" w:rsidRDefault="001677C1" w:rsidP="00D1313F">
      <w:pPr>
        <w:pStyle w:val="ONUMFS"/>
        <w:numPr>
          <w:ilvl w:val="2"/>
          <w:numId w:val="3"/>
        </w:numPr>
        <w:rPr>
          <w:szCs w:val="22"/>
          <w:lang w:val="es-ES_tradnl"/>
        </w:rPr>
      </w:pPr>
      <w:r w:rsidRPr="00426AC7">
        <w:rPr>
          <w:szCs w:val="22"/>
          <w:lang w:val="es-ES_tradnl"/>
        </w:rPr>
        <w:t>aprobaron las recomendaciones del Comité del Programa y Presupuesto contenidas en dichos documentos.</w:t>
      </w:r>
    </w:p>
    <w:p w14:paraId="19CA5EE3" w14:textId="443D9928" w:rsidR="001677C1" w:rsidRPr="00426AC7" w:rsidRDefault="001677C1" w:rsidP="000361BF">
      <w:pPr>
        <w:pStyle w:val="ONUMFS"/>
        <w:numPr>
          <w:ilvl w:val="0"/>
          <w:numId w:val="0"/>
        </w:numPr>
        <w:ind w:left="567"/>
        <w:rPr>
          <w:szCs w:val="22"/>
          <w:lang w:val="es-ES_tradnl"/>
        </w:rPr>
      </w:pPr>
      <w:r w:rsidRPr="00426AC7">
        <w:rPr>
          <w:szCs w:val="22"/>
          <w:lang w:val="es-ES_tradnl"/>
        </w:rPr>
        <w:t>Con respecto a la propuesta de programa de trabajo y presupuesto para el bienio</w:t>
      </w:r>
      <w:r w:rsidR="000361BF" w:rsidRPr="00426AC7">
        <w:rPr>
          <w:szCs w:val="22"/>
          <w:lang w:val="es-ES_tradnl"/>
        </w:rPr>
        <w:t> </w:t>
      </w:r>
      <w:r w:rsidRPr="00426AC7">
        <w:rPr>
          <w:szCs w:val="22"/>
          <w:lang w:val="es-ES_tradnl"/>
        </w:rPr>
        <w:t>2026/27, las Asambleas de la OMPI, en lo que a cada una concierne:</w:t>
      </w:r>
    </w:p>
    <w:p w14:paraId="03A6E61D" w14:textId="77777777" w:rsidR="001677C1" w:rsidRPr="00426AC7" w:rsidRDefault="001677C1" w:rsidP="00D1313F">
      <w:pPr>
        <w:pStyle w:val="ONUMFS"/>
        <w:numPr>
          <w:ilvl w:val="2"/>
          <w:numId w:val="3"/>
        </w:numPr>
        <w:rPr>
          <w:szCs w:val="22"/>
          <w:lang w:val="es-ES_tradnl"/>
        </w:rPr>
      </w:pPr>
      <w:r w:rsidRPr="00426AC7">
        <w:rPr>
          <w:szCs w:val="22"/>
          <w:lang w:val="es-ES_tradnl"/>
        </w:rPr>
        <w:t>acordaron cambiar el nombre del “Fondo de Aceleración del Desarrollo” por el de “Programa de Aceleración de la Innovación, la Creatividad y el Desarrollo”;</w:t>
      </w:r>
    </w:p>
    <w:p w14:paraId="34D68A21" w14:textId="651E9A8F" w:rsidR="001677C1" w:rsidRPr="00426AC7" w:rsidRDefault="001677C1" w:rsidP="00D1313F">
      <w:pPr>
        <w:pStyle w:val="ONUMFS"/>
        <w:numPr>
          <w:ilvl w:val="2"/>
          <w:numId w:val="3"/>
        </w:numPr>
        <w:rPr>
          <w:szCs w:val="22"/>
          <w:lang w:val="es-ES_tradnl"/>
        </w:rPr>
      </w:pPr>
      <w:r w:rsidRPr="00426AC7">
        <w:rPr>
          <w:szCs w:val="22"/>
          <w:lang w:val="es-ES_tradnl"/>
        </w:rPr>
        <w:t>aprobaron la propuesta de programa de trabajo y presupuesto para el bienio</w:t>
      </w:r>
      <w:r w:rsidR="000361BF" w:rsidRPr="00426AC7">
        <w:rPr>
          <w:szCs w:val="22"/>
          <w:lang w:val="es-ES_tradnl"/>
        </w:rPr>
        <w:t> </w:t>
      </w:r>
      <w:r w:rsidRPr="00426AC7">
        <w:rPr>
          <w:szCs w:val="22"/>
          <w:lang w:val="es-ES_tradnl"/>
        </w:rPr>
        <w:t>2026/27 (documento A/66/9), con sujeción al cambio indicado en III);</w:t>
      </w:r>
    </w:p>
    <w:p w14:paraId="257DD22E" w14:textId="77777777" w:rsidR="001677C1" w:rsidRPr="00426AC7" w:rsidRDefault="001677C1" w:rsidP="00D1313F">
      <w:pPr>
        <w:pStyle w:val="ONUMFS"/>
        <w:numPr>
          <w:ilvl w:val="2"/>
          <w:numId w:val="3"/>
        </w:numPr>
        <w:rPr>
          <w:szCs w:val="22"/>
          <w:lang w:val="es-ES_tradnl"/>
        </w:rPr>
      </w:pPr>
      <w:r w:rsidRPr="00426AC7">
        <w:rPr>
          <w:szCs w:val="22"/>
          <w:lang w:val="es-ES_tradnl"/>
        </w:rPr>
        <w:t>solicitaron a la Secretaría que, en consonancia con las prácticas habituales de la OMPI y en relación con los proyectos financiados por el “Programa de Aceleración de la Innovación, la Creatividad y el Desarrollo”:</w:t>
      </w:r>
    </w:p>
    <w:p w14:paraId="66F4FF68" w14:textId="402F5A92" w:rsidR="001677C1" w:rsidRPr="00426AC7" w:rsidRDefault="001677C1" w:rsidP="00E153F3">
      <w:pPr>
        <w:pStyle w:val="ONUMFS"/>
        <w:numPr>
          <w:ilvl w:val="0"/>
          <w:numId w:val="5"/>
        </w:numPr>
        <w:ind w:left="1701" w:firstLine="0"/>
        <w:rPr>
          <w:szCs w:val="22"/>
          <w:lang w:val="es-ES_tradnl"/>
        </w:rPr>
      </w:pPr>
      <w:r w:rsidRPr="00426AC7">
        <w:rPr>
          <w:szCs w:val="22"/>
          <w:lang w:val="es-ES_tradnl"/>
        </w:rPr>
        <w:t xml:space="preserve">elabore criterios para los proyectos que garanticen el establecimiento de vínculos claros con los resultados previstos de la OMPI, centrándose en la puesta a prueba de ideas nuevas e innovadoras y evitando solapamientos con otros proyectos e iniciativas en curso en el conjunto de la Organización; </w:t>
      </w:r>
    </w:p>
    <w:p w14:paraId="5FF72AAC" w14:textId="18B0A42A" w:rsidR="001677C1" w:rsidRPr="00426AC7" w:rsidRDefault="001677C1" w:rsidP="00E153F3">
      <w:pPr>
        <w:pStyle w:val="ONUMFS"/>
        <w:numPr>
          <w:ilvl w:val="0"/>
          <w:numId w:val="5"/>
        </w:numPr>
        <w:ind w:left="1701" w:firstLine="0"/>
        <w:rPr>
          <w:szCs w:val="22"/>
          <w:lang w:val="es-ES_tradnl"/>
        </w:rPr>
      </w:pPr>
      <w:r w:rsidRPr="00426AC7">
        <w:rPr>
          <w:szCs w:val="22"/>
          <w:lang w:val="es-ES_tradnl"/>
        </w:rPr>
        <w:t>facilite periódicamente información actualizada a los Estados miembros en el sitio web de la OMPI, en particular sobre la situación de todos los proyectos, las actividades que deben completarse en el marco de cada proyecto, el estado actual de ejecución de los proyectos y los resultados de estos;</w:t>
      </w:r>
    </w:p>
    <w:p w14:paraId="5B2F62D6" w14:textId="282CE5EC" w:rsidR="009B6AFA" w:rsidRPr="00426AC7" w:rsidRDefault="001677C1" w:rsidP="00E153F3">
      <w:pPr>
        <w:pStyle w:val="ONUMFS"/>
        <w:numPr>
          <w:ilvl w:val="0"/>
          <w:numId w:val="5"/>
        </w:numPr>
        <w:spacing w:after="480"/>
        <w:ind w:left="1701" w:firstLine="0"/>
        <w:rPr>
          <w:szCs w:val="22"/>
          <w:lang w:val="es-ES_tradnl"/>
        </w:rPr>
      </w:pPr>
      <w:r w:rsidRPr="00426AC7">
        <w:rPr>
          <w:szCs w:val="22"/>
          <w:lang w:val="es-ES_tradnl"/>
        </w:rPr>
        <w:t>proporcione información exhaustiva sobre los proyectos en cada Informe sobre el rendimiento de la OMPI.</w:t>
      </w:r>
    </w:p>
    <w:p w14:paraId="43EFA01B" w14:textId="6EE5FA32" w:rsidR="009B6AFA" w:rsidRPr="00426AC7" w:rsidRDefault="00996390" w:rsidP="00D73FDB">
      <w:pPr>
        <w:pStyle w:val="Heading2"/>
        <w:spacing w:before="0" w:after="360" w:line="480" w:lineRule="auto"/>
        <w:rPr>
          <w:szCs w:val="22"/>
          <w:lang w:val="es-ES_tradnl"/>
        </w:rPr>
      </w:pPr>
      <w:bookmarkStart w:id="53" w:name="_Toc209694201"/>
      <w:bookmarkStart w:id="54" w:name="_Hlk171954887"/>
      <w:bookmarkEnd w:id="35"/>
      <w:r w:rsidRPr="00426AC7">
        <w:rPr>
          <w:szCs w:val="22"/>
          <w:lang w:val="es-ES_tradnl"/>
        </w:rPr>
        <w:lastRenderedPageBreak/>
        <w:t>PUNTO 12 DEL ORDEN DEL DÍA CONSOLIDADO</w:t>
      </w:r>
      <w:r w:rsidRPr="00426AC7">
        <w:rPr>
          <w:szCs w:val="22"/>
          <w:lang w:val="es-ES_tradnl"/>
        </w:rPr>
        <w:br/>
        <w:t>INFORMES DE COMITÉS DE LA OMPI</w:t>
      </w:r>
      <w:bookmarkEnd w:id="53"/>
    </w:p>
    <w:p w14:paraId="5ADE0905" w14:textId="4C71DEAC" w:rsidR="009B6AFA" w:rsidRPr="00426AC7" w:rsidRDefault="00996390" w:rsidP="00D13AFC">
      <w:pPr>
        <w:pStyle w:val="Heading3"/>
        <w:numPr>
          <w:ilvl w:val="0"/>
          <w:numId w:val="7"/>
        </w:numPr>
        <w:spacing w:before="0" w:after="120"/>
        <w:ind w:left="0" w:firstLine="0"/>
        <w:rPr>
          <w:szCs w:val="22"/>
          <w:lang w:val="es-ES_tradnl"/>
        </w:rPr>
      </w:pPr>
      <w:bookmarkStart w:id="55" w:name="_Toc209694202"/>
      <w:r w:rsidRPr="00426AC7">
        <w:rPr>
          <w:szCs w:val="22"/>
          <w:lang w:val="es-ES_tradnl"/>
        </w:rPr>
        <w:t>Comité Permanente de Derecho de Autor y Derechos Conexos (SCCR)</w:t>
      </w:r>
      <w:bookmarkEnd w:id="55"/>
    </w:p>
    <w:p w14:paraId="130CDD29" w14:textId="0F5CB179" w:rsidR="009B6AFA" w:rsidRPr="00426AC7" w:rsidRDefault="00996390" w:rsidP="00AB24AE">
      <w:pPr>
        <w:pStyle w:val="ONUMFS"/>
        <w:spacing w:after="360"/>
        <w:rPr>
          <w:szCs w:val="22"/>
          <w:lang w:val="es-ES_tradnl"/>
        </w:rPr>
      </w:pPr>
      <w:r w:rsidRPr="00426AC7">
        <w:rPr>
          <w:szCs w:val="22"/>
          <w:lang w:val="es-ES_tradnl"/>
        </w:rPr>
        <w:t xml:space="preserve">Véase el informe del período de sesiones de la Asamblea General de la OMPI (documento </w:t>
      </w:r>
      <w:hyperlink r:id="rId49" w:history="1">
        <w:r w:rsidRPr="00426AC7">
          <w:rPr>
            <w:rStyle w:val="Hyperlink"/>
            <w:szCs w:val="22"/>
            <w:lang w:val="es-ES_tradnl"/>
          </w:rPr>
          <w:t>WO/GA/58/14</w:t>
        </w:r>
      </w:hyperlink>
      <w:r w:rsidRPr="00426AC7">
        <w:rPr>
          <w:szCs w:val="22"/>
          <w:lang w:val="es-ES_tradnl"/>
        </w:rPr>
        <w:t>).</w:t>
      </w:r>
    </w:p>
    <w:p w14:paraId="6F8D2749" w14:textId="5539C64F" w:rsidR="009B6AFA" w:rsidRPr="00426AC7" w:rsidRDefault="00996390" w:rsidP="00E153F3">
      <w:pPr>
        <w:pStyle w:val="Heading3"/>
        <w:keepLines/>
        <w:numPr>
          <w:ilvl w:val="0"/>
          <w:numId w:val="7"/>
        </w:numPr>
        <w:spacing w:before="0" w:after="120"/>
        <w:ind w:left="0" w:firstLine="0"/>
        <w:rPr>
          <w:szCs w:val="22"/>
          <w:lang w:val="es-ES_tradnl"/>
        </w:rPr>
      </w:pPr>
      <w:bookmarkStart w:id="56" w:name="_Toc209694203"/>
      <w:r w:rsidRPr="00426AC7">
        <w:rPr>
          <w:szCs w:val="22"/>
          <w:lang w:val="es-ES_tradnl"/>
        </w:rPr>
        <w:t>Comité Permanente sobre el Derecho de Patentes (SCP)</w:t>
      </w:r>
      <w:bookmarkEnd w:id="56"/>
    </w:p>
    <w:p w14:paraId="46356D98" w14:textId="14ADE1A8" w:rsidR="00996390" w:rsidRPr="00426AC7" w:rsidRDefault="00996390" w:rsidP="00E153F3">
      <w:pPr>
        <w:pStyle w:val="ONUMFS"/>
        <w:keepNext/>
        <w:keepLines/>
        <w:rPr>
          <w:szCs w:val="22"/>
          <w:lang w:val="es-ES_tradnl"/>
        </w:rPr>
      </w:pPr>
      <w:bookmarkStart w:id="57" w:name="_Hlk171955011"/>
      <w:bookmarkEnd w:id="54"/>
      <w:r w:rsidRPr="00426AC7">
        <w:rPr>
          <w:szCs w:val="22"/>
          <w:lang w:val="es-ES_tradnl"/>
        </w:rPr>
        <w:t xml:space="preserve">Véase el informe del período de sesiones de la Asamblea General de la OMPI (documento </w:t>
      </w:r>
      <w:hyperlink r:id="rId50" w:history="1">
        <w:r w:rsidRPr="00426AC7">
          <w:rPr>
            <w:rStyle w:val="Hyperlink"/>
            <w:szCs w:val="22"/>
            <w:lang w:val="es-ES_tradnl"/>
          </w:rPr>
          <w:t>WO/GA/58/14</w:t>
        </w:r>
      </w:hyperlink>
      <w:r w:rsidRPr="00426AC7">
        <w:rPr>
          <w:szCs w:val="22"/>
          <w:lang w:val="es-ES_tradnl"/>
        </w:rPr>
        <w:t xml:space="preserve">). </w:t>
      </w:r>
    </w:p>
    <w:p w14:paraId="0ABA302C" w14:textId="0FE37A68" w:rsidR="00996390" w:rsidRPr="00426AC7" w:rsidRDefault="00996390" w:rsidP="00D13AFC">
      <w:pPr>
        <w:pStyle w:val="Heading3"/>
        <w:numPr>
          <w:ilvl w:val="0"/>
          <w:numId w:val="7"/>
        </w:numPr>
        <w:spacing w:before="0" w:after="120"/>
        <w:ind w:left="567" w:hanging="567"/>
        <w:rPr>
          <w:szCs w:val="22"/>
          <w:lang w:val="es-ES_tradnl"/>
        </w:rPr>
      </w:pPr>
      <w:bookmarkStart w:id="58" w:name="_Toc209694204"/>
      <w:r w:rsidRPr="00426AC7">
        <w:rPr>
          <w:szCs w:val="22"/>
          <w:lang w:val="es-ES_tradnl"/>
        </w:rPr>
        <w:t>Comité Permanente sobre el Derecho de Marcas, Diseños Industriales e Indicaciones Geográficas (SCT)</w:t>
      </w:r>
      <w:bookmarkEnd w:id="58"/>
    </w:p>
    <w:p w14:paraId="23D6B432" w14:textId="139CC0B1" w:rsidR="00996390" w:rsidRPr="00426AC7" w:rsidRDefault="00996390" w:rsidP="0078249F">
      <w:pPr>
        <w:pStyle w:val="ONUMFS"/>
        <w:rPr>
          <w:szCs w:val="22"/>
          <w:lang w:val="es-ES_tradnl"/>
        </w:rPr>
      </w:pPr>
      <w:bookmarkStart w:id="59" w:name="_Hlk171954912"/>
      <w:r w:rsidRPr="00426AC7">
        <w:rPr>
          <w:szCs w:val="22"/>
          <w:lang w:val="es-ES_tradnl"/>
        </w:rPr>
        <w:t xml:space="preserve">Véase el informe del período de sesiones de la Asamblea General de la OMPI (documento </w:t>
      </w:r>
      <w:hyperlink r:id="rId51" w:history="1">
        <w:r w:rsidRPr="00426AC7">
          <w:rPr>
            <w:rStyle w:val="Hyperlink"/>
            <w:szCs w:val="22"/>
            <w:lang w:val="es-ES_tradnl"/>
          </w:rPr>
          <w:t>WO/GA/58/14</w:t>
        </w:r>
      </w:hyperlink>
      <w:r w:rsidRPr="00426AC7">
        <w:rPr>
          <w:szCs w:val="22"/>
          <w:lang w:val="es-ES_tradnl"/>
        </w:rPr>
        <w:t xml:space="preserve">). </w:t>
      </w:r>
    </w:p>
    <w:p w14:paraId="7ECB9C15" w14:textId="57F1E05F" w:rsidR="00996390" w:rsidRPr="00426AC7" w:rsidRDefault="00996390" w:rsidP="00D13AFC">
      <w:pPr>
        <w:pStyle w:val="Heading3"/>
        <w:numPr>
          <w:ilvl w:val="0"/>
          <w:numId w:val="7"/>
        </w:numPr>
        <w:spacing w:before="0" w:after="120"/>
        <w:ind w:left="567" w:hanging="567"/>
        <w:rPr>
          <w:szCs w:val="22"/>
          <w:lang w:val="es-ES_tradnl"/>
        </w:rPr>
      </w:pPr>
      <w:bookmarkStart w:id="60" w:name="_Toc209694205"/>
      <w:r w:rsidRPr="00426AC7">
        <w:rPr>
          <w:szCs w:val="22"/>
          <w:lang w:val="es-ES_tradnl"/>
        </w:rPr>
        <w:t>Comité de Desarrollo y Propiedad Intelectual (CDIP) y reseña sobre la aplicación de las recomendaciones de la Agenda para el Desarrollo</w:t>
      </w:r>
      <w:bookmarkEnd w:id="60"/>
    </w:p>
    <w:p w14:paraId="642FBB20" w14:textId="2CDB0023" w:rsidR="00996390" w:rsidRPr="00426AC7" w:rsidRDefault="00996390" w:rsidP="0078249F">
      <w:pPr>
        <w:pStyle w:val="ONUMFS"/>
        <w:rPr>
          <w:szCs w:val="22"/>
          <w:lang w:val="es-ES_tradnl"/>
        </w:rPr>
      </w:pPr>
      <w:r w:rsidRPr="00426AC7">
        <w:rPr>
          <w:szCs w:val="22"/>
          <w:lang w:val="es-ES_tradnl"/>
        </w:rPr>
        <w:t xml:space="preserve">Véase el informe del período de sesiones de la Asamblea General de la OMPI (documento </w:t>
      </w:r>
      <w:hyperlink r:id="rId52" w:history="1">
        <w:r w:rsidRPr="00426AC7">
          <w:rPr>
            <w:rStyle w:val="Hyperlink"/>
            <w:szCs w:val="22"/>
            <w:lang w:val="es-ES_tradnl"/>
          </w:rPr>
          <w:t>WO/GA/58/14</w:t>
        </w:r>
      </w:hyperlink>
      <w:r w:rsidRPr="00426AC7">
        <w:rPr>
          <w:szCs w:val="22"/>
          <w:lang w:val="es-ES_tradnl"/>
        </w:rPr>
        <w:t>).</w:t>
      </w:r>
    </w:p>
    <w:p w14:paraId="162AB13D" w14:textId="0E6172A2" w:rsidR="00996390" w:rsidRPr="00426AC7" w:rsidRDefault="00996390" w:rsidP="00D13AFC">
      <w:pPr>
        <w:pStyle w:val="Heading3"/>
        <w:numPr>
          <w:ilvl w:val="0"/>
          <w:numId w:val="7"/>
        </w:numPr>
        <w:spacing w:before="0" w:after="120"/>
        <w:ind w:left="567" w:hanging="567"/>
        <w:rPr>
          <w:szCs w:val="22"/>
          <w:lang w:val="es-ES_tradnl"/>
        </w:rPr>
      </w:pPr>
      <w:bookmarkStart w:id="61" w:name="_Toc209694206"/>
      <w:r w:rsidRPr="00426AC7">
        <w:rPr>
          <w:szCs w:val="22"/>
          <w:lang w:val="es-ES_tradnl"/>
        </w:rPr>
        <w:t>Comité Intergubernamental sobre Propiedad Intelectual y Recursos Genéticos, Conocimientos Tradicionales y Folclore (CIG)</w:t>
      </w:r>
      <w:bookmarkEnd w:id="61"/>
    </w:p>
    <w:p w14:paraId="7EDE393D" w14:textId="03947B2A" w:rsidR="00996390" w:rsidRPr="00426AC7" w:rsidRDefault="00996390" w:rsidP="00AB24AE">
      <w:pPr>
        <w:pStyle w:val="ONUMFS"/>
        <w:spacing w:after="360"/>
        <w:rPr>
          <w:szCs w:val="22"/>
          <w:lang w:val="es-ES_tradnl"/>
        </w:rPr>
      </w:pPr>
      <w:r w:rsidRPr="00426AC7">
        <w:rPr>
          <w:szCs w:val="22"/>
          <w:lang w:val="es-ES_tradnl"/>
        </w:rPr>
        <w:t xml:space="preserve">Véase el informe del período de sesiones de la Asamblea General de la OMPI (documento </w:t>
      </w:r>
      <w:hyperlink r:id="rId53" w:history="1">
        <w:r w:rsidRPr="00426AC7">
          <w:rPr>
            <w:rStyle w:val="Hyperlink"/>
            <w:szCs w:val="22"/>
            <w:lang w:val="es-ES_tradnl"/>
          </w:rPr>
          <w:t>WO/GA/58/14</w:t>
        </w:r>
      </w:hyperlink>
      <w:r w:rsidRPr="00426AC7">
        <w:rPr>
          <w:szCs w:val="22"/>
          <w:lang w:val="es-ES_tradnl"/>
        </w:rPr>
        <w:t>).</w:t>
      </w:r>
    </w:p>
    <w:p w14:paraId="2E46CF53" w14:textId="11417DDF" w:rsidR="00996390" w:rsidRPr="00426AC7" w:rsidRDefault="00996390" w:rsidP="00D13AFC">
      <w:pPr>
        <w:pStyle w:val="Heading3"/>
        <w:numPr>
          <w:ilvl w:val="0"/>
          <w:numId w:val="7"/>
        </w:numPr>
        <w:spacing w:before="0" w:after="120"/>
        <w:ind w:left="567" w:hanging="567"/>
        <w:rPr>
          <w:szCs w:val="22"/>
          <w:lang w:val="es-ES_tradnl"/>
        </w:rPr>
      </w:pPr>
      <w:bookmarkStart w:id="62" w:name="_Hlk171948999"/>
      <w:bookmarkStart w:id="63" w:name="_Toc209694207"/>
      <w:bookmarkStart w:id="64" w:name="_Hlk171954979"/>
      <w:r w:rsidRPr="00426AC7">
        <w:rPr>
          <w:szCs w:val="22"/>
          <w:lang w:val="es-ES_tradnl"/>
        </w:rPr>
        <w:t>Comité de Normas Técnicas de la OMPI (CWS)</w:t>
      </w:r>
      <w:bookmarkEnd w:id="62"/>
      <w:bookmarkEnd w:id="63"/>
    </w:p>
    <w:bookmarkEnd w:id="59"/>
    <w:bookmarkEnd w:id="64"/>
    <w:p w14:paraId="6D8C67DC" w14:textId="74F624AD" w:rsidR="00996390" w:rsidRPr="00426AC7" w:rsidRDefault="00996390" w:rsidP="00AB24AE">
      <w:pPr>
        <w:pStyle w:val="ONUMFS"/>
        <w:spacing w:after="360"/>
        <w:rPr>
          <w:szCs w:val="22"/>
          <w:lang w:val="es-ES_tradnl"/>
        </w:rPr>
      </w:pPr>
      <w:r w:rsidRPr="00426AC7">
        <w:rPr>
          <w:szCs w:val="22"/>
          <w:lang w:val="es-ES_tradnl"/>
        </w:rPr>
        <w:t xml:space="preserve">Véase el informe del período de sesiones de la Asamblea General de la OMPI (documento </w:t>
      </w:r>
      <w:hyperlink r:id="rId54" w:history="1">
        <w:r w:rsidRPr="00426AC7">
          <w:rPr>
            <w:rStyle w:val="Hyperlink"/>
            <w:szCs w:val="22"/>
            <w:lang w:val="es-ES_tradnl"/>
          </w:rPr>
          <w:t>WO/GA/58/14</w:t>
        </w:r>
      </w:hyperlink>
      <w:r w:rsidRPr="00426AC7">
        <w:rPr>
          <w:szCs w:val="22"/>
          <w:lang w:val="es-ES_tradnl"/>
        </w:rPr>
        <w:t>).</w:t>
      </w:r>
    </w:p>
    <w:p w14:paraId="3E79526A" w14:textId="227C22CE" w:rsidR="00996390" w:rsidRPr="00426AC7" w:rsidRDefault="00996390" w:rsidP="00D13AFC">
      <w:pPr>
        <w:pStyle w:val="Heading3"/>
        <w:numPr>
          <w:ilvl w:val="0"/>
          <w:numId w:val="7"/>
        </w:numPr>
        <w:spacing w:before="0" w:after="120"/>
        <w:ind w:left="567" w:hanging="567"/>
        <w:rPr>
          <w:szCs w:val="22"/>
          <w:lang w:val="es-ES_tradnl"/>
        </w:rPr>
      </w:pPr>
      <w:bookmarkStart w:id="65" w:name="_Toc209694208"/>
      <w:r w:rsidRPr="00426AC7">
        <w:rPr>
          <w:szCs w:val="22"/>
          <w:lang w:val="es-ES_tradnl"/>
        </w:rPr>
        <w:t>Comité Asesor sobre Observancia (ACE)</w:t>
      </w:r>
      <w:bookmarkEnd w:id="65"/>
    </w:p>
    <w:p w14:paraId="272F3EFE" w14:textId="259F4ADB" w:rsidR="009B6AFA" w:rsidRPr="00426AC7" w:rsidRDefault="00996390" w:rsidP="00885BED">
      <w:pPr>
        <w:pStyle w:val="ONUMFS"/>
        <w:spacing w:after="480"/>
        <w:rPr>
          <w:szCs w:val="22"/>
          <w:lang w:val="es-ES_tradnl"/>
        </w:rPr>
      </w:pPr>
      <w:r w:rsidRPr="00426AC7">
        <w:rPr>
          <w:szCs w:val="22"/>
          <w:lang w:val="es-ES_tradnl"/>
        </w:rPr>
        <w:t xml:space="preserve">Véase el informe del período de sesiones de la Asamblea General de la OMPI (documento </w:t>
      </w:r>
      <w:hyperlink r:id="rId55" w:history="1">
        <w:r w:rsidRPr="00426AC7">
          <w:rPr>
            <w:rStyle w:val="Hyperlink"/>
            <w:szCs w:val="22"/>
            <w:lang w:val="es-ES_tradnl"/>
          </w:rPr>
          <w:t>WO/GA/58/14</w:t>
        </w:r>
      </w:hyperlink>
      <w:r w:rsidRPr="00426AC7">
        <w:rPr>
          <w:szCs w:val="22"/>
          <w:lang w:val="es-ES_tradnl"/>
        </w:rPr>
        <w:t>).</w:t>
      </w:r>
    </w:p>
    <w:p w14:paraId="5A905836" w14:textId="7E02C748" w:rsidR="009B6AFA" w:rsidRPr="00426AC7" w:rsidRDefault="0078249F" w:rsidP="00D73FDB">
      <w:pPr>
        <w:pStyle w:val="Heading2"/>
        <w:spacing w:before="0" w:after="120" w:line="480" w:lineRule="auto"/>
        <w:rPr>
          <w:szCs w:val="22"/>
          <w:lang w:val="es-ES_tradnl"/>
        </w:rPr>
      </w:pPr>
      <w:bookmarkStart w:id="66" w:name="_Toc209694209"/>
      <w:r w:rsidRPr="00426AC7">
        <w:rPr>
          <w:szCs w:val="22"/>
          <w:lang w:val="es-ES_tradnl"/>
        </w:rPr>
        <w:t>PUNTO 13 DEL ORDEN DEL DÍA CONSOLIDADO</w:t>
      </w:r>
      <w:r w:rsidRPr="00426AC7">
        <w:rPr>
          <w:szCs w:val="22"/>
          <w:lang w:val="es-ES_tradnl"/>
        </w:rPr>
        <w:br/>
        <w:t>SISTEMA DE MADRID</w:t>
      </w:r>
      <w:bookmarkEnd w:id="66"/>
    </w:p>
    <w:p w14:paraId="4E6C6645" w14:textId="192A91DD" w:rsidR="0078249F" w:rsidRPr="00426AC7" w:rsidRDefault="0078249F" w:rsidP="00C05B6A">
      <w:pPr>
        <w:pStyle w:val="ONUMFS"/>
        <w:spacing w:after="480"/>
        <w:rPr>
          <w:szCs w:val="22"/>
          <w:lang w:val="es-ES_tradnl"/>
        </w:rPr>
      </w:pPr>
      <w:r w:rsidRPr="00426AC7">
        <w:rPr>
          <w:szCs w:val="22"/>
          <w:lang w:val="es-ES_tradnl"/>
        </w:rPr>
        <w:t xml:space="preserve">Véase el informe del período de sesiones de la Asamblea de la Unión de Madrid (documento </w:t>
      </w:r>
      <w:hyperlink r:id="rId56" w:history="1">
        <w:r w:rsidRPr="00426AC7">
          <w:rPr>
            <w:rStyle w:val="Hyperlink"/>
            <w:szCs w:val="22"/>
            <w:lang w:val="es-ES_tradnl"/>
          </w:rPr>
          <w:t>MM/A/59/ 3</w:t>
        </w:r>
      </w:hyperlink>
      <w:r w:rsidRPr="00426AC7">
        <w:rPr>
          <w:szCs w:val="22"/>
          <w:lang w:val="es-ES_tradnl"/>
        </w:rPr>
        <w:t>).</w:t>
      </w:r>
    </w:p>
    <w:p w14:paraId="2F9C4666" w14:textId="77777777" w:rsidR="0078249F" w:rsidRPr="00426AC7" w:rsidRDefault="0078249F" w:rsidP="00D73FDB">
      <w:pPr>
        <w:pStyle w:val="Heading2"/>
        <w:spacing w:before="0" w:after="120" w:line="480" w:lineRule="auto"/>
        <w:rPr>
          <w:szCs w:val="22"/>
          <w:lang w:val="es-ES_tradnl"/>
        </w:rPr>
      </w:pPr>
      <w:bookmarkStart w:id="67" w:name="_Toc209694210"/>
      <w:r w:rsidRPr="00426AC7">
        <w:rPr>
          <w:szCs w:val="22"/>
          <w:lang w:val="es-ES_tradnl"/>
        </w:rPr>
        <w:lastRenderedPageBreak/>
        <w:t>PUNTO 14 DEL ORDEN DEL DÍA CONSOLIDADO</w:t>
      </w:r>
      <w:r w:rsidRPr="00426AC7">
        <w:rPr>
          <w:szCs w:val="22"/>
          <w:lang w:val="es-ES_tradnl"/>
        </w:rPr>
        <w:br/>
        <w:t>SISTEMA DE LA HAYA</w:t>
      </w:r>
      <w:bookmarkEnd w:id="67"/>
    </w:p>
    <w:p w14:paraId="19458F06" w14:textId="266A8F38" w:rsidR="0078249F" w:rsidRPr="00426AC7" w:rsidRDefault="0078249F" w:rsidP="00C05B6A">
      <w:pPr>
        <w:pStyle w:val="ONUMFS"/>
        <w:spacing w:after="480"/>
        <w:rPr>
          <w:szCs w:val="22"/>
          <w:lang w:val="es-ES_tradnl"/>
        </w:rPr>
      </w:pPr>
      <w:r w:rsidRPr="00426AC7">
        <w:rPr>
          <w:szCs w:val="22"/>
          <w:lang w:val="es-ES_tradnl"/>
        </w:rPr>
        <w:t>Véase el informe del período de sesiones de la Asamblea Unión de La Haya (documento </w:t>
      </w:r>
      <w:hyperlink r:id="rId57" w:history="1">
        <w:r w:rsidRPr="00426AC7">
          <w:rPr>
            <w:rStyle w:val="Hyperlink"/>
            <w:szCs w:val="22"/>
            <w:lang w:val="es-ES_tradnl"/>
          </w:rPr>
          <w:t>H/A/45/ 2</w:t>
        </w:r>
      </w:hyperlink>
      <w:r w:rsidRPr="00426AC7">
        <w:rPr>
          <w:szCs w:val="22"/>
          <w:lang w:val="es-ES_tradnl"/>
        </w:rPr>
        <w:t>).</w:t>
      </w:r>
    </w:p>
    <w:p w14:paraId="1C8C9619" w14:textId="77777777" w:rsidR="0078249F" w:rsidRPr="00426AC7" w:rsidRDefault="0078249F" w:rsidP="00D73FDB">
      <w:pPr>
        <w:pStyle w:val="Heading2"/>
        <w:spacing w:before="0" w:after="120" w:line="480" w:lineRule="auto"/>
        <w:rPr>
          <w:szCs w:val="22"/>
          <w:lang w:val="es-ES_tradnl"/>
        </w:rPr>
      </w:pPr>
      <w:bookmarkStart w:id="68" w:name="_Toc209694211"/>
      <w:r w:rsidRPr="00426AC7">
        <w:rPr>
          <w:szCs w:val="22"/>
          <w:lang w:val="es-ES_tradnl"/>
        </w:rPr>
        <w:t>PUNTO 15 DEL ORDEN DEL DÍA CONSOLIDADO</w:t>
      </w:r>
      <w:r w:rsidRPr="00426AC7">
        <w:rPr>
          <w:szCs w:val="22"/>
          <w:lang w:val="es-ES_tradnl"/>
        </w:rPr>
        <w:br/>
        <w:t>SISTEMA DE LISBOA</w:t>
      </w:r>
      <w:bookmarkEnd w:id="68"/>
    </w:p>
    <w:p w14:paraId="58670A68" w14:textId="1EBE2F70" w:rsidR="0078249F" w:rsidRPr="00426AC7" w:rsidRDefault="0078249F" w:rsidP="00C05B6A">
      <w:pPr>
        <w:pStyle w:val="ONUMFS"/>
        <w:spacing w:after="480"/>
        <w:rPr>
          <w:szCs w:val="22"/>
          <w:lang w:val="es-ES_tradnl"/>
        </w:rPr>
      </w:pPr>
      <w:r w:rsidRPr="00426AC7">
        <w:rPr>
          <w:szCs w:val="22"/>
          <w:lang w:val="es-ES_tradnl"/>
        </w:rPr>
        <w:t>Véase el informe del período de sesiones de la Asamblea Unión de Lisboa (documento </w:t>
      </w:r>
      <w:hyperlink r:id="rId58" w:history="1">
        <w:r w:rsidRPr="00426AC7">
          <w:rPr>
            <w:rStyle w:val="Hyperlink"/>
            <w:szCs w:val="22"/>
            <w:lang w:val="es-ES_tradnl"/>
          </w:rPr>
          <w:t>LI/A/42/ 3</w:t>
        </w:r>
      </w:hyperlink>
      <w:r w:rsidRPr="00426AC7">
        <w:rPr>
          <w:szCs w:val="22"/>
          <w:lang w:val="es-ES_tradnl"/>
        </w:rPr>
        <w:t>).</w:t>
      </w:r>
    </w:p>
    <w:p w14:paraId="04072302" w14:textId="77777777" w:rsidR="0078249F" w:rsidRPr="00426AC7" w:rsidRDefault="0078249F" w:rsidP="003B1600">
      <w:pPr>
        <w:pStyle w:val="Heading2"/>
        <w:spacing w:before="0" w:after="120" w:line="480" w:lineRule="auto"/>
        <w:rPr>
          <w:szCs w:val="22"/>
          <w:lang w:val="es-ES_tradnl"/>
        </w:rPr>
      </w:pPr>
      <w:bookmarkStart w:id="69" w:name="_Toc209694212"/>
      <w:r w:rsidRPr="00426AC7">
        <w:rPr>
          <w:szCs w:val="22"/>
          <w:lang w:val="es-ES_tradnl"/>
        </w:rPr>
        <w:t>PUNTO 16 DEL ORDEN DEL DÍA CONSOLIDADO</w:t>
      </w:r>
      <w:r w:rsidRPr="00426AC7">
        <w:rPr>
          <w:szCs w:val="22"/>
          <w:lang w:val="es-ES_tradnl"/>
        </w:rPr>
        <w:br/>
        <w:t>CENTRO DE ARBITRAJE Y MEDIACIÓN DE LA OMPI, Y NOMBRES DE DOMINIO</w:t>
      </w:r>
      <w:bookmarkEnd w:id="69"/>
    </w:p>
    <w:p w14:paraId="20D6B46F" w14:textId="76532098" w:rsidR="0078249F" w:rsidRPr="00426AC7" w:rsidRDefault="0078249F" w:rsidP="00C05B6A">
      <w:pPr>
        <w:pStyle w:val="ONUMFS"/>
        <w:spacing w:after="480"/>
        <w:rPr>
          <w:rFonts w:eastAsiaTheme="minorHAnsi"/>
          <w:szCs w:val="22"/>
          <w:lang w:val="es-ES_tradnl"/>
        </w:rPr>
      </w:pPr>
      <w:r w:rsidRPr="00426AC7">
        <w:rPr>
          <w:szCs w:val="22"/>
          <w:lang w:val="es-ES_tradnl"/>
        </w:rPr>
        <w:t xml:space="preserve">Véase el informe del período de sesiones de la Asamblea General de la OMPI (documento </w:t>
      </w:r>
      <w:hyperlink r:id="rId59" w:history="1">
        <w:r w:rsidRPr="00426AC7">
          <w:rPr>
            <w:rStyle w:val="Hyperlink"/>
            <w:szCs w:val="22"/>
            <w:lang w:val="es-ES_tradnl"/>
          </w:rPr>
          <w:t>WO/GA/58/14</w:t>
        </w:r>
      </w:hyperlink>
      <w:r w:rsidRPr="00426AC7">
        <w:rPr>
          <w:szCs w:val="22"/>
          <w:lang w:val="es-ES_tradnl"/>
        </w:rPr>
        <w:t>).</w:t>
      </w:r>
    </w:p>
    <w:p w14:paraId="674A7ABF" w14:textId="722EB859" w:rsidR="0078249F" w:rsidRPr="00426AC7" w:rsidRDefault="0078249F" w:rsidP="003B1600">
      <w:pPr>
        <w:pStyle w:val="Heading2"/>
        <w:spacing w:before="0" w:after="120" w:line="480" w:lineRule="auto"/>
        <w:rPr>
          <w:szCs w:val="22"/>
          <w:lang w:val="es-ES_tradnl"/>
        </w:rPr>
      </w:pPr>
      <w:bookmarkStart w:id="70" w:name="_Toc209694213"/>
      <w:r w:rsidRPr="00426AC7">
        <w:rPr>
          <w:szCs w:val="22"/>
          <w:lang w:val="es-ES_tradnl"/>
        </w:rPr>
        <w:t>PUNTO 17 DEL ORDEN DEL DÍA CONSOLIDADO</w:t>
      </w:r>
      <w:r w:rsidR="00C05B6A" w:rsidRPr="00426AC7">
        <w:rPr>
          <w:szCs w:val="22"/>
          <w:lang w:val="es-ES_tradnl"/>
        </w:rPr>
        <w:br/>
      </w:r>
      <w:r w:rsidRPr="00426AC7">
        <w:rPr>
          <w:szCs w:val="22"/>
          <w:lang w:val="es-ES_tradnl"/>
        </w:rPr>
        <w:t>Tratado sobre el Derecho de Patentes (PLT)</w:t>
      </w:r>
      <w:bookmarkEnd w:id="70"/>
    </w:p>
    <w:p w14:paraId="2F53D81D" w14:textId="6AA78D3F" w:rsidR="0078249F" w:rsidRPr="00426AC7" w:rsidRDefault="0078249F" w:rsidP="00C05B6A">
      <w:pPr>
        <w:pStyle w:val="ONUMFS"/>
        <w:spacing w:after="480"/>
        <w:rPr>
          <w:szCs w:val="22"/>
          <w:lang w:val="es-ES_tradnl"/>
        </w:rPr>
      </w:pPr>
      <w:r w:rsidRPr="00426AC7">
        <w:rPr>
          <w:szCs w:val="22"/>
          <w:lang w:val="es-ES_tradnl"/>
        </w:rPr>
        <w:t xml:space="preserve">Véase el informe del período de sesiones de la Asamblea General de la OMPI (documento </w:t>
      </w:r>
      <w:hyperlink r:id="rId60" w:history="1">
        <w:r w:rsidRPr="00426AC7">
          <w:rPr>
            <w:rStyle w:val="Hyperlink"/>
            <w:szCs w:val="22"/>
            <w:lang w:val="es-ES_tradnl"/>
          </w:rPr>
          <w:t>WO/GA/58/14</w:t>
        </w:r>
      </w:hyperlink>
      <w:r w:rsidRPr="00426AC7">
        <w:rPr>
          <w:szCs w:val="22"/>
          <w:lang w:val="es-ES_tradnl"/>
        </w:rPr>
        <w:t>).</w:t>
      </w:r>
    </w:p>
    <w:p w14:paraId="353E149C" w14:textId="4559B96B" w:rsidR="0078249F" w:rsidRPr="00426AC7" w:rsidRDefault="0078249F" w:rsidP="003B1600">
      <w:pPr>
        <w:pStyle w:val="Heading2"/>
        <w:spacing w:before="0" w:after="120" w:line="480" w:lineRule="auto"/>
        <w:rPr>
          <w:szCs w:val="22"/>
          <w:lang w:val="es-ES_tradnl"/>
        </w:rPr>
      </w:pPr>
      <w:bookmarkStart w:id="71" w:name="_Toc209694214"/>
      <w:r w:rsidRPr="00426AC7">
        <w:rPr>
          <w:szCs w:val="22"/>
          <w:lang w:val="es-ES_tradnl"/>
        </w:rPr>
        <w:t>PUNTO 18 DEL ORDEN DEL DÍA CONSOLIDADO</w:t>
      </w:r>
      <w:r w:rsidR="00C05B6A" w:rsidRPr="00426AC7">
        <w:rPr>
          <w:szCs w:val="22"/>
          <w:lang w:val="es-ES_tradnl"/>
        </w:rPr>
        <w:br/>
      </w:r>
      <w:r w:rsidRPr="00426AC7">
        <w:rPr>
          <w:szCs w:val="22"/>
          <w:lang w:val="es-ES_tradnl"/>
        </w:rPr>
        <w:t>Tratado de Singapur sobre el Derecho de Marcas (STLT)</w:t>
      </w:r>
      <w:bookmarkEnd w:id="71"/>
    </w:p>
    <w:p w14:paraId="11EEF369" w14:textId="65FDFB91" w:rsidR="009B6AFA" w:rsidRPr="00426AC7" w:rsidRDefault="0078249F" w:rsidP="00C05B6A">
      <w:pPr>
        <w:pStyle w:val="ONUMFS"/>
        <w:spacing w:after="480"/>
        <w:rPr>
          <w:szCs w:val="22"/>
          <w:lang w:val="es-ES_tradnl"/>
        </w:rPr>
      </w:pPr>
      <w:r w:rsidRPr="00426AC7">
        <w:rPr>
          <w:szCs w:val="22"/>
          <w:lang w:val="es-ES_tradnl"/>
        </w:rPr>
        <w:t xml:space="preserve">Véase el informe </w:t>
      </w:r>
      <w:r w:rsidR="0072341D" w:rsidRPr="00426AC7">
        <w:rPr>
          <w:szCs w:val="22"/>
          <w:lang w:val="es-ES_tradnl"/>
        </w:rPr>
        <w:t>del período de sesiones</w:t>
      </w:r>
      <w:r w:rsidR="00F115E4" w:rsidRPr="00426AC7">
        <w:rPr>
          <w:lang w:val="es-ES_tradnl"/>
        </w:rPr>
        <w:t xml:space="preserve"> </w:t>
      </w:r>
      <w:r w:rsidR="0016586A" w:rsidRPr="00426AC7">
        <w:rPr>
          <w:szCs w:val="22"/>
          <w:lang w:val="es-ES_tradnl"/>
        </w:rPr>
        <w:t>de</w:t>
      </w:r>
      <w:r w:rsidR="0053248E" w:rsidRPr="00426AC7">
        <w:rPr>
          <w:szCs w:val="22"/>
          <w:lang w:val="es-ES_tradnl"/>
        </w:rPr>
        <w:t xml:space="preserve"> </w:t>
      </w:r>
      <w:r w:rsidR="0016586A" w:rsidRPr="00426AC7">
        <w:rPr>
          <w:szCs w:val="22"/>
          <w:lang w:val="es-ES_tradnl"/>
        </w:rPr>
        <w:t>l</w:t>
      </w:r>
      <w:r w:rsidR="0053248E" w:rsidRPr="00426AC7">
        <w:rPr>
          <w:szCs w:val="22"/>
          <w:lang w:val="es-ES_tradnl"/>
        </w:rPr>
        <w:t>a Asamblea</w:t>
      </w:r>
      <w:r w:rsidR="0016586A" w:rsidRPr="00426AC7">
        <w:rPr>
          <w:lang w:val="es-ES_tradnl"/>
        </w:rPr>
        <w:t xml:space="preserve"> </w:t>
      </w:r>
      <w:r w:rsidR="0016586A" w:rsidRPr="00426AC7">
        <w:rPr>
          <w:bCs/>
          <w:szCs w:val="22"/>
          <w:lang w:val="es-ES_tradnl"/>
        </w:rPr>
        <w:t xml:space="preserve">Tratado de Singapur </w:t>
      </w:r>
      <w:r w:rsidR="0016586A" w:rsidRPr="00426AC7">
        <w:rPr>
          <w:lang w:val="es-ES_tradnl"/>
        </w:rPr>
        <w:t>(documento </w:t>
      </w:r>
      <w:hyperlink r:id="rId61" w:history="1">
        <w:r w:rsidR="0016586A" w:rsidRPr="00426AC7">
          <w:rPr>
            <w:rStyle w:val="Hyperlink"/>
            <w:lang w:val="es-ES_tradnl"/>
          </w:rPr>
          <w:t>STLT/A/18/2</w:t>
        </w:r>
      </w:hyperlink>
      <w:r w:rsidR="0016586A" w:rsidRPr="00426AC7">
        <w:rPr>
          <w:lang w:val="es-ES_tradnl"/>
        </w:rPr>
        <w:t>)</w:t>
      </w:r>
      <w:r w:rsidRPr="00426AC7">
        <w:rPr>
          <w:szCs w:val="22"/>
          <w:lang w:val="es-ES_tradnl"/>
        </w:rPr>
        <w:t>.</w:t>
      </w:r>
    </w:p>
    <w:p w14:paraId="6C02FC6A" w14:textId="205AB5C6" w:rsidR="00D1313F" w:rsidRPr="00426AC7" w:rsidRDefault="00D1313F" w:rsidP="003B1600">
      <w:pPr>
        <w:pStyle w:val="Heading2"/>
        <w:spacing w:before="0" w:after="120" w:line="480" w:lineRule="auto"/>
        <w:rPr>
          <w:szCs w:val="22"/>
          <w:lang w:val="es-ES_tradnl"/>
        </w:rPr>
      </w:pPr>
      <w:bookmarkStart w:id="72" w:name="_Toc209694215"/>
      <w:bookmarkEnd w:id="57"/>
      <w:r w:rsidRPr="00426AC7">
        <w:rPr>
          <w:szCs w:val="22"/>
          <w:lang w:val="es-ES_tradnl"/>
        </w:rPr>
        <w:t>PUNTO 19 DEL ORDEN DEL DÍA CONSOLIDADO</w:t>
      </w:r>
      <w:r w:rsidR="00C05B6A" w:rsidRPr="00426AC7">
        <w:rPr>
          <w:szCs w:val="22"/>
          <w:lang w:val="es-ES_tradnl"/>
        </w:rPr>
        <w:br/>
      </w:r>
      <w:r w:rsidRPr="00426AC7">
        <w:rPr>
          <w:szCs w:val="22"/>
          <w:lang w:val="es-ES_tradnl"/>
        </w:rPr>
        <w:t>INFORME SOBRE EL RSULTADO DE LA CONFERENCIA DIPLOMÁTICA PARA LA CELEBRACIÓN Y ADOPCIÓN DE UN TRATADO SOBRE EL DERECHO DE LOS DISEÑOS (DLT)</w:t>
      </w:r>
      <w:bookmarkEnd w:id="72"/>
    </w:p>
    <w:p w14:paraId="112B5052" w14:textId="50A330E3" w:rsidR="009B6AFA" w:rsidRPr="00426AC7" w:rsidRDefault="00D1313F" w:rsidP="00C05B6A">
      <w:pPr>
        <w:pStyle w:val="ONUMFS"/>
        <w:spacing w:after="480"/>
        <w:rPr>
          <w:szCs w:val="22"/>
          <w:lang w:val="es-ES_tradnl"/>
        </w:rPr>
      </w:pPr>
      <w:r w:rsidRPr="00426AC7">
        <w:rPr>
          <w:szCs w:val="22"/>
          <w:lang w:val="es-ES_tradnl"/>
        </w:rPr>
        <w:t>Véase el informe del período de sesiones de la Asamblea General de la OMPI (documento</w:t>
      </w:r>
      <w:r w:rsidR="009B6AFA" w:rsidRPr="00426AC7">
        <w:rPr>
          <w:szCs w:val="22"/>
          <w:lang w:val="es-ES_tradnl"/>
        </w:rPr>
        <w:t> </w:t>
      </w:r>
      <w:hyperlink r:id="rId62" w:history="1">
        <w:r w:rsidR="009B6AFA" w:rsidRPr="00426AC7">
          <w:rPr>
            <w:rStyle w:val="Hyperlink"/>
            <w:szCs w:val="22"/>
            <w:lang w:val="es-ES_tradnl"/>
          </w:rPr>
          <w:t>WO/GA/58/14</w:t>
        </w:r>
      </w:hyperlink>
      <w:r w:rsidR="009B6AFA" w:rsidRPr="00426AC7">
        <w:rPr>
          <w:bCs/>
          <w:szCs w:val="22"/>
          <w:lang w:val="es-ES_tradnl"/>
        </w:rPr>
        <w:t>).</w:t>
      </w:r>
    </w:p>
    <w:p w14:paraId="54F08A73" w14:textId="77777777" w:rsidR="0016586A" w:rsidRPr="00426AC7" w:rsidRDefault="0016586A" w:rsidP="0016586A">
      <w:pPr>
        <w:pStyle w:val="Heading3"/>
        <w:spacing w:line="480" w:lineRule="auto"/>
        <w:rPr>
          <w:u w:val="none"/>
          <w:lang w:val="es-ES_tradnl"/>
        </w:rPr>
      </w:pPr>
      <w:bookmarkStart w:id="73" w:name="_Toc209694216"/>
      <w:r w:rsidRPr="00426AC7">
        <w:rPr>
          <w:u w:val="none"/>
          <w:lang w:val="es-ES_tradnl"/>
        </w:rPr>
        <w:lastRenderedPageBreak/>
        <w:t>PUNTO 20 DEL ORDEN DEL DÍA CONSOLIDADO</w:t>
      </w:r>
      <w:bookmarkEnd w:id="73"/>
    </w:p>
    <w:p w14:paraId="2AFC4B53" w14:textId="77777777" w:rsidR="0016586A" w:rsidRPr="00426AC7" w:rsidRDefault="0016586A" w:rsidP="0016586A">
      <w:pPr>
        <w:spacing w:after="220" w:line="480" w:lineRule="auto"/>
        <w:rPr>
          <w:lang w:val="es-ES_tradnl"/>
        </w:rPr>
      </w:pPr>
      <w:r w:rsidRPr="00426AC7">
        <w:rPr>
          <w:bCs/>
          <w:caps/>
          <w:szCs w:val="26"/>
          <w:lang w:val="es-ES_tradnl"/>
        </w:rPr>
        <w:t>Asistencia y apoyo al sector de la innovación y la creatividad y al sistema de propiedad intelectual de Ucrania</w:t>
      </w:r>
    </w:p>
    <w:p w14:paraId="2BE2780F" w14:textId="0DDFB2C4" w:rsidR="0016586A" w:rsidRPr="00426AC7" w:rsidRDefault="0016586A" w:rsidP="0016586A">
      <w:pPr>
        <w:pStyle w:val="ONUMFS"/>
        <w:rPr>
          <w:lang w:val="es-ES_tradnl"/>
        </w:rPr>
      </w:pPr>
      <w:r w:rsidRPr="00426AC7">
        <w:rPr>
          <w:lang w:val="es-ES_tradnl"/>
        </w:rPr>
        <w:t>Los debates se basaron en el documento</w:t>
      </w:r>
      <w:hyperlink r:id="rId63" w:tgtFrame="_blank" w:history="1">
        <w:r w:rsidRPr="00426AC7">
          <w:rPr>
            <w:rStyle w:val="Hyperlink"/>
            <w:lang w:val="es-ES_tradnl"/>
          </w:rPr>
          <w:t xml:space="preserve"> A/66/8</w:t>
        </w:r>
      </w:hyperlink>
      <w:r w:rsidRPr="00426AC7">
        <w:rPr>
          <w:lang w:val="es-ES_tradnl"/>
        </w:rPr>
        <w:t>.</w:t>
      </w:r>
    </w:p>
    <w:p w14:paraId="2A24A72D" w14:textId="77777777" w:rsidR="0016586A" w:rsidRPr="00426AC7" w:rsidRDefault="0016586A" w:rsidP="62D966B3">
      <w:pPr>
        <w:pStyle w:val="ONUMFS"/>
        <w:rPr>
          <w:lang w:val="es-ES_tradnl"/>
        </w:rPr>
      </w:pPr>
      <w:r w:rsidRPr="00426AC7">
        <w:rPr>
          <w:lang w:val="es-ES_tradnl"/>
        </w:rPr>
        <w:t xml:space="preserve">El director general presentó el informe sobre la asistencia y el apoyo prestados al sector de la innovación y la creatividad y al sistema de propiedad intelectual de Ucrania (documento A/66/8), que se ha preparado de conformidad con el apartado d) de la decisión adoptada por los Estados miembros en la 65.ª serie de reuniones de las Asambleas de los Estados miembros de la OMPI (documento A/65/11, párr. 201). A petición de los Estados miembros y en cooperación con Ucrania, la Oficina Internacional ha seguido prestando apoyo al sector de la innovación y la creatividad y al sistema de PI de ese país. El apoyo se basa en el Memorando de Entendimiento entre la OMPI y el Ministerio de Economía de Ucrania sobre cooperación en la esfera de la PI, firmado en julio de 2023. El 7 de julio de 2025 se firmó un nuevo Memorando de Entendimiento con el viceministro de Economía para la Transformación Digital, la Digitalización y la Economía Digital de Ucrania, Sr. Oleksandr Tsybort, que orientará la futura colaboración entre la OMPI y Ucrania sobre la base de los importantes resultados obtenidos hasta la fecha y reflejando las últimas prioridades de Ucrania. Desde las anteriores Asambleas, se han celebrado alrededor de 40 consultas con las autoridades ucranianas y la Oficina Internacional. Entre ellas figuran la reciente reunión con el viceministro, Sr. Oleksandr Tsybort, así como las reuniones anteriores con el viceministro de Economía, Sr. Vitaly Kindrativ. La Oficina Internacional mantiene contactos periódicos con la Sra. Olena Orliuk, directora de la Oficina Nacional de Propiedad Intelectual e Innovaciones de Ucrania (UANIPIO), y otras partes interesadas. El director general explicó que la participación sostenida ha permitido a la Oficina Internacional actualizar y adaptar sus sistemas para satisfacer las necesidades cambiantes de Ucrania. La OMPI ha seguido prestando asistencia a Ucrania en la elaboración de su estrategia nacional de PI, que está a punto de ultimarse, y ha proporcionado asesoramiento en materia de políticas y legislación. La cooperación con la Academia de PI de Ucrania se había ampliado a ámbitos como las tecnologías emergentes y el apoyo a los empresarios de artesanía popular. Además, en junio de 2024, con el apoyo del Fondo Fiduciario de la República de Corea para la PI y la Educación, la Oficina Internacional puso en marcha un nuevo programa destinado a empoderar a 350 mujeres estudiantes, jóvenes profesionales, amas de casa o mujeres que han interrumpido su carrera profesional, dotándolas de las competencias necesarias para generar ideas innovadoras y aprovechar la PI para la creación de empresas. En febrero de 2025 se firmó un Memorando de Entendimiento con la Cámara de Comercio Internacional y la Cámara de Comercio de Ucrania para seguir apoyando a las pymes locales y alentarlas a utilizar las herramientas e iniciativas de la OMPI para llevar sus ideas al mercado. El director general tomó nota de la evaluación actualizada de la repercusión de la guerra en el sector de la innovación y la creatividad de Ucrania, que pone de manifiesto que la guerra en curso sigue teniendo un impacto negativo significativo en el sector de la innovación y la creatividad y en el ecosistema de la PI en Ucrania, y que la mayor parte de los efectos identificados anteriormente persisten y, en algunos casos, se intensifican. A pesar de que las perspectivas a medio y largo plazo siguen siendo inciertas, dada la evolución de la situación de seguridad y las perspectivas de paz y recuperación, el ecosistema de la PI y la innovación del país ha demostrado una notable capacidad de resiliencia. El número de solicitudes nacionales de PI aumentó en 2023 y las solicitudes internacionales mostraron una trayectoria positiva en 2024. Las instituciones y las partes interesadas mantuvieron sus funciones básicas, ampliaron los servicios y adaptaron sus operaciones para satisfacer las necesidades urgentes, incluso en sectores críticos como las tecnologías de la información y la comunicación (TIC) y la defensa. Cabe destacar que el mercado de la música </w:t>
      </w:r>
      <w:r w:rsidRPr="00426AC7">
        <w:rPr>
          <w:lang w:val="es-ES_tradnl"/>
        </w:rPr>
        <w:lastRenderedPageBreak/>
        <w:t>digital creció desde el inicio de la guerra, lo que abre nuevas oportunidades para los músicos y artistas ucranianos. Aunque la actividad en materia de PI sigue estando por debajo de los niveles anteriores a la guerra, esos avances reflejan la determinación y la capacidad de los innovadores y creadores ucranianos. A petición de los Estados miembros, la Oficina Internacional ha adoptado medidas para garantizar que las publicaciones sobre los recursos y las plataformas de la OMPI respeten los principios de soberanía, independencia e integridad territorial de Ucrania dentro de sus fronteras internacionalmente reconocidas. Señaló que la paz es fundamental para que la innovación y la creatividad pudieran florecer, y añadió que se espera que la paz vuelva pronto a Ucrania. A continuación, cedió la palabra al Director de la División para los Países en Transición y Países Desarrollados (TDC), para que proporcione más detalles sobre el informe.</w:t>
      </w:r>
    </w:p>
    <w:p w14:paraId="5B2E2703" w14:textId="77777777" w:rsidR="0016586A" w:rsidRPr="00426AC7" w:rsidRDefault="0016586A" w:rsidP="62D966B3">
      <w:pPr>
        <w:pStyle w:val="ONUMFS"/>
        <w:rPr>
          <w:lang w:val="es-ES_tradnl"/>
        </w:rPr>
      </w:pPr>
      <w:r w:rsidRPr="00426AC7">
        <w:rPr>
          <w:lang w:val="es-ES_tradnl"/>
        </w:rPr>
        <w:t xml:space="preserve">La Secretaría presentó la estructura del informe e informó de las numerosas consultas que ha celebrado con las autoridades gubernamentales y otras partes interesadas de Ucrania durante su preparación. Reafirmó su compromiso continuo, que ha permitido a la Oficina Internacional adaptar su apoyo y asistencia a las necesidades cambiantes del país y a la situación sobre el terreno. La evaluación de la repercusión que figura en el informe se ha llevado a cabo mediante consultas con las partes interesadas, incluidos cuestionarios y entrevistas, investigación documental y análisis de datos. Participaron unas 50 partes interesadas, entre ellas autoridades gubernamentales responsables de la protección y observancia de la PI, instituciones educativas y de investigación, organizaciones de apoyo a la innovación, profesionales de la PI, representantes empresariales, miembros de las industrias creativas, como artistas, intérpretes, músicos, editores y organismos de gestión colectiva (OGC), y centros de apoyo a la tecnología y la innovación (CATI). La Oficina Internacional ha consultado con una amplia gama de fuentes, entre ellas informes oficiales de organizaciones e instituciones internacionales y regionales, autoridades nacionales, sitios web oficiales de las partes interesadas pertinentes, así como informes y resúmenes elaborados por centros de investigación. En particular, se hizo referencia a </w:t>
      </w:r>
      <w:r w:rsidRPr="00426AC7">
        <w:rPr>
          <w:i/>
          <w:iCs/>
          <w:lang w:val="es-ES_tradnl"/>
        </w:rPr>
        <w:t>Ucrania: cuarta evaluación rápida de daños y necesidades</w:t>
      </w:r>
      <w:r w:rsidRPr="00426AC7">
        <w:rPr>
          <w:lang w:val="es-ES_tradnl"/>
        </w:rPr>
        <w:t xml:space="preserve">, publicada por el Banco Mundial en abril de 2025, que abarca el período comprendido entre febrero de 2022 y diciembre de 2024, y en la que se ofrece una visión general completa de la guerra, estimaciones de los daños y las pérdidas, y las necesidades de recuperación y reconstrucción del país. La evaluación de las repercusiones pone de manifiesto que la guerra sigue teniendo efectos negativos en el sector de la innovación y la creatividad y en el ecosistema de Ucrania. Muchos de los efectos señalados anteriormente en los documentos A/64/8 y A/65/7 persisten y, en algunos casos, se han intensificado. Entre ellos figuran la perturbación social, el deterioro de la salud mental, los daños a la infraestructura, la pérdida o destrucción de equipos de investigación, la fuga de cerebros y la escasez de recursos humanos en el sector de la investigación y la innovación, y la continua falta de financiación debido a la necesidad del Gobierno de asignar recursos a la seguridad y la defensa nacionales, lo que provoca un daño cada vez mayor al ecosistema de la innovación. El sector creativo también sigue enfrentándose a importantes retos debido a factores como la fuerte disminución de la financiación nacional para el desarrollo cultural, la reducción de la producción de bienes y servicios creativos, la escasez de personal y el funcionamiento limitado de los organismos de gestión colectiva, lo que tiene una repercusión muy negativa en el sector creativo. El análisis de los resultados de Ucrania realizado por la Oficina Internacional, tal y como se refleja en el Índice Global de Innovación, revela retos estructurales coincidentes con los señalados por las partes interesadas nacionales e internacionales y confirma las tendencias a la baja en la inversión en investigación e innovación, el número de investigadores y la producción científica. La Secretaría señaló que el alcance y la profundidad del informe son limitados debido a la situación de seguridad en Ucrania y a la incertidumbre sobre las perspectivas de paz. La evaluación subraya la necesidad de que la Oficina Internacional siga colaborando estrechamente con las autoridades ucranianas y se adapte a la evolución de sus necesidades y prioridades. A pesar de los retos, el sistema de PI en Ucrania sigue mostrando resiliencia, como demuestra el número de solicitudes nacionales de PI, que aumentó en 2023 en comparación con 2022, aunque se mantuvo por debajo de los niveles anteriores a la guerra. </w:t>
      </w:r>
      <w:r w:rsidRPr="00426AC7">
        <w:rPr>
          <w:lang w:val="es-ES_tradnl"/>
        </w:rPr>
        <w:lastRenderedPageBreak/>
        <w:t>El uso de los sistemas del PCT y de Madrid por parte de los solicitantes ucranianos aumentó entre 2023 y 2024, lo que demuestra la notable resiliencia de las instituciones y las partes interesadas de Ucrania. Estas mantuvieron sus funciones esenciales y, en algunos casos, ampliaron sus servicios, adaptaron sus operaciones e innovaron bajo presión. La guerra ha actuado como catalizador de la innovación en sectores específicos, como las TIC y la defensa, mientras que en el sector creativo, la expansión del mercado de la música digital está ayudando a los músicos ucranianos a llegar a un público más amplio. La asistencia de la OMPI a Ucrania ha incluido la elaboración de la estrategia nacional de PI, el asesoramiento en materia de políticas y legislación, y la atención especial a la creación de competencias y capacidades relacionadas con la PI. La Secretaría proporcionó algunos ejemplos de la cooperación y la asistencia prestadas por la OMPI a Ucrania durante el período que abarca el informe. La Oficina Internacional ha formado a 30 empresarios artesanales en un proyecto financiado por el Fondo de Reconstrucción de la OMPI. Unos 670 ucranianos se han beneficiado de los cursos híbridos y a distancia ofrecidos por la Academia de la OMPI. Además, 59 examinadores de marcas y 43 examinadores de patentes de la UANIPIO han asistido a un programa regional de creación de capacidad. Se ha avanzado en la traducción al ucraniano del curso básico de la OMPI sobre propiedad intelectual y del curso general de aprendizaje a distancia sobre PI, y en la elaboración de herramientas para las pymes y las empresas emergentes. En breve se pondrá en marcha una herramienta de diagnóstico de la PI adaptada a las necesidades nacionales, junto con una guía titulada Ideas emprendedoras: guía sobre la PI para empresas emergentes, y se pondrá en marcha un taller de gestión de la PI para empresas seleccionadas. A fin de apoyar la mejora de la infraestructura de PI de la UANIPO, se ha avanzado en la conversión de la UANIPIO en Oficina depositante y con derecho de acceso a la plataforma del Servicio de Acceso Digital (DAS) de la OMPI, y se han celebrado conversaciones con el Ministro de Economía sobre la posible implantación de WIPO Connect. La Oficina Internacional ha seguido asignando recursos en el marco del programa de trabajo y presupuesto para asistencia técnica y jurídica, creación de capacidad y otras iniciativas en Ucrania. Se han adoptado medidas para garantizar que las publicaciones sobre los recursos y las plataformas de la OMPI respeten plenamente los principios de soberanía, independencia e integridad territorial de Ucrania dentro de sus fronteras internacionalmente reconocidas. En concreto, la Oficina Internacional ha examinado cuidadosamente las posibles medidas en el marco de los sistemas del PCT, Madrid, La Haya y Lisboa y, como resultado, ha modificado el contenido, ampliado el alcance cuando ha sido necesario e introducido renuncias en los recursos y plataformas pertinentes de la OMPI. La Secretaría reiteró su firme compromiso de seguir cooperando estrechamente para garantizar que su apoyo y asistencia reporten beneficios tangibles y tengan una repercusión real para los creadores, los innovadores y los miembros de la comunidad de la PI. El apoyo a Ucrania seguirá centrándose en mitigar los efectos adversos de la guerra y reconstruir un ecosistema de innovación y creatividad resiliente, inclusivo y dinámico, contribuyendo así a la recuperación económica y al desarrollo a largo plazo del país. El Memorando de Entendimiento firmado recientemente servirá de guía para la cooperación y la asistencia futuras.</w:t>
      </w:r>
    </w:p>
    <w:p w14:paraId="149B8ABD" w14:textId="4A24CE27" w:rsidR="0016586A" w:rsidRPr="00426AC7" w:rsidRDefault="0016586A" w:rsidP="62D966B3">
      <w:pPr>
        <w:pStyle w:val="ONUMFS"/>
        <w:rPr>
          <w:lang w:val="es-ES_tradnl"/>
        </w:rPr>
      </w:pPr>
      <w:r w:rsidRPr="00426AC7">
        <w:rPr>
          <w:lang w:val="es-ES_tradnl"/>
        </w:rPr>
        <w:t xml:space="preserve">La delegación de Ucrania expresó su sincero agradecimiento al director general por su liderazgo y compromiso constantes en apoyo de la innovación, la creatividad y los sectores de la PI de Ucrania. También expresó su gratitud al director general adjunto, a la División para los Países en Transición y Países Desarrollados (TDC) y a todas las demás dependencias pertinentes de la OMPI por su apoyo decisivo y por la asistencia concreta prestada al sistema de PI de Ucrania. Agradeció la solidaridad mostrada por los demás Estados miembros de la OMPI al apoyar las decisiones adoptadas en años anteriores con respecto a Ucrania. Esa acción colectiva ha desempeñado un papel fundamental para ayudar a Ucrania a proteger y mantener su innovación y su ecosistema de PI en las condiciones más severas y difíciles, y añadió que la magnitud de los daños y el costo estimado de la recuperación son colosales. Si bien el informe de la Secretaría proporciona información valiosa sobre el camino hacia la recuperación, solo ofrece una breve descripción general del inmenso sufrimiento y la destrucción causados por la guerra de agresión de la Federación de Rusia contra Ucrania. La </w:t>
      </w:r>
      <w:r w:rsidRPr="00426AC7">
        <w:rPr>
          <w:lang w:val="es-ES_tradnl"/>
        </w:rPr>
        <w:lastRenderedPageBreak/>
        <w:t xml:space="preserve">repercusión de la guerra es diaria y devastadora. En las semanas anteriores, la Federación de Rusia ha intensificado los ataques aéreos contra Kyiv y otras ciudades de Ucrania, causando la muerte o heridas a decenas de civiles, entre ellos niños. Se han dañado o destruido infraestructuras críticas, viviendas, lugares de interés cultural y edificios administrativos, incluidos los relacionados con el sistema de PI de Ucrania, entre ellos UANIPIO. Los recientes ataques aéreos han causado lesiones físicas y psicológicas a colegas de UANIPIO y han dañado las viviendas y las pertenencias de 15 miembros del personal. No se trata de casos aislados, sino que representan la realidad cotidiana a la que se enfrentan todos los interesados en la PI en toda Ucrania: creadores, inventores, empresarios y funcionarios públicos por igual. Hasta la fecha, casi 230 000 infraestructuras civiles han sido dañadas o destruidas y más de 300 000 viviendas han quedado destruidas durante la guerra, mientras que millones más son inaccesibles. Más de 2 200 sitios culturales, entre ellos museos, iglesias y bibliotecas, han sido dañados o destruidos y 7 millones de objetos culturales se han perdido, han sido saqueados o siguen atrapados en el territorio ocupado, pero Ucrania persevera a pesar de todo. Junto con el Ministerio de Economía, la UANIPIO sigue funcionando y está ultimando una estrategia nacional de PI, a la que contribuyen en gran medida los expertos de la OMPI, que servirá de hoja de ruta para superar los retos y lograr la recuperación. Se van a celebrar consultas públicas y se acogerá con agrado la participación continua de la OMPI. La resiliencia del sistema de PI en Ucrania también queda demostrada por la ampliación de la cartera de servicios y las operaciones de la UANIPIO, como se destaca en el documento A/66/8. La UANIPIO está ampliando sus servicios y operaciones y la red de CATI cuenta ya con más de 50 centros en toda Ucrania, incluso en regiones gravemente afectadas por la guerra de agresión de la Federación de Rusia contra Ucrania. La UANIPIO ha colaborado estrechamente con instituciones académicas y de investigación para elaborar sus políticas internas de PI utilizando la metodología de la OMPI. Mediante programas específicos, Ucrania está orientando la PI hacia ámbitos en los que salvará vidas y construirá un futuro. Iniciativas sectoriales específicas, como los proyectos Lab2Market UA: Veterano y MedTech, han abierto vías de innovación inclusivas para veteranos, científicos y voluntarios. En el sector creativo, se ha ofrecido a los artistas orientación y programas de divulgación, y se ha creado una unidad de apoyo a la industria creativa que ofrece consultas diarias. Se ha puesto en marcha un programa piloto de reembolso para las pymes en cooperación con las autoridades de la región de Kyiv, que les permite recuperar los gastos relacionados con la PI. El programa ha demostrado su eficacia y se están tomando medidas para ampliarlo a otras regiones afectadas por la guerra. Se insta a todos los Estados miembros de la OMPI a que se sumen a esas iniciativas y las complementen, ya fuera prestando asistencia a los solicitantes y las empresas ucranianos dentro de su jurisdicción u ofreciendo apoyo específico para crear capacidad en materia de PI en Ucrania. Cada marca registrada y cada patente concedida en Ucrania es un acto no solo de resiliencia económica, sino también de desafío frente a la agresión. Ucrania pide a los Estados miembros que apoyen activamente ese esfuerzo y que se mantengan al lado de Ucrania en el campo de batalla de la libertad, la creatividad y los valores democráticos. Ucrania sigue profundamente alarmada por el uso indebido continuado de los sistemas administrados por la OMPI por parte de la Federación de Rusia. A pesar de la decisión adoptada por las anteriores Asambleas de defender la integridad territorial de Ucrania (documento A/65/11, párrafo 201, apartado c)), se han publicado tres nuevos registros internacionales de marcas en el marco del Sistema de Madrid en los que figuran direcciones ucranianas en territorios temporalmente ocupados como si formaran parte de la Federación de Rusia. Si bien se reconocen las medidas adoptadas por la OMPI, esas solicitudes, presentadas después de la decisión de la Asamblea de 2024, muestran claramente que la salvaguardia basada en la renuncia es ineficaz, no impide el abuso sistemático y no cumple lo exigido. La delegación reafirmó que la OMPI debe actuar con decisión, transparencia y rapidez para restablecer la integridad de su sistema. No se trata de una cuestión técnica, sino de una profunda prueba institucional para toda la comunidad internacional de PI sobre la capacidad colectiva de defender los principios del Derecho internacional y sus compromisos en virtud de la Carta de las Naciones Unidas. La Oficina Internacional debe reforzar las medidas técnicas </w:t>
      </w:r>
      <w:r w:rsidRPr="00426AC7">
        <w:rPr>
          <w:lang w:val="es-ES_tradnl"/>
        </w:rPr>
        <w:lastRenderedPageBreak/>
        <w:t>que garanticen el respeto de la soberanía, la independencia y la integridad territorial de Ucrania dentro de sus fronteras internacionalmente reconocidas. Deben elaborarse y aplicarse soluciones técnicas para impedir la tergiversación de las direcciones de los solicitantes y bloquear cualquier intento de presentación de solicitudes con el fin de apropiarse indebidamente de territorios ucranianos. La OMPI tiene la base jurídica necesaria y la responsabilidad institucional de defender esos principios y, al hacerlo, se trata de una cuestión de Derecho internacional y un punto de referencia fundamental para la credibilidad de la Organización como organismo de las Naciones Unidas encargado de administrar el sistema mundial de PI. Además de las medidas de cumplimiento, Ucrania reiteró su llamamiento a la única respuesta eficaz posible a las brutales acciones de la Federación de Rusia, que incluyen el cierre de la Oficina de la OMPI en la Federación de Rusia, la suspensión de la financiación de cualquier proyecto de la OMPI en la Federación de Rusia, el cese de toda cooperación con los funcionarios rusos, la presión para que dejen de utilizar los recursos de la OMPI para legitimar la ocupación ilegal del territorio ucraniano y el apoyo y la asistencia continuos a Ucrania, con un seguimiento constante de la aplicación.</w:t>
      </w:r>
    </w:p>
    <w:p w14:paraId="2E2636AC" w14:textId="5FC3E7B9" w:rsidR="0016586A" w:rsidRPr="00426AC7" w:rsidRDefault="0016586A" w:rsidP="0016586A">
      <w:pPr>
        <w:pStyle w:val="ONUMFS"/>
        <w:rPr>
          <w:bCs/>
          <w:szCs w:val="22"/>
          <w:lang w:val="es-ES_tradnl"/>
        </w:rPr>
      </w:pPr>
      <w:r w:rsidRPr="00426AC7">
        <w:rPr>
          <w:bCs/>
          <w:szCs w:val="22"/>
          <w:lang w:val="es-ES_tradnl"/>
        </w:rPr>
        <w:t xml:space="preserve">La delegación de Estonia, </w:t>
      </w:r>
      <w:r w:rsidR="008019E4" w:rsidRPr="00426AC7">
        <w:rPr>
          <w:bCs/>
          <w:szCs w:val="22"/>
          <w:lang w:val="es-ES_tradnl"/>
        </w:rPr>
        <w:t xml:space="preserve">haciendo uso de la palabra </w:t>
      </w:r>
      <w:r w:rsidRPr="00426AC7">
        <w:rPr>
          <w:bCs/>
          <w:szCs w:val="22"/>
          <w:lang w:val="es-ES_tradnl"/>
        </w:rPr>
        <w:t xml:space="preserve">en nombre del Grupo CEBS, elogió a la OMPI por los esfuerzos realizados durante el período que abarca el informe para mejorar, en la medida de lo posible, la infraestructura y el ecosistema de la PI en Ucrania. En su labor, la OMPI </w:t>
      </w:r>
      <w:r w:rsidR="009B498F" w:rsidRPr="00426AC7">
        <w:rPr>
          <w:bCs/>
          <w:szCs w:val="22"/>
          <w:lang w:val="es-ES_tradnl"/>
        </w:rPr>
        <w:t xml:space="preserve">tiene </w:t>
      </w:r>
      <w:r w:rsidRPr="00426AC7">
        <w:rPr>
          <w:bCs/>
          <w:szCs w:val="22"/>
          <w:lang w:val="es-ES_tradnl"/>
        </w:rPr>
        <w:t xml:space="preserve">en cuenta las circunstancias y necesidades sobre el terreno, que son consecuencia directa de la agresión rusa en curso contra Ucrania. El informe pone de manifiesto que tres años de guerra han tenido profundas repercusiones sociales, humanitarias y económicas en Ucrania; sin embargo, el aumento de las tendencias en algunas solicitudes nacionales e internacionales de PI ofrece motivos de esperanza. El Grupo expresó gran preocupación por las conclusiones que reflejan que la guerra ilegal de agresión de la Federación de Rusia sigue teniendo una repercusión significativa y negativa en el sector de la innovación y la creatividad y en el sistema de PI en Ucrania, ya que los resultados siguen estando muy por debajo del nivel anterior a la guerra de 2021. Los daños causados a las infraestructuras que prestan servicios a las instituciones científicas, educativas, de investigación y culturales no tienen precedentes. Lo más importante es la pérdida de potencial y capacidad de las partes interesadas en el ecosistema de la PI de Ucrania. A pesar del aumento registrado en el número de solicitudes PCT en 2024, las cifras globales se mantuvieron por debajo de los niveles anteriores a la guerra a gran escala de 2021. El descenso del 4,5 % registrado en 2024 en las designaciones ucranianas en solicitudes internacionales de registro de marcas en comparación con 2023 es motivo de verdadera preocupación, ya que pone de manifiesto los graves daños infligidos al sistema de PI ucraniano en comparación con la situación anterior a la guerra, en 2021. La fuga de capital intelectual también es motivo de preocupación: 6,9 millones de ucranianos han abandonado el país como refugiados y otros 3,7 millones se encuentran desplazados internamente. Los efectos negativos de gran alcance de la invasión de Ucrania por la Federación de Rusia, desde el deterioro de la salud mental de las partes interesadas en la PI, la fuga de cerebros causada por la crisis humanitaria y amplificada por los daños a las infraestructuras, así como la reducción de los recursos financieros, han puesto de relieve la necesidad de que la comunidad internacional aproveche todas las posibilidades para seguir apoyando al pueblo ucraniano a la hora de hacer frente a los efectos negativos y duraderos de la guerra. </w:t>
      </w:r>
      <w:r w:rsidRPr="00426AC7">
        <w:rPr>
          <w:lang w:val="es-ES_tradnl"/>
        </w:rPr>
        <w:t xml:space="preserve">Estos hechos no dejan lugar a dudas de que se necesitarán muchos años para compensar los daños causados por la guerra. </w:t>
      </w:r>
      <w:r w:rsidRPr="00426AC7">
        <w:rPr>
          <w:bCs/>
          <w:szCs w:val="22"/>
          <w:lang w:val="es-ES_tradnl"/>
        </w:rPr>
        <w:t xml:space="preserve">El Grupo hizo hincapié en la necesidad de un compromiso a largo plazo por parte de la OMPI y añadió que la función de la OMPI de proporcionar asistencia específica y adaptada al ecosistema de la PI de Ucrania es indispensable para atender las necesidades inmediatas y mitigar la repercusión negativa de la guerra, que podría tener efectos irreversibles a largo plazo. El Grupo CEBS expresó su solidaridad con Ucrania y su pueblo y exhortó a la OMPI a que siga prestando asistencia y apoyo al sector de la innovación y la creatividad y al sistema de PI de Ucrania sobre la base de la propuesta de decisión que figura en el documento A/65/8 (Propuesta conjunta del Grupo de Estados de Europa Central y el Báltico (CEBS) y del Grupo B sobre la asistencia y apoyo al sector de innovación y creatividad y al sistema de propiedad </w:t>
      </w:r>
      <w:r w:rsidRPr="00426AC7">
        <w:rPr>
          <w:bCs/>
          <w:szCs w:val="22"/>
          <w:lang w:val="es-ES_tradnl"/>
        </w:rPr>
        <w:lastRenderedPageBreak/>
        <w:t>intelectual de Ucrania). El Grupo instó a la Federación de Rusia a que atienda las demandas de la comunidad internacional de cesar inmediatamente el uso de la fuerza contra Ucrania y a que retire de inmediato, por completo y sin condiciones, todas sus fuerzas militares del territorio de Ucrania dentro de sus fronteras internacionalmente reconocidas.</w:t>
      </w:r>
    </w:p>
    <w:p w14:paraId="0B0C3F4D" w14:textId="09655A99" w:rsidR="0016586A" w:rsidRPr="00426AC7" w:rsidRDefault="0016586A" w:rsidP="62D966B3">
      <w:pPr>
        <w:pStyle w:val="ONUMFS"/>
        <w:rPr>
          <w:lang w:val="es-ES_tradnl"/>
        </w:rPr>
      </w:pPr>
      <w:r w:rsidRPr="00426AC7">
        <w:rPr>
          <w:lang w:val="es-ES_tradnl"/>
        </w:rPr>
        <w:t xml:space="preserve">La delegación de Dinamarca, en nombre de la Unión Europea y sus Estados miembros, dijo que, durante más de tres años, la </w:t>
      </w:r>
      <w:r w:rsidRPr="00426AC7" w:rsidDel="0080756C">
        <w:rPr>
          <w:lang w:val="es-ES_tradnl"/>
        </w:rPr>
        <w:t xml:space="preserve">Unión Europea </w:t>
      </w:r>
      <w:r w:rsidRPr="00426AC7">
        <w:rPr>
          <w:lang w:val="es-ES_tradnl"/>
        </w:rPr>
        <w:t xml:space="preserve">y sus Estados miembros han pedido repetidamente a la Federación de Rusia que ponga fin de inmediato a su invasión injustificada y no provocada de Ucrania, que ha causado una crisis humanitaria sin precedentes, la pérdida de vidas y una tragedia humanitaria, así como graves destrucciones y daños a la infraestructura civil. Durante más de tres años, los miembros han escuchado a la Federación de Rusia acusar a otros de politizar los debates de la OMPI y plantear cuestiones que no guardan relación con la labor de la Organización. El informe de la Secretaría no deja lugar a dudas sobre la profunda repercusión negativa de la guerra de agresión de Rusia en el funcionamiento del ecosistema de PI de Ucrania. Para que la economía ucraniana vuelva a su trayectoria anterior a la guerra se necesitarán años, quizás décadas, si no más. La economía ucraniana, que se encuentra en un nivel inferior al 70 % del nivel anterior a la guerra, necesitará recursos en forma de subvenciones y enormes esfuerzos para reconstruirse y recuperarse. Es aún más difícil imaginar cuánto tiempo llevará y cuántas inversiones serán necesarias para volver a la senda de crecimiento que disfrutaba la economía ucraniana antes de la guerra. La Unión Europea y sus Estados miembros exigen a la Federación de Rusia que ponga fin de inmediato a su invasión ilegal, no provocada e injustificada de Ucrania, retire todas sus tropas de todo el territorio y cese todas las violaciones del Derecho internacional. Como se pone de manifiesto en el informe, la guerra ha causado una tragedia humana, un aumento sin precedentes de la pobreza entre los ucranianos y daños inimaginables a la infraestructura civil, estimados en 176 000 millones de dólares EE. UU. La destrucción de casi 500 sitios culturales, científicos y educativos, según la Organización de las Naciones Unidas para la Educación, la Ciencia y la Cultura (UNESCO), afectará negativamente al desarrollo del ecosistema de PI de Ucrania a corto, medio y largo plazo. </w:t>
      </w:r>
      <w:r w:rsidR="00C3526E" w:rsidRPr="00426AC7">
        <w:rPr>
          <w:lang w:val="es-ES_tradnl"/>
        </w:rPr>
        <w:t>Según la delegación, l</w:t>
      </w:r>
      <w:r w:rsidRPr="00426AC7">
        <w:rPr>
          <w:lang w:val="es-ES_tradnl"/>
        </w:rPr>
        <w:t xml:space="preserve">a repercusión de la pérdida de más de 150 científicos, entre ellos mujeres y jóvenes talentos, como consecuencia de la guerra de agresión que Rusia sigue librando contra Ucrania, es incalculable. </w:t>
      </w:r>
      <w:r w:rsidR="000B44D8" w:rsidRPr="00426AC7">
        <w:rPr>
          <w:lang w:val="es-ES_tradnl"/>
        </w:rPr>
        <w:t>Dijo que l</w:t>
      </w:r>
      <w:r w:rsidRPr="00426AC7">
        <w:rPr>
          <w:lang w:val="es-ES_tradnl"/>
        </w:rPr>
        <w:t xml:space="preserve">a Federación de Rusia y sus dirigentes deben rendir cuentas por la guerra de agresión contra Ucrania y por otros delitos graves contra el Derecho internacional, así como por los daños masivos causados por su guerra. La fuga de capital humano, puesta de manifiesto en el informe e intensificada por los desplazamientos internos y la migración externa, sigue planteando un desafío para el desarrollo del ecosistema de PI en Ucrania. </w:t>
      </w:r>
      <w:r w:rsidR="000B44D8" w:rsidRPr="00426AC7">
        <w:rPr>
          <w:lang w:val="es-ES_tradnl"/>
        </w:rPr>
        <w:t>En su opinión, e</w:t>
      </w:r>
      <w:r w:rsidRPr="00426AC7">
        <w:rPr>
          <w:lang w:val="es-ES_tradnl"/>
        </w:rPr>
        <w:t xml:space="preserve">l miedo es un gran enemigo de la creatividad y la innovación. Los continuos ataques rusos contra ciudades y civiles ucranianos son una fuente constante de temor para las personas por la vida de sus seres queridos. Han tenido que huir de su propio país y no pueden disfrutar de una vida normal. La Unión Europea y sus Estados miembros expresan su apoyo continuo e inquebrantable a Ucrania y al pueblo ucraniano. Acogen con satisfacción el aumento del número de solicitudes de PI y elogian a los innovadores y creadores ucranianos por su determinación y perseverancia. A pesar de las condiciones extremadamente difíciles, han seguido contribuyendo al crecimiento de la economía y la PI a nivel mundial. También es encomiable la capacidad de las instituciones de PI de Ucrania para preservar sus funciones básicas, ampliar los servicios y adaptarse al nuevo entorno. La Unión Europea y sus Estados miembros seguirán apoyando la recuperación de la economía y el ecosistema de PI de Ucrania, y acogen con satisfacción el crecimiento dinámico de los sectores agroalimentario, de tecnología médica, de las TIC y digital en Ucrania. Observan con satisfacción la cooperación sinérgica entre la OMPI y las instituciones de la Unión Europea, especialmente la Oficina de Propiedad Intelectual de la Unión Europea (EUIPO), en la prestación de asistencia a las pymes y otras partes interesadas en la PI de Ucrania. Se reconocen y acogen con satisfacción todas las actividades de la OMPI encaminadas a fortalecer la arquitectura institucional del ecosistema de la PI en Ucrania y a prestar asistencia orientada a los resultados a las partes interesadas en la PI en ese país. Se valoran igualmente las iniciativas destinadas a reforzar la resiliencia de las instituciones </w:t>
      </w:r>
      <w:r w:rsidRPr="00426AC7">
        <w:rPr>
          <w:lang w:val="es-ES_tradnl"/>
        </w:rPr>
        <w:lastRenderedPageBreak/>
        <w:t xml:space="preserve">ucranianas y su capacidad para participar en proyectos e iniciativas internacionales. Las señales positivas señaladas en el informe confirman la oportunidad, la necesidad y la importancia de la labor y los esfuerzos de la OMPI. La Unión Europea y sus Estados miembros agradecieron todo el apoyo prestado por la OMPI al sector de la innovación y la creatividad y al sistema de PI en Ucrania. La Unión Europea y sus Estados miembros esperan con interés la evaluación actualizada de las repercusiones a medio y largo plazo de la guerra </w:t>
      </w:r>
      <w:r w:rsidRPr="00426AC7">
        <w:rPr>
          <w:rFonts w:asciiTheme="minorHAnsi" w:eastAsiaTheme="minorEastAsia" w:hAnsiTheme="minorHAnsi" w:cstheme="minorBidi"/>
          <w:kern w:val="2"/>
          <w:sz w:val="24"/>
          <w:szCs w:val="24"/>
          <w:lang w:val="es-ES_tradnl" w:eastAsia="en-US"/>
          <w14:ligatures w14:val="standardContextual"/>
        </w:rPr>
        <w:t xml:space="preserve">de </w:t>
      </w:r>
      <w:r w:rsidRPr="00426AC7">
        <w:rPr>
          <w:lang w:val="es-ES_tradnl"/>
        </w:rPr>
        <w:t>agresión de la Federación de Rusia contra Ucrania en el sector de la innovación y la creatividad y el sistema de PI de Ucrania en las próximas Asambleas de la OMPI. La delegación señaló que la declaración también se ha formulado en nombre de Islandia, Noruega, Mónaco, Suiza y el Reino Unido.</w:t>
      </w:r>
    </w:p>
    <w:p w14:paraId="6FE52624" w14:textId="589EC39E" w:rsidR="0016586A" w:rsidRPr="00426AC7" w:rsidRDefault="0016586A" w:rsidP="62D966B3">
      <w:pPr>
        <w:pStyle w:val="ONUMFS"/>
        <w:rPr>
          <w:lang w:val="es-ES_tradnl"/>
        </w:rPr>
      </w:pPr>
      <w:r w:rsidRPr="00426AC7">
        <w:rPr>
          <w:lang w:val="es-ES_tradnl"/>
        </w:rPr>
        <w:t>La delegación del Reino Unido habló en nombre de los siguientes Estados miembros: Albania, Alemania, Australia, Austria, Bélgica, Bulgaria, Canadá, Croacia, Chipre, Dinamarca, Eslovenia, España, Estonia, Finlandia, Francia, Georgia, Grecia, Irlanda, Islandia, Italia, Letonia, Lituania, Luxemburgo, Japón, Macedonia del Norte, Malta, Mónaco, Montenegro, Noruega, Nueva Zelandia, Polonia, Portugal, Reino de los Países Bajos, Reino Unido, República Checa, República de Moldova, Rumanía, Suecia, Suiza y Ucrania. El Grupo de países de ideas afines acoge con satisfacción el informe de la Secretaría. El Grupo lamenta que fuera necesario elaborar un informe de este tipo debido a las acciones ilegales de un país, pero afirmó que dicho informe es y seguirá siendo imprescindible mientras continúen esas acciones ilegales. El informe pone de relieve las devastadoras consecuencias de la guerra de agresión de Rusia contra Ucrania y las repercusiones de la violación de las fronteras nacionales. Deja claro que la guerra sigue teniendo un impacto negativo en el sector de la innovación y la creatividad y en el ecosistema de la PI en Ucrania, con la persistencia e incluso la intensificación de los efectos observados anteriormente. Por lo tanto, la asistencia técnica es más crucial que nunca para el futuro de Ucrania. Se acoge con satisfacción la ayuda prestada por la Oficina Internacional a Ucrania ante los ataques brutales e injustificados contra las personas, el país y, en consecuencia, su PI, su ecosistema creativo y de innovación. Los continuos ataques de la Federación de Rusia contra la independencia, la integridad territorial y la soberanía de Ucrania por tierra, mar y aire, que causan daños considerables al ecosistema de PI, son intolerables y deben cesar. El año anterior, las Asambleas de la OMPI pidieron a la Oficina Internacional que tome medidas para garantizar que las publicaciones en los recursos y plataformas de la OMPI se ajusten a los principios de soberanía, independencia e integridad territorial de Ucrania dentro de sus fronteras internacionalmente reconocidas (documento</w:t>
      </w:r>
      <w:r w:rsidR="00E153F3" w:rsidRPr="00426AC7">
        <w:rPr>
          <w:lang w:val="es-ES_tradnl"/>
        </w:rPr>
        <w:t> </w:t>
      </w:r>
      <w:r w:rsidRPr="00426AC7">
        <w:rPr>
          <w:lang w:val="es-ES_tradnl"/>
        </w:rPr>
        <w:t>A/65/11, párrafo 201, apartado c)). Sin embargo, a pesar del claro mandato, el Grupo no ha observado actividades suficientes para hacer frente a las publicaciones incorrectas realizadas en los sistemas de la OMPI que violan las fronteras soberanas e internacionalmente reconocidas de Ucrania. La medida actual de incluir una cláusula de exención de responsabilidad no es suficiente. Dado que la Federación de Rusia ha violado la integridad territorial de Ucrania, la Federación de Rusia ha registrado varias solicitudes de derechos de PI en los sistemas de Madrid y del PCT desde territorios ocupados ilegalmente. Esas solicitudes irregulares continúan presentándose desde la última decisión de la OMPI, incluida la solicitud de registro n.º 1820461, presentada el 29 de julio de 2024, y la n.º 1862267, presentada el 17 de abril de 2025 en el marco del Sistema de Madrid. El Grupo insta a la Secretaría a que adopte todas las medidas necesarias para encontrar una solución que permita aplicar eficazmente la decisión de las Asambleas de 2024. También debería garantizar su compromiso al respecto e informar a los Estados miembros de las medidas adoptadas para dar efecto al mandato de la decisión (documento A/65/11, párr. 201), así como supervisar de cerca e informar sobre la frecuencia de los casos en todos los sistemas de la OMPI.</w:t>
      </w:r>
    </w:p>
    <w:p w14:paraId="44F5239F" w14:textId="77777777" w:rsidR="0016586A" w:rsidRPr="00426AC7" w:rsidRDefault="0016586A" w:rsidP="62D966B3">
      <w:pPr>
        <w:pStyle w:val="ONUMFS"/>
        <w:rPr>
          <w:lang w:val="es-ES_tradnl"/>
        </w:rPr>
      </w:pPr>
      <w:r w:rsidRPr="00426AC7">
        <w:rPr>
          <w:lang w:val="es-ES_tradnl"/>
        </w:rPr>
        <w:t xml:space="preserve">La delegación del Níger reafirmó su compromiso con el multilateralismo, la cooperación y la solidaridad internacional, así como con el principio de igualdad entre los Estados y la igualdad de trato de los Estados miembros en las organizaciones internacionales. La asistencia de la OMPI debería prestarse a todos los Estados miembros sin discriminación. Al referirse al informe que figura en el documento A/66/8, la delegación expresó preocupación por el hecho </w:t>
      </w:r>
      <w:r w:rsidRPr="00426AC7">
        <w:rPr>
          <w:lang w:val="es-ES_tradnl"/>
        </w:rPr>
        <w:lastRenderedPageBreak/>
        <w:t>de que los recursos de la Organización se estén asignando para ayudar a un solo Estado miembro. Muchos Estados miembros de todo el mundo, en particular los países en desarrollo y los PMA, se enfrentan a múltiples retos, como la incidencia del cambio climático, la inseguridad y los conflictos armados, entre otras dificultades. Hacer frente a esos retos exige una parte considerable del presupuesto de cualquier Estado, en detrimento de la creatividad, la innovación y los sectores relacionados con la PI. Teniendo esto presente, debe tenerse en cuenta el mensaje que se transmite a los demás Estados miembros al desviar recursos a un solo Estado miembro. Este enfoque hace que otros Estados se sientan abandonados y menos iguales. El informe de la Secretaría no contiene ninguna justificación para el trato privilegiado concedido a un país. Otros Estados Miembros pueden considerar que ese trato constituye un favoritismo arbitrario. Por esa razón, el tema debe suprimirse del programa de las Asambleas o modificarse para incluir a todos los Estados Miembros que se encuentran en situaciones similares o que se enfrentan a retos de gravedad similar.</w:t>
      </w:r>
    </w:p>
    <w:p w14:paraId="0B645E03" w14:textId="77777777" w:rsidR="0016586A" w:rsidRPr="00426AC7" w:rsidRDefault="0016586A" w:rsidP="0016586A">
      <w:pPr>
        <w:pStyle w:val="ONUMFS"/>
        <w:rPr>
          <w:bCs/>
          <w:szCs w:val="22"/>
          <w:lang w:val="es-ES_tradnl"/>
        </w:rPr>
      </w:pPr>
      <w:r w:rsidRPr="00426AC7">
        <w:rPr>
          <w:bCs/>
          <w:szCs w:val="22"/>
          <w:lang w:val="es-ES_tradnl"/>
        </w:rPr>
        <w:t>La delegación de Malí tomó nota del informe y subrayó que uno de los principales objetivos de la Organización es garantizar un ecosistema mundial de PI equilibrado y eficiente. La prestación de asistencia a Ucrania puede interpretarse como favoritismo, especialmente en el contexto actual de tensiones geopolíticas y crisis multifacéticas y multidimensionales, que obligan a muchos países a destinar gran parte de sus recursos públicos a la seguridad en detrimento de sectores como la innovación y la creatividad. Todos los Estados miembros deben recibir un trato justo y equitativo en materia de asistencia y cooperación. El principio de equilibrio entre los Estados miembros nunca debe verse socavado.</w:t>
      </w:r>
    </w:p>
    <w:p w14:paraId="51D2F557" w14:textId="77777777" w:rsidR="00A43FF4" w:rsidRPr="00426AC7" w:rsidRDefault="00A43FF4" w:rsidP="62D966B3">
      <w:pPr>
        <w:pStyle w:val="ONUMFS"/>
        <w:rPr>
          <w:lang w:val="es-ES_tradnl"/>
        </w:rPr>
      </w:pPr>
      <w:r w:rsidRPr="00426AC7">
        <w:rPr>
          <w:lang w:val="es-ES_tradnl"/>
        </w:rPr>
        <w:t xml:space="preserve">La Federación de Rusia dijo que se ha opuesto siempre y seguirá oponiéndose a la politización artificial de la labor de la OMPI, y destacó que el punto 20 del orden del día es el resultado de las odiosas decisiones de las tres series anteriores de Asambleas y que el sesgo político de las decisiones mencionadas constituye una grave violación del mandato de la Organización.  Señaló que esas decisiones se adoptaron sin consenso, en un procedimiento de votación sin precedentes en la historia reciente de la Organización, y solo recibieron el apoyo de un tercio de los Estados miembros.  Destacó que, tanto durante las series anteriores de reuniones de las Asambleas como en la actual, se han formulado numerosas declaraciones a favor de ampliar el círculo de beneficiarios del apoyo de la OMPI para dar cabida a los sectores de la innovación y la creatividad y a los ecosistemas de PI de otros Estados miembros interesados, y señaló que las voces de esos Estados miembros aún no se han escuchado.  Asimismo, recordó la importancia de alcanzar los ODS y destacó que los recursos disponibles de la OMPI deben utilizarse, ante todo, para prestar asistencia técnica a los países en desarrollo y a los PMA, así como a los Estados que se enfrentan a crisis como desastres naturales, los efectos del cambio climático, pandemias e inestabilidad económica.  Señaló que resulta inaceptable seleccionar a un Estado miembro concreto para recibir dicha asistencia técnica, especialmente por motivos políticos, ya que ese enfoque contradice categóricamente el principio fundamental de igualdad, que es la piedra angular de las relaciones internacionales y del funcionamiento del sistema de las Naciones Unidas.  Recordó también que, por regla general, el examen de los proyectos relacionados con la prestación de asistencia técnica es competencia del CDIP y subrayó que la ejecución de esos proyectos también requiere una comprensión clara de sus mecanismos de financiación y los costos asociados, que son competencia del PBC.  Señaló que, sin embargo, esta cuestión nunca se ha sometido al examen de los órganos mencionados, lo cual es totalmente inaceptable.  Hizo hincapié en la necesidad de respetar el mandato de la OMPI y de tener debidamente en cuenta las perspectivas y los intereses a largo plazo de todos los Estados miembros, señalando la inadmisibilidad de un enfoque selectivo y politizado de la prestación de asistencia técnica que eluda la coordinación acordada de esa actividad en los comités pertinentes. Asimismo, señaló especialmente que, según el informe de la Secretaría, los recursos de la OMPI se destinan en gran medida a fines militares: varios párrafos del informe contienen referencias a tecnologías de doble uso, avances en materia de defensa, producción de drones y apoyo a tecnologías relacionadas con la defensa;  lo que implica esencialmente que los recursos de una </w:t>
      </w:r>
      <w:r w:rsidRPr="00426AC7">
        <w:rPr>
          <w:lang w:val="es-ES_tradnl"/>
        </w:rPr>
        <w:lastRenderedPageBreak/>
        <w:t>organización multilateral, destinados originalmente a los fines del desarrollo, principalmente para apoyar a los países en desarrollo y a los PMA, se están redirigiendo arbitrariamente para apoyar a la industria militar de un Estado miembro, en un contexto de debates sobre la reducción del presupuesto de la OMPI para el desarrollo.  La delegación afirmó que lo anterior pone de manifiesto el carácter politizado de esa iniciativa y, de manera más general, el deseo de un grupo concreto de países de politizar artificialmente la labor de las Asambleas de la OMPI manteniendo en el orden del día propuestas controvertidas que carecen de apoyo universal.  Subrayó asimismo que el informe contiene conclusiones y consideraciones que exceden el mandato de la Organización.  La OMPI no tiene ninguna autoridad en el ámbito del Derecho internacional humanitario.  La delegación pidió que se ponga fin a esa práctica perniciosa, que socava la autoridad de la OMPI en tanto que organismo especializado y experto del sistema de las Naciones Unidas.  La delegación hizo hincapié en que los Estados miembros deben dejar de apoyar el informe, suprimir ese punto del orden del día de las Asambleas de la OMPI y concluir toda la labor de la Organización sobre esta cuestión.</w:t>
      </w:r>
    </w:p>
    <w:p w14:paraId="0E9ED56A" w14:textId="3697B586" w:rsidR="0016586A" w:rsidRPr="00426AC7" w:rsidRDefault="0016586A" w:rsidP="0016586A">
      <w:pPr>
        <w:pStyle w:val="ONUMFS"/>
        <w:rPr>
          <w:bCs/>
          <w:szCs w:val="22"/>
          <w:lang w:val="es-ES_tradnl"/>
        </w:rPr>
      </w:pPr>
      <w:r w:rsidRPr="00426AC7">
        <w:rPr>
          <w:szCs w:val="22"/>
          <w:lang w:val="es-ES_tradnl"/>
        </w:rPr>
        <w:t>La delegación de Polonia se adhirió a las declaraciones formuladas por las delegaciones de Dinamarca</w:t>
      </w:r>
      <w:r w:rsidRPr="00426AC7">
        <w:rPr>
          <w:bCs/>
          <w:szCs w:val="22"/>
          <w:lang w:val="es-ES_tradnl"/>
        </w:rPr>
        <w:t>,</w:t>
      </w:r>
      <w:r w:rsidRPr="00426AC7">
        <w:rPr>
          <w:szCs w:val="22"/>
          <w:lang w:val="es-ES_tradnl"/>
        </w:rPr>
        <w:t xml:space="preserve"> en nombre de la </w:t>
      </w:r>
      <w:r w:rsidRPr="00426AC7">
        <w:rPr>
          <w:bCs/>
          <w:szCs w:val="22"/>
          <w:lang w:val="es-ES_tradnl"/>
        </w:rPr>
        <w:t>Unión</w:t>
      </w:r>
      <w:r w:rsidRPr="00426AC7">
        <w:rPr>
          <w:szCs w:val="22"/>
          <w:lang w:val="es-ES_tradnl"/>
        </w:rPr>
        <w:t xml:space="preserve"> Europea </w:t>
      </w:r>
      <w:r w:rsidRPr="00426AC7">
        <w:rPr>
          <w:bCs/>
          <w:szCs w:val="22"/>
          <w:lang w:val="es-ES_tradnl"/>
        </w:rPr>
        <w:t xml:space="preserve">y sus Estados miembros, de Estonia, en nombre del Grupo CEBS, y del Reino Unido, en nombre del Grupo de países de ideas afines. Dijo que su país condena enérgicamente la brutal guerra de agresión que la Federación de Rusia está librando contra Ucrania. Los ataques regulares contra civiles y la infraestructura civil forman parte del plan de la Federación de Rusia para destruir Ucrania, descomponer su integridad territorial y destruir su identidad nacional, dañando su patrimonio cultural e histórico y causando una grave repercusión en la fuerza y la dignidad humanas del pueblo ucraniano. La delegación volvió a afirmar que la Federación de Rusia debe poner fin de inmediato a la guerra que viola el Derecho internacional y los principios en los que se basa la OMPI. El informe de la Secretaría proporciona pruebas suficientes e indiscutibles del carácter intencionado de la destrucción y los daños causados a hospitales, escuelas, universidades, centros tecnológicos y otros lugares, sin los cuales la PI se convertiría en un concepto abstracto. La delegación subrayó que la Federación de Rusia debe aceptar toda la responsabilidad por los daños causados y que, hasta entonces, no se le debe permitir disfrutar de todos los derechos y beneficios de la cooperación multilateral, en particular en el marco de la OMPI. Ningún informe puede transmitir plenamente la magnitud del drama humano y la repercusión de la fuga de capital intelectual y el tiempo necesario para su recuperación, y ningún informe puede estimar dónde se encontraría la economía ucraniana si el poder de los creadores, artistas e innovadores ucranianos no se hubiera visto sofocado por el miedo abrumador a perder la vida. Esos aspectos deben incluirse en la evaluación del informe sobre </w:t>
      </w:r>
      <w:r w:rsidRPr="00426AC7">
        <w:rPr>
          <w:lang w:val="es-ES_tradnl"/>
        </w:rPr>
        <w:t xml:space="preserve">las repercusiones negativas de la guerra de agresión que Rusia sigue librando contra Ucrania. </w:t>
      </w:r>
      <w:r w:rsidRPr="00426AC7">
        <w:rPr>
          <w:bCs/>
          <w:szCs w:val="22"/>
          <w:lang w:val="es-ES_tradnl"/>
        </w:rPr>
        <w:t xml:space="preserve">La delegación hizo hincapié en que el apoyo de su país al Gobierno y al pueblo de Ucrania es incondicional. Los refugiados ucranianos en Polonia se benefician de diversos programas sociales y más de 50.000 estudiantes ucranianos han estudiado en Polonia durante el último año académico. </w:t>
      </w:r>
      <w:r w:rsidR="00D94DC9" w:rsidRPr="00426AC7">
        <w:rPr>
          <w:bCs/>
          <w:szCs w:val="22"/>
          <w:lang w:val="es-ES_tradnl"/>
        </w:rPr>
        <w:t xml:space="preserve">Los ucranianos representan la mitad de todos los estudiantes extranjeros en las universidades polacas. El Centro Nacional de Ciencias de Polonia ha puesto en marcha proyectos de investigación para ayudar a los científicos e investigadores ucranianos, muchos de los cuales continúan sus investigaciones en Polonia.  Las universidades y los centros de investigación y tecnología polacos han adaptado sus actividades para ofrecer ayuda directa a sus homólogos de Ucrania. Más de 200 000 alumnos ucranianos de primaria, secundaria y bachillerato asistieron a escuelas polacas en 2024. </w:t>
      </w:r>
      <w:r w:rsidRPr="00426AC7">
        <w:rPr>
          <w:bCs/>
          <w:szCs w:val="22"/>
          <w:lang w:val="es-ES_tradnl"/>
        </w:rPr>
        <w:t xml:space="preserve">Desde el inicio de la guerra, se han registrado en Polonia más de 30.000 empresas ucranianas, muchas de ellas dedicadas a actividades relacionadas con la PI, en particular las TIC y las industrias creativas. La Oficina de Patentes de la República de Polonia apoya a la UANIPIO en sus esfuerzos por armonizar la normativa y desarrollar herramientas para los innovadores, en particular las pymes. Los esfuerzos de la Secretaría de la OMPI por ayudar al ecosistema de PI y a las partes interesadas en la PI de Ucrania son encomiables. Todos los proyectos y actividades presentados en el informe resultan muy oportunos y valiosos. Polonia considera muy valiosa la asistencia directa prestada por la OMPI a los empresarios, creadores, artistas, científicos e innovadores ucranianos que han </w:t>
      </w:r>
      <w:r w:rsidRPr="00426AC7">
        <w:rPr>
          <w:bCs/>
          <w:szCs w:val="22"/>
          <w:lang w:val="es-ES_tradnl"/>
        </w:rPr>
        <w:lastRenderedPageBreak/>
        <w:t xml:space="preserve">decidido continuar con sus actividades a pesar de las difíciles circunstancias, todos ellos merecedores de admiración y apoyo. Polonia apoya a sus colegas ucranianos que expresan preocupación por el registro adecuado de las solicitudes. La delegación insta a la Oficina Internacional a que adopte medidas para garantizar </w:t>
      </w:r>
      <w:r w:rsidRPr="00426AC7">
        <w:rPr>
          <w:lang w:val="es-ES_tradnl"/>
        </w:rPr>
        <w:t xml:space="preserve">que las publicaciones sobre los recursos y las plataformas de la OMPI se ajusten a los principios de soberanía, independencia e integridad territorial de Ucrania dentro de sus fronteras internacionalmente reconocidas, tal como </w:t>
      </w:r>
      <w:r w:rsidR="00056531" w:rsidRPr="00426AC7">
        <w:rPr>
          <w:lang w:val="es-ES_tradnl"/>
        </w:rPr>
        <w:t>se expone</w:t>
      </w:r>
      <w:r w:rsidRPr="00426AC7">
        <w:rPr>
          <w:lang w:val="es-ES_tradnl"/>
        </w:rPr>
        <w:t xml:space="preserve"> </w:t>
      </w:r>
      <w:r w:rsidRPr="00426AC7">
        <w:rPr>
          <w:bCs/>
          <w:szCs w:val="22"/>
          <w:lang w:val="es-ES_tradnl"/>
        </w:rPr>
        <w:t>en el apartado c) de la decisión adoptada por las Asambleas en 2024 (documento A/65/11, párr. 201). La delegación espera con interés la evaluación actualizada de las repercusiones a medio y largo plazo de la guerra de agresión de Rusia contra el sector de la innovación y la creatividad y el sistema de PI de Ucrania en las Asambleas de la OMPI del próximo año, así como la plena aplicación de la decisión que figura en el documento A/65/11.</w:t>
      </w:r>
    </w:p>
    <w:p w14:paraId="7E6DF0C3" w14:textId="129489B1" w:rsidR="0016586A" w:rsidRPr="00426AC7" w:rsidRDefault="0016586A" w:rsidP="0016586A">
      <w:pPr>
        <w:pStyle w:val="ONUMFS"/>
        <w:rPr>
          <w:bCs/>
          <w:szCs w:val="22"/>
          <w:lang w:val="es-ES_tradnl"/>
        </w:rPr>
      </w:pPr>
      <w:r w:rsidRPr="00426AC7">
        <w:rPr>
          <w:bCs/>
          <w:szCs w:val="22"/>
          <w:lang w:val="es-ES_tradnl"/>
        </w:rPr>
        <w:t>La delegación de la República Popular Democrática de Corea siempre se ha opuesto a la politización de la labor de la OMP</w:t>
      </w:r>
      <w:r w:rsidR="00426AC7" w:rsidRPr="00426AC7">
        <w:rPr>
          <w:bCs/>
          <w:szCs w:val="22"/>
          <w:lang w:val="es-ES_tradnl"/>
        </w:rPr>
        <w:t>I</w:t>
      </w:r>
      <w:r w:rsidRPr="00426AC7">
        <w:rPr>
          <w:bCs/>
          <w:szCs w:val="22"/>
          <w:lang w:val="es-ES_tradnl"/>
        </w:rPr>
        <w:t xml:space="preserve">, cuyo mandato es abordar cuestiones relacionadas con la innovación y la creación. Si las Asambleas desean debatir el restablecimiento del sistema de PI en Ucrania y la operación militar especial de la Federación de Rusia, también deberían hablar del apoyo a Gaza, donde se violan flagrantemente incluso los derechos humanos fundamentales a la vida y la existencia, y de los PMA, que son vulnerables al cambio climático y otros retos mundiales. Los informes sobre el apoyo técnico a un Estado miembro concreto deben debatirse en el CDIP o en el PBC, y no en un punto específico del orden del día de las Asambleas de la OMPI. </w:t>
      </w:r>
    </w:p>
    <w:p w14:paraId="5ABA5DF4" w14:textId="77777777" w:rsidR="0016586A" w:rsidRPr="00426AC7" w:rsidRDefault="0016586A" w:rsidP="62D966B3">
      <w:pPr>
        <w:pStyle w:val="ONUMFS"/>
        <w:rPr>
          <w:lang w:val="es-ES_tradnl"/>
        </w:rPr>
      </w:pPr>
      <w:r w:rsidRPr="00426AC7">
        <w:rPr>
          <w:lang w:val="es-ES_tradnl"/>
        </w:rPr>
        <w:t>La delegación de Belarús dijo que comparte las preocupaciones expresadas por las delegaciones de la Federación de Rusia, el Níger y Malí con respecto al informe presentado por la Secretaría. Su preparación constituye una iniciativa contradictoria y politizada de un grupo de países, y viola los principios en que se basa el apoyo técnico de la OMPI, como la inclusividad y la igualdad de derechos. La iniciativa es incompatible con el mandato de la OMPI desde el principio. Su aplicación crea desigualdades de oportunidades y discrimina a otros Estados miembros afectados por conflictos, crisis económicas o sanciones económicas ilegales que también necesitan apoyo técnico. Se trata de una politización deshonesta del programa de la OMPI y un uso indebido del mandato de la Organización, lo cual es inaceptable. El programa y las actividades de la OMPI deben ser inclusivos y tener en cuenta los intereses de todos los Estados miembros en pie de igualdad. Los Estados miembros que han iniciado el tema del programa deben dejar de abusar de la plataforma de la OMPI. La delegación dijo que apoya la propuesta de que se suprima el tema del programa y se ponga fin a la labor de la Organización al respecto.</w:t>
      </w:r>
    </w:p>
    <w:p w14:paraId="3AB32FE2" w14:textId="77777777" w:rsidR="0016586A" w:rsidRPr="00426AC7" w:rsidRDefault="0016586A" w:rsidP="62D966B3">
      <w:pPr>
        <w:pStyle w:val="ONUMFS"/>
        <w:rPr>
          <w:lang w:val="es-ES_tradnl"/>
        </w:rPr>
      </w:pPr>
      <w:r w:rsidRPr="00426AC7">
        <w:rPr>
          <w:lang w:val="es-ES_tradnl"/>
        </w:rPr>
        <w:t>La delegación de la República Bolivariana de Venezuela tomó nota del informe, pero no está de acuerdo en que se seleccione a un Estado miembro para recibir apoyo técnico para su sector de la innovación y la creatividad y su sistema de PI. Ese enfoque es desequilibrado y no tiene en cuenta las necesidades de otros Estados miembros, en particular los países en desarrollo y los que atraviesan situaciones adversas, como desastres naturales, o están sujetos a la imposición ilegal de sanciones unilaterales, cuyas consecuencias constituyen una amenaza incuestionable para la protección de la PI. Por lo tanto, es importante ampliar la lista de beneficiarios, de conformidad con el principio de igualdad como fundamento de las relaciones internacionales.</w:t>
      </w:r>
    </w:p>
    <w:p w14:paraId="0740CD91" w14:textId="77777777" w:rsidR="0016586A" w:rsidRPr="00426AC7" w:rsidRDefault="0016586A" w:rsidP="0016586A">
      <w:pPr>
        <w:pStyle w:val="ONUMFS"/>
        <w:rPr>
          <w:bCs/>
          <w:szCs w:val="22"/>
          <w:lang w:val="es-ES_tradnl"/>
        </w:rPr>
      </w:pPr>
      <w:r w:rsidRPr="00426AC7">
        <w:rPr>
          <w:bCs/>
          <w:szCs w:val="22"/>
          <w:lang w:val="es-ES_tradnl"/>
        </w:rPr>
        <w:t xml:space="preserve">La delegación de la República de Moldova recordó que propuso la decisión sobre la asistencia a Ucrania, en 2024, en nombre del Grupo CEBS y del Grupo B, impulsada por la firme convicción de la urgente necesidad de hacer frente a las devastadoras consecuencias de la guerra de agresión emprendida por la Federación de Rusia contra Ucrania, y en particular su repercusión en el sector de la innovación y la creatividad y en el sistema de PI de este último país. La decisión, aprobada por las Asambleas en 2024, refleja la gravedad de la situación en opinión de la mayoría de los Estados miembros de la OMPI y muestra su solidaridad con Ucrania. No discrimina en modo alguno a ningún Estado miembro ni socava el principio de </w:t>
      </w:r>
      <w:r w:rsidRPr="00426AC7">
        <w:rPr>
          <w:bCs/>
          <w:szCs w:val="22"/>
          <w:lang w:val="es-ES_tradnl"/>
        </w:rPr>
        <w:lastRenderedPageBreak/>
        <w:t>distribución equitativa de los recursos. En esos momentos extremadamente difíciles, el apoyo de la OMPI al ecosistema de PI de Ucrania era fundamental. Se agradecen los esfuerzos que está realizando la OMPI en esas difíciles circunstancias. Si bien las mejoras señaladas en el informe de la Secretaría son positivas, también se pone claramente de relieve la repercusión negativa que sigue teniendo la guerra en el ecosistema de la PI de Ucrania. Como país vecino, comprende plenamente la urgencia de la situación y hace hincapié en que la asistencia técnica sigue siendo fundamental para la recuperación y la resiliencia de Ucrania. Varias declaraciones formuladas durante el debate en curso, en particular la de la delegación de Ucrania y la del Reino Unido en nombre del Grupo de países de ideas afines, han puesto de relieve preocupaciones bien fundadas con respecto a las publicaciones y plataformas de la OMPI. Se acogerán con agrado las respuestas de la Secretaría al respecto. Su país aplica el marco jurídico vigente de manera que se respeten los principios fundamentales de soberanía e integridad territorial en relación con Ucrania. En concreto, las solicitudes presentadas a través de su oficina nacional de PI y examinadas por esta garantizan que no se conceda ningún registro cuyo contenido contravenga los principios fundamentales de soberanía e integridad territorial en relación con Ucrania. Ese enfoque reafirma el compromiso de la República de Moldova con el orden internacional basado en normas y con la integridad del sistema de PI. El mismo enfoque debería adoptarse a nivel internacional. Todas las plataformas y publicaciones de la OMPI deben cumplir plenamente el derecho internacional y los principios de soberanía e integridad territorial de Ucrania. Por lo tanto, se requiere una mayor vigilancia y esfuerzos coordinados en todos los aspectos de la administración de la PI en todas las etapas, ya sea la presentación, el registro o la publicación. Reiteró su apoyo inquebrantable a Ucrania y pidió a la OMPI que continúe prestando su apoyo técnico e institucional vital.</w:t>
      </w:r>
    </w:p>
    <w:p w14:paraId="5C1AECB2" w14:textId="0CD8ECDB" w:rsidR="0016586A" w:rsidRPr="00426AC7" w:rsidRDefault="0016586A" w:rsidP="0016586A">
      <w:pPr>
        <w:pStyle w:val="ONUMFS"/>
        <w:rPr>
          <w:bCs/>
          <w:szCs w:val="22"/>
          <w:lang w:val="es-ES_tradnl"/>
        </w:rPr>
      </w:pPr>
      <w:r w:rsidRPr="00426AC7">
        <w:rPr>
          <w:bCs/>
          <w:szCs w:val="22"/>
          <w:lang w:val="es-ES_tradnl"/>
        </w:rPr>
        <w:t>La delegación de Nicaragua declaró que la OMPI se ha creado para promover la utilización, la protección y la obtención de beneficios de la PI como instrumento que contribuye al desarrollo económico y social. Por lo tanto, la cooperación técnica que la OMPI ofrece a sus Estados miembros es muy necesaria. No obstante, recordó su rechazo, expresado durante el</w:t>
      </w:r>
      <w:r w:rsidR="00D13AFC" w:rsidRPr="00426AC7">
        <w:rPr>
          <w:bCs/>
          <w:szCs w:val="22"/>
          <w:lang w:val="es-ES_tradnl"/>
        </w:rPr>
        <w:t> </w:t>
      </w:r>
      <w:r w:rsidRPr="00426AC7">
        <w:rPr>
          <w:bCs/>
          <w:szCs w:val="22"/>
          <w:lang w:val="es-ES_tradnl"/>
        </w:rPr>
        <w:t>64.ª y 65.ª períodos de sesiones, respecto del tema del programa relativo al apoyo a Ucrania y no lo considera asistencia técnica normal. Los informes y la decisión anterior sobre el tema se han aprobado de manera sin precedentes, con el apoyo de una minoría. Además, las cuestiones relativas a la prestación de asistencia técnica suelen someterse al CDIP y al PBC para su examen, lo que no ha ocurrido en el caso que les ocupa. Se han ignorado las necesidades de asistencia técnica de varios otros Estados miembros, en particular los países en desarrollo que atraviesan graves crisis económicas. Ello contradice el principio de igualdad en el que se funda la Organización. La labor de la OMPI y de las Asambleas de la OMPI no debe politizarse artificialmente, sino que debe basarse en el consenso y respetar los objetivos y principios fundacionales de la Organización. La delegación reiteró su rechazo al informe y reafirmó su deseo de que el punto en cuestión se retire del orden del día de las Asambleas.</w:t>
      </w:r>
    </w:p>
    <w:p w14:paraId="0FF74B46" w14:textId="77777777" w:rsidR="0016586A" w:rsidRPr="00426AC7" w:rsidRDefault="0016586A" w:rsidP="62D966B3">
      <w:pPr>
        <w:pStyle w:val="ONUMFS"/>
        <w:rPr>
          <w:lang w:val="es-ES_tradnl"/>
        </w:rPr>
      </w:pPr>
      <w:r w:rsidRPr="00426AC7">
        <w:rPr>
          <w:lang w:val="es-ES_tradnl"/>
        </w:rPr>
        <w:t xml:space="preserve">La delegación de Zimbabwe reafirmó su apoyo a la prestación de asistencia a los Estados miembros de la OMPI en dificultades, especialmente teniendo en cuenta que la comunidad mundial no está en vías de alcanzar los ODS. La delegación reiteró la posición que ha expresado desde la 63.ª serie de reuniones de la Asamblea General, celebrada en 2022, en el sentido de que esa valiosa asistencia debe ampliarse a un espectro más amplio de Estados miembros. Muchos de ellos se enfrentan a retos múltiples, que van desde el cambio climático y los desastres naturales hasta las crisis de salud pública y el aumento de las tensiones geopolíticas y comerciales, todos los cuales socavan la paz y la sostenibilidad, que son esenciales para un entorno mundial propicio para la PI. La aparente priorización selectiva y arbitraria de la ayuda a un Estado miembro frente a otros que tienen necesidades igualmente acuciantes es motivo de profunda preocupación. La delegación se opuso firmemente a cualquier forma de selectividad y discriminación en el trato de los Estados miembros de la OMPI. Todos los Estados miembros deben tener el mismo acceso a la ayuda, de conformidad con los principios de equidad, inclusión y solidaridad en que se basa la Organización. La delegación lamentó que el tema del orden del día que se está debatiendo se aparte de la larga </w:t>
      </w:r>
      <w:r w:rsidRPr="00426AC7">
        <w:rPr>
          <w:lang w:val="es-ES_tradnl"/>
        </w:rPr>
        <w:lastRenderedPageBreak/>
        <w:t xml:space="preserve">tradición de la OMPI de tomar decisiones por consenso. Todos los Estados miembros deben reflexionar sobre si desean fomentar un sistema de PI inclusivo y transparente o uno que corra el riesgo de ser considerado politizado y excluyente. La delegación considera que la OMPI debe seguir siendo un órgano técnico centrado en la innovación y la PI, distinto de las plataformas políticas, que son más adecuadas para abordar cuestiones geopolíticas tan delicadas. </w:t>
      </w:r>
    </w:p>
    <w:p w14:paraId="1D0F7168" w14:textId="77777777" w:rsidR="0016586A" w:rsidRPr="00426AC7" w:rsidRDefault="0016586A" w:rsidP="62D966B3">
      <w:pPr>
        <w:pStyle w:val="ONUMFS"/>
        <w:rPr>
          <w:lang w:val="es-ES_tradnl"/>
        </w:rPr>
      </w:pPr>
      <w:r w:rsidRPr="00426AC7">
        <w:rPr>
          <w:lang w:val="es-ES_tradnl"/>
        </w:rPr>
        <w:t>La delegación de Letonia se adhirió a las declaraciones formuladas por las delegaciones de Estonia, en nombre del Grupo CEBS, de Dinamarca, en nombre de la Unión Europea y sus Estados miembros, y del Reino Unido, en nombre del Grupo de países de ideas afines. Afirmó que Letonia siempre prestará su apoyo inquebrantable a Ucrania. Resulta innegable la repercusión devastadora de la guerra de la Federación de Rusia contra Ucrania. Los daños infligidos son profundos y siguen teniendo claramente repercusiones negativas en el sector de la innovación y la creatividad y en el ecosistema de la PI. No se trata simplemente de una circunstancia desafortunada, sino de un acto deliberado y vergonzoso de naturaleza destructiva por parte de un Estado miembro de la OMPI contra otro. La delegación tomó nota con reconocimiento de la asistencia prestada por la OMPI a Ucrania y agradeció el informe sobre la asistencia prestada para apoyar al sector de la innovación y la creatividad y al sistema de PI de Ucrania. El hecho de que la Federación de Rusia lleve ya muchos años librando una guerra total, injustificada y sin provocación previa contra Ucrania y su pueblo, dañando con ello el ecosistema de la innovación y la creatividad en materia de PI, no hace sino subrayar la urgente necesidad de que la OMPI siga prestando un apoyo amplio y a largo plazo. Es imperativo que la OMPI mantenga su apoyo a Ucrania y siga informando anualmente sobre esa cuestión durante el tiempo que sea necesario. También es importante que se aplique plenamente la decisión adoptada el año anterior por las Asambleas (documento A/65/11, párrafo 201) y se haga su seguimiento. Se expresaron preocupaciones al respecto, en particular en relación con el apartado c), que no se ha aplicado plenamente. A pesar del mandato claro y de las continuas conversaciones con Ucrania, las publicaciones incorrectas en los sistemas de la OMPI siguen siendo motivo de preocupación, ya que vulneran la soberanía y las fronteras internacionalmente reconocidas de Ucrania. Por lo tanto, la Secretaría debe dar a conocer las medidas que ha estudiado y adoptado para aplicar la decisión. Al referirse a las declaraciones formuladas por la delegación del Reino Unido en nombre del Grupo de países de ideas afines, así como por otras delegaciones, la delegación opina que un descargo de responsabilidad no es suficiente. Se debe felicitar a la OMPI por su disposición a seguir apoyando a Ucrania, pero la delegación insta a la OMPI a que vuelva a evaluar sus medidas y encuentre soluciones constructivas y adecuadas para garantizar que la decisión se aplique de manera efectiva y completa. La OMPI debe proseguir el diálogo constructivo con Ucrania y otros Estados miembros sobre la cuestión. El tema que se debate no es en modo alguno una cuestión de señalar a un país en particular. Por el contrario, es una demostración de que se puede prestar apoyo a cualquier Estado miembro que lo necesite. Las circunstancias del caso que nos ocupa son extraordinarias: desde hace varios años se libra una guerra a gran escala, injustificada y sin provocación previa. La delegación afirmó que no se trata de una cuestión política y que el mensaje para los demás Estados miembros es la importancia de un sistema de PI mundial e inclusivo que dé prioridad a la unidad y al apoyo a los países que lo necesitan desesperadamente, lo que está plenamente en consonancia con los valores de la OMPI.</w:t>
      </w:r>
    </w:p>
    <w:p w14:paraId="747E665D" w14:textId="35AE4DE0" w:rsidR="0016586A" w:rsidRPr="00426AC7" w:rsidRDefault="0016586A" w:rsidP="0016586A">
      <w:pPr>
        <w:pStyle w:val="ONUMFS"/>
        <w:rPr>
          <w:bCs/>
          <w:lang w:val="es-ES_tradnl"/>
        </w:rPr>
      </w:pPr>
      <w:r w:rsidRPr="00426AC7">
        <w:rPr>
          <w:bCs/>
          <w:lang w:val="es-ES_tradnl"/>
        </w:rPr>
        <w:t xml:space="preserve">La delegación de Lituania se adhirió a las declaraciones formuladas por las delegaciones de Estonia, en nombre del Grupo CEBS, de Dinamarca, en nombre de la Unión Europea y sus Estados miembros, del Reino Unido, en nombre del grupo de países </w:t>
      </w:r>
      <w:r w:rsidRPr="00426AC7">
        <w:rPr>
          <w:szCs w:val="22"/>
          <w:lang w:val="es-ES_tradnl"/>
        </w:rPr>
        <w:t>de ideas afines</w:t>
      </w:r>
      <w:r w:rsidRPr="00426AC7">
        <w:rPr>
          <w:bCs/>
          <w:lang w:val="es-ES_tradnl"/>
        </w:rPr>
        <w:t xml:space="preserve">, y de Ucrania. Reiteró su firme apoyo al Gobierno y al pueblo de Ucrania y su condena de la brutal guerra de agresión que está librando la Federación de Rusia. </w:t>
      </w:r>
      <w:r w:rsidR="00ED2286" w:rsidRPr="00426AC7">
        <w:rPr>
          <w:bCs/>
          <w:lang w:val="es-ES_tradnl"/>
        </w:rPr>
        <w:t>Según la delegación, e</w:t>
      </w:r>
      <w:r w:rsidRPr="00426AC7">
        <w:rPr>
          <w:bCs/>
          <w:lang w:val="es-ES_tradnl"/>
        </w:rPr>
        <w:t xml:space="preserve">l tema del orden del día objeto de debate es crucial para defender el Derecho internacional y reafirmar el compromiso colectivo con los principios de soberanía, integridad territorial y orden internacional basado en normas. Esos principios son importantes para todos los miembros responsables de la comunidad internacional. Es esencial hacer frente a los actos de agresión en curso; no </w:t>
      </w:r>
      <w:r w:rsidRPr="00426AC7">
        <w:rPr>
          <w:bCs/>
          <w:lang w:val="es-ES_tradnl"/>
        </w:rPr>
        <w:lastRenderedPageBreak/>
        <w:t>deben ignorarse esas violaciones y no debe aceptarse la guerra como la nueva normalidad. La delegación reconoció la labor de la OMPI en materia de asistencia y apoyo a Ucrania y la decisión pertinente del año pasado. Si bien alentó a la Secretaría a que prosiga sus esfuerzos para apoyar el sector de la innovación y la creatividad y el sistema de PI en Ucrania, señaló que la salvedad introducida en respuesta al apartado c) de la decisión adoptada el año anterior no aborda plenamente las cuestiones planteadas. La Secretaría debería adoptar todas las medidas necesarias para identificar y aplicar soluciones eficaces que garanticen la plena aplicación de la decisión y que todas las publicaciones en las plataformas y recursos de la OMPI respeten plenamente los principios de soberanía, independencia e integridad territorial de Ucrania dentro de sus fronteras internacionalmente reconocidas. Se agradecería que la Secretaría dé una respuesta clara y exhaustiva a las preguntas planteadas en la declaración formulada en nombre del Grupo de países de ideas afines.</w:t>
      </w:r>
    </w:p>
    <w:p w14:paraId="3029F7D8" w14:textId="77777777" w:rsidR="0016586A" w:rsidRPr="00426AC7" w:rsidRDefault="0016586A" w:rsidP="0016586A">
      <w:pPr>
        <w:pStyle w:val="ONUMFS"/>
        <w:rPr>
          <w:bCs/>
          <w:lang w:val="es-ES_tradnl"/>
        </w:rPr>
      </w:pPr>
      <w:r w:rsidRPr="00426AC7">
        <w:rPr>
          <w:bCs/>
          <w:lang w:val="es-ES_tradnl"/>
        </w:rPr>
        <w:t>La delegación de China declaró que su posición sobre la crisis en Ucrania sigue siendo la misma. Está a favor de una solución política mediante el diálogo y la negociación. China estaba dispuesta a colaborar de manera constructiva con la comunidad internacional para lograr una solución rápida y pacífica. El mandato de la OMPI es promover la cooperación internacional en materia de PI, y el mandato fundamental de las Asambleas es impulsar el desarrollo del marco mundial de PI. Todas las partes deben respetar y centrarse en ese mandato, y esforzarse por garantizar que la Organización siga siendo profesional, técnica, objetiva y neutral, incluso en lo que respecta a la prestación imparcial de apoyo a los Estados miembros, en particular a los países en desarrollo. Debe evitarse la politización de las operaciones de la Organización.</w:t>
      </w:r>
    </w:p>
    <w:p w14:paraId="5515EF43" w14:textId="77777777" w:rsidR="0016586A" w:rsidRPr="00426AC7" w:rsidRDefault="0016586A" w:rsidP="62D966B3">
      <w:pPr>
        <w:pStyle w:val="ONUMFS"/>
        <w:rPr>
          <w:lang w:val="es-ES_tradnl"/>
        </w:rPr>
      </w:pPr>
      <w:r w:rsidRPr="00426AC7">
        <w:rPr>
          <w:lang w:val="es-ES_tradnl"/>
        </w:rPr>
        <w:t>La delegación de Cuba reiteró su oposición a la politización de los debates de la Organización, que, por el contrario, deberían centrarse en cuestiones técnicas, en consonancia con su mandato. Todos los países en desarrollo, incluidos los que son objeto de medidas unilaterales en su contra, tienen derecho a recibir asistencia técnica de manera inclusiva.</w:t>
      </w:r>
    </w:p>
    <w:p w14:paraId="4588B65B" w14:textId="77777777" w:rsidR="0016586A" w:rsidRPr="00426AC7" w:rsidRDefault="0016586A" w:rsidP="62D966B3">
      <w:pPr>
        <w:pStyle w:val="ONUMFS"/>
        <w:rPr>
          <w:lang w:val="es-ES_tradnl"/>
        </w:rPr>
      </w:pPr>
      <w:r w:rsidRPr="00426AC7">
        <w:rPr>
          <w:lang w:val="es-ES_tradnl"/>
        </w:rPr>
        <w:t xml:space="preserve">El director general afirmó que la Secretaría ha escuchado atentamente todas las observaciones formuladas por los Estados Miembros sobre la cuestión. Reiteró el compromiso de la Oficina Internacional de aplicar plenamente la decisión adoptada el año anterior por las Asambleas al respecto. Agradeció a los Estados Miembros y a los asociados que han colaborado con la Secretaría para prestar apoyo a Ucrania, en particular al Fondo fiduciario de Corea y a la EUIPO. En cuanto al apartado c), la Oficina Internacional ha trabajado arduamente para aplicarlo, como lo demostraba el refuerzo de las advertencias. Estas se han ajustado para que fueran más contundentes y aún más evidentes. No obstante, la Oficina Internacional opera en un marco establecido por las diferentes normas que regían rigen los sistemas del PCT, de Madrid, de La Haya y de Lisboa. Si los Estados miembros consideran que esos marcos deben revisarse, la Oficina Internacional está dispuesta a facilitar, apoyar y debatir al respecto. Reafirmó que la Oficina Internacional, en función de los resultados de los debates y las decisiones finales, está dispuesta a seguir examinando la forma de aplicar la decisión. Aseguró y reiteró que la OMPI tiene el deber y la voluntad de ayudar y apoyar a todos los Estados miembros. Invitó a los Estados miembros que se encuentren en situaciones de conflicto, angustia o dificultad a que se pongan en contacto con la OMPI para obtener apoyo. </w:t>
      </w:r>
    </w:p>
    <w:p w14:paraId="0A2C67F4" w14:textId="28C892CF" w:rsidR="00241693" w:rsidRPr="00426AC7" w:rsidRDefault="0016586A" w:rsidP="0016586A">
      <w:pPr>
        <w:pStyle w:val="ONUMFS"/>
        <w:spacing w:after="480"/>
        <w:rPr>
          <w:szCs w:val="22"/>
          <w:lang w:val="es-ES_tradnl"/>
        </w:rPr>
      </w:pPr>
      <w:r w:rsidRPr="00426AC7">
        <w:rPr>
          <w:bCs/>
          <w:lang w:val="es-ES_tradnl"/>
        </w:rPr>
        <w:t>Al no haber más solicitudes de uso de la palabra, el presidente señaló que se han registrado todas las declaraciones relativas al punto del orden del día y dio por concluido el debate sobre dicho punto.</w:t>
      </w:r>
    </w:p>
    <w:p w14:paraId="039B7386" w14:textId="130C612E" w:rsidR="0078249F" w:rsidRPr="00426AC7" w:rsidRDefault="0078249F" w:rsidP="002E7841">
      <w:pPr>
        <w:pStyle w:val="Heading2"/>
        <w:spacing w:before="0" w:after="120" w:line="480" w:lineRule="auto"/>
        <w:rPr>
          <w:szCs w:val="22"/>
          <w:lang w:val="es-ES_tradnl"/>
        </w:rPr>
      </w:pPr>
      <w:bookmarkStart w:id="74" w:name="_Toc209694217"/>
      <w:r w:rsidRPr="00426AC7">
        <w:rPr>
          <w:szCs w:val="22"/>
          <w:lang w:val="es-ES_tradnl"/>
        </w:rPr>
        <w:lastRenderedPageBreak/>
        <w:t>PUNTO 21 DEL ORDEN DEL DÍA CONSOLIDADO</w:t>
      </w:r>
      <w:r w:rsidR="00C05B6A" w:rsidRPr="00426AC7">
        <w:rPr>
          <w:szCs w:val="22"/>
          <w:lang w:val="es-ES_tradnl"/>
        </w:rPr>
        <w:br/>
      </w:r>
      <w:r w:rsidRPr="00426AC7">
        <w:rPr>
          <w:szCs w:val="22"/>
          <w:lang w:val="es-ES_tradnl"/>
        </w:rPr>
        <w:t>INFORME SOBRE ASUNTOS RELATIVOS AL PERSONAL</w:t>
      </w:r>
      <w:bookmarkEnd w:id="74"/>
    </w:p>
    <w:p w14:paraId="7DAB7FB7" w14:textId="1172ED86" w:rsidR="0078249F" w:rsidRPr="00426AC7" w:rsidRDefault="0078249F" w:rsidP="00C05B6A">
      <w:pPr>
        <w:pStyle w:val="ONUMFS"/>
        <w:spacing w:after="480"/>
        <w:rPr>
          <w:szCs w:val="22"/>
          <w:lang w:val="es-ES_tradnl"/>
        </w:rPr>
      </w:pPr>
      <w:r w:rsidRPr="00426AC7">
        <w:rPr>
          <w:szCs w:val="22"/>
          <w:lang w:val="es-ES_tradnl"/>
        </w:rPr>
        <w:t>Véase el informe de la sesión del Comité de Coordinación de la OMPI (documento</w:t>
      </w:r>
      <w:r w:rsidR="002E7841" w:rsidRPr="00426AC7">
        <w:rPr>
          <w:szCs w:val="22"/>
          <w:lang w:val="es-ES_tradnl"/>
        </w:rPr>
        <w:t> </w:t>
      </w:r>
      <w:hyperlink r:id="rId64" w:history="1">
        <w:r w:rsidRPr="00426AC7">
          <w:rPr>
            <w:rStyle w:val="Hyperlink"/>
            <w:szCs w:val="22"/>
            <w:lang w:val="es-ES_tradnl"/>
          </w:rPr>
          <w:t>WO/CC/84/2</w:t>
        </w:r>
      </w:hyperlink>
      <w:r w:rsidRPr="00426AC7">
        <w:rPr>
          <w:szCs w:val="22"/>
          <w:lang w:val="es-ES_tradnl"/>
        </w:rPr>
        <w:t>).</w:t>
      </w:r>
    </w:p>
    <w:p w14:paraId="374F9DD8" w14:textId="77777777" w:rsidR="0078249F" w:rsidRPr="00426AC7" w:rsidRDefault="0078249F" w:rsidP="002E7841">
      <w:pPr>
        <w:pStyle w:val="Heading2"/>
        <w:spacing w:before="0" w:after="120" w:line="480" w:lineRule="auto"/>
        <w:rPr>
          <w:szCs w:val="22"/>
          <w:lang w:val="es-ES_tradnl"/>
        </w:rPr>
      </w:pPr>
      <w:bookmarkStart w:id="75" w:name="_Toc209694218"/>
      <w:r w:rsidRPr="00426AC7">
        <w:rPr>
          <w:szCs w:val="22"/>
          <w:lang w:val="es-ES_tradnl"/>
        </w:rPr>
        <w:t>PUNTO 22 DEL ORDEN DEL DÍA CONSOLIDADO</w:t>
      </w:r>
      <w:r w:rsidRPr="00426AC7">
        <w:rPr>
          <w:szCs w:val="22"/>
          <w:lang w:val="es-ES_tradnl"/>
        </w:rPr>
        <w:br/>
        <w:t>Renovación del mandato de la presidenta y el presidente adjunto de la Junta de Apelación de la OMPI</w:t>
      </w:r>
      <w:bookmarkEnd w:id="75"/>
    </w:p>
    <w:p w14:paraId="18F59329" w14:textId="34000046" w:rsidR="009B6AFA" w:rsidRPr="00426AC7" w:rsidRDefault="0078249F" w:rsidP="00C05B6A">
      <w:pPr>
        <w:pStyle w:val="ONUMFS"/>
        <w:spacing w:after="480"/>
        <w:rPr>
          <w:szCs w:val="22"/>
          <w:lang w:val="es-ES_tradnl"/>
        </w:rPr>
      </w:pPr>
      <w:r w:rsidRPr="00426AC7">
        <w:rPr>
          <w:szCs w:val="22"/>
          <w:lang w:val="es-ES_tradnl"/>
        </w:rPr>
        <w:t>Véase el informe de la sesión del Comité de Coordinación de la OMPI (documento</w:t>
      </w:r>
      <w:r w:rsidR="002E7841" w:rsidRPr="00426AC7">
        <w:rPr>
          <w:szCs w:val="22"/>
          <w:lang w:val="es-ES_tradnl"/>
        </w:rPr>
        <w:t> </w:t>
      </w:r>
      <w:hyperlink r:id="rId65" w:history="1">
        <w:r w:rsidRPr="00426AC7">
          <w:rPr>
            <w:rStyle w:val="Hyperlink"/>
            <w:szCs w:val="22"/>
            <w:lang w:val="es-ES_tradnl"/>
          </w:rPr>
          <w:t>WO/CC/84/2</w:t>
        </w:r>
      </w:hyperlink>
      <w:r w:rsidRPr="00426AC7">
        <w:rPr>
          <w:szCs w:val="22"/>
          <w:lang w:val="es-ES_tradnl"/>
        </w:rPr>
        <w:t>).</w:t>
      </w:r>
    </w:p>
    <w:p w14:paraId="40CC29ED" w14:textId="77777777" w:rsidR="0078249F" w:rsidRPr="00426AC7" w:rsidRDefault="0078249F" w:rsidP="002E7841">
      <w:pPr>
        <w:pStyle w:val="Heading2"/>
        <w:spacing w:before="0" w:after="120" w:line="480" w:lineRule="auto"/>
        <w:rPr>
          <w:szCs w:val="22"/>
          <w:lang w:val="es-ES_tradnl"/>
        </w:rPr>
      </w:pPr>
      <w:bookmarkStart w:id="76" w:name="_Toc209694219"/>
      <w:r w:rsidRPr="00426AC7">
        <w:rPr>
          <w:szCs w:val="22"/>
          <w:lang w:val="es-ES_tradnl"/>
        </w:rPr>
        <w:t>PUNTO 23 DEL ORDEN DEL DÍA CONSOLIDADO</w:t>
      </w:r>
      <w:r w:rsidRPr="00426AC7">
        <w:rPr>
          <w:szCs w:val="22"/>
          <w:lang w:val="es-ES_tradnl"/>
        </w:rPr>
        <w:br/>
        <w:t>APROBACIÓN DE LOS INFORMES</w:t>
      </w:r>
      <w:bookmarkEnd w:id="76"/>
    </w:p>
    <w:p w14:paraId="73713C0A" w14:textId="39264129" w:rsidR="0078249F" w:rsidRPr="00426AC7" w:rsidRDefault="0078249F" w:rsidP="00C05B6A">
      <w:pPr>
        <w:pStyle w:val="ONUMFS"/>
        <w:rPr>
          <w:szCs w:val="22"/>
          <w:lang w:val="es-ES_tradnl"/>
        </w:rPr>
      </w:pPr>
      <w:r w:rsidRPr="00426AC7">
        <w:rPr>
          <w:szCs w:val="22"/>
          <w:lang w:val="es-ES_tradnl"/>
        </w:rPr>
        <w:t xml:space="preserve">Los debates se basaron en el documento </w:t>
      </w:r>
      <w:hyperlink r:id="rId66" w:history="1">
        <w:r w:rsidRPr="00426AC7">
          <w:rPr>
            <w:rStyle w:val="Hyperlink"/>
            <w:szCs w:val="22"/>
            <w:lang w:val="es-ES_tradnl"/>
          </w:rPr>
          <w:t>A/66/10</w:t>
        </w:r>
      </w:hyperlink>
      <w:r w:rsidRPr="00426AC7">
        <w:rPr>
          <w:szCs w:val="22"/>
          <w:lang w:val="es-ES_tradnl"/>
        </w:rPr>
        <w:t>.</w:t>
      </w:r>
    </w:p>
    <w:p w14:paraId="5A194EC2" w14:textId="77777777" w:rsidR="0078249F" w:rsidRPr="00426AC7" w:rsidRDefault="0078249F" w:rsidP="00C05B6A">
      <w:pPr>
        <w:pStyle w:val="ONUMFS"/>
        <w:ind w:left="567"/>
        <w:rPr>
          <w:szCs w:val="22"/>
          <w:lang w:val="es-ES_tradnl"/>
        </w:rPr>
      </w:pPr>
      <w:r w:rsidRPr="00426AC7">
        <w:rPr>
          <w:szCs w:val="22"/>
          <w:lang w:val="es-ES_tradnl"/>
        </w:rPr>
        <w:t>Las Asambleas de la OMPI, en lo que a cada una concierne,</w:t>
      </w:r>
    </w:p>
    <w:p w14:paraId="17EF3D86" w14:textId="5DD7D7D5" w:rsidR="0078249F" w:rsidRPr="00426AC7" w:rsidRDefault="0078249F" w:rsidP="00C05B6A">
      <w:pPr>
        <w:pStyle w:val="ONUMFS"/>
        <w:numPr>
          <w:ilvl w:val="2"/>
          <w:numId w:val="3"/>
        </w:numPr>
        <w:rPr>
          <w:szCs w:val="22"/>
          <w:lang w:val="es-ES_tradnl"/>
        </w:rPr>
      </w:pPr>
      <w:r w:rsidRPr="00426AC7">
        <w:rPr>
          <w:szCs w:val="22"/>
          <w:lang w:val="es-ES_tradnl"/>
        </w:rPr>
        <w:t xml:space="preserve">aprobaron el presente informe resumido (documento </w:t>
      </w:r>
      <w:hyperlink r:id="rId67" w:history="1">
        <w:r w:rsidRPr="00426AC7">
          <w:rPr>
            <w:rStyle w:val="Hyperlink"/>
            <w:szCs w:val="22"/>
            <w:lang w:val="es-ES_tradnl"/>
          </w:rPr>
          <w:t>A/66/10</w:t>
        </w:r>
      </w:hyperlink>
      <w:r w:rsidRPr="00426AC7">
        <w:rPr>
          <w:szCs w:val="22"/>
          <w:lang w:val="es-ES_tradnl"/>
        </w:rPr>
        <w:t>); y</w:t>
      </w:r>
    </w:p>
    <w:p w14:paraId="174B8154" w14:textId="2F6466EF" w:rsidR="009B6AFA" w:rsidRPr="00426AC7" w:rsidRDefault="0078249F" w:rsidP="00C05B6A">
      <w:pPr>
        <w:pStyle w:val="ONUMFS"/>
        <w:numPr>
          <w:ilvl w:val="2"/>
          <w:numId w:val="3"/>
        </w:numPr>
        <w:spacing w:after="480"/>
        <w:rPr>
          <w:szCs w:val="22"/>
          <w:lang w:val="es-ES_tradnl"/>
        </w:rPr>
      </w:pPr>
      <w:r w:rsidRPr="00426AC7">
        <w:rPr>
          <w:szCs w:val="22"/>
          <w:lang w:val="es-ES_tradnl"/>
        </w:rPr>
        <w:t>pidieron a la Secretaría que finalice los informes completos, los publique en el sitio web de la OMPI y los transmita a los Estados miembros a más tardar el 14 de agosto de</w:t>
      </w:r>
      <w:r w:rsidR="00C05B6A" w:rsidRPr="00426AC7">
        <w:rPr>
          <w:szCs w:val="22"/>
          <w:lang w:val="es-ES_tradnl"/>
        </w:rPr>
        <w:t> </w:t>
      </w:r>
      <w:r w:rsidRPr="00426AC7">
        <w:rPr>
          <w:szCs w:val="22"/>
          <w:lang w:val="es-ES_tradnl"/>
        </w:rPr>
        <w:t>2025.</w:t>
      </w:r>
      <w:r w:rsidR="00E153F3" w:rsidRPr="00426AC7">
        <w:rPr>
          <w:szCs w:val="22"/>
          <w:lang w:val="es-ES_tradnl"/>
        </w:rPr>
        <w:t xml:space="preserve"> </w:t>
      </w:r>
      <w:r w:rsidRPr="00426AC7">
        <w:rPr>
          <w:szCs w:val="22"/>
          <w:lang w:val="es-ES_tradnl"/>
        </w:rPr>
        <w:t>Los comentarios deberán enviarse a la Secretaría a más tardar el 11 de septiembre de 2025, tras lo cual los informes finales se considerarán aprobados el 25 de septiembre de 2025.</w:t>
      </w:r>
    </w:p>
    <w:p w14:paraId="46AD3B26" w14:textId="16AD3971" w:rsidR="009B6AFA" w:rsidRPr="00426AC7" w:rsidRDefault="009A145B" w:rsidP="002E7841">
      <w:pPr>
        <w:pStyle w:val="Heading2"/>
        <w:spacing w:before="0" w:after="120" w:line="480" w:lineRule="auto"/>
        <w:rPr>
          <w:szCs w:val="22"/>
          <w:lang w:val="es-ES_tradnl"/>
        </w:rPr>
      </w:pPr>
      <w:bookmarkStart w:id="77" w:name="_Toc209694220"/>
      <w:r w:rsidRPr="00426AC7">
        <w:rPr>
          <w:szCs w:val="22"/>
          <w:lang w:val="es-ES_tradnl"/>
        </w:rPr>
        <w:t>PUNTO 24 DEL ORDEN DEL DÍA CONSOLIDADO</w:t>
      </w:r>
      <w:r w:rsidRPr="00426AC7">
        <w:rPr>
          <w:szCs w:val="22"/>
          <w:lang w:val="es-ES_tradnl"/>
        </w:rPr>
        <w:br/>
      </w:r>
      <w:bookmarkStart w:id="78" w:name="_Hlk176185974"/>
      <w:r w:rsidRPr="00426AC7">
        <w:rPr>
          <w:szCs w:val="22"/>
          <w:lang w:val="es-ES_tradnl"/>
        </w:rPr>
        <w:t>CLAUSURA DE LA SERIE DE REUNIONES</w:t>
      </w:r>
      <w:bookmarkEnd w:id="77"/>
      <w:bookmarkEnd w:id="78"/>
    </w:p>
    <w:p w14:paraId="58E147D1" w14:textId="59086FB2" w:rsidR="009A145B" w:rsidRPr="00426AC7" w:rsidRDefault="009A145B" w:rsidP="00C05B6A">
      <w:pPr>
        <w:pStyle w:val="ONUMFS"/>
        <w:spacing w:after="240"/>
        <w:rPr>
          <w:szCs w:val="22"/>
          <w:lang w:val="es-ES_tradnl"/>
        </w:rPr>
      </w:pPr>
      <w:r w:rsidRPr="00426AC7">
        <w:rPr>
          <w:szCs w:val="22"/>
          <w:lang w:val="es-ES_tradnl"/>
        </w:rPr>
        <w:t xml:space="preserve">Las delegaciones que tomaron la palabra agradecieron al director general, al presidente, a la Secretaría, a los intérpretes y a los traductores su trabajo </w:t>
      </w:r>
      <w:r w:rsidR="00882A12" w:rsidRPr="00426AC7">
        <w:rPr>
          <w:szCs w:val="22"/>
          <w:lang w:val="es-ES_tradnl"/>
        </w:rPr>
        <w:t>durante</w:t>
      </w:r>
      <w:r w:rsidRPr="00426AC7">
        <w:rPr>
          <w:szCs w:val="22"/>
          <w:lang w:val="es-ES_tradnl"/>
        </w:rPr>
        <w:t xml:space="preserve"> las Asambleas.</w:t>
      </w:r>
    </w:p>
    <w:p w14:paraId="558D103D" w14:textId="1FA33D06" w:rsidR="009A145B" w:rsidRPr="00426AC7" w:rsidRDefault="009A145B" w:rsidP="00C05B6A">
      <w:pPr>
        <w:pStyle w:val="ONUMFS"/>
        <w:spacing w:after="240"/>
        <w:rPr>
          <w:szCs w:val="22"/>
          <w:lang w:val="es-ES_tradnl"/>
        </w:rPr>
      </w:pPr>
      <w:r w:rsidRPr="00426AC7">
        <w:rPr>
          <w:szCs w:val="22"/>
          <w:lang w:val="es-ES_tradnl"/>
        </w:rPr>
        <w:t xml:space="preserve">La delegación del Pakistán, haciendo uso de la palabra en nombre del </w:t>
      </w:r>
      <w:r w:rsidR="00172BC8" w:rsidRPr="00426AC7">
        <w:rPr>
          <w:szCs w:val="22"/>
          <w:lang w:val="es-ES_tradnl"/>
        </w:rPr>
        <w:t>APG</w:t>
      </w:r>
      <w:r w:rsidRPr="00426AC7">
        <w:rPr>
          <w:szCs w:val="22"/>
          <w:lang w:val="es-ES_tradnl"/>
        </w:rPr>
        <w:t xml:space="preserve">, dijo que acoge con satisfacción las decisiones adoptadas por consenso en el transcurso de la sexagésima sexta serie de reuniones de las Asambleas de los Estados miembros de la OMPI. El Grupo de Países de Asia y el Pacífico siempre aboga por el diálogo y anima a los Estados miembros a salvar las distancias en un espíritu de multilateralismo. Los Estados miembros deben esforzarse por alcanzar los objetivos establecidos en la </w:t>
      </w:r>
      <w:r w:rsidR="00172BC8" w:rsidRPr="00426AC7">
        <w:rPr>
          <w:szCs w:val="22"/>
          <w:lang w:val="es-ES_tradnl"/>
        </w:rPr>
        <w:t xml:space="preserve">AD </w:t>
      </w:r>
      <w:r w:rsidRPr="00426AC7">
        <w:rPr>
          <w:szCs w:val="22"/>
          <w:lang w:val="es-ES_tradnl"/>
        </w:rPr>
        <w:t xml:space="preserve">de la OMPI y en la Agenda 2030 para el Desarrollo Sostenible, así como los ODS de las Naciones Unidas. Asimismo, señaló que la composición del Comité de Coordinación se acordó con carácter excepcional en la sesión en curso. Afirmó que, no obstante, la representación geográfica equitativa en los órganos rectores de la OMPI es importante y aumentaría la credibilidad de la adopción de decisiones y que, de hecho, debería integrarse en todas las actividades de </w:t>
      </w:r>
      <w:r w:rsidRPr="00426AC7">
        <w:rPr>
          <w:szCs w:val="22"/>
          <w:lang w:val="es-ES_tradnl"/>
        </w:rPr>
        <w:lastRenderedPageBreak/>
        <w:t>la</w:t>
      </w:r>
      <w:r w:rsidR="00BF105E" w:rsidRPr="00426AC7">
        <w:rPr>
          <w:szCs w:val="22"/>
          <w:lang w:val="es-ES_tradnl"/>
        </w:rPr>
        <w:t> </w:t>
      </w:r>
      <w:r w:rsidRPr="00426AC7">
        <w:rPr>
          <w:szCs w:val="22"/>
          <w:lang w:val="es-ES_tradnl"/>
        </w:rPr>
        <w:t>OMPI y en su personal. La decisión de renovar el mandato del CIG para el bienio 2026/27 significa que los Estados miembros pueden proseguir las negociaciones basadas en textos y aprovechar la labor de dicho Comité. El Grupo espera con interés que continúe la labor del</w:t>
      </w:r>
      <w:r w:rsidR="00BF105E" w:rsidRPr="00426AC7">
        <w:rPr>
          <w:szCs w:val="22"/>
          <w:lang w:val="es-ES_tradnl"/>
        </w:rPr>
        <w:t> </w:t>
      </w:r>
      <w:r w:rsidRPr="00426AC7">
        <w:rPr>
          <w:szCs w:val="22"/>
          <w:lang w:val="es-ES_tradnl"/>
        </w:rPr>
        <w:t>SCCR sobre limitaciones y excepciones y que avance la AD en las próximas series de reuniones.</w:t>
      </w:r>
    </w:p>
    <w:p w14:paraId="1FB4E2E8" w14:textId="53B1EACF" w:rsidR="009A145B" w:rsidRPr="00426AC7" w:rsidRDefault="009A145B" w:rsidP="00C05B6A">
      <w:pPr>
        <w:pStyle w:val="ONUMFS"/>
        <w:spacing w:after="240"/>
        <w:rPr>
          <w:szCs w:val="22"/>
          <w:lang w:val="es-ES_tradnl"/>
        </w:rPr>
      </w:pPr>
      <w:r w:rsidRPr="00426AC7">
        <w:rPr>
          <w:szCs w:val="22"/>
          <w:lang w:val="es-ES_tradnl"/>
        </w:rPr>
        <w:t xml:space="preserve">La delegación del Japón, haciendo uso de la palabra en nombre del Grupo B, elogió a la delegación de Suiza por haber llevado a buen término las consultas informales sobre el programa de trabajo y presupuesto. Destacó que, en estas Asambleas, todas las decisiones se han adoptado por consenso, y la OMPI afronta el próximo bienio en una posición de fuerza y unidad. Los actos paralelos organizados por los Estados miembros </w:t>
      </w:r>
      <w:r w:rsidR="00882A12" w:rsidRPr="00426AC7">
        <w:rPr>
          <w:szCs w:val="22"/>
          <w:lang w:val="es-ES_tradnl"/>
        </w:rPr>
        <w:t>han invitado</w:t>
      </w:r>
      <w:r w:rsidRPr="00426AC7">
        <w:rPr>
          <w:szCs w:val="22"/>
          <w:lang w:val="es-ES_tradnl"/>
        </w:rPr>
        <w:t xml:space="preserve"> a la reflexión y resultaron entretenidos.</w:t>
      </w:r>
    </w:p>
    <w:p w14:paraId="7971A396" w14:textId="03ADE696" w:rsidR="009A145B" w:rsidRPr="00426AC7" w:rsidRDefault="009A145B" w:rsidP="00C05B6A">
      <w:pPr>
        <w:pStyle w:val="ONUMFS"/>
        <w:spacing w:after="240"/>
        <w:rPr>
          <w:szCs w:val="22"/>
          <w:lang w:val="es-ES_tradnl"/>
        </w:rPr>
      </w:pPr>
      <w:r w:rsidRPr="00426AC7">
        <w:rPr>
          <w:szCs w:val="22"/>
          <w:lang w:val="es-ES_tradnl"/>
        </w:rPr>
        <w:t xml:space="preserve">La delegación de China dijo que acoge con satisfacción las decisiones adoptadas en las Asambleas y elogió a todas las partes por su flexibilidad y actitud constructiva, en particular en lo relativo a alcanzar un consenso sobre el presupuesto para el próximo bienio y la composición futura del </w:t>
      </w:r>
      <w:r w:rsidR="00172BC8" w:rsidRPr="00426AC7">
        <w:rPr>
          <w:szCs w:val="22"/>
          <w:lang w:val="es-ES_tradnl"/>
        </w:rPr>
        <w:t>P</w:t>
      </w:r>
      <w:r w:rsidRPr="00426AC7">
        <w:rPr>
          <w:szCs w:val="22"/>
          <w:lang w:val="es-ES_tradnl"/>
        </w:rPr>
        <w:t xml:space="preserve">BC y del Comité de Coordinación. El consenso </w:t>
      </w:r>
      <w:r w:rsidR="00882A12" w:rsidRPr="00426AC7">
        <w:rPr>
          <w:szCs w:val="22"/>
          <w:lang w:val="es-ES_tradnl"/>
        </w:rPr>
        <w:t>es</w:t>
      </w:r>
      <w:r w:rsidRPr="00426AC7">
        <w:rPr>
          <w:szCs w:val="22"/>
          <w:lang w:val="es-ES_tradnl"/>
        </w:rPr>
        <w:t xml:space="preserve"> fundamental para el funcionamiento fluido y eficaz de la Organización. Dijo que su país seguirá de cerca la aplicación y la evaluación de los resultados del programa de trabajo y presupuesto. Además, expresó su confianza en que prosiga el avance en materia de auditoría, supervisión y presentación de informes a los Estados miembros, así como en que aumente la transparencia en la ejecución del presupuesto. Asimismo, señaló que su país supervisará las iniciativas en curso encaminadas a mejorar los sistemas mundiales de servicios de la OMPI, en particular la reforma de los regímenes lingüísticos de los sistemas de Madrid y La Haya. Esto incluye la introducción de más idiomas.</w:t>
      </w:r>
    </w:p>
    <w:p w14:paraId="179DB25F" w14:textId="78F13D9E" w:rsidR="009A145B" w:rsidRPr="00426AC7" w:rsidRDefault="009A145B" w:rsidP="62D966B3">
      <w:pPr>
        <w:pStyle w:val="ONUMFS"/>
        <w:spacing w:after="240"/>
        <w:rPr>
          <w:lang w:val="es-ES_tradnl"/>
        </w:rPr>
      </w:pPr>
      <w:r w:rsidRPr="00426AC7">
        <w:rPr>
          <w:lang w:val="es-ES_tradnl"/>
        </w:rPr>
        <w:t xml:space="preserve">La delegación de Estonia, haciendo uso de la palabra en nombre del </w:t>
      </w:r>
      <w:r w:rsidR="00172BC8" w:rsidRPr="00426AC7">
        <w:rPr>
          <w:lang w:val="es-ES_tradnl"/>
        </w:rPr>
        <w:t xml:space="preserve">Grupo </w:t>
      </w:r>
      <w:r w:rsidRPr="00426AC7">
        <w:rPr>
          <w:lang w:val="es-ES_tradnl"/>
        </w:rPr>
        <w:t>CEBS, declaró que acoge con satisfacción el fortalecimiento de la cooperación de la OMPI con Ucrania, sobre la base de la decisión que adoptaron las Asambleas de la OMPI el año anterior (documento A/65/11, párrafo 201), incluso en relación con el apartado c) de dicha decisión, relativo a garantizar que las publicaciones sobre recursos y plataformas de la OMPI cumplan los principios de soberanía, independencia e integridad territorial de Ucrania dentro de sus fronteras reconocidas internacionalmente. El CEBS espera seguir colaborando a este respecto. Por otra parte, señaló que acoge con satisfacción la aprobación del programa de trabajo y presupuesto para 2026/27, fruto de la flexibilidad mostrada por las delegaciones y los grupos regionales, así como la renovación del mandato del CIG.</w:t>
      </w:r>
    </w:p>
    <w:p w14:paraId="17D0AA2D" w14:textId="1E716530" w:rsidR="009A145B" w:rsidRPr="00426AC7" w:rsidRDefault="009A145B" w:rsidP="00C05B6A">
      <w:pPr>
        <w:pStyle w:val="ONUMFS"/>
        <w:spacing w:after="240"/>
        <w:rPr>
          <w:szCs w:val="22"/>
          <w:lang w:val="es-ES_tradnl"/>
        </w:rPr>
      </w:pPr>
      <w:r w:rsidRPr="00426AC7">
        <w:rPr>
          <w:szCs w:val="22"/>
          <w:lang w:val="es-ES_tradnl"/>
        </w:rPr>
        <w:t xml:space="preserve">La </w:t>
      </w:r>
      <w:bookmarkStart w:id="79" w:name="_Hlk203058156"/>
      <w:r w:rsidRPr="00426AC7">
        <w:rPr>
          <w:szCs w:val="22"/>
          <w:lang w:val="es-ES_tradnl"/>
        </w:rPr>
        <w:t xml:space="preserve">delegación del Ecuador, haciendo uso de la palabra en nombre del GRULAC, dijo </w:t>
      </w:r>
      <w:bookmarkEnd w:id="79"/>
      <w:r w:rsidRPr="00426AC7">
        <w:rPr>
          <w:szCs w:val="22"/>
          <w:lang w:val="es-ES_tradnl"/>
        </w:rPr>
        <w:t>que el objetivo primordial del Grupo es fortalecer el ecosistema mundial de la PI, hacerlo más inclusivo y representativo, y armonizarlo aún más con la Agenda para el Desarrollo. Destacó la necesidad de diseñar y aplicar herramientas específicas que garanticen que los beneficios de la PI ayuden a abordar los retos comunes y contribuyan al desarrollo y al crecimiento inclusivo. En particular, deben ayudar a los empresarios y a las pymes a ser más competitivos. Las decisiones colectivas y las acciones futuras de la Organización deben guiarse siempre por los principios de justicia e inclusión.</w:t>
      </w:r>
    </w:p>
    <w:p w14:paraId="3B1D34A6" w14:textId="579EDFC1" w:rsidR="009A145B" w:rsidRPr="00426AC7" w:rsidRDefault="009A145B" w:rsidP="00C05B6A">
      <w:pPr>
        <w:pStyle w:val="ONUMFS"/>
        <w:spacing w:after="240"/>
        <w:rPr>
          <w:szCs w:val="22"/>
          <w:lang w:val="es-ES_tradnl"/>
        </w:rPr>
      </w:pPr>
      <w:r w:rsidRPr="00426AC7">
        <w:rPr>
          <w:szCs w:val="22"/>
          <w:lang w:val="es-ES_tradnl"/>
        </w:rPr>
        <w:t xml:space="preserve">La delegación de Namibia, haciendo uso de la palabra en nombre del Grupo Africano, dijo que acoge con satisfacción la aprobación del programa de trabajo y presupuesto para 2026/27, así como el espíritu de cooperación mostrado por todos los Estados miembros a este respecto. Animó a todos ellos a firmar y ratificar el Tratado sobre la propiedad intelectual, los recursos genéticos y los conocimientos tradicionales asociados, de modo que entre en vigor y se aplique de forma efectiva con rapidez. Declaró que el Grupo Africano acoge con satisfacción la decisión de renovar el mandato del CIG para el bienio 2026/27 y mantiene su compromiso de avanzar en las negociaciones sobre un instrumento internacional jurídicamente vinculante relativo a los CC.TT. y las ECT. El fortalecimiento de capacidades, la transferencia de </w:t>
      </w:r>
      <w:r w:rsidRPr="00426AC7">
        <w:rPr>
          <w:szCs w:val="22"/>
          <w:lang w:val="es-ES_tradnl"/>
        </w:rPr>
        <w:lastRenderedPageBreak/>
        <w:t xml:space="preserve">tecnología y la asistencia técnica a los países en desarrollo, en consonancia con sus prioridades nacionales y regionales, deberían ser </w:t>
      </w:r>
      <w:r w:rsidR="00882A12" w:rsidRPr="00426AC7">
        <w:rPr>
          <w:szCs w:val="22"/>
          <w:lang w:val="es-ES_tradnl"/>
        </w:rPr>
        <w:t>el eje</w:t>
      </w:r>
      <w:r w:rsidRPr="00426AC7">
        <w:rPr>
          <w:szCs w:val="22"/>
          <w:lang w:val="es-ES_tradnl"/>
        </w:rPr>
        <w:t xml:space="preserve"> de los programas de la OMPI.</w:t>
      </w:r>
    </w:p>
    <w:p w14:paraId="6A7995E6" w14:textId="3BBD5289" w:rsidR="009A145B" w:rsidRPr="00426AC7" w:rsidRDefault="009A145B" w:rsidP="62D966B3">
      <w:pPr>
        <w:pStyle w:val="ONUMFS"/>
        <w:spacing w:after="240"/>
        <w:rPr>
          <w:lang w:val="es-ES_tradnl"/>
        </w:rPr>
      </w:pPr>
      <w:r w:rsidRPr="00426AC7">
        <w:rPr>
          <w:lang w:val="es-ES_tradnl"/>
        </w:rPr>
        <w:t xml:space="preserve">La delegación de Indonesia dio las gracias a </w:t>
      </w:r>
      <w:r w:rsidR="00882A12" w:rsidRPr="00426AC7">
        <w:rPr>
          <w:lang w:val="es-ES_tradnl"/>
        </w:rPr>
        <w:t>los participantes en</w:t>
      </w:r>
      <w:r w:rsidRPr="00426AC7">
        <w:rPr>
          <w:lang w:val="es-ES_tradnl"/>
        </w:rPr>
        <w:t xml:space="preserve"> la actividad paralela “Local Roots Global Reach”, en la que se exhibió la PI del país. Esta iniciativa refleja el objetivo de potenciar el talento creativo local para que obtenga reconocimiento mundial mediante el uso eficaz de la PI. De este modo se demuestra que la PI puede transformar la creatividad en valor económico, al tiempo que se preserva y se celebra la identidad cultural. Afirmó que la cultura y las obras creativas ocupan un lugar central en la estrategia nacional destinada a hacer de la PI un motor de crecimiento económico sostenible e inclusivo. La PI debe ser un incentivo para los creadores y los emprendedores, y no un obstáculo. Informó de que su país está finalizando un proyecto de la AD sobre la industria creativa en la era digital, cuyo objetivo es sensibilizar y fortalecer capacidades para el uso estratégico de la PI. Por último, expresó el compromiso de su país a fin de fortalecer un sistema mundial de PI inclusivo, equilibrado y orientado al desarrollo.</w:t>
      </w:r>
    </w:p>
    <w:p w14:paraId="55789157" w14:textId="0D9937C1" w:rsidR="009A145B" w:rsidRPr="00426AC7" w:rsidRDefault="002B5C0A" w:rsidP="00C05B6A">
      <w:pPr>
        <w:pStyle w:val="ONUMFS"/>
        <w:spacing w:after="240"/>
        <w:rPr>
          <w:szCs w:val="22"/>
          <w:lang w:val="es-ES_tradnl"/>
        </w:rPr>
      </w:pPr>
      <w:r w:rsidRPr="00426AC7">
        <w:rPr>
          <w:szCs w:val="22"/>
          <w:lang w:val="es-ES_tradnl"/>
        </w:rPr>
        <w:t xml:space="preserve">La delegación de la India elogió a las delegaciones por defender el principio de consenso de la OMPI, gracias al espíritu de conciliación de que han hecho gala durante las Asambleas. </w:t>
      </w:r>
      <w:r w:rsidR="009A145B" w:rsidRPr="00426AC7">
        <w:rPr>
          <w:szCs w:val="22"/>
          <w:lang w:val="es-ES_tradnl"/>
        </w:rPr>
        <w:t xml:space="preserve">Dio las gracias a la delegación de Suiza por facilitar las consultas informales que permitieron la aprobación consensuada del programa de trabajo y presupuesto. Sostuvo que el plan presupuestario refuerza el compromiso de la Organización con </w:t>
      </w:r>
      <w:r w:rsidR="00172BC8" w:rsidRPr="00426AC7">
        <w:rPr>
          <w:szCs w:val="22"/>
          <w:lang w:val="es-ES_tradnl"/>
        </w:rPr>
        <w:t xml:space="preserve">una AD </w:t>
      </w:r>
      <w:r w:rsidR="009A145B" w:rsidRPr="00426AC7">
        <w:rPr>
          <w:szCs w:val="22"/>
          <w:lang w:val="es-ES_tradnl"/>
        </w:rPr>
        <w:t>equilibrad</w:t>
      </w:r>
      <w:r w:rsidR="00172BC8" w:rsidRPr="00426AC7">
        <w:rPr>
          <w:szCs w:val="22"/>
          <w:lang w:val="es-ES_tradnl"/>
        </w:rPr>
        <w:t>a</w:t>
      </w:r>
      <w:r w:rsidR="009A145B" w:rsidRPr="00426AC7">
        <w:rPr>
          <w:szCs w:val="22"/>
          <w:lang w:val="es-ES_tradnl"/>
        </w:rPr>
        <w:t xml:space="preserve"> e inclusiv</w:t>
      </w:r>
      <w:r w:rsidR="00172BC8" w:rsidRPr="00426AC7">
        <w:rPr>
          <w:szCs w:val="22"/>
          <w:lang w:val="es-ES_tradnl"/>
        </w:rPr>
        <w:t>a</w:t>
      </w:r>
      <w:r w:rsidR="009A145B" w:rsidRPr="00426AC7">
        <w:rPr>
          <w:szCs w:val="22"/>
          <w:lang w:val="es-ES_tradnl"/>
        </w:rPr>
        <w:t xml:space="preserve">. Manifestó que la participación en las Asambleas de más de 40 ministros y 92 jefes de oficinas de PI pone de relieve el papel cada vez más importante que desempeña la OMPI como eje de la innovación y el espíritu empresarial a escala mundial. Las reuniones paralelas permitieron debatir sobre la cooperación bilateral en materia de PI y sobre nuevos ámbitos de interés mutuo. Informó de que su país depositó su instrumento de adhesión al Arreglo de Estrasburgo relativo a la </w:t>
      </w:r>
      <w:r w:rsidR="00172BC8" w:rsidRPr="00426AC7">
        <w:rPr>
          <w:szCs w:val="22"/>
          <w:lang w:val="es-ES_tradnl"/>
        </w:rPr>
        <w:t xml:space="preserve">CIP </w:t>
      </w:r>
      <w:r w:rsidR="009A145B" w:rsidRPr="00426AC7">
        <w:rPr>
          <w:szCs w:val="22"/>
          <w:lang w:val="es-ES_tradnl"/>
        </w:rPr>
        <w:t>durante las Asambleas. La OMPI y la India celebran 50 años de colaboración, un hito que refleja el deseo compartido de promover la innovación a través de la PI.</w:t>
      </w:r>
    </w:p>
    <w:p w14:paraId="0D6C88F4" w14:textId="033394D8" w:rsidR="009A145B" w:rsidRPr="00426AC7" w:rsidRDefault="009A145B" w:rsidP="00C05B6A">
      <w:pPr>
        <w:pStyle w:val="ONUMFS"/>
        <w:spacing w:after="240"/>
        <w:rPr>
          <w:szCs w:val="22"/>
          <w:lang w:val="es-ES_tradnl"/>
        </w:rPr>
      </w:pPr>
      <w:r w:rsidRPr="00426AC7">
        <w:rPr>
          <w:szCs w:val="22"/>
          <w:lang w:val="es-ES_tradnl"/>
        </w:rPr>
        <w:t xml:space="preserve">La delegación de Dinamarca, haciendo uso de la palabra en nombre de la Unión Europea y sus Estados miembros, </w:t>
      </w:r>
      <w:r w:rsidR="00E42AA7" w:rsidRPr="00426AC7">
        <w:rPr>
          <w:szCs w:val="22"/>
          <w:lang w:val="es-ES_tradnl"/>
        </w:rPr>
        <w:t xml:space="preserve">subrayó </w:t>
      </w:r>
      <w:r w:rsidRPr="00426AC7">
        <w:rPr>
          <w:szCs w:val="22"/>
          <w:lang w:val="es-ES_tradnl"/>
        </w:rPr>
        <w:t xml:space="preserve">que el éxito de las Asambleas, en particular en lo que respecta al programa de trabajo y presupuesto para 2026/27, es el resultado del espíritu de colaboración mostrado por los grupos regionales y las delegaciones. </w:t>
      </w:r>
      <w:r w:rsidR="00E42AA7" w:rsidRPr="00426AC7">
        <w:rPr>
          <w:szCs w:val="22"/>
          <w:lang w:val="es-ES_tradnl"/>
        </w:rPr>
        <w:t>L</w:t>
      </w:r>
      <w:r w:rsidRPr="00426AC7">
        <w:rPr>
          <w:szCs w:val="22"/>
          <w:lang w:val="es-ES_tradnl"/>
        </w:rPr>
        <w:t xml:space="preserve">a Unión Europea y sus Estados miembros acogen con satisfacción la renovación del mandato del CIG para 2026/27, la adopción del </w:t>
      </w:r>
      <w:r w:rsidR="00172BC8" w:rsidRPr="00426AC7">
        <w:rPr>
          <w:szCs w:val="22"/>
          <w:lang w:val="es-ES_tradnl"/>
        </w:rPr>
        <w:t>RDLT</w:t>
      </w:r>
      <w:r w:rsidRPr="00426AC7">
        <w:rPr>
          <w:szCs w:val="22"/>
          <w:lang w:val="es-ES_tradnl"/>
        </w:rPr>
        <w:t>, y la asistencia que está prestando la OMPI al sector de la innovación y la creatividad y al sistema de PI de Ucrania.</w:t>
      </w:r>
    </w:p>
    <w:p w14:paraId="17CEC405" w14:textId="1937EBEB" w:rsidR="009A145B" w:rsidRPr="00426AC7" w:rsidRDefault="009A145B" w:rsidP="00C05B6A">
      <w:pPr>
        <w:pStyle w:val="ONUMFS"/>
        <w:spacing w:after="240"/>
        <w:rPr>
          <w:szCs w:val="22"/>
          <w:lang w:val="es-ES_tradnl"/>
        </w:rPr>
      </w:pPr>
      <w:r w:rsidRPr="00426AC7">
        <w:rPr>
          <w:szCs w:val="22"/>
          <w:lang w:val="es-ES_tradnl"/>
        </w:rPr>
        <w:t xml:space="preserve">La delegación de Egipto afirmó que el éxito en alcanzar acuerdos por consenso sobre todos los puntos del orden del día en las Asambleas es reflejo del compromiso compartido con la cooperación multilateral. El multilateralismo funciona. Por su parte, señaló que su país espera seguir </w:t>
      </w:r>
      <w:r w:rsidR="00E42AA7" w:rsidRPr="00426AC7">
        <w:rPr>
          <w:szCs w:val="22"/>
          <w:lang w:val="es-ES_tradnl"/>
        </w:rPr>
        <w:t>cooperando</w:t>
      </w:r>
      <w:r w:rsidRPr="00426AC7">
        <w:rPr>
          <w:szCs w:val="22"/>
          <w:lang w:val="es-ES_tradnl"/>
        </w:rPr>
        <w:t xml:space="preserve"> con la OMPI en la misma línea, promoviendo un sistema internacional de PI más eficaz y equilibrado que fomente la innovación y la creatividad, contribuya al desarrollo nacional y avance hacia la consecución de los ODS.</w:t>
      </w:r>
    </w:p>
    <w:p w14:paraId="7242C350" w14:textId="53A145F3" w:rsidR="009A145B" w:rsidRPr="00426AC7" w:rsidRDefault="009A145B" w:rsidP="00C05B6A">
      <w:pPr>
        <w:pStyle w:val="ONUMFS"/>
        <w:spacing w:after="240"/>
        <w:rPr>
          <w:szCs w:val="22"/>
          <w:lang w:val="es-ES_tradnl"/>
        </w:rPr>
      </w:pPr>
      <w:r w:rsidRPr="00426AC7">
        <w:rPr>
          <w:szCs w:val="22"/>
          <w:lang w:val="es-ES_tradnl"/>
        </w:rPr>
        <w:t>La delegación de Argelia expresó su satisfacción por que se haya llegado a un acuerdo por consenso sobre todos los puntos del orden del día, y por el espíritu constructivo con el que se negoció al respecto. A lo largo del año anterior se obtuvieron muchos resultados tangibles que contribuyeron al avance del sistema mundial de PI, en particular en los países en desarrollo, por medio de iniciativas de desarrollo y esfuerzos en pro de la consecución de los</w:t>
      </w:r>
      <w:r w:rsidR="00BF105E" w:rsidRPr="00426AC7">
        <w:rPr>
          <w:szCs w:val="22"/>
          <w:lang w:val="es-ES_tradnl"/>
        </w:rPr>
        <w:t> </w:t>
      </w:r>
      <w:r w:rsidRPr="00426AC7">
        <w:rPr>
          <w:szCs w:val="22"/>
          <w:lang w:val="es-ES_tradnl"/>
        </w:rPr>
        <w:t>ODS. Las decisiones adoptadas durante las Asambleas proporcionarán una hoja de ruta para la labor de la Organización en el próximo bienio.</w:t>
      </w:r>
    </w:p>
    <w:p w14:paraId="064BC98E" w14:textId="77777777" w:rsidR="009A145B" w:rsidRPr="00426AC7" w:rsidRDefault="009A145B" w:rsidP="62D966B3">
      <w:pPr>
        <w:pStyle w:val="ONUMFS"/>
        <w:spacing w:after="240"/>
        <w:rPr>
          <w:lang w:val="es-ES_tradnl"/>
        </w:rPr>
      </w:pPr>
      <w:r w:rsidRPr="00426AC7">
        <w:rPr>
          <w:lang w:val="es-ES_tradnl"/>
        </w:rPr>
        <w:t xml:space="preserve">La delegación de la Arabia Saudita encomió la cooperación fructífera y constructiva entre los Estados miembros que ha reinado en las Asambleas. Los resultados positivos obtenidos reflejan el compromiso colectivo de fortalecer el sistema mundial de PI. Asimismo, reafirmó el </w:t>
      </w:r>
      <w:r w:rsidRPr="00426AC7">
        <w:rPr>
          <w:lang w:val="es-ES_tradnl"/>
        </w:rPr>
        <w:lastRenderedPageBreak/>
        <w:t>apoyo de su país a la Organización y a sus distintos órganos y se comprometió a colaborar con todos los asociados a fin de promover la innovación y proteger los derechos de PI. Esa labor está en consonancia con los ODS y con el programa Visión 2030 de la Arabia Saudita.</w:t>
      </w:r>
    </w:p>
    <w:p w14:paraId="247FF8DF" w14:textId="6587ADAC" w:rsidR="009A145B" w:rsidRPr="00426AC7" w:rsidRDefault="009A145B" w:rsidP="00C05B6A">
      <w:pPr>
        <w:pStyle w:val="ONUMFS"/>
        <w:spacing w:after="240"/>
        <w:rPr>
          <w:szCs w:val="22"/>
          <w:lang w:val="es-ES_tradnl"/>
        </w:rPr>
      </w:pPr>
      <w:r w:rsidRPr="00426AC7">
        <w:rPr>
          <w:szCs w:val="22"/>
          <w:lang w:val="es-ES_tradnl"/>
        </w:rPr>
        <w:t xml:space="preserve">La delegación de Côte d'Ivoire dijo que 2024 fue un año decisivo para la OMPI, debido a la adopción del </w:t>
      </w:r>
      <w:r w:rsidR="00172BC8" w:rsidRPr="00426AC7">
        <w:rPr>
          <w:szCs w:val="22"/>
          <w:lang w:val="es-ES_tradnl"/>
        </w:rPr>
        <w:t xml:space="preserve">RDLT </w:t>
      </w:r>
      <w:r w:rsidRPr="00426AC7">
        <w:rPr>
          <w:szCs w:val="22"/>
          <w:lang w:val="es-ES_tradnl"/>
        </w:rPr>
        <w:t>y del Tratado sobre la propiedad intelectual, los recursos genéticos y los conocimientos tradicionales asociados, que el Gobierno de su país tiene previsto ratificar en breve. Se congratuló por la elección de su país como miembro del Comité de Coordinación y de la Asamblea de la Unión de La Haya en calidad de vicepresidente, y se comprometió a contribuir a la gobernanza de la OMPI de forma constructiva y en colaboración. Para finalizar, declaró que seguirá aplicando reformas en los ámbitos del derecho de autor y la innovación tecnológica, y aprovechando los conocimientos técnicos locales, entre otras cosas mediante las indicaciones geográficas y las marcas colectivas.</w:t>
      </w:r>
    </w:p>
    <w:p w14:paraId="5C7B43E6" w14:textId="1AC180E7" w:rsidR="009A145B" w:rsidRPr="00426AC7" w:rsidRDefault="00F77509" w:rsidP="62D966B3">
      <w:pPr>
        <w:pStyle w:val="ONUMFS"/>
        <w:spacing w:after="240"/>
        <w:rPr>
          <w:lang w:val="es-ES_tradnl"/>
        </w:rPr>
      </w:pPr>
      <w:r w:rsidRPr="00426AC7">
        <w:rPr>
          <w:lang w:val="es-ES_tradnl"/>
        </w:rPr>
        <w:t>La delegación de la Federación de Rusia tomó nota con satisfacción de los avances logrados durante las reuniones, así como de la adopción consensuada de decisiones en un espíritu de cooperación multilateral saludable. Acogió con satisfacción los resultados de las dos conferencias diplomáticas celebradas en 2024 y destacó la importancia de seguir trabajando para promover la política de multilingüismo, con inclusión de la introducción de al menos todos los idiomas oficiales de las Naciones Unidas en los sistemas de Madrid y de La Haya.  Asimismo señaló la necesidad de preservar y seguir reforzando la arquitectura de las relaciones multilaterales en el ámbito de la PI. Al mismo tiempo, considera categóricamente inaceptable la discriminación por motivos nacionales y lingüísticos en lo que respecta al registro y la concesión de protección jurídica de los derechos de PI, así como las acusaciones infundadas y sin fundamento contra su país, que, por su parte, ha cumplido, cumple y seguirá cumpliendo estrictamente sus obligaciones internacionales.  Hizo hincapié en que es partidaria de un sistema mundial de PI no politizado y de una cooperación multilateral abierta y constructiva, sin enfoques selectivos ni dobles raseros, así como de los intentos de distorsionar conceptos y politizar artificialmente la labor, en particular en el ámbito de la asistencia técnica. Subrayó que el sistema mundial de PI debe fomentar la innovación y la creatividad, y no convertirse en un obstáculo para la realización del potencial humano y el desarrollo integral de todas las personas en todo el mundo.</w:t>
      </w:r>
    </w:p>
    <w:p w14:paraId="7FE8B3EE" w14:textId="78FCCB20" w:rsidR="009A145B" w:rsidRPr="00426AC7" w:rsidRDefault="009A145B" w:rsidP="62D966B3">
      <w:pPr>
        <w:pStyle w:val="ONUMFS"/>
        <w:spacing w:after="240"/>
        <w:rPr>
          <w:lang w:val="es-ES_tradnl"/>
        </w:rPr>
      </w:pPr>
      <w:r w:rsidRPr="00426AC7">
        <w:rPr>
          <w:lang w:val="es-ES_tradnl"/>
        </w:rPr>
        <w:t>La delegación de Jamaica hizo suya la declaración de clausura pronunciada por la delegación del Ecuador en nombre del GRULAC y añadió que los debates mantenidos durante las Asambleas reafirman el papel fundamental que el diálogo multilateral desempeña en el fomento y la protección de la PI. Dijo que, en su opinión y en la de otros pequeños Estados insulares en desarrollo</w:t>
      </w:r>
      <w:r w:rsidR="00172BC8" w:rsidRPr="00426AC7">
        <w:rPr>
          <w:lang w:val="es-ES_tradnl"/>
        </w:rPr>
        <w:t xml:space="preserve"> (PEID)</w:t>
      </w:r>
      <w:r w:rsidRPr="00426AC7">
        <w:rPr>
          <w:lang w:val="es-ES_tradnl"/>
        </w:rPr>
        <w:t>, los compromisos multilaterales son esenciales para fomentar la resiliencia y posicionar la PI como motor del crecimiento económico sostenible, especialmente a través del apoyo a las microempresas, las mipymes, los creadores y los innovadores. Por último, declaró que, en consecuencia, su país acoge con satisfacción la labor que se está realizando a fin de mejorar la sensibilización, la educación y la accesibilidad en materia de PI con miras a que los beneficios del sistema de PI sean ampliamente compartidos.</w:t>
      </w:r>
    </w:p>
    <w:p w14:paraId="1D4BA873" w14:textId="7E352FF8" w:rsidR="009A145B" w:rsidRPr="00426AC7" w:rsidRDefault="009A145B" w:rsidP="62D966B3">
      <w:pPr>
        <w:pStyle w:val="ONUMFS"/>
        <w:spacing w:after="240"/>
        <w:rPr>
          <w:lang w:val="es-ES_tradnl"/>
        </w:rPr>
      </w:pPr>
      <w:r w:rsidRPr="00426AC7">
        <w:rPr>
          <w:lang w:val="es-ES_tradnl"/>
        </w:rPr>
        <w:t xml:space="preserve">La delegación de Kazajstán reafirmó </w:t>
      </w:r>
      <w:r w:rsidR="00E42AA7" w:rsidRPr="00426AC7">
        <w:rPr>
          <w:lang w:val="es-ES_tradnl"/>
        </w:rPr>
        <w:t xml:space="preserve">su </w:t>
      </w:r>
      <w:r w:rsidRPr="00426AC7">
        <w:rPr>
          <w:lang w:val="es-ES_tradnl"/>
        </w:rPr>
        <w:t>compromiso con los objetivos de la OMPI y con el fortalecimiento de la cooperación internacional en materia de protección y desarrollo de la PI. Dijo que valora muy positivamente la labor desarrollada por la OMPI a fin de garantizar un futuro inclusivo, sostenible y orientado a la tecnología, así como el apoyo que presta a los Estados miembros para la consecución de sus prioridades nacionales. Expresó el compromiso de su país por contribuir al crecimiento innovador, la digitalización y la mejora de la protección jurídica de los derechos de PI a través del diálogo constructivo, el intercambio de mejores prácticas y el uso eficaz de las herramientas de la OMPI. Asimismo, mostró su deseo de que se mantenga la colaboración constructiva que ha caracterizado a estas Asambleas.</w:t>
      </w:r>
    </w:p>
    <w:p w14:paraId="7A8A0855" w14:textId="77777777" w:rsidR="009A145B" w:rsidRPr="00426AC7" w:rsidRDefault="009A145B" w:rsidP="00C05B6A">
      <w:pPr>
        <w:pStyle w:val="ONUMFS"/>
        <w:spacing w:after="240"/>
        <w:rPr>
          <w:szCs w:val="22"/>
          <w:lang w:val="es-ES_tradnl"/>
        </w:rPr>
      </w:pPr>
      <w:r w:rsidRPr="00426AC7">
        <w:rPr>
          <w:szCs w:val="22"/>
          <w:lang w:val="es-ES_tradnl"/>
        </w:rPr>
        <w:lastRenderedPageBreak/>
        <w:t>La delegación de El Salvador declaró que la conclusión con éxito de las Asambleas contribuye a reforzar el multilateralismo. La labor de la Organización está ayudando a construir un sistema de PI más equilibrado e inclusivo que fomente la innovación, la creatividad, el desarrollo y el crecimiento sostenible. Dio las gracias a la delegación de Suiza por actuar de intermediario honesto y construir puentes a fin de facilitar las negociaciones sobre el programa de trabajo y presupuesto para 2026/27.</w:t>
      </w:r>
    </w:p>
    <w:p w14:paraId="1C6EACCD" w14:textId="77777777" w:rsidR="009A145B" w:rsidRPr="00426AC7" w:rsidRDefault="009A145B" w:rsidP="00C05B6A">
      <w:pPr>
        <w:pStyle w:val="ONUMFS"/>
        <w:spacing w:after="240"/>
        <w:rPr>
          <w:szCs w:val="22"/>
          <w:lang w:val="es-ES_tradnl"/>
        </w:rPr>
      </w:pPr>
      <w:r w:rsidRPr="00426AC7">
        <w:rPr>
          <w:szCs w:val="22"/>
          <w:lang w:val="es-ES_tradnl"/>
        </w:rPr>
        <w:t>La delegación de Guatemala dio las gracias a los Estados miembros que han intercambiado información sobre su identidad cultural en las exposiciones celebradas en paralelo a las Asambleas. Las expresiones culturales expuestas no solo han contribuido a fomentar el entendimiento mutuo, sino que también han ilustrado la relación estrecha que existe entre la PI y la diversidad cultural.</w:t>
      </w:r>
    </w:p>
    <w:p w14:paraId="5CE7FB21" w14:textId="5F67831F" w:rsidR="009A145B" w:rsidRPr="00426AC7" w:rsidRDefault="009A145B" w:rsidP="00C05B6A">
      <w:pPr>
        <w:pStyle w:val="ONUMFS"/>
        <w:spacing w:after="240"/>
        <w:rPr>
          <w:szCs w:val="22"/>
          <w:lang w:val="es-ES_tradnl"/>
        </w:rPr>
      </w:pPr>
      <w:r w:rsidRPr="00426AC7">
        <w:rPr>
          <w:szCs w:val="22"/>
          <w:lang w:val="es-ES_tradnl"/>
        </w:rPr>
        <w:t xml:space="preserve">La delegación de Samoa manifestó su optimismo </w:t>
      </w:r>
      <w:r w:rsidR="00E42AA7" w:rsidRPr="00426AC7">
        <w:rPr>
          <w:szCs w:val="22"/>
          <w:lang w:val="es-ES_tradnl"/>
        </w:rPr>
        <w:t xml:space="preserve">con </w:t>
      </w:r>
      <w:r w:rsidRPr="00426AC7">
        <w:rPr>
          <w:szCs w:val="22"/>
          <w:lang w:val="es-ES_tradnl"/>
        </w:rPr>
        <w:t>respecto que el Tratado sobre la propiedad intelectual, los recursos genéticos y los conocimientos tradicionales asociados esté ya en vigor cuando se convoquen las próximas Asambleas. Las negociaciones y los debates en el marco de la OMPI se van centrando cada vez más en cuestiones políticas y empresariales, en lugar de en aspectos técnicos y de derechos humanos. Expuso la necesidad de vigilar que la labor de la Organización no acabe haciendo más ricos a los ricos y más pobres a los pobres. Sostuvo que la innovación debe tener siempre un aspecto de desarrollo humano y debe aliviar el sufrimiento humano y prevenir las crisis mundiales, en lugar de acentuarlas. La OMPI, en cuanto que organismo de las Naciones Unidas, debe guiarse ante todo por las doctrinas y principios de dicha Organización.</w:t>
      </w:r>
    </w:p>
    <w:p w14:paraId="4A9A05D7" w14:textId="77777777" w:rsidR="009A145B" w:rsidRPr="00426AC7" w:rsidRDefault="009A145B" w:rsidP="00C05B6A">
      <w:pPr>
        <w:pStyle w:val="ONUMFS"/>
        <w:spacing w:after="240"/>
        <w:rPr>
          <w:szCs w:val="22"/>
          <w:lang w:val="es-ES_tradnl"/>
        </w:rPr>
      </w:pPr>
      <w:r w:rsidRPr="00426AC7">
        <w:rPr>
          <w:szCs w:val="22"/>
          <w:lang w:val="es-ES_tradnl"/>
        </w:rPr>
        <w:t>La delegación de Trinidad y Tabago hizo suya la declaración de clausura pronunciada por la delegación del Ecuador en nombre del GRULAC. Dio las gracias a la delegación de Suiza por facilitar las negociaciones sobre el programa de trabajo y presupuesto. Afirmó que el éxito y la pronta conclusión de las Asambleas se deben a la adopción de decisiones con base en el consenso y el multilateralismo. Las decisiones adoptadas subrayan el papel que desempeña la OMPI para permitir que los países en desarrollo aprovechen la innovación y la creatividad en favor del crecimiento económico y el desarrollo sostenible. Para finalizar, expresó su particular satisfacción por la iniciativa promovida por el director general de reunir a los jefes de las oficinas de PI para intercambiar ideas.</w:t>
      </w:r>
    </w:p>
    <w:p w14:paraId="11DEF5AE" w14:textId="77777777" w:rsidR="009A145B" w:rsidRPr="00426AC7" w:rsidRDefault="009A145B" w:rsidP="00C05B6A">
      <w:pPr>
        <w:pStyle w:val="ONUMFS"/>
        <w:spacing w:after="240"/>
        <w:rPr>
          <w:szCs w:val="22"/>
          <w:lang w:val="es-ES_tradnl"/>
        </w:rPr>
      </w:pPr>
      <w:r w:rsidRPr="00426AC7">
        <w:rPr>
          <w:szCs w:val="22"/>
          <w:lang w:val="es-ES_tradnl"/>
        </w:rPr>
        <w:t>La delegación del Níger hizo suya la declaración de clausura realizada por la delegación de Namibia en nombre del Grupo Africano y dio las gracias a la delegación de Suiza por facilitar las consultas informales sobre el programa de trabajo y presupuesto. Afirmó que la aprobación de este por consenso es el resultado del compromiso y la flexibilidad de todas las delegaciones implicadas. En este sentido, añadió que la adopción de decisiones por consenso es la piedra angular del multilateralismo.</w:t>
      </w:r>
    </w:p>
    <w:p w14:paraId="3183CF41" w14:textId="77777777" w:rsidR="009A145B" w:rsidRPr="00426AC7" w:rsidRDefault="009A145B" w:rsidP="00C05B6A">
      <w:pPr>
        <w:pStyle w:val="ONUMFS"/>
        <w:spacing w:after="240"/>
        <w:rPr>
          <w:szCs w:val="22"/>
          <w:lang w:val="es-ES_tradnl"/>
        </w:rPr>
      </w:pPr>
      <w:r w:rsidRPr="00426AC7">
        <w:rPr>
          <w:szCs w:val="22"/>
          <w:lang w:val="es-ES_tradnl"/>
        </w:rPr>
        <w:t>La delegación de Nigeria declaró que estas Asambleas han sido un ejemplo de la fuerza que adquiere la cooperación multilateral cuando se basa en la inclusión, en la transparencia y en un compromiso genuino con el desarrollo. Afirmó que su país acoge con satisfacción la decisión de avanzar en la labor del CIG, en particular en lo que respecta a la finalización de un instrumento sobre los CC.TT. y las ECT, y la aprobación del programa de trabajo y presupuesto con vínculos más claros con el desarrollo. La PI debe catalizar la diversificación económica y la creación de empleo, y proteger el rico patrimonio cultural y biológico de África. Para finalizar, expresó el compromiso de su país a fin de fomentar un sistema mundial de PI equilibrado y orientado al desarrollo que no deje atrás a ningún país o comunidad.</w:t>
      </w:r>
    </w:p>
    <w:p w14:paraId="28B2CF8D" w14:textId="77777777" w:rsidR="009A145B" w:rsidRPr="00426AC7" w:rsidRDefault="009A145B" w:rsidP="00C05B6A">
      <w:pPr>
        <w:pStyle w:val="ONUMFS"/>
        <w:spacing w:after="240"/>
        <w:rPr>
          <w:szCs w:val="22"/>
          <w:lang w:val="es-ES_tradnl"/>
        </w:rPr>
      </w:pPr>
      <w:r w:rsidRPr="00426AC7">
        <w:rPr>
          <w:szCs w:val="22"/>
          <w:lang w:val="es-ES_tradnl"/>
        </w:rPr>
        <w:t xml:space="preserve">La delegación del Sudán elogió a todas las partes por el espíritu constructivo que ha prevalecido durante las Asambleas y que condujo a la adopción de todas las decisiones por consenso. Declaró que la OMPI debe preservar el carácter técnico y de desarrollo de su labor y abstenerse de politizarla o de aplicar normas selectivas. Expresó la necesidad de mejorar la </w:t>
      </w:r>
      <w:r w:rsidRPr="00426AC7">
        <w:rPr>
          <w:szCs w:val="22"/>
          <w:lang w:val="es-ES_tradnl"/>
        </w:rPr>
        <w:lastRenderedPageBreak/>
        <w:t>coordinación entre la Organización y otros organismos de las Naciones Unidas para alcanzar los ODS, en consonancia con el principio de “no dejar a nadie atrás”. Este enfoque debería materializarse en una alianza eficaz en el marco del acuerdo tripartito y en la labor humanitaria y de desarrollo. Esto es cierto sobre todo en países o regiones frágiles y afectados por conflictos, como el Sudán.</w:t>
      </w:r>
    </w:p>
    <w:p w14:paraId="6ED10D04" w14:textId="77777777" w:rsidR="009A145B" w:rsidRPr="00426AC7" w:rsidRDefault="009A145B" w:rsidP="00C05B6A">
      <w:pPr>
        <w:pStyle w:val="ONUMFS"/>
        <w:spacing w:after="240"/>
        <w:rPr>
          <w:szCs w:val="22"/>
          <w:lang w:val="es-ES_tradnl"/>
        </w:rPr>
      </w:pPr>
      <w:r w:rsidRPr="00426AC7">
        <w:rPr>
          <w:szCs w:val="22"/>
          <w:lang w:val="es-ES_tradnl"/>
        </w:rPr>
        <w:t>La delegación de la República Popular Democrática de Corea dijo que la PI desempeña un papel cada vez más importante no solo en la innovación, sino también en el desarrollo social a escala mundial. Manifestó la confianza de su país en que la OMPI cumpla su mandato, por lo que reforzará sus relaciones con la OMPI y otros Estados miembros y participará activamente en las iniciativas encaminadas a promover el ecosistema de la PI.</w:t>
      </w:r>
    </w:p>
    <w:p w14:paraId="64ED4684" w14:textId="77777777" w:rsidR="009A145B" w:rsidRPr="00426AC7" w:rsidRDefault="009A145B" w:rsidP="00C05B6A">
      <w:pPr>
        <w:pStyle w:val="ONUMFS"/>
        <w:spacing w:after="240"/>
        <w:rPr>
          <w:szCs w:val="22"/>
          <w:lang w:val="es-ES_tradnl"/>
        </w:rPr>
      </w:pPr>
      <w:r w:rsidRPr="00426AC7">
        <w:rPr>
          <w:szCs w:val="22"/>
          <w:lang w:val="es-ES_tradnl"/>
        </w:rPr>
        <w:t>La delegación de Zimbabwe hizo suya la declaración de clausura pronunciada por la delegación de Namibia en nombre del Grupo Africano. Expresó su agradecimiento por el espíritu de colaboración y dedicación demostrado por los Estados miembros a lo largo de las Asambleas, y su satisfacción por la renovación del mandato del CIG. Explicó que, durante los diez años anteriores, los Estados miembros avanzaron considerablemente en cuestiones importantes que configurarán el futuro de la PI a escala mundial. Las decisiones adoptadas en las Asambleas reflejan la coincidencia de posturas en relación con la necesidad de que el sistema de PI sea sólido e inclusivo y tenga visión de futuro.</w:t>
      </w:r>
    </w:p>
    <w:p w14:paraId="7DB71DBA" w14:textId="150989B5" w:rsidR="009A145B" w:rsidRPr="00426AC7" w:rsidRDefault="009A145B" w:rsidP="00C05B6A">
      <w:pPr>
        <w:pStyle w:val="ONUMFS"/>
        <w:spacing w:after="240"/>
        <w:rPr>
          <w:szCs w:val="22"/>
          <w:lang w:val="es-ES_tradnl"/>
        </w:rPr>
      </w:pPr>
      <w:r w:rsidRPr="00426AC7">
        <w:rPr>
          <w:szCs w:val="22"/>
          <w:lang w:val="es-ES_tradnl"/>
        </w:rPr>
        <w:t>La delegación de Colombia hizo suya la declaración de clausura realizada por la delegación del Ecuador en nombre del GRULAC y dijo que acoge con satisfacción la decisión de renovar el mandato del CIG y la aprobación del programa de trabajo y el presupuesto para 2026/27. Señaló que valora positivamente el consenso alcanzado sobre el reconocimiento de la innovación, la creatividad, la productividad y la legalidad como principios rectores de la labor de la Organización. Afirmó que continuará aportando su experiencia y perspectiva como país latinoamericano y del sur andino en un esfuerzo por fortalecer el multilateralismo y crear un sistema de PI más sólido e inclusivo.</w:t>
      </w:r>
    </w:p>
    <w:p w14:paraId="74FC585C" w14:textId="77777777" w:rsidR="009A145B" w:rsidRPr="00426AC7" w:rsidRDefault="009A145B" w:rsidP="62D966B3">
      <w:pPr>
        <w:pStyle w:val="ONUMFS"/>
        <w:spacing w:after="240"/>
        <w:rPr>
          <w:lang w:val="es-ES_tradnl"/>
        </w:rPr>
      </w:pPr>
      <w:r w:rsidRPr="00426AC7">
        <w:rPr>
          <w:lang w:val="es-ES_tradnl"/>
        </w:rPr>
        <w:t>La delegación de Eswatini hizo suya la declaración de clausura pronunciada por la delegación de Namibia en nombre del Grupo Africano y dijo que acoge con satisfacción el compromiso constructivo, el espíritu de colaboración y la voluntad de consenso que ha reinado en las Asambleas. El resultado de la labor realizada es reflejo del deseo compartido de fortalecer el sistema mundial, de PI de forma que sea inclusivo y equilibrado y responda a las necesidades de todos. Mostró su especial satisfacción por los progresos realizados en relación con el avance de la AD y la armonización del programa de trabajo y presupuesto con los ODS.</w:t>
      </w:r>
    </w:p>
    <w:p w14:paraId="0FD6C1ED" w14:textId="77777777" w:rsidR="009A145B" w:rsidRPr="00426AC7" w:rsidRDefault="009A145B" w:rsidP="00C05B6A">
      <w:pPr>
        <w:pStyle w:val="ONUMFS"/>
        <w:spacing w:after="240"/>
        <w:rPr>
          <w:szCs w:val="22"/>
          <w:lang w:val="es-ES_tradnl"/>
        </w:rPr>
      </w:pPr>
      <w:r w:rsidRPr="00426AC7">
        <w:rPr>
          <w:szCs w:val="22"/>
          <w:lang w:val="es-ES_tradnl"/>
        </w:rPr>
        <w:t>La delegación de Panamá hizo suya la declaración de clausura pronunciada por la delegación del Ecuador en nombre del GRULAC y elogió a todas las delegaciones por su participación constructiva en las Asambleas, en particular durante las reuniones paralelas. Afirmó que los Estados miembros deben aunar esfuerzos con miras a promover soluciones innovadoras y eficaces para los retos mundiales y aprovechar el potencial transformador de la PI como herramienta para lograr un desarrollo más equitativo, inclusivo y sostenible. El multilateralismo ocupa un lugar fundamental en la labor de la Organización, gracias en gran medida al espíritu de colaboración de los Estados miembros.</w:t>
      </w:r>
    </w:p>
    <w:p w14:paraId="3CDA685B" w14:textId="77777777" w:rsidR="009A145B" w:rsidRPr="00426AC7" w:rsidRDefault="009A145B" w:rsidP="00C05B6A">
      <w:pPr>
        <w:pStyle w:val="ONUMFS"/>
        <w:spacing w:after="240"/>
        <w:rPr>
          <w:szCs w:val="22"/>
          <w:lang w:val="es-ES_tradnl"/>
        </w:rPr>
      </w:pPr>
      <w:r w:rsidRPr="00426AC7">
        <w:rPr>
          <w:szCs w:val="22"/>
          <w:lang w:val="es-ES_tradnl"/>
        </w:rPr>
        <w:t>La delegación del Camerún hizo suya la declaración de clausura pronunciada por la delegación de Namibia en nombre del Grupo Africano. Declaró que el éxito de las Asambleas pone de manifiesto la capacidad de los Estados miembros para dejar a un lado sus diferencias y comprometerse mutuamente de forma constructiva en la búsqueda de soluciones a los problemas comunes. Para finalizar, señaló que esa es la esencia del multilateralismo, con el que su país está plenamente comprometido.</w:t>
      </w:r>
    </w:p>
    <w:p w14:paraId="21E23AEF" w14:textId="77777777" w:rsidR="009A145B" w:rsidRPr="00426AC7" w:rsidRDefault="009A145B" w:rsidP="62D966B3">
      <w:pPr>
        <w:pStyle w:val="ONUMFS"/>
        <w:spacing w:after="240"/>
        <w:rPr>
          <w:lang w:val="es-ES_tradnl"/>
        </w:rPr>
      </w:pPr>
      <w:r w:rsidRPr="00426AC7">
        <w:rPr>
          <w:lang w:val="es-ES_tradnl"/>
        </w:rPr>
        <w:lastRenderedPageBreak/>
        <w:t>La delegación del Canadá dijo que valora positivamente la colaboración, el progreso y la adopción de decisiones basada en el consenso que han caracterizado a estas Asambleas. Afirmó que es lamentable que no se haya llegado a un consenso en relación con una propuesta de financiación para la participación de los Pueblos Indígenas en la labor del CIG. Se trata de una propuesta valiosa, creativa y capaz de satisfacer las necesidades de todas las partes interesadas. Sin embargo, los avances y las decisiones adoptadas en todos los demás puntos del orden del día del PBC, y en las Asambleas en general, serán de gran utilidad para los Estados miembros el próximo bienio.</w:t>
      </w:r>
    </w:p>
    <w:p w14:paraId="7EFBAE6C" w14:textId="77777777" w:rsidR="009A145B" w:rsidRPr="00426AC7" w:rsidRDefault="009A145B" w:rsidP="00C05B6A">
      <w:pPr>
        <w:pStyle w:val="ONUMFS"/>
        <w:spacing w:after="240"/>
        <w:rPr>
          <w:szCs w:val="22"/>
          <w:lang w:val="es-ES_tradnl"/>
        </w:rPr>
      </w:pPr>
      <w:r w:rsidRPr="00426AC7">
        <w:rPr>
          <w:szCs w:val="22"/>
          <w:lang w:val="es-ES_tradnl"/>
        </w:rPr>
        <w:t>La delegación de Botswana hizo suya la declaración de clausura pronunciada por la delegación de Namibia en nombre del Grupo Africano y dijo que valora el espíritu de cooperación y la unidad mostrados por los Estados miembros, así como sus aportaciones constructivas a los debates de las Asambleas, que reflejan el deseo común de contar con un sistema mundial de PI armonizado. La OMPI debe promover la ratificación y la aplicación del Tratado sobre la Propiedad Intelectual, los Recursos Genéticos y los Conocimientos Tradicionales Asociados y del Tratado de Riad sobre el Derecho de los Diseños, en beneficio de todos los Estados miembros.</w:t>
      </w:r>
    </w:p>
    <w:p w14:paraId="185F7001" w14:textId="0DB228DE" w:rsidR="009A145B" w:rsidRPr="00426AC7" w:rsidRDefault="009A145B" w:rsidP="62D966B3">
      <w:pPr>
        <w:pStyle w:val="ONUMFS"/>
        <w:spacing w:after="240"/>
        <w:rPr>
          <w:lang w:val="es-ES_tradnl"/>
        </w:rPr>
      </w:pPr>
      <w:r w:rsidRPr="00426AC7">
        <w:rPr>
          <w:lang w:val="es-ES_tradnl"/>
        </w:rPr>
        <w:t xml:space="preserve">La delegación de los Estados Unidos de América hizo suya la declaración realizada por la delegación del Japón en nombre del Grupo B y dijo que aprecia el compromiso colectivo mostrado por todos los Estados miembros a lo largo de las Asambleas. </w:t>
      </w:r>
      <w:r w:rsidR="00E90747" w:rsidRPr="00426AC7">
        <w:rPr>
          <w:lang w:val="es-ES_tradnl"/>
        </w:rPr>
        <w:t xml:space="preserve">En su comunicación escrita, la delegación afirmó que los recursos de la Organización deben utilizarse para promover su mandato, que consiste en fomentar la protección de la PI en todo el mundo.  Su país desea aprovechar la oportunidad para subrayar los principios que considera esenciales para el éxito futuro de la Organización, y subraya su compromiso con sistemas sólidos y eficaces que sirvan a los intereses de las partes interesadas en el ecosistema mundial de la PI.  Un aspecto fundamental de la labor de la OMPI y del gasto de sus recursos debe ser la mejora y la racionalización de sus sistemas internacionales de presentación y registro, con el fin de beneficiar a los usuarios de esos servicios.  Esos sistemas deben facilitar la protección de la PI de manera rentable, sin requisitos onerosos que desalienten la innovación.  Todos los sistemas de registro deben ser solventes y autosuficientes desde el punto de vista financiero, y la sostenibilidad financiera debe seguir siendo el núcleo de las operaciones de la OMPI.  Queda mucho por hacer en ese ámbito, en particular en lo que respecta a los sistemas de Lisboa y de La Haya.  Es injusto seguir imponiendo a los solicitantes del Tratado de Cooperación en materia de Patentes (PCT) y del Sistema de Madrid tasas que financian otros sistemas que no son solventes ni avanzan hacia la sostenibilidad financiera.  Los solicitantes solo deben pagar por los servicios que reciben.  En lo que respecta a los RR. GG., los CC. TT. y las ECT, la labor conexa debe seguir siendo competencia exclusiva del CIG, tal como se establece en su mandato renovado. La delegación añadió que este nuevo mandato del CIG dictamina que cualquier debate y trabajo relacionado con los RR.GG., los CC.TT. y las ECT debe tener lugar en ese único órgano de la OMPI. Los intentos de debatir esos temas, incluida la </w:t>
      </w:r>
      <w:r w:rsidR="00815957">
        <w:rPr>
          <w:lang w:val="es-ES_tradnl"/>
        </w:rPr>
        <w:t>“</w:t>
      </w:r>
      <w:r w:rsidR="00E90747" w:rsidRPr="00426AC7">
        <w:rPr>
          <w:lang w:val="es-ES_tradnl"/>
        </w:rPr>
        <w:t>biopiratería</w:t>
      </w:r>
      <w:r w:rsidR="00815957">
        <w:rPr>
          <w:lang w:val="es-ES_tradnl"/>
        </w:rPr>
        <w:t>”</w:t>
      </w:r>
      <w:r w:rsidR="00E90747" w:rsidRPr="00426AC7">
        <w:rPr>
          <w:lang w:val="es-ES_tradnl"/>
        </w:rPr>
        <w:t xml:space="preserve">, en otros comités equivalen a un intento de extender en exceso el mandato del CIG y socavar la labor de esos otros comités.  Además, es importante mantener la integridad y la eficiencia del Sistema del PCT como herramienta que permite a los solicitantes de patentes, incluidas las pymes, obtener protección mundial para sus patentes.  No deben incorporarse al PCT nuevos requisitos, como la divulgación y el origen de los recursos genéticos y los conocimientos tradicionales asociados, que no guardan relación con la patentabilidad de las invenciones.  Tal medida alteraría fundamentalmente su naturaleza como mecanismo de presentación de solicitudes e impondría cargas sustanciales a los solicitantes.  Esto, a su vez, socavaría los incentivos para la innovación, introduciría incertidumbre en el sistema de patentes y lo haría menos atractivo para los inventores.  Por las razones mencionadas, los Estados Unidos no apoyan que se impongan requisitos adicionales a los solicitantes del PCT. La delegación reiteró que la OMPI, de conformidad con su mandato, debe centrarse en los servicios relacionados con la protección de la PI, como las patentes, las marcas, los derechos de autor y los diseños industriales. Señaló además que, como ya ha destacado anteriormente durante las Asambleas, </w:t>
      </w:r>
      <w:r w:rsidR="00E90747" w:rsidRPr="00426AC7">
        <w:rPr>
          <w:lang w:val="es-ES_tradnl"/>
        </w:rPr>
        <w:lastRenderedPageBreak/>
        <w:t>su país considera que ha llegado el momento de intensificar y reorientar su energía, tiempo y recursos para cumplir más plenamente el mandato de la Organización. Además, espera con interés que se siga debatiendo sobre la intersección entre la inteligencia artificial y las políticas de patentes, así como sobre los secretos comerciales, que son una herramienta de bajo costo pero de gran impacto para proteger activos valiosos.  El Sistema de Madrid debe resultar más atractivo para las empresas que desean proteger sus marcas y competir en los mercados mundiales.  En lo que respecta a los diseños, los diseños digitales predominan actualmente en las solicitudes de registro de diseños industriales, y la OMPI tiene un importante papel que desempeñar a la hora de orientar a los Estados miembros en la actualización de sus prácticas mediante la publicación de una recomendación conjunta sobre la protección de los diseños de interfaces gráficas de usuario.  Los Estados Unidos seguirán colaborando con otros Estados miembros para avanzar en ese sentido.  Espera con interés proseguir los debates más específicos sobre cuestiones relacionadas con la radiodifusión y avanzar en los debates sobre los derechos de autor que mejoren las protecciones y normas reconocidas en materia de derechos de autor. La delegación subrayó que hay que ser realista</w:t>
      </w:r>
      <w:r w:rsidR="00815957">
        <w:rPr>
          <w:lang w:val="es-ES_tradnl"/>
        </w:rPr>
        <w:t>s</w:t>
      </w:r>
      <w:r w:rsidR="00E90747" w:rsidRPr="00426AC7">
        <w:rPr>
          <w:lang w:val="es-ES_tradnl"/>
        </w:rPr>
        <w:t xml:space="preserve"> en cuanto a las expectativas sobre la labor de los distintos comités de la OMPI. Además, instó a todos los Estados miembros a que velen por que la labor de la OMPI fomente y promueva la protección de la PI en todo el mundo.  Su país seguirá de cerca y participara de manera constructiva para garantizar que se vuelva a hacer hincapié en las cuestiones fundamentales de la PI —patentes, marcas, derechos de autor, diseños y secretos comerciales— tal como lo establece el Convenio de la OMPI. Por último, dijo que seguirá de cerca y participará de manera constructiva para garantizar que la labor de la OMPI avance de conformidad con su mandato.</w:t>
      </w:r>
    </w:p>
    <w:p w14:paraId="20589920" w14:textId="5F15DEB3" w:rsidR="009A145B" w:rsidRPr="00426AC7" w:rsidRDefault="009A145B" w:rsidP="62D966B3">
      <w:pPr>
        <w:pStyle w:val="ONUMFS"/>
        <w:spacing w:after="240"/>
        <w:rPr>
          <w:lang w:val="es-ES_tradnl"/>
        </w:rPr>
      </w:pPr>
      <w:r w:rsidRPr="00426AC7">
        <w:rPr>
          <w:lang w:val="es-ES_tradnl"/>
        </w:rPr>
        <w:t>La delegación de la República de Corea declaró que las Asambleas han reafirmado el deseo de los Estados miembros de construir un sistema mundial de PI más inclusivo, innovador y sostenible en beneficio de todos. Destacó en particular la rapidez y la flexibilidad con la que se ha llegado a un consenso sobre varios puntos del orden del día. Señaló que la OMPI debe seguir fortaleciendo la cooperación multilateral, el apoyo mutuo y el intercambio de conocimientos entre todos los Estados miembros. Añadió que sigue plenamente comprometid</w:t>
      </w:r>
      <w:r w:rsidR="00172BC8" w:rsidRPr="00426AC7">
        <w:rPr>
          <w:lang w:val="es-ES_tradnl"/>
        </w:rPr>
        <w:t>a</w:t>
      </w:r>
      <w:r w:rsidRPr="00426AC7">
        <w:rPr>
          <w:lang w:val="es-ES_tradnl"/>
        </w:rPr>
        <w:t xml:space="preserve"> a colaborar codo con codo con la OMPI y los demás Estados miembros para establecer un marco de PI equilibrado, equitativo y orientado al futuro.</w:t>
      </w:r>
    </w:p>
    <w:p w14:paraId="01F73466" w14:textId="329FEBF3" w:rsidR="009A145B" w:rsidRPr="00426AC7" w:rsidRDefault="009A145B" w:rsidP="62D966B3">
      <w:pPr>
        <w:pStyle w:val="ONUMFS"/>
        <w:spacing w:after="240"/>
        <w:rPr>
          <w:lang w:val="es-ES_tradnl"/>
        </w:rPr>
      </w:pPr>
      <w:r w:rsidRPr="00426AC7">
        <w:rPr>
          <w:lang w:val="es-ES_tradnl"/>
        </w:rPr>
        <w:t xml:space="preserve">La delegación de Ucrania hizo suyas las declaraciones de clausura pronunciadas por las delegaciones de Estonia en nombre del CEBS y de Dinamarca en nombre de la Unión Europea y sus Estados miembros. Declaró que acoge con satisfacción la renovación del mandato del CIG para el bienio 2026/27, la labor del SCCR en relación con el proyecto de tratado de los organismos de radiodifusión, los debates sobre la IA generativa, la amplia labor desarrollada por el CDIP y los avances logrados en relación con los usuarios en todos los sistemas mundiales de PI de la Organización. Asimismo, dijo que acoge con satisfacción la labor de los órganos rectores de la OMPI, incluidos el PBC y el Comité de Coordinación. Expresó su rechazo a que la Federación de Rusia participe en esos órganos mientras siga haciendo la guerra y utilizando sistemáticamente las plataformas de la OMPI de forma indebida, en flagrante desprecio de los principios de la Organización. No obstante, la delegación dio las gracias a la OMPI por su apoyo continuado y manifestó su deseo de seguir cooperando en el marco del Memorando de Entendimiento que firmó con la Organización unos días antes. </w:t>
      </w:r>
      <w:r w:rsidR="00D90C0C" w:rsidRPr="00426AC7">
        <w:rPr>
          <w:lang w:val="es-ES_tradnl"/>
        </w:rPr>
        <w:t>E</w:t>
      </w:r>
      <w:r w:rsidR="007F0D4B" w:rsidRPr="00426AC7">
        <w:rPr>
          <w:lang w:val="es-ES_tradnl"/>
        </w:rPr>
        <w:t xml:space="preserve">xpresó su agradecimiento a la Secretaría de la OMPI por la preparación del informe A/66/8 y considera que el apoyo continuo prestado a Ucrania es oportuno y necesario, ya que este país sufre las consecuencias de la guerra de agresión que Rusia sigue librando. Dijo que acoge con satisfacción el compromiso de la Secretaría de la OMPI de adoptar todas las medidas necesarias para encontrar soluciones que permitan aplicar eficazmente la decisión de la Asamblea General del año pasado, que figura en el documento A/65/11. </w:t>
      </w:r>
      <w:r w:rsidRPr="00426AC7">
        <w:rPr>
          <w:lang w:val="es-ES_tradnl"/>
        </w:rPr>
        <w:t>Además, dio las gracias a la Secretaría por comprometerse a adoptar todas las medidas necesarias a fin de que las publicaciones en los recursos y plataformas de la OMPI respeten los principios de soberanía, independencia e integridad territorial de Ucrania dentro de sus fronteras internacionalmente reconocidas.</w:t>
      </w:r>
      <w:r w:rsidR="0014359C" w:rsidRPr="00426AC7">
        <w:rPr>
          <w:lang w:val="es-ES_tradnl"/>
        </w:rPr>
        <w:t xml:space="preserve"> Concluyó su declaración expresando su sincero </w:t>
      </w:r>
      <w:r w:rsidR="0014359C" w:rsidRPr="00426AC7">
        <w:rPr>
          <w:lang w:val="es-ES_tradnl"/>
        </w:rPr>
        <w:lastRenderedPageBreak/>
        <w:t>agradecimiento a todos los Estados Miembros que siguen demostrando una postura basada en principios y adhesión a los principios básicos en los que se sustenta la Organización, reiterando que dicha postura significa mostrar solidaridad con su país.</w:t>
      </w:r>
    </w:p>
    <w:p w14:paraId="03A1E362" w14:textId="634DEF3F" w:rsidR="009A145B" w:rsidRPr="00426AC7" w:rsidRDefault="009A145B" w:rsidP="00C05B6A">
      <w:pPr>
        <w:pStyle w:val="ONUMFS"/>
        <w:spacing w:after="240"/>
        <w:rPr>
          <w:szCs w:val="22"/>
          <w:lang w:val="es-ES_tradnl"/>
        </w:rPr>
      </w:pPr>
      <w:r w:rsidRPr="00426AC7">
        <w:rPr>
          <w:szCs w:val="22"/>
          <w:lang w:val="es-ES_tradnl"/>
        </w:rPr>
        <w:t>La delegación de Camboya dijo que acoge con satisfacción el espíritu constructivo y la solidaridad mostrados por los Estados miembros durante las Asambleas, que han permitido avanzar considerablemente en cuestiones importantes como la promoción de la innovación inclusiva. Explicó que su país se siente alentado especialmente por el compromiso de los Estados miembros de atender las necesidades de los países en desarrollo y los PMA. Asimismo, mostró su respaldo a la labor desarrollada por la OMPI con el fin de fortalecer las capacidades de los Estados miembros, modernizar las oficinas de PI y proteger los RR.GG., los</w:t>
      </w:r>
      <w:r w:rsidR="00241693" w:rsidRPr="00426AC7">
        <w:rPr>
          <w:szCs w:val="22"/>
          <w:lang w:val="es-ES_tradnl"/>
        </w:rPr>
        <w:t> </w:t>
      </w:r>
      <w:r w:rsidRPr="00426AC7">
        <w:rPr>
          <w:szCs w:val="22"/>
          <w:lang w:val="es-ES_tradnl"/>
        </w:rPr>
        <w:t>CC.TT. y el folclore.</w:t>
      </w:r>
    </w:p>
    <w:p w14:paraId="749CCE2A" w14:textId="77777777" w:rsidR="009A145B" w:rsidRPr="00426AC7" w:rsidRDefault="009A145B" w:rsidP="62D966B3">
      <w:pPr>
        <w:pStyle w:val="ONUMFS"/>
        <w:spacing w:after="240"/>
        <w:rPr>
          <w:lang w:val="es-ES_tradnl"/>
        </w:rPr>
      </w:pPr>
      <w:r w:rsidRPr="00426AC7">
        <w:rPr>
          <w:lang w:val="es-ES_tradnl"/>
        </w:rPr>
        <w:t>La delegación de Sri Lanka dijo que acoge con satisfacción los debates pormenorizados celebrados en las Asambleas y las decisiones alcanzadas como resultado de estos. Dio las gracias a los Estados miembros por el compromiso constructivo mostrado en relación con cuestiones de suma importancia para los países en desarrollo, como la protección de los derechos de PI y el fortalecimiento de capacidades. Añadió que su país seguirá aprovechando la PI como herramienta de innovación, creatividad y desarrollo sostenible.</w:t>
      </w:r>
    </w:p>
    <w:p w14:paraId="3E9E0E7F" w14:textId="38707CC9" w:rsidR="009A145B" w:rsidRPr="00426AC7" w:rsidRDefault="009A145B" w:rsidP="00C05B6A">
      <w:pPr>
        <w:pStyle w:val="ONUMFS"/>
        <w:spacing w:after="240"/>
        <w:rPr>
          <w:szCs w:val="22"/>
          <w:lang w:val="es-ES_tradnl"/>
        </w:rPr>
      </w:pPr>
      <w:r w:rsidRPr="00426AC7">
        <w:rPr>
          <w:szCs w:val="22"/>
          <w:lang w:val="es-ES_tradnl"/>
        </w:rPr>
        <w:t xml:space="preserve">La delegación de Sudáfrica hizo suya la declaración de clausura realizada por la delegación de Namibia en nombre del Grupo Africano y señaló que valora positivamente la labor desarrollada por la delegación de Suiza a fin de facilitar las reuniones informales, especialmente las del PBC, en las que, una vez más, había reinado la flexibilidad para adoptar decisiones con base en el consenso. La pronta conclusión de las Asambleas es el resultado del espíritu de cooperación y adaptabilidad que mostraron los Estados miembros. Por último, dijo que acoge con satisfacción la adopción del Tratado sobre la propiedad intelectual, los recursos genéticos y los conocimientos tradicionales asociados, y del </w:t>
      </w:r>
      <w:r w:rsidR="00172BC8" w:rsidRPr="00426AC7">
        <w:rPr>
          <w:szCs w:val="22"/>
          <w:lang w:val="es-ES_tradnl"/>
        </w:rPr>
        <w:t>RDLT</w:t>
      </w:r>
      <w:r w:rsidRPr="00426AC7">
        <w:rPr>
          <w:szCs w:val="22"/>
          <w:lang w:val="es-ES_tradnl"/>
        </w:rPr>
        <w:t>, y añadió que espera que se apliquen con rapidez.</w:t>
      </w:r>
    </w:p>
    <w:p w14:paraId="509EE265" w14:textId="77777777" w:rsidR="009A145B" w:rsidRPr="00426AC7" w:rsidRDefault="009A145B" w:rsidP="00C05B6A">
      <w:pPr>
        <w:pStyle w:val="ONUMFS"/>
        <w:spacing w:after="240"/>
        <w:rPr>
          <w:szCs w:val="22"/>
          <w:lang w:val="es-ES_tradnl"/>
        </w:rPr>
      </w:pPr>
      <w:r w:rsidRPr="00426AC7">
        <w:rPr>
          <w:szCs w:val="22"/>
          <w:lang w:val="es-ES_tradnl"/>
        </w:rPr>
        <w:t>La delegación de Francia hizo suyas las declaraciones de clausura pronunciadas por las delegaciones del Japón en nombre del Grupo B y de Dinamarca en nombre de la Unión Europea y sus Estados miembros, y expresó su satisfacción por el espíritu constructivo y de colaboración mostrado por los Estados miembros para adoptar decisiones con base en el consenso. No obstante, señaló la necesidad de adoptar medidas que permitan alcanzar el consenso respecto de otros textos que llevan muchos años siendo objeto de debate. Asimismo, dijo que las decisiones de la Organización se deben seguir adoptando por consenso.</w:t>
      </w:r>
    </w:p>
    <w:p w14:paraId="7A6028BC" w14:textId="02FDB649" w:rsidR="009A145B" w:rsidRPr="00426AC7" w:rsidRDefault="009A145B" w:rsidP="62D966B3">
      <w:pPr>
        <w:pStyle w:val="ONUMFS"/>
        <w:spacing w:after="240"/>
        <w:rPr>
          <w:lang w:val="es-ES_tradnl"/>
        </w:rPr>
      </w:pPr>
      <w:r w:rsidRPr="00426AC7">
        <w:rPr>
          <w:lang w:val="es-ES_tradnl"/>
        </w:rPr>
        <w:t>La delegación de la República Islámica del Irán hizo suya la declaración de clausura pronunciada por la delegación del Pakistán en nombre del Grupo de Países de Asia y el</w:t>
      </w:r>
      <w:r w:rsidR="00BF105E" w:rsidRPr="00426AC7">
        <w:rPr>
          <w:lang w:val="es-ES_tradnl"/>
        </w:rPr>
        <w:t> </w:t>
      </w:r>
      <w:r w:rsidRPr="00426AC7">
        <w:rPr>
          <w:lang w:val="es-ES_tradnl"/>
        </w:rPr>
        <w:t>Pacífico y observó que en las Asambleas se ha reafirmado la importancia que tienen el respeto mutuo y la adopción de un enfoque constructivo para examinar los retos y las oportunidades relacionados con la PI a escala mundial. Afirmó que su país mantiene el compromiso de establecer un sistema de PI equilibrado e inclusivo que fomente la innovación y la creatividad y contribuya al desarrollo en todas las regiones, y valora la labor continua que realiza la OMPI a fin de aplicar la AD.</w:t>
      </w:r>
    </w:p>
    <w:p w14:paraId="5607B1A7" w14:textId="77777777" w:rsidR="009A145B" w:rsidRPr="00426AC7" w:rsidRDefault="009A145B" w:rsidP="00C05B6A">
      <w:pPr>
        <w:pStyle w:val="ONUMFS"/>
        <w:spacing w:after="240"/>
        <w:rPr>
          <w:szCs w:val="22"/>
          <w:lang w:val="es-ES_tradnl"/>
        </w:rPr>
      </w:pPr>
      <w:r w:rsidRPr="00426AC7">
        <w:rPr>
          <w:szCs w:val="22"/>
          <w:lang w:val="es-ES_tradnl"/>
        </w:rPr>
        <w:t>La delegación de Cuba dijo que aprecia el espíritu de colaboración mostrado por los Estados miembros para adoptar decisiones en las Asambleas y subrayó la importancia de incluir una dimensión de desarrollo en todas las actividades de la OMPI.</w:t>
      </w:r>
    </w:p>
    <w:p w14:paraId="0037292A" w14:textId="77777777" w:rsidR="009A145B" w:rsidRPr="00426AC7" w:rsidRDefault="009A145B" w:rsidP="00C05B6A">
      <w:pPr>
        <w:pStyle w:val="ONUMFS"/>
        <w:spacing w:after="240"/>
        <w:rPr>
          <w:szCs w:val="22"/>
          <w:lang w:val="es-ES_tradnl"/>
        </w:rPr>
      </w:pPr>
      <w:r w:rsidRPr="00426AC7">
        <w:rPr>
          <w:szCs w:val="22"/>
          <w:lang w:val="es-ES_tradnl"/>
        </w:rPr>
        <w:t>La delegación de Guinea-Bissau hizo suya la declaración formulada por la delegación de Namibia en nombre del Grupo Africano y afirmó que los resultados de las Asambleas ponen de manifiesto el triunfo del multilateralismo.</w:t>
      </w:r>
    </w:p>
    <w:p w14:paraId="5F32ED66" w14:textId="77777777" w:rsidR="009A145B" w:rsidRPr="00426AC7" w:rsidRDefault="009A145B" w:rsidP="00C05B6A">
      <w:pPr>
        <w:pStyle w:val="ONUMFS"/>
        <w:spacing w:after="240"/>
        <w:rPr>
          <w:szCs w:val="22"/>
          <w:lang w:val="es-ES_tradnl"/>
        </w:rPr>
      </w:pPr>
      <w:r w:rsidRPr="00426AC7">
        <w:rPr>
          <w:szCs w:val="22"/>
          <w:lang w:val="es-ES_tradnl"/>
        </w:rPr>
        <w:lastRenderedPageBreak/>
        <w:t>La delegación de Italia hizo suya la declaración realizada por la delegación de Dinamarca en nombre de la Unión Europea y sus Estados miembros y declaró que las Asambleas han brindado una oportunidad excepcional para el diálogo, el intercambio y la cooperación. Se han expresado opiniones divergentes, pero lo más importante es que se ha hecho un esfuerzo concertado para encontrar puntos en común. Señaló que, una vez más, el multilateralismo ha arrojado resultados tangibles.</w:t>
      </w:r>
    </w:p>
    <w:p w14:paraId="3FCA444A" w14:textId="77777777" w:rsidR="009A145B" w:rsidRPr="00426AC7" w:rsidRDefault="009A145B" w:rsidP="00C05B6A">
      <w:pPr>
        <w:pStyle w:val="ONUMFS"/>
        <w:spacing w:after="240"/>
        <w:rPr>
          <w:szCs w:val="22"/>
          <w:lang w:val="es-ES_tradnl"/>
        </w:rPr>
      </w:pPr>
      <w:r w:rsidRPr="00426AC7">
        <w:rPr>
          <w:szCs w:val="22"/>
          <w:lang w:val="es-ES_tradnl"/>
        </w:rPr>
        <w:t>La delegación de Singapur elogió a los Estados miembros por su compromiso continuo con el multilateralismo en beneficio de todos. Dijo que las Asambleas han vuelto a poner de manifiesto que la cooperación es la piedra angular del progreso, y añadió que cada vez son más los países, las partes interesadas y los innovadores que reconocen la capacidad que tiene la PI para transformar vidas e impulsar el desarrollo.</w:t>
      </w:r>
    </w:p>
    <w:p w14:paraId="4DAA91C4" w14:textId="77777777" w:rsidR="009A145B" w:rsidRPr="00426AC7" w:rsidRDefault="009A145B" w:rsidP="00C05B6A">
      <w:pPr>
        <w:pStyle w:val="ONUMFS"/>
        <w:spacing w:after="240"/>
        <w:rPr>
          <w:szCs w:val="22"/>
          <w:lang w:val="es-ES_tradnl"/>
        </w:rPr>
      </w:pPr>
      <w:r w:rsidRPr="00426AC7">
        <w:rPr>
          <w:szCs w:val="22"/>
          <w:lang w:val="es-ES_tradnl"/>
        </w:rPr>
        <w:t>La delegación de la República Democrática Popular Lao dijo que el resultado de las Asambleas es testimonio de la capacidad que atesora el director general de la OMPI para dirigir la Organización con integridad y empatía, y para actuar con decisión.</w:t>
      </w:r>
    </w:p>
    <w:p w14:paraId="23A6DF9A" w14:textId="77777777" w:rsidR="009A145B" w:rsidRPr="00426AC7" w:rsidRDefault="009A145B" w:rsidP="00C05B6A">
      <w:pPr>
        <w:pStyle w:val="ONUMFS"/>
        <w:spacing w:after="240"/>
        <w:rPr>
          <w:szCs w:val="22"/>
          <w:lang w:val="es-ES_tradnl"/>
        </w:rPr>
      </w:pPr>
      <w:r w:rsidRPr="00426AC7">
        <w:rPr>
          <w:szCs w:val="22"/>
          <w:lang w:val="es-ES_tradnl"/>
        </w:rPr>
        <w:t>La delegación del Japón, haciendo uso de la palabra en nombre propio, dijo que, en un contexto internacional complejo como el actual, el avance del sistema de PI con base en el multilateralismo adquiere más importancia que nunca. Sostuvo que la OMPI es una organización fundamental para la cooperación internacional, y señaló que su país mantiene el compromiso de contribuir al desarrollo de un sistema internacional de PI justo y eficaz para el bienestar de todos.</w:t>
      </w:r>
    </w:p>
    <w:p w14:paraId="53DCD0CA" w14:textId="34947B7D" w:rsidR="009A145B" w:rsidRPr="00426AC7" w:rsidRDefault="009A145B" w:rsidP="00C05B6A">
      <w:pPr>
        <w:pStyle w:val="ONUMFS"/>
        <w:spacing w:after="240"/>
        <w:rPr>
          <w:szCs w:val="22"/>
          <w:lang w:val="es-ES_tradnl"/>
        </w:rPr>
      </w:pPr>
      <w:r w:rsidRPr="00426AC7">
        <w:rPr>
          <w:szCs w:val="22"/>
          <w:lang w:val="es-ES_tradnl"/>
        </w:rPr>
        <w:t xml:space="preserve">La representante del HEP señaló que, aunque algunas cuestiones tratadas en las Asambleas </w:t>
      </w:r>
      <w:r w:rsidR="00E42AA7" w:rsidRPr="00426AC7">
        <w:rPr>
          <w:szCs w:val="22"/>
          <w:lang w:val="es-ES_tradnl"/>
        </w:rPr>
        <w:t>son</w:t>
      </w:r>
      <w:r w:rsidRPr="00426AC7">
        <w:rPr>
          <w:szCs w:val="22"/>
          <w:lang w:val="es-ES_tradnl"/>
        </w:rPr>
        <w:t xml:space="preserve"> muy controvertidas, los debates se han desarrollado con la integridad propia de una organización internacional. Sin embargo, la OMPI podría considerar la posibilidad de permitir a las ONG participar plenamente en las reuniones informales.</w:t>
      </w:r>
    </w:p>
    <w:p w14:paraId="2B7BE3C1" w14:textId="5942B7EA" w:rsidR="009B6AFA" w:rsidRPr="00426AC7" w:rsidRDefault="009A145B" w:rsidP="62D966B3">
      <w:pPr>
        <w:pStyle w:val="ONUMFS"/>
        <w:spacing w:after="240"/>
        <w:rPr>
          <w:lang w:val="es-ES_tradnl"/>
        </w:rPr>
      </w:pPr>
      <w:r w:rsidRPr="00426AC7">
        <w:rPr>
          <w:lang w:val="es-ES_tradnl"/>
        </w:rPr>
        <w:t>A continuación se recogen las observaciones finales del director general:</w:t>
      </w:r>
    </w:p>
    <w:p w14:paraId="6C450A16" w14:textId="77777777" w:rsidR="009A145B" w:rsidRPr="00426AC7" w:rsidRDefault="009B6AFA" w:rsidP="00B15F65">
      <w:pPr>
        <w:pStyle w:val="ONUMFS"/>
        <w:numPr>
          <w:ilvl w:val="0"/>
          <w:numId w:val="0"/>
        </w:numPr>
        <w:spacing w:after="240"/>
        <w:ind w:left="567"/>
        <w:rPr>
          <w:szCs w:val="22"/>
          <w:lang w:val="es-ES_tradnl"/>
        </w:rPr>
      </w:pPr>
      <w:r w:rsidRPr="00426AC7">
        <w:rPr>
          <w:szCs w:val="22"/>
          <w:lang w:val="es-ES_tradnl"/>
        </w:rPr>
        <w:t>“</w:t>
      </w:r>
      <w:r w:rsidR="009A145B" w:rsidRPr="00426AC7">
        <w:rPr>
          <w:szCs w:val="22"/>
          <w:lang w:val="es-ES_tradnl"/>
        </w:rPr>
        <w:t>Estimado presidente,</w:t>
      </w:r>
    </w:p>
    <w:p w14:paraId="2FA0D399" w14:textId="7777777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Distinguidos delegados</w:t>
      </w:r>
    </w:p>
    <w:p w14:paraId="47E253BF" w14:textId="4EB5A39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Colegas, amigos</w:t>
      </w:r>
      <w:r w:rsidR="00E42AA7" w:rsidRPr="00426AC7">
        <w:rPr>
          <w:szCs w:val="22"/>
          <w:lang w:val="es-ES_tradnl"/>
        </w:rPr>
        <w:t>:</w:t>
      </w:r>
    </w:p>
    <w:p w14:paraId="50B3A4F2" w14:textId="77777777" w:rsidR="009A145B" w:rsidRPr="00426AC7" w:rsidRDefault="009A145B" w:rsidP="00B15F65">
      <w:pPr>
        <w:pStyle w:val="ONUMFS"/>
        <w:numPr>
          <w:ilvl w:val="0"/>
          <w:numId w:val="0"/>
        </w:numPr>
        <w:spacing w:after="240"/>
        <w:ind w:left="567"/>
        <w:rPr>
          <w:szCs w:val="22"/>
          <w:lang w:val="es-ES_tradnl"/>
        </w:rPr>
      </w:pPr>
      <w:bookmarkStart w:id="80" w:name="_Hlk172017189"/>
      <w:r w:rsidRPr="00426AC7">
        <w:rPr>
          <w:szCs w:val="22"/>
          <w:lang w:val="es-ES_tradnl"/>
        </w:rPr>
        <w:t>Al concluir las Asambleas de este año, permítanme compartir algunas reflexiones en relación con la Asamblea General del presente año.</w:t>
      </w:r>
      <w:bookmarkEnd w:id="80"/>
    </w:p>
    <w:p w14:paraId="16CBBA99" w14:textId="7777777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En primer lugar, esta ha sido la mayor Asamblea General de nuestra historia, con la incorporación de los Estados Federados de Micronesia como 194.º Estado miembro, y la asistencia de 1 600 personas. Todos pudimos comprobar cómo se abarrotó nuestra sala, llena de vida y bullicio, en el buen sentido. Esto demuestra que el interés por la labor de la OMPI y por la PI es cada vez mayor.</w:t>
      </w:r>
    </w:p>
    <w:p w14:paraId="20C23B87" w14:textId="77777777" w:rsidR="009A145B" w:rsidRPr="00426AC7" w:rsidRDefault="009A145B" w:rsidP="62D966B3">
      <w:pPr>
        <w:pStyle w:val="ONUMFS"/>
        <w:numPr>
          <w:ilvl w:val="0"/>
          <w:numId w:val="0"/>
        </w:numPr>
        <w:spacing w:after="240"/>
        <w:ind w:left="567"/>
        <w:rPr>
          <w:lang w:val="es-ES_tradnl"/>
        </w:rPr>
      </w:pPr>
      <w:r w:rsidRPr="00426AC7">
        <w:rPr>
          <w:lang w:val="es-ES_tradnl"/>
        </w:rPr>
        <w:t>Otro aspecto que he de mencionar es el aumento asimismo de la participación de líderes mundiales. Este año hemos contado con la asistencia de 94 jefes de oficinas de PI y 40 ministros, la cifra más alta que se ha registrado hasta la fecha. Yo mismo he mantenido cerca de 100 reuniones bilaterales. Con todo ello quiero decir que nos sentimos muy honrados por el creciente interés que todos ustedes, tanto los especialistas de las capitales como las misiones, están mostrando por nuestra labor.</w:t>
      </w:r>
    </w:p>
    <w:p w14:paraId="56726982" w14:textId="7777777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 xml:space="preserve">También estamos observando un aumento del interés en el ámbito político, lo cual es importante desde el punto de vista estratégico y para cada uno de ustedes, que son jefes </w:t>
      </w:r>
      <w:r w:rsidRPr="00426AC7">
        <w:rPr>
          <w:szCs w:val="22"/>
          <w:lang w:val="es-ES_tradnl"/>
        </w:rPr>
        <w:lastRenderedPageBreak/>
        <w:t>de oficinas de PI, a fin de obtener los recursos necesarios para materializar los temas objeto de debate. Tras haber asistido a las Asambleas de la OMPI durante 12 o 13 años, diría que este nivel de compromiso supone un cambio considerable con respecto a lo que hemos visto anteriormente. Esto demuestra que la PI está adquiriendo cada vez más importancia estratégica para todos los países.</w:t>
      </w:r>
    </w:p>
    <w:p w14:paraId="7E46744B" w14:textId="77777777" w:rsidR="009A145B" w:rsidRPr="00426AC7" w:rsidRDefault="009A145B" w:rsidP="62D966B3">
      <w:pPr>
        <w:pStyle w:val="ONUMFS"/>
        <w:numPr>
          <w:ilvl w:val="0"/>
          <w:numId w:val="0"/>
        </w:numPr>
        <w:spacing w:after="240"/>
        <w:ind w:left="567"/>
        <w:rPr>
          <w:lang w:val="es-ES_tradnl"/>
        </w:rPr>
      </w:pPr>
      <w:r w:rsidRPr="00426AC7">
        <w:rPr>
          <w:lang w:val="es-ES_tradnl"/>
        </w:rPr>
        <w:t>En segundo lugar, me gustaría señalar que, si bien en esta sala se examinan cuestiones muy importantes y se adoptan decisiones basadas en el orden del día oficial de la Asamblea General, también somos conscientes de que el valor de la Asamblea General reside en el hecho de reunir en un mismo lugar a la comunidad mundial de la PI y a sus líderes.</w:t>
      </w:r>
    </w:p>
    <w:p w14:paraId="6FE859CE" w14:textId="7777777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Por lo tanto, se trata de una oportunidad única al año para que los representantes de todo el mundo se reúnan, establezcan contactos y creen redes. Además, ya es tradición que muchos jefes de oficinas de PI y delegaciones aprovechen esta ocasión para reunirse con sus asociados en encuentros bilaterales o regionales.</w:t>
      </w:r>
    </w:p>
    <w:p w14:paraId="3FCA17B7" w14:textId="77777777" w:rsidR="009A145B" w:rsidRPr="00426AC7" w:rsidRDefault="009A145B" w:rsidP="62D966B3">
      <w:pPr>
        <w:pStyle w:val="ONUMFS"/>
        <w:numPr>
          <w:ilvl w:val="0"/>
          <w:numId w:val="0"/>
        </w:numPr>
        <w:spacing w:after="240"/>
        <w:ind w:left="567"/>
        <w:rPr>
          <w:lang w:val="es-ES_tradnl"/>
        </w:rPr>
      </w:pPr>
      <w:r w:rsidRPr="00426AC7">
        <w:rPr>
          <w:lang w:val="es-ES_tradnl"/>
        </w:rPr>
        <w:t>Una de las novedades que hemos introducido este año ha sido la cena y el desayuno con todos los jefes de oficinas de PI, con el fin de intercambiar opiniones sobre cuestiones relacionadas con la gestión y la administración de las oficinas. En estos encuentros no se trataron cuestiones políticas ni temas oficiales, sino aspectos prácticos relacionados con la gestión eficaz de las oficinas de PI. Las opiniones recibidas de todo el mundo han sido muy positivas, y muchos jefes de oficinas han comentado que esto les ha permitido conocer oficinas de PI de regiones con las que, de otro modo, no habrían entrado en contacto. Todo ello ha contribuido a reforzar el sentimiento de familia, y muchos jefes de oficinas han destacado que han conocido a otros jefes que se enfrentan a los mismos retos, lo que los ha llevado a renovar su sentido de propósito y ha reforzado la sensación de formar parte de una comunidad mundial de la PI.</w:t>
      </w:r>
    </w:p>
    <w:p w14:paraId="46FCA644" w14:textId="77777777" w:rsidR="009A145B" w:rsidRPr="00426AC7" w:rsidRDefault="009A145B" w:rsidP="62D966B3">
      <w:pPr>
        <w:pStyle w:val="ONUMFS"/>
        <w:numPr>
          <w:ilvl w:val="0"/>
          <w:numId w:val="0"/>
        </w:numPr>
        <w:spacing w:after="240"/>
        <w:ind w:left="567"/>
        <w:rPr>
          <w:lang w:val="es-ES_tradnl"/>
        </w:rPr>
      </w:pPr>
      <w:r w:rsidRPr="00426AC7">
        <w:rPr>
          <w:lang w:val="es-ES_tradnl"/>
        </w:rPr>
        <w:t>En tercer lugar, la Asamblea General ofrece la oportunidad de intercambiar mejores prácticas, ideas, tendencias y otros aspectos relacionados con la formulación de políticas en materia de PI. Esto se refleja, entre muchas otras cosas, en los informes y presentaciones que realizamos, incluido uno muy interesante sobre la inversión en activos intangibles. Pero lo más interesante es que la Asamblea General se ha convertido también en un espacio en el que los Estados miembros pueden exhibir su PI. Pasear por los edificios de la OMPI durante la Asamblea General es, literalmente, como dar la vuelta al mundo, ya que los países aprovechan esta oportunidad para compartir, celebrar y promover su cultura, su creatividad, sus innovaciones, su gastronomía y la forma en que la PI cobra vida para ellos.</w:t>
      </w:r>
    </w:p>
    <w:p w14:paraId="65834FEC" w14:textId="7777777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Y creo que dar vida a la PI tiene mucho que ver con la misión colectiva que compartimos. Nuestra labor consiste realmente en hacer de la PI un catalizador del empleo, la inversión, el espíritu empresarial, la innovación y la creatividad. Consiste realmente en llevar la PI a las bases, acercarla a las mujeres, los jóvenes, las pymes, los Pueblos Indígenas y las comunidades locales, y ayudarnos a abordar los retos mundiales y hacer de la OMPI un foro en el que el multilateralismo funcione y dé resultados, de modo que la PI acompañe a los innovadores y creadores en su camino y lleve sus ideas al mundo.</w:t>
      </w:r>
    </w:p>
    <w:p w14:paraId="799E0D0A" w14:textId="77777777" w:rsidR="009A145B" w:rsidRPr="00426AC7" w:rsidRDefault="009A145B" w:rsidP="62D966B3">
      <w:pPr>
        <w:pStyle w:val="ONUMFS"/>
        <w:numPr>
          <w:ilvl w:val="0"/>
          <w:numId w:val="0"/>
        </w:numPr>
        <w:spacing w:after="240"/>
        <w:ind w:left="567"/>
        <w:rPr>
          <w:lang w:val="es-ES_tradnl"/>
        </w:rPr>
      </w:pPr>
      <w:r w:rsidRPr="00426AC7">
        <w:rPr>
          <w:lang w:val="es-ES_tradnl"/>
        </w:rPr>
        <w:t>Seguiremos trabajando con ahínco con ustedes con el fin de conocer sus opiniones y hacer de la Asamblea General un lugar donde se traten los temas importantes de nuestra agenda y donde la gente se reúna para formar una comunidad.</w:t>
      </w:r>
    </w:p>
    <w:p w14:paraId="3F671F96" w14:textId="7777777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 xml:space="preserve">En cuanto a los distintos puntos del orden del día, les agradezco su reconocimiento por la labor que mis colegas y yo estamos realizando. He escuchado con mucha atención las opiniones, las orientaciones y las directrices que me han transmitido, y seguiremos </w:t>
      </w:r>
      <w:r w:rsidRPr="00426AC7">
        <w:rPr>
          <w:szCs w:val="22"/>
          <w:lang w:val="es-ES_tradnl"/>
        </w:rPr>
        <w:lastRenderedPageBreak/>
        <w:t>haciéndolo. Esta es su Organización y nos enorgullece servirles como Secretaría, trabajando siempre de manera eficiente, profesional, transparente, abierta y eficaz.</w:t>
      </w:r>
    </w:p>
    <w:p w14:paraId="72338725" w14:textId="7777777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Ahora bien, organizar las mayores Asambleas de la historia de la OMPI es una tarea muy exigente, que solo es posible gracias al compromiso de muchísimas personas.</w:t>
      </w:r>
    </w:p>
    <w:p w14:paraId="3DD4857C" w14:textId="77777777" w:rsidR="009A145B" w:rsidRPr="00426AC7" w:rsidRDefault="009A145B" w:rsidP="62D966B3">
      <w:pPr>
        <w:pStyle w:val="ONUMFS"/>
        <w:numPr>
          <w:ilvl w:val="0"/>
          <w:numId w:val="0"/>
        </w:numPr>
        <w:spacing w:after="240"/>
        <w:ind w:left="567"/>
        <w:rPr>
          <w:lang w:val="es-ES_tradnl"/>
        </w:rPr>
      </w:pPr>
      <w:r w:rsidRPr="00426AC7">
        <w:rPr>
          <w:lang w:val="es-ES_tradnl"/>
        </w:rPr>
        <w:t>Permítanme comenzar dando las gracias a nuestro estimado presidente, el embajador Suescum, por guiar una vez más nuestros debates con paciencia, experiencia, sabiduría, habilidad y serenidad. Su paciente orientación nos ha sido de gran ayuda para abordar debates complejos y adoptar decisiones importantes. Esta es también una de las primeras veces en la historia de la Asamblea General que hemos terminado antes del almuerzo, así que creo que debemos aplaudir al presidente por ello. Asimismo, creo que Trinidad y Tabago ha inaugurado una nueva tradición en la presidencia de la Asamblea General, al sustituir el martillo por un instrumento musical, lo cual resulta muy apropiado para un organismo de las Naciones Unidas como este, que se dedica a la creatividad.</w:t>
      </w:r>
    </w:p>
    <w:p w14:paraId="1D11C762" w14:textId="7777777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Asimismo, quisiera dar las gracias a los coordinadores de los grupos. No es fácil gestionar grupos tan grandes de países, y sé que esta labor comienza mucho antes de las Asambleas. También doy las gracias a nuestros queridos Estados miembros. Su enfoque constructivo y pragmático es lo que verdaderamente da vida al espíritu del multilateralismo en esta Organización, una y otra vez. Apreciamos mucho su disposición a buscar la flexibilidad y el espíritu de compromiso que nos han permitido adoptar estas decisiones y seguir avanzando en la labor de la Organización. También damos las gracias a los observadores por sus numerosas contribuciones, que enriquecen nuestra labor.</w:t>
      </w:r>
    </w:p>
    <w:p w14:paraId="4E1AAC34" w14:textId="77777777" w:rsidR="009A145B" w:rsidRPr="00426AC7" w:rsidRDefault="009A145B" w:rsidP="62D966B3">
      <w:pPr>
        <w:pStyle w:val="ONUMFS"/>
        <w:numPr>
          <w:ilvl w:val="0"/>
          <w:numId w:val="0"/>
        </w:numPr>
        <w:spacing w:after="240"/>
        <w:ind w:left="567"/>
        <w:rPr>
          <w:lang w:val="es-ES_tradnl"/>
        </w:rPr>
      </w:pPr>
      <w:r w:rsidRPr="00426AC7">
        <w:rPr>
          <w:lang w:val="es-ES_tradnl"/>
        </w:rPr>
        <w:t>Mi más sincero agradecimiento además a los colegas de la OMPI que han trabajado sin descanso para preparar y hacer posibles estas reuniones. Doy las gracias de todo corazón, tanto a los que están aquí en el estrado como a los que se encuentran repartidos por la sala. Quiero mencionar también al personal de la División de Relaciones con la Comunidad Diplomática y Asuntos de las Asambleas, y de la Oficina de la Consejera Jurídica, entre otros departamentos.</w:t>
      </w:r>
    </w:p>
    <w:p w14:paraId="704D2A2B" w14:textId="7777777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 xml:space="preserve">Por último, me gustaría rendir homenaje a todos aquellos que trabajan entre bastidores. Desde quienes preparan los documentos o coordinan el orden del día hasta nuestros equipos de interpretación, traducción, audiovisuales, TI, seguridad, </w:t>
      </w:r>
      <w:r w:rsidRPr="00426AC7">
        <w:rPr>
          <w:i/>
          <w:iCs/>
          <w:szCs w:val="22"/>
          <w:lang w:val="es-ES_tradnl"/>
        </w:rPr>
        <w:t>catering</w:t>
      </w:r>
      <w:r w:rsidRPr="00426AC7">
        <w:rPr>
          <w:szCs w:val="22"/>
          <w:lang w:val="es-ES_tradnl"/>
        </w:rPr>
        <w:t>, limpieza y muchas otras tareas; su labor constituye un verdadero trabajo en equipo y les estoy muy agradecido a todos. A título personal, quiero dar las gracias especialmente a mi equipo de Secretaría. La coordinación de todas mis reuniones bilaterales conlleva mucho trabajo y les agradezco su apoyo a este respecto.</w:t>
      </w:r>
    </w:p>
    <w:p w14:paraId="5B57A74F" w14:textId="7777777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 xml:space="preserve">Estimados colegas, amigos, </w:t>
      </w:r>
    </w:p>
    <w:p w14:paraId="4CBA6CEC" w14:textId="7777777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 xml:space="preserve">Querida familia de la OMPI, </w:t>
      </w:r>
    </w:p>
    <w:p w14:paraId="26F170CE" w14:textId="7777777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Gracias por su compromiso con la OMPI, con el ecosistema mundial de la PI y con los innovadores y creadores a quienes tenemos el gran privilegio de servir. Mis colegas y yo esperamos con interés colaborar estrechamente con ustedes para hacer sentir la fuerza de la PI en todo el mundo. Les deseo un buen viaje y un verano tranquilo.</w:t>
      </w:r>
    </w:p>
    <w:p w14:paraId="178144DD" w14:textId="77777777" w:rsidR="009A145B" w:rsidRPr="00426AC7" w:rsidRDefault="009A145B" w:rsidP="00B15F65">
      <w:pPr>
        <w:pStyle w:val="ONUMFS"/>
        <w:numPr>
          <w:ilvl w:val="0"/>
          <w:numId w:val="0"/>
        </w:numPr>
        <w:spacing w:after="240"/>
        <w:ind w:left="567"/>
        <w:rPr>
          <w:szCs w:val="22"/>
          <w:lang w:val="es-ES_tradnl"/>
        </w:rPr>
      </w:pPr>
      <w:r w:rsidRPr="00426AC7">
        <w:rPr>
          <w:szCs w:val="22"/>
          <w:lang w:val="es-ES_tradnl"/>
        </w:rPr>
        <w:t>Muchas gracias”.</w:t>
      </w:r>
    </w:p>
    <w:p w14:paraId="553B8456" w14:textId="77777777" w:rsidR="009A145B" w:rsidRPr="00426AC7" w:rsidRDefault="009A145B" w:rsidP="00C05B6A">
      <w:pPr>
        <w:pStyle w:val="ONUMFS"/>
        <w:spacing w:after="240"/>
        <w:rPr>
          <w:szCs w:val="22"/>
          <w:lang w:val="es-ES_tradnl"/>
        </w:rPr>
      </w:pPr>
      <w:r w:rsidRPr="00426AC7">
        <w:rPr>
          <w:szCs w:val="22"/>
          <w:lang w:val="es-ES_tradnl"/>
        </w:rPr>
        <w:t xml:space="preserve">En su discurso de clausura, el presidente de la Asamblea General de la OMPI elogió el trabajo preparatorio realizado en los meses previos a las Asambleas. Su conclusión satisfactoria se debe a la labor de muchas personas, entre ellas todo el personal de la </w:t>
      </w:r>
      <w:r w:rsidRPr="00426AC7">
        <w:rPr>
          <w:szCs w:val="22"/>
          <w:lang w:val="es-ES_tradnl"/>
        </w:rPr>
        <w:lastRenderedPageBreak/>
        <w:t>Secretaría, las delegaciones y los observadores. El factor humano ha sido decisivo para la gran flexibilidad y la voluntad mostradas a fin de encontrar compromisos y puntos de acuerdo con miras a adoptar decisiones difíciles. Las actividades paralelas organizadas por las delegaciones han añadido un toque de color a las arduas semanas de trabajo.</w:t>
      </w:r>
    </w:p>
    <w:p w14:paraId="6750BDF8" w14:textId="77777777" w:rsidR="009A145B" w:rsidRPr="00426AC7" w:rsidRDefault="009A145B" w:rsidP="00B15F65">
      <w:pPr>
        <w:pStyle w:val="ONUMFS"/>
        <w:spacing w:after="240"/>
        <w:rPr>
          <w:szCs w:val="22"/>
          <w:lang w:val="es-ES_tradnl"/>
        </w:rPr>
      </w:pPr>
      <w:bookmarkStart w:id="81" w:name="_Hlk172196402"/>
      <w:r w:rsidRPr="00426AC7">
        <w:rPr>
          <w:szCs w:val="22"/>
          <w:lang w:val="es-ES_tradnl"/>
        </w:rPr>
        <w:t>Se proyectó un breve video de los momentos más destacados de las presentes Asambleas, preparado por la Secretaría.</w:t>
      </w:r>
    </w:p>
    <w:bookmarkEnd w:id="81"/>
    <w:p w14:paraId="1F94AE0F" w14:textId="77777777" w:rsidR="009A145B" w:rsidRPr="00426AC7" w:rsidRDefault="009A145B" w:rsidP="00B15F65">
      <w:pPr>
        <w:pStyle w:val="ONUMFS"/>
        <w:spacing w:after="600"/>
        <w:rPr>
          <w:szCs w:val="22"/>
          <w:lang w:val="es-ES_tradnl"/>
        </w:rPr>
      </w:pPr>
      <w:r w:rsidRPr="00426AC7">
        <w:rPr>
          <w:szCs w:val="22"/>
          <w:lang w:val="es-ES_tradnl"/>
        </w:rPr>
        <w:t>El presidente de la Asamblea General de la OMPI declaró clausurada la sexagésima sexta serie de reuniones de las Asambleas de la OMPI.</w:t>
      </w:r>
    </w:p>
    <w:p w14:paraId="29C3CADC" w14:textId="25E63C8F" w:rsidR="00152CEA" w:rsidRPr="00426AC7" w:rsidRDefault="009A145B" w:rsidP="009A145B">
      <w:pPr>
        <w:pStyle w:val="Endofdocument-Annex"/>
        <w:rPr>
          <w:szCs w:val="22"/>
          <w:lang w:val="es-ES_tradnl"/>
        </w:rPr>
      </w:pPr>
      <w:r w:rsidRPr="00426AC7">
        <w:rPr>
          <w:szCs w:val="22"/>
          <w:lang w:val="es-ES_tradnl"/>
        </w:rPr>
        <w:t>[Sigue el Anexo]</w:t>
      </w:r>
    </w:p>
    <w:sectPr w:rsidR="00152CEA" w:rsidRPr="00426AC7" w:rsidSect="001E39A2">
      <w:headerReference w:type="default" r:id="rId6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82922" w14:textId="77777777" w:rsidR="0056147B" w:rsidRDefault="0056147B">
      <w:r>
        <w:separator/>
      </w:r>
    </w:p>
  </w:endnote>
  <w:endnote w:type="continuationSeparator" w:id="0">
    <w:p w14:paraId="2A2A0A89" w14:textId="77777777" w:rsidR="0056147B" w:rsidRPr="009D30E6" w:rsidRDefault="0056147B" w:rsidP="007E663E">
      <w:pPr>
        <w:rPr>
          <w:sz w:val="17"/>
          <w:szCs w:val="17"/>
        </w:rPr>
      </w:pPr>
      <w:r w:rsidRPr="009D30E6">
        <w:rPr>
          <w:sz w:val="17"/>
          <w:szCs w:val="17"/>
        </w:rPr>
        <w:separator/>
      </w:r>
    </w:p>
    <w:p w14:paraId="29E2FE5E" w14:textId="77777777" w:rsidR="0056147B" w:rsidRPr="007E663E" w:rsidRDefault="0056147B" w:rsidP="007E663E">
      <w:pPr>
        <w:spacing w:after="60"/>
        <w:rPr>
          <w:sz w:val="17"/>
          <w:szCs w:val="17"/>
        </w:rPr>
      </w:pPr>
      <w:r>
        <w:rPr>
          <w:sz w:val="17"/>
        </w:rPr>
        <w:t>[Continuación de la nota de la página anterior]</w:t>
      </w:r>
    </w:p>
  </w:endnote>
  <w:endnote w:type="continuationNotice" w:id="1">
    <w:p w14:paraId="68DF9A02" w14:textId="77777777" w:rsidR="0056147B" w:rsidRPr="007E663E" w:rsidRDefault="0056147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496D" w14:textId="77777777" w:rsidR="0056147B" w:rsidRDefault="0056147B">
      <w:r>
        <w:separator/>
      </w:r>
    </w:p>
  </w:footnote>
  <w:footnote w:type="continuationSeparator" w:id="0">
    <w:p w14:paraId="5D3E6723" w14:textId="77777777" w:rsidR="0056147B" w:rsidRPr="009D30E6" w:rsidRDefault="0056147B" w:rsidP="007E663E">
      <w:pPr>
        <w:rPr>
          <w:sz w:val="17"/>
          <w:szCs w:val="17"/>
        </w:rPr>
      </w:pPr>
      <w:r w:rsidRPr="009D30E6">
        <w:rPr>
          <w:sz w:val="17"/>
          <w:szCs w:val="17"/>
        </w:rPr>
        <w:separator/>
      </w:r>
    </w:p>
    <w:p w14:paraId="3E078820" w14:textId="77777777" w:rsidR="0056147B" w:rsidRPr="007E663E" w:rsidRDefault="0056147B" w:rsidP="007E663E">
      <w:pPr>
        <w:spacing w:after="60"/>
        <w:rPr>
          <w:sz w:val="17"/>
          <w:szCs w:val="17"/>
        </w:rPr>
      </w:pPr>
      <w:r>
        <w:rPr>
          <w:sz w:val="17"/>
        </w:rPr>
        <w:t>[Continuación de la nota de la página anterior]</w:t>
      </w:r>
    </w:p>
  </w:footnote>
  <w:footnote w:type="continuationNotice" w:id="1">
    <w:p w14:paraId="4993E8B2" w14:textId="77777777" w:rsidR="0056147B" w:rsidRPr="007E663E" w:rsidRDefault="0056147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4679" w14:textId="64CF7E24" w:rsidR="00F84474" w:rsidRDefault="001E39A2" w:rsidP="00477D6B">
    <w:pPr>
      <w:jc w:val="right"/>
    </w:pPr>
    <w:bookmarkStart w:id="82" w:name="Code2"/>
    <w:bookmarkEnd w:id="82"/>
    <w:r>
      <w:t>A/66/11</w:t>
    </w:r>
  </w:p>
  <w:p w14:paraId="70615A5C"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1D4636C" w14:textId="77777777" w:rsidR="00F84474" w:rsidRDefault="00F84474" w:rsidP="00477D6B">
    <w:pPr>
      <w:jc w:val="right"/>
    </w:pPr>
  </w:p>
  <w:p w14:paraId="2BF70492"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 w15:restartNumberingAfterBreak="0">
    <w:nsid w:val="06CD29E3"/>
    <w:multiLevelType w:val="multilevel"/>
    <w:tmpl w:val="BF521D1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75538C"/>
    <w:multiLevelType w:val="hybridMultilevel"/>
    <w:tmpl w:val="A1D855D6"/>
    <w:lvl w:ilvl="0" w:tplc="73A29416">
      <w:start w:val="1"/>
      <w:numFmt w:val="lowerRoman"/>
      <w:lvlText w:val="%1."/>
      <w:lvlJc w:val="left"/>
      <w:pPr>
        <w:ind w:left="210" w:hanging="720"/>
      </w:pPr>
      <w:rPr>
        <w:rFonts w:hint="default"/>
      </w:rPr>
    </w:lvl>
    <w:lvl w:ilvl="1" w:tplc="04090019" w:tentative="1">
      <w:start w:val="1"/>
      <w:numFmt w:val="lowerLetter"/>
      <w:lvlText w:val="%2."/>
      <w:lvlJc w:val="left"/>
      <w:pPr>
        <w:ind w:left="570" w:hanging="360"/>
      </w:pPr>
    </w:lvl>
    <w:lvl w:ilvl="2" w:tplc="0409001B" w:tentative="1">
      <w:start w:val="1"/>
      <w:numFmt w:val="lowerRoman"/>
      <w:lvlText w:val="%3."/>
      <w:lvlJc w:val="right"/>
      <w:pPr>
        <w:ind w:left="1290" w:hanging="180"/>
      </w:pPr>
    </w:lvl>
    <w:lvl w:ilvl="3" w:tplc="0409000F" w:tentative="1">
      <w:start w:val="1"/>
      <w:numFmt w:val="decimal"/>
      <w:lvlText w:val="%4."/>
      <w:lvlJc w:val="left"/>
      <w:pPr>
        <w:ind w:left="2010" w:hanging="360"/>
      </w:pPr>
    </w:lvl>
    <w:lvl w:ilvl="4" w:tplc="04090019" w:tentative="1">
      <w:start w:val="1"/>
      <w:numFmt w:val="lowerLetter"/>
      <w:lvlText w:val="%5."/>
      <w:lvlJc w:val="left"/>
      <w:pPr>
        <w:ind w:left="2730" w:hanging="360"/>
      </w:pPr>
    </w:lvl>
    <w:lvl w:ilvl="5" w:tplc="0409001B" w:tentative="1">
      <w:start w:val="1"/>
      <w:numFmt w:val="lowerRoman"/>
      <w:lvlText w:val="%6."/>
      <w:lvlJc w:val="right"/>
      <w:pPr>
        <w:ind w:left="3450" w:hanging="180"/>
      </w:pPr>
    </w:lvl>
    <w:lvl w:ilvl="6" w:tplc="0409000F" w:tentative="1">
      <w:start w:val="1"/>
      <w:numFmt w:val="decimal"/>
      <w:lvlText w:val="%7."/>
      <w:lvlJc w:val="left"/>
      <w:pPr>
        <w:ind w:left="4170" w:hanging="360"/>
      </w:pPr>
    </w:lvl>
    <w:lvl w:ilvl="7" w:tplc="04090019" w:tentative="1">
      <w:start w:val="1"/>
      <w:numFmt w:val="lowerLetter"/>
      <w:lvlText w:val="%8."/>
      <w:lvlJc w:val="left"/>
      <w:pPr>
        <w:ind w:left="4890" w:hanging="360"/>
      </w:pPr>
    </w:lvl>
    <w:lvl w:ilvl="8" w:tplc="0409001B" w:tentative="1">
      <w:start w:val="1"/>
      <w:numFmt w:val="lowerRoman"/>
      <w:lvlText w:val="%9."/>
      <w:lvlJc w:val="right"/>
      <w:pPr>
        <w:ind w:left="5610" w:hanging="180"/>
      </w:pPr>
    </w:lvl>
  </w:abstractNum>
  <w:abstractNum w:abstractNumId="3" w15:restartNumberingAfterBreak="0">
    <w:nsid w:val="1FFB19A2"/>
    <w:multiLevelType w:val="multilevel"/>
    <w:tmpl w:val="1676EA0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DDA3E6C"/>
    <w:multiLevelType w:val="hybridMultilevel"/>
    <w:tmpl w:val="EF368474"/>
    <w:lvl w:ilvl="0" w:tplc="140694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87E2B"/>
    <w:multiLevelType w:val="hybridMultilevel"/>
    <w:tmpl w:val="2A22E3F8"/>
    <w:lvl w:ilvl="0" w:tplc="D5DCEE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96587"/>
    <w:multiLevelType w:val="hybridMultilevel"/>
    <w:tmpl w:val="594EA17A"/>
    <w:lvl w:ilvl="0" w:tplc="140694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7853381">
    <w:abstractNumId w:val="7"/>
  </w:num>
  <w:num w:numId="2" w16cid:durableId="196164486">
    <w:abstractNumId w:val="1"/>
  </w:num>
  <w:num w:numId="3" w16cid:durableId="1241792273">
    <w:abstractNumId w:val="3"/>
  </w:num>
  <w:num w:numId="4" w16cid:durableId="1108741312">
    <w:abstractNumId w:val="0"/>
  </w:num>
  <w:num w:numId="5" w16cid:durableId="1740202391">
    <w:abstractNumId w:val="2"/>
  </w:num>
  <w:num w:numId="6" w16cid:durableId="1817186659">
    <w:abstractNumId w:val="4"/>
  </w:num>
  <w:num w:numId="7" w16cid:durableId="1949198654">
    <w:abstractNumId w:val="6"/>
  </w:num>
  <w:num w:numId="8" w16cid:durableId="1523592642">
    <w:abstractNumId w:val="5"/>
  </w:num>
  <w:num w:numId="9" w16cid:durableId="1318992913">
    <w:abstractNumId w:val="3"/>
  </w:num>
  <w:num w:numId="10" w16cid:durableId="932785161">
    <w:abstractNumId w:val="3"/>
  </w:num>
  <w:num w:numId="11" w16cid:durableId="205896502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A2"/>
    <w:rsid w:val="000054F7"/>
    <w:rsid w:val="000150DC"/>
    <w:rsid w:val="000163A3"/>
    <w:rsid w:val="0003212C"/>
    <w:rsid w:val="000361BF"/>
    <w:rsid w:val="00056531"/>
    <w:rsid w:val="00065135"/>
    <w:rsid w:val="000707D4"/>
    <w:rsid w:val="0007413A"/>
    <w:rsid w:val="00076CE0"/>
    <w:rsid w:val="0009228E"/>
    <w:rsid w:val="000A1FBF"/>
    <w:rsid w:val="000A7954"/>
    <w:rsid w:val="000B44D8"/>
    <w:rsid w:val="000C3994"/>
    <w:rsid w:val="000E030D"/>
    <w:rsid w:val="000E3BB3"/>
    <w:rsid w:val="000F0A8F"/>
    <w:rsid w:val="000F5E56"/>
    <w:rsid w:val="00100F94"/>
    <w:rsid w:val="00113B44"/>
    <w:rsid w:val="00124732"/>
    <w:rsid w:val="00130BBC"/>
    <w:rsid w:val="0013210C"/>
    <w:rsid w:val="00134108"/>
    <w:rsid w:val="0013454F"/>
    <w:rsid w:val="001362EE"/>
    <w:rsid w:val="0013643D"/>
    <w:rsid w:val="0014359C"/>
    <w:rsid w:val="00152CEA"/>
    <w:rsid w:val="00153B62"/>
    <w:rsid w:val="00153DBB"/>
    <w:rsid w:val="0016174D"/>
    <w:rsid w:val="00161A28"/>
    <w:rsid w:val="0016586A"/>
    <w:rsid w:val="001677C1"/>
    <w:rsid w:val="00172BC8"/>
    <w:rsid w:val="001832A6"/>
    <w:rsid w:val="0019282A"/>
    <w:rsid w:val="00196052"/>
    <w:rsid w:val="001A152B"/>
    <w:rsid w:val="001C4DD3"/>
    <w:rsid w:val="001D2044"/>
    <w:rsid w:val="001D50D1"/>
    <w:rsid w:val="001E39A2"/>
    <w:rsid w:val="001E5EE9"/>
    <w:rsid w:val="00202FFA"/>
    <w:rsid w:val="0020424C"/>
    <w:rsid w:val="00216F92"/>
    <w:rsid w:val="00224B64"/>
    <w:rsid w:val="0022754D"/>
    <w:rsid w:val="00231663"/>
    <w:rsid w:val="002334B1"/>
    <w:rsid w:val="00241593"/>
    <w:rsid w:val="00241693"/>
    <w:rsid w:val="002427DF"/>
    <w:rsid w:val="002634C4"/>
    <w:rsid w:val="00266164"/>
    <w:rsid w:val="00292233"/>
    <w:rsid w:val="002B2D74"/>
    <w:rsid w:val="002B5C0A"/>
    <w:rsid w:val="002C17F7"/>
    <w:rsid w:val="002C28D6"/>
    <w:rsid w:val="002E7841"/>
    <w:rsid w:val="002F4E68"/>
    <w:rsid w:val="00300323"/>
    <w:rsid w:val="00307787"/>
    <w:rsid w:val="003123C5"/>
    <w:rsid w:val="00315FBA"/>
    <w:rsid w:val="00326A9F"/>
    <w:rsid w:val="003371C2"/>
    <w:rsid w:val="00354647"/>
    <w:rsid w:val="0037219C"/>
    <w:rsid w:val="00377273"/>
    <w:rsid w:val="003845C1"/>
    <w:rsid w:val="00387287"/>
    <w:rsid w:val="003A54ED"/>
    <w:rsid w:val="003A76AB"/>
    <w:rsid w:val="003B1600"/>
    <w:rsid w:val="003B5975"/>
    <w:rsid w:val="003D10A7"/>
    <w:rsid w:val="003D41D4"/>
    <w:rsid w:val="00411190"/>
    <w:rsid w:val="00423E3E"/>
    <w:rsid w:val="00426AC7"/>
    <w:rsid w:val="00427AF4"/>
    <w:rsid w:val="0045231F"/>
    <w:rsid w:val="004647DA"/>
    <w:rsid w:val="004725A4"/>
    <w:rsid w:val="00472BDA"/>
    <w:rsid w:val="00477D6B"/>
    <w:rsid w:val="00477EE5"/>
    <w:rsid w:val="00481EDF"/>
    <w:rsid w:val="00493E25"/>
    <w:rsid w:val="00494EFA"/>
    <w:rsid w:val="004A6C37"/>
    <w:rsid w:val="004A7B16"/>
    <w:rsid w:val="004D5BAD"/>
    <w:rsid w:val="004F7418"/>
    <w:rsid w:val="005027A2"/>
    <w:rsid w:val="0050757D"/>
    <w:rsid w:val="00511D0C"/>
    <w:rsid w:val="0053248E"/>
    <w:rsid w:val="00540680"/>
    <w:rsid w:val="0055013B"/>
    <w:rsid w:val="0056147B"/>
    <w:rsid w:val="0056224D"/>
    <w:rsid w:val="00571B99"/>
    <w:rsid w:val="00574A17"/>
    <w:rsid w:val="005A48DF"/>
    <w:rsid w:val="005A7311"/>
    <w:rsid w:val="005B5FB3"/>
    <w:rsid w:val="005D64EC"/>
    <w:rsid w:val="005F212E"/>
    <w:rsid w:val="005F2477"/>
    <w:rsid w:val="005F4088"/>
    <w:rsid w:val="00602C53"/>
    <w:rsid w:val="00605827"/>
    <w:rsid w:val="006140A3"/>
    <w:rsid w:val="00654B8C"/>
    <w:rsid w:val="00671DC3"/>
    <w:rsid w:val="00675021"/>
    <w:rsid w:val="0069159F"/>
    <w:rsid w:val="006930D4"/>
    <w:rsid w:val="006A06C6"/>
    <w:rsid w:val="006A2C17"/>
    <w:rsid w:val="006B4E18"/>
    <w:rsid w:val="006C6E6D"/>
    <w:rsid w:val="006D0153"/>
    <w:rsid w:val="006D25ED"/>
    <w:rsid w:val="00700456"/>
    <w:rsid w:val="00704F68"/>
    <w:rsid w:val="00711B8D"/>
    <w:rsid w:val="00715A8A"/>
    <w:rsid w:val="0072341D"/>
    <w:rsid w:val="00754BB3"/>
    <w:rsid w:val="00767062"/>
    <w:rsid w:val="0078249F"/>
    <w:rsid w:val="0079012F"/>
    <w:rsid w:val="00794964"/>
    <w:rsid w:val="007B2F9B"/>
    <w:rsid w:val="007B3227"/>
    <w:rsid w:val="007B3AA4"/>
    <w:rsid w:val="007C11F5"/>
    <w:rsid w:val="007C185E"/>
    <w:rsid w:val="007E63AC"/>
    <w:rsid w:val="007E663E"/>
    <w:rsid w:val="007F0D4B"/>
    <w:rsid w:val="007F0F0C"/>
    <w:rsid w:val="007F1B0B"/>
    <w:rsid w:val="007F2EA6"/>
    <w:rsid w:val="007F30FF"/>
    <w:rsid w:val="007F4202"/>
    <w:rsid w:val="008019E4"/>
    <w:rsid w:val="00811CBE"/>
    <w:rsid w:val="00815082"/>
    <w:rsid w:val="00815957"/>
    <w:rsid w:val="00821530"/>
    <w:rsid w:val="00823027"/>
    <w:rsid w:val="008335E8"/>
    <w:rsid w:val="0083629F"/>
    <w:rsid w:val="00843582"/>
    <w:rsid w:val="00844F75"/>
    <w:rsid w:val="008676FB"/>
    <w:rsid w:val="00882A12"/>
    <w:rsid w:val="00885BED"/>
    <w:rsid w:val="008A2B75"/>
    <w:rsid w:val="008B14EA"/>
    <w:rsid w:val="008B2CC1"/>
    <w:rsid w:val="008C4371"/>
    <w:rsid w:val="008E40D8"/>
    <w:rsid w:val="008F7A75"/>
    <w:rsid w:val="0090432B"/>
    <w:rsid w:val="0090731E"/>
    <w:rsid w:val="0093617C"/>
    <w:rsid w:val="00940E16"/>
    <w:rsid w:val="00945489"/>
    <w:rsid w:val="00954823"/>
    <w:rsid w:val="00966A22"/>
    <w:rsid w:val="00972F03"/>
    <w:rsid w:val="00975C44"/>
    <w:rsid w:val="009823A3"/>
    <w:rsid w:val="00983024"/>
    <w:rsid w:val="00996390"/>
    <w:rsid w:val="009A0C8B"/>
    <w:rsid w:val="009A0DE0"/>
    <w:rsid w:val="009A145B"/>
    <w:rsid w:val="009A2A99"/>
    <w:rsid w:val="009A7A46"/>
    <w:rsid w:val="009B0266"/>
    <w:rsid w:val="009B498F"/>
    <w:rsid w:val="009B6241"/>
    <w:rsid w:val="009B6AFA"/>
    <w:rsid w:val="009E00C3"/>
    <w:rsid w:val="009E594B"/>
    <w:rsid w:val="009F6C84"/>
    <w:rsid w:val="00A16FC0"/>
    <w:rsid w:val="00A27027"/>
    <w:rsid w:val="00A32C9E"/>
    <w:rsid w:val="00A43FF4"/>
    <w:rsid w:val="00A73167"/>
    <w:rsid w:val="00A7453D"/>
    <w:rsid w:val="00A8121F"/>
    <w:rsid w:val="00A94EEE"/>
    <w:rsid w:val="00A95F8F"/>
    <w:rsid w:val="00AB24AE"/>
    <w:rsid w:val="00AB613D"/>
    <w:rsid w:val="00AC1B82"/>
    <w:rsid w:val="00AD6274"/>
    <w:rsid w:val="00AF22EE"/>
    <w:rsid w:val="00AF4088"/>
    <w:rsid w:val="00B15F65"/>
    <w:rsid w:val="00B65A0A"/>
    <w:rsid w:val="00B72D36"/>
    <w:rsid w:val="00BA063E"/>
    <w:rsid w:val="00BC1A21"/>
    <w:rsid w:val="00BC4164"/>
    <w:rsid w:val="00BD290E"/>
    <w:rsid w:val="00BD2DCC"/>
    <w:rsid w:val="00BE1A8C"/>
    <w:rsid w:val="00BF105E"/>
    <w:rsid w:val="00BF15C0"/>
    <w:rsid w:val="00BF4970"/>
    <w:rsid w:val="00C05B6A"/>
    <w:rsid w:val="00C06472"/>
    <w:rsid w:val="00C06C15"/>
    <w:rsid w:val="00C23869"/>
    <w:rsid w:val="00C3526E"/>
    <w:rsid w:val="00C36591"/>
    <w:rsid w:val="00C40702"/>
    <w:rsid w:val="00C43703"/>
    <w:rsid w:val="00C60D68"/>
    <w:rsid w:val="00C90559"/>
    <w:rsid w:val="00CB6B10"/>
    <w:rsid w:val="00CC29BB"/>
    <w:rsid w:val="00CD577F"/>
    <w:rsid w:val="00CD6355"/>
    <w:rsid w:val="00CD6E78"/>
    <w:rsid w:val="00D03587"/>
    <w:rsid w:val="00D1313F"/>
    <w:rsid w:val="00D13AFC"/>
    <w:rsid w:val="00D21148"/>
    <w:rsid w:val="00D36B79"/>
    <w:rsid w:val="00D40CF0"/>
    <w:rsid w:val="00D56C7C"/>
    <w:rsid w:val="00D61018"/>
    <w:rsid w:val="00D71B4D"/>
    <w:rsid w:val="00D73FDB"/>
    <w:rsid w:val="00D90289"/>
    <w:rsid w:val="00D90C0C"/>
    <w:rsid w:val="00D93D55"/>
    <w:rsid w:val="00D94DC9"/>
    <w:rsid w:val="00DA1078"/>
    <w:rsid w:val="00DA24EA"/>
    <w:rsid w:val="00DA77A4"/>
    <w:rsid w:val="00E004AD"/>
    <w:rsid w:val="00E01F06"/>
    <w:rsid w:val="00E153F3"/>
    <w:rsid w:val="00E17480"/>
    <w:rsid w:val="00E42AA7"/>
    <w:rsid w:val="00E45C84"/>
    <w:rsid w:val="00E504E5"/>
    <w:rsid w:val="00E512B2"/>
    <w:rsid w:val="00E73ABF"/>
    <w:rsid w:val="00E82F7F"/>
    <w:rsid w:val="00E90747"/>
    <w:rsid w:val="00EB2B99"/>
    <w:rsid w:val="00EB7A3E"/>
    <w:rsid w:val="00EC401A"/>
    <w:rsid w:val="00ED2286"/>
    <w:rsid w:val="00EF1A56"/>
    <w:rsid w:val="00EF530A"/>
    <w:rsid w:val="00EF6622"/>
    <w:rsid w:val="00F115E4"/>
    <w:rsid w:val="00F53093"/>
    <w:rsid w:val="00F55408"/>
    <w:rsid w:val="00F63704"/>
    <w:rsid w:val="00F66152"/>
    <w:rsid w:val="00F77509"/>
    <w:rsid w:val="00F80845"/>
    <w:rsid w:val="00F84474"/>
    <w:rsid w:val="00F97BF6"/>
    <w:rsid w:val="00FA6D58"/>
    <w:rsid w:val="00FC1928"/>
    <w:rsid w:val="00FF26BE"/>
    <w:rsid w:val="62D966B3"/>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DB8A9"/>
  <w15:docId w15:val="{594CEA0D-4C12-48DE-9578-AC2E4A98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autoRedefine/>
    <w:uiPriority w:val="9"/>
    <w:qFormat/>
    <w:rsid w:val="009B6AFA"/>
    <w:pPr>
      <w:keepNext/>
      <w:keepLines/>
      <w:spacing w:before="240" w:after="60"/>
      <w:outlineLvl w:val="4"/>
    </w:pPr>
    <w:rPr>
      <w:rFonts w:eastAsiaTheme="majorEastAsia" w:cstheme="majorBidi"/>
      <w:i/>
      <w:lang w:val="en-US"/>
    </w:rPr>
  </w:style>
  <w:style w:type="paragraph" w:styleId="Heading6">
    <w:name w:val="heading 6"/>
    <w:basedOn w:val="Normal"/>
    <w:next w:val="Normal"/>
    <w:link w:val="Heading6Char"/>
    <w:uiPriority w:val="9"/>
    <w:unhideWhenUsed/>
    <w:qFormat/>
    <w:rsid w:val="009B6AF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9B6AF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9B6AF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9B6AF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uiPriority w:val="9"/>
    <w:rsid w:val="009B6AFA"/>
    <w:rPr>
      <w:rFonts w:ascii="Arial" w:eastAsiaTheme="majorEastAsia" w:hAnsi="Arial" w:cstheme="majorBidi"/>
      <w:i/>
      <w:sz w:val="22"/>
      <w:lang w:val="en-US" w:eastAsia="zh-CN"/>
    </w:rPr>
  </w:style>
  <w:style w:type="character" w:customStyle="1" w:styleId="Heading6Char">
    <w:name w:val="Heading 6 Char"/>
    <w:basedOn w:val="DefaultParagraphFont"/>
    <w:link w:val="Heading6"/>
    <w:uiPriority w:val="9"/>
    <w:rsid w:val="009B6AFA"/>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character" w:customStyle="1" w:styleId="Heading7Char">
    <w:name w:val="Heading 7 Char"/>
    <w:basedOn w:val="DefaultParagraphFont"/>
    <w:link w:val="Heading7"/>
    <w:uiPriority w:val="9"/>
    <w:semiHidden/>
    <w:rsid w:val="009B6AFA"/>
    <w:rPr>
      <w:rFonts w:asciiTheme="minorHAnsi" w:eastAsiaTheme="majorEastAsia" w:hAnsiTheme="minorHAnsi" w:cstheme="majorBidi"/>
      <w:color w:val="595959" w:themeColor="text1" w:themeTint="A6"/>
      <w:kern w:val="2"/>
      <w:sz w:val="24"/>
      <w:szCs w:val="24"/>
      <w:lang w:val="en-US" w:eastAsia="en-US"/>
      <w14:ligatures w14:val="standardContextual"/>
    </w:rPr>
  </w:style>
  <w:style w:type="character" w:customStyle="1" w:styleId="Heading8Char">
    <w:name w:val="Heading 8 Char"/>
    <w:basedOn w:val="DefaultParagraphFont"/>
    <w:link w:val="Heading8"/>
    <w:uiPriority w:val="9"/>
    <w:semiHidden/>
    <w:rsid w:val="009B6AFA"/>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character" w:customStyle="1" w:styleId="Heading9Char">
    <w:name w:val="Heading 9 Char"/>
    <w:basedOn w:val="DefaultParagraphFont"/>
    <w:link w:val="Heading9"/>
    <w:uiPriority w:val="9"/>
    <w:semiHidden/>
    <w:rsid w:val="009B6AFA"/>
    <w:rPr>
      <w:rFonts w:asciiTheme="minorHAnsi" w:eastAsiaTheme="majorEastAsia" w:hAnsiTheme="minorHAnsi" w:cstheme="majorBidi"/>
      <w:color w:val="272727" w:themeColor="text1" w:themeTint="D8"/>
      <w:kern w:val="2"/>
      <w:sz w:val="24"/>
      <w:szCs w:val="24"/>
      <w:lang w:val="en-US" w:eastAsia="en-US"/>
      <w14:ligatures w14:val="standardContextual"/>
    </w:rPr>
  </w:style>
  <w:style w:type="paragraph" w:styleId="BalloonText">
    <w:name w:val="Balloon Text"/>
    <w:basedOn w:val="Normal"/>
    <w:link w:val="BalloonTextChar"/>
    <w:rsid w:val="009B6AFA"/>
    <w:rPr>
      <w:rFonts w:ascii="Tahoma" w:hAnsi="Tahoma" w:cs="Tahoma"/>
      <w:sz w:val="16"/>
      <w:szCs w:val="16"/>
      <w:lang w:val="en-US"/>
    </w:rPr>
  </w:style>
  <w:style w:type="character" w:customStyle="1" w:styleId="BalloonTextChar">
    <w:name w:val="Balloon Text Char"/>
    <w:basedOn w:val="DefaultParagraphFont"/>
    <w:link w:val="BalloonText"/>
    <w:rsid w:val="009B6AFA"/>
    <w:rPr>
      <w:rFonts w:ascii="Tahoma" w:eastAsia="SimSun" w:hAnsi="Tahoma" w:cs="Tahoma"/>
      <w:sz w:val="16"/>
      <w:szCs w:val="16"/>
      <w:lang w:val="en-US" w:eastAsia="zh-CN"/>
    </w:rPr>
  </w:style>
  <w:style w:type="paragraph" w:styleId="NoSpacing">
    <w:name w:val="No Spacing"/>
    <w:uiPriority w:val="1"/>
    <w:qFormat/>
    <w:rsid w:val="009B6AFA"/>
    <w:rPr>
      <w:rFonts w:ascii="Arial" w:eastAsia="SimSun" w:hAnsi="Arial" w:cs="Arial"/>
      <w:sz w:val="22"/>
      <w:lang w:val="en-US" w:eastAsia="zh-CN"/>
    </w:rPr>
  </w:style>
  <w:style w:type="table" w:styleId="TableGrid">
    <w:name w:val="Table Grid"/>
    <w:basedOn w:val="TableNormal"/>
    <w:rsid w:val="009B6AF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B6AFA"/>
    <w:rPr>
      <w:rFonts w:ascii="Arial" w:eastAsia="SimSun" w:hAnsi="Arial" w:cs="Arial"/>
      <w:bCs/>
      <w:sz w:val="22"/>
      <w:szCs w:val="26"/>
      <w:u w:val="single"/>
      <w:lang w:val="es-ES" w:eastAsia="zh-CN"/>
    </w:rPr>
  </w:style>
  <w:style w:type="character" w:styleId="FootnoteReference">
    <w:name w:val="footnote reference"/>
    <w:basedOn w:val="DefaultParagraphFont"/>
    <w:semiHidden/>
    <w:unhideWhenUsed/>
    <w:rsid w:val="009B6AFA"/>
    <w:rPr>
      <w:vertAlign w:val="superscript"/>
    </w:rPr>
  </w:style>
  <w:style w:type="character" w:styleId="Hyperlink">
    <w:name w:val="Hyperlink"/>
    <w:basedOn w:val="DefaultParagraphFont"/>
    <w:uiPriority w:val="99"/>
    <w:unhideWhenUsed/>
    <w:rsid w:val="009B6AFA"/>
    <w:rPr>
      <w:color w:val="0000FF" w:themeColor="hyperlink"/>
      <w:u w:val="single"/>
    </w:rPr>
  </w:style>
  <w:style w:type="character" w:styleId="FollowedHyperlink">
    <w:name w:val="FollowedHyperlink"/>
    <w:basedOn w:val="DefaultParagraphFont"/>
    <w:uiPriority w:val="99"/>
    <w:semiHidden/>
    <w:unhideWhenUsed/>
    <w:rsid w:val="009B6AFA"/>
    <w:rPr>
      <w:color w:val="800080" w:themeColor="followedHyperlink"/>
      <w:u w:val="single"/>
    </w:rPr>
  </w:style>
  <w:style w:type="character" w:styleId="Strong">
    <w:name w:val="Strong"/>
    <w:uiPriority w:val="22"/>
    <w:qFormat/>
    <w:rsid w:val="009B6AFA"/>
    <w:rPr>
      <w:b/>
      <w:bCs/>
    </w:rPr>
  </w:style>
  <w:style w:type="character" w:styleId="CommentReference">
    <w:name w:val="annotation reference"/>
    <w:basedOn w:val="DefaultParagraphFont"/>
    <w:uiPriority w:val="99"/>
    <w:unhideWhenUsed/>
    <w:rsid w:val="009B6AFA"/>
    <w:rPr>
      <w:sz w:val="16"/>
      <w:szCs w:val="16"/>
    </w:rPr>
  </w:style>
  <w:style w:type="paragraph" w:styleId="CommentSubject">
    <w:name w:val="annotation subject"/>
    <w:basedOn w:val="CommentText"/>
    <w:next w:val="CommentText"/>
    <w:link w:val="CommentSubjectChar"/>
    <w:uiPriority w:val="99"/>
    <w:semiHidden/>
    <w:unhideWhenUsed/>
    <w:rsid w:val="009B6AFA"/>
    <w:rPr>
      <w:b/>
      <w:bCs/>
      <w:sz w:val="20"/>
      <w:lang w:val="en-US"/>
    </w:rPr>
  </w:style>
  <w:style w:type="character" w:customStyle="1" w:styleId="CommentTextChar">
    <w:name w:val="Comment Text Char"/>
    <w:basedOn w:val="DefaultParagraphFont"/>
    <w:link w:val="CommentText"/>
    <w:uiPriority w:val="99"/>
    <w:rsid w:val="009B6AFA"/>
    <w:rPr>
      <w:rFonts w:ascii="Arial" w:eastAsia="SimSun" w:hAnsi="Arial" w:cs="Arial"/>
      <w:sz w:val="18"/>
      <w:lang w:val="es-ES" w:eastAsia="zh-CN"/>
    </w:rPr>
  </w:style>
  <w:style w:type="character" w:customStyle="1" w:styleId="CommentSubjectChar">
    <w:name w:val="Comment Subject Char"/>
    <w:basedOn w:val="CommentTextChar"/>
    <w:link w:val="CommentSubject"/>
    <w:uiPriority w:val="99"/>
    <w:semiHidden/>
    <w:rsid w:val="009B6AFA"/>
    <w:rPr>
      <w:rFonts w:ascii="Arial" w:eastAsia="SimSun" w:hAnsi="Arial" w:cs="Arial"/>
      <w:b/>
      <w:bCs/>
      <w:sz w:val="18"/>
      <w:lang w:val="en-US" w:eastAsia="zh-CN"/>
    </w:rPr>
  </w:style>
  <w:style w:type="paragraph" w:styleId="Revision">
    <w:name w:val="Revision"/>
    <w:hidden/>
    <w:uiPriority w:val="99"/>
    <w:semiHidden/>
    <w:rsid w:val="009B6AFA"/>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9B6AFA"/>
    <w:rPr>
      <w:rFonts w:ascii="Arial" w:eastAsia="SimSun" w:hAnsi="Arial" w:cs="Arial"/>
      <w:sz w:val="22"/>
      <w:lang w:val="es-ES" w:eastAsia="zh-CN"/>
    </w:rPr>
  </w:style>
  <w:style w:type="paragraph" w:styleId="ListParagraph">
    <w:name w:val="List Paragraph"/>
    <w:basedOn w:val="Normal"/>
    <w:uiPriority w:val="34"/>
    <w:qFormat/>
    <w:rsid w:val="009B6AFA"/>
    <w:pPr>
      <w:spacing w:after="160" w:line="259" w:lineRule="auto"/>
      <w:ind w:left="720"/>
      <w:contextualSpacing/>
    </w:pPr>
    <w:rPr>
      <w:rFonts w:asciiTheme="minorHAnsi" w:eastAsiaTheme="minorHAnsi" w:hAnsiTheme="minorHAnsi" w:cstheme="minorBidi"/>
      <w:szCs w:val="22"/>
      <w:lang w:val="en-GB" w:eastAsia="en-US"/>
    </w:rPr>
  </w:style>
  <w:style w:type="character" w:customStyle="1" w:styleId="CommentTextChar1">
    <w:name w:val="Comment Text Char1"/>
    <w:basedOn w:val="DefaultParagraphFont"/>
    <w:uiPriority w:val="99"/>
    <w:semiHidden/>
    <w:rsid w:val="009B6AFA"/>
    <w:rPr>
      <w:rFonts w:ascii="Arial" w:eastAsia="SimSun" w:hAnsi="Arial" w:cs="Arial"/>
      <w:sz w:val="18"/>
      <w:lang w:val="en-US" w:eastAsia="zh-CN"/>
    </w:rPr>
  </w:style>
  <w:style w:type="character" w:styleId="UnresolvedMention">
    <w:name w:val="Unresolved Mention"/>
    <w:basedOn w:val="DefaultParagraphFont"/>
    <w:uiPriority w:val="99"/>
    <w:semiHidden/>
    <w:unhideWhenUsed/>
    <w:rsid w:val="009B6AFA"/>
    <w:rPr>
      <w:color w:val="605E5C"/>
      <w:shd w:val="clear" w:color="auto" w:fill="E1DFDD"/>
    </w:rPr>
  </w:style>
  <w:style w:type="paragraph" w:customStyle="1" w:styleId="TableParagraph">
    <w:name w:val="Table Paragraph"/>
    <w:basedOn w:val="Normal"/>
    <w:uiPriority w:val="1"/>
    <w:qFormat/>
    <w:rsid w:val="009B6AFA"/>
    <w:pPr>
      <w:widowControl w:val="0"/>
      <w:autoSpaceDE w:val="0"/>
      <w:autoSpaceDN w:val="0"/>
      <w:ind w:left="108"/>
    </w:pPr>
    <w:rPr>
      <w:rFonts w:ascii="Arial MT" w:eastAsia="Arial MT" w:hAnsi="Arial MT" w:cs="Arial MT"/>
      <w:szCs w:val="22"/>
      <w:lang w:val="en-US" w:eastAsia="en-US"/>
    </w:rPr>
  </w:style>
  <w:style w:type="character" w:customStyle="1" w:styleId="ONUMEChar">
    <w:name w:val="ONUM E Char"/>
    <w:basedOn w:val="DefaultParagraphFont"/>
    <w:link w:val="ONUME"/>
    <w:locked/>
    <w:rsid w:val="009B6AFA"/>
    <w:rPr>
      <w:rFonts w:ascii="Arial" w:eastAsia="SimSun" w:hAnsi="Arial" w:cs="Arial"/>
      <w:sz w:val="22"/>
      <w:lang w:val="es-ES" w:eastAsia="zh-CN"/>
    </w:rPr>
  </w:style>
  <w:style w:type="character" w:customStyle="1" w:styleId="Heading1Char">
    <w:name w:val="Heading 1 Char"/>
    <w:basedOn w:val="DefaultParagraphFont"/>
    <w:link w:val="Heading1"/>
    <w:uiPriority w:val="9"/>
    <w:rsid w:val="009B6AFA"/>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9B6AFA"/>
    <w:rPr>
      <w:rFonts w:ascii="Arial" w:eastAsia="SimSun" w:hAnsi="Arial" w:cs="Arial"/>
      <w:bCs/>
      <w:iCs/>
      <w:caps/>
      <w:sz w:val="22"/>
      <w:szCs w:val="28"/>
      <w:lang w:val="es-ES" w:eastAsia="zh-CN"/>
    </w:rPr>
  </w:style>
  <w:style w:type="character" w:customStyle="1" w:styleId="Heading4Char">
    <w:name w:val="Heading 4 Char"/>
    <w:basedOn w:val="DefaultParagraphFont"/>
    <w:link w:val="Heading4"/>
    <w:uiPriority w:val="9"/>
    <w:rsid w:val="009B6AFA"/>
    <w:rPr>
      <w:rFonts w:ascii="Arial" w:eastAsia="SimSun" w:hAnsi="Arial" w:cs="Arial"/>
      <w:bCs/>
      <w:i/>
      <w:sz w:val="22"/>
      <w:szCs w:val="28"/>
      <w:lang w:val="es-ES" w:eastAsia="zh-CN"/>
    </w:rPr>
  </w:style>
  <w:style w:type="paragraph" w:styleId="Title">
    <w:name w:val="Title"/>
    <w:basedOn w:val="Normal"/>
    <w:next w:val="Normal"/>
    <w:link w:val="TitleChar"/>
    <w:uiPriority w:val="10"/>
    <w:qFormat/>
    <w:rsid w:val="009B6AFA"/>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B6AFA"/>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9B6AF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B6AFA"/>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9B6AF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9B6AFA"/>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styleId="IntenseEmphasis">
    <w:name w:val="Intense Emphasis"/>
    <w:basedOn w:val="DefaultParagraphFont"/>
    <w:uiPriority w:val="21"/>
    <w:qFormat/>
    <w:rsid w:val="009B6AFA"/>
    <w:rPr>
      <w:i/>
      <w:iCs/>
      <w:color w:val="365F91" w:themeColor="accent1" w:themeShade="BF"/>
    </w:rPr>
  </w:style>
  <w:style w:type="paragraph" w:styleId="IntenseQuote">
    <w:name w:val="Intense Quote"/>
    <w:basedOn w:val="Normal"/>
    <w:next w:val="Normal"/>
    <w:link w:val="IntenseQuoteChar"/>
    <w:uiPriority w:val="30"/>
    <w:qFormat/>
    <w:rsid w:val="009B6AFA"/>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9B6AFA"/>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9B6AFA"/>
    <w:rPr>
      <w:b/>
      <w:bCs/>
      <w:smallCaps/>
      <w:color w:val="365F91" w:themeColor="accent1" w:themeShade="BF"/>
      <w:spacing w:val="5"/>
    </w:rPr>
  </w:style>
  <w:style w:type="character" w:customStyle="1" w:styleId="FooterChar">
    <w:name w:val="Footer Char"/>
    <w:basedOn w:val="DefaultParagraphFont"/>
    <w:link w:val="Footer"/>
    <w:uiPriority w:val="99"/>
    <w:rsid w:val="009B6AFA"/>
    <w:rPr>
      <w:rFonts w:ascii="Arial" w:eastAsia="SimSun" w:hAnsi="Arial" w:cs="Arial"/>
      <w:sz w:val="22"/>
      <w:lang w:val="es-ES" w:eastAsia="zh-CN"/>
    </w:rPr>
  </w:style>
  <w:style w:type="character" w:customStyle="1" w:styleId="HeaderChar">
    <w:name w:val="Header Char"/>
    <w:basedOn w:val="DefaultParagraphFont"/>
    <w:link w:val="Header"/>
    <w:uiPriority w:val="99"/>
    <w:rsid w:val="009B6AFA"/>
    <w:rPr>
      <w:rFonts w:ascii="Arial" w:eastAsia="SimSun" w:hAnsi="Arial" w:cs="Arial"/>
      <w:sz w:val="22"/>
      <w:lang w:val="es-ES" w:eastAsia="zh-CN"/>
    </w:rPr>
  </w:style>
  <w:style w:type="paragraph" w:styleId="List">
    <w:name w:val="List"/>
    <w:basedOn w:val="Normal"/>
    <w:uiPriority w:val="99"/>
    <w:unhideWhenUsed/>
    <w:rsid w:val="009B6AFA"/>
    <w:pPr>
      <w:ind w:left="360" w:hanging="360"/>
      <w:contextualSpacing/>
    </w:pPr>
    <w:rPr>
      <w:lang w:val="en-US"/>
    </w:rPr>
  </w:style>
  <w:style w:type="paragraph" w:styleId="ListBullet">
    <w:name w:val="List Bullet"/>
    <w:basedOn w:val="Normal"/>
    <w:uiPriority w:val="99"/>
    <w:unhideWhenUsed/>
    <w:rsid w:val="009B6AFA"/>
    <w:pPr>
      <w:numPr>
        <w:numId w:val="4"/>
      </w:numPr>
      <w:contextualSpacing/>
    </w:pPr>
    <w:rPr>
      <w:lang w:val="en-US"/>
    </w:rPr>
  </w:style>
  <w:style w:type="paragraph" w:customStyle="1" w:styleId="ColorIndent">
    <w:name w:val="ColorIndent"/>
    <w:basedOn w:val="Normal"/>
    <w:next w:val="Normal"/>
    <w:uiPriority w:val="13"/>
    <w:qFormat/>
    <w:rsid w:val="009B6AFA"/>
    <w:pPr>
      <w:ind w:left="1440"/>
    </w:pPr>
    <w:rPr>
      <w:color w:val="00B0F0"/>
      <w:szCs w:val="18"/>
      <w:lang w:val="fr-CH"/>
    </w:rPr>
  </w:style>
  <w:style w:type="character" w:customStyle="1" w:styleId="FootnoteTextChar">
    <w:name w:val="Footnote Text Char"/>
    <w:basedOn w:val="DefaultParagraphFont"/>
    <w:link w:val="FootnoteText"/>
    <w:uiPriority w:val="99"/>
    <w:rsid w:val="009B6AFA"/>
    <w:rPr>
      <w:rFonts w:ascii="Arial" w:eastAsia="SimSun" w:hAnsi="Arial" w:cs="Arial"/>
      <w:sz w:val="18"/>
      <w:lang w:val="es-ES" w:eastAsia="zh-CN"/>
    </w:rPr>
  </w:style>
  <w:style w:type="paragraph" w:customStyle="1" w:styleId="PhotoCredit">
    <w:name w:val="Photo Credit"/>
    <w:basedOn w:val="Normal"/>
    <w:uiPriority w:val="13"/>
    <w:qFormat/>
    <w:rsid w:val="009B6AFA"/>
    <w:rPr>
      <w:color w:val="A6A6A6"/>
      <w:sz w:val="11"/>
      <w:szCs w:val="11"/>
      <w:lang w:val="en-US"/>
    </w:rPr>
  </w:style>
  <w:style w:type="paragraph" w:customStyle="1" w:styleId="Legend">
    <w:name w:val="Legend"/>
    <w:basedOn w:val="Normal"/>
    <w:uiPriority w:val="14"/>
    <w:qFormat/>
    <w:rsid w:val="009B6AFA"/>
    <w:pPr>
      <w:spacing w:before="120" w:line="120" w:lineRule="exact"/>
      <w:ind w:left="6480"/>
    </w:pPr>
    <w:rPr>
      <w:sz w:val="14"/>
      <w:lang w:val="en-US"/>
    </w:rPr>
  </w:style>
  <w:style w:type="paragraph" w:customStyle="1" w:styleId="BoxTitle">
    <w:name w:val="Box Title"/>
    <w:basedOn w:val="Title"/>
    <w:next w:val="Box"/>
    <w:uiPriority w:val="15"/>
    <w:qFormat/>
    <w:rsid w:val="009B6AFA"/>
    <w:pPr>
      <w:spacing w:after="0"/>
    </w:pPr>
    <w:rPr>
      <w:rFonts w:ascii="Noto Sans Display" w:hAnsi="Noto Sans Display" w:cs="Noto Sans Display"/>
      <w:b/>
      <w:sz w:val="20"/>
      <w:szCs w:val="20"/>
      <w:lang w:eastAsia="zh-CN"/>
      <w14:ligatures w14:val="none"/>
    </w:rPr>
  </w:style>
  <w:style w:type="paragraph" w:customStyle="1" w:styleId="Box">
    <w:name w:val="Box"/>
    <w:basedOn w:val="Normal"/>
    <w:uiPriority w:val="16"/>
    <w:qFormat/>
    <w:rsid w:val="009B6AFA"/>
    <w:rPr>
      <w:color w:val="00B0F0"/>
      <w:lang w:val="en-US"/>
    </w:rPr>
  </w:style>
  <w:style w:type="paragraph" w:customStyle="1" w:styleId="BoxList">
    <w:name w:val="Box List"/>
    <w:basedOn w:val="ListBullet"/>
    <w:uiPriority w:val="17"/>
    <w:qFormat/>
    <w:rsid w:val="009B6AFA"/>
    <w:rPr>
      <w:color w:val="00B0F0"/>
      <w:lang w:val="fr-CH"/>
    </w:rPr>
  </w:style>
  <w:style w:type="paragraph" w:styleId="NormalWeb">
    <w:name w:val="Normal (Web)"/>
    <w:basedOn w:val="Normal"/>
    <w:uiPriority w:val="99"/>
    <w:unhideWhenUsed/>
    <w:rsid w:val="009B6AFA"/>
    <w:rPr>
      <w:rFonts w:ascii="Times New Roman" w:hAnsi="Times New Roman" w:cs="Times New Roman"/>
      <w:sz w:val="24"/>
      <w:szCs w:val="24"/>
      <w:lang w:val="en-US"/>
    </w:rPr>
  </w:style>
  <w:style w:type="paragraph" w:customStyle="1" w:styleId="S2TText">
    <w:name w:val="S2TText"/>
    <w:basedOn w:val="Normal"/>
    <w:qFormat/>
    <w:rsid w:val="009B6AFA"/>
    <w:pPr>
      <w:spacing w:before="120" w:after="120"/>
      <w:jc w:val="both"/>
    </w:pPr>
    <w:rPr>
      <w:rFonts w:ascii="Times New Roman" w:eastAsia="Times New Roman" w:hAnsi="Times New Roman" w:cs="Times New Roman"/>
      <w:color w:val="000000" w:themeColor="text1"/>
      <w:sz w:val="24"/>
      <w:lang w:val="en-US" w:eastAsia="en-US"/>
    </w:rPr>
  </w:style>
  <w:style w:type="character" w:customStyle="1" w:styleId="size">
    <w:name w:val="size"/>
    <w:basedOn w:val="DefaultParagraphFont"/>
    <w:rsid w:val="009B6AFA"/>
  </w:style>
  <w:style w:type="paragraph" w:customStyle="1" w:styleId="msonormal0">
    <w:name w:val="msonormal"/>
    <w:basedOn w:val="Normal"/>
    <w:rsid w:val="001677C1"/>
    <w:pPr>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01F06"/>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1">
    <w:name w:val="toc 1"/>
    <w:basedOn w:val="Normal"/>
    <w:next w:val="Normal"/>
    <w:autoRedefine/>
    <w:uiPriority w:val="39"/>
    <w:unhideWhenUsed/>
    <w:rsid w:val="00E01F06"/>
    <w:pPr>
      <w:spacing w:after="100"/>
    </w:pPr>
    <w:rPr>
      <w:lang w:val="en-US"/>
    </w:rPr>
  </w:style>
  <w:style w:type="paragraph" w:styleId="TOC2">
    <w:name w:val="toc 2"/>
    <w:basedOn w:val="Normal"/>
    <w:next w:val="Normal"/>
    <w:autoRedefine/>
    <w:uiPriority w:val="39"/>
    <w:unhideWhenUsed/>
    <w:rsid w:val="00E01F06"/>
    <w:pPr>
      <w:tabs>
        <w:tab w:val="right" w:leader="dot" w:pos="9345"/>
      </w:tabs>
      <w:spacing w:after="100"/>
      <w:ind w:left="426"/>
    </w:pPr>
    <w:rPr>
      <w:lang w:val="en-US"/>
    </w:rPr>
  </w:style>
  <w:style w:type="paragraph" w:styleId="TOC3">
    <w:name w:val="toc 3"/>
    <w:basedOn w:val="Normal"/>
    <w:next w:val="Normal"/>
    <w:autoRedefine/>
    <w:uiPriority w:val="39"/>
    <w:unhideWhenUsed/>
    <w:rsid w:val="00E01F06"/>
    <w:pPr>
      <w:spacing w:after="100"/>
      <w:ind w:left="44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drid.wipo.int/e-madrid" TargetMode="External"/><Relationship Id="rId21" Type="http://schemas.openxmlformats.org/officeDocument/2006/relationships/hyperlink" Target="https://www.wipo.int/pressroom/es/articles/2024/article_0017.html" TargetMode="External"/><Relationship Id="rId42" Type="http://schemas.openxmlformats.org/officeDocument/2006/relationships/hyperlink" Target="https://www.wipo.int/edocs/mdocs/govbody/es/wo_ga_58/wo_ga_58_14.pdf" TargetMode="External"/><Relationship Id="rId47" Type="http://schemas.openxmlformats.org/officeDocument/2006/relationships/hyperlink" Target="https://www.wipo.int/edocs/mdocs/govbody/es/a_66/a_66_7.pdf" TargetMode="External"/><Relationship Id="rId63" Type="http://schemas.openxmlformats.org/officeDocument/2006/relationships/hyperlink" Target="https://www.wipo.int/edocs/mdocs/govbody/es/a_66/a_66_8.pdf"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edocs/pubdocs/es/wipo-pub-rn2023-36-es-wipo-pulse.pdf" TargetMode="External"/><Relationship Id="rId29" Type="http://schemas.openxmlformats.org/officeDocument/2006/relationships/hyperlink" Target="https://www3.wipo.int/wipogreen/es/index.html" TargetMode="External"/><Relationship Id="rId11" Type="http://schemas.openxmlformats.org/officeDocument/2006/relationships/hyperlink" Target="https://www.wipo.int/edocs/mdocs/govbody/es/a_66/a_66_1.pdf" TargetMode="External"/><Relationship Id="rId24" Type="http://schemas.openxmlformats.org/officeDocument/2006/relationships/hyperlink" Target="https://www.wipo.int/es/web/wipo-alert/" TargetMode="External"/><Relationship Id="rId32" Type="http://schemas.openxmlformats.org/officeDocument/2006/relationships/hyperlink" Target="https://www.wipo.int/web/director-general/w/daren-tang/news/2025/wipo-director-general-visits-france" TargetMode="External"/><Relationship Id="rId37" Type="http://schemas.openxmlformats.org/officeDocument/2006/relationships/hyperlink" Target="https://www.wipo.int/edocs/mdocs/govbody/es/a_66/a_66_inf_2.pdf" TargetMode="External"/><Relationship Id="rId40" Type="http://schemas.openxmlformats.org/officeDocument/2006/relationships/hyperlink" Target="https://www.wipo.int/edocs/mdocs/govbody/es/a_66/a_66_4.pdf" TargetMode="External"/><Relationship Id="rId45" Type="http://schemas.openxmlformats.org/officeDocument/2006/relationships/hyperlink" Target="https://www.wipo.int/edocs/mdocs/govbody/es/a_66/a_66_7.pdf" TargetMode="External"/><Relationship Id="rId53" Type="http://schemas.openxmlformats.org/officeDocument/2006/relationships/hyperlink" Target="https://www.wipo.int/edocs/mdocs/govbody/es/wo_ga_58/wo_ga_58_14.pdf" TargetMode="External"/><Relationship Id="rId58" Type="http://schemas.openxmlformats.org/officeDocument/2006/relationships/hyperlink" Target="https://www.wipo.int/edocs/mdocs/govbody/es/li_a_42/li_a_42_3.pdf" TargetMode="External"/><Relationship Id="rId66" Type="http://schemas.openxmlformats.org/officeDocument/2006/relationships/hyperlink" Target="https://www.wipo.int/edocs/mdocs/govbody/es/a_66/a_66_10.pdf" TargetMode="External"/><Relationship Id="rId5" Type="http://schemas.openxmlformats.org/officeDocument/2006/relationships/webSettings" Target="webSettings.xml"/><Relationship Id="rId61" Type="http://schemas.openxmlformats.org/officeDocument/2006/relationships/hyperlink" Target="https://www.wipo.int/edocs/mdocs/govbody/es/stlt_a_18/stlt_a_18_2.pdf" TargetMode="External"/><Relationship Id="rId19" Type="http://schemas.openxmlformats.org/officeDocument/2006/relationships/hyperlink" Target="https://www.wipo.int/es/web/ipday/2025/index" TargetMode="External"/><Relationship Id="rId14" Type="http://schemas.openxmlformats.org/officeDocument/2006/relationships/hyperlink" Target="https://www.wipo.int/es/web/assemblies/a66/index" TargetMode="External"/><Relationship Id="rId22" Type="http://schemas.openxmlformats.org/officeDocument/2006/relationships/hyperlink" Target="https://www.wipo.int/es/web/frontier-technologies/frontier_conversation" TargetMode="External"/><Relationship Id="rId27" Type="http://schemas.openxmlformats.org/officeDocument/2006/relationships/hyperlink" Target="https://www.wipo.int/es/web/ip-office-business-solutions/" TargetMode="External"/><Relationship Id="rId30" Type="http://schemas.openxmlformats.org/officeDocument/2006/relationships/hyperlink" Target="https://www.wipo.int/pressroom/es/stories/index.html" TargetMode="External"/><Relationship Id="rId35" Type="http://schemas.openxmlformats.org/officeDocument/2006/relationships/hyperlink" Target="https://www.wipo.int/es/web/tisc" TargetMode="External"/><Relationship Id="rId43" Type="http://schemas.openxmlformats.org/officeDocument/2006/relationships/hyperlink" Target="https://www.wipo.int/edocs/mdocs/govbody/es/wo_ga_58/wo_ga_58_14.pdf" TargetMode="External"/><Relationship Id="rId48" Type="http://schemas.openxmlformats.org/officeDocument/2006/relationships/hyperlink" Target="https://www.wipo.int/edocs/mdocs/govbody/es/a_66/a_66_9.pdf" TargetMode="External"/><Relationship Id="rId56" Type="http://schemas.openxmlformats.org/officeDocument/2006/relationships/hyperlink" Target="https://www.wipo.int/edocs/mdocs/govbody/es/mm_a_59/mm_a_59_3.pdf" TargetMode="External"/><Relationship Id="rId64" Type="http://schemas.openxmlformats.org/officeDocument/2006/relationships/hyperlink" Target="https://www.wipo.int/edocs/mdocs/govbody/es/wo_cc_84/wo_cc_84_2.pdf"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wipo.int/edocs/mdocs/govbody/es/wo_ga_58/wo_ga_58_14.pdf" TargetMode="External"/><Relationship Id="rId3" Type="http://schemas.openxmlformats.org/officeDocument/2006/relationships/styles" Target="styles.xml"/><Relationship Id="rId12" Type="http://schemas.openxmlformats.org/officeDocument/2006/relationships/hyperlink" Target="https://www.wipo.int/edocs/mdocs/govbody/es/a_66/a_66_2.pdf" TargetMode="External"/><Relationship Id="rId17" Type="http://schemas.openxmlformats.org/officeDocument/2006/relationships/hyperlink" Target="https://www.wipo.int/edocs/mdocs/govbody/es/wo_pbc_32/wo_pbc_32_3.pdf" TargetMode="External"/><Relationship Id="rId25" Type="http://schemas.openxmlformats.org/officeDocument/2006/relationships/hyperlink" Target="https://www.wipo.int/pressroom/es/articles/2025/article_0003.html" TargetMode="External"/><Relationship Id="rId33" Type="http://schemas.openxmlformats.org/officeDocument/2006/relationships/hyperlink" Target="https://www.wipo.int/edocs/pubdocs/es/wipo-pub-rn2023-52-es-wipo-intellectual-property-youth-empowerment-strategy-ip-yes.pdf" TargetMode="External"/><Relationship Id="rId38" Type="http://schemas.openxmlformats.org/officeDocument/2006/relationships/hyperlink" Target="https://www.wipo.int/edocs/mdocs/govbody/es/a_66/a_66_inf_2.pdf" TargetMode="External"/><Relationship Id="rId46" Type="http://schemas.openxmlformats.org/officeDocument/2006/relationships/hyperlink" Target="https://www.wipo.int/edocs/mdocs/govbody/es/wo_ga_58/wo_ga_58_14.pdf" TargetMode="External"/><Relationship Id="rId59" Type="http://schemas.openxmlformats.org/officeDocument/2006/relationships/hyperlink" Target="https://www.wipo.int/edocs/mdocs/govbody/es/wo_ga_58/wo_ga_58_14.pdf" TargetMode="External"/><Relationship Id="rId67" Type="http://schemas.openxmlformats.org/officeDocument/2006/relationships/hyperlink" Target="https://www.wipo.int/edocs/mdocs/govbody/es/a_66/a_66_10.pdf" TargetMode="External"/><Relationship Id="rId20" Type="http://schemas.openxmlformats.org/officeDocument/2006/relationships/hyperlink" Target="https://www.wipo.int/pressroom/es/articles/2024/article_0007.html" TargetMode="External"/><Relationship Id="rId41" Type="http://schemas.openxmlformats.org/officeDocument/2006/relationships/hyperlink" Target="http://www-dev.wipo.int/edocs/mdocs/govbody/es/a_66/a_66_5.pdf" TargetMode="External"/><Relationship Id="rId54" Type="http://schemas.openxmlformats.org/officeDocument/2006/relationships/hyperlink" Target="https://www.wipo.int/edocs/mdocs/govbody/es/wo_ga_58/wo_ga_58_14.pdf" TargetMode="External"/><Relationship Id="rId62" Type="http://schemas.openxmlformats.org/officeDocument/2006/relationships/hyperlink" Target="https://www.wipo.int/edocs/mdocs/govbody/es/wo_ga_58/wo_ga_58_14.pdf"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es/web/global-innovation-index/w/blogs/2025/global-software-spending" TargetMode="External"/><Relationship Id="rId23" Type="http://schemas.openxmlformats.org/officeDocument/2006/relationships/hyperlink" Target="https://www.wipo.int/edocs/pubdocs/es/wipo-pub-2013-es-wipo-pathfinders-report" TargetMode="External"/><Relationship Id="rId28" Type="http://schemas.openxmlformats.org/officeDocument/2006/relationships/hyperlink" Target="https://www.wipo.int/es/web/global-innovation-index/" TargetMode="External"/><Relationship Id="rId36" Type="http://schemas.openxmlformats.org/officeDocument/2006/relationships/hyperlink" Target="https://www.wipo.int/es/web/ip-financing" TargetMode="External"/><Relationship Id="rId49" Type="http://schemas.openxmlformats.org/officeDocument/2006/relationships/hyperlink" Target="https://www.wipo.int/edocs/mdocs/govbody/es/wo_ga_58/wo_ga_58_14.pdf" TargetMode="External"/><Relationship Id="rId57" Type="http://schemas.openxmlformats.org/officeDocument/2006/relationships/hyperlink" Target="https://www.wipo.int/edocs/mdocs/govbody/es/h_a_45/h_a_45_2.pdf" TargetMode="External"/><Relationship Id="rId10" Type="http://schemas.openxmlformats.org/officeDocument/2006/relationships/hyperlink" Target="https://www.wipo.int/edocs/mdocs/govbody/es/a_66/a_66_1.pdf" TargetMode="External"/><Relationship Id="rId31" Type="http://schemas.openxmlformats.org/officeDocument/2006/relationships/hyperlink" Target="https://www.wipo.int/es/web/wipo-ip-diagnostics/" TargetMode="External"/><Relationship Id="rId44" Type="http://schemas.openxmlformats.org/officeDocument/2006/relationships/hyperlink" Target="https://www.wipo.int/edocs/mdocs/govbody/es/a_66/a_66_6.pdf" TargetMode="External"/><Relationship Id="rId52" Type="http://schemas.openxmlformats.org/officeDocument/2006/relationships/hyperlink" Target="https://www.wipo.int/edocs/mdocs/govbody/es/wo_ga_58/wo_ga_58_14.pdf" TargetMode="External"/><Relationship Id="rId60" Type="http://schemas.openxmlformats.org/officeDocument/2006/relationships/hyperlink" Target="https://www.wipo.int/edocs/mdocs/govbody/es/wo_ga_58/wo_ga_58_14.pdf" TargetMode="External"/><Relationship Id="rId65" Type="http://schemas.openxmlformats.org/officeDocument/2006/relationships/hyperlink" Target="https://www.wipo.int/edocs/mdocs/govbody/es/wo_cc_84/wo_cc_84_2.pdf" TargetMode="External"/><Relationship Id="rId4" Type="http://schemas.openxmlformats.org/officeDocument/2006/relationships/settings" Target="settings.xml"/><Relationship Id="rId9" Type="http://schemas.openxmlformats.org/officeDocument/2006/relationships/hyperlink" Target="https://www.wipo.int/edocs/mdocs/govbody/es/a_66/a_66_inf_1_rev.pdf" TargetMode="External"/><Relationship Id="rId13" Type="http://schemas.openxmlformats.org/officeDocument/2006/relationships/hyperlink" Target="https://www.wipo.int/edocs/mdocs/govbody/es/a_66/a_66_1.pdf" TargetMode="External"/><Relationship Id="rId18" Type="http://schemas.openxmlformats.org/officeDocument/2006/relationships/hyperlink" Target="https://www.instagram.com/reel/DKuUICsodm0/?utm_source=ig_web_copy_link" TargetMode="External"/><Relationship Id="rId39" Type="http://schemas.openxmlformats.org/officeDocument/2006/relationships/hyperlink" Target="https://www.wipo.int/edocs/mdocs/govbody/es/a_66/a_66_3_rev_2.pdf" TargetMode="External"/><Relationship Id="rId34" Type="http://schemas.openxmlformats.org/officeDocument/2006/relationships/hyperlink" Target="https://www.accessiblebooksconsortium.org/es/web/abc/portal/index" TargetMode="External"/><Relationship Id="rId50" Type="http://schemas.openxmlformats.org/officeDocument/2006/relationships/hyperlink" Target="https://www.wipo.int/edocs/mdocs/govbody/es/wo_ga_58/wo_ga_58_14.pdf" TargetMode="External"/><Relationship Id="rId55" Type="http://schemas.openxmlformats.org/officeDocument/2006/relationships/hyperlink" Target="https://www.wipo.int/edocs/mdocs/govbody/es/wo_ga_58/wo_ga_58_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D1BC5-BC8F-4723-9723-2D672D31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66 (S).dotm</Template>
  <TotalTime>0</TotalTime>
  <Pages>72</Pages>
  <Words>41232</Words>
  <Characters>235027</Characters>
  <Application>Microsoft Office Word</Application>
  <DocSecurity>0</DocSecurity>
  <Lines>1958</Lines>
  <Paragraphs>551</Paragraphs>
  <ScaleCrop>false</ScaleCrop>
  <HeadingPairs>
    <vt:vector size="2" baseType="variant">
      <vt:variant>
        <vt:lpstr>Title</vt:lpstr>
      </vt:variant>
      <vt:variant>
        <vt:i4>1</vt:i4>
      </vt:variant>
    </vt:vector>
  </HeadingPairs>
  <TitlesOfParts>
    <vt:vector size="1" baseType="lpstr">
      <vt:lpstr>A/66/11 Prov.</vt:lpstr>
    </vt:vector>
  </TitlesOfParts>
  <Company/>
  <LinksUpToDate>false</LinksUpToDate>
  <CharactersWithSpaces>275708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A/66/11</dc:title>
  <dc:creator>WIPO</dc:creator>
  <cp:keywords/>
  <cp:lastModifiedBy>RUSSO Antonella</cp:lastModifiedBy>
  <cp:revision>4</cp:revision>
  <dcterms:created xsi:type="dcterms:W3CDTF">2025-09-25T13:52:00Z</dcterms:created>
  <dcterms:modified xsi:type="dcterms:W3CDTF">2025-09-25T14:52:00Z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ies>
</file>