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812D" w14:textId="77777777" w:rsidR="007F4017" w:rsidRPr="008B2CC1" w:rsidRDefault="007F4017" w:rsidP="007F4017">
      <w:pPr>
        <w:spacing w:after="120"/>
        <w:jc w:val="right"/>
      </w:pPr>
      <w:bookmarkStart w:id="0" w:name="TitleOfDoc"/>
      <w:r>
        <w:rPr>
          <w:noProof/>
          <w:lang w:val="en-US" w:eastAsia="en-US"/>
        </w:rPr>
        <w:drawing>
          <wp:inline distT="0" distB="0" distL="0" distR="0" wp14:anchorId="351F9982" wp14:editId="1850EABE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734A3EAE" wp14:editId="02539A3E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line w14:anchorId="75318ADE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">
                <w10:anchorlock/>
              </v:line>
            </w:pict>
          </mc:Fallback>
        </mc:AlternateContent>
      </w:r>
    </w:p>
    <w:p w14:paraId="16EB5BDD" w14:textId="77777777" w:rsidR="007F4017" w:rsidRPr="008B14EA" w:rsidRDefault="007F4017" w:rsidP="007F4017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A/65/</w:t>
      </w:r>
      <w:bookmarkStart w:id="1" w:name="Code"/>
      <w:r>
        <w:rPr>
          <w:rFonts w:ascii="Arial Black" w:hAnsi="Arial Black"/>
          <w:caps/>
          <w:sz w:val="15"/>
        </w:rPr>
        <w:t>8</w:t>
      </w:r>
    </w:p>
    <w:bookmarkEnd w:id="1"/>
    <w:p w14:paraId="5E2FEFD2" w14:textId="77777777" w:rsidR="007F4017" w:rsidRPr="008B14EA" w:rsidRDefault="007F4017" w:rsidP="007F4017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2" w:name="Original"/>
      <w:r>
        <w:rPr>
          <w:rFonts w:ascii="Arial Black" w:hAnsi="Arial Black"/>
          <w:caps/>
          <w:sz w:val="15"/>
        </w:rPr>
        <w:t>inglés</w:t>
      </w:r>
    </w:p>
    <w:bookmarkEnd w:id="2"/>
    <w:p w14:paraId="70103084" w14:textId="33F7A0DA" w:rsidR="007F4017" w:rsidRPr="008B14EA" w:rsidRDefault="007F4017" w:rsidP="007F4017">
      <w:pPr>
        <w:spacing w:after="1200"/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FECHA: </w:t>
      </w:r>
      <w:bookmarkStart w:id="3" w:name="Date"/>
      <w:r>
        <w:rPr>
          <w:rFonts w:ascii="Arial Black" w:hAnsi="Arial Black"/>
          <w:caps/>
          <w:sz w:val="15"/>
        </w:rPr>
        <w:t>13 de julio de 202</w:t>
      </w:r>
      <w:r w:rsidR="00D43BB1">
        <w:rPr>
          <w:rFonts w:ascii="Arial Black" w:hAnsi="Arial Black"/>
          <w:caps/>
          <w:sz w:val="15"/>
        </w:rPr>
        <w:t>4</w:t>
      </w:r>
    </w:p>
    <w:bookmarkEnd w:id="3"/>
    <w:p w14:paraId="38222101" w14:textId="77777777" w:rsidR="007F4017" w:rsidRPr="003845C1" w:rsidRDefault="007F4017" w:rsidP="007F4017">
      <w:pPr>
        <w:spacing w:after="600"/>
        <w:rPr>
          <w:b/>
          <w:sz w:val="28"/>
          <w:szCs w:val="28"/>
        </w:rPr>
      </w:pPr>
      <w:r w:rsidRPr="00A8121F">
        <w:rPr>
          <w:b/>
          <w:sz w:val="28"/>
          <w:szCs w:val="28"/>
        </w:rPr>
        <w:t>Asambleas de los Estados miembros de la OMPI</w:t>
      </w:r>
    </w:p>
    <w:p w14:paraId="1058F051" w14:textId="77777777" w:rsidR="007F4017" w:rsidRDefault="007F4017" w:rsidP="007F4017">
      <w:pPr>
        <w:rPr>
          <w:b/>
          <w:sz w:val="24"/>
          <w:szCs w:val="24"/>
        </w:rPr>
      </w:pPr>
      <w:r w:rsidRPr="00A8121F">
        <w:rPr>
          <w:b/>
          <w:sz w:val="24"/>
          <w:szCs w:val="24"/>
        </w:rPr>
        <w:t xml:space="preserve">Sexagésima </w:t>
      </w:r>
      <w:r>
        <w:rPr>
          <w:b/>
          <w:sz w:val="24"/>
          <w:szCs w:val="24"/>
        </w:rPr>
        <w:t>quinta</w:t>
      </w:r>
      <w:r w:rsidRPr="00A8121F">
        <w:rPr>
          <w:b/>
          <w:sz w:val="24"/>
          <w:szCs w:val="24"/>
        </w:rPr>
        <w:t xml:space="preserve"> serie de reuniones</w:t>
      </w:r>
    </w:p>
    <w:p w14:paraId="3F081BCF" w14:textId="77777777" w:rsidR="007F4017" w:rsidRPr="003845C1" w:rsidRDefault="007F4017" w:rsidP="007F4017">
      <w:pPr>
        <w:spacing w:after="720"/>
        <w:rPr>
          <w:b/>
          <w:sz w:val="24"/>
          <w:szCs w:val="24"/>
        </w:rPr>
      </w:pPr>
      <w:r w:rsidRPr="00A8121F">
        <w:rPr>
          <w:b/>
          <w:sz w:val="24"/>
          <w:szCs w:val="24"/>
        </w:rPr>
        <w:t xml:space="preserve">Ginebra, </w:t>
      </w:r>
      <w:r>
        <w:rPr>
          <w:b/>
          <w:sz w:val="24"/>
          <w:szCs w:val="24"/>
        </w:rPr>
        <w:t>9</w:t>
      </w:r>
      <w:r w:rsidRPr="00A8121F">
        <w:rPr>
          <w:b/>
          <w:sz w:val="24"/>
          <w:szCs w:val="24"/>
        </w:rPr>
        <w:t xml:space="preserve"> a 1</w:t>
      </w:r>
      <w:r>
        <w:rPr>
          <w:b/>
          <w:sz w:val="24"/>
          <w:szCs w:val="24"/>
        </w:rPr>
        <w:t>7</w:t>
      </w:r>
      <w:r w:rsidRPr="00A8121F">
        <w:rPr>
          <w:b/>
          <w:sz w:val="24"/>
          <w:szCs w:val="24"/>
        </w:rPr>
        <w:t xml:space="preserve"> de julio de 202</w:t>
      </w:r>
      <w:r>
        <w:rPr>
          <w:b/>
          <w:sz w:val="24"/>
          <w:szCs w:val="24"/>
        </w:rPr>
        <w:t>4</w:t>
      </w:r>
    </w:p>
    <w:p w14:paraId="44A6854F" w14:textId="570140B7" w:rsidR="008B2CC1" w:rsidRPr="009F3BF9" w:rsidRDefault="006B7887" w:rsidP="00CE65D4">
      <w:pPr>
        <w:spacing w:after="360"/>
        <w:rPr>
          <w:caps/>
          <w:sz w:val="24"/>
        </w:rPr>
      </w:pPr>
      <w:r>
        <w:rPr>
          <w:caps/>
          <w:sz w:val="24"/>
        </w:rPr>
        <w:t>PROPUESTA CONJUNTA DEL Grupo de Estados de Europa Central y el Báltico (cebs) Y DEL Grupo B sobre la Asistencia y apoyo al sector de innovación y creatividad y al sistema de propiedad intelectual de Ucrania</w:t>
      </w:r>
    </w:p>
    <w:p w14:paraId="4354EEA8" w14:textId="034164D7" w:rsidR="008B2CC1" w:rsidRPr="004D39C4" w:rsidRDefault="006B7887" w:rsidP="00CE65D4">
      <w:pPr>
        <w:spacing w:after="960"/>
        <w:rPr>
          <w:i/>
        </w:rPr>
      </w:pPr>
      <w:bookmarkStart w:id="4" w:name="Prepared"/>
      <w:bookmarkEnd w:id="0"/>
      <w:r>
        <w:rPr>
          <w:i/>
        </w:rPr>
        <w:t>presentada por el Grupo de Estados de Europa Central y el Báltico (CEBS) y el Grupo B</w:t>
      </w:r>
    </w:p>
    <w:bookmarkEnd w:id="4"/>
    <w:p w14:paraId="42131B02" w14:textId="3AC7F072" w:rsidR="006B7887" w:rsidRPr="006B7887" w:rsidRDefault="006B7887" w:rsidP="006B7887">
      <w:pPr>
        <w:spacing w:after="720"/>
      </w:pPr>
      <w:r>
        <w:t xml:space="preserve">En una comunicación a la Secretaría, recibida el 12 de julio de 2023, el Grupo de Estados de Europa Central y el Báltico (CEBS) y el Grupo B presentaron la propuesta conjunta </w:t>
      </w:r>
      <w:r w:rsidR="00D03C7C">
        <w:t xml:space="preserve">que figura </w:t>
      </w:r>
      <w:r>
        <w:t>adjunta en el marco del punto 18 del orden del día, "Asistencia y apoyo al sector de innovación y creatividad y al sistema de propiedad intelectual de Ucrania¨.</w:t>
      </w:r>
    </w:p>
    <w:p w14:paraId="720005BF" w14:textId="77777777" w:rsidR="006B7887" w:rsidRPr="006B7887" w:rsidRDefault="006B7887" w:rsidP="006B7887">
      <w:pPr>
        <w:spacing w:after="220"/>
        <w:ind w:left="5533"/>
      </w:pPr>
      <w:r>
        <w:t>[Sigue el Anexo]</w:t>
      </w:r>
    </w:p>
    <w:p w14:paraId="05E9716B" w14:textId="77777777" w:rsidR="006B7887" w:rsidRPr="006B7887" w:rsidRDefault="006B7887" w:rsidP="006B7887">
      <w:pPr>
        <w:spacing w:after="220"/>
        <w:sectPr w:rsidR="006B7887" w:rsidRPr="006B7887" w:rsidSect="008803D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26153F31" w14:textId="77777777" w:rsidR="007C77A2" w:rsidRPr="007C77A2" w:rsidRDefault="007C77A2" w:rsidP="007C77A2">
      <w:pPr>
        <w:spacing w:after="120"/>
        <w:jc w:val="right"/>
        <w:rPr>
          <w:rFonts w:asciiTheme="minorHAnsi" w:eastAsia="Calibri" w:hAnsiTheme="minorHAnsi" w:cstheme="minorHAnsi"/>
          <w:i/>
          <w:iCs/>
          <w:kern w:val="2"/>
          <w:szCs w:val="22"/>
          <w:u w:val="single"/>
        </w:rPr>
      </w:pPr>
      <w:r>
        <w:rPr>
          <w:rFonts w:asciiTheme="minorHAnsi" w:hAnsiTheme="minorHAnsi"/>
          <w:i/>
          <w:u w:val="single"/>
        </w:rPr>
        <w:lastRenderedPageBreak/>
        <w:t xml:space="preserve">Propuesta de decisión </w:t>
      </w:r>
    </w:p>
    <w:p w14:paraId="182611A5" w14:textId="77777777" w:rsidR="007C77A2" w:rsidRPr="007C77A2" w:rsidRDefault="007C77A2" w:rsidP="007C77A2">
      <w:pPr>
        <w:spacing w:after="3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077FAE6D" w14:textId="77777777" w:rsidR="007C77A2" w:rsidRPr="007C77A2" w:rsidRDefault="007C77A2" w:rsidP="007C77A2">
      <w:pPr>
        <w:spacing w:after="3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b/>
          <w:sz w:val="28"/>
        </w:rPr>
        <w:t>PUNTO 18 DEL ORDEN DEL DÍA</w:t>
      </w:r>
      <w:r>
        <w:rPr>
          <w:rFonts w:ascii="Times New Roman" w:hAnsi="Times New Roman"/>
          <w:sz w:val="28"/>
        </w:rPr>
        <w:t>. ASISTENCIA Y APOYO AL SECTOR DE INNOVACIÓN Y CREATIVIDAD Y AL SISTEMA DE PROPIEDAD INTELECTUAL DE UCRANIA (documento A/65/7)</w:t>
      </w:r>
    </w:p>
    <w:p w14:paraId="48534A03" w14:textId="77777777" w:rsidR="007C77A2" w:rsidRPr="007C77A2" w:rsidRDefault="007C77A2" w:rsidP="007C77A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Las Asambleas de la OMPI, en lo que a cada una concierne:</w:t>
      </w:r>
    </w:p>
    <w:p w14:paraId="3E4B3AB1" w14:textId="6831F135" w:rsidR="007C77A2" w:rsidRPr="007C77A2" w:rsidRDefault="007C77A2" w:rsidP="007C77A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Recordando</w:t>
      </w:r>
      <w:r>
        <w:t xml:space="preserve"> </w:t>
      </w:r>
      <w:r>
        <w:rPr>
          <w:rFonts w:ascii="Times New Roman" w:hAnsi="Times New Roman"/>
          <w:sz w:val="28"/>
        </w:rPr>
        <w:t xml:space="preserve">sus decisiones sobre la asistencia y apoyo al sector de innovación y creatividad y al sistema de propiedad intelectual de Ucrania que figuran en los documentos </w:t>
      </w:r>
      <w:hyperlink r:id="rId10" w:history="1">
        <w:r>
          <w:rPr>
            <w:rFonts w:ascii="Times New Roman" w:hAnsi="Times New Roman"/>
            <w:color w:val="0000FF"/>
            <w:sz w:val="28"/>
            <w:u w:val="single"/>
          </w:rPr>
          <w:t>A/63/10</w:t>
        </w:r>
      </w:hyperlink>
      <w:r>
        <w:rPr>
          <w:rFonts w:ascii="Times New Roman" w:hAnsi="Times New Roman"/>
          <w:sz w:val="28"/>
        </w:rPr>
        <w:t xml:space="preserve"> y </w:t>
      </w:r>
      <w:hyperlink r:id="rId11" w:history="1">
        <w:r>
          <w:rPr>
            <w:rFonts w:ascii="Times New Roman" w:hAnsi="Times New Roman"/>
            <w:color w:val="0059C6"/>
            <w:sz w:val="28"/>
            <w:u w:val="single"/>
            <w:bdr w:val="none" w:sz="0" w:space="0" w:color="auto" w:frame="1"/>
          </w:rPr>
          <w:t>A/64/14</w:t>
        </w:r>
      </w:hyperlink>
      <w:r>
        <w:rPr>
          <w:rFonts w:ascii="Times New Roman" w:hAnsi="Times New Roman"/>
          <w:sz w:val="28"/>
        </w:rPr>
        <w:t>;</w:t>
      </w:r>
    </w:p>
    <w:p w14:paraId="67177DD4" w14:textId="28E5F68F" w:rsidR="007C77A2" w:rsidRPr="007C77A2" w:rsidRDefault="00D03C7C" w:rsidP="007C77A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t</w:t>
      </w:r>
      <w:r w:rsidR="007C77A2">
        <w:rPr>
          <w:rFonts w:ascii="Times New Roman" w:hAnsi="Times New Roman"/>
          <w:sz w:val="28"/>
        </w:rPr>
        <w:t>oman nota del Informe sobre asistencia y apoyo al sector de la innovación y la creatividad y al sistema de propiedad intelectual de Ucrania que figura en el documento A/65/7 y de las constantes repercusiones negativas de la guerra en curso en el sector de innovación y creatividad y el sistema de PI de Ucrania; y</w:t>
      </w:r>
    </w:p>
    <w:p w14:paraId="0B430C94" w14:textId="77777777" w:rsidR="007C77A2" w:rsidRPr="007C77A2" w:rsidRDefault="007C77A2" w:rsidP="007C77A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piden a la Oficina Internacional que:</w:t>
      </w:r>
    </w:p>
    <w:p w14:paraId="26464616" w14:textId="77777777" w:rsidR="007C77A2" w:rsidRPr="007C77A2" w:rsidRDefault="007C77A2" w:rsidP="007C77A2">
      <w:pPr>
        <w:numPr>
          <w:ilvl w:val="1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continúe su estrecha cooperación con Ucrania para velar por su continuo apoyo y asistencia a los creadores, innovadores y miembros de la comunidad de PI, centrándose en mitigar los efectos adversos de la guerra y en reconstruir un ecosistema innovador y creativo en Ucrania que beneficie a todos los sectores interesados y fortalezca la economía del país; y</w:t>
      </w:r>
    </w:p>
    <w:p w14:paraId="70FB75EF" w14:textId="77777777" w:rsidR="007C77A2" w:rsidRPr="007C77A2" w:rsidRDefault="007C77A2" w:rsidP="007C77A2">
      <w:pPr>
        <w:numPr>
          <w:ilvl w:val="1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proporcione una evaluación actualizada de las repercusiones a mediano y largo plazo de la guerra en el sector y el ecosistema de innovación y creatividad de Ucrania; y</w:t>
      </w:r>
    </w:p>
    <w:p w14:paraId="79E837A6" w14:textId="77777777" w:rsidR="007C77A2" w:rsidRPr="007C77A2" w:rsidRDefault="007C77A2" w:rsidP="007C77A2">
      <w:pPr>
        <w:numPr>
          <w:ilvl w:val="1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tome medidas para garantizar que las publicaciones sobre recursos y plataformas de la OMPI cumplen con los principios de soberanía, independencia e integridad territorial de Ucrania dentro de sus fronteras reconocidas internacionalmente;</w:t>
      </w:r>
      <w:r>
        <w:rPr>
          <w:rFonts w:ascii="Times New Roman" w:hAnsi="Times New Roman"/>
          <w:color w:val="333333"/>
          <w:sz w:val="28"/>
        </w:rPr>
        <w:t> </w:t>
      </w:r>
    </w:p>
    <w:p w14:paraId="5CABD5D0" w14:textId="77777777" w:rsidR="007C77A2" w:rsidRPr="007C77A2" w:rsidRDefault="007C77A2" w:rsidP="007C77A2">
      <w:pPr>
        <w:numPr>
          <w:ilvl w:val="1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informe de la puesta en práctica de esta decisión y de otras actividades pertinentes en las Asambleas de la OMPI de 2025 y posteriormente de manera anual.</w:t>
      </w:r>
    </w:p>
    <w:p w14:paraId="0CEC5021" w14:textId="77777777" w:rsidR="007C77A2" w:rsidRPr="007C77A2" w:rsidRDefault="007C77A2" w:rsidP="007C77A2">
      <w:pPr>
        <w:spacing w:after="160" w:line="259" w:lineRule="auto"/>
        <w:contextualSpacing/>
        <w:rPr>
          <w:rFonts w:asciiTheme="minorHAnsi" w:eastAsia="Calibri" w:hAnsiTheme="minorHAnsi" w:cstheme="minorHAnsi"/>
          <w:kern w:val="2"/>
          <w:szCs w:val="22"/>
          <w:lang w:eastAsia="en-US"/>
        </w:rPr>
      </w:pPr>
    </w:p>
    <w:p w14:paraId="2C547D65" w14:textId="7A17B721" w:rsidR="002928D3" w:rsidRDefault="007C77A2" w:rsidP="007C77A2">
      <w:pPr>
        <w:spacing w:after="720"/>
        <w:ind w:left="5530"/>
      </w:pPr>
      <w:r>
        <w:t>[Fin del Anexo y del documento]</w:t>
      </w:r>
    </w:p>
    <w:sectPr w:rsidR="002928D3" w:rsidSect="00F670FF">
      <w:pgSz w:w="12240" w:h="15840"/>
      <w:pgMar w:top="1418" w:right="1077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3FE8" w14:textId="77777777" w:rsidR="00CF0463" w:rsidRDefault="00CF0463">
      <w:r>
        <w:separator/>
      </w:r>
    </w:p>
  </w:endnote>
  <w:endnote w:type="continuationSeparator" w:id="0">
    <w:p w14:paraId="0E2E4D8F" w14:textId="77777777" w:rsidR="00CF0463" w:rsidRDefault="00CF0463" w:rsidP="003B38C1">
      <w:r>
        <w:separator/>
      </w:r>
    </w:p>
    <w:p w14:paraId="21622B10" w14:textId="77777777" w:rsidR="00CF0463" w:rsidRPr="00D03C7C" w:rsidRDefault="00CF0463" w:rsidP="003B38C1">
      <w:pPr>
        <w:spacing w:after="60"/>
        <w:rPr>
          <w:sz w:val="17"/>
          <w:lang w:val="en-GB"/>
        </w:rPr>
      </w:pPr>
      <w:r w:rsidRPr="00D03C7C">
        <w:rPr>
          <w:sz w:val="17"/>
          <w:lang w:val="en-GB"/>
        </w:rPr>
        <w:t>[Endnote continued from previous page]</w:t>
      </w:r>
    </w:p>
  </w:endnote>
  <w:endnote w:type="continuationNotice" w:id="1">
    <w:p w14:paraId="72C0992E" w14:textId="77777777" w:rsidR="00CF0463" w:rsidRPr="00D03C7C" w:rsidRDefault="00CF0463" w:rsidP="003B38C1">
      <w:pPr>
        <w:spacing w:before="60"/>
        <w:jc w:val="right"/>
        <w:rPr>
          <w:sz w:val="17"/>
          <w:szCs w:val="17"/>
          <w:lang w:val="en-GB"/>
        </w:rPr>
      </w:pPr>
      <w:r w:rsidRPr="00D03C7C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7D36" w14:textId="77777777" w:rsidR="00CF0463" w:rsidRDefault="00CF0463">
      <w:r>
        <w:separator/>
      </w:r>
    </w:p>
  </w:footnote>
  <w:footnote w:type="continuationSeparator" w:id="0">
    <w:p w14:paraId="469957C3" w14:textId="77777777" w:rsidR="00CF0463" w:rsidRDefault="00CF0463" w:rsidP="008B60B2">
      <w:r>
        <w:separator/>
      </w:r>
    </w:p>
    <w:p w14:paraId="03C8A597" w14:textId="77777777" w:rsidR="00CF0463" w:rsidRPr="00D03C7C" w:rsidRDefault="00CF0463" w:rsidP="008B60B2">
      <w:pPr>
        <w:spacing w:after="60"/>
        <w:rPr>
          <w:sz w:val="17"/>
          <w:szCs w:val="17"/>
          <w:lang w:val="en-GB"/>
        </w:rPr>
      </w:pPr>
      <w:r w:rsidRPr="00D03C7C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6BBBB44C" w14:textId="77777777" w:rsidR="00CF0463" w:rsidRPr="00D03C7C" w:rsidRDefault="00CF0463" w:rsidP="008B60B2">
      <w:pPr>
        <w:spacing w:before="60"/>
        <w:jc w:val="right"/>
        <w:rPr>
          <w:sz w:val="17"/>
          <w:szCs w:val="17"/>
          <w:lang w:val="en-GB"/>
        </w:rPr>
      </w:pPr>
      <w:r w:rsidRPr="00D03C7C">
        <w:rPr>
          <w:sz w:val="17"/>
          <w:szCs w:val="17"/>
          <w:lang w:val="en-GB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AC90" w14:textId="36C9CF44" w:rsidR="006B7887" w:rsidRDefault="006B7887" w:rsidP="00477D6B">
    <w:pPr>
      <w:jc w:val="right"/>
    </w:pPr>
    <w:r>
      <w:t>A/65/8</w:t>
    </w:r>
  </w:p>
  <w:p w14:paraId="3617DC71" w14:textId="7F3869DF" w:rsidR="006B7887" w:rsidRDefault="007C77A2" w:rsidP="00477D6B">
    <w:pPr>
      <w:jc w:val="right"/>
    </w:pPr>
    <w:r>
      <w:t>ANEXO</w:t>
    </w:r>
  </w:p>
  <w:p w14:paraId="4C70BA82" w14:textId="77777777" w:rsidR="006B7887" w:rsidRDefault="006B7887" w:rsidP="00477D6B">
    <w:pPr>
      <w:jc w:val="right"/>
    </w:pPr>
  </w:p>
  <w:p w14:paraId="1BAFF6CE" w14:textId="77777777" w:rsidR="006B7887" w:rsidRDefault="006B788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AB0F07"/>
    <w:multiLevelType w:val="hybridMultilevel"/>
    <w:tmpl w:val="104ED56C"/>
    <w:lvl w:ilvl="0" w:tplc="C4B618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5"/>
  </w:num>
  <w:num w:numId="3" w16cid:durableId="1356350649">
    <w:abstractNumId w:val="0"/>
  </w:num>
  <w:num w:numId="4" w16cid:durableId="1151099335">
    <w:abstractNumId w:val="6"/>
  </w:num>
  <w:num w:numId="5" w16cid:durableId="797770133">
    <w:abstractNumId w:val="1"/>
  </w:num>
  <w:num w:numId="6" w16cid:durableId="878471050">
    <w:abstractNumId w:val="4"/>
  </w:num>
  <w:num w:numId="7" w16cid:durableId="1130904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87"/>
    <w:rsid w:val="0001647B"/>
    <w:rsid w:val="0002377E"/>
    <w:rsid w:val="00043CAA"/>
    <w:rsid w:val="00075432"/>
    <w:rsid w:val="000968ED"/>
    <w:rsid w:val="000F5E56"/>
    <w:rsid w:val="001024FE"/>
    <w:rsid w:val="00124096"/>
    <w:rsid w:val="00131D28"/>
    <w:rsid w:val="001362EE"/>
    <w:rsid w:val="00142868"/>
    <w:rsid w:val="001832A6"/>
    <w:rsid w:val="001C6808"/>
    <w:rsid w:val="002121FA"/>
    <w:rsid w:val="002334E5"/>
    <w:rsid w:val="002634C4"/>
    <w:rsid w:val="00264BAC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4135FE"/>
    <w:rsid w:val="00423E3E"/>
    <w:rsid w:val="00427AF4"/>
    <w:rsid w:val="004400E2"/>
    <w:rsid w:val="00461632"/>
    <w:rsid w:val="004647DA"/>
    <w:rsid w:val="00474062"/>
    <w:rsid w:val="00477D6B"/>
    <w:rsid w:val="004D39C4"/>
    <w:rsid w:val="004D6DBF"/>
    <w:rsid w:val="0053057A"/>
    <w:rsid w:val="00560A29"/>
    <w:rsid w:val="0058055F"/>
    <w:rsid w:val="00594D27"/>
    <w:rsid w:val="005F10BC"/>
    <w:rsid w:val="00601760"/>
    <w:rsid w:val="00605827"/>
    <w:rsid w:val="00646050"/>
    <w:rsid w:val="006713CA"/>
    <w:rsid w:val="00676C5C"/>
    <w:rsid w:val="00695558"/>
    <w:rsid w:val="006B7571"/>
    <w:rsid w:val="006B7887"/>
    <w:rsid w:val="006D5E0F"/>
    <w:rsid w:val="007058FB"/>
    <w:rsid w:val="007379DF"/>
    <w:rsid w:val="007B6A58"/>
    <w:rsid w:val="007C77A2"/>
    <w:rsid w:val="007D1613"/>
    <w:rsid w:val="007F4017"/>
    <w:rsid w:val="00813C5E"/>
    <w:rsid w:val="008417FC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BA71EB"/>
    <w:rsid w:val="00C11BFE"/>
    <w:rsid w:val="00C94629"/>
    <w:rsid w:val="00CE65D4"/>
    <w:rsid w:val="00CF0330"/>
    <w:rsid w:val="00CF0463"/>
    <w:rsid w:val="00D03C7C"/>
    <w:rsid w:val="00D43BB1"/>
    <w:rsid w:val="00D45252"/>
    <w:rsid w:val="00D71B4D"/>
    <w:rsid w:val="00D841CB"/>
    <w:rsid w:val="00D93D55"/>
    <w:rsid w:val="00E161A2"/>
    <w:rsid w:val="00E335FE"/>
    <w:rsid w:val="00E5021F"/>
    <w:rsid w:val="00E671A6"/>
    <w:rsid w:val="00EC4E49"/>
    <w:rsid w:val="00ED77FB"/>
    <w:rsid w:val="00EF6612"/>
    <w:rsid w:val="00F021A6"/>
    <w:rsid w:val="00F11D94"/>
    <w:rsid w:val="00F301AE"/>
    <w:rsid w:val="00F66152"/>
    <w:rsid w:val="00F6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E77010"/>
  <w15:docId w15:val="{1FBDEDE8-F3A9-4292-BF5D-D8A1585E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CF033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about-wipo/es/assemblies/2023/a-64/doc_details.jsp?doc_id=619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edocs/mdocs/govbody/es/a_63/a_63_10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65 (E).dotm</Template>
  <TotalTime>15</TotalTime>
  <Pages>2</Pages>
  <Words>435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A/65/8</vt:lpstr>
    </vt:vector>
  </TitlesOfParts>
  <Company>WIPO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A/65/8</dc:title>
  <dc:creator>WIPO</dc:creator>
  <cp:keywords>FOR OFFICIAL USE ONLY</cp:keywords>
  <cp:lastModifiedBy>HÄFLIGER Patience</cp:lastModifiedBy>
  <cp:revision>10</cp:revision>
  <cp:lastPrinted>2011-02-15T11:56:00Z</cp:lastPrinted>
  <dcterms:created xsi:type="dcterms:W3CDTF">2024-07-13T18:34:00Z</dcterms:created>
  <dcterms:modified xsi:type="dcterms:W3CDTF">2024-07-13T19:48:00Z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