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1BAA2" w14:textId="77777777" w:rsidR="008B2CC1" w:rsidRPr="00FA72AB" w:rsidRDefault="008B14EA" w:rsidP="008B14EA">
      <w:pPr>
        <w:spacing w:after="120"/>
        <w:jc w:val="right"/>
        <w:rPr>
          <w:lang w:val="es-419"/>
        </w:rPr>
      </w:pPr>
      <w:r w:rsidRPr="00FA72AB">
        <w:rPr>
          <w:noProof/>
          <w:lang w:val="es-419" w:eastAsia="en-US"/>
        </w:rPr>
        <w:drawing>
          <wp:inline distT="0" distB="0" distL="0" distR="0" wp14:anchorId="4D3B3218" wp14:editId="72FDA8B2">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A72AB">
        <w:rPr>
          <w:rFonts w:ascii="Arial Black" w:hAnsi="Arial Black"/>
          <w:caps/>
          <w:noProof/>
          <w:sz w:val="15"/>
          <w:szCs w:val="15"/>
          <w:lang w:val="es-419" w:eastAsia="en-US"/>
        </w:rPr>
        <mc:AlternateContent>
          <mc:Choice Requires="wps">
            <w:drawing>
              <wp:inline distT="0" distB="0" distL="0" distR="0" wp14:anchorId="083D96AD" wp14:editId="3DCA0E7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6041D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901CA85" w14:textId="77777777" w:rsidR="008B2CC1" w:rsidRPr="00FA72AB" w:rsidRDefault="00A8121F" w:rsidP="008B14EA">
      <w:pPr>
        <w:jc w:val="right"/>
        <w:rPr>
          <w:rFonts w:ascii="Arial Black" w:hAnsi="Arial Black"/>
          <w:caps/>
          <w:sz w:val="15"/>
          <w:lang w:val="es-419"/>
        </w:rPr>
      </w:pPr>
      <w:r w:rsidRPr="00FA72AB">
        <w:rPr>
          <w:rFonts w:ascii="Arial Black" w:hAnsi="Arial Black"/>
          <w:caps/>
          <w:sz w:val="15"/>
          <w:lang w:val="es-419"/>
        </w:rPr>
        <w:t>A/6</w:t>
      </w:r>
      <w:r w:rsidR="004A7B16" w:rsidRPr="00FA72AB">
        <w:rPr>
          <w:rFonts w:ascii="Arial Black" w:hAnsi="Arial Black"/>
          <w:caps/>
          <w:sz w:val="15"/>
          <w:lang w:val="es-419"/>
        </w:rPr>
        <w:t>5</w:t>
      </w:r>
      <w:r w:rsidRPr="00FA72AB">
        <w:rPr>
          <w:rFonts w:ascii="Arial Black" w:hAnsi="Arial Black"/>
          <w:caps/>
          <w:sz w:val="15"/>
          <w:lang w:val="es-419"/>
        </w:rPr>
        <w:t>/</w:t>
      </w:r>
      <w:bookmarkStart w:id="0" w:name="Code"/>
      <w:r w:rsidR="00E665ED" w:rsidRPr="00FA72AB">
        <w:rPr>
          <w:rFonts w:ascii="Arial Black" w:hAnsi="Arial Black"/>
          <w:caps/>
          <w:sz w:val="15"/>
          <w:lang w:val="es-419"/>
        </w:rPr>
        <w:t>4</w:t>
      </w:r>
    </w:p>
    <w:bookmarkEnd w:id="0"/>
    <w:p w14:paraId="24C318D9" w14:textId="77777777" w:rsidR="008B2CC1" w:rsidRPr="00FA72AB" w:rsidRDefault="008B14EA" w:rsidP="008B14EA">
      <w:pPr>
        <w:jc w:val="right"/>
        <w:rPr>
          <w:rFonts w:ascii="Arial Black" w:hAnsi="Arial Black"/>
          <w:caps/>
          <w:sz w:val="15"/>
          <w:lang w:val="es-419"/>
        </w:rPr>
      </w:pPr>
      <w:r w:rsidRPr="00FA72AB">
        <w:rPr>
          <w:rFonts w:ascii="Arial Black" w:hAnsi="Arial Black"/>
          <w:caps/>
          <w:sz w:val="15"/>
          <w:lang w:val="es-419"/>
        </w:rPr>
        <w:t xml:space="preserve">ORIGINAL: </w:t>
      </w:r>
      <w:bookmarkStart w:id="1" w:name="Original"/>
      <w:r w:rsidR="00E665ED" w:rsidRPr="00FA72AB">
        <w:rPr>
          <w:rFonts w:ascii="Arial Black" w:hAnsi="Arial Black"/>
          <w:caps/>
          <w:sz w:val="15"/>
          <w:lang w:val="es-419"/>
        </w:rPr>
        <w:t>inglés</w:t>
      </w:r>
    </w:p>
    <w:bookmarkEnd w:id="1"/>
    <w:p w14:paraId="6B9D1013" w14:textId="11C69877" w:rsidR="008B2CC1" w:rsidRPr="00FA72AB" w:rsidRDefault="008B14EA" w:rsidP="008B14EA">
      <w:pPr>
        <w:spacing w:after="1200"/>
        <w:jc w:val="right"/>
        <w:rPr>
          <w:rFonts w:ascii="Arial Black" w:hAnsi="Arial Black"/>
          <w:caps/>
          <w:sz w:val="15"/>
          <w:lang w:val="es-419"/>
        </w:rPr>
      </w:pPr>
      <w:r w:rsidRPr="00FA72AB">
        <w:rPr>
          <w:rFonts w:ascii="Arial Black" w:hAnsi="Arial Black"/>
          <w:caps/>
          <w:sz w:val="15"/>
          <w:lang w:val="es-419"/>
        </w:rPr>
        <w:t xml:space="preserve">FECHA: </w:t>
      </w:r>
      <w:bookmarkStart w:id="2" w:name="Date"/>
      <w:r w:rsidR="00E665ED" w:rsidRPr="00FA72AB">
        <w:rPr>
          <w:rFonts w:ascii="Arial Black" w:hAnsi="Arial Black"/>
          <w:caps/>
          <w:sz w:val="15"/>
          <w:lang w:val="es-419"/>
        </w:rPr>
        <w:t>11 de abril de 2024</w:t>
      </w:r>
    </w:p>
    <w:bookmarkEnd w:id="2"/>
    <w:p w14:paraId="037EA18A" w14:textId="77777777" w:rsidR="008B2CC1" w:rsidRPr="00FA72AB" w:rsidRDefault="00A8121F" w:rsidP="008B14EA">
      <w:pPr>
        <w:spacing w:after="600"/>
        <w:rPr>
          <w:b/>
          <w:sz w:val="28"/>
          <w:szCs w:val="28"/>
          <w:lang w:val="es-419"/>
        </w:rPr>
      </w:pPr>
      <w:r w:rsidRPr="00FA72AB">
        <w:rPr>
          <w:b/>
          <w:sz w:val="28"/>
          <w:szCs w:val="28"/>
          <w:lang w:val="es-419"/>
        </w:rPr>
        <w:t>Asambleas de los Estados miembros de la OMPI</w:t>
      </w:r>
    </w:p>
    <w:p w14:paraId="2C07EFB2" w14:textId="77777777" w:rsidR="00511D0C" w:rsidRPr="00FA72AB" w:rsidRDefault="00A8121F" w:rsidP="00511D0C">
      <w:pPr>
        <w:rPr>
          <w:b/>
          <w:sz w:val="24"/>
          <w:szCs w:val="24"/>
          <w:lang w:val="es-419"/>
        </w:rPr>
      </w:pPr>
      <w:r w:rsidRPr="00FA72AB">
        <w:rPr>
          <w:b/>
          <w:sz w:val="24"/>
          <w:szCs w:val="24"/>
          <w:lang w:val="es-419"/>
        </w:rPr>
        <w:t xml:space="preserve">Sexagésima </w:t>
      </w:r>
      <w:r w:rsidR="004A7B16" w:rsidRPr="00FA72AB">
        <w:rPr>
          <w:b/>
          <w:sz w:val="24"/>
          <w:szCs w:val="24"/>
          <w:lang w:val="es-419"/>
        </w:rPr>
        <w:t xml:space="preserve">quinta </w:t>
      </w:r>
      <w:r w:rsidRPr="00FA72AB">
        <w:rPr>
          <w:b/>
          <w:sz w:val="24"/>
          <w:szCs w:val="24"/>
          <w:lang w:val="es-419"/>
        </w:rPr>
        <w:t>serie de reuniones</w:t>
      </w:r>
    </w:p>
    <w:p w14:paraId="47833ADB" w14:textId="77777777" w:rsidR="008B2CC1" w:rsidRPr="00FA72AB" w:rsidRDefault="00A8121F" w:rsidP="008B14EA">
      <w:pPr>
        <w:spacing w:after="720"/>
        <w:rPr>
          <w:b/>
          <w:sz w:val="24"/>
          <w:szCs w:val="24"/>
          <w:lang w:val="es-419"/>
        </w:rPr>
      </w:pPr>
      <w:r w:rsidRPr="00FA72AB">
        <w:rPr>
          <w:b/>
          <w:sz w:val="24"/>
          <w:szCs w:val="24"/>
          <w:lang w:val="es-419"/>
        </w:rPr>
        <w:t xml:space="preserve">Ginebra, </w:t>
      </w:r>
      <w:r w:rsidR="004A7B16" w:rsidRPr="00FA72AB">
        <w:rPr>
          <w:b/>
          <w:sz w:val="24"/>
          <w:szCs w:val="24"/>
          <w:lang w:val="es-419"/>
        </w:rPr>
        <w:t>9 a 17 de julio de 2024</w:t>
      </w:r>
    </w:p>
    <w:p w14:paraId="67BCB6A0" w14:textId="77777777" w:rsidR="00E665ED" w:rsidRPr="00FA72AB" w:rsidRDefault="00E665ED" w:rsidP="00E665ED">
      <w:pPr>
        <w:spacing w:after="360"/>
        <w:rPr>
          <w:caps/>
          <w:sz w:val="24"/>
          <w:lang w:val="es-419"/>
        </w:rPr>
      </w:pPr>
      <w:bookmarkStart w:id="3" w:name="TitleOfDoc"/>
      <w:r w:rsidRPr="00FA72AB">
        <w:rPr>
          <w:caps/>
          <w:sz w:val="24"/>
          <w:lang w:val="es-419"/>
        </w:rPr>
        <w:t>PROYECTOS DE ORDEN DEL DÍA DE LOS PERÍODOS ORDINARIOS DE SESIONES DE 2025 DE LA ASAMBLEA GENERAL DE LA OMPI, LA CONFERENCIA DE LA OMPI, LA ASAMBLEA DE LA UNIÓN DE PARÍS Y LA ASAMBLEA DE LA UNIÓN DE BERNA</w:t>
      </w:r>
    </w:p>
    <w:p w14:paraId="4DB70A3E" w14:textId="77777777" w:rsidR="00E665ED" w:rsidRPr="00FA72AB" w:rsidRDefault="00E665ED" w:rsidP="00E665ED">
      <w:pPr>
        <w:spacing w:after="960"/>
        <w:rPr>
          <w:i/>
          <w:lang w:val="es-419"/>
        </w:rPr>
      </w:pPr>
      <w:bookmarkStart w:id="4" w:name="Prepared"/>
      <w:bookmarkEnd w:id="3"/>
      <w:r w:rsidRPr="00FA72AB">
        <w:rPr>
          <w:i/>
          <w:lang w:val="es-419"/>
        </w:rPr>
        <w:t>Documento preparado por la Secretaría</w:t>
      </w:r>
    </w:p>
    <w:bookmarkEnd w:id="4"/>
    <w:p w14:paraId="0210B881" w14:textId="65DCE451" w:rsidR="00E665ED" w:rsidRPr="00FA72AB" w:rsidRDefault="00E665ED" w:rsidP="00636460">
      <w:pPr>
        <w:pStyle w:val="ONUMFS"/>
        <w:rPr>
          <w:lang w:val="es-419"/>
        </w:rPr>
      </w:pPr>
      <w:r w:rsidRPr="00FA72AB">
        <w:rPr>
          <w:lang w:val="es-419"/>
        </w:rPr>
        <w:t>En el Convenio que establece la OMPI se estipula que “El Comité de Coordinación... preparará el proyecto de orden del día de la Asamblea General [y]... de la Conferencia...” (artículo 8.3)). En el Convenio de París (Estocolmo) se estipula que “El Comité Ejecutivo... preparará el proyecto de orden del día de la Asamblea...” (artículo </w:t>
      </w:r>
      <w:proofErr w:type="gramStart"/>
      <w:r w:rsidRPr="00FA72AB">
        <w:rPr>
          <w:lang w:val="es-419"/>
        </w:rPr>
        <w:t>14.6)a</w:t>
      </w:r>
      <w:proofErr w:type="gramEnd"/>
      <w:r w:rsidRPr="00FA72AB">
        <w:rPr>
          <w:lang w:val="es-419"/>
        </w:rPr>
        <w:t>)). En el Convenio de Berna (París) se estipula que “El Comité Ejecutivo... preparará el proyecto de orden del día de la Asamblea...” (artículo </w:t>
      </w:r>
      <w:proofErr w:type="gramStart"/>
      <w:r w:rsidRPr="00FA72AB">
        <w:rPr>
          <w:lang w:val="es-419"/>
        </w:rPr>
        <w:t>23.6)a</w:t>
      </w:r>
      <w:proofErr w:type="gramEnd"/>
      <w:r w:rsidRPr="00FA72AB">
        <w:rPr>
          <w:lang w:val="es-419"/>
        </w:rPr>
        <w:t>)).</w:t>
      </w:r>
    </w:p>
    <w:p w14:paraId="5682E762" w14:textId="0CC7BE51" w:rsidR="00E665ED" w:rsidRPr="00FA72AB" w:rsidRDefault="00E665ED" w:rsidP="00636460">
      <w:pPr>
        <w:pStyle w:val="ONUMFS"/>
        <w:rPr>
          <w:lang w:val="es-419"/>
        </w:rPr>
      </w:pPr>
      <w:r w:rsidRPr="00FA72AB">
        <w:rPr>
          <w:lang w:val="es-419"/>
        </w:rPr>
        <w:t>La Asamblea General de la OMPI, la Conferencia de la OMPI y las Asambleas de las Uniones de París y de Berna celebrarán sus próximos períodos ordinarios de sesiones en</w:t>
      </w:r>
      <w:r w:rsidR="00FA72AB" w:rsidRPr="00FA72AB">
        <w:rPr>
          <w:lang w:val="es-419"/>
        </w:rPr>
        <w:t> </w:t>
      </w:r>
      <w:r w:rsidRPr="00FA72AB">
        <w:rPr>
          <w:lang w:val="es-419"/>
        </w:rPr>
        <w:t>2025. Los Anexos I, II, III y IV del presente documento contienen sugerencias respecto de los puntos que como mínimo deberían incluirse en los órdenes del día de dichos períodos de sesiones. Sobre la base de las disposiciones aplicables del Convenio que establece la OMPI, del Convenio de París (Estocolmo) y del Convenio de Berna (París) así como de decisiones anteriores tomadas por los Órganos Rectores, se propone incluir esos puntos en los respectivos órdenes del día. Cabe señalar que, de requerirlo las circunstancias, el director general incluirá puntos adicionales en los proyectos de orden del día.</w:t>
      </w:r>
    </w:p>
    <w:p w14:paraId="76F36F1F" w14:textId="77777777" w:rsidR="00E665ED" w:rsidRPr="00FA72AB" w:rsidRDefault="00E665ED" w:rsidP="00E665ED">
      <w:pPr>
        <w:rPr>
          <w:lang w:val="es-419"/>
        </w:rPr>
      </w:pPr>
      <w:r w:rsidRPr="00FA72AB">
        <w:rPr>
          <w:lang w:val="es-419"/>
        </w:rPr>
        <w:br w:type="page"/>
      </w:r>
    </w:p>
    <w:p w14:paraId="73FAE4E8" w14:textId="77777777" w:rsidR="00E665ED" w:rsidRPr="00FA72AB" w:rsidRDefault="00E665ED" w:rsidP="00636460">
      <w:pPr>
        <w:pStyle w:val="ONUMFS"/>
        <w:rPr>
          <w:lang w:val="es-419"/>
        </w:rPr>
      </w:pPr>
      <w:r w:rsidRPr="00FA72AB">
        <w:rPr>
          <w:lang w:val="es-419"/>
        </w:rPr>
        <w:lastRenderedPageBreak/>
        <w:t>Los puntos que deban incluirse en los proyectos de orden del día de las Asambleas de los Estados miembros de la OMPI y otros órganos que se reunirán en períodos ordinarios de sesiones en el marco de las Asambleas de 2025 serán incluidos y presentados, como es costumbre, en un único proyecto de orden del día consolidado.</w:t>
      </w:r>
    </w:p>
    <w:p w14:paraId="7B2C80CE" w14:textId="77777777" w:rsidR="00E665ED" w:rsidRPr="00FA72AB" w:rsidRDefault="00E665ED" w:rsidP="00FA72AB">
      <w:pPr>
        <w:pStyle w:val="ONUMFS"/>
        <w:ind w:left="5534"/>
        <w:rPr>
          <w:lang w:val="es-419"/>
        </w:rPr>
      </w:pPr>
      <w:r w:rsidRPr="00FA72AB">
        <w:rPr>
          <w:i/>
          <w:lang w:val="es-419"/>
        </w:rPr>
        <w:t>Se invita al Comité de Coordinación a aprobar los Anexos I y II; se invita al Comité Ejecutivo de la Unión de París a aprobar el Anexo III; se invita al Comité Ejecutivo de la Unión de Berna a aprobar el Anexo IV</w:t>
      </w:r>
      <w:r w:rsidRPr="00FA72AB">
        <w:rPr>
          <w:lang w:val="es-419"/>
        </w:rPr>
        <w:t>.</w:t>
      </w:r>
    </w:p>
    <w:p w14:paraId="755647A8" w14:textId="77777777" w:rsidR="00E665ED" w:rsidRPr="00FA72AB" w:rsidRDefault="00E665ED" w:rsidP="00FA72AB">
      <w:pPr>
        <w:pStyle w:val="BodyText"/>
        <w:spacing w:before="720"/>
        <w:ind w:left="5534"/>
        <w:rPr>
          <w:lang w:val="es-419"/>
        </w:rPr>
      </w:pPr>
      <w:r w:rsidRPr="00FA72AB">
        <w:rPr>
          <w:lang w:val="es-419"/>
        </w:rPr>
        <w:t>[Siguen los Anexos]</w:t>
      </w:r>
    </w:p>
    <w:p w14:paraId="0A07FCBC" w14:textId="77777777" w:rsidR="00E665ED" w:rsidRPr="00FA72AB" w:rsidRDefault="00E665ED" w:rsidP="00E665ED">
      <w:pPr>
        <w:pStyle w:val="BodyText"/>
        <w:rPr>
          <w:lang w:val="es-419"/>
        </w:rPr>
        <w:sectPr w:rsidR="00E665ED" w:rsidRPr="00FA72AB" w:rsidSect="00A772E6">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14:paraId="6F775FC8" w14:textId="77777777" w:rsidR="00E665ED" w:rsidRPr="00FA72AB" w:rsidRDefault="00E665ED" w:rsidP="00E665ED">
      <w:pPr>
        <w:pStyle w:val="BodyText"/>
        <w:spacing w:before="1200" w:after="0"/>
        <w:jc w:val="center"/>
        <w:rPr>
          <w:lang w:val="es-419"/>
        </w:rPr>
      </w:pPr>
      <w:r w:rsidRPr="00FA72AB">
        <w:rPr>
          <w:lang w:val="es-419"/>
        </w:rPr>
        <w:lastRenderedPageBreak/>
        <w:t>Puntos que deben incluirse en el proyecto de orden del día</w:t>
      </w:r>
      <w:r w:rsidRPr="00FA72AB">
        <w:rPr>
          <w:vertAlign w:val="superscript"/>
          <w:lang w:val="es-419"/>
        </w:rPr>
        <w:footnoteReference w:id="2"/>
      </w:r>
    </w:p>
    <w:p w14:paraId="51A2714B" w14:textId="77777777" w:rsidR="00E665ED" w:rsidRPr="00FA72AB" w:rsidRDefault="00E665ED" w:rsidP="00E665ED">
      <w:pPr>
        <w:pStyle w:val="BodyText"/>
        <w:jc w:val="center"/>
        <w:rPr>
          <w:lang w:val="es-419"/>
        </w:rPr>
      </w:pPr>
      <w:r w:rsidRPr="00FA72AB">
        <w:rPr>
          <w:lang w:val="es-419"/>
        </w:rPr>
        <w:t>del período ordinario de sesiones de 2025 de la</w:t>
      </w:r>
    </w:p>
    <w:p w14:paraId="5FE12AFA" w14:textId="77777777" w:rsidR="00E665ED" w:rsidRPr="00FA72AB" w:rsidRDefault="00E665ED" w:rsidP="00E665ED">
      <w:pPr>
        <w:pStyle w:val="BodyText"/>
        <w:spacing w:after="960"/>
        <w:jc w:val="center"/>
        <w:rPr>
          <w:lang w:val="es-419"/>
        </w:rPr>
      </w:pPr>
      <w:r w:rsidRPr="00FA72AB">
        <w:rPr>
          <w:i/>
          <w:lang w:val="es-419"/>
        </w:rPr>
        <w:t>Asamblea General de la OMPI</w:t>
      </w:r>
    </w:p>
    <w:p w14:paraId="5C3AA5C4" w14:textId="77777777" w:rsidR="00E665ED" w:rsidRPr="00FA72AB" w:rsidRDefault="00E665ED" w:rsidP="00E665ED">
      <w:pPr>
        <w:pStyle w:val="BodyText"/>
        <w:rPr>
          <w:lang w:val="es-419"/>
        </w:rPr>
      </w:pPr>
      <w:r w:rsidRPr="00FA72AB">
        <w:rPr>
          <w:lang w:val="es-419"/>
        </w:rPr>
        <w:t xml:space="preserve">Elección de la Mesa </w:t>
      </w:r>
    </w:p>
    <w:p w14:paraId="50F62E16" w14:textId="77777777" w:rsidR="00E665ED" w:rsidRPr="00FA72AB" w:rsidRDefault="00E665ED" w:rsidP="00E665ED">
      <w:pPr>
        <w:pStyle w:val="BodyText"/>
        <w:rPr>
          <w:lang w:val="es-419"/>
        </w:rPr>
      </w:pPr>
      <w:r w:rsidRPr="00FA72AB">
        <w:rPr>
          <w:lang w:val="es-419"/>
        </w:rPr>
        <w:t>Admisión de observadores</w:t>
      </w:r>
    </w:p>
    <w:p w14:paraId="0F52F2B0" w14:textId="77777777" w:rsidR="00E665ED" w:rsidRPr="00FA72AB" w:rsidRDefault="00E665ED" w:rsidP="00E665ED">
      <w:pPr>
        <w:pStyle w:val="BodyText"/>
        <w:rPr>
          <w:lang w:val="es-419"/>
        </w:rPr>
      </w:pPr>
      <w:r w:rsidRPr="00FA72AB">
        <w:rPr>
          <w:lang w:val="es-419"/>
        </w:rPr>
        <w:t>Asuntos relativos al programa de trabajo y presupuesto y a la supervisión</w:t>
      </w:r>
    </w:p>
    <w:p w14:paraId="7C35049A" w14:textId="77777777" w:rsidR="00E665ED" w:rsidRPr="00FA72AB" w:rsidRDefault="00E665ED" w:rsidP="00E665ED">
      <w:pPr>
        <w:pStyle w:val="BodyText"/>
        <w:spacing w:after="720"/>
        <w:rPr>
          <w:lang w:val="es-419"/>
        </w:rPr>
      </w:pPr>
      <w:r w:rsidRPr="00FA72AB">
        <w:rPr>
          <w:lang w:val="es-419"/>
        </w:rPr>
        <w:t>Informes de los comités de la OMPI</w:t>
      </w:r>
    </w:p>
    <w:p w14:paraId="18FE90C4" w14:textId="77777777" w:rsidR="00E665ED" w:rsidRPr="00FA72AB" w:rsidRDefault="00E665ED" w:rsidP="00FA72AB">
      <w:pPr>
        <w:pStyle w:val="Endofdocument-Annex"/>
        <w:rPr>
          <w:lang w:val="es-419"/>
        </w:rPr>
        <w:sectPr w:rsidR="00E665ED" w:rsidRPr="00FA72AB" w:rsidSect="00A772E6">
          <w:headerReference w:type="first" r:id="rId14"/>
          <w:endnotePr>
            <w:numFmt w:val="decimal"/>
          </w:endnotePr>
          <w:pgSz w:w="11907" w:h="16840" w:code="9"/>
          <w:pgMar w:top="567" w:right="1134" w:bottom="1418" w:left="1418" w:header="510" w:footer="1021" w:gutter="0"/>
          <w:cols w:space="720"/>
          <w:titlePg/>
          <w:docGrid w:linePitch="299"/>
        </w:sectPr>
      </w:pPr>
      <w:r w:rsidRPr="00FA72AB">
        <w:rPr>
          <w:lang w:val="es-419"/>
        </w:rPr>
        <w:t>[Sigue el Anexo II]</w:t>
      </w:r>
    </w:p>
    <w:p w14:paraId="3C32D1E1" w14:textId="77777777" w:rsidR="00E665ED" w:rsidRPr="00FA72AB" w:rsidRDefault="00E665ED" w:rsidP="00E665ED">
      <w:pPr>
        <w:pStyle w:val="BodyText"/>
        <w:tabs>
          <w:tab w:val="center" w:pos="4677"/>
          <w:tab w:val="right" w:pos="9355"/>
        </w:tabs>
        <w:spacing w:before="1200" w:after="0"/>
        <w:jc w:val="center"/>
        <w:rPr>
          <w:lang w:val="es-419"/>
        </w:rPr>
      </w:pPr>
      <w:r w:rsidRPr="00FA72AB">
        <w:rPr>
          <w:lang w:val="es-419"/>
        </w:rPr>
        <w:lastRenderedPageBreak/>
        <w:t>Puntos que deben incluirse en el proyecto de orden del día</w:t>
      </w:r>
      <w:r w:rsidRPr="00FA72AB">
        <w:rPr>
          <w:vertAlign w:val="superscript"/>
          <w:lang w:val="es-419"/>
        </w:rPr>
        <w:footnoteReference w:id="3"/>
      </w:r>
    </w:p>
    <w:p w14:paraId="04AA6F98" w14:textId="77777777" w:rsidR="00E665ED" w:rsidRPr="00FA72AB" w:rsidRDefault="00E665ED" w:rsidP="00E665ED">
      <w:pPr>
        <w:pStyle w:val="BodyText"/>
        <w:jc w:val="center"/>
        <w:rPr>
          <w:lang w:val="es-419"/>
        </w:rPr>
      </w:pPr>
      <w:r w:rsidRPr="00FA72AB">
        <w:rPr>
          <w:lang w:val="es-419"/>
        </w:rPr>
        <w:t>del período ordinario de sesiones de 2025 de la</w:t>
      </w:r>
    </w:p>
    <w:p w14:paraId="1987DF4E" w14:textId="77777777" w:rsidR="00E665ED" w:rsidRPr="00FA72AB" w:rsidRDefault="00E665ED" w:rsidP="00E665ED">
      <w:pPr>
        <w:pStyle w:val="BodyText"/>
        <w:spacing w:after="960"/>
        <w:jc w:val="center"/>
        <w:rPr>
          <w:i/>
          <w:lang w:val="es-419"/>
        </w:rPr>
      </w:pPr>
      <w:r w:rsidRPr="00FA72AB">
        <w:rPr>
          <w:i/>
          <w:lang w:val="es-419"/>
        </w:rPr>
        <w:t>Conferencia de la OMPI</w:t>
      </w:r>
    </w:p>
    <w:p w14:paraId="0C8E78F3" w14:textId="77777777" w:rsidR="00E665ED" w:rsidRPr="00FA72AB" w:rsidRDefault="00E665ED" w:rsidP="00E665ED">
      <w:pPr>
        <w:pStyle w:val="BodyText"/>
        <w:rPr>
          <w:lang w:val="es-419"/>
        </w:rPr>
      </w:pPr>
      <w:r w:rsidRPr="00FA72AB">
        <w:rPr>
          <w:lang w:val="es-419"/>
        </w:rPr>
        <w:t xml:space="preserve">Elección de la Mesa </w:t>
      </w:r>
    </w:p>
    <w:p w14:paraId="50C2ABF0" w14:textId="77777777" w:rsidR="00E665ED" w:rsidRPr="00FA72AB" w:rsidRDefault="00E665ED" w:rsidP="00E665ED">
      <w:pPr>
        <w:pStyle w:val="BodyText"/>
        <w:rPr>
          <w:lang w:val="es-419"/>
        </w:rPr>
      </w:pPr>
      <w:r w:rsidRPr="00FA72AB">
        <w:rPr>
          <w:lang w:val="es-419"/>
        </w:rPr>
        <w:t>Admisión de observadores</w:t>
      </w:r>
    </w:p>
    <w:p w14:paraId="574AEFBA" w14:textId="77777777" w:rsidR="00E665ED" w:rsidRPr="00FA72AB" w:rsidRDefault="00E665ED" w:rsidP="00E665ED">
      <w:pPr>
        <w:pStyle w:val="BodyText"/>
        <w:spacing w:after="720"/>
        <w:rPr>
          <w:lang w:val="es-419"/>
        </w:rPr>
      </w:pPr>
      <w:r w:rsidRPr="00FA72AB">
        <w:rPr>
          <w:lang w:val="es-419"/>
        </w:rPr>
        <w:t>Asuntos relativos al programa de trabajo y presupuesto y a la supervisión</w:t>
      </w:r>
    </w:p>
    <w:p w14:paraId="70DB8EBB" w14:textId="77777777" w:rsidR="00E665ED" w:rsidRPr="00FA72AB" w:rsidRDefault="00E665ED" w:rsidP="00FA72AB">
      <w:pPr>
        <w:pStyle w:val="Endofdocument-Annex"/>
        <w:rPr>
          <w:lang w:val="es-419"/>
        </w:rPr>
        <w:sectPr w:rsidR="00E665ED" w:rsidRPr="00FA72AB" w:rsidSect="00A772E6">
          <w:headerReference w:type="first" r:id="rId15"/>
          <w:endnotePr>
            <w:numFmt w:val="decimal"/>
          </w:endnotePr>
          <w:pgSz w:w="11907" w:h="16840" w:code="9"/>
          <w:pgMar w:top="567" w:right="1134" w:bottom="1418" w:left="1418" w:header="510" w:footer="1021" w:gutter="0"/>
          <w:cols w:space="720"/>
          <w:titlePg/>
          <w:docGrid w:linePitch="299"/>
        </w:sectPr>
      </w:pPr>
      <w:r w:rsidRPr="00FA72AB">
        <w:rPr>
          <w:lang w:val="es-419"/>
        </w:rPr>
        <w:t>[Sigue el Anexo III]</w:t>
      </w:r>
    </w:p>
    <w:p w14:paraId="32BD2300" w14:textId="77777777" w:rsidR="00E665ED" w:rsidRPr="00FA72AB" w:rsidRDefault="00E665ED" w:rsidP="00E665ED">
      <w:pPr>
        <w:pStyle w:val="BodyText"/>
        <w:tabs>
          <w:tab w:val="center" w:pos="4677"/>
          <w:tab w:val="right" w:pos="9355"/>
        </w:tabs>
        <w:spacing w:before="1200" w:after="0"/>
        <w:jc w:val="center"/>
        <w:rPr>
          <w:lang w:val="es-419"/>
        </w:rPr>
      </w:pPr>
      <w:r w:rsidRPr="00FA72AB">
        <w:rPr>
          <w:lang w:val="es-419"/>
        </w:rPr>
        <w:lastRenderedPageBreak/>
        <w:t>Puntos que deben incluirse en el proyecto de orden del día</w:t>
      </w:r>
      <w:r w:rsidRPr="00FA72AB">
        <w:rPr>
          <w:vertAlign w:val="superscript"/>
          <w:lang w:val="es-419"/>
        </w:rPr>
        <w:footnoteReference w:id="4"/>
      </w:r>
    </w:p>
    <w:p w14:paraId="1CF497CF" w14:textId="77777777" w:rsidR="00E665ED" w:rsidRPr="00FA72AB" w:rsidRDefault="00E665ED" w:rsidP="00E665ED">
      <w:pPr>
        <w:pStyle w:val="BodyText"/>
        <w:jc w:val="center"/>
        <w:rPr>
          <w:lang w:val="es-419"/>
        </w:rPr>
      </w:pPr>
      <w:r w:rsidRPr="00FA72AB">
        <w:rPr>
          <w:lang w:val="es-419"/>
        </w:rPr>
        <w:t>del período ordinario de sesiones de 2025 de la</w:t>
      </w:r>
    </w:p>
    <w:p w14:paraId="6E70ADBF" w14:textId="77777777" w:rsidR="00E665ED" w:rsidRPr="00FA72AB" w:rsidRDefault="00E665ED" w:rsidP="00E665ED">
      <w:pPr>
        <w:pStyle w:val="BodyText"/>
        <w:spacing w:after="960"/>
        <w:jc w:val="center"/>
        <w:rPr>
          <w:i/>
          <w:lang w:val="es-419"/>
        </w:rPr>
      </w:pPr>
      <w:r w:rsidRPr="00FA72AB">
        <w:rPr>
          <w:i/>
          <w:lang w:val="es-419"/>
        </w:rPr>
        <w:t>Asamblea de la Unión de París</w:t>
      </w:r>
    </w:p>
    <w:p w14:paraId="73C67883" w14:textId="77777777" w:rsidR="00E665ED" w:rsidRPr="00FA72AB" w:rsidRDefault="00E665ED" w:rsidP="00E665ED">
      <w:pPr>
        <w:pStyle w:val="BodyText"/>
        <w:rPr>
          <w:lang w:val="es-419"/>
        </w:rPr>
      </w:pPr>
      <w:r w:rsidRPr="00FA72AB">
        <w:rPr>
          <w:lang w:val="es-419"/>
        </w:rPr>
        <w:t xml:space="preserve">Elección de la Mesa </w:t>
      </w:r>
    </w:p>
    <w:p w14:paraId="200A2ACF" w14:textId="77777777" w:rsidR="00E665ED" w:rsidRPr="00FA72AB" w:rsidRDefault="00E665ED" w:rsidP="00E665ED">
      <w:pPr>
        <w:pStyle w:val="BodyText"/>
        <w:rPr>
          <w:lang w:val="es-419"/>
        </w:rPr>
      </w:pPr>
      <w:r w:rsidRPr="00FA72AB">
        <w:rPr>
          <w:lang w:val="es-419"/>
        </w:rPr>
        <w:t>Admisión de observadores</w:t>
      </w:r>
    </w:p>
    <w:p w14:paraId="41190C5C" w14:textId="77777777" w:rsidR="00E665ED" w:rsidRPr="00FA72AB" w:rsidRDefault="00E665ED" w:rsidP="00E665ED">
      <w:pPr>
        <w:pStyle w:val="BodyText"/>
        <w:spacing w:after="720"/>
        <w:rPr>
          <w:lang w:val="es-419"/>
        </w:rPr>
      </w:pPr>
      <w:r w:rsidRPr="00FA72AB">
        <w:rPr>
          <w:lang w:val="es-419"/>
        </w:rPr>
        <w:t>Asuntos relativos al programa de trabajo y presupuesto y a la supervisión</w:t>
      </w:r>
    </w:p>
    <w:p w14:paraId="78FBF1FF" w14:textId="77777777" w:rsidR="00E665ED" w:rsidRPr="00FA72AB" w:rsidRDefault="00E665ED" w:rsidP="00FA72AB">
      <w:pPr>
        <w:pStyle w:val="Endofdocument-Annex"/>
        <w:rPr>
          <w:lang w:val="es-419"/>
        </w:rPr>
        <w:sectPr w:rsidR="00E665ED" w:rsidRPr="00FA72AB" w:rsidSect="00A772E6">
          <w:headerReference w:type="first" r:id="rId16"/>
          <w:endnotePr>
            <w:numFmt w:val="decimal"/>
          </w:endnotePr>
          <w:pgSz w:w="11907" w:h="16840" w:code="9"/>
          <w:pgMar w:top="567" w:right="1134" w:bottom="1418" w:left="1418" w:header="510" w:footer="1021" w:gutter="0"/>
          <w:cols w:space="720"/>
          <w:titlePg/>
          <w:docGrid w:linePitch="299"/>
        </w:sectPr>
      </w:pPr>
      <w:r w:rsidRPr="00FA72AB">
        <w:rPr>
          <w:lang w:val="es-419"/>
        </w:rPr>
        <w:t>[Sigue el Anexo IV]</w:t>
      </w:r>
    </w:p>
    <w:p w14:paraId="627238E8" w14:textId="77777777" w:rsidR="00E665ED" w:rsidRPr="00FA72AB" w:rsidRDefault="00E665ED" w:rsidP="00E665ED">
      <w:pPr>
        <w:pStyle w:val="BodyText"/>
        <w:tabs>
          <w:tab w:val="center" w:pos="4677"/>
          <w:tab w:val="right" w:pos="9355"/>
        </w:tabs>
        <w:spacing w:before="1200" w:after="0"/>
        <w:jc w:val="center"/>
        <w:rPr>
          <w:lang w:val="es-419"/>
        </w:rPr>
      </w:pPr>
      <w:r w:rsidRPr="00FA72AB">
        <w:rPr>
          <w:lang w:val="es-419"/>
        </w:rPr>
        <w:lastRenderedPageBreak/>
        <w:t>Puntos que deben incluirse en el proyecto de orden del día</w:t>
      </w:r>
      <w:r w:rsidRPr="00FA72AB">
        <w:rPr>
          <w:vertAlign w:val="superscript"/>
          <w:lang w:val="es-419"/>
        </w:rPr>
        <w:footnoteReference w:id="5"/>
      </w:r>
    </w:p>
    <w:p w14:paraId="52FDFBF7" w14:textId="77777777" w:rsidR="00E665ED" w:rsidRPr="00FA72AB" w:rsidRDefault="00E665ED" w:rsidP="00E665ED">
      <w:pPr>
        <w:pStyle w:val="BodyText"/>
        <w:jc w:val="center"/>
        <w:rPr>
          <w:lang w:val="es-419"/>
        </w:rPr>
      </w:pPr>
      <w:r w:rsidRPr="00FA72AB">
        <w:rPr>
          <w:lang w:val="es-419"/>
        </w:rPr>
        <w:t>del período ordinario de sesiones de 2025 de la</w:t>
      </w:r>
    </w:p>
    <w:p w14:paraId="74B80AD8" w14:textId="77777777" w:rsidR="00E665ED" w:rsidRPr="00FA72AB" w:rsidRDefault="00E665ED" w:rsidP="00E665ED">
      <w:pPr>
        <w:pStyle w:val="BodyText"/>
        <w:spacing w:after="960"/>
        <w:jc w:val="center"/>
        <w:rPr>
          <w:i/>
          <w:lang w:val="es-419"/>
        </w:rPr>
      </w:pPr>
      <w:r w:rsidRPr="00FA72AB">
        <w:rPr>
          <w:i/>
          <w:lang w:val="es-419"/>
        </w:rPr>
        <w:t>Asamblea de la Unión de Berna</w:t>
      </w:r>
    </w:p>
    <w:p w14:paraId="5384F1AF" w14:textId="77777777" w:rsidR="00E665ED" w:rsidRPr="00FA72AB" w:rsidRDefault="00E665ED" w:rsidP="00E665ED">
      <w:pPr>
        <w:pStyle w:val="BodyText"/>
        <w:rPr>
          <w:lang w:val="es-419"/>
        </w:rPr>
      </w:pPr>
      <w:r w:rsidRPr="00FA72AB">
        <w:rPr>
          <w:lang w:val="es-419"/>
        </w:rPr>
        <w:t xml:space="preserve">Elección de la Mesa </w:t>
      </w:r>
    </w:p>
    <w:p w14:paraId="2E38B219" w14:textId="77777777" w:rsidR="00E665ED" w:rsidRPr="00FA72AB" w:rsidRDefault="00E665ED" w:rsidP="00E665ED">
      <w:pPr>
        <w:pStyle w:val="BodyText"/>
        <w:rPr>
          <w:lang w:val="es-419"/>
        </w:rPr>
      </w:pPr>
      <w:r w:rsidRPr="00FA72AB">
        <w:rPr>
          <w:lang w:val="es-419"/>
        </w:rPr>
        <w:t>Admisión de observadores</w:t>
      </w:r>
    </w:p>
    <w:p w14:paraId="501535A8" w14:textId="77777777" w:rsidR="00E665ED" w:rsidRPr="00FA72AB" w:rsidRDefault="00E665ED" w:rsidP="00E665ED">
      <w:pPr>
        <w:pStyle w:val="BodyText"/>
        <w:spacing w:after="720"/>
        <w:rPr>
          <w:lang w:val="es-419"/>
        </w:rPr>
      </w:pPr>
      <w:r w:rsidRPr="00FA72AB">
        <w:rPr>
          <w:lang w:val="es-419"/>
        </w:rPr>
        <w:t>Asuntos relativos al programa de trabajo y presupuesto y a la supervisión</w:t>
      </w:r>
    </w:p>
    <w:p w14:paraId="6611A030" w14:textId="7665C556" w:rsidR="00152CEA" w:rsidRPr="00FA72AB" w:rsidRDefault="00E665ED" w:rsidP="00FA72AB">
      <w:pPr>
        <w:pStyle w:val="Endofdocument-Annex"/>
        <w:rPr>
          <w:lang w:val="es-419"/>
        </w:rPr>
      </w:pPr>
      <w:r w:rsidRPr="00FA72AB">
        <w:rPr>
          <w:lang w:val="es-419"/>
        </w:rPr>
        <w:t>[Fin del Anexo IV y del documento]</w:t>
      </w:r>
    </w:p>
    <w:sectPr w:rsidR="00152CEA" w:rsidRPr="00FA72AB" w:rsidSect="00E665ED">
      <w:headerReference w:type="default" r:id="rId17"/>
      <w:headerReference w:type="first" r:id="rId1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46DC9" w14:textId="77777777" w:rsidR="00E665ED" w:rsidRDefault="00E665ED">
      <w:r>
        <w:separator/>
      </w:r>
    </w:p>
  </w:endnote>
  <w:endnote w:type="continuationSeparator" w:id="0">
    <w:p w14:paraId="347B1203" w14:textId="77777777" w:rsidR="00E665ED" w:rsidRPr="009D30E6" w:rsidRDefault="00E665ED" w:rsidP="007E663E">
      <w:pPr>
        <w:rPr>
          <w:sz w:val="17"/>
          <w:szCs w:val="17"/>
        </w:rPr>
      </w:pPr>
      <w:r w:rsidRPr="009D30E6">
        <w:rPr>
          <w:sz w:val="17"/>
          <w:szCs w:val="17"/>
        </w:rPr>
        <w:separator/>
      </w:r>
    </w:p>
    <w:p w14:paraId="706ECDC9" w14:textId="77777777" w:rsidR="00E665ED" w:rsidRPr="007E663E" w:rsidRDefault="00E665ED" w:rsidP="007E663E">
      <w:pPr>
        <w:spacing w:after="60"/>
        <w:rPr>
          <w:sz w:val="17"/>
          <w:szCs w:val="17"/>
        </w:rPr>
      </w:pPr>
      <w:r>
        <w:rPr>
          <w:sz w:val="17"/>
        </w:rPr>
        <w:t>[Continuación de la nota de la página anterior]</w:t>
      </w:r>
    </w:p>
  </w:endnote>
  <w:endnote w:type="continuationNotice" w:id="1">
    <w:p w14:paraId="658C8D14" w14:textId="77777777" w:rsidR="00E665ED" w:rsidRPr="007E663E" w:rsidRDefault="00E665E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DFBE" w14:textId="77777777" w:rsidR="00E05BD2" w:rsidRDefault="00E05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F94E" w14:textId="77777777" w:rsidR="00E05BD2" w:rsidRDefault="00E05B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F33DF" w14:textId="77777777" w:rsidR="00E05BD2" w:rsidRDefault="00E05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D6622" w14:textId="77777777" w:rsidR="00E665ED" w:rsidRDefault="00E665ED">
      <w:r>
        <w:separator/>
      </w:r>
    </w:p>
  </w:footnote>
  <w:footnote w:type="continuationSeparator" w:id="0">
    <w:p w14:paraId="44F0E85E" w14:textId="77777777" w:rsidR="00E665ED" w:rsidRPr="009D30E6" w:rsidRDefault="00E665ED" w:rsidP="007E663E">
      <w:pPr>
        <w:rPr>
          <w:sz w:val="17"/>
          <w:szCs w:val="17"/>
        </w:rPr>
      </w:pPr>
      <w:r w:rsidRPr="009D30E6">
        <w:rPr>
          <w:sz w:val="17"/>
          <w:szCs w:val="17"/>
        </w:rPr>
        <w:separator/>
      </w:r>
    </w:p>
    <w:p w14:paraId="690F391C" w14:textId="77777777" w:rsidR="00E665ED" w:rsidRPr="007E663E" w:rsidRDefault="00E665ED" w:rsidP="007E663E">
      <w:pPr>
        <w:spacing w:after="60"/>
        <w:rPr>
          <w:sz w:val="17"/>
          <w:szCs w:val="17"/>
        </w:rPr>
      </w:pPr>
      <w:r>
        <w:rPr>
          <w:sz w:val="17"/>
        </w:rPr>
        <w:t>[Continuación de la nota de la página anterior]</w:t>
      </w:r>
    </w:p>
  </w:footnote>
  <w:footnote w:type="continuationNotice" w:id="1">
    <w:p w14:paraId="3C007FE1" w14:textId="77777777" w:rsidR="00E665ED" w:rsidRPr="007E663E" w:rsidRDefault="00E665ED" w:rsidP="007E663E">
      <w:pPr>
        <w:spacing w:before="60"/>
        <w:jc w:val="right"/>
        <w:rPr>
          <w:sz w:val="17"/>
          <w:szCs w:val="17"/>
        </w:rPr>
      </w:pPr>
      <w:r w:rsidRPr="007E663E">
        <w:rPr>
          <w:sz w:val="17"/>
          <w:szCs w:val="17"/>
        </w:rPr>
        <w:t>[Sigue la nota en la página siguiente]</w:t>
      </w:r>
    </w:p>
  </w:footnote>
  <w:footnote w:id="2">
    <w:p w14:paraId="73A07651" w14:textId="77777777" w:rsidR="00E665ED" w:rsidRDefault="00E665ED" w:rsidP="00E665ED">
      <w:pPr>
        <w:pStyle w:val="FootnoteText"/>
      </w:pPr>
      <w:r>
        <w:rPr>
          <w:rStyle w:val="FootnoteReference"/>
        </w:rPr>
        <w:footnoteRef/>
      </w:r>
      <w:r>
        <w:tab/>
        <w:t>Se presentarán en un único proyecto de orden del día consolidado para todos los órganos de la OMPI que se reunirán en el marco de las Asambleas de 2025 (véase el párrafo 3 del presente documento).</w:t>
      </w:r>
    </w:p>
  </w:footnote>
  <w:footnote w:id="3">
    <w:p w14:paraId="6DE7FD0E" w14:textId="77777777" w:rsidR="00E665ED" w:rsidRDefault="00E665ED" w:rsidP="00E665ED">
      <w:pPr>
        <w:pStyle w:val="FootnoteText"/>
      </w:pPr>
      <w:r>
        <w:rPr>
          <w:rStyle w:val="FootnoteReference"/>
        </w:rPr>
        <w:footnoteRef/>
      </w:r>
      <w:r>
        <w:tab/>
        <w:t>Se presentarán en un único proyecto de orden del día consolidado para todos los órganos de la OMPI que se reunirán en el marco de las Asambleas de 2025 (véase el párrafo 3 del presente documento).</w:t>
      </w:r>
    </w:p>
  </w:footnote>
  <w:footnote w:id="4">
    <w:p w14:paraId="77E3F732" w14:textId="77777777" w:rsidR="00E665ED" w:rsidRDefault="00E665ED" w:rsidP="00E665ED">
      <w:pPr>
        <w:pStyle w:val="FootnoteText"/>
      </w:pPr>
      <w:r>
        <w:rPr>
          <w:rStyle w:val="FootnoteReference"/>
        </w:rPr>
        <w:footnoteRef/>
      </w:r>
      <w:r>
        <w:tab/>
        <w:t>Se presentarán en un único proyecto de orden del día consolidado para todos los órganos de la OMPI que se reunirán en el marco de las Asambleas de 2025 (véase el párrafo 3 del presente documento).</w:t>
      </w:r>
    </w:p>
  </w:footnote>
  <w:footnote w:id="5">
    <w:p w14:paraId="7F8F35C4" w14:textId="77777777" w:rsidR="00E665ED" w:rsidRDefault="00E665ED" w:rsidP="00E665ED">
      <w:pPr>
        <w:pStyle w:val="FootnoteText"/>
      </w:pPr>
      <w:r>
        <w:rPr>
          <w:rStyle w:val="FootnoteReference"/>
        </w:rPr>
        <w:footnoteRef/>
      </w:r>
      <w:r>
        <w:tab/>
        <w:t>Se presentarán en un único proyecto de orden del día consolidado para todos los órganos de la OMPI que se reunirán en el marco de las Asambleas de 2025 (véase el párrafo 3 del presente documento).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EA31B" w14:textId="77777777" w:rsidR="00E665ED" w:rsidRDefault="00E665ED" w:rsidP="00A772E6">
    <w:pPr>
      <w:jc w:val="right"/>
    </w:pPr>
    <w:r>
      <w:t>A/65/4</w:t>
    </w:r>
  </w:p>
  <w:p w14:paraId="309402E0" w14:textId="77777777" w:rsidR="00E665ED" w:rsidRDefault="00E665ED" w:rsidP="00587DAF">
    <w:pPr>
      <w:jc w:val="right"/>
    </w:pPr>
    <w:r>
      <w:t xml:space="preserve">página </w:t>
    </w:r>
    <w:r>
      <w:fldChar w:fldCharType="begin"/>
    </w:r>
    <w:r>
      <w:instrText xml:space="preserve"> PAGE  \* MERGEFORMAT </w:instrText>
    </w:r>
    <w:r>
      <w:fldChar w:fldCharType="separate"/>
    </w:r>
    <w:r>
      <w:t>2</w:t>
    </w:r>
    <w:r>
      <w:fldChar w:fldCharType="end"/>
    </w:r>
  </w:p>
  <w:p w14:paraId="393F0A77" w14:textId="77777777" w:rsidR="00E665ED" w:rsidRDefault="00E665ED" w:rsidP="00587DAF">
    <w:pPr>
      <w:jc w:val="right"/>
    </w:pPr>
  </w:p>
  <w:p w14:paraId="42814ED2" w14:textId="77777777" w:rsidR="00E665ED" w:rsidRPr="00A772E6" w:rsidRDefault="00E665ED" w:rsidP="00A77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1549" w14:textId="77777777" w:rsidR="00E665ED" w:rsidRDefault="00E665ED" w:rsidP="00477D6B">
    <w:pPr>
      <w:jc w:val="right"/>
    </w:pPr>
    <w:r>
      <w:t>A/65/4</w:t>
    </w:r>
  </w:p>
  <w:p w14:paraId="07EF5F46" w14:textId="4FD2EC8D" w:rsidR="00E665ED" w:rsidRDefault="00F43C59" w:rsidP="00477D6B">
    <w:pPr>
      <w:jc w:val="right"/>
    </w:pPr>
    <w:r>
      <w:t>página 2</w:t>
    </w:r>
  </w:p>
  <w:p w14:paraId="0526AD51" w14:textId="77777777" w:rsidR="00E665ED" w:rsidRDefault="00E665ED" w:rsidP="00477D6B">
    <w:pPr>
      <w:jc w:val="right"/>
    </w:pPr>
  </w:p>
  <w:p w14:paraId="57E87C6B" w14:textId="77777777" w:rsidR="00FA72AB" w:rsidRDefault="00FA72A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D1A6" w14:textId="77777777" w:rsidR="00E05BD2" w:rsidRDefault="00E05B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B473" w14:textId="77777777" w:rsidR="00E665ED" w:rsidRPr="00B35801" w:rsidRDefault="00E665ED" w:rsidP="00587DAF">
    <w:pPr>
      <w:pStyle w:val="Header"/>
      <w:jc w:val="right"/>
    </w:pPr>
    <w:r>
      <w:t>A/65/4</w:t>
    </w:r>
  </w:p>
  <w:p w14:paraId="4D5497F6" w14:textId="77777777" w:rsidR="00E665ED" w:rsidRDefault="00E665ED" w:rsidP="00587DAF">
    <w:pPr>
      <w:pStyle w:val="Header"/>
      <w:jc w:val="right"/>
    </w:pPr>
    <w:r>
      <w:t>ANEXO I</w:t>
    </w:r>
  </w:p>
  <w:p w14:paraId="1D2C8FB6" w14:textId="77777777" w:rsidR="00FA72AB" w:rsidRDefault="00FA72AB" w:rsidP="00587DAF">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35A6" w14:textId="77777777" w:rsidR="00E665ED" w:rsidRPr="00B35801" w:rsidRDefault="00E665ED" w:rsidP="00587DAF">
    <w:pPr>
      <w:pStyle w:val="Header"/>
      <w:jc w:val="right"/>
    </w:pPr>
    <w:r>
      <w:t>A/65/4</w:t>
    </w:r>
  </w:p>
  <w:p w14:paraId="34CBEDCF" w14:textId="77777777" w:rsidR="00E665ED" w:rsidRDefault="00E665ED" w:rsidP="00587DAF">
    <w:pPr>
      <w:pStyle w:val="Header"/>
      <w:jc w:val="right"/>
    </w:pPr>
    <w:r>
      <w:t>ANEXO II</w:t>
    </w:r>
  </w:p>
  <w:p w14:paraId="68649B69" w14:textId="77777777" w:rsidR="00FA72AB" w:rsidRDefault="00FA72AB" w:rsidP="00587DAF">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6D63" w14:textId="77777777" w:rsidR="00E665ED" w:rsidRPr="00B35801" w:rsidRDefault="00E665ED" w:rsidP="00587DAF">
    <w:pPr>
      <w:pStyle w:val="Header"/>
      <w:jc w:val="right"/>
    </w:pPr>
    <w:r>
      <w:t>A/65/4</w:t>
    </w:r>
  </w:p>
  <w:p w14:paraId="2ACD473B" w14:textId="3DAD5C97" w:rsidR="00E665ED" w:rsidRDefault="00E665ED" w:rsidP="00587DAF">
    <w:pPr>
      <w:pStyle w:val="Header"/>
      <w:jc w:val="right"/>
    </w:pPr>
    <w:r>
      <w:t>ANEXO I</w:t>
    </w:r>
    <w:r w:rsidR="00F43C59">
      <w:t>II</w:t>
    </w:r>
  </w:p>
  <w:p w14:paraId="19DF5284" w14:textId="77777777" w:rsidR="00FA72AB" w:rsidRDefault="00FA72AB" w:rsidP="00587DAF">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E5FB" w14:textId="77777777" w:rsidR="00F84474" w:rsidRDefault="00E665ED" w:rsidP="00477D6B">
    <w:pPr>
      <w:jc w:val="right"/>
    </w:pPr>
    <w:bookmarkStart w:id="5" w:name="Code2"/>
    <w:bookmarkEnd w:id="5"/>
    <w:r>
      <w:t>A/65/4</w:t>
    </w:r>
  </w:p>
  <w:p w14:paraId="5CD7D4C1"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5F09D2A4" w14:textId="77777777" w:rsidR="00F84474" w:rsidRDefault="00F84474" w:rsidP="00477D6B">
    <w:pPr>
      <w:jc w:val="right"/>
    </w:pPr>
  </w:p>
  <w:p w14:paraId="16E2D850" w14:textId="77777777" w:rsidR="004F7418" w:rsidRDefault="004F7418"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7C3C" w14:textId="77777777" w:rsidR="00F43C59" w:rsidRPr="00B35801" w:rsidRDefault="00F43C59" w:rsidP="00587DAF">
    <w:pPr>
      <w:pStyle w:val="Header"/>
      <w:jc w:val="right"/>
    </w:pPr>
    <w:r>
      <w:t>A/65/4</w:t>
    </w:r>
  </w:p>
  <w:p w14:paraId="6FFAC583" w14:textId="1D6E1447" w:rsidR="00F43C59" w:rsidRDefault="00F43C59" w:rsidP="00587DAF">
    <w:pPr>
      <w:pStyle w:val="Header"/>
      <w:jc w:val="right"/>
    </w:pPr>
    <w:r>
      <w:t>ANEXO IV</w:t>
    </w:r>
  </w:p>
  <w:p w14:paraId="2937FA2A" w14:textId="77777777" w:rsidR="00FA72AB" w:rsidRDefault="00FA72AB" w:rsidP="00587D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5541363">
    <w:abstractNumId w:val="2"/>
  </w:num>
  <w:num w:numId="2" w16cid:durableId="366106094">
    <w:abstractNumId w:val="4"/>
  </w:num>
  <w:num w:numId="3" w16cid:durableId="527137612">
    <w:abstractNumId w:val="0"/>
  </w:num>
  <w:num w:numId="4" w16cid:durableId="357853381">
    <w:abstractNumId w:val="5"/>
  </w:num>
  <w:num w:numId="5" w16cid:durableId="196164486">
    <w:abstractNumId w:val="1"/>
  </w:num>
  <w:num w:numId="6" w16cid:durableId="1241792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ED"/>
    <w:rsid w:val="000101DC"/>
    <w:rsid w:val="000E3BB3"/>
    <w:rsid w:val="000F5E56"/>
    <w:rsid w:val="001362EE"/>
    <w:rsid w:val="00152CEA"/>
    <w:rsid w:val="001832A6"/>
    <w:rsid w:val="001C4DD3"/>
    <w:rsid w:val="001D50D1"/>
    <w:rsid w:val="002334B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A7B16"/>
    <w:rsid w:val="004F7418"/>
    <w:rsid w:val="00511D0C"/>
    <w:rsid w:val="0055013B"/>
    <w:rsid w:val="0056224D"/>
    <w:rsid w:val="00571B99"/>
    <w:rsid w:val="005D64EC"/>
    <w:rsid w:val="00605827"/>
    <w:rsid w:val="00636460"/>
    <w:rsid w:val="00675021"/>
    <w:rsid w:val="0069159F"/>
    <w:rsid w:val="006A06C6"/>
    <w:rsid w:val="007E63AC"/>
    <w:rsid w:val="007E663E"/>
    <w:rsid w:val="00806DF1"/>
    <w:rsid w:val="00815082"/>
    <w:rsid w:val="00843582"/>
    <w:rsid w:val="008B14EA"/>
    <w:rsid w:val="008B2CC1"/>
    <w:rsid w:val="0090731E"/>
    <w:rsid w:val="00966A22"/>
    <w:rsid w:val="00972F03"/>
    <w:rsid w:val="009A0C8B"/>
    <w:rsid w:val="009B6241"/>
    <w:rsid w:val="00A16FC0"/>
    <w:rsid w:val="00A32C9E"/>
    <w:rsid w:val="00A7453D"/>
    <w:rsid w:val="00A8121F"/>
    <w:rsid w:val="00AB613D"/>
    <w:rsid w:val="00B65A0A"/>
    <w:rsid w:val="00B72D36"/>
    <w:rsid w:val="00BA063E"/>
    <w:rsid w:val="00BC4164"/>
    <w:rsid w:val="00BD2DCC"/>
    <w:rsid w:val="00BE1A8C"/>
    <w:rsid w:val="00C06472"/>
    <w:rsid w:val="00C90559"/>
    <w:rsid w:val="00D36B79"/>
    <w:rsid w:val="00D40CF0"/>
    <w:rsid w:val="00D56C7C"/>
    <w:rsid w:val="00D71B4D"/>
    <w:rsid w:val="00D90289"/>
    <w:rsid w:val="00D93D55"/>
    <w:rsid w:val="00E05BD2"/>
    <w:rsid w:val="00E45C84"/>
    <w:rsid w:val="00E504E5"/>
    <w:rsid w:val="00E665ED"/>
    <w:rsid w:val="00E73ABF"/>
    <w:rsid w:val="00EB7A3E"/>
    <w:rsid w:val="00EC401A"/>
    <w:rsid w:val="00EF530A"/>
    <w:rsid w:val="00EF6622"/>
    <w:rsid w:val="00F43C59"/>
    <w:rsid w:val="00F55408"/>
    <w:rsid w:val="00F66152"/>
    <w:rsid w:val="00F80845"/>
    <w:rsid w:val="00F84474"/>
    <w:rsid w:val="00FA72AB"/>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57A32"/>
  <w15:docId w15:val="{48C44227-179A-4222-B1CB-05CA33C6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odyTextChar">
    <w:name w:val="Body Text Char"/>
    <w:basedOn w:val="DefaultParagraphFont"/>
    <w:link w:val="BodyText"/>
    <w:rsid w:val="00E665ED"/>
    <w:rPr>
      <w:rFonts w:ascii="Arial" w:eastAsia="SimSun" w:hAnsi="Arial" w:cs="Arial"/>
      <w:sz w:val="22"/>
      <w:lang w:val="es-ES" w:eastAsia="zh-CN"/>
    </w:rPr>
  </w:style>
  <w:style w:type="character" w:customStyle="1" w:styleId="FooterChar">
    <w:name w:val="Footer Char"/>
    <w:basedOn w:val="DefaultParagraphFont"/>
    <w:link w:val="Footer"/>
    <w:semiHidden/>
    <w:rsid w:val="00E665ED"/>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E665ED"/>
    <w:rPr>
      <w:rFonts w:ascii="Arial" w:eastAsia="SimSun" w:hAnsi="Arial" w:cs="Arial"/>
      <w:sz w:val="18"/>
      <w:lang w:val="es-ES" w:eastAsia="zh-CN"/>
    </w:rPr>
  </w:style>
  <w:style w:type="character" w:customStyle="1" w:styleId="HeaderChar">
    <w:name w:val="Header Char"/>
    <w:basedOn w:val="DefaultParagraphFont"/>
    <w:link w:val="Header"/>
    <w:uiPriority w:val="99"/>
    <w:rsid w:val="00E665ED"/>
    <w:rPr>
      <w:rFonts w:ascii="Arial" w:eastAsia="SimSun" w:hAnsi="Arial" w:cs="Arial"/>
      <w:sz w:val="22"/>
      <w:lang w:val="es-ES" w:eastAsia="zh-CN"/>
    </w:rPr>
  </w:style>
  <w:style w:type="character" w:styleId="FootnoteReference">
    <w:name w:val="footnote reference"/>
    <w:basedOn w:val="DefaultParagraphFont"/>
    <w:rsid w:val="00E665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65 (S)</Template>
  <TotalTime>3</TotalTime>
  <Pages>6</Pages>
  <Words>591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A/65/4</vt:lpstr>
    </vt:vector>
  </TitlesOfParts>
  <Company>WIPO</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A/65/4</dc:title>
  <dc:creator>WIPO</dc:creator>
  <cp:keywords>FOR OFFICIAL USE ONLY</cp:keywords>
  <cp:lastModifiedBy>HÄFLIGER Patience</cp:lastModifiedBy>
  <cp:revision>3</cp:revision>
  <dcterms:created xsi:type="dcterms:W3CDTF">2024-03-21T09:13:00Z</dcterms:created>
  <dcterms:modified xsi:type="dcterms:W3CDTF">2024-03-22T09:16:00Z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ies>
</file>