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3C3" w:rsidRPr="001324A5" w:rsidRDefault="008B14EA" w:rsidP="008B14EA">
      <w:pPr>
        <w:spacing w:after="120"/>
        <w:jc w:val="right"/>
        <w:rPr>
          <w:lang w:val="es-ES_tradnl"/>
        </w:rPr>
      </w:pPr>
      <w:bookmarkStart w:id="0" w:name="_GoBack"/>
      <w:bookmarkEnd w:id="0"/>
      <w:r w:rsidRPr="001324A5">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1324A5">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F5502FD"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E703C3" w:rsidRPr="001324A5" w:rsidRDefault="00A8121F" w:rsidP="008B14EA">
      <w:pPr>
        <w:jc w:val="right"/>
        <w:rPr>
          <w:rFonts w:ascii="Arial Black" w:hAnsi="Arial Black"/>
          <w:caps/>
          <w:sz w:val="15"/>
          <w:lang w:val="es-ES_tradnl"/>
        </w:rPr>
      </w:pPr>
      <w:r w:rsidRPr="001324A5">
        <w:rPr>
          <w:rFonts w:ascii="Arial Black" w:hAnsi="Arial Black"/>
          <w:caps/>
          <w:sz w:val="15"/>
          <w:lang w:val="es-ES_tradnl"/>
        </w:rPr>
        <w:t>A/64/</w:t>
      </w:r>
      <w:bookmarkStart w:id="1" w:name="Code"/>
      <w:r w:rsidR="00FC2D0B" w:rsidRPr="001324A5">
        <w:rPr>
          <w:rFonts w:ascii="Arial Black" w:hAnsi="Arial Black"/>
          <w:caps/>
          <w:sz w:val="15"/>
          <w:lang w:val="es-ES_tradnl"/>
        </w:rPr>
        <w:t>10</w:t>
      </w:r>
    </w:p>
    <w:bookmarkEnd w:id="1"/>
    <w:p w:rsidR="00E703C3" w:rsidRPr="001324A5" w:rsidRDefault="008B14EA" w:rsidP="008B14EA">
      <w:pPr>
        <w:jc w:val="right"/>
        <w:rPr>
          <w:rFonts w:ascii="Arial Black" w:hAnsi="Arial Black"/>
          <w:caps/>
          <w:sz w:val="15"/>
          <w:lang w:val="es-ES_tradnl"/>
        </w:rPr>
      </w:pPr>
      <w:r w:rsidRPr="001324A5">
        <w:rPr>
          <w:rFonts w:ascii="Arial Black" w:hAnsi="Arial Black"/>
          <w:caps/>
          <w:sz w:val="15"/>
          <w:lang w:val="es-ES_tradnl"/>
        </w:rPr>
        <w:t xml:space="preserve">ORIGINAL: </w:t>
      </w:r>
      <w:bookmarkStart w:id="2" w:name="Original"/>
      <w:r w:rsidR="00FC2D0B" w:rsidRPr="001324A5">
        <w:rPr>
          <w:rFonts w:ascii="Arial Black" w:hAnsi="Arial Black"/>
          <w:caps/>
          <w:sz w:val="15"/>
          <w:lang w:val="es-ES_tradnl"/>
        </w:rPr>
        <w:t>Inglés</w:t>
      </w:r>
    </w:p>
    <w:bookmarkEnd w:id="2"/>
    <w:p w:rsidR="00E703C3" w:rsidRPr="001324A5" w:rsidRDefault="008B14EA" w:rsidP="008B14EA">
      <w:pPr>
        <w:spacing w:after="1200"/>
        <w:jc w:val="right"/>
        <w:rPr>
          <w:rFonts w:ascii="Arial Black" w:hAnsi="Arial Black"/>
          <w:caps/>
          <w:sz w:val="15"/>
          <w:lang w:val="es-ES_tradnl"/>
        </w:rPr>
      </w:pPr>
      <w:r w:rsidRPr="001324A5">
        <w:rPr>
          <w:rFonts w:ascii="Arial Black" w:hAnsi="Arial Black"/>
          <w:caps/>
          <w:sz w:val="15"/>
          <w:lang w:val="es-ES_tradnl"/>
        </w:rPr>
        <w:t xml:space="preserve">FECHA: </w:t>
      </w:r>
      <w:bookmarkStart w:id="3" w:name="Date"/>
      <w:r w:rsidR="00FC2D0B" w:rsidRPr="001324A5">
        <w:rPr>
          <w:rFonts w:ascii="Arial Black" w:hAnsi="Arial Black"/>
          <w:caps/>
          <w:sz w:val="15"/>
          <w:lang w:val="es-ES_tradnl"/>
        </w:rPr>
        <w:t>21 de junio de 2023</w:t>
      </w:r>
    </w:p>
    <w:bookmarkEnd w:id="3"/>
    <w:p w:rsidR="00E703C3" w:rsidRPr="001324A5" w:rsidRDefault="00A8121F" w:rsidP="008B14EA">
      <w:pPr>
        <w:spacing w:after="600"/>
        <w:rPr>
          <w:b/>
          <w:sz w:val="28"/>
          <w:szCs w:val="28"/>
          <w:lang w:val="es-ES_tradnl"/>
        </w:rPr>
      </w:pPr>
      <w:r w:rsidRPr="001324A5">
        <w:rPr>
          <w:b/>
          <w:sz w:val="28"/>
          <w:szCs w:val="28"/>
          <w:lang w:val="es-ES_tradnl"/>
        </w:rPr>
        <w:t>Asambleas de los Estados miembros de la OMPI</w:t>
      </w:r>
    </w:p>
    <w:p w:rsidR="00E703C3" w:rsidRPr="001324A5" w:rsidRDefault="00A8121F" w:rsidP="00511D0C">
      <w:pPr>
        <w:rPr>
          <w:b/>
          <w:sz w:val="24"/>
          <w:szCs w:val="24"/>
          <w:lang w:val="es-ES_tradnl"/>
        </w:rPr>
      </w:pPr>
      <w:r w:rsidRPr="001324A5">
        <w:rPr>
          <w:b/>
          <w:sz w:val="24"/>
          <w:szCs w:val="24"/>
          <w:lang w:val="es-ES_tradnl"/>
        </w:rPr>
        <w:t>Sexagésima cuarta serie de reuniones</w:t>
      </w:r>
    </w:p>
    <w:p w:rsidR="00E703C3" w:rsidRPr="001324A5" w:rsidRDefault="00A8121F" w:rsidP="008B14EA">
      <w:pPr>
        <w:spacing w:after="720"/>
        <w:rPr>
          <w:b/>
          <w:sz w:val="24"/>
          <w:szCs w:val="24"/>
          <w:lang w:val="es-ES_tradnl"/>
        </w:rPr>
      </w:pPr>
      <w:r w:rsidRPr="001324A5">
        <w:rPr>
          <w:b/>
          <w:sz w:val="24"/>
          <w:szCs w:val="24"/>
          <w:lang w:val="es-ES_tradnl"/>
        </w:rPr>
        <w:t>Ginebra, 6 a 14 de julio de 2023</w:t>
      </w:r>
    </w:p>
    <w:p w:rsidR="00E703C3" w:rsidRPr="001324A5" w:rsidRDefault="00FC2D0B" w:rsidP="008B14EA">
      <w:pPr>
        <w:spacing w:after="360"/>
        <w:rPr>
          <w:caps/>
          <w:sz w:val="24"/>
          <w:lang w:val="es-ES_tradnl"/>
        </w:rPr>
      </w:pPr>
      <w:bookmarkStart w:id="4" w:name="TitleOfDoc"/>
      <w:r w:rsidRPr="001324A5">
        <w:rPr>
          <w:caps/>
          <w:sz w:val="24"/>
          <w:lang w:val="es-ES_tradnl"/>
        </w:rPr>
        <w:t>Propuesta del Grupo de Estados de Europa Central y el Báltico sobre la composición del Comité de Coordinación</w:t>
      </w:r>
    </w:p>
    <w:p w:rsidR="00E703C3" w:rsidRPr="001324A5" w:rsidRDefault="00FC2D0B" w:rsidP="008B14EA">
      <w:pPr>
        <w:spacing w:after="960"/>
        <w:rPr>
          <w:i/>
          <w:lang w:val="es-ES_tradnl"/>
        </w:rPr>
      </w:pPr>
      <w:bookmarkStart w:id="5" w:name="Prepared"/>
      <w:bookmarkEnd w:id="4"/>
      <w:r w:rsidRPr="001324A5">
        <w:rPr>
          <w:i/>
          <w:lang w:val="es-ES_tradnl"/>
        </w:rPr>
        <w:t>presentada por el Grupo de Estados de Europa Central y el Báltico</w:t>
      </w:r>
    </w:p>
    <w:bookmarkEnd w:id="5"/>
    <w:p w:rsidR="00E703C3" w:rsidRPr="001324A5" w:rsidRDefault="00A557C9" w:rsidP="00A557C9">
      <w:pPr>
        <w:spacing w:after="720"/>
        <w:rPr>
          <w:lang w:val="es-ES_tradnl"/>
        </w:rPr>
      </w:pPr>
      <w:r w:rsidRPr="001324A5">
        <w:rPr>
          <w:lang w:val="es-ES_tradnl"/>
        </w:rPr>
        <w:t>En una comunicación a la Secretaría, recibida el 20 de junio de 2023, el Grupo de Países de Europa Central y el Báltico presentó la propuesta que se adjunta, en el marco del punto 7 del orden del día, “Composición del Comité de Coordinación de la OMPI y de los Comités Ejecutivos de las Uniones de París y de Berna”.</w:t>
      </w:r>
    </w:p>
    <w:p w:rsidR="00E703C3" w:rsidRDefault="00A557C9" w:rsidP="00265772">
      <w:pPr>
        <w:pStyle w:val="Endofdocument-Annex"/>
      </w:pPr>
      <w:r w:rsidRPr="001324A5">
        <w:t>[Sigue el Anexo]</w:t>
      </w:r>
    </w:p>
    <w:p w:rsidR="00A0318E" w:rsidRDefault="00A0318E" w:rsidP="00A0318E">
      <w:pPr>
        <w:spacing w:after="220"/>
        <w:rPr>
          <w:lang w:val="es-ES_tradnl"/>
        </w:rPr>
      </w:pPr>
    </w:p>
    <w:p w:rsidR="00155FA5" w:rsidRDefault="00155FA5" w:rsidP="00A0318E">
      <w:pPr>
        <w:spacing w:after="220"/>
        <w:rPr>
          <w:lang w:val="es-ES_tradnl"/>
        </w:rPr>
      </w:pPr>
    </w:p>
    <w:p w:rsidR="00155FA5" w:rsidRPr="001324A5" w:rsidRDefault="00155FA5" w:rsidP="00A0318E">
      <w:pPr>
        <w:spacing w:after="220"/>
        <w:rPr>
          <w:lang w:val="es-ES_tradnl"/>
        </w:rPr>
        <w:sectPr w:rsidR="00155FA5" w:rsidRPr="001324A5" w:rsidSect="008803D4">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E703C3" w:rsidRPr="00892D5D" w:rsidRDefault="00A0318E" w:rsidP="00A557C9">
      <w:pPr>
        <w:jc w:val="center"/>
        <w:rPr>
          <w:b/>
          <w:bCs/>
          <w:sz w:val="28"/>
          <w:szCs w:val="28"/>
          <w:lang w:val="es-ES_tradnl"/>
        </w:rPr>
      </w:pPr>
      <w:bookmarkStart w:id="6" w:name="_Hlk77853057"/>
      <w:r w:rsidRPr="00892D5D">
        <w:rPr>
          <w:b/>
          <w:bCs/>
          <w:sz w:val="28"/>
          <w:szCs w:val="28"/>
          <w:lang w:val="es-ES_tradnl"/>
        </w:rPr>
        <w:lastRenderedPageBreak/>
        <w:t>Prop</w:t>
      </w:r>
      <w:r w:rsidR="00E703C3" w:rsidRPr="00892D5D">
        <w:rPr>
          <w:b/>
          <w:bCs/>
          <w:sz w:val="28"/>
          <w:szCs w:val="28"/>
          <w:lang w:val="es-ES_tradnl"/>
        </w:rPr>
        <w:t>uesta presentada en nombre del Grupo de Países de Europa Central y el Báltico</w:t>
      </w:r>
      <w:r w:rsidRPr="00892D5D">
        <w:rPr>
          <w:b/>
          <w:bCs/>
          <w:sz w:val="28"/>
          <w:szCs w:val="28"/>
          <w:lang w:val="es-ES_tradnl"/>
        </w:rPr>
        <w:t xml:space="preserve"> </w:t>
      </w:r>
      <w:r w:rsidR="00E703C3" w:rsidRPr="00892D5D">
        <w:rPr>
          <w:b/>
          <w:bCs/>
          <w:sz w:val="28"/>
          <w:szCs w:val="28"/>
          <w:lang w:val="es-ES_tradnl"/>
        </w:rPr>
        <w:t>sobre la</w:t>
      </w:r>
      <w:r w:rsidRPr="00892D5D">
        <w:rPr>
          <w:b/>
          <w:bCs/>
          <w:sz w:val="28"/>
          <w:szCs w:val="28"/>
          <w:lang w:val="es-ES_tradnl"/>
        </w:rPr>
        <w:t xml:space="preserve"> </w:t>
      </w:r>
      <w:r w:rsidR="00A557C9" w:rsidRPr="00892D5D">
        <w:rPr>
          <w:b/>
          <w:bCs/>
          <w:sz w:val="28"/>
          <w:szCs w:val="28"/>
          <w:lang w:val="es-ES_tradnl"/>
        </w:rPr>
        <w:t>asignación</w:t>
      </w:r>
      <w:r w:rsidRPr="00892D5D">
        <w:rPr>
          <w:b/>
          <w:bCs/>
          <w:sz w:val="28"/>
          <w:szCs w:val="28"/>
          <w:lang w:val="es-ES_tradnl"/>
        </w:rPr>
        <w:t xml:space="preserve"> </w:t>
      </w:r>
      <w:r w:rsidR="008D4BA4" w:rsidRPr="00892D5D">
        <w:rPr>
          <w:b/>
          <w:bCs/>
          <w:sz w:val="28"/>
          <w:szCs w:val="28"/>
          <w:lang w:val="es-ES_tradnl"/>
        </w:rPr>
        <w:t xml:space="preserve">de las plazas vacantes para la elección </w:t>
      </w:r>
      <w:r w:rsidR="00A557C9" w:rsidRPr="00892D5D">
        <w:rPr>
          <w:b/>
          <w:bCs/>
          <w:sz w:val="28"/>
          <w:szCs w:val="28"/>
          <w:lang w:val="es-ES_tradnl"/>
        </w:rPr>
        <w:t>de la composición del Comité de Coordinación de la OMPI</w:t>
      </w:r>
    </w:p>
    <w:p w:rsidR="00E703C3" w:rsidRPr="00892D5D" w:rsidRDefault="00E703C3" w:rsidP="00A0318E">
      <w:pPr>
        <w:rPr>
          <w:b/>
          <w:bCs/>
          <w:szCs w:val="22"/>
          <w:lang w:val="es-ES_tradnl"/>
        </w:rPr>
      </w:pPr>
    </w:p>
    <w:p w:rsidR="00E703C3" w:rsidRPr="00892D5D" w:rsidRDefault="00E703C3" w:rsidP="00A0318E">
      <w:pPr>
        <w:jc w:val="both"/>
        <w:rPr>
          <w:szCs w:val="22"/>
          <w:lang w:val="es-ES_tradnl"/>
        </w:rPr>
      </w:pPr>
    </w:p>
    <w:p w:rsidR="00E703C3" w:rsidRPr="00892D5D" w:rsidRDefault="00D2770A" w:rsidP="00155FA5">
      <w:pPr>
        <w:pStyle w:val="ListParagraph"/>
        <w:numPr>
          <w:ilvl w:val="0"/>
          <w:numId w:val="9"/>
        </w:numPr>
        <w:ind w:left="567" w:hanging="567"/>
        <w:jc w:val="both"/>
        <w:rPr>
          <w:szCs w:val="22"/>
          <w:lang w:val="es-ES_tradnl"/>
        </w:rPr>
      </w:pPr>
      <w:r w:rsidRPr="00892D5D">
        <w:rPr>
          <w:szCs w:val="22"/>
          <w:lang w:val="es-ES_tradnl"/>
        </w:rPr>
        <w:t xml:space="preserve">En las Asambleas de la OMPI </w:t>
      </w:r>
      <w:r w:rsidR="008D4BA4" w:rsidRPr="00892D5D">
        <w:rPr>
          <w:szCs w:val="22"/>
          <w:lang w:val="es-ES_tradnl"/>
        </w:rPr>
        <w:t xml:space="preserve">de 2019, </w:t>
      </w:r>
      <w:r w:rsidRPr="00892D5D">
        <w:rPr>
          <w:szCs w:val="22"/>
          <w:lang w:val="es-ES_tradnl"/>
        </w:rPr>
        <w:t xml:space="preserve">se decidió “que el presidente de la Asamblea General de la OMPI emprenda consultas con los Estados miembros en las Asambleas de la OMPI de 2021 en lo relativo a la asignación de </w:t>
      </w:r>
      <w:r w:rsidR="008D4BA4" w:rsidRPr="00892D5D">
        <w:rPr>
          <w:szCs w:val="22"/>
          <w:lang w:val="es-ES_tradnl"/>
        </w:rPr>
        <w:t>las plazas</w:t>
      </w:r>
      <w:r w:rsidRPr="00892D5D">
        <w:rPr>
          <w:szCs w:val="22"/>
          <w:lang w:val="es-ES_tradnl"/>
        </w:rPr>
        <w:t xml:space="preserve"> vacantes, para proceder a la elección de la composición del Comité de Coordinación de la OMPI y de los Comités Ejecutivos de las Uniones de París y de Berna en las mismas Asambleas de la OMPI.”</w:t>
      </w:r>
      <w:r w:rsidR="00A0318E" w:rsidRPr="00892D5D">
        <w:rPr>
          <w:szCs w:val="22"/>
          <w:lang w:val="es-ES_tradnl"/>
        </w:rPr>
        <w:t xml:space="preserve"> </w:t>
      </w:r>
      <w:r w:rsidR="008D4BA4" w:rsidRPr="00892D5D">
        <w:rPr>
          <w:szCs w:val="22"/>
          <w:lang w:val="es-ES_tradnl"/>
        </w:rPr>
        <w:t>Teniendo en cuenta las recientes adhesiones</w:t>
      </w:r>
      <w:r w:rsidR="00A0318E" w:rsidRPr="00892D5D">
        <w:rPr>
          <w:szCs w:val="22"/>
          <w:lang w:val="es-ES_tradnl"/>
        </w:rPr>
        <w:t xml:space="preserve">, </w:t>
      </w:r>
      <w:r w:rsidR="008D4BA4" w:rsidRPr="00892D5D">
        <w:rPr>
          <w:szCs w:val="22"/>
          <w:lang w:val="es-ES_tradnl"/>
        </w:rPr>
        <w:t>la</w:t>
      </w:r>
      <w:r w:rsidR="00A0318E" w:rsidRPr="00892D5D">
        <w:rPr>
          <w:szCs w:val="22"/>
          <w:lang w:val="es-ES_tradnl"/>
        </w:rPr>
        <w:t xml:space="preserve"> </w:t>
      </w:r>
      <w:r w:rsidR="00EA57B8" w:rsidRPr="00892D5D">
        <w:rPr>
          <w:szCs w:val="22"/>
          <w:lang w:val="es-ES_tradnl"/>
        </w:rPr>
        <w:t>composición</w:t>
      </w:r>
      <w:r w:rsidR="00A0318E" w:rsidRPr="00892D5D">
        <w:rPr>
          <w:szCs w:val="22"/>
          <w:lang w:val="es-ES_tradnl"/>
        </w:rPr>
        <w:t xml:space="preserve"> </w:t>
      </w:r>
      <w:r w:rsidR="008D4BA4" w:rsidRPr="00892D5D">
        <w:rPr>
          <w:szCs w:val="22"/>
          <w:lang w:val="es-ES_tradnl"/>
        </w:rPr>
        <w:t xml:space="preserve">del </w:t>
      </w:r>
      <w:r w:rsidRPr="00892D5D">
        <w:rPr>
          <w:szCs w:val="22"/>
          <w:lang w:val="es-ES_tradnl"/>
        </w:rPr>
        <w:t xml:space="preserve">Comité de Coordinación </w:t>
      </w:r>
      <w:r w:rsidR="008D4BA4" w:rsidRPr="00892D5D">
        <w:rPr>
          <w:szCs w:val="22"/>
          <w:lang w:val="es-ES_tradnl"/>
        </w:rPr>
        <w:t xml:space="preserve">debería </w:t>
      </w:r>
      <w:r w:rsidR="00A0318E" w:rsidRPr="00892D5D">
        <w:rPr>
          <w:szCs w:val="22"/>
          <w:lang w:val="es-ES_tradnl"/>
        </w:rPr>
        <w:t>consist</w:t>
      </w:r>
      <w:r w:rsidR="008D4BA4" w:rsidRPr="00892D5D">
        <w:rPr>
          <w:szCs w:val="22"/>
          <w:lang w:val="es-ES_tradnl"/>
        </w:rPr>
        <w:t>ir en</w:t>
      </w:r>
      <w:r w:rsidR="00A0318E" w:rsidRPr="00892D5D">
        <w:rPr>
          <w:szCs w:val="22"/>
          <w:lang w:val="es-ES_tradnl"/>
        </w:rPr>
        <w:t xml:space="preserve"> 90</w:t>
      </w:r>
      <w:r w:rsidR="008D4BA4" w:rsidRPr="00892D5D">
        <w:rPr>
          <w:szCs w:val="22"/>
          <w:lang w:val="es-ES_tradnl"/>
        </w:rPr>
        <w:t xml:space="preserve"> miembros, a la fecha</w:t>
      </w:r>
      <w:r w:rsidR="00A0318E" w:rsidRPr="00892D5D">
        <w:rPr>
          <w:szCs w:val="22"/>
          <w:lang w:val="es-ES_tradnl"/>
        </w:rPr>
        <w:t xml:space="preserve">. </w:t>
      </w:r>
      <w:r w:rsidR="008D4BA4" w:rsidRPr="00892D5D">
        <w:rPr>
          <w:szCs w:val="22"/>
          <w:lang w:val="es-ES_tradnl"/>
        </w:rPr>
        <w:t>Por lo tanto</w:t>
      </w:r>
      <w:r w:rsidR="00A0318E" w:rsidRPr="00892D5D">
        <w:rPr>
          <w:szCs w:val="22"/>
          <w:lang w:val="es-ES_tradnl"/>
        </w:rPr>
        <w:t xml:space="preserve">, </w:t>
      </w:r>
      <w:r w:rsidR="008D4BA4" w:rsidRPr="00892D5D">
        <w:rPr>
          <w:szCs w:val="22"/>
          <w:lang w:val="es-ES_tradnl"/>
        </w:rPr>
        <w:t>es preciso asignar siete plazas vacantes adicionales</w:t>
      </w:r>
      <w:r w:rsidR="00BA2FE1" w:rsidRPr="00892D5D">
        <w:rPr>
          <w:szCs w:val="22"/>
          <w:lang w:val="es-ES_tradnl"/>
        </w:rPr>
        <w:t xml:space="preserve">, en comparación con las </w:t>
      </w:r>
      <w:r w:rsidR="00A0318E" w:rsidRPr="00892D5D">
        <w:rPr>
          <w:szCs w:val="22"/>
          <w:lang w:val="es-ES_tradnl"/>
        </w:rPr>
        <w:t xml:space="preserve">83 </w:t>
      </w:r>
      <w:r w:rsidR="00BA2FE1" w:rsidRPr="00892D5D">
        <w:rPr>
          <w:szCs w:val="22"/>
          <w:lang w:val="es-ES_tradnl"/>
        </w:rPr>
        <w:t xml:space="preserve">plazas cubiertas durante las Asambleas de la </w:t>
      </w:r>
      <w:r w:rsidRPr="00892D5D">
        <w:rPr>
          <w:szCs w:val="22"/>
          <w:lang w:val="es-ES_tradnl"/>
        </w:rPr>
        <w:t>OMPI</w:t>
      </w:r>
      <w:r w:rsidR="00A0318E" w:rsidRPr="00892D5D">
        <w:rPr>
          <w:szCs w:val="22"/>
          <w:lang w:val="es-ES_tradnl"/>
        </w:rPr>
        <w:t xml:space="preserve"> </w:t>
      </w:r>
      <w:r w:rsidR="00BA2FE1" w:rsidRPr="00892D5D">
        <w:rPr>
          <w:szCs w:val="22"/>
          <w:lang w:val="es-ES_tradnl"/>
        </w:rPr>
        <w:t>de 2021.</w:t>
      </w:r>
    </w:p>
    <w:p w:rsidR="00E703C3" w:rsidRPr="00892D5D" w:rsidRDefault="00E703C3" w:rsidP="00155FA5">
      <w:pPr>
        <w:pStyle w:val="ListParagraph"/>
        <w:ind w:left="567"/>
        <w:jc w:val="both"/>
        <w:rPr>
          <w:szCs w:val="22"/>
          <w:lang w:val="es-ES_tradnl"/>
        </w:rPr>
      </w:pPr>
    </w:p>
    <w:p w:rsidR="00E703C3" w:rsidRPr="00155FA5" w:rsidRDefault="00D2770A" w:rsidP="00155FA5">
      <w:pPr>
        <w:pStyle w:val="ListParagraph"/>
        <w:numPr>
          <w:ilvl w:val="0"/>
          <w:numId w:val="9"/>
        </w:numPr>
        <w:ind w:left="567" w:hanging="567"/>
        <w:jc w:val="both"/>
        <w:rPr>
          <w:szCs w:val="22"/>
          <w:lang w:val="es-ES_tradnl"/>
        </w:rPr>
      </w:pPr>
      <w:r w:rsidRPr="00155FA5">
        <w:rPr>
          <w:szCs w:val="22"/>
          <w:lang w:val="es-ES_tradnl"/>
        </w:rPr>
        <w:t>El Grupo de Estados de Europa Central y el Báltico toma nota de que en el artículo 14.4) del Convenio de París y en el artículo 23.4) del Convenio de Berna se establece que “en la elección de los miembros del Comité Ejecutivo, la Asamblea tendrá en cuenta una distribución geográfica equitativa y la necesidad de que todos los países que formen parte de los Arreglos particulares que pudieran ser establecidos en relación con la Unión figuren entre los países que constituyan el Comité Ejecutivo.”</w:t>
      </w:r>
    </w:p>
    <w:p w:rsidR="00E703C3" w:rsidRPr="00155FA5" w:rsidRDefault="00E703C3" w:rsidP="00155FA5">
      <w:pPr>
        <w:pStyle w:val="ListParagraph"/>
        <w:ind w:left="567"/>
        <w:jc w:val="both"/>
        <w:rPr>
          <w:szCs w:val="22"/>
          <w:lang w:val="es-ES_tradnl"/>
        </w:rPr>
      </w:pPr>
    </w:p>
    <w:p w:rsidR="00E703C3" w:rsidRPr="00892D5D" w:rsidRDefault="00F261F1" w:rsidP="00155FA5">
      <w:pPr>
        <w:pStyle w:val="ListParagraph"/>
        <w:numPr>
          <w:ilvl w:val="0"/>
          <w:numId w:val="9"/>
        </w:numPr>
        <w:ind w:left="567" w:hanging="567"/>
        <w:jc w:val="both"/>
        <w:rPr>
          <w:szCs w:val="22"/>
          <w:lang w:val="es-ES_tradnl"/>
        </w:rPr>
      </w:pPr>
      <w:r w:rsidRPr="00892D5D">
        <w:rPr>
          <w:szCs w:val="22"/>
          <w:lang w:val="es-ES_tradnl"/>
        </w:rPr>
        <w:t>Hasta el momento, no se ha alcanzado un acuerdo acerca de la composición del Comité de Coordinación</w:t>
      </w:r>
      <w:r w:rsidR="00A0318E" w:rsidRPr="00892D5D">
        <w:rPr>
          <w:szCs w:val="22"/>
          <w:lang w:val="es-ES_tradnl"/>
        </w:rPr>
        <w:t xml:space="preserve">. </w:t>
      </w:r>
      <w:r w:rsidRPr="00892D5D">
        <w:rPr>
          <w:szCs w:val="22"/>
          <w:lang w:val="es-ES_tradnl"/>
        </w:rPr>
        <w:t>Con</w:t>
      </w:r>
      <w:r w:rsidR="00A0318E" w:rsidRPr="00892D5D">
        <w:rPr>
          <w:szCs w:val="22"/>
          <w:lang w:val="es-ES_tradnl"/>
        </w:rPr>
        <w:t xml:space="preserve"> 83 </w:t>
      </w:r>
      <w:r w:rsidRPr="00892D5D">
        <w:rPr>
          <w:szCs w:val="22"/>
          <w:lang w:val="es-ES_tradnl"/>
        </w:rPr>
        <w:t>plazas y su asignación irregular entre los grupos</w:t>
      </w:r>
      <w:r w:rsidR="00A0318E" w:rsidRPr="00892D5D">
        <w:rPr>
          <w:szCs w:val="22"/>
          <w:lang w:val="es-ES_tradnl"/>
        </w:rPr>
        <w:t xml:space="preserve"> regional</w:t>
      </w:r>
      <w:r w:rsidR="00895DCA" w:rsidRPr="00892D5D">
        <w:rPr>
          <w:szCs w:val="22"/>
          <w:lang w:val="es-ES_tradnl"/>
        </w:rPr>
        <w:t>e</w:t>
      </w:r>
      <w:r w:rsidRPr="00892D5D">
        <w:rPr>
          <w:szCs w:val="22"/>
          <w:lang w:val="es-ES_tradnl"/>
        </w:rPr>
        <w:t>s</w:t>
      </w:r>
      <w:r w:rsidR="001324A5" w:rsidRPr="00892D5D">
        <w:rPr>
          <w:szCs w:val="22"/>
          <w:lang w:val="es-ES_tradnl"/>
        </w:rPr>
        <w:t>,</w:t>
      </w:r>
      <w:r w:rsidR="00A0318E" w:rsidRPr="00892D5D">
        <w:rPr>
          <w:szCs w:val="22"/>
          <w:lang w:val="es-ES_tradnl"/>
        </w:rPr>
        <w:t xml:space="preserve"> </w:t>
      </w:r>
      <w:r w:rsidR="00895DCA" w:rsidRPr="00892D5D">
        <w:rPr>
          <w:szCs w:val="22"/>
          <w:lang w:val="es-ES_tradnl"/>
        </w:rPr>
        <w:t xml:space="preserve">y con el fin de reanudar las consultas para que se tengan en cuenta las novedades y los cambios introducidos en la composición de los grupos </w:t>
      </w:r>
      <w:r w:rsidR="00A0318E" w:rsidRPr="00892D5D">
        <w:rPr>
          <w:szCs w:val="22"/>
          <w:lang w:val="es-ES_tradnl"/>
        </w:rPr>
        <w:t>regional</w:t>
      </w:r>
      <w:r w:rsidR="00895DCA" w:rsidRPr="00892D5D">
        <w:rPr>
          <w:szCs w:val="22"/>
          <w:lang w:val="es-ES_tradnl"/>
        </w:rPr>
        <w:t>es</w:t>
      </w:r>
      <w:r w:rsidR="00A0318E" w:rsidRPr="00892D5D">
        <w:rPr>
          <w:szCs w:val="22"/>
          <w:lang w:val="es-ES_tradnl"/>
        </w:rPr>
        <w:t xml:space="preserve">, </w:t>
      </w:r>
      <w:r w:rsidR="001324A5" w:rsidRPr="00892D5D">
        <w:rPr>
          <w:szCs w:val="22"/>
          <w:lang w:val="es-ES_tradnl"/>
        </w:rPr>
        <w:t>es necesario mantener</w:t>
      </w:r>
      <w:r w:rsidR="00895DCA" w:rsidRPr="00892D5D">
        <w:rPr>
          <w:szCs w:val="22"/>
          <w:lang w:val="es-ES_tradnl"/>
        </w:rPr>
        <w:t xml:space="preserve"> debates acerca de la composición del Comité de Coordinación</w:t>
      </w:r>
      <w:r w:rsidR="00A0318E" w:rsidRPr="00892D5D">
        <w:rPr>
          <w:szCs w:val="22"/>
          <w:lang w:val="es-ES_tradnl"/>
        </w:rPr>
        <w:t>, bas</w:t>
      </w:r>
      <w:r w:rsidR="00895DCA" w:rsidRPr="00892D5D">
        <w:rPr>
          <w:szCs w:val="22"/>
          <w:lang w:val="es-ES_tradnl"/>
        </w:rPr>
        <w:t>ada en el equilibrio geográfico, a la luz del Artículo</w:t>
      </w:r>
      <w:r w:rsidR="00A0318E" w:rsidRPr="00892D5D">
        <w:rPr>
          <w:szCs w:val="22"/>
          <w:lang w:val="es-ES_tradnl"/>
        </w:rPr>
        <w:t xml:space="preserve"> 14</w:t>
      </w:r>
      <w:r w:rsidR="00895DCA" w:rsidRPr="00892D5D">
        <w:rPr>
          <w:szCs w:val="22"/>
          <w:lang w:val="es-ES_tradnl"/>
        </w:rPr>
        <w:t>.</w:t>
      </w:r>
      <w:r w:rsidR="00A0318E" w:rsidRPr="00892D5D">
        <w:rPr>
          <w:szCs w:val="22"/>
          <w:lang w:val="es-ES_tradnl"/>
        </w:rPr>
        <w:t xml:space="preserve">4) </w:t>
      </w:r>
      <w:r w:rsidR="00895DCA" w:rsidRPr="00892D5D">
        <w:rPr>
          <w:szCs w:val="22"/>
          <w:lang w:val="es-ES_tradnl"/>
        </w:rPr>
        <w:t>del convenio de París y el Artículo</w:t>
      </w:r>
      <w:r w:rsidR="00A0318E" w:rsidRPr="00892D5D">
        <w:rPr>
          <w:szCs w:val="22"/>
          <w:lang w:val="es-ES_tradnl"/>
        </w:rPr>
        <w:t xml:space="preserve"> 23</w:t>
      </w:r>
      <w:r w:rsidR="00895DCA" w:rsidRPr="00892D5D">
        <w:rPr>
          <w:szCs w:val="22"/>
          <w:lang w:val="es-ES_tradnl"/>
        </w:rPr>
        <w:t>.</w:t>
      </w:r>
      <w:r w:rsidR="00A0318E" w:rsidRPr="00892D5D">
        <w:rPr>
          <w:szCs w:val="22"/>
          <w:lang w:val="es-ES_tradnl"/>
        </w:rPr>
        <w:t xml:space="preserve">4) </w:t>
      </w:r>
      <w:r w:rsidR="00895DCA" w:rsidRPr="00892D5D">
        <w:rPr>
          <w:szCs w:val="22"/>
          <w:lang w:val="es-ES_tradnl"/>
        </w:rPr>
        <w:t>del Convenio de Berna</w:t>
      </w:r>
      <w:r w:rsidR="00A0318E" w:rsidRPr="00892D5D">
        <w:rPr>
          <w:szCs w:val="22"/>
          <w:lang w:val="es-ES_tradnl"/>
        </w:rPr>
        <w:t>.</w:t>
      </w:r>
    </w:p>
    <w:p w:rsidR="00E703C3" w:rsidRPr="00892D5D" w:rsidRDefault="00E703C3" w:rsidP="00155FA5">
      <w:pPr>
        <w:pStyle w:val="ListParagraph"/>
        <w:ind w:left="567"/>
        <w:jc w:val="both"/>
        <w:rPr>
          <w:szCs w:val="22"/>
          <w:lang w:val="es-ES_tradnl"/>
        </w:rPr>
      </w:pPr>
    </w:p>
    <w:p w:rsidR="00E703C3" w:rsidRPr="00155FA5" w:rsidRDefault="00B81D31" w:rsidP="00155FA5">
      <w:pPr>
        <w:pStyle w:val="ListParagraph"/>
        <w:numPr>
          <w:ilvl w:val="0"/>
          <w:numId w:val="9"/>
        </w:numPr>
        <w:ind w:left="567" w:hanging="567"/>
        <w:jc w:val="both"/>
        <w:rPr>
          <w:szCs w:val="22"/>
          <w:lang w:val="es-ES_tradnl"/>
        </w:rPr>
      </w:pPr>
      <w:r w:rsidRPr="00892D5D">
        <w:rPr>
          <w:szCs w:val="22"/>
          <w:lang w:val="es-ES_tradnl"/>
        </w:rPr>
        <w:t>El Grupo de Grupo de Estados de Europa Central y el Báltico</w:t>
      </w:r>
      <w:r w:rsidR="00A0318E" w:rsidRPr="00892D5D">
        <w:rPr>
          <w:szCs w:val="22"/>
          <w:lang w:val="es-ES_tradnl"/>
        </w:rPr>
        <w:t xml:space="preserve"> </w:t>
      </w:r>
      <w:r w:rsidR="0025613A" w:rsidRPr="00892D5D">
        <w:rPr>
          <w:szCs w:val="22"/>
          <w:lang w:val="es-ES_tradnl"/>
        </w:rPr>
        <w:t>señala que, de conformidad con los Artículos</w:t>
      </w:r>
      <w:r w:rsidR="00A0318E" w:rsidRPr="00892D5D">
        <w:rPr>
          <w:szCs w:val="22"/>
          <w:lang w:val="es-ES_tradnl"/>
        </w:rPr>
        <w:t xml:space="preserve"> 8</w:t>
      </w:r>
      <w:r w:rsidR="0025613A" w:rsidRPr="00892D5D">
        <w:rPr>
          <w:szCs w:val="22"/>
          <w:lang w:val="es-ES_tradnl"/>
        </w:rPr>
        <w:t>.</w:t>
      </w:r>
      <w:r w:rsidR="00A0318E" w:rsidRPr="00892D5D">
        <w:rPr>
          <w:szCs w:val="22"/>
          <w:lang w:val="es-ES_tradnl"/>
        </w:rPr>
        <w:t xml:space="preserve">1)a) </w:t>
      </w:r>
      <w:r w:rsidR="0025613A" w:rsidRPr="00892D5D">
        <w:rPr>
          <w:szCs w:val="22"/>
          <w:lang w:val="es-ES_tradnl"/>
        </w:rPr>
        <w:t>y </w:t>
      </w:r>
      <w:r w:rsidR="00A0318E" w:rsidRPr="00892D5D">
        <w:rPr>
          <w:szCs w:val="22"/>
          <w:lang w:val="es-ES_tradnl"/>
        </w:rPr>
        <w:t>11</w:t>
      </w:r>
      <w:r w:rsidR="0025613A" w:rsidRPr="00892D5D">
        <w:rPr>
          <w:szCs w:val="22"/>
          <w:lang w:val="es-ES_tradnl"/>
        </w:rPr>
        <w:t>.9)</w:t>
      </w:r>
      <w:r w:rsidR="00A0318E" w:rsidRPr="00892D5D">
        <w:rPr>
          <w:szCs w:val="22"/>
          <w:lang w:val="es-ES_tradnl"/>
        </w:rPr>
        <w:t xml:space="preserve">a) </w:t>
      </w:r>
      <w:r w:rsidR="0025613A" w:rsidRPr="00892D5D">
        <w:rPr>
          <w:szCs w:val="22"/>
          <w:lang w:val="es-ES_tradnl"/>
        </w:rPr>
        <w:t>del Convenio de la OMPI</w:t>
      </w:r>
      <w:r w:rsidR="00A0318E" w:rsidRPr="00892D5D">
        <w:rPr>
          <w:szCs w:val="22"/>
          <w:lang w:val="es-ES_tradnl"/>
        </w:rPr>
        <w:t xml:space="preserve">, </w:t>
      </w:r>
      <w:r w:rsidR="0025613A" w:rsidRPr="00892D5D">
        <w:rPr>
          <w:szCs w:val="22"/>
          <w:lang w:val="es-ES_tradnl"/>
        </w:rPr>
        <w:t>el Comité de Coordinación está formado por las siguientes categorías de miembros:</w:t>
      </w:r>
    </w:p>
    <w:p w:rsidR="0025613A" w:rsidRPr="00892D5D" w:rsidRDefault="0025613A" w:rsidP="00155FA5">
      <w:pPr>
        <w:pStyle w:val="ListParagraph"/>
        <w:ind w:left="567"/>
        <w:jc w:val="both"/>
        <w:rPr>
          <w:szCs w:val="22"/>
          <w:lang w:val="es-ES_tradnl"/>
        </w:rPr>
      </w:pPr>
    </w:p>
    <w:p w:rsidR="00E703C3" w:rsidRPr="00892D5D" w:rsidRDefault="0025613A" w:rsidP="00155FA5">
      <w:pPr>
        <w:numPr>
          <w:ilvl w:val="1"/>
          <w:numId w:val="7"/>
        </w:numPr>
        <w:spacing w:line="259" w:lineRule="auto"/>
        <w:ind w:left="1134" w:hanging="567"/>
        <w:jc w:val="both"/>
        <w:rPr>
          <w:szCs w:val="22"/>
          <w:lang w:val="es-ES_tradnl"/>
        </w:rPr>
      </w:pPr>
      <w:r w:rsidRPr="00892D5D">
        <w:rPr>
          <w:szCs w:val="22"/>
          <w:lang w:val="es-ES_tradnl"/>
        </w:rPr>
        <w:t>los miembros ordinarios elegidos del Comité Ejecutivo de la Unión de París y del Comité Ejecutivo de la Unión de Berna;</w:t>
      </w:r>
    </w:p>
    <w:p w:rsidR="00E703C3" w:rsidRPr="00892D5D" w:rsidRDefault="0025613A" w:rsidP="00155FA5">
      <w:pPr>
        <w:numPr>
          <w:ilvl w:val="1"/>
          <w:numId w:val="7"/>
        </w:numPr>
        <w:spacing w:line="259" w:lineRule="auto"/>
        <w:ind w:left="1134" w:hanging="567"/>
        <w:jc w:val="both"/>
        <w:rPr>
          <w:szCs w:val="22"/>
          <w:lang w:val="es-ES_tradnl"/>
        </w:rPr>
      </w:pPr>
      <w:r w:rsidRPr="00892D5D">
        <w:rPr>
          <w:szCs w:val="22"/>
          <w:lang w:val="es-ES_tradnl"/>
        </w:rPr>
        <w:t>Suiza, en tanto que Estado en cuyo territorio tiene su Sede la Organización</w:t>
      </w:r>
      <w:r w:rsidR="00410BF7" w:rsidRPr="00892D5D">
        <w:rPr>
          <w:szCs w:val="22"/>
          <w:lang w:val="es-ES_tradnl"/>
        </w:rPr>
        <w:t>, como miembro de oficio</w:t>
      </w:r>
      <w:r w:rsidRPr="00892D5D">
        <w:rPr>
          <w:szCs w:val="22"/>
          <w:lang w:val="es-ES_tradnl"/>
        </w:rPr>
        <w:t>;</w:t>
      </w:r>
      <w:r w:rsidR="00A0318E" w:rsidRPr="00892D5D">
        <w:rPr>
          <w:szCs w:val="22"/>
          <w:lang w:val="es-ES_tradnl"/>
        </w:rPr>
        <w:t xml:space="preserve"> </w:t>
      </w:r>
      <w:r w:rsidR="00410BF7" w:rsidRPr="00892D5D">
        <w:rPr>
          <w:szCs w:val="22"/>
          <w:lang w:val="es-ES_tradnl"/>
        </w:rPr>
        <w:t>y</w:t>
      </w:r>
    </w:p>
    <w:p w:rsidR="00E703C3" w:rsidRPr="00892D5D" w:rsidRDefault="00410BF7" w:rsidP="00155FA5">
      <w:pPr>
        <w:numPr>
          <w:ilvl w:val="1"/>
          <w:numId w:val="7"/>
        </w:numPr>
        <w:spacing w:line="259" w:lineRule="auto"/>
        <w:ind w:left="1134" w:hanging="567"/>
        <w:jc w:val="both"/>
        <w:rPr>
          <w:szCs w:val="22"/>
          <w:lang w:val="es-ES_tradnl"/>
        </w:rPr>
      </w:pPr>
      <w:r w:rsidRPr="00892D5D">
        <w:rPr>
          <w:szCs w:val="22"/>
          <w:lang w:val="es-ES_tradnl"/>
        </w:rPr>
        <w:t>un cuarto de los Estados parte en el Convenio de la OMPI que no son miembros de ninguna de las Uniones</w:t>
      </w:r>
      <w:r w:rsidR="00391774" w:rsidRPr="00892D5D">
        <w:rPr>
          <w:szCs w:val="22"/>
          <w:lang w:val="es-ES_tradnl"/>
        </w:rPr>
        <w:t xml:space="preserve"> administradas por la OMPI</w:t>
      </w:r>
      <w:r w:rsidRPr="00892D5D">
        <w:rPr>
          <w:szCs w:val="22"/>
          <w:lang w:val="es-ES_tradnl"/>
        </w:rPr>
        <w:t xml:space="preserve">, que han sido designados por la Conferencia de la OMPI y que participan en el Comité de Coordinación de la OMPI como miembros </w:t>
      </w:r>
      <w:r w:rsidR="00EA57B8" w:rsidRPr="00892D5D">
        <w:rPr>
          <w:i/>
          <w:szCs w:val="22"/>
          <w:lang w:val="es-ES_tradnl"/>
        </w:rPr>
        <w:t>ad hoc</w:t>
      </w:r>
      <w:r w:rsidR="00391774" w:rsidRPr="00892D5D">
        <w:rPr>
          <w:szCs w:val="22"/>
          <w:lang w:val="es-ES_tradnl"/>
        </w:rPr>
        <w:t>.</w:t>
      </w:r>
    </w:p>
    <w:p w:rsidR="00E703C3" w:rsidRPr="00892D5D" w:rsidRDefault="00E703C3" w:rsidP="00A0318E">
      <w:pPr>
        <w:spacing w:line="259" w:lineRule="auto"/>
        <w:jc w:val="both"/>
        <w:rPr>
          <w:szCs w:val="22"/>
          <w:lang w:val="es-ES_tradnl"/>
        </w:rPr>
      </w:pPr>
    </w:p>
    <w:p w:rsidR="00E703C3" w:rsidRPr="00892D5D" w:rsidRDefault="00F544EE" w:rsidP="00155FA5">
      <w:pPr>
        <w:numPr>
          <w:ilvl w:val="0"/>
          <w:numId w:val="9"/>
        </w:numPr>
        <w:spacing w:line="259" w:lineRule="auto"/>
        <w:ind w:left="567" w:hanging="567"/>
        <w:rPr>
          <w:szCs w:val="22"/>
          <w:lang w:val="es-ES_tradnl"/>
        </w:rPr>
      </w:pPr>
      <w:r w:rsidRPr="00892D5D">
        <w:rPr>
          <w:szCs w:val="22"/>
          <w:lang w:val="es-ES_tradnl"/>
        </w:rPr>
        <w:t>El Grupo</w:t>
      </w:r>
      <w:r w:rsidR="00B81D31" w:rsidRPr="00892D5D">
        <w:rPr>
          <w:szCs w:val="22"/>
          <w:lang w:val="es-ES_tradnl"/>
        </w:rPr>
        <w:t xml:space="preserve"> de Estados de Europa Central y el Báltico</w:t>
      </w:r>
      <w:r w:rsidR="00A0318E" w:rsidRPr="00892D5D">
        <w:rPr>
          <w:szCs w:val="22"/>
          <w:lang w:val="es-ES_tradnl"/>
        </w:rPr>
        <w:t xml:space="preserve"> </w:t>
      </w:r>
      <w:r w:rsidR="00391774" w:rsidRPr="00892D5D">
        <w:rPr>
          <w:szCs w:val="22"/>
          <w:lang w:val="es-ES_tradnl"/>
        </w:rPr>
        <w:t>desea indicar que</w:t>
      </w:r>
      <w:r w:rsidR="00A0318E" w:rsidRPr="00892D5D">
        <w:rPr>
          <w:szCs w:val="22"/>
          <w:lang w:val="es-ES_tradnl"/>
        </w:rPr>
        <w:t>:</w:t>
      </w:r>
    </w:p>
    <w:p w:rsidR="001324A5" w:rsidRPr="00892D5D" w:rsidRDefault="001324A5" w:rsidP="001324A5">
      <w:pPr>
        <w:spacing w:line="259" w:lineRule="auto"/>
        <w:rPr>
          <w:szCs w:val="22"/>
          <w:lang w:val="es-ES_tradnl"/>
        </w:rPr>
      </w:pPr>
    </w:p>
    <w:p w:rsidR="00E703C3" w:rsidRPr="00892D5D" w:rsidRDefault="00F544EE" w:rsidP="00155FA5">
      <w:pPr>
        <w:pStyle w:val="ListParagraph"/>
        <w:numPr>
          <w:ilvl w:val="0"/>
          <w:numId w:val="10"/>
        </w:numPr>
        <w:spacing w:line="259" w:lineRule="auto"/>
        <w:ind w:left="1134" w:hanging="567"/>
        <w:jc w:val="both"/>
        <w:rPr>
          <w:szCs w:val="22"/>
          <w:lang w:val="es-ES_tradnl"/>
        </w:rPr>
      </w:pPr>
      <w:r w:rsidRPr="00892D5D">
        <w:rPr>
          <w:szCs w:val="22"/>
          <w:lang w:val="es-ES_tradnl"/>
        </w:rPr>
        <w:t xml:space="preserve">todos </w:t>
      </w:r>
      <w:r w:rsidR="00391774" w:rsidRPr="00892D5D">
        <w:rPr>
          <w:szCs w:val="22"/>
          <w:lang w:val="es-ES_tradnl"/>
        </w:rPr>
        <w:t xml:space="preserve">los miembros </w:t>
      </w:r>
      <w:r w:rsidR="00EA57B8" w:rsidRPr="00892D5D">
        <w:rPr>
          <w:szCs w:val="22"/>
          <w:lang w:val="es-ES_tradnl"/>
        </w:rPr>
        <w:t>actuales</w:t>
      </w:r>
      <w:r w:rsidR="00391774" w:rsidRPr="00892D5D">
        <w:rPr>
          <w:szCs w:val="22"/>
          <w:lang w:val="es-ES_tradnl"/>
        </w:rPr>
        <w:t xml:space="preserve"> del Grupo de Estados de Europa Central y el Báltico</w:t>
      </w:r>
      <w:r w:rsidR="00A0318E" w:rsidRPr="00892D5D">
        <w:rPr>
          <w:szCs w:val="22"/>
          <w:lang w:val="es-ES_tradnl"/>
        </w:rPr>
        <w:t xml:space="preserve"> </w:t>
      </w:r>
      <w:r w:rsidR="00391774" w:rsidRPr="00892D5D">
        <w:rPr>
          <w:szCs w:val="22"/>
          <w:lang w:val="es-ES_tradnl"/>
        </w:rPr>
        <w:t>han sido parte, durante mucho tiempo, tanto en el Convenio de París, como en el Convenio de Berna;</w:t>
      </w:r>
    </w:p>
    <w:p w:rsidR="00E703C3" w:rsidRPr="00892D5D" w:rsidRDefault="00F544EE" w:rsidP="00155FA5">
      <w:pPr>
        <w:pStyle w:val="ListParagraph"/>
        <w:numPr>
          <w:ilvl w:val="0"/>
          <w:numId w:val="10"/>
        </w:numPr>
        <w:spacing w:line="259" w:lineRule="auto"/>
        <w:ind w:left="1134" w:hanging="567"/>
        <w:jc w:val="both"/>
        <w:rPr>
          <w:szCs w:val="22"/>
          <w:lang w:val="es-ES_tradnl"/>
        </w:rPr>
      </w:pPr>
      <w:r w:rsidRPr="00892D5D">
        <w:rPr>
          <w:szCs w:val="22"/>
          <w:lang w:val="es-ES_tradnl"/>
        </w:rPr>
        <w:t xml:space="preserve">el </w:t>
      </w:r>
      <w:r w:rsidR="00B81D31" w:rsidRPr="00892D5D">
        <w:rPr>
          <w:szCs w:val="22"/>
          <w:lang w:val="es-ES_tradnl"/>
        </w:rPr>
        <w:t>Grupo de Estados de Europa Central y el Báltico</w:t>
      </w:r>
      <w:r w:rsidR="00391774" w:rsidRPr="00892D5D">
        <w:rPr>
          <w:szCs w:val="22"/>
          <w:lang w:val="es-ES_tradnl"/>
        </w:rPr>
        <w:t xml:space="preserve"> –que tiene asignadas seis plazas– sigue estando entre los grupos regionales menos representados en el Comité de Coordinación;</w:t>
      </w:r>
    </w:p>
    <w:p w:rsidR="00E703C3" w:rsidRPr="00892D5D" w:rsidRDefault="00F544EE" w:rsidP="00155FA5">
      <w:pPr>
        <w:pStyle w:val="ListParagraph"/>
        <w:numPr>
          <w:ilvl w:val="0"/>
          <w:numId w:val="10"/>
        </w:numPr>
        <w:spacing w:line="259" w:lineRule="auto"/>
        <w:ind w:left="1134" w:hanging="567"/>
        <w:jc w:val="both"/>
        <w:rPr>
          <w:szCs w:val="22"/>
          <w:lang w:val="es-ES_tradnl"/>
        </w:rPr>
      </w:pPr>
      <w:r w:rsidRPr="00892D5D">
        <w:rPr>
          <w:szCs w:val="22"/>
          <w:lang w:val="es-ES_tradnl"/>
        </w:rPr>
        <w:lastRenderedPageBreak/>
        <w:t xml:space="preserve">la </w:t>
      </w:r>
      <w:r w:rsidR="00391774" w:rsidRPr="00892D5D">
        <w:rPr>
          <w:szCs w:val="22"/>
          <w:lang w:val="es-ES_tradnl"/>
        </w:rPr>
        <w:t xml:space="preserve">infrarrepresentación del </w:t>
      </w:r>
      <w:r w:rsidR="00B81D31" w:rsidRPr="00892D5D">
        <w:rPr>
          <w:szCs w:val="22"/>
          <w:lang w:val="es-ES_tradnl"/>
        </w:rPr>
        <w:t>Grupo de Estados de Europa Central y el Báltico</w:t>
      </w:r>
      <w:r w:rsidR="00A0318E" w:rsidRPr="00892D5D">
        <w:rPr>
          <w:szCs w:val="22"/>
          <w:lang w:val="es-ES_tradnl"/>
        </w:rPr>
        <w:t xml:space="preserve"> </w:t>
      </w:r>
      <w:r w:rsidR="00391774" w:rsidRPr="00892D5D">
        <w:rPr>
          <w:szCs w:val="22"/>
          <w:lang w:val="es-ES_tradnl"/>
        </w:rPr>
        <w:t>e</w:t>
      </w:r>
      <w:r w:rsidR="00A0318E" w:rsidRPr="00892D5D">
        <w:rPr>
          <w:szCs w:val="22"/>
          <w:lang w:val="es-ES_tradnl"/>
        </w:rPr>
        <w:t xml:space="preserve">s </w:t>
      </w:r>
      <w:r w:rsidR="00391774" w:rsidRPr="00892D5D">
        <w:rPr>
          <w:szCs w:val="22"/>
          <w:lang w:val="es-ES_tradnl"/>
        </w:rPr>
        <w:t xml:space="preserve">aún más evidente si se tiene en cuenta la adhesión al Grupo de dos países </w:t>
      </w:r>
      <w:r w:rsidR="00A0318E" w:rsidRPr="00892D5D">
        <w:rPr>
          <w:szCs w:val="22"/>
          <w:lang w:val="es-ES_tradnl"/>
        </w:rPr>
        <w:t xml:space="preserve">(Georgia </w:t>
      </w:r>
      <w:r w:rsidR="00391774" w:rsidRPr="00892D5D">
        <w:rPr>
          <w:szCs w:val="22"/>
          <w:lang w:val="es-ES_tradnl"/>
        </w:rPr>
        <w:t>y Ucrania</w:t>
      </w:r>
      <w:r w:rsidR="00A0318E" w:rsidRPr="00892D5D">
        <w:rPr>
          <w:szCs w:val="22"/>
          <w:lang w:val="es-ES_tradnl"/>
        </w:rPr>
        <w:t xml:space="preserve">) </w:t>
      </w:r>
      <w:r w:rsidR="00391774" w:rsidRPr="00892D5D">
        <w:rPr>
          <w:szCs w:val="22"/>
          <w:lang w:val="es-ES_tradnl"/>
        </w:rPr>
        <w:t>desde</w:t>
      </w:r>
      <w:r w:rsidR="00A0318E" w:rsidRPr="00892D5D">
        <w:rPr>
          <w:szCs w:val="22"/>
          <w:lang w:val="es-ES_tradnl"/>
        </w:rPr>
        <w:t xml:space="preserve"> 2011; </w:t>
      </w:r>
      <w:r w:rsidR="00391774" w:rsidRPr="00892D5D">
        <w:rPr>
          <w:szCs w:val="22"/>
          <w:lang w:val="es-ES_tradnl"/>
        </w:rPr>
        <w:t>sin embargo, a pesar de esos cambios</w:t>
      </w:r>
      <w:r w:rsidR="00A0318E" w:rsidRPr="00892D5D">
        <w:rPr>
          <w:szCs w:val="22"/>
          <w:lang w:val="es-ES_tradnl"/>
        </w:rPr>
        <w:t xml:space="preserve">, </w:t>
      </w:r>
      <w:r w:rsidR="00391774" w:rsidRPr="00892D5D">
        <w:rPr>
          <w:szCs w:val="22"/>
          <w:lang w:val="es-ES_tradnl"/>
        </w:rPr>
        <w:t xml:space="preserve">no </w:t>
      </w:r>
      <w:r w:rsidR="00815CBD" w:rsidRPr="00892D5D">
        <w:rPr>
          <w:szCs w:val="22"/>
          <w:lang w:val="es-ES_tradnl"/>
        </w:rPr>
        <w:t xml:space="preserve">ha aumentado el número de plazas asignadas al </w:t>
      </w:r>
      <w:r w:rsidR="00B81D31" w:rsidRPr="00892D5D">
        <w:rPr>
          <w:szCs w:val="22"/>
          <w:lang w:val="es-ES_tradnl"/>
        </w:rPr>
        <w:t>Grupo de Estados de Europa Central y el Báltico</w:t>
      </w:r>
      <w:r w:rsidR="00A0318E" w:rsidRPr="00892D5D">
        <w:rPr>
          <w:szCs w:val="22"/>
          <w:lang w:val="es-ES_tradnl"/>
        </w:rPr>
        <w:t xml:space="preserve"> </w:t>
      </w:r>
      <w:r w:rsidR="00815CBD" w:rsidRPr="00892D5D">
        <w:rPr>
          <w:szCs w:val="22"/>
          <w:lang w:val="es-ES_tradnl"/>
        </w:rPr>
        <w:t>ni ha disminuido el número de plazas asignadas a los grupos cuyo número de países ha disminuido</w:t>
      </w:r>
      <w:r w:rsidR="00A0318E" w:rsidRPr="00892D5D">
        <w:rPr>
          <w:szCs w:val="22"/>
          <w:lang w:val="es-ES_tradnl"/>
        </w:rPr>
        <w:t>;</w:t>
      </w:r>
    </w:p>
    <w:p w:rsidR="00E703C3" w:rsidRPr="00892D5D" w:rsidRDefault="00F544EE" w:rsidP="00155FA5">
      <w:pPr>
        <w:pStyle w:val="ListParagraph"/>
        <w:numPr>
          <w:ilvl w:val="0"/>
          <w:numId w:val="10"/>
        </w:numPr>
        <w:spacing w:line="259" w:lineRule="auto"/>
        <w:ind w:left="1134" w:hanging="567"/>
        <w:jc w:val="both"/>
        <w:rPr>
          <w:szCs w:val="22"/>
          <w:lang w:val="es-ES_tradnl"/>
        </w:rPr>
      </w:pPr>
      <w:r w:rsidRPr="00892D5D">
        <w:rPr>
          <w:szCs w:val="22"/>
          <w:lang w:val="es-ES_tradnl"/>
        </w:rPr>
        <w:t xml:space="preserve">el </w:t>
      </w:r>
      <w:r w:rsidR="00B81D31" w:rsidRPr="00892D5D">
        <w:rPr>
          <w:szCs w:val="22"/>
          <w:lang w:val="es-ES_tradnl"/>
        </w:rPr>
        <w:t>Grupo de Estados de Europa Central y el Báltico</w:t>
      </w:r>
      <w:r w:rsidR="00A0318E" w:rsidRPr="00892D5D">
        <w:rPr>
          <w:szCs w:val="22"/>
          <w:lang w:val="es-ES_tradnl"/>
        </w:rPr>
        <w:t xml:space="preserve"> </w:t>
      </w:r>
      <w:r w:rsidR="00815CBD" w:rsidRPr="00892D5D">
        <w:rPr>
          <w:szCs w:val="22"/>
          <w:lang w:val="es-ES_tradnl"/>
        </w:rPr>
        <w:t>se encuentra en Segundo lugar en el número total de ratificaciones de los tratados de la OMPI</w:t>
      </w:r>
      <w:r w:rsidR="00A0318E" w:rsidRPr="00892D5D">
        <w:rPr>
          <w:szCs w:val="22"/>
          <w:lang w:val="es-ES_tradnl"/>
        </w:rPr>
        <w:t>. A</w:t>
      </w:r>
      <w:r w:rsidR="00815CBD" w:rsidRPr="00892D5D">
        <w:rPr>
          <w:szCs w:val="22"/>
          <w:lang w:val="es-ES_tradnl"/>
        </w:rPr>
        <w:t>l mismo tiempo</w:t>
      </w:r>
      <w:r w:rsidR="00A0318E" w:rsidRPr="00892D5D">
        <w:rPr>
          <w:szCs w:val="22"/>
          <w:lang w:val="es-ES_tradnl"/>
        </w:rPr>
        <w:t xml:space="preserve">, </w:t>
      </w:r>
      <w:r w:rsidRPr="00892D5D">
        <w:rPr>
          <w:szCs w:val="22"/>
          <w:lang w:val="es-ES_tradnl"/>
        </w:rPr>
        <w:t xml:space="preserve">corresponde a </w:t>
      </w:r>
      <w:r w:rsidR="00815CBD" w:rsidRPr="00892D5D">
        <w:rPr>
          <w:szCs w:val="22"/>
          <w:lang w:val="es-ES_tradnl"/>
        </w:rPr>
        <w:t>los</w:t>
      </w:r>
      <w:r w:rsidR="00CD1671" w:rsidRPr="00892D5D">
        <w:rPr>
          <w:szCs w:val="22"/>
          <w:lang w:val="es-ES_tradnl"/>
        </w:rPr>
        <w:t xml:space="preserve"> </w:t>
      </w:r>
      <w:r w:rsidRPr="00892D5D">
        <w:rPr>
          <w:szCs w:val="22"/>
          <w:lang w:val="es-ES_tradnl"/>
        </w:rPr>
        <w:t xml:space="preserve">Estados miembros del Grupo de </w:t>
      </w:r>
      <w:r w:rsidR="00391774" w:rsidRPr="00892D5D">
        <w:rPr>
          <w:szCs w:val="22"/>
          <w:lang w:val="es-ES_tradnl"/>
        </w:rPr>
        <w:t>Estados de Europa Central y el Báltico</w:t>
      </w:r>
      <w:r w:rsidR="00A0318E" w:rsidRPr="00892D5D">
        <w:rPr>
          <w:szCs w:val="22"/>
          <w:lang w:val="es-ES_tradnl"/>
        </w:rPr>
        <w:t xml:space="preserve"> </w:t>
      </w:r>
      <w:r w:rsidRPr="00892D5D">
        <w:rPr>
          <w:szCs w:val="22"/>
          <w:lang w:val="es-ES_tradnl"/>
        </w:rPr>
        <w:t>el mayor número de ratificaciones por país, en promedio</w:t>
      </w:r>
      <w:r w:rsidR="00A0318E" w:rsidRPr="00892D5D">
        <w:rPr>
          <w:szCs w:val="22"/>
          <w:lang w:val="es-ES_tradnl"/>
        </w:rPr>
        <w:t>;</w:t>
      </w:r>
    </w:p>
    <w:p w:rsidR="00E703C3" w:rsidRPr="00892D5D" w:rsidRDefault="00F544EE" w:rsidP="00155FA5">
      <w:pPr>
        <w:pStyle w:val="ListParagraph"/>
        <w:numPr>
          <w:ilvl w:val="0"/>
          <w:numId w:val="10"/>
        </w:numPr>
        <w:spacing w:line="259" w:lineRule="auto"/>
        <w:ind w:left="1134" w:hanging="567"/>
        <w:jc w:val="both"/>
        <w:rPr>
          <w:szCs w:val="22"/>
          <w:lang w:val="es-ES_tradnl"/>
        </w:rPr>
      </w:pPr>
      <w:r w:rsidRPr="00892D5D">
        <w:rPr>
          <w:szCs w:val="22"/>
          <w:lang w:val="es-ES_tradnl"/>
        </w:rPr>
        <w:t>en los últimos dos decenios se ha observado el aumento continuo de los registros efectuados desde los países del Grupo de</w:t>
      </w:r>
      <w:r w:rsidR="00A0318E" w:rsidRPr="00892D5D">
        <w:rPr>
          <w:szCs w:val="22"/>
          <w:lang w:val="es-ES_tradnl"/>
        </w:rPr>
        <w:t xml:space="preserve"> </w:t>
      </w:r>
      <w:r w:rsidR="00391774" w:rsidRPr="00892D5D">
        <w:rPr>
          <w:szCs w:val="22"/>
          <w:lang w:val="es-ES_tradnl"/>
        </w:rPr>
        <w:t>Estados de Europa Central y el Báltico</w:t>
      </w:r>
      <w:r w:rsidR="00A0318E" w:rsidRPr="00892D5D">
        <w:rPr>
          <w:szCs w:val="22"/>
          <w:lang w:val="es-ES_tradnl"/>
        </w:rPr>
        <w:t xml:space="preserve"> </w:t>
      </w:r>
      <w:r w:rsidRPr="00892D5D">
        <w:rPr>
          <w:szCs w:val="22"/>
          <w:lang w:val="es-ES_tradnl"/>
        </w:rPr>
        <w:t>por conducto de los distintos sistemas de PI.</w:t>
      </w:r>
    </w:p>
    <w:p w:rsidR="00E703C3" w:rsidRPr="00892D5D" w:rsidRDefault="00E703C3" w:rsidP="001324A5">
      <w:pPr>
        <w:spacing w:line="259" w:lineRule="auto"/>
        <w:jc w:val="both"/>
        <w:rPr>
          <w:szCs w:val="22"/>
          <w:lang w:val="es-ES_tradnl"/>
        </w:rPr>
      </w:pPr>
    </w:p>
    <w:p w:rsidR="00E703C3" w:rsidRPr="00892D5D" w:rsidRDefault="00F544EE" w:rsidP="00155FA5">
      <w:pPr>
        <w:numPr>
          <w:ilvl w:val="0"/>
          <w:numId w:val="9"/>
        </w:numPr>
        <w:spacing w:after="160" w:line="259" w:lineRule="auto"/>
        <w:ind w:left="567" w:hanging="567"/>
        <w:contextualSpacing/>
        <w:jc w:val="both"/>
        <w:rPr>
          <w:szCs w:val="22"/>
          <w:lang w:val="es-ES_tradnl"/>
        </w:rPr>
      </w:pPr>
      <w:r w:rsidRPr="00892D5D">
        <w:rPr>
          <w:rFonts w:eastAsia="Calibri"/>
          <w:szCs w:val="22"/>
          <w:lang w:val="es-ES_tradnl" w:eastAsia="en-US"/>
        </w:rPr>
        <w:t>El Grupo</w:t>
      </w:r>
      <w:r w:rsidR="00B81D31" w:rsidRPr="00892D5D">
        <w:rPr>
          <w:rFonts w:eastAsia="Calibri"/>
          <w:szCs w:val="22"/>
          <w:lang w:val="es-ES_tradnl" w:eastAsia="en-US"/>
        </w:rPr>
        <w:t xml:space="preserve"> de Estados de Europa Central y el Báltico</w:t>
      </w:r>
      <w:r w:rsidR="00A0318E" w:rsidRPr="00892D5D">
        <w:rPr>
          <w:rFonts w:eastAsia="Calibri"/>
          <w:szCs w:val="22"/>
          <w:lang w:val="es-ES_tradnl" w:eastAsia="en-US"/>
        </w:rPr>
        <w:t xml:space="preserve"> </w:t>
      </w:r>
      <w:r w:rsidRPr="00892D5D">
        <w:rPr>
          <w:rFonts w:eastAsia="Calibri"/>
          <w:szCs w:val="22"/>
          <w:lang w:val="es-ES_tradnl" w:eastAsia="en-US"/>
        </w:rPr>
        <w:t xml:space="preserve">reitera asimismo que la </w:t>
      </w:r>
      <w:r w:rsidR="00CA38D7" w:rsidRPr="00892D5D">
        <w:rPr>
          <w:rFonts w:eastAsia="Calibri"/>
          <w:szCs w:val="22"/>
          <w:lang w:val="es-ES_tradnl" w:eastAsia="en-US"/>
        </w:rPr>
        <w:t xml:space="preserve">proporción de la </w:t>
      </w:r>
      <w:r w:rsidRPr="00892D5D">
        <w:rPr>
          <w:rFonts w:eastAsia="Calibri"/>
          <w:b/>
          <w:szCs w:val="22"/>
          <w:lang w:val="es-ES_tradnl" w:eastAsia="en-US"/>
        </w:rPr>
        <w:t>asignación actual</w:t>
      </w:r>
      <w:r w:rsidR="00A0318E" w:rsidRPr="00892D5D">
        <w:rPr>
          <w:rFonts w:eastAsia="Calibri"/>
          <w:szCs w:val="22"/>
          <w:lang w:val="es-ES_tradnl" w:eastAsia="en-US"/>
        </w:rPr>
        <w:t xml:space="preserve"> </w:t>
      </w:r>
      <w:r w:rsidRPr="00892D5D">
        <w:rPr>
          <w:rFonts w:eastAsia="Calibri"/>
          <w:szCs w:val="22"/>
          <w:lang w:val="es-ES_tradnl" w:eastAsia="en-US"/>
        </w:rPr>
        <w:t>e</w:t>
      </w:r>
      <w:r w:rsidR="00A0318E" w:rsidRPr="00892D5D">
        <w:rPr>
          <w:rFonts w:eastAsia="Calibri"/>
          <w:szCs w:val="22"/>
          <w:lang w:val="es-ES_tradnl" w:eastAsia="en-US"/>
        </w:rPr>
        <w:t xml:space="preserve">n </w:t>
      </w:r>
      <w:r w:rsidR="00CA38D7" w:rsidRPr="00892D5D">
        <w:rPr>
          <w:rFonts w:eastAsia="Calibri"/>
          <w:szCs w:val="22"/>
          <w:lang w:val="es-ES_tradnl" w:eastAsia="en-US"/>
        </w:rPr>
        <w:t xml:space="preserve">el </w:t>
      </w:r>
      <w:r w:rsidRPr="00892D5D">
        <w:rPr>
          <w:rFonts w:eastAsia="Calibri"/>
          <w:szCs w:val="22"/>
          <w:lang w:val="es-ES_tradnl" w:eastAsia="en-US"/>
        </w:rPr>
        <w:t>Comité de Coordinación</w:t>
      </w:r>
      <w:r w:rsidR="00A0318E" w:rsidRPr="00892D5D">
        <w:rPr>
          <w:rFonts w:eastAsia="Calibri"/>
          <w:szCs w:val="22"/>
          <w:lang w:val="es-ES_tradnl" w:eastAsia="en-US"/>
        </w:rPr>
        <w:t xml:space="preserve"> </w:t>
      </w:r>
      <w:r w:rsidR="00CA38D7" w:rsidRPr="00892D5D">
        <w:rPr>
          <w:rFonts w:eastAsia="Calibri"/>
          <w:szCs w:val="22"/>
          <w:lang w:val="es-ES_tradnl" w:eastAsia="en-US"/>
        </w:rPr>
        <w:t xml:space="preserve">no es equitativa ni representativa del tamaño relativo de los grupos regionales en la OMPI </w:t>
      </w:r>
      <w:r w:rsidR="00A0318E" w:rsidRPr="00892D5D">
        <w:rPr>
          <w:rFonts w:eastAsia="Calibri"/>
          <w:szCs w:val="22"/>
          <w:lang w:val="es-ES_tradnl" w:eastAsia="en-US"/>
        </w:rPr>
        <w:t>(</w:t>
      </w:r>
      <w:r w:rsidR="00CA38D7" w:rsidRPr="00892D5D">
        <w:rPr>
          <w:rFonts w:eastAsia="Calibri"/>
          <w:szCs w:val="22"/>
          <w:lang w:val="es-ES_tradnl" w:eastAsia="en-US"/>
        </w:rPr>
        <w:t xml:space="preserve">según se ilustra en el </w:t>
      </w:r>
      <w:r w:rsidR="00EA57B8" w:rsidRPr="00892D5D">
        <w:rPr>
          <w:rFonts w:eastAsia="Calibri"/>
          <w:szCs w:val="22"/>
          <w:u w:val="single"/>
          <w:lang w:val="es-ES_tradnl" w:eastAsia="en-US"/>
        </w:rPr>
        <w:t>Anexo</w:t>
      </w:r>
      <w:r w:rsidR="00A0318E" w:rsidRPr="00892D5D">
        <w:rPr>
          <w:rFonts w:eastAsia="Calibri"/>
          <w:szCs w:val="22"/>
          <w:u w:val="single"/>
          <w:lang w:val="es-ES_tradnl" w:eastAsia="en-US"/>
        </w:rPr>
        <w:t xml:space="preserve"> A </w:t>
      </w:r>
      <w:r w:rsidR="00CA38D7" w:rsidRPr="00892D5D">
        <w:rPr>
          <w:rFonts w:eastAsia="Calibri"/>
          <w:szCs w:val="22"/>
          <w:u w:val="single"/>
          <w:lang w:val="es-ES_tradnl" w:eastAsia="en-US"/>
        </w:rPr>
        <w:t xml:space="preserve">y el </w:t>
      </w:r>
      <w:r w:rsidR="00EA57B8" w:rsidRPr="00892D5D">
        <w:rPr>
          <w:rFonts w:eastAsia="Calibri"/>
          <w:szCs w:val="22"/>
          <w:u w:val="single"/>
          <w:lang w:val="es-ES_tradnl" w:eastAsia="en-US"/>
        </w:rPr>
        <w:t>Anexo</w:t>
      </w:r>
      <w:r w:rsidR="00A0318E" w:rsidRPr="00892D5D">
        <w:rPr>
          <w:rFonts w:eastAsia="Calibri"/>
          <w:szCs w:val="22"/>
          <w:u w:val="single"/>
          <w:lang w:val="es-ES_tradnl" w:eastAsia="en-US"/>
        </w:rPr>
        <w:t xml:space="preserve"> B </w:t>
      </w:r>
      <w:r w:rsidR="00CA38D7" w:rsidRPr="00892D5D">
        <w:rPr>
          <w:rFonts w:eastAsia="Calibri"/>
          <w:szCs w:val="22"/>
          <w:u w:val="single"/>
          <w:lang w:val="es-ES_tradnl" w:eastAsia="en-US"/>
        </w:rPr>
        <w:t>del</w:t>
      </w:r>
      <w:r w:rsidR="00A0318E" w:rsidRPr="00892D5D">
        <w:rPr>
          <w:rFonts w:eastAsia="Calibri"/>
          <w:szCs w:val="22"/>
          <w:u w:val="single"/>
          <w:lang w:val="es-ES_tradnl" w:eastAsia="en-US"/>
        </w:rPr>
        <w:t xml:space="preserve"> </w:t>
      </w:r>
      <w:r w:rsidR="00EA57B8" w:rsidRPr="00892D5D">
        <w:rPr>
          <w:rFonts w:eastAsia="Calibri"/>
          <w:szCs w:val="22"/>
          <w:u w:val="single"/>
          <w:lang w:val="es-ES_tradnl" w:eastAsia="en-US"/>
        </w:rPr>
        <w:t>documento</w:t>
      </w:r>
      <w:r w:rsidR="00A0318E" w:rsidRPr="00892D5D">
        <w:rPr>
          <w:rFonts w:eastAsia="Calibri"/>
          <w:szCs w:val="22"/>
          <w:u w:val="single"/>
          <w:lang w:val="es-ES_tradnl" w:eastAsia="en-US"/>
        </w:rPr>
        <w:t xml:space="preserve"> A/64/9, </w:t>
      </w:r>
      <w:r w:rsidR="00CA38D7" w:rsidRPr="00892D5D">
        <w:rPr>
          <w:rFonts w:eastAsia="Calibri"/>
          <w:szCs w:val="22"/>
          <w:u w:val="single"/>
          <w:lang w:val="es-ES_tradnl" w:eastAsia="en-US"/>
        </w:rPr>
        <w:t>que se adjunta</w:t>
      </w:r>
      <w:r w:rsidR="001324A5" w:rsidRPr="00892D5D">
        <w:rPr>
          <w:rFonts w:eastAsia="Calibri"/>
          <w:szCs w:val="22"/>
          <w:u w:val="single"/>
          <w:lang w:val="es-ES_tradnl" w:eastAsia="en-US"/>
        </w:rPr>
        <w:t>n</w:t>
      </w:r>
      <w:r w:rsidR="00CA38D7" w:rsidRPr="00892D5D">
        <w:rPr>
          <w:rFonts w:eastAsia="Calibri"/>
          <w:szCs w:val="22"/>
          <w:u w:val="single"/>
          <w:lang w:val="es-ES_tradnl" w:eastAsia="en-US"/>
        </w:rPr>
        <w:t xml:space="preserve"> al presente</w:t>
      </w:r>
      <w:r w:rsidR="00A0318E" w:rsidRPr="00892D5D">
        <w:rPr>
          <w:rFonts w:eastAsia="Calibri"/>
          <w:szCs w:val="22"/>
          <w:u w:val="single"/>
          <w:lang w:val="es-ES_tradnl" w:eastAsia="en-US"/>
        </w:rPr>
        <w:t xml:space="preserve"> </w:t>
      </w:r>
      <w:r w:rsidR="00EA57B8" w:rsidRPr="00892D5D">
        <w:rPr>
          <w:rFonts w:eastAsia="Calibri"/>
          <w:szCs w:val="22"/>
          <w:u w:val="single"/>
          <w:lang w:val="es-ES_tradnl" w:eastAsia="en-US"/>
        </w:rPr>
        <w:t>documento</w:t>
      </w:r>
      <w:r w:rsidR="00A0318E" w:rsidRPr="00892D5D">
        <w:rPr>
          <w:rFonts w:eastAsia="Calibri"/>
          <w:szCs w:val="22"/>
          <w:lang w:val="es-ES_tradnl" w:eastAsia="en-US"/>
        </w:rPr>
        <w:t xml:space="preserve">). </w:t>
      </w:r>
      <w:r w:rsidR="00CA38D7" w:rsidRPr="00892D5D">
        <w:rPr>
          <w:rFonts w:eastAsia="Calibri"/>
          <w:szCs w:val="22"/>
          <w:lang w:val="es-ES_tradnl" w:eastAsia="en-US"/>
        </w:rPr>
        <w:t>El Grupo de</w:t>
      </w:r>
      <w:r w:rsidR="00A0318E" w:rsidRPr="00892D5D">
        <w:rPr>
          <w:rFonts w:eastAsia="Calibri"/>
          <w:szCs w:val="22"/>
          <w:lang w:val="es-ES_tradnl" w:eastAsia="en-US"/>
        </w:rPr>
        <w:t xml:space="preserve"> </w:t>
      </w:r>
      <w:r w:rsidR="00391774" w:rsidRPr="00892D5D">
        <w:rPr>
          <w:rFonts w:eastAsia="Calibri"/>
          <w:szCs w:val="22"/>
          <w:lang w:val="es-ES_tradnl" w:eastAsia="en-US"/>
        </w:rPr>
        <w:t>Estados de Europa Central y el Báltico</w:t>
      </w:r>
      <w:r w:rsidR="00A0318E" w:rsidRPr="00892D5D">
        <w:rPr>
          <w:rFonts w:eastAsia="Calibri"/>
          <w:szCs w:val="22"/>
          <w:lang w:val="es-ES_tradnl" w:eastAsia="en-US"/>
        </w:rPr>
        <w:t xml:space="preserve"> </w:t>
      </w:r>
      <w:r w:rsidR="00CA38D7" w:rsidRPr="00892D5D">
        <w:rPr>
          <w:rFonts w:eastAsia="Calibri"/>
          <w:szCs w:val="22"/>
          <w:lang w:val="es-ES_tradnl" w:eastAsia="en-US"/>
        </w:rPr>
        <w:t>e</w:t>
      </w:r>
      <w:r w:rsidR="00A0318E" w:rsidRPr="00892D5D">
        <w:rPr>
          <w:rFonts w:eastAsia="Calibri"/>
          <w:szCs w:val="22"/>
          <w:lang w:val="es-ES_tradnl" w:eastAsia="en-US"/>
        </w:rPr>
        <w:t xml:space="preserve">s </w:t>
      </w:r>
      <w:r w:rsidR="00CA38D7" w:rsidRPr="00892D5D">
        <w:rPr>
          <w:rFonts w:eastAsia="Calibri"/>
          <w:szCs w:val="22"/>
          <w:lang w:val="es-ES_tradnl" w:eastAsia="en-US"/>
        </w:rPr>
        <w:t xml:space="preserve">uno de los grupos </w:t>
      </w:r>
      <w:r w:rsidR="00EA57B8" w:rsidRPr="00892D5D">
        <w:rPr>
          <w:rFonts w:eastAsia="Calibri"/>
          <w:szCs w:val="22"/>
          <w:lang w:val="es-ES_tradnl" w:eastAsia="en-US"/>
        </w:rPr>
        <w:t>regionales</w:t>
      </w:r>
      <w:r w:rsidR="00CA38D7" w:rsidRPr="00892D5D">
        <w:rPr>
          <w:rFonts w:eastAsia="Calibri"/>
          <w:szCs w:val="22"/>
          <w:lang w:val="es-ES_tradnl" w:eastAsia="en-US"/>
        </w:rPr>
        <w:t xml:space="preserve"> </w:t>
      </w:r>
      <w:r w:rsidR="001324A5" w:rsidRPr="00892D5D">
        <w:rPr>
          <w:rFonts w:eastAsia="Calibri"/>
          <w:szCs w:val="22"/>
          <w:lang w:val="es-ES_tradnl" w:eastAsia="en-US"/>
        </w:rPr>
        <w:t xml:space="preserve">menos </w:t>
      </w:r>
      <w:r w:rsidR="00CA38D7" w:rsidRPr="00892D5D">
        <w:rPr>
          <w:rFonts w:eastAsia="Calibri"/>
          <w:szCs w:val="22"/>
          <w:lang w:val="es-ES_tradnl" w:eastAsia="en-US"/>
        </w:rPr>
        <w:t>representados en la composición actual del</w:t>
      </w:r>
      <w:r w:rsidR="00A0318E" w:rsidRPr="00892D5D">
        <w:rPr>
          <w:rFonts w:eastAsia="Calibri"/>
          <w:szCs w:val="22"/>
          <w:lang w:val="es-ES_tradnl" w:eastAsia="en-US"/>
        </w:rPr>
        <w:t xml:space="preserve"> </w:t>
      </w:r>
      <w:r w:rsidRPr="00892D5D">
        <w:rPr>
          <w:rFonts w:eastAsia="Calibri"/>
          <w:szCs w:val="22"/>
          <w:lang w:val="es-ES_tradnl" w:eastAsia="en-US"/>
        </w:rPr>
        <w:t>Comité de Coordinación</w:t>
      </w:r>
      <w:r w:rsidR="00A0318E" w:rsidRPr="00892D5D">
        <w:rPr>
          <w:rFonts w:eastAsia="Calibri"/>
          <w:szCs w:val="22"/>
          <w:lang w:val="es-ES_tradnl" w:eastAsia="en-US"/>
        </w:rPr>
        <w:t xml:space="preserve">. </w:t>
      </w:r>
      <w:r w:rsidR="00CA38D7" w:rsidRPr="00892D5D">
        <w:rPr>
          <w:rFonts w:eastAsia="Calibri"/>
          <w:szCs w:val="22"/>
          <w:lang w:val="es-ES_tradnl" w:eastAsia="en-US"/>
        </w:rPr>
        <w:t>A la luz de la información expuesta más arriba</w:t>
      </w:r>
      <w:r w:rsidR="00A0318E" w:rsidRPr="00892D5D">
        <w:rPr>
          <w:szCs w:val="22"/>
          <w:lang w:val="es-ES_tradnl"/>
        </w:rPr>
        <w:t xml:space="preserve">, </w:t>
      </w:r>
      <w:r w:rsidR="00CA38D7" w:rsidRPr="00892D5D">
        <w:rPr>
          <w:szCs w:val="22"/>
          <w:lang w:val="es-ES_tradnl"/>
        </w:rPr>
        <w:t xml:space="preserve">debería considerarse aumentar la </w:t>
      </w:r>
      <w:r w:rsidR="00EA57B8" w:rsidRPr="00892D5D">
        <w:rPr>
          <w:szCs w:val="22"/>
          <w:lang w:val="es-ES_tradnl"/>
        </w:rPr>
        <w:t>representación</w:t>
      </w:r>
      <w:r w:rsidR="00A0318E" w:rsidRPr="00892D5D">
        <w:rPr>
          <w:szCs w:val="22"/>
          <w:lang w:val="es-ES_tradnl"/>
        </w:rPr>
        <w:t xml:space="preserve"> </w:t>
      </w:r>
      <w:r w:rsidR="00CA38D7" w:rsidRPr="00892D5D">
        <w:rPr>
          <w:szCs w:val="22"/>
          <w:lang w:val="es-ES_tradnl"/>
        </w:rPr>
        <w:t>d</w:t>
      </w:r>
      <w:r w:rsidRPr="00892D5D">
        <w:rPr>
          <w:szCs w:val="22"/>
          <w:lang w:val="es-ES_tradnl"/>
        </w:rPr>
        <w:t>el Grupo</w:t>
      </w:r>
      <w:r w:rsidR="00B81D31" w:rsidRPr="00892D5D">
        <w:rPr>
          <w:szCs w:val="22"/>
          <w:lang w:val="es-ES_tradnl"/>
        </w:rPr>
        <w:t xml:space="preserve"> de Estados de Europa Central y el Báltico</w:t>
      </w:r>
      <w:r w:rsidR="00CA38D7" w:rsidRPr="00892D5D">
        <w:rPr>
          <w:szCs w:val="22"/>
          <w:lang w:val="es-ES_tradnl"/>
        </w:rPr>
        <w:t>, como una medida necesaria para velar por una representación equilibrada de todos los grupos regionales</w:t>
      </w:r>
      <w:r w:rsidR="00A0318E" w:rsidRPr="00892D5D">
        <w:rPr>
          <w:szCs w:val="22"/>
          <w:lang w:val="es-ES_tradnl"/>
        </w:rPr>
        <w:t xml:space="preserve">, </w:t>
      </w:r>
      <w:r w:rsidR="00CA38D7" w:rsidRPr="00892D5D">
        <w:rPr>
          <w:szCs w:val="22"/>
          <w:lang w:val="es-ES_tradnl"/>
        </w:rPr>
        <w:t>sobre la base de los criterios vigentes.</w:t>
      </w:r>
    </w:p>
    <w:p w:rsidR="00E703C3" w:rsidRPr="00892D5D" w:rsidRDefault="00E703C3" w:rsidP="001324A5">
      <w:pPr>
        <w:spacing w:after="160" w:line="259" w:lineRule="auto"/>
        <w:contextualSpacing/>
        <w:rPr>
          <w:szCs w:val="22"/>
          <w:lang w:val="es-ES_tradnl"/>
        </w:rPr>
      </w:pPr>
    </w:p>
    <w:p w:rsidR="00E703C3" w:rsidRPr="00892D5D" w:rsidRDefault="00CA38D7" w:rsidP="00155FA5">
      <w:pPr>
        <w:numPr>
          <w:ilvl w:val="0"/>
          <w:numId w:val="9"/>
        </w:numPr>
        <w:spacing w:line="259" w:lineRule="auto"/>
        <w:ind w:left="567" w:hanging="567"/>
        <w:jc w:val="both"/>
        <w:rPr>
          <w:szCs w:val="22"/>
          <w:lang w:val="es-ES_tradnl"/>
        </w:rPr>
      </w:pPr>
      <w:r w:rsidRPr="00892D5D">
        <w:rPr>
          <w:szCs w:val="22"/>
          <w:lang w:val="es-ES_tradnl"/>
        </w:rPr>
        <w:t>Asimismo, el Grupo de Estados de Europa Central y el Báltico considera que, al decidir la composición regional del Comité de Coordinación, no solo debe tenerse en cuenta la condición de parte en el Convenio de París y el Convenio de Berna, que define el número total de plazas en el Comité de Coordinación. Este criterio parece haber dejado de ser pertinente, teniendo en cuenta que, como en el caso del Grupo B, el Grupo de Países de Asia Central, el Cáucaso y Europa Oriental o el GRULAC, todos los miembros del Grupo de Estados de Europa Central y el Báltico se han adherido a ambos Convenios. Si bien esos criterios han servido durante mucho tiempo como elemento de motivación para alentar a los Estados miembros de la OMPI a adherirse a los instrumentos de la OMPI, ya no pueden utilizarse como parámetro para determinar la composición del Comité de Coordinación.</w:t>
      </w:r>
    </w:p>
    <w:p w:rsidR="00E703C3" w:rsidRPr="00892D5D" w:rsidRDefault="00E703C3" w:rsidP="00155FA5">
      <w:pPr>
        <w:pStyle w:val="ListParagraph"/>
        <w:ind w:left="567" w:hanging="567"/>
        <w:rPr>
          <w:szCs w:val="22"/>
          <w:lang w:val="es-ES_tradnl"/>
        </w:rPr>
      </w:pPr>
    </w:p>
    <w:p w:rsidR="00CA38D7" w:rsidRPr="00892D5D" w:rsidRDefault="00CA38D7" w:rsidP="00155FA5">
      <w:pPr>
        <w:pStyle w:val="ListParagraph"/>
        <w:numPr>
          <w:ilvl w:val="0"/>
          <w:numId w:val="9"/>
        </w:numPr>
        <w:ind w:left="567" w:hanging="567"/>
        <w:rPr>
          <w:szCs w:val="22"/>
          <w:lang w:val="es-ES_tradnl"/>
        </w:rPr>
      </w:pPr>
      <w:r w:rsidRPr="00892D5D">
        <w:rPr>
          <w:szCs w:val="22"/>
          <w:lang w:val="es-ES_tradnl"/>
        </w:rPr>
        <w:t xml:space="preserve">A la luz de lo antedicho, las siete plazas no cubiertas del Comité de Coordinación deberían asignarse para reflejar mejor el número de miembros de la OMPI y el tamaño relativo de sus grupos regionales, reafirmando al mismo tiempo que cada uno de los grupos regionales debería estar representado en el Comité de Coordinación. Por lo tanto, el Grupo de Estados de Europa Central y el Báltico considera que está infrarrepresentado en el Comité de Coordinación y merece </w:t>
      </w:r>
      <w:r w:rsidR="001324A5" w:rsidRPr="00892D5D">
        <w:rPr>
          <w:szCs w:val="22"/>
          <w:lang w:val="es-ES_tradnl"/>
        </w:rPr>
        <w:t>plazas</w:t>
      </w:r>
      <w:r w:rsidRPr="00892D5D">
        <w:rPr>
          <w:szCs w:val="22"/>
          <w:lang w:val="es-ES_tradnl"/>
        </w:rPr>
        <w:t xml:space="preserve"> adicionales.</w:t>
      </w:r>
    </w:p>
    <w:p w:rsidR="00E703C3" w:rsidRPr="001324A5" w:rsidRDefault="00E703C3" w:rsidP="0009314C">
      <w:pPr>
        <w:pStyle w:val="ListParagraph"/>
        <w:spacing w:line="259" w:lineRule="auto"/>
        <w:jc w:val="both"/>
        <w:rPr>
          <w:sz w:val="32"/>
          <w:lang w:val="es-ES_tradnl"/>
        </w:rPr>
      </w:pPr>
    </w:p>
    <w:bookmarkEnd w:id="6"/>
    <w:p w:rsidR="00A0318E" w:rsidRPr="001324A5" w:rsidRDefault="00A0318E" w:rsidP="00A0318E">
      <w:pPr>
        <w:ind w:left="11340" w:firstLine="567"/>
        <w:jc w:val="center"/>
        <w:rPr>
          <w:bCs/>
          <w:sz w:val="36"/>
          <w:szCs w:val="21"/>
          <w:u w:val="single"/>
          <w:lang w:val="es-ES_tradnl"/>
        </w:rPr>
        <w:sectPr w:rsidR="00A0318E" w:rsidRPr="001324A5" w:rsidSect="00155FA5">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p>
    <w:p w:rsidR="00E703C3" w:rsidRPr="001324A5" w:rsidRDefault="0009314C" w:rsidP="00A0318E">
      <w:pPr>
        <w:ind w:left="11340" w:firstLine="567"/>
        <w:jc w:val="center"/>
        <w:rPr>
          <w:bCs/>
          <w:sz w:val="36"/>
          <w:szCs w:val="21"/>
          <w:u w:val="single"/>
          <w:lang w:val="es-ES_tradnl"/>
        </w:rPr>
      </w:pPr>
      <w:r w:rsidRPr="001324A5">
        <w:rPr>
          <w:bCs/>
          <w:sz w:val="36"/>
          <w:szCs w:val="21"/>
          <w:u w:val="single"/>
          <w:lang w:val="es-ES_tradnl"/>
        </w:rPr>
        <w:lastRenderedPageBreak/>
        <w:t>An</w:t>
      </w:r>
      <w:r w:rsidR="00A0318E" w:rsidRPr="001324A5">
        <w:rPr>
          <w:bCs/>
          <w:sz w:val="36"/>
          <w:szCs w:val="21"/>
          <w:u w:val="single"/>
          <w:lang w:val="es-ES_tradnl"/>
        </w:rPr>
        <w:t>ex</w:t>
      </w:r>
      <w:r w:rsidRPr="001324A5">
        <w:rPr>
          <w:bCs/>
          <w:sz w:val="36"/>
          <w:szCs w:val="21"/>
          <w:u w:val="single"/>
          <w:lang w:val="es-ES_tradnl"/>
        </w:rPr>
        <w:t>o</w:t>
      </w:r>
      <w:r w:rsidR="00A0318E" w:rsidRPr="001324A5">
        <w:rPr>
          <w:bCs/>
          <w:sz w:val="36"/>
          <w:szCs w:val="21"/>
          <w:u w:val="single"/>
          <w:lang w:val="es-ES_tradnl"/>
        </w:rPr>
        <w:t xml:space="preserve"> A</w:t>
      </w:r>
    </w:p>
    <w:p w:rsidR="00E703C3" w:rsidRPr="00892D5D" w:rsidRDefault="00E703C3" w:rsidP="00A0318E">
      <w:pPr>
        <w:jc w:val="center"/>
        <w:rPr>
          <w:b/>
          <w:bCs/>
          <w:sz w:val="28"/>
          <w:szCs w:val="28"/>
          <w:u w:val="single"/>
          <w:lang w:val="es-ES_tradnl"/>
        </w:rPr>
      </w:pPr>
    </w:p>
    <w:p w:rsidR="00E703C3" w:rsidRPr="00892D5D" w:rsidRDefault="00A0318E" w:rsidP="00A0318E">
      <w:pPr>
        <w:jc w:val="center"/>
        <w:rPr>
          <w:b/>
          <w:bCs/>
          <w:sz w:val="28"/>
          <w:szCs w:val="28"/>
          <w:u w:val="single"/>
          <w:lang w:val="es-ES_tradnl"/>
        </w:rPr>
      </w:pPr>
      <w:r w:rsidRPr="00892D5D">
        <w:rPr>
          <w:b/>
          <w:bCs/>
          <w:sz w:val="28"/>
          <w:szCs w:val="28"/>
          <w:u w:val="single"/>
          <w:lang w:val="es-ES_tradnl"/>
        </w:rPr>
        <w:t>A</w:t>
      </w:r>
      <w:r w:rsidR="0009314C" w:rsidRPr="00892D5D">
        <w:rPr>
          <w:b/>
          <w:bCs/>
          <w:sz w:val="28"/>
          <w:szCs w:val="28"/>
          <w:u w:val="single"/>
          <w:lang w:val="es-ES_tradnl"/>
        </w:rPr>
        <w:t>signación de plazas en el</w:t>
      </w:r>
      <w:r w:rsidRPr="00892D5D">
        <w:rPr>
          <w:b/>
          <w:bCs/>
          <w:sz w:val="28"/>
          <w:szCs w:val="28"/>
          <w:u w:val="single"/>
          <w:lang w:val="es-ES_tradnl"/>
        </w:rPr>
        <w:t xml:space="preserve"> </w:t>
      </w:r>
      <w:r w:rsidR="00F544EE" w:rsidRPr="00892D5D">
        <w:rPr>
          <w:b/>
          <w:bCs/>
          <w:sz w:val="28"/>
          <w:szCs w:val="28"/>
          <w:u w:val="single"/>
          <w:lang w:val="es-ES_tradnl"/>
        </w:rPr>
        <w:t>Comité de Coordinación</w:t>
      </w:r>
      <w:r w:rsidRPr="00892D5D">
        <w:rPr>
          <w:b/>
          <w:bCs/>
          <w:sz w:val="28"/>
          <w:szCs w:val="28"/>
          <w:u w:val="single"/>
          <w:lang w:val="es-ES_tradnl"/>
        </w:rPr>
        <w:t xml:space="preserve"> </w:t>
      </w:r>
      <w:r w:rsidR="0009314C" w:rsidRPr="00892D5D">
        <w:rPr>
          <w:b/>
          <w:bCs/>
          <w:sz w:val="28"/>
          <w:szCs w:val="28"/>
          <w:u w:val="single"/>
          <w:lang w:val="es-ES_tradnl"/>
        </w:rPr>
        <w:t>entre los grupos regionales, por bienio</w:t>
      </w:r>
      <w:r w:rsidRPr="00892D5D">
        <w:rPr>
          <w:b/>
          <w:bCs/>
          <w:sz w:val="28"/>
          <w:szCs w:val="28"/>
          <w:u w:val="single"/>
          <w:vertAlign w:val="superscript"/>
          <w:lang w:val="es-ES_tradnl"/>
        </w:rPr>
        <w:footnoteReference w:id="2"/>
      </w:r>
    </w:p>
    <w:p w:rsidR="00A0318E" w:rsidRPr="00892D5D" w:rsidRDefault="00A0318E" w:rsidP="00A0318E">
      <w:pPr>
        <w:jc w:val="center"/>
        <w:rPr>
          <w:b/>
          <w:bCs/>
          <w:sz w:val="28"/>
          <w:szCs w:val="28"/>
          <w:u w:val="single"/>
          <w:lang w:val="es-ES_tradnl"/>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009"/>
        <w:gridCol w:w="1170"/>
        <w:gridCol w:w="1260"/>
        <w:gridCol w:w="1641"/>
        <w:gridCol w:w="1329"/>
        <w:gridCol w:w="1350"/>
        <w:gridCol w:w="1080"/>
        <w:gridCol w:w="988"/>
        <w:gridCol w:w="1348"/>
      </w:tblGrid>
      <w:tr w:rsidR="001324A5" w:rsidRPr="001324A5" w:rsidTr="00155FA5">
        <w:trPr>
          <w:trHeight w:val="372"/>
          <w:tblHeader/>
          <w:jc w:val="center"/>
        </w:trPr>
        <w:tc>
          <w:tcPr>
            <w:tcW w:w="846" w:type="dxa"/>
            <w:shd w:val="clear" w:color="auto" w:fill="92CDDC" w:themeFill="accent5" w:themeFillTint="99"/>
            <w:vAlign w:val="center"/>
          </w:tcPr>
          <w:p w:rsidR="00A0318E" w:rsidRPr="001324A5" w:rsidRDefault="00A0318E" w:rsidP="0009314C">
            <w:pPr>
              <w:jc w:val="center"/>
              <w:rPr>
                <w:b/>
                <w:bCs/>
                <w:szCs w:val="22"/>
                <w:lang w:val="es-ES_tradnl"/>
              </w:rPr>
            </w:pPr>
            <w:r w:rsidRPr="001324A5">
              <w:rPr>
                <w:b/>
                <w:bCs/>
                <w:szCs w:val="22"/>
                <w:lang w:val="es-ES_tradnl"/>
              </w:rPr>
              <w:t>N</w:t>
            </w:r>
            <w:r w:rsidR="0009314C" w:rsidRPr="001324A5">
              <w:rPr>
                <w:b/>
                <w:bCs/>
                <w:szCs w:val="22"/>
                <w:lang w:val="es-ES_tradnl"/>
              </w:rPr>
              <w:t>.º</w:t>
            </w:r>
          </w:p>
        </w:tc>
        <w:tc>
          <w:tcPr>
            <w:tcW w:w="4009" w:type="dxa"/>
            <w:shd w:val="clear" w:color="auto" w:fill="92CDDC" w:themeFill="accent5" w:themeFillTint="99"/>
            <w:vAlign w:val="center"/>
          </w:tcPr>
          <w:p w:rsidR="00A0318E" w:rsidRPr="001324A5" w:rsidRDefault="00FA4D6D" w:rsidP="0094264F">
            <w:pPr>
              <w:jc w:val="center"/>
              <w:rPr>
                <w:b/>
                <w:bCs/>
                <w:szCs w:val="22"/>
                <w:lang w:val="es-ES_tradnl"/>
              </w:rPr>
            </w:pPr>
            <w:r w:rsidRPr="001324A5">
              <w:rPr>
                <w:b/>
                <w:bCs/>
                <w:szCs w:val="22"/>
                <w:lang w:val="es-ES_tradnl"/>
              </w:rPr>
              <w:t>Factor</w:t>
            </w:r>
          </w:p>
        </w:tc>
        <w:tc>
          <w:tcPr>
            <w:tcW w:w="1170" w:type="dxa"/>
            <w:shd w:val="clear" w:color="auto" w:fill="92CDDC" w:themeFill="accent5" w:themeFillTint="99"/>
            <w:vAlign w:val="center"/>
          </w:tcPr>
          <w:p w:rsidR="00A0318E" w:rsidRPr="001324A5" w:rsidRDefault="0009314C" w:rsidP="0094264F">
            <w:pPr>
              <w:jc w:val="center"/>
              <w:rPr>
                <w:b/>
                <w:bCs/>
                <w:szCs w:val="22"/>
                <w:lang w:val="es-ES_tradnl"/>
              </w:rPr>
            </w:pPr>
            <w:r w:rsidRPr="001324A5">
              <w:rPr>
                <w:b/>
                <w:bCs/>
                <w:szCs w:val="22"/>
                <w:lang w:val="es-ES_tradnl"/>
              </w:rPr>
              <w:t>Gr</w:t>
            </w:r>
            <w:r w:rsidR="00A0318E" w:rsidRPr="001324A5">
              <w:rPr>
                <w:b/>
                <w:bCs/>
                <w:szCs w:val="22"/>
                <w:lang w:val="es-ES_tradnl"/>
              </w:rPr>
              <w:t>up</w:t>
            </w:r>
            <w:r w:rsidRPr="001324A5">
              <w:rPr>
                <w:b/>
                <w:bCs/>
                <w:szCs w:val="22"/>
                <w:lang w:val="es-ES_tradnl"/>
              </w:rPr>
              <w:t>o</w:t>
            </w:r>
            <w:r w:rsidR="00A0318E" w:rsidRPr="001324A5">
              <w:rPr>
                <w:b/>
                <w:bCs/>
                <w:szCs w:val="22"/>
                <w:lang w:val="es-ES_tradnl"/>
              </w:rPr>
              <w:t xml:space="preserve"> B</w:t>
            </w:r>
          </w:p>
        </w:tc>
        <w:tc>
          <w:tcPr>
            <w:tcW w:w="1260" w:type="dxa"/>
            <w:shd w:val="clear" w:color="auto" w:fill="92CDDC" w:themeFill="accent5" w:themeFillTint="99"/>
            <w:vAlign w:val="center"/>
          </w:tcPr>
          <w:p w:rsidR="00A0318E" w:rsidRPr="001324A5" w:rsidRDefault="0009314C" w:rsidP="0009314C">
            <w:pPr>
              <w:jc w:val="center"/>
              <w:rPr>
                <w:b/>
                <w:bCs/>
                <w:szCs w:val="22"/>
                <w:lang w:val="es-ES_tradnl"/>
              </w:rPr>
            </w:pPr>
            <w:r w:rsidRPr="001324A5">
              <w:rPr>
                <w:b/>
                <w:bCs/>
                <w:szCs w:val="22"/>
                <w:lang w:val="es-ES_tradnl"/>
              </w:rPr>
              <w:t>Grupo Africano</w:t>
            </w:r>
          </w:p>
        </w:tc>
        <w:tc>
          <w:tcPr>
            <w:tcW w:w="1641" w:type="dxa"/>
            <w:shd w:val="clear" w:color="auto" w:fill="92CDDC" w:themeFill="accent5" w:themeFillTint="99"/>
            <w:vAlign w:val="center"/>
          </w:tcPr>
          <w:p w:rsidR="009F7DDB" w:rsidRPr="001324A5" w:rsidRDefault="009F7DDB" w:rsidP="009F7DDB">
            <w:pPr>
              <w:jc w:val="center"/>
              <w:rPr>
                <w:b/>
                <w:bCs/>
                <w:szCs w:val="22"/>
                <w:lang w:val="es-ES_tradnl"/>
              </w:rPr>
            </w:pPr>
            <w:r w:rsidRPr="001324A5">
              <w:rPr>
                <w:b/>
                <w:bCs/>
                <w:szCs w:val="22"/>
                <w:lang w:val="es-ES_tradnl"/>
              </w:rPr>
              <w:t>Países de Asia Central, el Cáucaso y Europa Oriental</w:t>
            </w:r>
          </w:p>
        </w:tc>
        <w:tc>
          <w:tcPr>
            <w:tcW w:w="1329" w:type="dxa"/>
            <w:shd w:val="clear" w:color="auto" w:fill="92CDDC" w:themeFill="accent5" w:themeFillTint="99"/>
            <w:vAlign w:val="center"/>
          </w:tcPr>
          <w:p w:rsidR="00A0318E" w:rsidRPr="001324A5" w:rsidRDefault="00391774" w:rsidP="0094264F">
            <w:pPr>
              <w:jc w:val="center"/>
              <w:rPr>
                <w:b/>
                <w:bCs/>
                <w:szCs w:val="22"/>
                <w:lang w:val="es-ES_tradnl"/>
              </w:rPr>
            </w:pPr>
            <w:r w:rsidRPr="001324A5">
              <w:rPr>
                <w:b/>
                <w:bCs/>
                <w:szCs w:val="22"/>
                <w:lang w:val="es-ES_tradnl"/>
              </w:rPr>
              <w:t>Estados de Europa Central y el Báltico</w:t>
            </w:r>
          </w:p>
        </w:tc>
        <w:tc>
          <w:tcPr>
            <w:tcW w:w="1350" w:type="dxa"/>
            <w:shd w:val="clear" w:color="auto" w:fill="92CDDC" w:themeFill="accent5" w:themeFillTint="99"/>
            <w:vAlign w:val="center"/>
          </w:tcPr>
          <w:p w:rsidR="00A0318E" w:rsidRPr="001324A5" w:rsidRDefault="00A0318E" w:rsidP="0094264F">
            <w:pPr>
              <w:jc w:val="center"/>
              <w:rPr>
                <w:b/>
                <w:bCs/>
                <w:szCs w:val="22"/>
                <w:lang w:val="es-ES_tradnl"/>
              </w:rPr>
            </w:pPr>
            <w:r w:rsidRPr="001324A5">
              <w:rPr>
                <w:b/>
                <w:bCs/>
                <w:szCs w:val="22"/>
                <w:lang w:val="es-ES_tradnl"/>
              </w:rPr>
              <w:t>GRULAC</w:t>
            </w:r>
          </w:p>
        </w:tc>
        <w:tc>
          <w:tcPr>
            <w:tcW w:w="1080" w:type="dxa"/>
            <w:shd w:val="clear" w:color="auto" w:fill="92CDDC" w:themeFill="accent5" w:themeFillTint="99"/>
            <w:vAlign w:val="center"/>
          </w:tcPr>
          <w:p w:rsidR="009F7DDB" w:rsidRPr="001324A5" w:rsidRDefault="009F7DDB" w:rsidP="009F7DDB">
            <w:pPr>
              <w:jc w:val="center"/>
              <w:rPr>
                <w:b/>
                <w:bCs/>
                <w:szCs w:val="22"/>
                <w:lang w:val="es-ES_tradnl"/>
              </w:rPr>
            </w:pPr>
            <w:r w:rsidRPr="001324A5">
              <w:rPr>
                <w:b/>
                <w:bCs/>
                <w:szCs w:val="22"/>
                <w:lang w:val="es-ES_tradnl"/>
              </w:rPr>
              <w:t>Grupo de Asia y el Pacífico</w:t>
            </w:r>
          </w:p>
        </w:tc>
        <w:tc>
          <w:tcPr>
            <w:tcW w:w="988" w:type="dxa"/>
            <w:shd w:val="clear" w:color="auto" w:fill="92CDDC" w:themeFill="accent5" w:themeFillTint="99"/>
            <w:vAlign w:val="center"/>
          </w:tcPr>
          <w:p w:rsidR="00A0318E" w:rsidRPr="001324A5" w:rsidRDefault="00A0318E" w:rsidP="0094264F">
            <w:pPr>
              <w:jc w:val="center"/>
              <w:rPr>
                <w:b/>
                <w:bCs/>
                <w:szCs w:val="22"/>
                <w:lang w:val="es-ES_tradnl"/>
              </w:rPr>
            </w:pPr>
            <w:r w:rsidRPr="001324A5">
              <w:rPr>
                <w:b/>
                <w:bCs/>
                <w:szCs w:val="22"/>
                <w:lang w:val="es-ES_tradnl"/>
              </w:rPr>
              <w:t>China</w:t>
            </w:r>
          </w:p>
        </w:tc>
        <w:tc>
          <w:tcPr>
            <w:tcW w:w="1348" w:type="dxa"/>
            <w:shd w:val="clear" w:color="auto" w:fill="92CDDC" w:themeFill="accent5" w:themeFillTint="99"/>
            <w:vAlign w:val="center"/>
          </w:tcPr>
          <w:p w:rsidR="00A0318E" w:rsidRPr="001324A5" w:rsidRDefault="00A0318E" w:rsidP="0094264F">
            <w:pPr>
              <w:jc w:val="center"/>
              <w:rPr>
                <w:b/>
                <w:bCs/>
                <w:szCs w:val="22"/>
                <w:lang w:val="es-ES_tradnl"/>
              </w:rPr>
            </w:pPr>
            <w:r w:rsidRPr="001324A5">
              <w:rPr>
                <w:b/>
                <w:bCs/>
                <w:szCs w:val="22"/>
                <w:lang w:val="es-ES_tradnl"/>
              </w:rPr>
              <w:t>Total</w:t>
            </w:r>
          </w:p>
        </w:tc>
      </w:tr>
      <w:tr w:rsidR="001324A5" w:rsidRPr="001324A5" w:rsidTr="009F7DDB">
        <w:trPr>
          <w:trHeight w:val="605"/>
          <w:jc w:val="center"/>
        </w:trPr>
        <w:tc>
          <w:tcPr>
            <w:tcW w:w="846" w:type="dxa"/>
            <w:vAlign w:val="center"/>
          </w:tcPr>
          <w:p w:rsidR="00A0318E" w:rsidRPr="001324A5" w:rsidRDefault="00A0318E" w:rsidP="00A0318E">
            <w:pPr>
              <w:numPr>
                <w:ilvl w:val="0"/>
                <w:numId w:val="8"/>
              </w:numPr>
              <w:spacing w:after="160" w:line="259" w:lineRule="auto"/>
              <w:contextualSpacing/>
              <w:rPr>
                <w:rFonts w:ascii="Calibri" w:eastAsia="Calibri" w:hAnsi="Calibri" w:cs="Times New Roman"/>
                <w:szCs w:val="22"/>
                <w:lang w:val="es-ES_tradnl" w:eastAsia="en-US"/>
              </w:rPr>
            </w:pPr>
          </w:p>
        </w:tc>
        <w:tc>
          <w:tcPr>
            <w:tcW w:w="4009" w:type="dxa"/>
            <w:vAlign w:val="center"/>
          </w:tcPr>
          <w:p w:rsidR="00A0318E" w:rsidRPr="001324A5" w:rsidRDefault="002705FD" w:rsidP="0094264F">
            <w:pPr>
              <w:jc w:val="center"/>
              <w:rPr>
                <w:szCs w:val="22"/>
                <w:lang w:val="es-ES_tradnl"/>
              </w:rPr>
            </w:pPr>
            <w:r w:rsidRPr="001324A5">
              <w:rPr>
                <w:szCs w:val="22"/>
                <w:lang w:val="es-ES_tradnl"/>
              </w:rPr>
              <w:t>Total de miembros del grupo</w:t>
            </w:r>
          </w:p>
        </w:tc>
        <w:tc>
          <w:tcPr>
            <w:tcW w:w="1170" w:type="dxa"/>
            <w:vAlign w:val="center"/>
          </w:tcPr>
          <w:p w:rsidR="00A0318E" w:rsidRPr="001324A5" w:rsidRDefault="00A0318E" w:rsidP="0094264F">
            <w:pPr>
              <w:jc w:val="center"/>
              <w:rPr>
                <w:szCs w:val="22"/>
                <w:lang w:val="es-ES_tradnl"/>
              </w:rPr>
            </w:pPr>
            <w:r w:rsidRPr="001324A5">
              <w:rPr>
                <w:szCs w:val="22"/>
                <w:lang w:val="es-ES_tradnl"/>
              </w:rPr>
              <w:t xml:space="preserve">32 </w:t>
            </w:r>
          </w:p>
        </w:tc>
        <w:tc>
          <w:tcPr>
            <w:tcW w:w="1260" w:type="dxa"/>
            <w:vAlign w:val="center"/>
          </w:tcPr>
          <w:p w:rsidR="00A0318E" w:rsidRPr="001324A5" w:rsidRDefault="00A0318E" w:rsidP="0094264F">
            <w:pPr>
              <w:jc w:val="center"/>
              <w:rPr>
                <w:szCs w:val="22"/>
                <w:lang w:val="es-ES_tradnl"/>
              </w:rPr>
            </w:pPr>
            <w:r w:rsidRPr="001324A5">
              <w:rPr>
                <w:szCs w:val="22"/>
                <w:lang w:val="es-ES_tradnl"/>
              </w:rPr>
              <w:t>53</w:t>
            </w:r>
          </w:p>
        </w:tc>
        <w:tc>
          <w:tcPr>
            <w:tcW w:w="1641" w:type="dxa"/>
            <w:vAlign w:val="center"/>
          </w:tcPr>
          <w:p w:rsidR="00A0318E" w:rsidRPr="001324A5" w:rsidRDefault="00A0318E" w:rsidP="0094264F">
            <w:pPr>
              <w:jc w:val="center"/>
              <w:rPr>
                <w:szCs w:val="22"/>
                <w:lang w:val="es-ES_tradnl"/>
              </w:rPr>
            </w:pPr>
            <w:r w:rsidRPr="001324A5">
              <w:rPr>
                <w:szCs w:val="22"/>
                <w:lang w:val="es-ES_tradnl"/>
              </w:rPr>
              <w:t>9</w:t>
            </w:r>
          </w:p>
        </w:tc>
        <w:tc>
          <w:tcPr>
            <w:tcW w:w="1329" w:type="dxa"/>
            <w:vAlign w:val="center"/>
          </w:tcPr>
          <w:p w:rsidR="00A0318E" w:rsidRPr="001324A5" w:rsidRDefault="00A0318E" w:rsidP="0094264F">
            <w:pPr>
              <w:jc w:val="center"/>
              <w:rPr>
                <w:szCs w:val="22"/>
                <w:lang w:val="es-ES_tradnl"/>
              </w:rPr>
            </w:pPr>
            <w:r w:rsidRPr="001324A5">
              <w:rPr>
                <w:szCs w:val="22"/>
                <w:lang w:val="es-ES_tradnl"/>
              </w:rPr>
              <w:t xml:space="preserve">19 </w:t>
            </w:r>
          </w:p>
        </w:tc>
        <w:tc>
          <w:tcPr>
            <w:tcW w:w="1350" w:type="dxa"/>
            <w:vAlign w:val="center"/>
          </w:tcPr>
          <w:p w:rsidR="00A0318E" w:rsidRPr="001324A5" w:rsidRDefault="00A0318E" w:rsidP="0094264F">
            <w:pPr>
              <w:jc w:val="center"/>
              <w:rPr>
                <w:szCs w:val="22"/>
                <w:lang w:val="es-ES_tradnl"/>
              </w:rPr>
            </w:pPr>
            <w:r w:rsidRPr="001324A5">
              <w:rPr>
                <w:szCs w:val="22"/>
                <w:lang w:val="es-ES_tradnl"/>
              </w:rPr>
              <w:t xml:space="preserve">33 </w:t>
            </w:r>
          </w:p>
        </w:tc>
        <w:tc>
          <w:tcPr>
            <w:tcW w:w="1080" w:type="dxa"/>
            <w:vAlign w:val="center"/>
          </w:tcPr>
          <w:p w:rsidR="00A0318E" w:rsidRPr="001324A5" w:rsidRDefault="00A0318E" w:rsidP="0094264F">
            <w:pPr>
              <w:jc w:val="center"/>
              <w:rPr>
                <w:szCs w:val="22"/>
                <w:lang w:val="es-ES_tradnl"/>
              </w:rPr>
            </w:pPr>
            <w:r w:rsidRPr="001324A5">
              <w:rPr>
                <w:szCs w:val="22"/>
                <w:lang w:val="es-ES_tradnl"/>
              </w:rPr>
              <w:t>46</w:t>
            </w:r>
          </w:p>
        </w:tc>
        <w:tc>
          <w:tcPr>
            <w:tcW w:w="988" w:type="dxa"/>
            <w:vAlign w:val="center"/>
          </w:tcPr>
          <w:p w:rsidR="00A0318E" w:rsidRPr="001324A5" w:rsidRDefault="00A0318E" w:rsidP="0094264F">
            <w:pPr>
              <w:jc w:val="center"/>
              <w:rPr>
                <w:szCs w:val="22"/>
                <w:lang w:val="es-ES_tradnl"/>
              </w:rPr>
            </w:pPr>
            <w:r w:rsidRPr="001324A5">
              <w:rPr>
                <w:szCs w:val="22"/>
                <w:lang w:val="es-ES_tradnl"/>
              </w:rPr>
              <w:t xml:space="preserve">1 </w:t>
            </w:r>
          </w:p>
        </w:tc>
        <w:tc>
          <w:tcPr>
            <w:tcW w:w="1348" w:type="dxa"/>
            <w:vAlign w:val="center"/>
          </w:tcPr>
          <w:p w:rsidR="00A0318E" w:rsidRPr="001324A5" w:rsidRDefault="00A0318E" w:rsidP="0094264F">
            <w:pPr>
              <w:jc w:val="center"/>
              <w:rPr>
                <w:szCs w:val="22"/>
                <w:lang w:val="es-ES_tradnl"/>
              </w:rPr>
            </w:pPr>
            <w:r w:rsidRPr="001324A5">
              <w:rPr>
                <w:szCs w:val="22"/>
                <w:lang w:val="es-ES_tradnl"/>
              </w:rPr>
              <w:t>193</w:t>
            </w:r>
          </w:p>
        </w:tc>
      </w:tr>
      <w:tr w:rsidR="001324A5" w:rsidRPr="001324A5" w:rsidTr="009F7DDB">
        <w:trPr>
          <w:trHeight w:val="556"/>
          <w:jc w:val="center"/>
        </w:trPr>
        <w:tc>
          <w:tcPr>
            <w:tcW w:w="846" w:type="dxa"/>
            <w:vAlign w:val="center"/>
          </w:tcPr>
          <w:p w:rsidR="00A0318E" w:rsidRPr="001324A5" w:rsidRDefault="00A0318E" w:rsidP="00A0318E">
            <w:pPr>
              <w:numPr>
                <w:ilvl w:val="0"/>
                <w:numId w:val="8"/>
              </w:numPr>
              <w:spacing w:after="160" w:line="259" w:lineRule="auto"/>
              <w:contextualSpacing/>
              <w:rPr>
                <w:rFonts w:ascii="Calibri" w:eastAsia="Calibri" w:hAnsi="Calibri" w:cs="Times New Roman"/>
                <w:szCs w:val="22"/>
                <w:lang w:val="es-ES_tradnl" w:eastAsia="en-US"/>
              </w:rPr>
            </w:pPr>
          </w:p>
        </w:tc>
        <w:tc>
          <w:tcPr>
            <w:tcW w:w="4009" w:type="dxa"/>
            <w:vAlign w:val="center"/>
          </w:tcPr>
          <w:p w:rsidR="00A0318E" w:rsidRPr="001324A5" w:rsidRDefault="001324A5" w:rsidP="0094264F">
            <w:pPr>
              <w:jc w:val="center"/>
              <w:rPr>
                <w:szCs w:val="22"/>
                <w:lang w:val="es-ES_tradnl"/>
              </w:rPr>
            </w:pPr>
            <w:r>
              <w:rPr>
                <w:szCs w:val="22"/>
                <w:lang w:val="es-ES_tradnl"/>
              </w:rPr>
              <w:t>Plazas asignada</w:t>
            </w:r>
            <w:r w:rsidR="002705FD" w:rsidRPr="001324A5">
              <w:rPr>
                <w:szCs w:val="22"/>
                <w:lang w:val="es-ES_tradnl"/>
              </w:rPr>
              <w:t>s actualmente para el Comité de Coordinación</w:t>
            </w:r>
          </w:p>
        </w:tc>
        <w:tc>
          <w:tcPr>
            <w:tcW w:w="1170" w:type="dxa"/>
            <w:vAlign w:val="center"/>
          </w:tcPr>
          <w:p w:rsidR="00A0318E" w:rsidRPr="001324A5" w:rsidRDefault="00A0318E" w:rsidP="0094264F">
            <w:pPr>
              <w:jc w:val="center"/>
              <w:rPr>
                <w:szCs w:val="22"/>
                <w:lang w:val="es-ES_tradnl"/>
              </w:rPr>
            </w:pPr>
            <w:r w:rsidRPr="001324A5">
              <w:rPr>
                <w:szCs w:val="22"/>
                <w:lang w:val="es-ES_tradnl"/>
              </w:rPr>
              <w:t xml:space="preserve">23 </w:t>
            </w:r>
          </w:p>
        </w:tc>
        <w:tc>
          <w:tcPr>
            <w:tcW w:w="1260" w:type="dxa"/>
            <w:vAlign w:val="center"/>
          </w:tcPr>
          <w:p w:rsidR="00A0318E" w:rsidRPr="001324A5" w:rsidRDefault="00A0318E" w:rsidP="0094264F">
            <w:pPr>
              <w:jc w:val="center"/>
              <w:rPr>
                <w:szCs w:val="22"/>
                <w:lang w:val="es-ES_tradnl"/>
              </w:rPr>
            </w:pPr>
            <w:r w:rsidRPr="001324A5">
              <w:rPr>
                <w:szCs w:val="22"/>
                <w:lang w:val="es-ES_tradnl"/>
              </w:rPr>
              <w:t xml:space="preserve">19 </w:t>
            </w:r>
          </w:p>
        </w:tc>
        <w:tc>
          <w:tcPr>
            <w:tcW w:w="1641" w:type="dxa"/>
            <w:vAlign w:val="center"/>
          </w:tcPr>
          <w:p w:rsidR="00A0318E" w:rsidRPr="001324A5" w:rsidRDefault="00A0318E" w:rsidP="0094264F">
            <w:pPr>
              <w:jc w:val="center"/>
              <w:rPr>
                <w:szCs w:val="22"/>
                <w:lang w:val="es-ES_tradnl"/>
              </w:rPr>
            </w:pPr>
            <w:r w:rsidRPr="001324A5">
              <w:rPr>
                <w:szCs w:val="22"/>
                <w:lang w:val="es-ES_tradnl"/>
              </w:rPr>
              <w:t xml:space="preserve">4 </w:t>
            </w:r>
          </w:p>
        </w:tc>
        <w:tc>
          <w:tcPr>
            <w:tcW w:w="1329" w:type="dxa"/>
            <w:vAlign w:val="center"/>
          </w:tcPr>
          <w:p w:rsidR="00A0318E" w:rsidRPr="001324A5" w:rsidRDefault="00A0318E" w:rsidP="0094264F">
            <w:pPr>
              <w:jc w:val="center"/>
              <w:rPr>
                <w:szCs w:val="22"/>
                <w:lang w:val="es-ES_tradnl"/>
              </w:rPr>
            </w:pPr>
            <w:r w:rsidRPr="001324A5">
              <w:rPr>
                <w:szCs w:val="22"/>
                <w:lang w:val="es-ES_tradnl"/>
              </w:rPr>
              <w:t xml:space="preserve">6 </w:t>
            </w:r>
          </w:p>
        </w:tc>
        <w:tc>
          <w:tcPr>
            <w:tcW w:w="1350" w:type="dxa"/>
            <w:vAlign w:val="center"/>
          </w:tcPr>
          <w:p w:rsidR="00A0318E" w:rsidRPr="001324A5" w:rsidRDefault="00A0318E" w:rsidP="0094264F">
            <w:pPr>
              <w:jc w:val="center"/>
              <w:rPr>
                <w:szCs w:val="22"/>
                <w:lang w:val="es-ES_tradnl"/>
              </w:rPr>
            </w:pPr>
            <w:r w:rsidRPr="001324A5">
              <w:rPr>
                <w:szCs w:val="22"/>
                <w:lang w:val="es-ES_tradnl"/>
              </w:rPr>
              <w:t xml:space="preserve">15 </w:t>
            </w:r>
          </w:p>
        </w:tc>
        <w:tc>
          <w:tcPr>
            <w:tcW w:w="1080" w:type="dxa"/>
            <w:vAlign w:val="center"/>
          </w:tcPr>
          <w:p w:rsidR="00A0318E" w:rsidRPr="001324A5" w:rsidRDefault="00A0318E" w:rsidP="0094264F">
            <w:pPr>
              <w:jc w:val="center"/>
              <w:rPr>
                <w:szCs w:val="22"/>
                <w:lang w:val="es-ES_tradnl"/>
              </w:rPr>
            </w:pPr>
            <w:r w:rsidRPr="001324A5">
              <w:rPr>
                <w:szCs w:val="22"/>
                <w:lang w:val="es-ES_tradnl"/>
              </w:rPr>
              <w:t xml:space="preserve">15 </w:t>
            </w:r>
          </w:p>
        </w:tc>
        <w:tc>
          <w:tcPr>
            <w:tcW w:w="988" w:type="dxa"/>
            <w:vAlign w:val="center"/>
          </w:tcPr>
          <w:p w:rsidR="00A0318E" w:rsidRPr="001324A5" w:rsidRDefault="00A0318E" w:rsidP="0094264F">
            <w:pPr>
              <w:jc w:val="center"/>
              <w:rPr>
                <w:szCs w:val="22"/>
                <w:lang w:val="es-ES_tradnl"/>
              </w:rPr>
            </w:pPr>
            <w:r w:rsidRPr="001324A5">
              <w:rPr>
                <w:szCs w:val="22"/>
                <w:lang w:val="es-ES_tradnl"/>
              </w:rPr>
              <w:t xml:space="preserve">1 </w:t>
            </w:r>
          </w:p>
        </w:tc>
        <w:tc>
          <w:tcPr>
            <w:tcW w:w="1348" w:type="dxa"/>
            <w:vAlign w:val="center"/>
          </w:tcPr>
          <w:p w:rsidR="00A0318E" w:rsidRPr="001324A5" w:rsidRDefault="00A0318E" w:rsidP="0094264F">
            <w:pPr>
              <w:jc w:val="center"/>
              <w:rPr>
                <w:szCs w:val="22"/>
                <w:lang w:val="es-ES_tradnl"/>
              </w:rPr>
            </w:pPr>
            <w:r w:rsidRPr="001324A5">
              <w:rPr>
                <w:szCs w:val="22"/>
                <w:lang w:val="es-ES_tradnl"/>
              </w:rPr>
              <w:t>83</w:t>
            </w:r>
          </w:p>
        </w:tc>
      </w:tr>
      <w:tr w:rsidR="001324A5" w:rsidRPr="001324A5" w:rsidTr="009F7DDB">
        <w:trPr>
          <w:trHeight w:val="578"/>
          <w:jc w:val="center"/>
        </w:trPr>
        <w:tc>
          <w:tcPr>
            <w:tcW w:w="846" w:type="dxa"/>
            <w:vAlign w:val="center"/>
          </w:tcPr>
          <w:p w:rsidR="00A0318E" w:rsidRPr="001324A5" w:rsidRDefault="00A0318E" w:rsidP="00A0318E">
            <w:pPr>
              <w:numPr>
                <w:ilvl w:val="0"/>
                <w:numId w:val="8"/>
              </w:numPr>
              <w:spacing w:after="160" w:line="259" w:lineRule="auto"/>
              <w:contextualSpacing/>
              <w:rPr>
                <w:rFonts w:ascii="Calibri" w:eastAsia="Calibri" w:hAnsi="Calibri" w:cs="Times New Roman"/>
                <w:szCs w:val="22"/>
                <w:lang w:val="es-ES_tradnl" w:eastAsia="en-US"/>
              </w:rPr>
            </w:pPr>
          </w:p>
        </w:tc>
        <w:tc>
          <w:tcPr>
            <w:tcW w:w="4009" w:type="dxa"/>
            <w:vAlign w:val="center"/>
          </w:tcPr>
          <w:p w:rsidR="00A0318E" w:rsidRPr="001324A5" w:rsidRDefault="002705FD" w:rsidP="001324A5">
            <w:pPr>
              <w:jc w:val="center"/>
              <w:rPr>
                <w:szCs w:val="22"/>
                <w:lang w:val="es-ES_tradnl"/>
              </w:rPr>
            </w:pPr>
            <w:r w:rsidRPr="001324A5">
              <w:rPr>
                <w:szCs w:val="22"/>
                <w:lang w:val="es-ES_tradnl"/>
              </w:rPr>
              <w:t>Porcentaje de miembros del grupo representados en el Comité de Coordinación</w:t>
            </w:r>
            <w:r w:rsidR="00A0318E" w:rsidRPr="001324A5">
              <w:rPr>
                <w:szCs w:val="22"/>
                <w:vertAlign w:val="superscript"/>
                <w:lang w:val="es-ES_tradnl"/>
              </w:rPr>
              <w:footnoteReference w:id="3"/>
            </w:r>
          </w:p>
        </w:tc>
        <w:tc>
          <w:tcPr>
            <w:tcW w:w="1170" w:type="dxa"/>
            <w:vAlign w:val="center"/>
          </w:tcPr>
          <w:p w:rsidR="00A0318E" w:rsidRPr="001324A5" w:rsidRDefault="00A0318E" w:rsidP="0094264F">
            <w:pPr>
              <w:jc w:val="center"/>
              <w:rPr>
                <w:szCs w:val="22"/>
                <w:lang w:val="es-ES_tradnl"/>
              </w:rPr>
            </w:pPr>
            <w:r w:rsidRPr="001324A5">
              <w:rPr>
                <w:szCs w:val="22"/>
                <w:lang w:val="es-ES_tradnl"/>
              </w:rPr>
              <w:t>71</w:t>
            </w:r>
            <w:r w:rsidR="00FA4D6D" w:rsidRPr="001324A5">
              <w:rPr>
                <w:szCs w:val="22"/>
                <w:lang w:val="es-ES_tradnl"/>
              </w:rPr>
              <w:t>,</w:t>
            </w:r>
            <w:r w:rsidRPr="001324A5">
              <w:rPr>
                <w:szCs w:val="22"/>
                <w:lang w:val="es-ES_tradnl"/>
              </w:rPr>
              <w:t>88%</w:t>
            </w:r>
          </w:p>
        </w:tc>
        <w:tc>
          <w:tcPr>
            <w:tcW w:w="1260" w:type="dxa"/>
            <w:vAlign w:val="center"/>
          </w:tcPr>
          <w:p w:rsidR="00A0318E" w:rsidRPr="001324A5" w:rsidRDefault="00A0318E" w:rsidP="0094264F">
            <w:pPr>
              <w:jc w:val="center"/>
              <w:rPr>
                <w:szCs w:val="22"/>
                <w:lang w:val="es-ES_tradnl"/>
              </w:rPr>
            </w:pPr>
            <w:r w:rsidRPr="001324A5">
              <w:rPr>
                <w:szCs w:val="22"/>
                <w:lang w:val="es-ES_tradnl"/>
              </w:rPr>
              <w:t>35</w:t>
            </w:r>
            <w:r w:rsidR="00FA4D6D" w:rsidRPr="001324A5">
              <w:rPr>
                <w:szCs w:val="22"/>
                <w:lang w:val="es-ES_tradnl"/>
              </w:rPr>
              <w:t>,</w:t>
            </w:r>
            <w:r w:rsidRPr="001324A5">
              <w:rPr>
                <w:szCs w:val="22"/>
                <w:lang w:val="es-ES_tradnl"/>
              </w:rPr>
              <w:t>85%</w:t>
            </w:r>
          </w:p>
        </w:tc>
        <w:tc>
          <w:tcPr>
            <w:tcW w:w="1641" w:type="dxa"/>
            <w:vAlign w:val="center"/>
          </w:tcPr>
          <w:p w:rsidR="00A0318E" w:rsidRPr="001324A5" w:rsidRDefault="00A0318E" w:rsidP="0094264F">
            <w:pPr>
              <w:jc w:val="center"/>
              <w:rPr>
                <w:szCs w:val="22"/>
                <w:lang w:val="es-ES_tradnl"/>
              </w:rPr>
            </w:pPr>
            <w:r w:rsidRPr="001324A5">
              <w:rPr>
                <w:szCs w:val="22"/>
                <w:lang w:val="es-ES_tradnl"/>
              </w:rPr>
              <w:t>44</w:t>
            </w:r>
            <w:r w:rsidR="00FA4D6D" w:rsidRPr="001324A5">
              <w:rPr>
                <w:szCs w:val="22"/>
                <w:lang w:val="es-ES_tradnl"/>
              </w:rPr>
              <w:t>,</w:t>
            </w:r>
            <w:r w:rsidRPr="001324A5">
              <w:rPr>
                <w:szCs w:val="22"/>
                <w:lang w:val="es-ES_tradnl"/>
              </w:rPr>
              <w:t>44%</w:t>
            </w:r>
          </w:p>
        </w:tc>
        <w:tc>
          <w:tcPr>
            <w:tcW w:w="1329" w:type="dxa"/>
            <w:vAlign w:val="center"/>
          </w:tcPr>
          <w:p w:rsidR="00A0318E" w:rsidRPr="001324A5" w:rsidRDefault="00A0318E" w:rsidP="0094264F">
            <w:pPr>
              <w:jc w:val="center"/>
              <w:rPr>
                <w:szCs w:val="22"/>
                <w:lang w:val="es-ES_tradnl"/>
              </w:rPr>
            </w:pPr>
            <w:r w:rsidRPr="001324A5">
              <w:rPr>
                <w:szCs w:val="22"/>
                <w:lang w:val="es-ES_tradnl"/>
              </w:rPr>
              <w:t>31</w:t>
            </w:r>
            <w:r w:rsidR="00FA4D6D" w:rsidRPr="001324A5">
              <w:rPr>
                <w:szCs w:val="22"/>
                <w:lang w:val="es-ES_tradnl"/>
              </w:rPr>
              <w:t>,</w:t>
            </w:r>
            <w:r w:rsidRPr="001324A5">
              <w:rPr>
                <w:szCs w:val="22"/>
                <w:lang w:val="es-ES_tradnl"/>
              </w:rPr>
              <w:t>58%</w:t>
            </w:r>
          </w:p>
        </w:tc>
        <w:tc>
          <w:tcPr>
            <w:tcW w:w="1350" w:type="dxa"/>
            <w:vAlign w:val="center"/>
          </w:tcPr>
          <w:p w:rsidR="00A0318E" w:rsidRPr="001324A5" w:rsidRDefault="00A0318E" w:rsidP="0094264F">
            <w:pPr>
              <w:jc w:val="center"/>
              <w:rPr>
                <w:szCs w:val="22"/>
                <w:lang w:val="es-ES_tradnl"/>
              </w:rPr>
            </w:pPr>
            <w:r w:rsidRPr="001324A5">
              <w:rPr>
                <w:szCs w:val="22"/>
                <w:lang w:val="es-ES_tradnl"/>
              </w:rPr>
              <w:t>45</w:t>
            </w:r>
            <w:r w:rsidR="00FA4D6D" w:rsidRPr="001324A5">
              <w:rPr>
                <w:szCs w:val="22"/>
                <w:lang w:val="es-ES_tradnl"/>
              </w:rPr>
              <w:t>,</w:t>
            </w:r>
            <w:r w:rsidRPr="001324A5">
              <w:rPr>
                <w:szCs w:val="22"/>
                <w:lang w:val="es-ES_tradnl"/>
              </w:rPr>
              <w:t>45%</w:t>
            </w:r>
          </w:p>
        </w:tc>
        <w:tc>
          <w:tcPr>
            <w:tcW w:w="1080" w:type="dxa"/>
            <w:vAlign w:val="center"/>
          </w:tcPr>
          <w:p w:rsidR="00A0318E" w:rsidRPr="001324A5" w:rsidRDefault="00A0318E" w:rsidP="0094264F">
            <w:pPr>
              <w:jc w:val="center"/>
              <w:rPr>
                <w:szCs w:val="22"/>
                <w:lang w:val="es-ES_tradnl"/>
              </w:rPr>
            </w:pPr>
            <w:r w:rsidRPr="001324A5">
              <w:rPr>
                <w:szCs w:val="22"/>
                <w:lang w:val="es-ES_tradnl"/>
              </w:rPr>
              <w:t>32</w:t>
            </w:r>
            <w:r w:rsidR="00FA4D6D" w:rsidRPr="001324A5">
              <w:rPr>
                <w:szCs w:val="22"/>
                <w:lang w:val="es-ES_tradnl"/>
              </w:rPr>
              <w:t>,</w:t>
            </w:r>
            <w:r w:rsidRPr="001324A5">
              <w:rPr>
                <w:szCs w:val="22"/>
                <w:lang w:val="es-ES_tradnl"/>
              </w:rPr>
              <w:t>61%</w:t>
            </w:r>
          </w:p>
        </w:tc>
        <w:tc>
          <w:tcPr>
            <w:tcW w:w="988" w:type="dxa"/>
            <w:vAlign w:val="center"/>
          </w:tcPr>
          <w:p w:rsidR="00A0318E" w:rsidRPr="001324A5" w:rsidRDefault="00A0318E" w:rsidP="0094264F">
            <w:pPr>
              <w:jc w:val="center"/>
              <w:rPr>
                <w:szCs w:val="22"/>
                <w:lang w:val="es-ES_tradnl"/>
              </w:rPr>
            </w:pPr>
            <w:r w:rsidRPr="001324A5">
              <w:rPr>
                <w:szCs w:val="22"/>
                <w:lang w:val="es-ES_tradnl"/>
              </w:rPr>
              <w:t>NA</w:t>
            </w:r>
          </w:p>
        </w:tc>
        <w:tc>
          <w:tcPr>
            <w:tcW w:w="1348" w:type="dxa"/>
            <w:vAlign w:val="center"/>
          </w:tcPr>
          <w:p w:rsidR="00A0318E" w:rsidRPr="001324A5" w:rsidRDefault="00A0318E" w:rsidP="001324A5">
            <w:pPr>
              <w:jc w:val="center"/>
              <w:rPr>
                <w:szCs w:val="22"/>
                <w:lang w:val="es-ES_tradnl"/>
              </w:rPr>
            </w:pPr>
            <w:r w:rsidRPr="001324A5">
              <w:rPr>
                <w:szCs w:val="22"/>
                <w:lang w:val="es-ES_tradnl"/>
              </w:rPr>
              <w:t>-</w:t>
            </w:r>
          </w:p>
        </w:tc>
      </w:tr>
      <w:tr w:rsidR="001324A5" w:rsidRPr="001324A5" w:rsidTr="009F7DDB">
        <w:trPr>
          <w:trHeight w:val="533"/>
          <w:jc w:val="center"/>
        </w:trPr>
        <w:tc>
          <w:tcPr>
            <w:tcW w:w="846" w:type="dxa"/>
            <w:vAlign w:val="center"/>
          </w:tcPr>
          <w:p w:rsidR="00A0318E" w:rsidRPr="001324A5" w:rsidRDefault="00A0318E" w:rsidP="00A0318E">
            <w:pPr>
              <w:numPr>
                <w:ilvl w:val="0"/>
                <w:numId w:val="8"/>
              </w:numPr>
              <w:spacing w:after="160" w:line="259" w:lineRule="auto"/>
              <w:contextualSpacing/>
              <w:rPr>
                <w:rFonts w:ascii="Calibri" w:eastAsia="Calibri" w:hAnsi="Calibri" w:cs="Times New Roman"/>
                <w:szCs w:val="22"/>
                <w:lang w:val="es-ES_tradnl" w:eastAsia="en-US"/>
              </w:rPr>
            </w:pPr>
          </w:p>
        </w:tc>
        <w:tc>
          <w:tcPr>
            <w:tcW w:w="4009" w:type="dxa"/>
            <w:vAlign w:val="center"/>
          </w:tcPr>
          <w:p w:rsidR="00A0318E" w:rsidRPr="001324A5" w:rsidRDefault="002705FD" w:rsidP="0094264F">
            <w:pPr>
              <w:jc w:val="center"/>
              <w:rPr>
                <w:szCs w:val="22"/>
                <w:lang w:val="es-ES_tradnl"/>
              </w:rPr>
            </w:pPr>
            <w:r w:rsidRPr="001324A5">
              <w:rPr>
                <w:szCs w:val="22"/>
                <w:lang w:val="es-ES_tradnl"/>
              </w:rPr>
              <w:t xml:space="preserve">Porcentaje del grupo con respecto al número de miembros de la OMPI </w:t>
            </w:r>
            <w:r w:rsidR="00A0318E" w:rsidRPr="001324A5">
              <w:rPr>
                <w:szCs w:val="22"/>
                <w:vertAlign w:val="superscript"/>
                <w:lang w:val="es-ES_tradnl"/>
              </w:rPr>
              <w:footnoteReference w:id="4"/>
            </w:r>
          </w:p>
        </w:tc>
        <w:tc>
          <w:tcPr>
            <w:tcW w:w="1170" w:type="dxa"/>
            <w:vAlign w:val="center"/>
          </w:tcPr>
          <w:p w:rsidR="00A0318E" w:rsidRPr="001324A5" w:rsidRDefault="00A0318E" w:rsidP="0094264F">
            <w:pPr>
              <w:jc w:val="center"/>
              <w:rPr>
                <w:szCs w:val="22"/>
                <w:lang w:val="es-ES_tradnl"/>
              </w:rPr>
            </w:pPr>
            <w:r w:rsidRPr="001324A5">
              <w:rPr>
                <w:rFonts w:eastAsia="Calibri"/>
                <w:szCs w:val="22"/>
                <w:lang w:val="es-ES_tradnl"/>
              </w:rPr>
              <w:t>16</w:t>
            </w:r>
            <w:r w:rsidR="00FA4D6D" w:rsidRPr="001324A5">
              <w:rPr>
                <w:rFonts w:eastAsia="Calibri"/>
                <w:szCs w:val="22"/>
                <w:lang w:val="es-ES_tradnl"/>
              </w:rPr>
              <w:t>,</w:t>
            </w:r>
            <w:r w:rsidRPr="001324A5">
              <w:rPr>
                <w:rFonts w:eastAsia="Calibri"/>
                <w:szCs w:val="22"/>
                <w:lang w:val="es-ES_tradnl"/>
              </w:rPr>
              <w:t>58%</w:t>
            </w:r>
          </w:p>
        </w:tc>
        <w:tc>
          <w:tcPr>
            <w:tcW w:w="1260" w:type="dxa"/>
            <w:vAlign w:val="center"/>
          </w:tcPr>
          <w:p w:rsidR="00A0318E" w:rsidRPr="001324A5" w:rsidRDefault="00A0318E" w:rsidP="0094264F">
            <w:pPr>
              <w:jc w:val="center"/>
              <w:rPr>
                <w:szCs w:val="22"/>
                <w:lang w:val="es-ES_tradnl"/>
              </w:rPr>
            </w:pPr>
            <w:r w:rsidRPr="001324A5">
              <w:rPr>
                <w:rFonts w:eastAsia="Calibri"/>
                <w:szCs w:val="22"/>
                <w:lang w:val="es-ES_tradnl"/>
              </w:rPr>
              <w:t>27</w:t>
            </w:r>
            <w:r w:rsidR="00FA4D6D" w:rsidRPr="001324A5">
              <w:rPr>
                <w:rFonts w:eastAsia="Calibri"/>
                <w:szCs w:val="22"/>
                <w:lang w:val="es-ES_tradnl"/>
              </w:rPr>
              <w:t>,</w:t>
            </w:r>
            <w:r w:rsidRPr="001324A5">
              <w:rPr>
                <w:rFonts w:eastAsia="Calibri"/>
                <w:szCs w:val="22"/>
                <w:lang w:val="es-ES_tradnl"/>
              </w:rPr>
              <w:t>46%</w:t>
            </w:r>
          </w:p>
        </w:tc>
        <w:tc>
          <w:tcPr>
            <w:tcW w:w="1641" w:type="dxa"/>
            <w:vAlign w:val="center"/>
          </w:tcPr>
          <w:p w:rsidR="00A0318E" w:rsidRPr="001324A5" w:rsidRDefault="00A0318E" w:rsidP="0094264F">
            <w:pPr>
              <w:jc w:val="center"/>
              <w:rPr>
                <w:szCs w:val="22"/>
                <w:lang w:val="es-ES_tradnl"/>
              </w:rPr>
            </w:pPr>
            <w:r w:rsidRPr="001324A5">
              <w:rPr>
                <w:rFonts w:eastAsia="Calibri"/>
                <w:szCs w:val="22"/>
                <w:lang w:val="es-ES_tradnl"/>
              </w:rPr>
              <w:t>4</w:t>
            </w:r>
            <w:r w:rsidR="00FA4D6D" w:rsidRPr="001324A5">
              <w:rPr>
                <w:rFonts w:eastAsia="Calibri"/>
                <w:szCs w:val="22"/>
                <w:lang w:val="es-ES_tradnl"/>
              </w:rPr>
              <w:t>,</w:t>
            </w:r>
            <w:r w:rsidRPr="001324A5">
              <w:rPr>
                <w:rFonts w:eastAsia="Calibri"/>
                <w:szCs w:val="22"/>
                <w:lang w:val="es-ES_tradnl"/>
              </w:rPr>
              <w:t>66%</w:t>
            </w:r>
          </w:p>
        </w:tc>
        <w:tc>
          <w:tcPr>
            <w:tcW w:w="1329" w:type="dxa"/>
            <w:vAlign w:val="center"/>
          </w:tcPr>
          <w:p w:rsidR="00A0318E" w:rsidRPr="001324A5" w:rsidRDefault="00A0318E" w:rsidP="0094264F">
            <w:pPr>
              <w:jc w:val="center"/>
              <w:rPr>
                <w:szCs w:val="22"/>
                <w:lang w:val="es-ES_tradnl"/>
              </w:rPr>
            </w:pPr>
            <w:r w:rsidRPr="001324A5">
              <w:rPr>
                <w:rFonts w:eastAsia="Calibri"/>
                <w:szCs w:val="22"/>
                <w:lang w:val="es-ES_tradnl"/>
              </w:rPr>
              <w:t>9</w:t>
            </w:r>
            <w:r w:rsidR="00FA4D6D" w:rsidRPr="001324A5">
              <w:rPr>
                <w:rFonts w:eastAsia="Calibri"/>
                <w:szCs w:val="22"/>
                <w:lang w:val="es-ES_tradnl"/>
              </w:rPr>
              <w:t>,</w:t>
            </w:r>
            <w:r w:rsidRPr="001324A5">
              <w:rPr>
                <w:rFonts w:eastAsia="Calibri"/>
                <w:szCs w:val="22"/>
                <w:lang w:val="es-ES_tradnl"/>
              </w:rPr>
              <w:t>84%</w:t>
            </w:r>
          </w:p>
        </w:tc>
        <w:tc>
          <w:tcPr>
            <w:tcW w:w="1350" w:type="dxa"/>
            <w:vAlign w:val="center"/>
          </w:tcPr>
          <w:p w:rsidR="00A0318E" w:rsidRPr="001324A5" w:rsidRDefault="00A0318E" w:rsidP="0094264F">
            <w:pPr>
              <w:jc w:val="center"/>
              <w:rPr>
                <w:szCs w:val="22"/>
                <w:lang w:val="es-ES_tradnl"/>
              </w:rPr>
            </w:pPr>
            <w:r w:rsidRPr="001324A5">
              <w:rPr>
                <w:rFonts w:eastAsia="Calibri"/>
                <w:szCs w:val="22"/>
                <w:lang w:val="es-ES_tradnl"/>
              </w:rPr>
              <w:t>17</w:t>
            </w:r>
            <w:r w:rsidR="00FA4D6D" w:rsidRPr="001324A5">
              <w:rPr>
                <w:rFonts w:eastAsia="Calibri"/>
                <w:szCs w:val="22"/>
                <w:lang w:val="es-ES_tradnl"/>
              </w:rPr>
              <w:t>,</w:t>
            </w:r>
            <w:r w:rsidRPr="001324A5">
              <w:rPr>
                <w:rFonts w:eastAsia="Calibri"/>
                <w:szCs w:val="22"/>
                <w:lang w:val="es-ES_tradnl"/>
              </w:rPr>
              <w:t>10%</w:t>
            </w:r>
          </w:p>
        </w:tc>
        <w:tc>
          <w:tcPr>
            <w:tcW w:w="1080" w:type="dxa"/>
            <w:vAlign w:val="center"/>
          </w:tcPr>
          <w:p w:rsidR="00A0318E" w:rsidRPr="001324A5" w:rsidRDefault="00A0318E" w:rsidP="0094264F">
            <w:pPr>
              <w:jc w:val="center"/>
              <w:rPr>
                <w:szCs w:val="22"/>
                <w:lang w:val="es-ES_tradnl"/>
              </w:rPr>
            </w:pPr>
            <w:r w:rsidRPr="001324A5">
              <w:rPr>
                <w:rFonts w:eastAsia="Calibri"/>
                <w:szCs w:val="22"/>
                <w:lang w:val="es-ES_tradnl"/>
              </w:rPr>
              <w:t>23</w:t>
            </w:r>
            <w:r w:rsidR="00FA4D6D" w:rsidRPr="001324A5">
              <w:rPr>
                <w:rFonts w:eastAsia="Calibri"/>
                <w:szCs w:val="22"/>
                <w:lang w:val="es-ES_tradnl"/>
              </w:rPr>
              <w:t>,</w:t>
            </w:r>
            <w:r w:rsidRPr="001324A5">
              <w:rPr>
                <w:rFonts w:eastAsia="Calibri"/>
                <w:szCs w:val="22"/>
                <w:lang w:val="es-ES_tradnl"/>
              </w:rPr>
              <w:t>83%</w:t>
            </w:r>
          </w:p>
        </w:tc>
        <w:tc>
          <w:tcPr>
            <w:tcW w:w="988" w:type="dxa"/>
            <w:vAlign w:val="center"/>
          </w:tcPr>
          <w:p w:rsidR="00A0318E" w:rsidRPr="001324A5" w:rsidRDefault="001324A5" w:rsidP="0094264F">
            <w:pPr>
              <w:jc w:val="center"/>
              <w:rPr>
                <w:szCs w:val="22"/>
                <w:lang w:val="es-ES_tradnl"/>
              </w:rPr>
            </w:pPr>
            <w:r>
              <w:rPr>
                <w:szCs w:val="22"/>
                <w:lang w:val="es-ES_tradnl"/>
              </w:rPr>
              <w:t>NA</w:t>
            </w:r>
          </w:p>
        </w:tc>
        <w:tc>
          <w:tcPr>
            <w:tcW w:w="1348" w:type="dxa"/>
            <w:vAlign w:val="center"/>
          </w:tcPr>
          <w:p w:rsidR="00A0318E" w:rsidRPr="001324A5" w:rsidRDefault="00A0318E" w:rsidP="0094264F">
            <w:pPr>
              <w:jc w:val="center"/>
              <w:rPr>
                <w:szCs w:val="22"/>
                <w:lang w:val="es-ES_tradnl"/>
              </w:rPr>
            </w:pPr>
            <w:r w:rsidRPr="001324A5">
              <w:rPr>
                <w:szCs w:val="22"/>
                <w:lang w:val="es-ES_tradnl"/>
              </w:rPr>
              <w:t>100%</w:t>
            </w:r>
          </w:p>
        </w:tc>
      </w:tr>
      <w:tr w:rsidR="001324A5" w:rsidRPr="001324A5" w:rsidTr="009F7DDB">
        <w:trPr>
          <w:trHeight w:val="541"/>
          <w:jc w:val="center"/>
        </w:trPr>
        <w:tc>
          <w:tcPr>
            <w:tcW w:w="846" w:type="dxa"/>
            <w:vAlign w:val="center"/>
          </w:tcPr>
          <w:p w:rsidR="00A0318E" w:rsidRPr="001324A5" w:rsidRDefault="00A0318E" w:rsidP="00A0318E">
            <w:pPr>
              <w:numPr>
                <w:ilvl w:val="0"/>
                <w:numId w:val="8"/>
              </w:numPr>
              <w:spacing w:after="160" w:line="259" w:lineRule="auto"/>
              <w:contextualSpacing/>
              <w:rPr>
                <w:rFonts w:ascii="Calibri" w:eastAsia="Calibri" w:hAnsi="Calibri" w:cs="Times New Roman"/>
                <w:szCs w:val="22"/>
                <w:lang w:val="es-ES_tradnl" w:eastAsia="en-US"/>
              </w:rPr>
            </w:pPr>
          </w:p>
        </w:tc>
        <w:tc>
          <w:tcPr>
            <w:tcW w:w="4009" w:type="dxa"/>
            <w:vAlign w:val="center"/>
          </w:tcPr>
          <w:p w:rsidR="00A0318E" w:rsidRPr="001324A5" w:rsidRDefault="002705FD" w:rsidP="0094264F">
            <w:pPr>
              <w:jc w:val="center"/>
              <w:rPr>
                <w:szCs w:val="22"/>
                <w:lang w:val="es-ES_tradnl"/>
              </w:rPr>
            </w:pPr>
            <w:r w:rsidRPr="001324A5">
              <w:rPr>
                <w:szCs w:val="22"/>
                <w:lang w:val="es-ES_tradnl"/>
              </w:rPr>
              <w:t>Porcentaje del grupo con respecto al número de miembros del Comité de Coordinación</w:t>
            </w:r>
            <w:r w:rsidR="00A0318E" w:rsidRPr="001324A5">
              <w:rPr>
                <w:szCs w:val="22"/>
                <w:vertAlign w:val="superscript"/>
                <w:lang w:val="es-ES_tradnl"/>
              </w:rPr>
              <w:footnoteReference w:id="5"/>
            </w:r>
          </w:p>
        </w:tc>
        <w:tc>
          <w:tcPr>
            <w:tcW w:w="1170" w:type="dxa"/>
            <w:vAlign w:val="center"/>
          </w:tcPr>
          <w:p w:rsidR="00A0318E" w:rsidRPr="001324A5" w:rsidRDefault="00A0318E" w:rsidP="0094264F">
            <w:pPr>
              <w:jc w:val="center"/>
              <w:rPr>
                <w:szCs w:val="22"/>
                <w:lang w:val="es-ES_tradnl"/>
              </w:rPr>
            </w:pPr>
            <w:r w:rsidRPr="001324A5">
              <w:rPr>
                <w:szCs w:val="22"/>
                <w:lang w:val="es-ES_tradnl"/>
              </w:rPr>
              <w:t>27</w:t>
            </w:r>
            <w:r w:rsidR="00FA4D6D" w:rsidRPr="001324A5">
              <w:rPr>
                <w:szCs w:val="22"/>
                <w:lang w:val="es-ES_tradnl"/>
              </w:rPr>
              <w:t>,</w:t>
            </w:r>
            <w:r w:rsidRPr="001324A5">
              <w:rPr>
                <w:szCs w:val="22"/>
                <w:lang w:val="es-ES_tradnl"/>
              </w:rPr>
              <w:t>71%</w:t>
            </w:r>
          </w:p>
        </w:tc>
        <w:tc>
          <w:tcPr>
            <w:tcW w:w="1260" w:type="dxa"/>
            <w:vAlign w:val="center"/>
          </w:tcPr>
          <w:p w:rsidR="00A0318E" w:rsidRPr="001324A5" w:rsidRDefault="00A0318E" w:rsidP="0094264F">
            <w:pPr>
              <w:jc w:val="center"/>
              <w:rPr>
                <w:szCs w:val="22"/>
                <w:lang w:val="es-ES_tradnl"/>
              </w:rPr>
            </w:pPr>
            <w:r w:rsidRPr="001324A5">
              <w:rPr>
                <w:szCs w:val="22"/>
                <w:lang w:val="es-ES_tradnl"/>
              </w:rPr>
              <w:t>22</w:t>
            </w:r>
            <w:r w:rsidR="00FA4D6D" w:rsidRPr="001324A5">
              <w:rPr>
                <w:szCs w:val="22"/>
                <w:lang w:val="es-ES_tradnl"/>
              </w:rPr>
              <w:t>,</w:t>
            </w:r>
            <w:r w:rsidRPr="001324A5">
              <w:rPr>
                <w:szCs w:val="22"/>
                <w:lang w:val="es-ES_tradnl"/>
              </w:rPr>
              <w:t>89%</w:t>
            </w:r>
          </w:p>
        </w:tc>
        <w:tc>
          <w:tcPr>
            <w:tcW w:w="1641" w:type="dxa"/>
            <w:vAlign w:val="center"/>
          </w:tcPr>
          <w:p w:rsidR="00A0318E" w:rsidRPr="001324A5" w:rsidRDefault="00A0318E" w:rsidP="0094264F">
            <w:pPr>
              <w:jc w:val="center"/>
              <w:rPr>
                <w:szCs w:val="22"/>
                <w:lang w:val="es-ES_tradnl"/>
              </w:rPr>
            </w:pPr>
            <w:r w:rsidRPr="001324A5">
              <w:rPr>
                <w:szCs w:val="22"/>
                <w:lang w:val="es-ES_tradnl"/>
              </w:rPr>
              <w:t>4</w:t>
            </w:r>
            <w:r w:rsidR="00FA4D6D" w:rsidRPr="001324A5">
              <w:rPr>
                <w:szCs w:val="22"/>
                <w:lang w:val="es-ES_tradnl"/>
              </w:rPr>
              <w:t>,</w:t>
            </w:r>
            <w:r w:rsidRPr="001324A5">
              <w:rPr>
                <w:szCs w:val="22"/>
                <w:lang w:val="es-ES_tradnl"/>
              </w:rPr>
              <w:t>82%</w:t>
            </w:r>
          </w:p>
        </w:tc>
        <w:tc>
          <w:tcPr>
            <w:tcW w:w="1329" w:type="dxa"/>
            <w:vAlign w:val="center"/>
          </w:tcPr>
          <w:p w:rsidR="00A0318E" w:rsidRPr="001324A5" w:rsidRDefault="00A0318E" w:rsidP="0094264F">
            <w:pPr>
              <w:jc w:val="center"/>
              <w:rPr>
                <w:szCs w:val="22"/>
                <w:lang w:val="es-ES_tradnl"/>
              </w:rPr>
            </w:pPr>
            <w:r w:rsidRPr="001324A5">
              <w:rPr>
                <w:szCs w:val="22"/>
                <w:lang w:val="es-ES_tradnl"/>
              </w:rPr>
              <w:t>7</w:t>
            </w:r>
            <w:r w:rsidR="00FA4D6D" w:rsidRPr="001324A5">
              <w:rPr>
                <w:szCs w:val="22"/>
                <w:lang w:val="es-ES_tradnl"/>
              </w:rPr>
              <w:t>,</w:t>
            </w:r>
            <w:r w:rsidRPr="001324A5">
              <w:rPr>
                <w:szCs w:val="22"/>
                <w:lang w:val="es-ES_tradnl"/>
              </w:rPr>
              <w:t>23%</w:t>
            </w:r>
          </w:p>
        </w:tc>
        <w:tc>
          <w:tcPr>
            <w:tcW w:w="1350" w:type="dxa"/>
            <w:vAlign w:val="center"/>
          </w:tcPr>
          <w:p w:rsidR="00A0318E" w:rsidRPr="001324A5" w:rsidRDefault="00A0318E" w:rsidP="0094264F">
            <w:pPr>
              <w:jc w:val="center"/>
              <w:rPr>
                <w:szCs w:val="22"/>
                <w:lang w:val="es-ES_tradnl"/>
              </w:rPr>
            </w:pPr>
            <w:r w:rsidRPr="001324A5">
              <w:rPr>
                <w:szCs w:val="22"/>
                <w:lang w:val="es-ES_tradnl"/>
              </w:rPr>
              <w:t>18</w:t>
            </w:r>
            <w:r w:rsidR="00FA4D6D" w:rsidRPr="001324A5">
              <w:rPr>
                <w:szCs w:val="22"/>
                <w:lang w:val="es-ES_tradnl"/>
              </w:rPr>
              <w:t>,</w:t>
            </w:r>
            <w:r w:rsidRPr="001324A5">
              <w:rPr>
                <w:szCs w:val="22"/>
                <w:lang w:val="es-ES_tradnl"/>
              </w:rPr>
              <w:t>07%</w:t>
            </w:r>
          </w:p>
        </w:tc>
        <w:tc>
          <w:tcPr>
            <w:tcW w:w="1080" w:type="dxa"/>
            <w:vAlign w:val="center"/>
          </w:tcPr>
          <w:p w:rsidR="00A0318E" w:rsidRPr="001324A5" w:rsidRDefault="00A0318E" w:rsidP="0094264F">
            <w:pPr>
              <w:jc w:val="center"/>
              <w:rPr>
                <w:szCs w:val="22"/>
                <w:lang w:val="es-ES_tradnl"/>
              </w:rPr>
            </w:pPr>
            <w:r w:rsidRPr="001324A5">
              <w:rPr>
                <w:szCs w:val="22"/>
                <w:lang w:val="es-ES_tradnl"/>
              </w:rPr>
              <w:t>18</w:t>
            </w:r>
            <w:r w:rsidR="00FA4D6D" w:rsidRPr="001324A5">
              <w:rPr>
                <w:szCs w:val="22"/>
                <w:lang w:val="es-ES_tradnl"/>
              </w:rPr>
              <w:t>,</w:t>
            </w:r>
            <w:r w:rsidRPr="001324A5">
              <w:rPr>
                <w:szCs w:val="22"/>
                <w:lang w:val="es-ES_tradnl"/>
              </w:rPr>
              <w:t>07%</w:t>
            </w:r>
          </w:p>
        </w:tc>
        <w:tc>
          <w:tcPr>
            <w:tcW w:w="988" w:type="dxa"/>
            <w:vAlign w:val="center"/>
          </w:tcPr>
          <w:p w:rsidR="00A0318E" w:rsidRPr="001324A5" w:rsidRDefault="00A0318E" w:rsidP="0094264F">
            <w:pPr>
              <w:jc w:val="center"/>
              <w:rPr>
                <w:szCs w:val="22"/>
                <w:lang w:val="es-ES_tradnl"/>
              </w:rPr>
            </w:pPr>
            <w:r w:rsidRPr="001324A5">
              <w:rPr>
                <w:szCs w:val="22"/>
                <w:lang w:val="es-ES_tradnl"/>
              </w:rPr>
              <w:t>NA</w:t>
            </w:r>
          </w:p>
        </w:tc>
        <w:tc>
          <w:tcPr>
            <w:tcW w:w="1348" w:type="dxa"/>
            <w:vAlign w:val="center"/>
          </w:tcPr>
          <w:p w:rsidR="00A0318E" w:rsidRPr="001324A5" w:rsidRDefault="00A0318E" w:rsidP="0094264F">
            <w:pPr>
              <w:jc w:val="center"/>
              <w:rPr>
                <w:szCs w:val="22"/>
                <w:lang w:val="es-ES_tradnl"/>
              </w:rPr>
            </w:pPr>
            <w:r w:rsidRPr="001324A5">
              <w:rPr>
                <w:szCs w:val="22"/>
                <w:lang w:val="es-ES_tradnl"/>
              </w:rPr>
              <w:t>100%</w:t>
            </w:r>
          </w:p>
        </w:tc>
      </w:tr>
      <w:tr w:rsidR="001324A5" w:rsidRPr="001324A5" w:rsidTr="009F7DDB">
        <w:trPr>
          <w:trHeight w:val="1029"/>
          <w:jc w:val="center"/>
        </w:trPr>
        <w:tc>
          <w:tcPr>
            <w:tcW w:w="846" w:type="dxa"/>
            <w:vAlign w:val="center"/>
          </w:tcPr>
          <w:p w:rsidR="00A0318E" w:rsidRPr="001324A5" w:rsidRDefault="00A0318E" w:rsidP="00265772">
            <w:pPr>
              <w:keepNext/>
              <w:numPr>
                <w:ilvl w:val="0"/>
                <w:numId w:val="8"/>
              </w:numPr>
              <w:spacing w:after="160" w:line="259" w:lineRule="auto"/>
              <w:contextualSpacing/>
              <w:rPr>
                <w:rFonts w:ascii="Calibri" w:eastAsia="Calibri" w:hAnsi="Calibri" w:cs="Times New Roman"/>
                <w:szCs w:val="22"/>
                <w:lang w:val="es-ES_tradnl" w:eastAsia="en-US"/>
              </w:rPr>
            </w:pPr>
          </w:p>
        </w:tc>
        <w:tc>
          <w:tcPr>
            <w:tcW w:w="4009" w:type="dxa"/>
            <w:vAlign w:val="center"/>
          </w:tcPr>
          <w:p w:rsidR="00A0318E" w:rsidRPr="001324A5" w:rsidRDefault="002705FD" w:rsidP="00265772">
            <w:pPr>
              <w:keepNext/>
              <w:jc w:val="center"/>
              <w:rPr>
                <w:szCs w:val="22"/>
                <w:lang w:val="es-ES_tradnl"/>
              </w:rPr>
            </w:pPr>
            <w:r w:rsidRPr="001324A5">
              <w:rPr>
                <w:szCs w:val="22"/>
                <w:lang w:val="es-ES_tradnl"/>
              </w:rPr>
              <w:t xml:space="preserve">Número de </w:t>
            </w:r>
            <w:r w:rsidR="001324A5">
              <w:rPr>
                <w:szCs w:val="22"/>
                <w:lang w:val="es-ES_tradnl"/>
              </w:rPr>
              <w:t>plazas</w:t>
            </w:r>
            <w:r w:rsidRPr="001324A5">
              <w:rPr>
                <w:szCs w:val="22"/>
                <w:lang w:val="es-ES_tradnl"/>
              </w:rPr>
              <w:t xml:space="preserve"> del Comité de Coordinación con arreglo al porcentaje de miembros de la OMPI basado en</w:t>
            </w:r>
            <w:r w:rsidR="00892D5D">
              <w:rPr>
                <w:szCs w:val="22"/>
                <w:lang w:val="es-ES_tradnl"/>
              </w:rPr>
              <w:t> </w:t>
            </w:r>
            <w:r w:rsidRPr="001324A5">
              <w:rPr>
                <w:szCs w:val="22"/>
                <w:lang w:val="es-ES_tradnl"/>
              </w:rPr>
              <w:t xml:space="preserve">83 </w:t>
            </w:r>
            <w:r w:rsidR="001324A5">
              <w:rPr>
                <w:szCs w:val="22"/>
                <w:lang w:val="es-ES_tradnl"/>
              </w:rPr>
              <w:t>plazas</w:t>
            </w:r>
            <w:r w:rsidRPr="001324A5">
              <w:rPr>
                <w:szCs w:val="22"/>
                <w:lang w:val="es-ES_tradnl"/>
              </w:rPr>
              <w:t xml:space="preserve"> del Comité de Coordinación</w:t>
            </w:r>
            <w:r w:rsidR="00A0318E" w:rsidRPr="001324A5">
              <w:rPr>
                <w:szCs w:val="22"/>
                <w:vertAlign w:val="superscript"/>
                <w:lang w:val="es-ES_tradnl"/>
              </w:rPr>
              <w:footnoteReference w:id="6"/>
            </w:r>
          </w:p>
        </w:tc>
        <w:tc>
          <w:tcPr>
            <w:tcW w:w="1170" w:type="dxa"/>
            <w:vAlign w:val="center"/>
          </w:tcPr>
          <w:p w:rsidR="00A0318E" w:rsidRPr="001324A5" w:rsidRDefault="00A0318E" w:rsidP="00265772">
            <w:pPr>
              <w:keepNext/>
              <w:jc w:val="center"/>
              <w:rPr>
                <w:szCs w:val="22"/>
                <w:lang w:val="es-ES_tradnl"/>
              </w:rPr>
            </w:pPr>
            <w:r w:rsidRPr="001324A5">
              <w:rPr>
                <w:szCs w:val="22"/>
                <w:lang w:val="es-ES_tradnl"/>
              </w:rPr>
              <w:t>13</w:t>
            </w:r>
            <w:r w:rsidR="00FA4D6D" w:rsidRPr="001324A5">
              <w:rPr>
                <w:szCs w:val="22"/>
                <w:lang w:val="es-ES_tradnl"/>
              </w:rPr>
              <w:t>,</w:t>
            </w:r>
            <w:r w:rsidRPr="001324A5">
              <w:rPr>
                <w:szCs w:val="22"/>
                <w:lang w:val="es-ES_tradnl"/>
              </w:rPr>
              <w:t>76</w:t>
            </w:r>
          </w:p>
        </w:tc>
        <w:tc>
          <w:tcPr>
            <w:tcW w:w="1260" w:type="dxa"/>
            <w:vAlign w:val="center"/>
          </w:tcPr>
          <w:p w:rsidR="00A0318E" w:rsidRPr="001324A5" w:rsidRDefault="00A0318E" w:rsidP="00265772">
            <w:pPr>
              <w:keepNext/>
              <w:jc w:val="center"/>
              <w:rPr>
                <w:szCs w:val="22"/>
                <w:lang w:val="es-ES_tradnl"/>
              </w:rPr>
            </w:pPr>
            <w:r w:rsidRPr="001324A5">
              <w:rPr>
                <w:szCs w:val="22"/>
                <w:lang w:val="es-ES_tradnl"/>
              </w:rPr>
              <w:t>22</w:t>
            </w:r>
            <w:r w:rsidR="00FA4D6D" w:rsidRPr="001324A5">
              <w:rPr>
                <w:szCs w:val="22"/>
                <w:lang w:val="es-ES_tradnl"/>
              </w:rPr>
              <w:t>,</w:t>
            </w:r>
            <w:r w:rsidRPr="001324A5">
              <w:rPr>
                <w:szCs w:val="22"/>
                <w:lang w:val="es-ES_tradnl"/>
              </w:rPr>
              <w:t>79</w:t>
            </w:r>
          </w:p>
        </w:tc>
        <w:tc>
          <w:tcPr>
            <w:tcW w:w="1641" w:type="dxa"/>
            <w:vAlign w:val="center"/>
          </w:tcPr>
          <w:p w:rsidR="00A0318E" w:rsidRPr="001324A5" w:rsidRDefault="00A0318E" w:rsidP="00265772">
            <w:pPr>
              <w:keepNext/>
              <w:jc w:val="center"/>
              <w:rPr>
                <w:szCs w:val="22"/>
                <w:lang w:val="es-ES_tradnl"/>
              </w:rPr>
            </w:pPr>
            <w:r w:rsidRPr="001324A5">
              <w:rPr>
                <w:szCs w:val="22"/>
                <w:lang w:val="es-ES_tradnl"/>
              </w:rPr>
              <w:t>3</w:t>
            </w:r>
            <w:r w:rsidR="00FA4D6D" w:rsidRPr="001324A5">
              <w:rPr>
                <w:szCs w:val="22"/>
                <w:lang w:val="es-ES_tradnl"/>
              </w:rPr>
              <w:t>,</w:t>
            </w:r>
            <w:r w:rsidRPr="001324A5">
              <w:rPr>
                <w:szCs w:val="22"/>
                <w:lang w:val="es-ES_tradnl"/>
              </w:rPr>
              <w:t>87</w:t>
            </w:r>
          </w:p>
        </w:tc>
        <w:tc>
          <w:tcPr>
            <w:tcW w:w="1329" w:type="dxa"/>
            <w:vAlign w:val="center"/>
          </w:tcPr>
          <w:p w:rsidR="00A0318E" w:rsidRPr="001324A5" w:rsidRDefault="00A0318E" w:rsidP="00265772">
            <w:pPr>
              <w:keepNext/>
              <w:jc w:val="center"/>
              <w:rPr>
                <w:szCs w:val="22"/>
                <w:lang w:val="es-ES_tradnl"/>
              </w:rPr>
            </w:pPr>
            <w:r w:rsidRPr="001324A5">
              <w:rPr>
                <w:szCs w:val="22"/>
                <w:lang w:val="es-ES_tradnl"/>
              </w:rPr>
              <w:t>8</w:t>
            </w:r>
            <w:r w:rsidR="00FA4D6D" w:rsidRPr="001324A5">
              <w:rPr>
                <w:szCs w:val="22"/>
                <w:lang w:val="es-ES_tradnl"/>
              </w:rPr>
              <w:t>,</w:t>
            </w:r>
            <w:r w:rsidRPr="001324A5">
              <w:rPr>
                <w:szCs w:val="22"/>
                <w:lang w:val="es-ES_tradnl"/>
              </w:rPr>
              <w:t>17</w:t>
            </w:r>
          </w:p>
        </w:tc>
        <w:tc>
          <w:tcPr>
            <w:tcW w:w="1350" w:type="dxa"/>
            <w:vAlign w:val="center"/>
          </w:tcPr>
          <w:p w:rsidR="00A0318E" w:rsidRPr="001324A5" w:rsidRDefault="00A0318E" w:rsidP="00265772">
            <w:pPr>
              <w:keepNext/>
              <w:jc w:val="center"/>
              <w:rPr>
                <w:szCs w:val="22"/>
                <w:lang w:val="es-ES_tradnl"/>
              </w:rPr>
            </w:pPr>
            <w:r w:rsidRPr="001324A5">
              <w:rPr>
                <w:szCs w:val="22"/>
                <w:lang w:val="es-ES_tradnl"/>
              </w:rPr>
              <w:t>14</w:t>
            </w:r>
            <w:r w:rsidR="00FA4D6D" w:rsidRPr="001324A5">
              <w:rPr>
                <w:szCs w:val="22"/>
                <w:lang w:val="es-ES_tradnl"/>
              </w:rPr>
              <w:t>,</w:t>
            </w:r>
            <w:r w:rsidRPr="001324A5">
              <w:rPr>
                <w:szCs w:val="22"/>
                <w:lang w:val="es-ES_tradnl"/>
              </w:rPr>
              <w:t>19</w:t>
            </w:r>
          </w:p>
        </w:tc>
        <w:tc>
          <w:tcPr>
            <w:tcW w:w="1080" w:type="dxa"/>
            <w:vAlign w:val="center"/>
          </w:tcPr>
          <w:p w:rsidR="00A0318E" w:rsidRPr="001324A5" w:rsidRDefault="00A0318E" w:rsidP="00265772">
            <w:pPr>
              <w:keepNext/>
              <w:jc w:val="center"/>
              <w:rPr>
                <w:szCs w:val="22"/>
                <w:lang w:val="es-ES_tradnl"/>
              </w:rPr>
            </w:pPr>
            <w:r w:rsidRPr="001324A5">
              <w:rPr>
                <w:szCs w:val="22"/>
                <w:lang w:val="es-ES_tradnl"/>
              </w:rPr>
              <w:t>19</w:t>
            </w:r>
            <w:r w:rsidR="00FA4D6D" w:rsidRPr="001324A5">
              <w:rPr>
                <w:szCs w:val="22"/>
                <w:lang w:val="es-ES_tradnl"/>
              </w:rPr>
              <w:t>,</w:t>
            </w:r>
            <w:r w:rsidRPr="001324A5">
              <w:rPr>
                <w:szCs w:val="22"/>
                <w:lang w:val="es-ES_tradnl"/>
              </w:rPr>
              <w:t>78</w:t>
            </w:r>
          </w:p>
        </w:tc>
        <w:tc>
          <w:tcPr>
            <w:tcW w:w="988" w:type="dxa"/>
            <w:vAlign w:val="center"/>
          </w:tcPr>
          <w:p w:rsidR="00A0318E" w:rsidRPr="001324A5" w:rsidRDefault="00A0318E" w:rsidP="00265772">
            <w:pPr>
              <w:keepNext/>
              <w:jc w:val="center"/>
              <w:rPr>
                <w:szCs w:val="22"/>
                <w:lang w:val="es-ES_tradnl"/>
              </w:rPr>
            </w:pPr>
            <w:r w:rsidRPr="001324A5">
              <w:rPr>
                <w:szCs w:val="22"/>
                <w:lang w:val="es-ES_tradnl"/>
              </w:rPr>
              <w:t>NA</w:t>
            </w:r>
          </w:p>
        </w:tc>
        <w:tc>
          <w:tcPr>
            <w:tcW w:w="1348" w:type="dxa"/>
            <w:vAlign w:val="center"/>
          </w:tcPr>
          <w:p w:rsidR="00A0318E" w:rsidRPr="001324A5" w:rsidRDefault="00A0318E" w:rsidP="00265772">
            <w:pPr>
              <w:keepNext/>
              <w:jc w:val="center"/>
              <w:rPr>
                <w:szCs w:val="22"/>
                <w:lang w:val="es-ES_tradnl"/>
              </w:rPr>
            </w:pPr>
            <w:r w:rsidRPr="001324A5">
              <w:rPr>
                <w:szCs w:val="22"/>
                <w:lang w:val="es-ES_tradnl"/>
              </w:rPr>
              <w:t>83</w:t>
            </w:r>
          </w:p>
        </w:tc>
      </w:tr>
      <w:tr w:rsidR="001324A5" w:rsidRPr="001324A5" w:rsidTr="009F7DDB">
        <w:trPr>
          <w:trHeight w:val="1029"/>
          <w:jc w:val="center"/>
        </w:trPr>
        <w:tc>
          <w:tcPr>
            <w:tcW w:w="846" w:type="dxa"/>
            <w:vAlign w:val="center"/>
          </w:tcPr>
          <w:p w:rsidR="00A0318E" w:rsidRPr="001324A5" w:rsidRDefault="00A0318E" w:rsidP="00A0318E">
            <w:pPr>
              <w:numPr>
                <w:ilvl w:val="0"/>
                <w:numId w:val="8"/>
              </w:numPr>
              <w:spacing w:after="160" w:line="259" w:lineRule="auto"/>
              <w:contextualSpacing/>
              <w:rPr>
                <w:rFonts w:ascii="Calibri" w:eastAsia="Calibri" w:hAnsi="Calibri" w:cs="Times New Roman"/>
                <w:szCs w:val="22"/>
                <w:lang w:val="es-ES_tradnl" w:eastAsia="en-US"/>
              </w:rPr>
            </w:pPr>
          </w:p>
        </w:tc>
        <w:tc>
          <w:tcPr>
            <w:tcW w:w="4009" w:type="dxa"/>
            <w:vAlign w:val="center"/>
          </w:tcPr>
          <w:p w:rsidR="00A0318E" w:rsidRPr="001324A5" w:rsidRDefault="00A0318E" w:rsidP="00FA4D6D">
            <w:pPr>
              <w:jc w:val="center"/>
              <w:rPr>
                <w:b/>
                <w:szCs w:val="22"/>
                <w:lang w:val="es-ES_tradnl"/>
              </w:rPr>
            </w:pPr>
            <w:r w:rsidRPr="001324A5">
              <w:rPr>
                <w:b/>
                <w:szCs w:val="22"/>
                <w:lang w:val="es-ES_tradnl"/>
              </w:rPr>
              <w:t>Diferen</w:t>
            </w:r>
            <w:r w:rsidR="00FA4D6D" w:rsidRPr="001324A5">
              <w:rPr>
                <w:b/>
                <w:szCs w:val="22"/>
                <w:lang w:val="es-ES_tradnl"/>
              </w:rPr>
              <w:t>cia</w:t>
            </w:r>
            <w:r w:rsidRPr="001324A5">
              <w:rPr>
                <w:b/>
                <w:szCs w:val="22"/>
                <w:lang w:val="es-ES_tradnl"/>
              </w:rPr>
              <w:t xml:space="preserve"> (</w:t>
            </w:r>
            <w:r w:rsidR="00FA4D6D" w:rsidRPr="001324A5">
              <w:rPr>
                <w:b/>
                <w:szCs w:val="22"/>
                <w:lang w:val="es-ES_tradnl"/>
              </w:rPr>
              <w:t>entre la hilera</w:t>
            </w:r>
            <w:r w:rsidRPr="001324A5">
              <w:rPr>
                <w:b/>
                <w:szCs w:val="22"/>
                <w:lang w:val="es-ES_tradnl"/>
              </w:rPr>
              <w:t xml:space="preserve"> 6 </w:t>
            </w:r>
            <w:r w:rsidR="00FA4D6D" w:rsidRPr="001324A5">
              <w:rPr>
                <w:b/>
                <w:szCs w:val="22"/>
                <w:lang w:val="es-ES_tradnl"/>
              </w:rPr>
              <w:t>y la hilera</w:t>
            </w:r>
            <w:r w:rsidRPr="001324A5">
              <w:rPr>
                <w:b/>
                <w:szCs w:val="22"/>
                <w:lang w:val="es-ES_tradnl"/>
              </w:rPr>
              <w:t xml:space="preserve"> 2)</w:t>
            </w:r>
            <w:r w:rsidRPr="001324A5">
              <w:rPr>
                <w:b/>
                <w:szCs w:val="22"/>
                <w:vertAlign w:val="superscript"/>
                <w:lang w:val="es-ES_tradnl"/>
              </w:rPr>
              <w:footnoteReference w:id="7"/>
            </w:r>
          </w:p>
        </w:tc>
        <w:tc>
          <w:tcPr>
            <w:tcW w:w="1170" w:type="dxa"/>
            <w:vAlign w:val="center"/>
          </w:tcPr>
          <w:p w:rsidR="00A0318E" w:rsidRPr="001324A5" w:rsidRDefault="00A0318E" w:rsidP="0094264F">
            <w:pPr>
              <w:jc w:val="center"/>
              <w:rPr>
                <w:b/>
                <w:szCs w:val="22"/>
                <w:u w:val="single"/>
                <w:lang w:val="es-ES_tradnl"/>
              </w:rPr>
            </w:pPr>
            <w:r w:rsidRPr="001324A5">
              <w:rPr>
                <w:b/>
                <w:szCs w:val="22"/>
                <w:u w:val="single"/>
                <w:lang w:val="es-ES_tradnl"/>
              </w:rPr>
              <w:t>-9</w:t>
            </w:r>
            <w:r w:rsidR="00FA4D6D" w:rsidRPr="001324A5">
              <w:rPr>
                <w:b/>
                <w:szCs w:val="22"/>
                <w:u w:val="single"/>
                <w:lang w:val="es-ES_tradnl"/>
              </w:rPr>
              <w:t>,</w:t>
            </w:r>
            <w:r w:rsidRPr="001324A5">
              <w:rPr>
                <w:b/>
                <w:szCs w:val="22"/>
                <w:u w:val="single"/>
                <w:lang w:val="es-ES_tradnl"/>
              </w:rPr>
              <w:t>24</w:t>
            </w:r>
          </w:p>
        </w:tc>
        <w:tc>
          <w:tcPr>
            <w:tcW w:w="1260" w:type="dxa"/>
            <w:vAlign w:val="center"/>
          </w:tcPr>
          <w:p w:rsidR="00A0318E" w:rsidRPr="001324A5" w:rsidRDefault="00A0318E" w:rsidP="0094264F">
            <w:pPr>
              <w:jc w:val="center"/>
              <w:rPr>
                <w:b/>
                <w:szCs w:val="22"/>
                <w:u w:val="single"/>
                <w:lang w:val="es-ES_tradnl"/>
              </w:rPr>
            </w:pPr>
            <w:r w:rsidRPr="001324A5">
              <w:rPr>
                <w:b/>
                <w:szCs w:val="22"/>
                <w:u w:val="single"/>
                <w:lang w:val="es-ES_tradnl"/>
              </w:rPr>
              <w:t>3</w:t>
            </w:r>
            <w:r w:rsidR="00FA4D6D" w:rsidRPr="001324A5">
              <w:rPr>
                <w:b/>
                <w:szCs w:val="22"/>
                <w:u w:val="single"/>
                <w:lang w:val="es-ES_tradnl"/>
              </w:rPr>
              <w:t>,</w:t>
            </w:r>
            <w:r w:rsidRPr="001324A5">
              <w:rPr>
                <w:b/>
                <w:szCs w:val="22"/>
                <w:u w:val="single"/>
                <w:lang w:val="es-ES_tradnl"/>
              </w:rPr>
              <w:t>79</w:t>
            </w:r>
          </w:p>
        </w:tc>
        <w:tc>
          <w:tcPr>
            <w:tcW w:w="1641" w:type="dxa"/>
            <w:vAlign w:val="center"/>
          </w:tcPr>
          <w:p w:rsidR="00A0318E" w:rsidRPr="001324A5" w:rsidRDefault="00A0318E" w:rsidP="0094264F">
            <w:pPr>
              <w:jc w:val="center"/>
              <w:rPr>
                <w:b/>
                <w:szCs w:val="22"/>
                <w:u w:val="single"/>
                <w:lang w:val="es-ES_tradnl"/>
              </w:rPr>
            </w:pPr>
            <w:r w:rsidRPr="001324A5">
              <w:rPr>
                <w:b/>
                <w:szCs w:val="22"/>
                <w:u w:val="single"/>
                <w:lang w:val="es-ES_tradnl"/>
              </w:rPr>
              <w:t>-0</w:t>
            </w:r>
            <w:r w:rsidR="00FA4D6D" w:rsidRPr="001324A5">
              <w:rPr>
                <w:b/>
                <w:szCs w:val="22"/>
                <w:u w:val="single"/>
                <w:lang w:val="es-ES_tradnl"/>
              </w:rPr>
              <w:t>,</w:t>
            </w:r>
            <w:r w:rsidRPr="001324A5">
              <w:rPr>
                <w:b/>
                <w:szCs w:val="22"/>
                <w:u w:val="single"/>
                <w:lang w:val="es-ES_tradnl"/>
              </w:rPr>
              <w:t>13</w:t>
            </w:r>
          </w:p>
        </w:tc>
        <w:tc>
          <w:tcPr>
            <w:tcW w:w="1329" w:type="dxa"/>
            <w:vAlign w:val="center"/>
          </w:tcPr>
          <w:p w:rsidR="00A0318E" w:rsidRPr="001324A5" w:rsidRDefault="00A0318E" w:rsidP="0094264F">
            <w:pPr>
              <w:jc w:val="center"/>
              <w:rPr>
                <w:b/>
                <w:szCs w:val="22"/>
                <w:u w:val="single"/>
                <w:lang w:val="es-ES_tradnl"/>
              </w:rPr>
            </w:pPr>
            <w:r w:rsidRPr="001324A5">
              <w:rPr>
                <w:b/>
                <w:szCs w:val="22"/>
                <w:u w:val="single"/>
                <w:lang w:val="es-ES_tradnl"/>
              </w:rPr>
              <w:t>2</w:t>
            </w:r>
            <w:r w:rsidR="00FA4D6D" w:rsidRPr="001324A5">
              <w:rPr>
                <w:b/>
                <w:szCs w:val="22"/>
                <w:u w:val="single"/>
                <w:lang w:val="es-ES_tradnl"/>
              </w:rPr>
              <w:t>,</w:t>
            </w:r>
            <w:r w:rsidRPr="001324A5">
              <w:rPr>
                <w:b/>
                <w:szCs w:val="22"/>
                <w:u w:val="single"/>
                <w:lang w:val="es-ES_tradnl"/>
              </w:rPr>
              <w:t>17</w:t>
            </w:r>
          </w:p>
        </w:tc>
        <w:tc>
          <w:tcPr>
            <w:tcW w:w="1350" w:type="dxa"/>
            <w:vAlign w:val="center"/>
          </w:tcPr>
          <w:p w:rsidR="00A0318E" w:rsidRPr="001324A5" w:rsidRDefault="00A0318E" w:rsidP="0094264F">
            <w:pPr>
              <w:jc w:val="center"/>
              <w:rPr>
                <w:b/>
                <w:szCs w:val="22"/>
                <w:u w:val="single"/>
                <w:lang w:val="es-ES_tradnl"/>
              </w:rPr>
            </w:pPr>
            <w:r w:rsidRPr="001324A5">
              <w:rPr>
                <w:b/>
                <w:szCs w:val="22"/>
                <w:u w:val="single"/>
                <w:lang w:val="es-ES_tradnl"/>
              </w:rPr>
              <w:t>-0</w:t>
            </w:r>
            <w:r w:rsidR="00FA4D6D" w:rsidRPr="001324A5">
              <w:rPr>
                <w:b/>
                <w:szCs w:val="22"/>
                <w:u w:val="single"/>
                <w:lang w:val="es-ES_tradnl"/>
              </w:rPr>
              <w:t>,</w:t>
            </w:r>
            <w:r w:rsidRPr="001324A5">
              <w:rPr>
                <w:b/>
                <w:szCs w:val="22"/>
                <w:u w:val="single"/>
                <w:lang w:val="es-ES_tradnl"/>
              </w:rPr>
              <w:t>81</w:t>
            </w:r>
          </w:p>
        </w:tc>
        <w:tc>
          <w:tcPr>
            <w:tcW w:w="1080" w:type="dxa"/>
            <w:vAlign w:val="center"/>
          </w:tcPr>
          <w:p w:rsidR="00A0318E" w:rsidRPr="001324A5" w:rsidRDefault="00A0318E" w:rsidP="0094264F">
            <w:pPr>
              <w:jc w:val="center"/>
              <w:rPr>
                <w:b/>
                <w:szCs w:val="22"/>
                <w:u w:val="single"/>
                <w:lang w:val="es-ES_tradnl"/>
              </w:rPr>
            </w:pPr>
            <w:r w:rsidRPr="001324A5">
              <w:rPr>
                <w:b/>
                <w:szCs w:val="22"/>
                <w:u w:val="single"/>
                <w:lang w:val="es-ES_tradnl"/>
              </w:rPr>
              <w:t>4</w:t>
            </w:r>
            <w:r w:rsidR="00FA4D6D" w:rsidRPr="001324A5">
              <w:rPr>
                <w:b/>
                <w:szCs w:val="22"/>
                <w:u w:val="single"/>
                <w:lang w:val="es-ES_tradnl"/>
              </w:rPr>
              <w:t>,</w:t>
            </w:r>
            <w:r w:rsidRPr="001324A5">
              <w:rPr>
                <w:b/>
                <w:szCs w:val="22"/>
                <w:u w:val="single"/>
                <w:lang w:val="es-ES_tradnl"/>
              </w:rPr>
              <w:t>78</w:t>
            </w:r>
          </w:p>
        </w:tc>
        <w:tc>
          <w:tcPr>
            <w:tcW w:w="988" w:type="dxa"/>
            <w:vAlign w:val="center"/>
          </w:tcPr>
          <w:p w:rsidR="00A0318E" w:rsidRPr="001324A5" w:rsidRDefault="00A0318E" w:rsidP="0094264F">
            <w:pPr>
              <w:jc w:val="center"/>
              <w:rPr>
                <w:szCs w:val="22"/>
                <w:lang w:val="es-ES_tradnl"/>
              </w:rPr>
            </w:pPr>
            <w:r w:rsidRPr="001324A5">
              <w:rPr>
                <w:szCs w:val="22"/>
                <w:lang w:val="es-ES_tradnl"/>
              </w:rPr>
              <w:t>NA</w:t>
            </w:r>
          </w:p>
        </w:tc>
        <w:tc>
          <w:tcPr>
            <w:tcW w:w="1348" w:type="dxa"/>
            <w:vAlign w:val="center"/>
          </w:tcPr>
          <w:p w:rsidR="00A0318E" w:rsidRPr="001324A5" w:rsidRDefault="00A0318E" w:rsidP="0094264F">
            <w:pPr>
              <w:jc w:val="center"/>
              <w:rPr>
                <w:b/>
                <w:szCs w:val="22"/>
                <w:lang w:val="es-ES_tradnl"/>
              </w:rPr>
            </w:pPr>
            <w:r w:rsidRPr="001324A5">
              <w:rPr>
                <w:b/>
                <w:szCs w:val="22"/>
                <w:lang w:val="es-ES_tradnl"/>
              </w:rPr>
              <w:t>-</w:t>
            </w:r>
          </w:p>
        </w:tc>
      </w:tr>
    </w:tbl>
    <w:p w:rsidR="00E703C3" w:rsidRPr="001324A5" w:rsidRDefault="00E703C3" w:rsidP="00A0318E">
      <w:pPr>
        <w:jc w:val="right"/>
        <w:rPr>
          <w:sz w:val="32"/>
          <w:u w:val="single"/>
          <w:lang w:val="es-ES_tradnl"/>
        </w:rPr>
      </w:pPr>
    </w:p>
    <w:p w:rsidR="00E703C3" w:rsidRPr="001324A5" w:rsidRDefault="00A0318E" w:rsidP="00A0318E">
      <w:pPr>
        <w:rPr>
          <w:sz w:val="32"/>
          <w:u w:val="single"/>
          <w:lang w:val="es-ES_tradnl"/>
        </w:rPr>
      </w:pPr>
      <w:r w:rsidRPr="001324A5">
        <w:rPr>
          <w:sz w:val="32"/>
          <w:u w:val="single"/>
          <w:lang w:val="es-ES_tradnl"/>
        </w:rPr>
        <w:br w:type="page"/>
      </w:r>
    </w:p>
    <w:p w:rsidR="00E703C3" w:rsidRPr="001324A5" w:rsidRDefault="00A0318E" w:rsidP="00A0318E">
      <w:pPr>
        <w:jc w:val="right"/>
        <w:rPr>
          <w:sz w:val="32"/>
          <w:u w:val="single"/>
          <w:lang w:val="es-ES_tradnl"/>
        </w:rPr>
      </w:pPr>
      <w:r w:rsidRPr="001324A5">
        <w:rPr>
          <w:sz w:val="32"/>
          <w:u w:val="single"/>
          <w:lang w:val="es-ES_tradnl"/>
        </w:rPr>
        <w:lastRenderedPageBreak/>
        <w:t>Anex</w:t>
      </w:r>
      <w:r w:rsidR="00FA4D6D" w:rsidRPr="001324A5">
        <w:rPr>
          <w:sz w:val="32"/>
          <w:u w:val="single"/>
          <w:lang w:val="es-ES_tradnl"/>
        </w:rPr>
        <w:t>o</w:t>
      </w:r>
      <w:r w:rsidRPr="001324A5">
        <w:rPr>
          <w:sz w:val="32"/>
          <w:u w:val="single"/>
          <w:lang w:val="es-ES_tradnl"/>
        </w:rPr>
        <w:t xml:space="preserve"> B</w:t>
      </w:r>
    </w:p>
    <w:p w:rsidR="00E703C3" w:rsidRPr="001324A5" w:rsidRDefault="00FA4D6D" w:rsidP="00A0318E">
      <w:pPr>
        <w:jc w:val="center"/>
        <w:rPr>
          <w:rFonts w:eastAsiaTheme="minorHAnsi"/>
          <w:b/>
          <w:bCs/>
          <w:sz w:val="28"/>
          <w:szCs w:val="24"/>
          <w:u w:val="single"/>
          <w:lang w:val="es-ES_tradnl"/>
        </w:rPr>
      </w:pPr>
      <w:r w:rsidRPr="001324A5">
        <w:rPr>
          <w:rFonts w:eastAsiaTheme="minorHAnsi"/>
          <w:b/>
          <w:bCs/>
          <w:sz w:val="28"/>
          <w:szCs w:val="24"/>
          <w:u w:val="single"/>
          <w:lang w:val="es-ES_tradnl"/>
        </w:rPr>
        <w:t>Aumento en el número de miembros de la Unión de París y la Unión de Berna desde</w:t>
      </w:r>
      <w:r w:rsidR="00A0318E" w:rsidRPr="001324A5">
        <w:rPr>
          <w:rFonts w:eastAsiaTheme="minorHAnsi"/>
          <w:b/>
          <w:bCs/>
          <w:sz w:val="28"/>
          <w:szCs w:val="24"/>
          <w:u w:val="single"/>
          <w:lang w:val="es-ES_tradnl"/>
        </w:rPr>
        <w:t xml:space="preserve"> 2011</w:t>
      </w:r>
    </w:p>
    <w:p w:rsidR="00A0318E" w:rsidRPr="001324A5" w:rsidRDefault="00A0318E" w:rsidP="00A0318E">
      <w:pPr>
        <w:rPr>
          <w:rFonts w:eastAsiaTheme="minorHAnsi"/>
          <w:sz w:val="32"/>
          <w:szCs w:val="22"/>
          <w:lang w:val="es-ES_tradnl"/>
        </w:rPr>
      </w:pPr>
    </w:p>
    <w:tbl>
      <w:tblPr>
        <w:tblW w:w="13938" w:type="dxa"/>
        <w:jc w:val="center"/>
        <w:tblCellMar>
          <w:left w:w="0" w:type="dxa"/>
          <w:right w:w="0" w:type="dxa"/>
        </w:tblCellMar>
        <w:tblLook w:val="04A0" w:firstRow="1" w:lastRow="0" w:firstColumn="1" w:lastColumn="0" w:noHBand="0" w:noVBand="1"/>
      </w:tblPr>
      <w:tblGrid>
        <w:gridCol w:w="795"/>
        <w:gridCol w:w="2172"/>
        <w:gridCol w:w="1214"/>
        <w:gridCol w:w="1537"/>
        <w:gridCol w:w="1668"/>
        <w:gridCol w:w="1421"/>
        <w:gridCol w:w="1542"/>
        <w:gridCol w:w="1555"/>
        <w:gridCol w:w="1077"/>
        <w:gridCol w:w="957"/>
      </w:tblGrid>
      <w:tr w:rsidR="001324A5" w:rsidRPr="00892D5D" w:rsidTr="00265772">
        <w:trPr>
          <w:trHeight w:val="110"/>
          <w:tblHeader/>
          <w:jc w:val="center"/>
        </w:trPr>
        <w:tc>
          <w:tcPr>
            <w:tcW w:w="795"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rsidR="00FA4D6D" w:rsidRPr="00892D5D" w:rsidRDefault="00FA4D6D" w:rsidP="00FA4D6D">
            <w:pPr>
              <w:rPr>
                <w:rFonts w:eastAsiaTheme="minorHAnsi"/>
                <w:b/>
                <w:bCs/>
                <w:szCs w:val="22"/>
                <w:lang w:val="es-ES_tradnl"/>
              </w:rPr>
            </w:pPr>
            <w:r w:rsidRPr="00892D5D">
              <w:rPr>
                <w:rFonts w:eastAsiaTheme="minorHAnsi"/>
                <w:b/>
                <w:bCs/>
                <w:szCs w:val="22"/>
                <w:lang w:val="es-ES_tradnl"/>
              </w:rPr>
              <w:t>N.º</w:t>
            </w:r>
          </w:p>
        </w:tc>
        <w:tc>
          <w:tcPr>
            <w:tcW w:w="2172"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FA4D6D" w:rsidRPr="00892D5D" w:rsidRDefault="00FA4D6D" w:rsidP="00FA4D6D">
            <w:pPr>
              <w:jc w:val="center"/>
              <w:rPr>
                <w:rFonts w:eastAsiaTheme="minorHAnsi"/>
                <w:b/>
                <w:bCs/>
                <w:szCs w:val="22"/>
                <w:lang w:val="es-ES_tradnl"/>
              </w:rPr>
            </w:pPr>
            <w:r w:rsidRPr="00892D5D">
              <w:rPr>
                <w:rFonts w:eastAsiaTheme="minorHAnsi"/>
                <w:b/>
                <w:bCs/>
                <w:szCs w:val="22"/>
                <w:lang w:val="es-ES_tradnl"/>
              </w:rPr>
              <w:t>Factor</w:t>
            </w:r>
          </w:p>
        </w:tc>
        <w:tc>
          <w:tcPr>
            <w:tcW w:w="1214"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FA4D6D" w:rsidRPr="00892D5D" w:rsidRDefault="00FA4D6D" w:rsidP="00FA4D6D">
            <w:pPr>
              <w:jc w:val="center"/>
              <w:rPr>
                <w:rFonts w:eastAsiaTheme="minorHAnsi"/>
                <w:b/>
                <w:bCs/>
                <w:szCs w:val="22"/>
                <w:lang w:val="es-ES_tradnl"/>
              </w:rPr>
            </w:pPr>
            <w:r w:rsidRPr="00892D5D">
              <w:rPr>
                <w:rFonts w:eastAsiaTheme="minorHAnsi"/>
                <w:b/>
                <w:bCs/>
                <w:szCs w:val="22"/>
                <w:lang w:val="es-ES_tradnl"/>
              </w:rPr>
              <w:t>Grupo B</w:t>
            </w:r>
          </w:p>
        </w:tc>
        <w:tc>
          <w:tcPr>
            <w:tcW w:w="1537"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FA4D6D" w:rsidRPr="00892D5D" w:rsidRDefault="00FA4D6D" w:rsidP="00FA4D6D">
            <w:pPr>
              <w:jc w:val="center"/>
              <w:rPr>
                <w:rFonts w:eastAsiaTheme="minorHAnsi"/>
                <w:b/>
                <w:bCs/>
                <w:szCs w:val="22"/>
                <w:lang w:val="es-ES_tradnl"/>
              </w:rPr>
            </w:pPr>
            <w:r w:rsidRPr="00892D5D">
              <w:rPr>
                <w:rFonts w:eastAsiaTheme="minorHAnsi"/>
                <w:b/>
                <w:bCs/>
                <w:szCs w:val="22"/>
                <w:lang w:val="es-ES_tradnl"/>
              </w:rPr>
              <w:t>Grupo Africano</w:t>
            </w:r>
          </w:p>
        </w:tc>
        <w:tc>
          <w:tcPr>
            <w:tcW w:w="1668"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FA4D6D" w:rsidRPr="00892D5D" w:rsidRDefault="00FA4D6D" w:rsidP="00FA4D6D">
            <w:pPr>
              <w:jc w:val="center"/>
              <w:rPr>
                <w:rFonts w:eastAsiaTheme="minorHAnsi"/>
                <w:b/>
                <w:bCs/>
                <w:szCs w:val="22"/>
                <w:lang w:val="es-ES_tradnl"/>
              </w:rPr>
            </w:pPr>
            <w:r w:rsidRPr="00892D5D">
              <w:rPr>
                <w:rFonts w:eastAsiaTheme="minorHAnsi"/>
                <w:b/>
                <w:bCs/>
                <w:szCs w:val="22"/>
                <w:lang w:val="es-ES_tradnl"/>
              </w:rPr>
              <w:t>Países de Asia Central, el Cáucaso y Europa Oriental</w:t>
            </w:r>
          </w:p>
        </w:tc>
        <w:tc>
          <w:tcPr>
            <w:tcW w:w="1421"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FA4D6D" w:rsidRPr="00892D5D" w:rsidRDefault="00FA4D6D" w:rsidP="00FA4D6D">
            <w:pPr>
              <w:jc w:val="center"/>
              <w:rPr>
                <w:rFonts w:eastAsiaTheme="minorHAnsi"/>
                <w:b/>
                <w:bCs/>
                <w:szCs w:val="22"/>
                <w:lang w:val="es-ES_tradnl"/>
              </w:rPr>
            </w:pPr>
            <w:r w:rsidRPr="00892D5D">
              <w:rPr>
                <w:rFonts w:eastAsiaTheme="minorHAnsi"/>
                <w:b/>
                <w:bCs/>
                <w:szCs w:val="22"/>
                <w:lang w:val="es-ES_tradnl"/>
              </w:rPr>
              <w:t>Estados de Europa Central y el Báltico</w:t>
            </w:r>
          </w:p>
        </w:tc>
        <w:tc>
          <w:tcPr>
            <w:tcW w:w="1542"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FA4D6D" w:rsidRPr="00892D5D" w:rsidRDefault="00FA4D6D" w:rsidP="00FA4D6D">
            <w:pPr>
              <w:jc w:val="center"/>
              <w:rPr>
                <w:rFonts w:eastAsiaTheme="minorHAnsi"/>
                <w:b/>
                <w:bCs/>
                <w:szCs w:val="22"/>
                <w:lang w:val="es-ES_tradnl"/>
              </w:rPr>
            </w:pPr>
            <w:r w:rsidRPr="00892D5D">
              <w:rPr>
                <w:rFonts w:eastAsiaTheme="minorHAnsi"/>
                <w:b/>
                <w:bCs/>
                <w:szCs w:val="22"/>
                <w:lang w:val="es-ES_tradnl"/>
              </w:rPr>
              <w:t>GRULAC</w:t>
            </w:r>
          </w:p>
        </w:tc>
        <w:tc>
          <w:tcPr>
            <w:tcW w:w="1555"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FA4D6D" w:rsidRPr="00892D5D" w:rsidRDefault="00FA4D6D" w:rsidP="00FA4D6D">
            <w:pPr>
              <w:jc w:val="center"/>
              <w:rPr>
                <w:rFonts w:eastAsiaTheme="minorHAnsi"/>
                <w:b/>
                <w:bCs/>
                <w:szCs w:val="22"/>
                <w:lang w:val="es-ES_tradnl"/>
              </w:rPr>
            </w:pPr>
            <w:r w:rsidRPr="00892D5D">
              <w:rPr>
                <w:rFonts w:eastAsiaTheme="minorHAnsi"/>
                <w:b/>
                <w:bCs/>
                <w:szCs w:val="22"/>
                <w:lang w:val="es-ES_tradnl"/>
              </w:rPr>
              <w:t>Grupo de Asia y el Pacífico</w:t>
            </w:r>
          </w:p>
        </w:tc>
        <w:tc>
          <w:tcPr>
            <w:tcW w:w="1077"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FA4D6D" w:rsidRPr="00892D5D" w:rsidRDefault="00FA4D6D" w:rsidP="00FA4D6D">
            <w:pPr>
              <w:jc w:val="center"/>
              <w:rPr>
                <w:rFonts w:eastAsiaTheme="minorHAnsi"/>
                <w:b/>
                <w:bCs/>
                <w:szCs w:val="22"/>
                <w:lang w:val="es-ES_tradnl"/>
              </w:rPr>
            </w:pPr>
            <w:r w:rsidRPr="00892D5D">
              <w:rPr>
                <w:rFonts w:eastAsiaTheme="minorHAnsi"/>
                <w:b/>
                <w:bCs/>
                <w:szCs w:val="22"/>
                <w:lang w:val="es-ES_tradnl"/>
              </w:rPr>
              <w:t>China</w:t>
            </w:r>
          </w:p>
        </w:tc>
        <w:tc>
          <w:tcPr>
            <w:tcW w:w="957"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FA4D6D" w:rsidRPr="00892D5D" w:rsidRDefault="00FA4D6D" w:rsidP="00FA4D6D">
            <w:pPr>
              <w:jc w:val="center"/>
              <w:rPr>
                <w:rFonts w:eastAsiaTheme="minorHAnsi"/>
                <w:b/>
                <w:bCs/>
                <w:szCs w:val="22"/>
                <w:lang w:val="es-ES_tradnl"/>
              </w:rPr>
            </w:pPr>
            <w:r w:rsidRPr="00892D5D">
              <w:rPr>
                <w:rFonts w:eastAsiaTheme="minorHAnsi"/>
                <w:b/>
                <w:bCs/>
                <w:szCs w:val="22"/>
                <w:lang w:val="es-ES_tradnl"/>
              </w:rPr>
              <w:t>Total</w:t>
            </w:r>
          </w:p>
        </w:tc>
      </w:tr>
      <w:tr w:rsidR="001324A5" w:rsidRPr="00892D5D" w:rsidTr="00265772">
        <w:trPr>
          <w:trHeight w:val="110"/>
          <w:jc w:val="center"/>
        </w:trPr>
        <w:tc>
          <w:tcPr>
            <w:tcW w:w="79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A0318E" w:rsidRPr="00892D5D" w:rsidRDefault="00A0318E" w:rsidP="0094264F">
            <w:pPr>
              <w:spacing w:line="252" w:lineRule="auto"/>
              <w:ind w:hanging="360"/>
              <w:rPr>
                <w:rFonts w:eastAsiaTheme="minorHAnsi"/>
                <w:szCs w:val="22"/>
                <w:lang w:val="es-ES_tradnl"/>
              </w:rPr>
            </w:pPr>
            <w:r w:rsidRPr="00892D5D">
              <w:rPr>
                <w:rFonts w:eastAsiaTheme="minorHAnsi"/>
                <w:szCs w:val="22"/>
                <w:lang w:val="es-ES_tradnl"/>
              </w:rPr>
              <w:t>1.      1</w:t>
            </w:r>
          </w:p>
        </w:tc>
        <w:tc>
          <w:tcPr>
            <w:tcW w:w="2172"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A0318E" w:rsidRPr="00892D5D" w:rsidRDefault="00FA4D6D" w:rsidP="0094264F">
            <w:pPr>
              <w:jc w:val="center"/>
              <w:rPr>
                <w:rFonts w:eastAsiaTheme="minorHAnsi"/>
                <w:szCs w:val="22"/>
                <w:lang w:val="es-ES_tradnl"/>
              </w:rPr>
            </w:pPr>
            <w:r w:rsidRPr="00892D5D">
              <w:rPr>
                <w:rFonts w:eastAsiaTheme="minorHAnsi"/>
                <w:szCs w:val="22"/>
                <w:lang w:val="es-ES_tradnl"/>
              </w:rPr>
              <w:t>Número de miembros de la Unión de París</w:t>
            </w:r>
          </w:p>
        </w:tc>
        <w:tc>
          <w:tcPr>
            <w:tcW w:w="1214"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A0318E" w:rsidRPr="00892D5D" w:rsidRDefault="00A0318E" w:rsidP="0094264F">
            <w:pPr>
              <w:rPr>
                <w:rFonts w:eastAsiaTheme="minorHAnsi"/>
                <w:szCs w:val="22"/>
                <w:lang w:val="es-ES_tradnl"/>
              </w:rPr>
            </w:pPr>
            <w:r w:rsidRPr="00892D5D">
              <w:rPr>
                <w:rFonts w:eastAsiaTheme="minorHAnsi"/>
                <w:szCs w:val="22"/>
                <w:lang w:val="es-ES_tradnl"/>
              </w:rPr>
              <w:t>32</w:t>
            </w:r>
          </w:p>
        </w:tc>
        <w:tc>
          <w:tcPr>
            <w:tcW w:w="1537"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A0318E" w:rsidRPr="00892D5D" w:rsidRDefault="00A0318E" w:rsidP="0094264F">
            <w:pPr>
              <w:rPr>
                <w:rFonts w:eastAsiaTheme="minorHAnsi"/>
                <w:szCs w:val="22"/>
                <w:lang w:val="es-ES_tradnl"/>
              </w:rPr>
            </w:pPr>
            <w:r w:rsidRPr="00892D5D">
              <w:rPr>
                <w:rFonts w:eastAsiaTheme="minorHAnsi"/>
                <w:szCs w:val="22"/>
                <w:lang w:val="es-ES_tradnl"/>
              </w:rPr>
              <w:t>50</w:t>
            </w:r>
          </w:p>
        </w:tc>
        <w:tc>
          <w:tcPr>
            <w:tcW w:w="166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A0318E" w:rsidRPr="00892D5D" w:rsidRDefault="00A0318E" w:rsidP="0094264F">
            <w:pPr>
              <w:rPr>
                <w:rFonts w:eastAsiaTheme="minorHAnsi"/>
                <w:szCs w:val="22"/>
                <w:lang w:val="es-ES_tradnl"/>
              </w:rPr>
            </w:pPr>
            <w:r w:rsidRPr="00892D5D">
              <w:rPr>
                <w:rFonts w:eastAsiaTheme="minorHAnsi"/>
                <w:szCs w:val="22"/>
                <w:lang w:val="es-ES_tradnl"/>
              </w:rPr>
              <w:t>9</w:t>
            </w:r>
          </w:p>
        </w:tc>
        <w:tc>
          <w:tcPr>
            <w:tcW w:w="1421"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A0318E" w:rsidRPr="00892D5D" w:rsidRDefault="00A0318E" w:rsidP="0094264F">
            <w:pPr>
              <w:rPr>
                <w:rFonts w:eastAsiaTheme="minorHAnsi"/>
                <w:szCs w:val="22"/>
                <w:lang w:val="es-ES_tradnl"/>
              </w:rPr>
            </w:pPr>
            <w:r w:rsidRPr="00892D5D">
              <w:rPr>
                <w:rFonts w:eastAsiaTheme="minorHAnsi"/>
                <w:szCs w:val="22"/>
                <w:lang w:val="es-ES_tradnl"/>
              </w:rPr>
              <w:t>19</w:t>
            </w:r>
          </w:p>
        </w:tc>
        <w:tc>
          <w:tcPr>
            <w:tcW w:w="1542"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A0318E" w:rsidRPr="00892D5D" w:rsidRDefault="00A0318E" w:rsidP="0094264F">
            <w:pPr>
              <w:rPr>
                <w:rFonts w:eastAsiaTheme="minorHAnsi"/>
                <w:szCs w:val="22"/>
                <w:lang w:val="es-ES_tradnl"/>
              </w:rPr>
            </w:pPr>
            <w:r w:rsidRPr="00892D5D">
              <w:rPr>
                <w:rFonts w:eastAsiaTheme="minorHAnsi"/>
                <w:szCs w:val="22"/>
                <w:lang w:val="es-ES_tradnl"/>
              </w:rPr>
              <w:t>33</w:t>
            </w:r>
          </w:p>
        </w:tc>
        <w:tc>
          <w:tcPr>
            <w:tcW w:w="1555"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A0318E" w:rsidRPr="00892D5D" w:rsidRDefault="00A0318E" w:rsidP="0094264F">
            <w:pPr>
              <w:rPr>
                <w:rFonts w:eastAsiaTheme="minorHAnsi"/>
                <w:szCs w:val="22"/>
                <w:lang w:val="es-ES_tradnl"/>
              </w:rPr>
            </w:pPr>
            <w:r w:rsidRPr="00892D5D">
              <w:rPr>
                <w:rFonts w:eastAsiaTheme="minorHAnsi"/>
                <w:szCs w:val="22"/>
                <w:lang w:val="es-ES_tradnl"/>
              </w:rPr>
              <w:t>35</w:t>
            </w:r>
          </w:p>
        </w:tc>
        <w:tc>
          <w:tcPr>
            <w:tcW w:w="1077"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A0318E" w:rsidRPr="00892D5D" w:rsidRDefault="00A0318E" w:rsidP="0094264F">
            <w:pPr>
              <w:rPr>
                <w:rFonts w:eastAsiaTheme="minorHAnsi"/>
                <w:szCs w:val="22"/>
                <w:lang w:val="es-ES_tradnl"/>
              </w:rPr>
            </w:pPr>
            <w:r w:rsidRPr="00892D5D">
              <w:rPr>
                <w:rFonts w:eastAsiaTheme="minorHAnsi"/>
                <w:szCs w:val="22"/>
                <w:lang w:val="es-ES_tradnl"/>
              </w:rPr>
              <w:t>1</w:t>
            </w:r>
          </w:p>
        </w:tc>
        <w:tc>
          <w:tcPr>
            <w:tcW w:w="957"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A0318E" w:rsidRPr="00892D5D" w:rsidRDefault="00A0318E" w:rsidP="0094264F">
            <w:pPr>
              <w:rPr>
                <w:rFonts w:eastAsiaTheme="minorHAnsi"/>
                <w:szCs w:val="22"/>
                <w:lang w:val="es-ES_tradnl"/>
              </w:rPr>
            </w:pPr>
            <w:r w:rsidRPr="00892D5D">
              <w:rPr>
                <w:rFonts w:eastAsiaTheme="minorHAnsi"/>
                <w:szCs w:val="22"/>
                <w:lang w:val="es-ES_tradnl"/>
              </w:rPr>
              <w:t>179</w:t>
            </w:r>
          </w:p>
        </w:tc>
      </w:tr>
      <w:tr w:rsidR="001324A5" w:rsidRPr="00892D5D" w:rsidTr="00265772">
        <w:trPr>
          <w:trHeight w:val="110"/>
          <w:jc w:val="center"/>
        </w:trPr>
        <w:tc>
          <w:tcPr>
            <w:tcW w:w="795" w:type="dxa"/>
            <w:tcBorders>
              <w:top w:val="single" w:sz="8" w:space="0" w:color="auto"/>
              <w:left w:val="single" w:sz="8" w:space="0" w:color="auto"/>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A0318E" w:rsidRPr="00892D5D" w:rsidRDefault="00A0318E" w:rsidP="0094264F">
            <w:pPr>
              <w:spacing w:line="252" w:lineRule="auto"/>
              <w:ind w:hanging="360"/>
              <w:rPr>
                <w:rFonts w:eastAsiaTheme="minorHAnsi"/>
                <w:szCs w:val="22"/>
                <w:lang w:val="es-ES_tradnl"/>
              </w:rPr>
            </w:pPr>
            <w:r w:rsidRPr="00892D5D">
              <w:rPr>
                <w:rFonts w:eastAsiaTheme="minorHAnsi"/>
                <w:szCs w:val="22"/>
                <w:lang w:val="es-ES_tradnl"/>
              </w:rPr>
              <w:t>2.      2</w:t>
            </w:r>
          </w:p>
        </w:tc>
        <w:tc>
          <w:tcPr>
            <w:tcW w:w="2172"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A0318E" w:rsidRPr="00892D5D" w:rsidRDefault="00FA4D6D" w:rsidP="00FA4D6D">
            <w:pPr>
              <w:jc w:val="center"/>
              <w:rPr>
                <w:rFonts w:eastAsiaTheme="minorHAnsi"/>
                <w:szCs w:val="22"/>
                <w:lang w:val="es-ES_tradnl"/>
              </w:rPr>
            </w:pPr>
            <w:r w:rsidRPr="00892D5D">
              <w:rPr>
                <w:rFonts w:eastAsiaTheme="minorHAnsi"/>
                <w:szCs w:val="22"/>
                <w:lang w:val="es-ES_tradnl"/>
              </w:rPr>
              <w:t>Adhesiones al Convenio de París desde enero de 2011</w:t>
            </w:r>
          </w:p>
        </w:tc>
        <w:tc>
          <w:tcPr>
            <w:tcW w:w="1214"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A0318E" w:rsidRPr="00892D5D" w:rsidRDefault="00A0318E" w:rsidP="0094264F">
            <w:pPr>
              <w:rPr>
                <w:rFonts w:eastAsiaTheme="minorHAnsi"/>
                <w:szCs w:val="22"/>
                <w:lang w:val="es-ES_tradnl"/>
              </w:rPr>
            </w:pPr>
            <w:r w:rsidRPr="00892D5D">
              <w:rPr>
                <w:rFonts w:eastAsiaTheme="minorHAnsi"/>
                <w:szCs w:val="22"/>
                <w:lang w:val="es-ES_tradnl"/>
              </w:rPr>
              <w:t>0</w:t>
            </w:r>
          </w:p>
        </w:tc>
        <w:tc>
          <w:tcPr>
            <w:tcW w:w="1537"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E703C3" w:rsidRPr="00892D5D" w:rsidRDefault="00A0318E" w:rsidP="0094264F">
            <w:pPr>
              <w:rPr>
                <w:rFonts w:eastAsiaTheme="minorHAnsi"/>
                <w:szCs w:val="22"/>
                <w:lang w:val="es-ES_tradnl"/>
              </w:rPr>
            </w:pPr>
            <w:r w:rsidRPr="00892D5D">
              <w:rPr>
                <w:rFonts w:eastAsiaTheme="minorHAnsi"/>
                <w:szCs w:val="22"/>
                <w:lang w:val="es-ES_tradnl"/>
              </w:rPr>
              <w:t>1*</w:t>
            </w:r>
          </w:p>
          <w:p w:rsidR="00A0318E" w:rsidRPr="00892D5D" w:rsidRDefault="00A0318E" w:rsidP="0094264F">
            <w:pPr>
              <w:rPr>
                <w:rFonts w:eastAsiaTheme="minorHAnsi"/>
                <w:szCs w:val="22"/>
                <w:lang w:val="es-ES_tradnl"/>
              </w:rPr>
            </w:pPr>
            <w:r w:rsidRPr="00892D5D">
              <w:rPr>
                <w:rFonts w:eastAsiaTheme="minorHAnsi"/>
                <w:szCs w:val="22"/>
                <w:lang w:val="es-ES_tradnl"/>
              </w:rPr>
              <w:t>*Cabo Verde</w:t>
            </w:r>
          </w:p>
        </w:tc>
        <w:tc>
          <w:tcPr>
            <w:tcW w:w="1668"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A0318E" w:rsidRPr="00892D5D" w:rsidRDefault="00A0318E" w:rsidP="0094264F">
            <w:pPr>
              <w:rPr>
                <w:rFonts w:eastAsiaTheme="minorHAnsi"/>
                <w:szCs w:val="22"/>
                <w:lang w:val="es-ES_tradnl"/>
              </w:rPr>
            </w:pPr>
            <w:r w:rsidRPr="00892D5D">
              <w:rPr>
                <w:rFonts w:eastAsiaTheme="minorHAnsi"/>
                <w:szCs w:val="22"/>
                <w:lang w:val="es-ES_tradnl"/>
              </w:rPr>
              <w:t>0</w:t>
            </w:r>
          </w:p>
        </w:tc>
        <w:tc>
          <w:tcPr>
            <w:tcW w:w="1421"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A0318E" w:rsidRPr="00892D5D" w:rsidRDefault="00A0318E" w:rsidP="0094264F">
            <w:pPr>
              <w:rPr>
                <w:rFonts w:eastAsiaTheme="minorHAnsi"/>
                <w:szCs w:val="22"/>
                <w:lang w:val="es-ES_tradnl"/>
              </w:rPr>
            </w:pPr>
            <w:r w:rsidRPr="00892D5D">
              <w:rPr>
                <w:rFonts w:eastAsiaTheme="minorHAnsi"/>
                <w:szCs w:val="22"/>
                <w:lang w:val="es-ES_tradnl"/>
              </w:rPr>
              <w:t>0</w:t>
            </w:r>
          </w:p>
        </w:tc>
        <w:tc>
          <w:tcPr>
            <w:tcW w:w="1542"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A0318E" w:rsidRPr="00892D5D" w:rsidRDefault="00A0318E" w:rsidP="0094264F">
            <w:pPr>
              <w:rPr>
                <w:rFonts w:eastAsiaTheme="minorHAnsi"/>
                <w:szCs w:val="22"/>
                <w:lang w:val="es-ES_tradnl"/>
              </w:rPr>
            </w:pPr>
            <w:r w:rsidRPr="00892D5D">
              <w:rPr>
                <w:rFonts w:eastAsiaTheme="minorHAnsi"/>
                <w:szCs w:val="22"/>
                <w:lang w:val="es-ES_tradnl"/>
              </w:rPr>
              <w:t>0</w:t>
            </w:r>
          </w:p>
        </w:tc>
        <w:tc>
          <w:tcPr>
            <w:tcW w:w="1555"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E703C3" w:rsidRPr="00892D5D" w:rsidRDefault="00A0318E" w:rsidP="0094264F">
            <w:pPr>
              <w:rPr>
                <w:rFonts w:eastAsiaTheme="minorHAnsi"/>
                <w:szCs w:val="22"/>
                <w:lang w:val="es-ES_tradnl"/>
              </w:rPr>
            </w:pPr>
            <w:r w:rsidRPr="00892D5D">
              <w:rPr>
                <w:rFonts w:eastAsiaTheme="minorHAnsi"/>
                <w:szCs w:val="22"/>
                <w:lang w:val="es-ES_tradnl"/>
              </w:rPr>
              <w:t>5*</w:t>
            </w:r>
          </w:p>
          <w:p w:rsidR="00A0318E" w:rsidRPr="00892D5D" w:rsidRDefault="00A0318E" w:rsidP="00FA4D6D">
            <w:pPr>
              <w:rPr>
                <w:rFonts w:eastAsiaTheme="minorHAnsi"/>
                <w:szCs w:val="22"/>
                <w:lang w:val="es-ES_tradnl"/>
              </w:rPr>
            </w:pPr>
            <w:r w:rsidRPr="00892D5D">
              <w:rPr>
                <w:rFonts w:eastAsiaTheme="minorHAnsi"/>
                <w:i/>
                <w:iCs/>
                <w:szCs w:val="22"/>
                <w:lang w:val="es-ES_tradnl"/>
              </w:rPr>
              <w:t>*Af</w:t>
            </w:r>
            <w:r w:rsidR="00FA4D6D" w:rsidRPr="00892D5D">
              <w:rPr>
                <w:rFonts w:eastAsiaTheme="minorHAnsi"/>
                <w:i/>
                <w:iCs/>
                <w:szCs w:val="22"/>
                <w:lang w:val="es-ES_tradnl"/>
              </w:rPr>
              <w:t>g</w:t>
            </w:r>
            <w:r w:rsidRPr="00892D5D">
              <w:rPr>
                <w:rFonts w:eastAsiaTheme="minorHAnsi"/>
                <w:i/>
                <w:iCs/>
                <w:szCs w:val="22"/>
                <w:lang w:val="es-ES_tradnl"/>
              </w:rPr>
              <w:t>anist</w:t>
            </w:r>
            <w:r w:rsidR="00FA4D6D" w:rsidRPr="00892D5D">
              <w:rPr>
                <w:rFonts w:eastAsiaTheme="minorHAnsi"/>
                <w:i/>
                <w:iCs/>
                <w:szCs w:val="22"/>
                <w:lang w:val="es-ES_tradnl"/>
              </w:rPr>
              <w:t>á</w:t>
            </w:r>
            <w:r w:rsidRPr="00892D5D">
              <w:rPr>
                <w:rFonts w:eastAsiaTheme="minorHAnsi"/>
                <w:i/>
                <w:iCs/>
                <w:szCs w:val="22"/>
                <w:lang w:val="es-ES_tradnl"/>
              </w:rPr>
              <w:t>n, Brunei, Kiribati Kuwait, Samoa</w:t>
            </w:r>
          </w:p>
        </w:tc>
        <w:tc>
          <w:tcPr>
            <w:tcW w:w="1077"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A0318E" w:rsidRPr="00892D5D" w:rsidRDefault="00A0318E" w:rsidP="0094264F">
            <w:pPr>
              <w:rPr>
                <w:rFonts w:eastAsiaTheme="minorHAnsi"/>
                <w:szCs w:val="22"/>
                <w:lang w:val="es-ES_tradnl"/>
              </w:rPr>
            </w:pPr>
            <w:r w:rsidRPr="00892D5D">
              <w:rPr>
                <w:rFonts w:eastAsiaTheme="minorHAnsi"/>
                <w:szCs w:val="22"/>
                <w:lang w:val="es-ES_tradnl"/>
              </w:rPr>
              <w:t>0</w:t>
            </w:r>
          </w:p>
        </w:tc>
        <w:tc>
          <w:tcPr>
            <w:tcW w:w="957"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A0318E" w:rsidRPr="00892D5D" w:rsidRDefault="00A0318E" w:rsidP="0094264F">
            <w:pPr>
              <w:rPr>
                <w:rFonts w:eastAsiaTheme="minorHAnsi"/>
                <w:szCs w:val="22"/>
                <w:lang w:val="es-ES_tradnl"/>
              </w:rPr>
            </w:pPr>
            <w:r w:rsidRPr="00892D5D">
              <w:rPr>
                <w:rFonts w:eastAsiaTheme="minorHAnsi"/>
                <w:szCs w:val="22"/>
                <w:lang w:val="es-ES_tradnl"/>
              </w:rPr>
              <w:t>6</w:t>
            </w:r>
          </w:p>
        </w:tc>
      </w:tr>
      <w:tr w:rsidR="001324A5" w:rsidRPr="00892D5D" w:rsidTr="00265772">
        <w:trPr>
          <w:trHeight w:val="644"/>
          <w:jc w:val="center"/>
        </w:trPr>
        <w:tc>
          <w:tcPr>
            <w:tcW w:w="795" w:type="dxa"/>
            <w:tcBorders>
              <w:top w:val="single" w:sz="4" w:space="0" w:color="auto"/>
              <w:left w:val="single" w:sz="8" w:space="0" w:color="auto"/>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A0318E" w:rsidRPr="00892D5D" w:rsidRDefault="00A0318E" w:rsidP="0094264F">
            <w:pPr>
              <w:spacing w:line="252" w:lineRule="auto"/>
              <w:ind w:hanging="360"/>
              <w:rPr>
                <w:rFonts w:eastAsiaTheme="minorHAnsi"/>
                <w:szCs w:val="22"/>
                <w:lang w:val="es-ES_tradnl"/>
              </w:rPr>
            </w:pPr>
            <w:r w:rsidRPr="00892D5D">
              <w:rPr>
                <w:rFonts w:eastAsiaTheme="minorHAnsi"/>
                <w:szCs w:val="22"/>
                <w:lang w:val="es-ES_tradnl"/>
              </w:rPr>
              <w:t>3.      3</w:t>
            </w:r>
          </w:p>
        </w:tc>
        <w:tc>
          <w:tcPr>
            <w:tcW w:w="2172"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A0318E" w:rsidRPr="00892D5D" w:rsidRDefault="00A0318E" w:rsidP="00FA4D6D">
            <w:pPr>
              <w:jc w:val="center"/>
              <w:rPr>
                <w:rFonts w:eastAsiaTheme="minorHAnsi"/>
                <w:szCs w:val="22"/>
                <w:lang w:val="es-ES_tradnl"/>
              </w:rPr>
            </w:pPr>
            <w:r w:rsidRPr="00892D5D">
              <w:rPr>
                <w:rFonts w:eastAsiaTheme="minorHAnsi"/>
                <w:szCs w:val="22"/>
                <w:lang w:val="es-ES_tradnl"/>
              </w:rPr>
              <w:t>N</w:t>
            </w:r>
            <w:r w:rsidR="00FA4D6D" w:rsidRPr="00892D5D">
              <w:rPr>
                <w:rFonts w:eastAsiaTheme="minorHAnsi"/>
                <w:szCs w:val="22"/>
                <w:lang w:val="es-ES_tradnl"/>
              </w:rPr>
              <w:t>úmero de miembros de la Unión de Berna</w:t>
            </w:r>
          </w:p>
        </w:tc>
        <w:tc>
          <w:tcPr>
            <w:tcW w:w="1214"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A0318E" w:rsidRPr="00892D5D" w:rsidRDefault="00A0318E" w:rsidP="0094264F">
            <w:pPr>
              <w:rPr>
                <w:rFonts w:eastAsiaTheme="minorHAnsi"/>
                <w:szCs w:val="22"/>
                <w:lang w:val="es-ES_tradnl"/>
              </w:rPr>
            </w:pPr>
            <w:r w:rsidRPr="00892D5D">
              <w:rPr>
                <w:rFonts w:eastAsiaTheme="minorHAnsi"/>
                <w:szCs w:val="22"/>
                <w:lang w:val="es-ES_tradnl"/>
              </w:rPr>
              <w:t>32</w:t>
            </w:r>
          </w:p>
        </w:tc>
        <w:tc>
          <w:tcPr>
            <w:tcW w:w="1537"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A0318E" w:rsidRPr="00892D5D" w:rsidRDefault="00A0318E" w:rsidP="0094264F">
            <w:pPr>
              <w:rPr>
                <w:rFonts w:eastAsiaTheme="minorHAnsi"/>
                <w:szCs w:val="22"/>
                <w:lang w:val="es-ES_tradnl"/>
              </w:rPr>
            </w:pPr>
            <w:r w:rsidRPr="00892D5D">
              <w:rPr>
                <w:rFonts w:eastAsiaTheme="minorHAnsi"/>
                <w:szCs w:val="22"/>
                <w:lang w:val="es-ES_tradnl"/>
              </w:rPr>
              <w:t>47</w:t>
            </w:r>
          </w:p>
        </w:tc>
        <w:tc>
          <w:tcPr>
            <w:tcW w:w="1668"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A0318E" w:rsidRPr="00892D5D" w:rsidRDefault="00A0318E" w:rsidP="0094264F">
            <w:pPr>
              <w:rPr>
                <w:rFonts w:eastAsiaTheme="minorHAnsi"/>
                <w:szCs w:val="22"/>
                <w:lang w:val="es-ES_tradnl"/>
              </w:rPr>
            </w:pPr>
            <w:r w:rsidRPr="00892D5D">
              <w:rPr>
                <w:rFonts w:eastAsiaTheme="minorHAnsi"/>
                <w:szCs w:val="22"/>
                <w:lang w:val="es-ES_tradnl"/>
              </w:rPr>
              <w:t>9</w:t>
            </w:r>
          </w:p>
        </w:tc>
        <w:tc>
          <w:tcPr>
            <w:tcW w:w="1421"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A0318E" w:rsidRPr="00892D5D" w:rsidRDefault="00A0318E" w:rsidP="0094264F">
            <w:pPr>
              <w:rPr>
                <w:rFonts w:eastAsiaTheme="minorHAnsi"/>
                <w:szCs w:val="22"/>
                <w:lang w:val="es-ES_tradnl"/>
              </w:rPr>
            </w:pPr>
            <w:r w:rsidRPr="00892D5D">
              <w:rPr>
                <w:rFonts w:eastAsiaTheme="minorHAnsi"/>
                <w:szCs w:val="22"/>
                <w:lang w:val="es-ES_tradnl"/>
              </w:rPr>
              <w:t>19</w:t>
            </w:r>
          </w:p>
        </w:tc>
        <w:tc>
          <w:tcPr>
            <w:tcW w:w="1542"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A0318E" w:rsidRPr="00892D5D" w:rsidRDefault="00A0318E" w:rsidP="0094264F">
            <w:pPr>
              <w:rPr>
                <w:rFonts w:eastAsiaTheme="minorHAnsi"/>
                <w:szCs w:val="22"/>
                <w:lang w:val="es-ES_tradnl"/>
              </w:rPr>
            </w:pPr>
            <w:r w:rsidRPr="00892D5D">
              <w:rPr>
                <w:rFonts w:eastAsiaTheme="minorHAnsi"/>
                <w:szCs w:val="22"/>
                <w:lang w:val="es-ES_tradnl"/>
              </w:rPr>
              <w:t>33</w:t>
            </w:r>
          </w:p>
        </w:tc>
        <w:tc>
          <w:tcPr>
            <w:tcW w:w="1555"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A0318E" w:rsidRPr="00892D5D" w:rsidRDefault="00A0318E" w:rsidP="0094264F">
            <w:pPr>
              <w:rPr>
                <w:rFonts w:eastAsiaTheme="minorHAnsi"/>
                <w:szCs w:val="22"/>
                <w:lang w:val="es-ES_tradnl"/>
              </w:rPr>
            </w:pPr>
            <w:r w:rsidRPr="00892D5D">
              <w:rPr>
                <w:rFonts w:eastAsiaTheme="minorHAnsi"/>
                <w:szCs w:val="22"/>
                <w:lang w:val="es-ES_tradnl"/>
              </w:rPr>
              <w:t>39</w:t>
            </w:r>
          </w:p>
        </w:tc>
        <w:tc>
          <w:tcPr>
            <w:tcW w:w="1077"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A0318E" w:rsidRPr="00892D5D" w:rsidRDefault="00A0318E" w:rsidP="0094264F">
            <w:pPr>
              <w:rPr>
                <w:rFonts w:eastAsiaTheme="minorHAnsi"/>
                <w:szCs w:val="22"/>
                <w:lang w:val="es-ES_tradnl"/>
              </w:rPr>
            </w:pPr>
            <w:r w:rsidRPr="00892D5D">
              <w:rPr>
                <w:rFonts w:eastAsiaTheme="minorHAnsi"/>
                <w:szCs w:val="22"/>
                <w:lang w:val="es-ES_tradnl"/>
              </w:rPr>
              <w:t>1</w:t>
            </w:r>
          </w:p>
        </w:tc>
        <w:tc>
          <w:tcPr>
            <w:tcW w:w="957"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A0318E" w:rsidRPr="00892D5D" w:rsidRDefault="00A0318E" w:rsidP="0094264F">
            <w:pPr>
              <w:rPr>
                <w:rFonts w:eastAsiaTheme="minorHAnsi"/>
                <w:szCs w:val="22"/>
                <w:lang w:val="es-ES_tradnl"/>
              </w:rPr>
            </w:pPr>
            <w:r w:rsidRPr="00892D5D">
              <w:rPr>
                <w:rFonts w:eastAsiaTheme="minorHAnsi"/>
                <w:szCs w:val="22"/>
                <w:lang w:val="es-ES_tradnl"/>
              </w:rPr>
              <w:t>181</w:t>
            </w:r>
          </w:p>
        </w:tc>
      </w:tr>
      <w:tr w:rsidR="001324A5" w:rsidRPr="00892D5D" w:rsidTr="00265772">
        <w:trPr>
          <w:trHeight w:val="110"/>
          <w:jc w:val="center"/>
        </w:trPr>
        <w:tc>
          <w:tcPr>
            <w:tcW w:w="795" w:type="dxa"/>
            <w:tcBorders>
              <w:top w:val="nil"/>
              <w:left w:val="single" w:sz="8" w:space="0" w:color="auto"/>
              <w:bottom w:val="single" w:sz="4"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A0318E" w:rsidRPr="00892D5D" w:rsidRDefault="00A0318E" w:rsidP="0094264F">
            <w:pPr>
              <w:spacing w:line="252" w:lineRule="auto"/>
              <w:ind w:hanging="360"/>
              <w:rPr>
                <w:rFonts w:eastAsiaTheme="minorHAnsi"/>
                <w:szCs w:val="22"/>
                <w:lang w:val="es-ES_tradnl"/>
              </w:rPr>
            </w:pPr>
            <w:r w:rsidRPr="00892D5D">
              <w:rPr>
                <w:rFonts w:eastAsiaTheme="minorHAnsi"/>
                <w:szCs w:val="22"/>
                <w:lang w:val="es-ES_tradnl"/>
              </w:rPr>
              <w:t>4.      4</w:t>
            </w:r>
          </w:p>
        </w:tc>
        <w:tc>
          <w:tcPr>
            <w:tcW w:w="2172" w:type="dxa"/>
            <w:tcBorders>
              <w:top w:val="nil"/>
              <w:left w:val="nil"/>
              <w:bottom w:val="single" w:sz="4"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A0318E" w:rsidRPr="00892D5D" w:rsidRDefault="00FA4D6D" w:rsidP="00FA4D6D">
            <w:pPr>
              <w:jc w:val="center"/>
              <w:rPr>
                <w:rFonts w:eastAsiaTheme="minorHAnsi"/>
                <w:szCs w:val="22"/>
                <w:lang w:val="es-ES_tradnl"/>
              </w:rPr>
            </w:pPr>
            <w:r w:rsidRPr="00892D5D">
              <w:rPr>
                <w:rFonts w:eastAsiaTheme="minorHAnsi"/>
                <w:szCs w:val="22"/>
                <w:lang w:val="es-ES_tradnl"/>
              </w:rPr>
              <w:t>Adhesiones al Convenio de Berna desde enero de 2011</w:t>
            </w:r>
          </w:p>
        </w:tc>
        <w:tc>
          <w:tcPr>
            <w:tcW w:w="1214" w:type="dxa"/>
            <w:tcBorders>
              <w:top w:val="nil"/>
              <w:left w:val="nil"/>
              <w:bottom w:val="single" w:sz="4"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E703C3" w:rsidRPr="00892D5D" w:rsidRDefault="00A0318E" w:rsidP="0094264F">
            <w:pPr>
              <w:rPr>
                <w:rFonts w:eastAsiaTheme="minorHAnsi"/>
                <w:szCs w:val="22"/>
                <w:lang w:val="es-ES_tradnl"/>
              </w:rPr>
            </w:pPr>
            <w:r w:rsidRPr="00892D5D">
              <w:rPr>
                <w:rFonts w:eastAsiaTheme="minorHAnsi"/>
                <w:szCs w:val="22"/>
                <w:lang w:val="es-ES_tradnl"/>
              </w:rPr>
              <w:t>2*</w:t>
            </w:r>
          </w:p>
          <w:p w:rsidR="00A0318E" w:rsidRPr="00892D5D" w:rsidRDefault="00A0318E" w:rsidP="005F5FEA">
            <w:pPr>
              <w:rPr>
                <w:rFonts w:eastAsiaTheme="minorHAnsi"/>
                <w:szCs w:val="22"/>
                <w:lang w:val="es-ES_tradnl"/>
              </w:rPr>
            </w:pPr>
            <w:r w:rsidRPr="00892D5D">
              <w:rPr>
                <w:rFonts w:eastAsiaTheme="minorHAnsi"/>
                <w:szCs w:val="22"/>
                <w:lang w:val="es-ES_tradnl"/>
              </w:rPr>
              <w:t>*N</w:t>
            </w:r>
            <w:r w:rsidR="00FA4D6D" w:rsidRPr="00892D5D">
              <w:rPr>
                <w:rFonts w:eastAsiaTheme="minorHAnsi"/>
                <w:szCs w:val="22"/>
                <w:lang w:val="es-ES_tradnl"/>
              </w:rPr>
              <w:t>ueva Zelandia</w:t>
            </w:r>
            <w:r w:rsidRPr="00892D5D">
              <w:rPr>
                <w:rFonts w:eastAsiaTheme="minorHAnsi"/>
                <w:szCs w:val="22"/>
                <w:lang w:val="es-ES_tradnl"/>
              </w:rPr>
              <w:t xml:space="preserve"> (a</w:t>
            </w:r>
            <w:r w:rsidR="005F5FEA" w:rsidRPr="00892D5D">
              <w:rPr>
                <w:rFonts w:eastAsiaTheme="minorHAnsi"/>
                <w:szCs w:val="22"/>
                <w:lang w:val="es-ES_tradnl"/>
              </w:rPr>
              <w:t>dhesión al Acta de París</w:t>
            </w:r>
            <w:r w:rsidRPr="00892D5D">
              <w:rPr>
                <w:rFonts w:eastAsiaTheme="minorHAnsi"/>
                <w:szCs w:val="22"/>
                <w:lang w:val="es-ES_tradnl"/>
              </w:rPr>
              <w:t>), San Marino</w:t>
            </w:r>
          </w:p>
        </w:tc>
        <w:tc>
          <w:tcPr>
            <w:tcW w:w="1537" w:type="dxa"/>
            <w:tcBorders>
              <w:top w:val="nil"/>
              <w:left w:val="nil"/>
              <w:bottom w:val="single" w:sz="4"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E703C3" w:rsidRPr="008B2CDE" w:rsidRDefault="00A0318E" w:rsidP="0094264F">
            <w:pPr>
              <w:rPr>
                <w:rFonts w:eastAsiaTheme="minorHAnsi"/>
                <w:szCs w:val="22"/>
                <w:lang w:val="pt-BR"/>
              </w:rPr>
            </w:pPr>
            <w:r w:rsidRPr="008B2CDE">
              <w:rPr>
                <w:rFonts w:eastAsiaTheme="minorHAnsi"/>
                <w:szCs w:val="22"/>
                <w:lang w:val="pt-BR"/>
              </w:rPr>
              <w:t>4*</w:t>
            </w:r>
          </w:p>
          <w:p w:rsidR="00E703C3" w:rsidRPr="008B2CDE" w:rsidRDefault="00A0318E" w:rsidP="0094264F">
            <w:pPr>
              <w:rPr>
                <w:rFonts w:eastAsiaTheme="minorHAnsi"/>
                <w:szCs w:val="22"/>
                <w:lang w:val="pt-BR"/>
              </w:rPr>
            </w:pPr>
            <w:r w:rsidRPr="008B2CDE">
              <w:rPr>
                <w:rFonts w:eastAsiaTheme="minorHAnsi"/>
                <w:i/>
                <w:iCs/>
                <w:szCs w:val="22"/>
                <w:lang w:val="pt-BR"/>
              </w:rPr>
              <w:t>*Burundi, Mozambique, Sa</w:t>
            </w:r>
            <w:r w:rsidR="005F5FEA" w:rsidRPr="008B2CDE">
              <w:rPr>
                <w:rFonts w:eastAsiaTheme="minorHAnsi"/>
                <w:i/>
                <w:iCs/>
                <w:szCs w:val="22"/>
                <w:lang w:val="pt-BR"/>
              </w:rPr>
              <w:t>nt</w:t>
            </w:r>
            <w:r w:rsidRPr="008B2CDE">
              <w:rPr>
                <w:rFonts w:eastAsiaTheme="minorHAnsi"/>
                <w:i/>
                <w:iCs/>
                <w:szCs w:val="22"/>
                <w:lang w:val="pt-BR"/>
              </w:rPr>
              <w:t>o Tom</w:t>
            </w:r>
            <w:r w:rsidR="005F5FEA" w:rsidRPr="008B2CDE">
              <w:rPr>
                <w:rFonts w:eastAsiaTheme="minorHAnsi"/>
                <w:i/>
                <w:iCs/>
                <w:szCs w:val="22"/>
                <w:lang w:val="pt-BR"/>
              </w:rPr>
              <w:t>é</w:t>
            </w:r>
            <w:r w:rsidRPr="008B2CDE">
              <w:rPr>
                <w:rFonts w:eastAsiaTheme="minorHAnsi"/>
                <w:i/>
                <w:iCs/>
                <w:szCs w:val="22"/>
                <w:lang w:val="pt-BR"/>
              </w:rPr>
              <w:t xml:space="preserve"> </w:t>
            </w:r>
            <w:r w:rsidR="00143CD7" w:rsidRPr="008B2CDE">
              <w:rPr>
                <w:rFonts w:eastAsiaTheme="minorHAnsi"/>
                <w:i/>
                <w:iCs/>
                <w:szCs w:val="22"/>
                <w:lang w:val="pt-BR"/>
              </w:rPr>
              <w:t>y</w:t>
            </w:r>
            <w:r w:rsidRPr="008B2CDE">
              <w:rPr>
                <w:rFonts w:eastAsiaTheme="minorHAnsi"/>
                <w:i/>
                <w:iCs/>
                <w:szCs w:val="22"/>
                <w:lang w:val="pt-BR"/>
              </w:rPr>
              <w:t xml:space="preserve"> Pr</w:t>
            </w:r>
            <w:r w:rsidR="00143CD7" w:rsidRPr="008B2CDE">
              <w:rPr>
                <w:rFonts w:eastAsiaTheme="minorHAnsi"/>
                <w:i/>
                <w:iCs/>
                <w:szCs w:val="22"/>
                <w:lang w:val="pt-BR"/>
              </w:rPr>
              <w:t>í</w:t>
            </w:r>
            <w:r w:rsidRPr="008B2CDE">
              <w:rPr>
                <w:rFonts w:eastAsiaTheme="minorHAnsi"/>
                <w:i/>
                <w:iCs/>
                <w:szCs w:val="22"/>
                <w:lang w:val="pt-BR"/>
              </w:rPr>
              <w:t>ncipe,</w:t>
            </w:r>
          </w:p>
          <w:p w:rsidR="00E703C3" w:rsidRPr="008B2CDE" w:rsidRDefault="00E703C3" w:rsidP="0094264F">
            <w:pPr>
              <w:rPr>
                <w:rFonts w:eastAsiaTheme="minorHAnsi"/>
                <w:szCs w:val="22"/>
                <w:lang w:val="pt-BR"/>
              </w:rPr>
            </w:pPr>
          </w:p>
          <w:p w:rsidR="00A0318E" w:rsidRPr="00892D5D" w:rsidRDefault="00A0318E" w:rsidP="0094264F">
            <w:pPr>
              <w:rPr>
                <w:rFonts w:eastAsiaTheme="minorHAnsi"/>
                <w:szCs w:val="22"/>
                <w:lang w:val="es-ES_tradnl"/>
              </w:rPr>
            </w:pPr>
            <w:r w:rsidRPr="00892D5D">
              <w:rPr>
                <w:rFonts w:eastAsiaTheme="minorHAnsi"/>
                <w:i/>
                <w:iCs/>
                <w:szCs w:val="22"/>
                <w:lang w:val="es-ES_tradnl"/>
              </w:rPr>
              <w:t>Uganda</w:t>
            </w:r>
          </w:p>
        </w:tc>
        <w:tc>
          <w:tcPr>
            <w:tcW w:w="1668" w:type="dxa"/>
            <w:tcBorders>
              <w:top w:val="nil"/>
              <w:left w:val="nil"/>
              <w:bottom w:val="single" w:sz="4"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E703C3" w:rsidRPr="00892D5D" w:rsidRDefault="00A0318E" w:rsidP="0094264F">
            <w:pPr>
              <w:rPr>
                <w:rFonts w:eastAsiaTheme="minorHAnsi"/>
                <w:szCs w:val="22"/>
                <w:lang w:val="es-ES_tradnl"/>
              </w:rPr>
            </w:pPr>
            <w:r w:rsidRPr="00892D5D">
              <w:rPr>
                <w:rFonts w:eastAsiaTheme="minorHAnsi"/>
                <w:szCs w:val="22"/>
                <w:lang w:val="es-ES_tradnl"/>
              </w:rPr>
              <w:t>1*</w:t>
            </w:r>
          </w:p>
          <w:p w:rsidR="00A0318E" w:rsidRPr="00892D5D" w:rsidRDefault="00A0318E" w:rsidP="00143CD7">
            <w:pPr>
              <w:rPr>
                <w:rFonts w:eastAsiaTheme="minorHAnsi"/>
                <w:szCs w:val="22"/>
                <w:lang w:val="es-ES_tradnl"/>
              </w:rPr>
            </w:pPr>
            <w:r w:rsidRPr="00892D5D">
              <w:rPr>
                <w:rFonts w:eastAsiaTheme="minorHAnsi"/>
                <w:i/>
                <w:iCs/>
                <w:szCs w:val="22"/>
                <w:lang w:val="es-ES_tradnl"/>
              </w:rPr>
              <w:t>*Turkmenist</w:t>
            </w:r>
            <w:r w:rsidR="00143CD7" w:rsidRPr="00892D5D">
              <w:rPr>
                <w:rFonts w:eastAsiaTheme="minorHAnsi"/>
                <w:i/>
                <w:iCs/>
                <w:szCs w:val="22"/>
                <w:lang w:val="es-ES_tradnl"/>
              </w:rPr>
              <w:t>á</w:t>
            </w:r>
            <w:r w:rsidRPr="00892D5D">
              <w:rPr>
                <w:rFonts w:eastAsiaTheme="minorHAnsi"/>
                <w:i/>
                <w:iCs/>
                <w:szCs w:val="22"/>
                <w:lang w:val="es-ES_tradnl"/>
              </w:rPr>
              <w:t>n</w:t>
            </w:r>
          </w:p>
        </w:tc>
        <w:tc>
          <w:tcPr>
            <w:tcW w:w="1421" w:type="dxa"/>
            <w:tcBorders>
              <w:top w:val="nil"/>
              <w:left w:val="nil"/>
              <w:bottom w:val="single" w:sz="4"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A0318E" w:rsidRPr="00892D5D" w:rsidRDefault="00A0318E" w:rsidP="0094264F">
            <w:pPr>
              <w:rPr>
                <w:rFonts w:eastAsiaTheme="minorHAnsi"/>
                <w:szCs w:val="22"/>
                <w:lang w:val="es-ES_tradnl"/>
              </w:rPr>
            </w:pPr>
            <w:r w:rsidRPr="00892D5D">
              <w:rPr>
                <w:rFonts w:eastAsiaTheme="minorHAnsi"/>
                <w:szCs w:val="22"/>
                <w:lang w:val="es-ES_tradnl"/>
              </w:rPr>
              <w:t>0</w:t>
            </w:r>
          </w:p>
        </w:tc>
        <w:tc>
          <w:tcPr>
            <w:tcW w:w="1542" w:type="dxa"/>
            <w:tcBorders>
              <w:top w:val="nil"/>
              <w:left w:val="nil"/>
              <w:bottom w:val="single" w:sz="4"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A0318E" w:rsidRPr="00892D5D" w:rsidRDefault="00A0318E" w:rsidP="0094264F">
            <w:pPr>
              <w:rPr>
                <w:rFonts w:eastAsiaTheme="minorHAnsi"/>
                <w:szCs w:val="22"/>
                <w:lang w:val="es-ES_tradnl"/>
              </w:rPr>
            </w:pPr>
            <w:r w:rsidRPr="00892D5D">
              <w:rPr>
                <w:rFonts w:eastAsiaTheme="minorHAnsi"/>
                <w:szCs w:val="22"/>
                <w:lang w:val="es-ES_tradnl"/>
              </w:rPr>
              <w:t>0</w:t>
            </w:r>
          </w:p>
        </w:tc>
        <w:tc>
          <w:tcPr>
            <w:tcW w:w="1555" w:type="dxa"/>
            <w:tcBorders>
              <w:top w:val="nil"/>
              <w:left w:val="nil"/>
              <w:bottom w:val="single" w:sz="4"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E703C3" w:rsidRPr="00892D5D" w:rsidRDefault="00A0318E" w:rsidP="0094264F">
            <w:pPr>
              <w:rPr>
                <w:rFonts w:eastAsiaTheme="minorHAnsi"/>
                <w:szCs w:val="22"/>
                <w:lang w:val="es-ES_tradnl"/>
              </w:rPr>
            </w:pPr>
            <w:r w:rsidRPr="00892D5D">
              <w:rPr>
                <w:rFonts w:eastAsiaTheme="minorHAnsi"/>
                <w:szCs w:val="22"/>
                <w:lang w:val="es-ES_tradnl"/>
              </w:rPr>
              <w:t>11*</w:t>
            </w:r>
          </w:p>
          <w:p w:rsidR="00A0318E" w:rsidRPr="00892D5D" w:rsidRDefault="00143CD7" w:rsidP="00143CD7">
            <w:pPr>
              <w:rPr>
                <w:rFonts w:eastAsiaTheme="minorHAnsi"/>
                <w:szCs w:val="22"/>
                <w:lang w:val="es-ES_tradnl"/>
              </w:rPr>
            </w:pPr>
            <w:r w:rsidRPr="00892D5D">
              <w:rPr>
                <w:rFonts w:eastAsiaTheme="minorHAnsi"/>
                <w:i/>
                <w:iCs/>
                <w:szCs w:val="22"/>
                <w:lang w:val="es-ES_tradnl"/>
              </w:rPr>
              <w:t>*Afganistán, Camboy</w:t>
            </w:r>
            <w:r w:rsidR="00A0318E" w:rsidRPr="00892D5D">
              <w:rPr>
                <w:rFonts w:eastAsiaTheme="minorHAnsi"/>
                <w:i/>
                <w:iCs/>
                <w:szCs w:val="22"/>
                <w:lang w:val="es-ES_tradnl"/>
              </w:rPr>
              <w:t xml:space="preserve">a, </w:t>
            </w:r>
            <w:r w:rsidRPr="00892D5D">
              <w:rPr>
                <w:rFonts w:eastAsiaTheme="minorHAnsi"/>
                <w:i/>
                <w:iCs/>
                <w:szCs w:val="22"/>
                <w:lang w:val="es-ES_tradnl"/>
              </w:rPr>
              <w:t xml:space="preserve">Islas </w:t>
            </w:r>
            <w:r w:rsidR="00A0318E" w:rsidRPr="00892D5D">
              <w:rPr>
                <w:rFonts w:eastAsiaTheme="minorHAnsi"/>
                <w:i/>
                <w:iCs/>
                <w:szCs w:val="22"/>
                <w:lang w:val="es-ES_tradnl"/>
              </w:rPr>
              <w:t xml:space="preserve">Cook, Kiribati, Kuwait, </w:t>
            </w:r>
            <w:r w:rsidRPr="00892D5D">
              <w:rPr>
                <w:rFonts w:eastAsiaTheme="minorHAnsi"/>
                <w:i/>
                <w:iCs/>
                <w:szCs w:val="22"/>
                <w:lang w:val="es-ES_tradnl"/>
              </w:rPr>
              <w:t xml:space="preserve">Rep. Popular Democrática </w:t>
            </w:r>
            <w:r w:rsidR="00A0318E" w:rsidRPr="00892D5D">
              <w:rPr>
                <w:rFonts w:eastAsiaTheme="minorHAnsi"/>
                <w:i/>
                <w:iCs/>
                <w:szCs w:val="22"/>
                <w:lang w:val="es-ES_tradnl"/>
              </w:rPr>
              <w:t>La</w:t>
            </w:r>
            <w:r w:rsidR="001324A5" w:rsidRPr="00892D5D">
              <w:rPr>
                <w:rFonts w:eastAsiaTheme="minorHAnsi"/>
                <w:i/>
                <w:iCs/>
                <w:szCs w:val="22"/>
                <w:lang w:val="es-ES_tradnl"/>
              </w:rPr>
              <w:t>o</w:t>
            </w:r>
            <w:r w:rsidR="00A0318E" w:rsidRPr="00892D5D">
              <w:rPr>
                <w:rFonts w:eastAsiaTheme="minorHAnsi"/>
                <w:i/>
                <w:iCs/>
                <w:szCs w:val="22"/>
                <w:lang w:val="es-ES_tradnl"/>
              </w:rPr>
              <w:t xml:space="preserve">, Nauru, Niue, </w:t>
            </w:r>
            <w:r w:rsidRPr="00892D5D">
              <w:rPr>
                <w:rFonts w:eastAsiaTheme="minorHAnsi"/>
                <w:i/>
                <w:iCs/>
                <w:szCs w:val="22"/>
                <w:lang w:val="es-ES_tradnl"/>
              </w:rPr>
              <w:t xml:space="preserve">Islas </w:t>
            </w:r>
            <w:r w:rsidR="00A0318E" w:rsidRPr="00892D5D">
              <w:rPr>
                <w:rFonts w:eastAsiaTheme="minorHAnsi"/>
                <w:i/>
                <w:iCs/>
                <w:szCs w:val="22"/>
                <w:lang w:val="es-ES_tradnl"/>
              </w:rPr>
              <w:t>S</w:t>
            </w:r>
            <w:r w:rsidRPr="00892D5D">
              <w:rPr>
                <w:rFonts w:eastAsiaTheme="minorHAnsi"/>
                <w:i/>
                <w:iCs/>
                <w:szCs w:val="22"/>
                <w:lang w:val="es-ES_tradnl"/>
              </w:rPr>
              <w:t>a</w:t>
            </w:r>
            <w:r w:rsidR="00A0318E" w:rsidRPr="00892D5D">
              <w:rPr>
                <w:rFonts w:eastAsiaTheme="minorHAnsi"/>
                <w:i/>
                <w:iCs/>
                <w:szCs w:val="22"/>
                <w:lang w:val="es-ES_tradnl"/>
              </w:rPr>
              <w:t>lom</w:t>
            </w:r>
            <w:r w:rsidRPr="00892D5D">
              <w:rPr>
                <w:rFonts w:eastAsiaTheme="minorHAnsi"/>
                <w:i/>
                <w:iCs/>
                <w:szCs w:val="22"/>
                <w:lang w:val="es-ES_tradnl"/>
              </w:rPr>
              <w:t>ó</w:t>
            </w:r>
            <w:r w:rsidR="00A0318E" w:rsidRPr="00892D5D">
              <w:rPr>
                <w:rFonts w:eastAsiaTheme="minorHAnsi"/>
                <w:i/>
                <w:iCs/>
                <w:szCs w:val="22"/>
                <w:lang w:val="es-ES_tradnl"/>
              </w:rPr>
              <w:t>n, Tuvalu, Vanuatu</w:t>
            </w:r>
          </w:p>
        </w:tc>
        <w:tc>
          <w:tcPr>
            <w:tcW w:w="1077" w:type="dxa"/>
            <w:tcBorders>
              <w:top w:val="nil"/>
              <w:left w:val="nil"/>
              <w:bottom w:val="single" w:sz="4"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A0318E" w:rsidRPr="00892D5D" w:rsidRDefault="00A0318E" w:rsidP="0094264F">
            <w:pPr>
              <w:rPr>
                <w:rFonts w:eastAsiaTheme="minorHAnsi"/>
                <w:szCs w:val="22"/>
                <w:lang w:val="es-ES_tradnl"/>
              </w:rPr>
            </w:pPr>
            <w:r w:rsidRPr="00892D5D">
              <w:rPr>
                <w:rFonts w:eastAsiaTheme="minorHAnsi"/>
                <w:szCs w:val="22"/>
                <w:lang w:val="es-ES_tradnl"/>
              </w:rPr>
              <w:t>0</w:t>
            </w:r>
          </w:p>
        </w:tc>
        <w:tc>
          <w:tcPr>
            <w:tcW w:w="957" w:type="dxa"/>
            <w:tcBorders>
              <w:top w:val="nil"/>
              <w:left w:val="nil"/>
              <w:bottom w:val="single" w:sz="4"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A0318E" w:rsidRPr="00892D5D" w:rsidRDefault="00A0318E" w:rsidP="0094264F">
            <w:pPr>
              <w:rPr>
                <w:rFonts w:eastAsiaTheme="minorHAnsi"/>
                <w:szCs w:val="22"/>
                <w:lang w:val="es-ES_tradnl"/>
              </w:rPr>
            </w:pPr>
            <w:r w:rsidRPr="00892D5D">
              <w:rPr>
                <w:rFonts w:eastAsiaTheme="minorHAnsi"/>
                <w:szCs w:val="22"/>
                <w:lang w:val="es-ES_tradnl"/>
              </w:rPr>
              <w:t>18</w:t>
            </w:r>
          </w:p>
        </w:tc>
      </w:tr>
      <w:tr w:rsidR="001324A5" w:rsidRPr="00892D5D" w:rsidTr="00265772">
        <w:trPr>
          <w:trHeight w:val="110"/>
          <w:jc w:val="center"/>
        </w:trPr>
        <w:tc>
          <w:tcPr>
            <w:tcW w:w="795" w:type="dxa"/>
            <w:tcBorders>
              <w:top w:val="single" w:sz="4" w:space="0" w:color="auto"/>
              <w:left w:val="single" w:sz="8" w:space="0" w:color="auto"/>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A0318E" w:rsidRPr="00892D5D" w:rsidRDefault="00A0318E" w:rsidP="0094264F">
            <w:pPr>
              <w:spacing w:line="252" w:lineRule="auto"/>
              <w:ind w:hanging="360"/>
              <w:rPr>
                <w:rFonts w:eastAsiaTheme="minorHAnsi"/>
                <w:szCs w:val="22"/>
                <w:lang w:val="es-ES_tradnl"/>
              </w:rPr>
            </w:pPr>
            <w:r w:rsidRPr="00892D5D">
              <w:rPr>
                <w:rFonts w:eastAsiaTheme="minorHAnsi"/>
                <w:szCs w:val="22"/>
                <w:lang w:val="es-ES_tradnl"/>
              </w:rPr>
              <w:lastRenderedPageBreak/>
              <w:t>5.      5</w:t>
            </w:r>
          </w:p>
        </w:tc>
        <w:tc>
          <w:tcPr>
            <w:tcW w:w="2172" w:type="dxa"/>
            <w:tcBorders>
              <w:top w:val="single" w:sz="4"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A0318E" w:rsidRPr="00892D5D" w:rsidRDefault="00143CD7" w:rsidP="00143CD7">
            <w:pPr>
              <w:jc w:val="center"/>
              <w:rPr>
                <w:rFonts w:eastAsiaTheme="minorHAnsi"/>
                <w:b/>
                <w:bCs/>
                <w:szCs w:val="22"/>
                <w:lang w:val="es-ES_tradnl"/>
              </w:rPr>
            </w:pPr>
            <w:r w:rsidRPr="00892D5D">
              <w:rPr>
                <w:rFonts w:eastAsiaTheme="minorHAnsi"/>
                <w:b/>
                <w:bCs/>
                <w:szCs w:val="22"/>
                <w:lang w:val="es-ES_tradnl"/>
              </w:rPr>
              <w:t>Número t</w:t>
            </w:r>
            <w:r w:rsidR="00A0318E" w:rsidRPr="00892D5D">
              <w:rPr>
                <w:rFonts w:eastAsiaTheme="minorHAnsi"/>
                <w:b/>
                <w:bCs/>
                <w:szCs w:val="22"/>
                <w:lang w:val="es-ES_tradnl"/>
              </w:rPr>
              <w:t xml:space="preserve">otal </w:t>
            </w:r>
            <w:r w:rsidRPr="00892D5D">
              <w:rPr>
                <w:rFonts w:eastAsiaTheme="minorHAnsi"/>
                <w:b/>
                <w:bCs/>
                <w:szCs w:val="22"/>
                <w:lang w:val="es-ES_tradnl"/>
              </w:rPr>
              <w:t>de nuevas incorporaciones a la Unión de París y la Unión de Berna desde</w:t>
            </w:r>
            <w:r w:rsidR="00A0318E" w:rsidRPr="00892D5D">
              <w:rPr>
                <w:rFonts w:eastAsiaTheme="minorHAnsi"/>
                <w:b/>
                <w:bCs/>
                <w:szCs w:val="22"/>
                <w:lang w:val="es-ES_tradnl"/>
              </w:rPr>
              <w:t xml:space="preserve"> 2011 (</w:t>
            </w:r>
            <w:r w:rsidRPr="00892D5D">
              <w:rPr>
                <w:rFonts w:eastAsiaTheme="minorHAnsi"/>
                <w:b/>
                <w:bCs/>
                <w:szCs w:val="22"/>
                <w:lang w:val="es-ES_tradnl"/>
              </w:rPr>
              <w:t xml:space="preserve">fila 2 + fila </w:t>
            </w:r>
            <w:r w:rsidR="00A0318E" w:rsidRPr="00892D5D">
              <w:rPr>
                <w:rFonts w:eastAsiaTheme="minorHAnsi"/>
                <w:b/>
                <w:bCs/>
                <w:szCs w:val="22"/>
                <w:lang w:val="es-ES_tradnl"/>
              </w:rPr>
              <w:t>4)</w:t>
            </w:r>
          </w:p>
        </w:tc>
        <w:tc>
          <w:tcPr>
            <w:tcW w:w="1214" w:type="dxa"/>
            <w:tcBorders>
              <w:top w:val="single" w:sz="4"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A0318E" w:rsidRPr="00892D5D" w:rsidRDefault="00A0318E" w:rsidP="0094264F">
            <w:pPr>
              <w:rPr>
                <w:rFonts w:eastAsiaTheme="minorHAnsi"/>
                <w:b/>
                <w:bCs/>
                <w:szCs w:val="22"/>
                <w:lang w:val="es-ES_tradnl"/>
              </w:rPr>
            </w:pPr>
            <w:r w:rsidRPr="00892D5D">
              <w:rPr>
                <w:rFonts w:eastAsiaTheme="minorHAnsi"/>
                <w:b/>
                <w:bCs/>
                <w:szCs w:val="22"/>
                <w:lang w:val="es-ES_tradnl"/>
              </w:rPr>
              <w:t>2</w:t>
            </w:r>
          </w:p>
        </w:tc>
        <w:tc>
          <w:tcPr>
            <w:tcW w:w="1537" w:type="dxa"/>
            <w:tcBorders>
              <w:top w:val="single" w:sz="4"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A0318E" w:rsidRPr="00892D5D" w:rsidRDefault="00A0318E" w:rsidP="0094264F">
            <w:pPr>
              <w:rPr>
                <w:rFonts w:eastAsiaTheme="minorHAnsi"/>
                <w:b/>
                <w:bCs/>
                <w:szCs w:val="22"/>
                <w:lang w:val="es-ES_tradnl"/>
              </w:rPr>
            </w:pPr>
            <w:r w:rsidRPr="00892D5D">
              <w:rPr>
                <w:rFonts w:eastAsiaTheme="minorHAnsi"/>
                <w:b/>
                <w:bCs/>
                <w:szCs w:val="22"/>
                <w:lang w:val="es-ES_tradnl"/>
              </w:rPr>
              <w:t>5</w:t>
            </w:r>
          </w:p>
        </w:tc>
        <w:tc>
          <w:tcPr>
            <w:tcW w:w="1668" w:type="dxa"/>
            <w:tcBorders>
              <w:top w:val="single" w:sz="4"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A0318E" w:rsidRPr="00892D5D" w:rsidRDefault="00A0318E" w:rsidP="0094264F">
            <w:pPr>
              <w:rPr>
                <w:rFonts w:eastAsiaTheme="minorHAnsi"/>
                <w:b/>
                <w:bCs/>
                <w:szCs w:val="22"/>
                <w:lang w:val="es-ES_tradnl"/>
              </w:rPr>
            </w:pPr>
            <w:r w:rsidRPr="00892D5D">
              <w:rPr>
                <w:rFonts w:eastAsiaTheme="minorHAnsi"/>
                <w:b/>
                <w:bCs/>
                <w:szCs w:val="22"/>
                <w:lang w:val="es-ES_tradnl"/>
              </w:rPr>
              <w:t>1</w:t>
            </w:r>
          </w:p>
        </w:tc>
        <w:tc>
          <w:tcPr>
            <w:tcW w:w="1421" w:type="dxa"/>
            <w:tcBorders>
              <w:top w:val="single" w:sz="4"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A0318E" w:rsidRPr="00892D5D" w:rsidRDefault="00A0318E" w:rsidP="0094264F">
            <w:pPr>
              <w:rPr>
                <w:rFonts w:eastAsiaTheme="minorHAnsi"/>
                <w:b/>
                <w:bCs/>
                <w:szCs w:val="22"/>
                <w:lang w:val="es-ES_tradnl"/>
              </w:rPr>
            </w:pPr>
            <w:r w:rsidRPr="00892D5D">
              <w:rPr>
                <w:rFonts w:eastAsiaTheme="minorHAnsi"/>
                <w:b/>
                <w:bCs/>
                <w:szCs w:val="22"/>
                <w:lang w:val="es-ES_tradnl"/>
              </w:rPr>
              <w:t>0</w:t>
            </w:r>
          </w:p>
        </w:tc>
        <w:tc>
          <w:tcPr>
            <w:tcW w:w="1542" w:type="dxa"/>
            <w:tcBorders>
              <w:top w:val="single" w:sz="4"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A0318E" w:rsidRPr="00892D5D" w:rsidRDefault="00A0318E" w:rsidP="0094264F">
            <w:pPr>
              <w:rPr>
                <w:rFonts w:eastAsiaTheme="minorHAnsi"/>
                <w:b/>
                <w:bCs/>
                <w:szCs w:val="22"/>
                <w:lang w:val="es-ES_tradnl"/>
              </w:rPr>
            </w:pPr>
            <w:r w:rsidRPr="00892D5D">
              <w:rPr>
                <w:rFonts w:eastAsiaTheme="minorHAnsi"/>
                <w:b/>
                <w:bCs/>
                <w:szCs w:val="22"/>
                <w:lang w:val="es-ES_tradnl"/>
              </w:rPr>
              <w:t>0</w:t>
            </w:r>
          </w:p>
        </w:tc>
        <w:tc>
          <w:tcPr>
            <w:tcW w:w="1555" w:type="dxa"/>
            <w:tcBorders>
              <w:top w:val="single" w:sz="4"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A0318E" w:rsidRPr="00892D5D" w:rsidRDefault="00A0318E" w:rsidP="0094264F">
            <w:pPr>
              <w:rPr>
                <w:rFonts w:eastAsiaTheme="minorHAnsi"/>
                <w:b/>
                <w:bCs/>
                <w:szCs w:val="22"/>
                <w:lang w:val="es-ES_tradnl"/>
              </w:rPr>
            </w:pPr>
            <w:r w:rsidRPr="00892D5D">
              <w:rPr>
                <w:rFonts w:eastAsiaTheme="minorHAnsi"/>
                <w:b/>
                <w:bCs/>
                <w:szCs w:val="22"/>
                <w:lang w:val="es-ES_tradnl"/>
              </w:rPr>
              <w:t>16</w:t>
            </w:r>
          </w:p>
        </w:tc>
        <w:tc>
          <w:tcPr>
            <w:tcW w:w="1077" w:type="dxa"/>
            <w:tcBorders>
              <w:top w:val="single" w:sz="4"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A0318E" w:rsidRPr="00892D5D" w:rsidRDefault="00A0318E" w:rsidP="0094264F">
            <w:pPr>
              <w:rPr>
                <w:rFonts w:eastAsiaTheme="minorHAnsi"/>
                <w:b/>
                <w:bCs/>
                <w:szCs w:val="22"/>
                <w:lang w:val="es-ES_tradnl"/>
              </w:rPr>
            </w:pPr>
            <w:r w:rsidRPr="00892D5D">
              <w:rPr>
                <w:rFonts w:eastAsiaTheme="minorHAnsi"/>
                <w:b/>
                <w:bCs/>
                <w:szCs w:val="22"/>
                <w:lang w:val="es-ES_tradnl"/>
              </w:rPr>
              <w:t>0</w:t>
            </w:r>
          </w:p>
        </w:tc>
        <w:tc>
          <w:tcPr>
            <w:tcW w:w="957" w:type="dxa"/>
            <w:tcBorders>
              <w:top w:val="single" w:sz="4"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A0318E" w:rsidRPr="00892D5D" w:rsidRDefault="00A0318E" w:rsidP="0094264F">
            <w:pPr>
              <w:rPr>
                <w:rFonts w:eastAsiaTheme="minorHAnsi"/>
                <w:b/>
                <w:bCs/>
                <w:szCs w:val="22"/>
                <w:lang w:val="es-ES_tradnl"/>
              </w:rPr>
            </w:pPr>
            <w:r w:rsidRPr="00892D5D">
              <w:rPr>
                <w:rFonts w:eastAsiaTheme="minorHAnsi"/>
                <w:b/>
                <w:bCs/>
                <w:szCs w:val="22"/>
                <w:lang w:val="es-ES_tradnl"/>
              </w:rPr>
              <w:t>24</w:t>
            </w:r>
          </w:p>
        </w:tc>
      </w:tr>
    </w:tbl>
    <w:p w:rsidR="00E703C3" w:rsidRPr="001324A5" w:rsidRDefault="00A0318E" w:rsidP="00155FA5">
      <w:pPr>
        <w:pStyle w:val="Endofdocument-Annex"/>
        <w:spacing w:before="720"/>
        <w:ind w:left="9781"/>
        <w:rPr>
          <w:lang w:val="es-ES_tradnl"/>
        </w:rPr>
      </w:pPr>
      <w:r w:rsidRPr="001324A5">
        <w:rPr>
          <w:lang w:val="es-ES_tradnl"/>
        </w:rPr>
        <w:t>[</w:t>
      </w:r>
      <w:r w:rsidR="00143CD7" w:rsidRPr="001324A5">
        <w:rPr>
          <w:lang w:val="es-ES_tradnl"/>
        </w:rPr>
        <w:t>Fin del Anexo y del documento</w:t>
      </w:r>
      <w:r w:rsidRPr="001324A5">
        <w:rPr>
          <w:lang w:val="es-ES_tradnl"/>
        </w:rPr>
        <w:t>]</w:t>
      </w:r>
    </w:p>
    <w:sectPr w:rsidR="00E703C3" w:rsidRPr="001324A5" w:rsidSect="0009314C">
      <w:headerReference w:type="even" r:id="rId16"/>
      <w:footerReference w:type="even" r:id="rId17"/>
      <w:footerReference w:type="default" r:id="rId18"/>
      <w:headerReference w:type="first" r:id="rId19"/>
      <w:footerReference w:type="first" r:id="rId20"/>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D0B" w:rsidRDefault="00FC2D0B">
      <w:r>
        <w:separator/>
      </w:r>
    </w:p>
  </w:endnote>
  <w:endnote w:type="continuationSeparator" w:id="0">
    <w:p w:rsidR="00FC2D0B" w:rsidRPr="009D30E6" w:rsidRDefault="00FC2D0B" w:rsidP="007E663E">
      <w:pPr>
        <w:rPr>
          <w:sz w:val="17"/>
          <w:szCs w:val="17"/>
        </w:rPr>
      </w:pPr>
      <w:r w:rsidRPr="009D30E6">
        <w:rPr>
          <w:sz w:val="17"/>
          <w:szCs w:val="17"/>
        </w:rPr>
        <w:separator/>
      </w:r>
    </w:p>
    <w:p w:rsidR="00FC2D0B" w:rsidRPr="007E663E" w:rsidRDefault="00FC2D0B" w:rsidP="007E663E">
      <w:pPr>
        <w:spacing w:after="60"/>
        <w:rPr>
          <w:sz w:val="17"/>
          <w:szCs w:val="17"/>
        </w:rPr>
      </w:pPr>
      <w:r>
        <w:rPr>
          <w:sz w:val="17"/>
        </w:rPr>
        <w:t>[Continuación de la nota de la página anterior]</w:t>
      </w:r>
    </w:p>
  </w:endnote>
  <w:endnote w:type="continuationNotice" w:id="1">
    <w:p w:rsidR="00FC2D0B" w:rsidRPr="007E663E" w:rsidRDefault="00FC2D0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C94" w:rsidRDefault="00015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DDB" w:rsidRDefault="009F7D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DDB" w:rsidRDefault="009F7D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96F" w:rsidRDefault="00CB596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96F" w:rsidRDefault="00CB596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96F" w:rsidRDefault="00CB5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D0B" w:rsidRDefault="00FC2D0B">
      <w:r>
        <w:separator/>
      </w:r>
    </w:p>
  </w:footnote>
  <w:footnote w:type="continuationSeparator" w:id="0">
    <w:p w:rsidR="00FC2D0B" w:rsidRPr="009D30E6" w:rsidRDefault="00FC2D0B" w:rsidP="007E663E">
      <w:pPr>
        <w:rPr>
          <w:sz w:val="17"/>
          <w:szCs w:val="17"/>
        </w:rPr>
      </w:pPr>
      <w:r w:rsidRPr="009D30E6">
        <w:rPr>
          <w:sz w:val="17"/>
          <w:szCs w:val="17"/>
        </w:rPr>
        <w:separator/>
      </w:r>
    </w:p>
    <w:p w:rsidR="00FC2D0B" w:rsidRPr="007E663E" w:rsidRDefault="00FC2D0B" w:rsidP="007E663E">
      <w:pPr>
        <w:spacing w:after="60"/>
        <w:rPr>
          <w:sz w:val="17"/>
          <w:szCs w:val="17"/>
        </w:rPr>
      </w:pPr>
      <w:r>
        <w:rPr>
          <w:sz w:val="17"/>
        </w:rPr>
        <w:t>[Continuación de la nota de la página anterior]</w:t>
      </w:r>
    </w:p>
  </w:footnote>
  <w:footnote w:type="continuationNotice" w:id="1">
    <w:p w:rsidR="00FC2D0B" w:rsidRPr="007E663E" w:rsidRDefault="00FC2D0B" w:rsidP="007E663E">
      <w:pPr>
        <w:spacing w:before="60"/>
        <w:jc w:val="right"/>
        <w:rPr>
          <w:sz w:val="17"/>
          <w:szCs w:val="17"/>
        </w:rPr>
      </w:pPr>
      <w:r w:rsidRPr="007E663E">
        <w:rPr>
          <w:sz w:val="17"/>
          <w:szCs w:val="17"/>
        </w:rPr>
        <w:t>[Sigue la nota en la página siguiente]</w:t>
      </w:r>
    </w:p>
  </w:footnote>
  <w:footnote w:id="2">
    <w:p w:rsidR="00A0318E" w:rsidRPr="002705FD" w:rsidRDefault="00A0318E" w:rsidP="00A0318E">
      <w:pPr>
        <w:pStyle w:val="FootnoteText"/>
        <w:jc w:val="both"/>
        <w:rPr>
          <w:lang w:val="es-ES_tradnl"/>
        </w:rPr>
      </w:pPr>
      <w:r w:rsidRPr="008275AE">
        <w:footnoteRef/>
      </w:r>
      <w:r w:rsidRPr="002705FD">
        <w:rPr>
          <w:lang w:val="es-ES_tradnl"/>
        </w:rPr>
        <w:t xml:space="preserve"> </w:t>
      </w:r>
      <w:r w:rsidR="002705FD" w:rsidRPr="002705FD">
        <w:rPr>
          <w:lang w:val="es-ES_tradnl"/>
        </w:rPr>
        <w:t xml:space="preserve">Este Anexo se basa en el cuadro que figura en </w:t>
      </w:r>
      <w:r w:rsidR="002705FD">
        <w:rPr>
          <w:lang w:val="es-ES_tradnl"/>
        </w:rPr>
        <w:t>los</w:t>
      </w:r>
      <w:r w:rsidR="002705FD" w:rsidRPr="002705FD">
        <w:rPr>
          <w:lang w:val="es-ES_tradnl"/>
        </w:rPr>
        <w:t xml:space="preserve"> documento</w:t>
      </w:r>
      <w:r w:rsidR="002705FD">
        <w:rPr>
          <w:lang w:val="es-ES_tradnl"/>
        </w:rPr>
        <w:t>s</w:t>
      </w:r>
      <w:r w:rsidR="002705FD" w:rsidRPr="002705FD">
        <w:rPr>
          <w:lang w:val="es-ES_tradnl"/>
        </w:rPr>
        <w:t xml:space="preserve"> </w:t>
      </w:r>
      <w:r w:rsidRPr="002705FD">
        <w:rPr>
          <w:lang w:val="es-ES_tradnl"/>
        </w:rPr>
        <w:t>A/59/12</w:t>
      </w:r>
      <w:r w:rsidR="002705FD" w:rsidRPr="002705FD">
        <w:rPr>
          <w:lang w:val="es-ES_tradnl"/>
        </w:rPr>
        <w:t>, de fecha</w:t>
      </w:r>
      <w:r w:rsidRPr="002705FD">
        <w:rPr>
          <w:lang w:val="es-ES_tradnl"/>
        </w:rPr>
        <w:t xml:space="preserve"> 24 </w:t>
      </w:r>
      <w:r w:rsidR="002705FD">
        <w:rPr>
          <w:lang w:val="es-ES_tradnl"/>
        </w:rPr>
        <w:t>de septiembre de</w:t>
      </w:r>
      <w:r w:rsidRPr="002705FD">
        <w:rPr>
          <w:lang w:val="es-ES_tradnl"/>
        </w:rPr>
        <w:t xml:space="preserve"> 2019, WO/GA/51/17 d</w:t>
      </w:r>
      <w:r w:rsidR="002705FD">
        <w:rPr>
          <w:lang w:val="es-ES_tradnl"/>
        </w:rPr>
        <w:t>e fecha</w:t>
      </w:r>
      <w:r w:rsidRPr="002705FD">
        <w:rPr>
          <w:lang w:val="es-ES_tradnl"/>
        </w:rPr>
        <w:t xml:space="preserve"> 24 </w:t>
      </w:r>
      <w:r w:rsidR="002705FD">
        <w:rPr>
          <w:lang w:val="es-ES_tradnl"/>
        </w:rPr>
        <w:t>de septiembre de</w:t>
      </w:r>
      <w:r w:rsidRPr="002705FD">
        <w:rPr>
          <w:lang w:val="es-ES_tradnl"/>
        </w:rPr>
        <w:t xml:space="preserve"> 2019 </w:t>
      </w:r>
      <w:r w:rsidR="002705FD">
        <w:rPr>
          <w:lang w:val="es-ES_tradnl"/>
        </w:rPr>
        <w:t>y</w:t>
      </w:r>
      <w:r w:rsidRPr="002705FD">
        <w:rPr>
          <w:lang w:val="es-ES_tradnl"/>
        </w:rPr>
        <w:t xml:space="preserve"> A/62/13</w:t>
      </w:r>
      <w:r w:rsidR="002705FD">
        <w:rPr>
          <w:lang w:val="es-ES_tradnl"/>
        </w:rPr>
        <w:t>,</w:t>
      </w:r>
      <w:r w:rsidRPr="002705FD">
        <w:rPr>
          <w:lang w:val="es-ES_tradnl"/>
        </w:rPr>
        <w:t xml:space="preserve"> d</w:t>
      </w:r>
      <w:r w:rsidR="002705FD">
        <w:rPr>
          <w:lang w:val="es-ES_tradnl"/>
        </w:rPr>
        <w:t>e fecha </w:t>
      </w:r>
      <w:r w:rsidRPr="002705FD">
        <w:rPr>
          <w:lang w:val="es-ES_tradnl"/>
        </w:rPr>
        <w:t xml:space="preserve">17 </w:t>
      </w:r>
      <w:r w:rsidR="002705FD">
        <w:rPr>
          <w:lang w:val="es-ES_tradnl"/>
        </w:rPr>
        <w:t>de diciembre de 2021</w:t>
      </w:r>
      <w:r w:rsidRPr="002705FD">
        <w:rPr>
          <w:lang w:val="es-ES_tradnl"/>
        </w:rPr>
        <w:t xml:space="preserve">. </w:t>
      </w:r>
      <w:r w:rsidR="002705FD" w:rsidRPr="002705FD">
        <w:rPr>
          <w:lang w:val="es-ES_tradnl"/>
        </w:rPr>
        <w:t>Ha sido actualizado para incluir a</w:t>
      </w:r>
      <w:r w:rsidRPr="002705FD">
        <w:rPr>
          <w:lang w:val="es-ES_tradnl"/>
        </w:rPr>
        <w:t xml:space="preserve"> Nauru (</w:t>
      </w:r>
      <w:r w:rsidR="002705FD" w:rsidRPr="002705FD">
        <w:rPr>
          <w:lang w:val="es-ES_tradnl"/>
        </w:rPr>
        <w:t>miembro del Grupo de Asia y el Pacífico</w:t>
      </w:r>
      <w:r w:rsidRPr="002705FD">
        <w:rPr>
          <w:lang w:val="es-ES_tradnl"/>
        </w:rPr>
        <w:t xml:space="preserve">) </w:t>
      </w:r>
      <w:r w:rsidR="002705FD">
        <w:rPr>
          <w:lang w:val="es-ES_tradnl"/>
        </w:rPr>
        <w:t>que se ha pasado a ser miembro de la OMPI desde las Asambleas de la OMPI de </w:t>
      </w:r>
      <w:r w:rsidRPr="002705FD">
        <w:rPr>
          <w:lang w:val="es-ES_tradnl"/>
        </w:rPr>
        <w:t>2019.</w:t>
      </w:r>
    </w:p>
  </w:footnote>
  <w:footnote w:id="3">
    <w:p w:rsidR="00A0318E" w:rsidRPr="00FA4D6D" w:rsidRDefault="00A0318E" w:rsidP="00FA4D6D">
      <w:pPr>
        <w:pStyle w:val="FootnoteText"/>
        <w:rPr>
          <w:lang w:val="es-ES_tradnl"/>
        </w:rPr>
      </w:pPr>
      <w:r w:rsidRPr="008275AE">
        <w:footnoteRef/>
      </w:r>
      <w:r w:rsidRPr="00FA4D6D">
        <w:rPr>
          <w:lang w:val="es-ES_tradnl"/>
        </w:rPr>
        <w:t xml:space="preserve"> </w:t>
      </w:r>
      <w:r w:rsidR="00FA4D6D" w:rsidRPr="00FA4D6D">
        <w:rPr>
          <w:lang w:val="es-ES_tradnl"/>
        </w:rPr>
        <w:t xml:space="preserve">Basado en: (número de </w:t>
      </w:r>
      <w:r w:rsidR="001324A5">
        <w:rPr>
          <w:lang w:val="es-ES_tradnl"/>
        </w:rPr>
        <w:t>plazas asignada</w:t>
      </w:r>
      <w:r w:rsidR="00FA4D6D" w:rsidRPr="00FA4D6D">
        <w:rPr>
          <w:lang w:val="es-ES_tradnl"/>
        </w:rPr>
        <w:t>s actualmente por grupo regional en el Comité de Coordinación)/(número total de miembros del grupo regional) x 100%</w:t>
      </w:r>
      <w:r w:rsidR="00FA4D6D">
        <w:rPr>
          <w:lang w:val="es-ES_tradnl"/>
        </w:rPr>
        <w:t>.</w:t>
      </w:r>
    </w:p>
  </w:footnote>
  <w:footnote w:id="4">
    <w:p w:rsidR="00A0318E" w:rsidRPr="00FA4D6D" w:rsidRDefault="00A0318E" w:rsidP="00A0318E">
      <w:pPr>
        <w:pStyle w:val="FootnoteText"/>
        <w:tabs>
          <w:tab w:val="left" w:pos="8198"/>
        </w:tabs>
        <w:rPr>
          <w:lang w:val="es-ES_tradnl"/>
        </w:rPr>
      </w:pPr>
      <w:r w:rsidRPr="008275AE">
        <w:footnoteRef/>
      </w:r>
      <w:r w:rsidRPr="00FA4D6D">
        <w:rPr>
          <w:lang w:val="es-ES_tradnl"/>
        </w:rPr>
        <w:t xml:space="preserve"> </w:t>
      </w:r>
      <w:r w:rsidR="00FA4D6D" w:rsidRPr="00FA4D6D">
        <w:rPr>
          <w:lang w:val="es-ES_tradnl"/>
        </w:rPr>
        <w:t>Basado en: (número de miembros del grupo regional)/(número total de miembros de la OMPI) x 100%</w:t>
      </w:r>
      <w:r w:rsidR="00FA4D6D">
        <w:rPr>
          <w:lang w:val="es-ES_tradnl"/>
        </w:rPr>
        <w:t>.</w:t>
      </w:r>
    </w:p>
  </w:footnote>
  <w:footnote w:id="5">
    <w:p w:rsidR="00A0318E" w:rsidRPr="00FA4D6D" w:rsidRDefault="00A0318E" w:rsidP="00A0318E">
      <w:pPr>
        <w:pStyle w:val="FootnoteText"/>
        <w:rPr>
          <w:lang w:val="es-ES_tradnl"/>
        </w:rPr>
      </w:pPr>
      <w:r w:rsidRPr="008275AE">
        <w:footnoteRef/>
      </w:r>
      <w:r w:rsidRPr="00FA4D6D">
        <w:rPr>
          <w:lang w:val="es-ES_tradnl"/>
        </w:rPr>
        <w:t xml:space="preserve"> </w:t>
      </w:r>
      <w:r w:rsidR="00FA4D6D" w:rsidRPr="00FA4D6D">
        <w:rPr>
          <w:lang w:val="es-ES_tradnl"/>
        </w:rPr>
        <w:t xml:space="preserve">Basado en: (número de </w:t>
      </w:r>
      <w:r w:rsidR="001324A5">
        <w:rPr>
          <w:lang w:val="es-ES_tradnl"/>
        </w:rPr>
        <w:t>plazas asignada</w:t>
      </w:r>
      <w:r w:rsidR="00FA4D6D" w:rsidRPr="00FA4D6D">
        <w:rPr>
          <w:lang w:val="es-ES_tradnl"/>
        </w:rPr>
        <w:t xml:space="preserve">s actualmente por grupo regional en el Comité de Coordinación)/(número total de </w:t>
      </w:r>
      <w:r w:rsidR="00FA4D6D">
        <w:rPr>
          <w:lang w:val="es-ES_tradnl"/>
        </w:rPr>
        <w:t>plazas</w:t>
      </w:r>
      <w:r w:rsidR="00FA4D6D" w:rsidRPr="00FA4D6D">
        <w:rPr>
          <w:lang w:val="es-ES_tradnl"/>
        </w:rPr>
        <w:t xml:space="preserve"> en el Comité de Coordinación) x 100%</w:t>
      </w:r>
      <w:r w:rsidR="00FA4D6D">
        <w:rPr>
          <w:lang w:val="es-ES_tradnl"/>
        </w:rPr>
        <w:t>.</w:t>
      </w:r>
    </w:p>
  </w:footnote>
  <w:footnote w:id="6">
    <w:p w:rsidR="00A0318E" w:rsidRPr="00FA4D6D" w:rsidRDefault="00A0318E" w:rsidP="00A0318E">
      <w:pPr>
        <w:pStyle w:val="FootnoteText"/>
        <w:rPr>
          <w:lang w:val="es-ES_tradnl"/>
        </w:rPr>
      </w:pPr>
      <w:r>
        <w:rPr>
          <w:rStyle w:val="FootnoteReference"/>
        </w:rPr>
        <w:footnoteRef/>
      </w:r>
      <w:r w:rsidRPr="00FA4D6D">
        <w:rPr>
          <w:lang w:val="es-ES_tradnl"/>
        </w:rPr>
        <w:t xml:space="preserve"> </w:t>
      </w:r>
      <w:r w:rsidR="00FA4D6D" w:rsidRPr="00FA4D6D">
        <w:rPr>
          <w:lang w:val="es-ES_tradnl"/>
        </w:rPr>
        <w:t xml:space="preserve">Basado en: (porcentaje del grupo con respecto al número de miembros de la OMPI) x (número total de </w:t>
      </w:r>
      <w:r w:rsidR="00FA4D6D">
        <w:rPr>
          <w:lang w:val="es-ES_tradnl"/>
        </w:rPr>
        <w:t xml:space="preserve">plazas </w:t>
      </w:r>
      <w:r w:rsidR="00FA4D6D" w:rsidRPr="00FA4D6D">
        <w:rPr>
          <w:lang w:val="es-ES_tradnl"/>
        </w:rPr>
        <w:t>en el Comité de Coordinación)</w:t>
      </w:r>
    </w:p>
  </w:footnote>
  <w:footnote w:id="7">
    <w:p w:rsidR="00A0318E" w:rsidRPr="00FA4D6D" w:rsidRDefault="00A0318E" w:rsidP="00A0318E">
      <w:pPr>
        <w:pStyle w:val="FootnoteText"/>
        <w:jc w:val="both"/>
        <w:rPr>
          <w:lang w:val="es-ES_tradnl"/>
        </w:rPr>
      </w:pPr>
      <w:r>
        <w:rPr>
          <w:rStyle w:val="FootnoteReference"/>
        </w:rPr>
        <w:footnoteRef/>
      </w:r>
      <w:r w:rsidRPr="00FA4D6D">
        <w:rPr>
          <w:lang w:val="es-ES_tradnl"/>
        </w:rPr>
        <w:t xml:space="preserve"> </w:t>
      </w:r>
      <w:r w:rsidR="001324A5">
        <w:rPr>
          <w:lang w:val="es-ES_tradnl"/>
        </w:rPr>
        <w:t>Basado en: (n</w:t>
      </w:r>
      <w:r w:rsidR="00FA4D6D" w:rsidRPr="00FA4D6D">
        <w:rPr>
          <w:lang w:val="es-ES_tradnl"/>
        </w:rPr>
        <w:t xml:space="preserve">úmero de </w:t>
      </w:r>
      <w:r w:rsidR="00FA4D6D">
        <w:rPr>
          <w:lang w:val="es-ES_tradnl"/>
        </w:rPr>
        <w:t>plazas</w:t>
      </w:r>
      <w:r w:rsidR="00FA4D6D" w:rsidRPr="00FA4D6D">
        <w:rPr>
          <w:lang w:val="es-ES_tradnl"/>
        </w:rPr>
        <w:t xml:space="preserve"> del Comité de Coordinación con arreglo al porcentaje de miembros de la OMPI basado en 83 </w:t>
      </w:r>
      <w:r w:rsidR="00FA4D6D">
        <w:rPr>
          <w:lang w:val="es-ES_tradnl"/>
        </w:rPr>
        <w:t>plazas</w:t>
      </w:r>
      <w:r w:rsidR="00FA4D6D" w:rsidRPr="00FA4D6D">
        <w:rPr>
          <w:lang w:val="es-ES_tradnl"/>
        </w:rPr>
        <w:t>) - (</w:t>
      </w:r>
      <w:r w:rsidR="001324A5">
        <w:rPr>
          <w:lang w:val="es-ES_tradnl"/>
        </w:rPr>
        <w:t>plazas asignada</w:t>
      </w:r>
      <w:r w:rsidR="00FA4D6D" w:rsidRPr="00FA4D6D">
        <w:rPr>
          <w:lang w:val="es-ES_tradnl"/>
        </w:rPr>
        <w:t xml:space="preserve">s actualmente para el Comité de Coordinación). Una cifra negativa significa que el grupo regional está sobrerrepresentado por esa cantidad de </w:t>
      </w:r>
      <w:r w:rsidR="001324A5">
        <w:rPr>
          <w:lang w:val="es-ES_tradnl"/>
        </w:rPr>
        <w:t>plazas</w:t>
      </w:r>
      <w:r w:rsidR="00FA4D6D" w:rsidRPr="00FA4D6D">
        <w:rPr>
          <w:lang w:val="es-ES_tradnl"/>
        </w:rPr>
        <w:t xml:space="preserve"> en el Comité de Coordinación.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C94" w:rsidRDefault="00015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18E" w:rsidRDefault="00A0318E" w:rsidP="00477D6B">
    <w:pPr>
      <w:jc w:val="right"/>
    </w:pPr>
    <w:r>
      <w:t>A/64/10</w:t>
    </w:r>
  </w:p>
  <w:p w:rsidR="00A0318E" w:rsidRDefault="00A0318E" w:rsidP="00477D6B">
    <w:pPr>
      <w:jc w:val="right"/>
    </w:pPr>
    <w:r>
      <w:t>Anex</w:t>
    </w:r>
    <w:r w:rsidR="0009314C">
      <w:t>o</w:t>
    </w:r>
    <w:r>
      <w:t>, p</w:t>
    </w:r>
    <w:r w:rsidR="0009314C">
      <w:t>ágina</w:t>
    </w:r>
    <w:r>
      <w:t xml:space="preserve"> </w:t>
    </w:r>
    <w:r>
      <w:fldChar w:fldCharType="begin"/>
    </w:r>
    <w:r>
      <w:instrText xml:space="preserve"> PAGE  \* MERGEFORMAT </w:instrText>
    </w:r>
    <w:r>
      <w:fldChar w:fldCharType="separate"/>
    </w:r>
    <w:r w:rsidR="00155FA5">
      <w:rPr>
        <w:noProof/>
      </w:rPr>
      <w:t>5</w:t>
    </w:r>
    <w:r>
      <w:fldChar w:fldCharType="end"/>
    </w:r>
  </w:p>
  <w:p w:rsidR="0009314C" w:rsidRDefault="0009314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C94" w:rsidRDefault="00015C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FA5" w:rsidRDefault="00155FA5" w:rsidP="00477D6B">
    <w:pPr>
      <w:jc w:val="right"/>
    </w:pPr>
    <w:r>
      <w:t>A/64/10</w:t>
    </w:r>
  </w:p>
  <w:p w:rsidR="00155FA5" w:rsidRDefault="00155FA5" w:rsidP="00477D6B">
    <w:pPr>
      <w:jc w:val="right"/>
    </w:pPr>
    <w:r>
      <w:t xml:space="preserve">Anexo, página </w:t>
    </w:r>
    <w:r>
      <w:fldChar w:fldCharType="begin"/>
    </w:r>
    <w:r>
      <w:instrText xml:space="preserve"> PAGE  \* MERGEFORMAT </w:instrText>
    </w:r>
    <w:r>
      <w:fldChar w:fldCharType="separate"/>
    </w:r>
    <w:r w:rsidR="00015C94">
      <w:rPr>
        <w:noProof/>
      </w:rPr>
      <w:t>6</w:t>
    </w:r>
    <w:r>
      <w:fldChar w:fldCharType="end"/>
    </w:r>
  </w:p>
  <w:p w:rsidR="00155FA5" w:rsidRDefault="00155FA5" w:rsidP="00477D6B">
    <w:pPr>
      <w:jc w:val="right"/>
    </w:pPr>
  </w:p>
  <w:p w:rsidR="00155FA5" w:rsidRDefault="00155FA5"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18E" w:rsidRDefault="00A0318E" w:rsidP="00727EF6">
    <w:pPr>
      <w:pStyle w:val="Header"/>
      <w:jc w:val="right"/>
    </w:pPr>
    <w:r>
      <w:t>A/64/10</w:t>
    </w:r>
  </w:p>
  <w:p w:rsidR="00A0318E" w:rsidRDefault="00155FA5" w:rsidP="000A2D67">
    <w:pPr>
      <w:jc w:val="right"/>
    </w:pPr>
    <w:r>
      <w:t>ANEXO</w:t>
    </w:r>
  </w:p>
  <w:p w:rsidR="00155FA5" w:rsidRDefault="00155FA5" w:rsidP="000A2D67">
    <w:pPr>
      <w:jc w:val="right"/>
    </w:pPr>
  </w:p>
  <w:p w:rsidR="00A0318E" w:rsidRDefault="00A0318E" w:rsidP="00727EF6">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96F" w:rsidRDefault="00CB596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FA5" w:rsidRDefault="00155FA5" w:rsidP="00727EF6">
    <w:pPr>
      <w:pStyle w:val="Header"/>
      <w:jc w:val="right"/>
    </w:pPr>
    <w:r>
      <w:t>A/64/10</w:t>
    </w:r>
  </w:p>
  <w:p w:rsidR="00155FA5" w:rsidRDefault="00155FA5" w:rsidP="000A2D67">
    <w:pPr>
      <w:jc w:val="right"/>
    </w:pPr>
    <w:r>
      <w:t xml:space="preserve">Anexo, página </w:t>
    </w:r>
    <w:r>
      <w:fldChar w:fldCharType="begin"/>
    </w:r>
    <w:r>
      <w:instrText>PAGE   \* MERGEFORMAT</w:instrText>
    </w:r>
    <w:r>
      <w:fldChar w:fldCharType="separate"/>
    </w:r>
    <w:r w:rsidR="00015C94">
      <w:rPr>
        <w:noProof/>
      </w:rPr>
      <w:t>3</w:t>
    </w:r>
    <w:r>
      <w:fldChar w:fldCharType="end"/>
    </w:r>
  </w:p>
  <w:p w:rsidR="00155FA5" w:rsidRDefault="00155FA5" w:rsidP="000A2D67">
    <w:pPr>
      <w:jc w:val="right"/>
    </w:pPr>
  </w:p>
  <w:p w:rsidR="00155FA5" w:rsidRDefault="00155FA5" w:rsidP="00727E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91481A"/>
    <w:multiLevelType w:val="hybridMultilevel"/>
    <w:tmpl w:val="46E8B188"/>
    <w:lvl w:ilvl="0" w:tplc="221E3408">
      <w:start w:val="1"/>
      <w:numFmt w:val="bullet"/>
      <w:lvlText w:val=""/>
      <w:lvlJc w:val="left"/>
      <w:pPr>
        <w:ind w:left="1440" w:hanging="360"/>
      </w:pPr>
      <w:rPr>
        <w:rFonts w:ascii="Wingdings" w:hAnsi="Wingdings" w:hint="default"/>
        <w:lang w:val="es-ES_tradnl"/>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7EA0921"/>
    <w:multiLevelType w:val="hybridMultilevel"/>
    <w:tmpl w:val="D3C027C2"/>
    <w:lvl w:ilvl="0" w:tplc="4809000F">
      <w:start w:val="1"/>
      <w:numFmt w:val="decimal"/>
      <w:lvlText w:val="%1."/>
      <w:lvlJc w:val="left"/>
      <w:pPr>
        <w:ind w:left="502" w:hanging="360"/>
      </w:p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D4253E4"/>
    <w:multiLevelType w:val="multilevel"/>
    <w:tmpl w:val="719CEE64"/>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92723F5"/>
    <w:multiLevelType w:val="hybridMultilevel"/>
    <w:tmpl w:val="70B440F2"/>
    <w:lvl w:ilvl="0" w:tplc="37786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8"/>
  </w:num>
  <w:num w:numId="8">
    <w:abstractNumId w:val="5"/>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Términos útiles|Fechas|Sesiones"/>
    <w:docVar w:name="TermBaseURL" w:val="empty"/>
    <w:docVar w:name="TextBases" w:val="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 New|TextBase TMs\WorkspaceSTS\Outreach\Economist|TextBase TMs\WorkspaceSTS\Outreach\IP Advantage|TextBase TMs\WorkspaceSTS\Outreach\POW Main|TextBase TMs\WorkspaceSTS\Outreach\POW Main New|TextBase TMs\WorkspaceSTS\Patents &amp; Innovation\P Instruments|TextBase TMs\WorkspaceSTS\Patents &amp; Innovation\Patents Main|TextBase TMs\WorkspaceSTS\Treaties &amp; Laws\WIPO Lex|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GRTKF\GRTKF New|TextBase TMs\WorkspaceSTS\Outreach\Economist|TextBase TMs\WorkspaceSTS\Outreach\IP Advantage|TextBase TMs\WorkspaceSTS\Outreach\POW Main New|TextBase TMs\WorkspaceSTS\Patents &amp; Innovation\P Instruments|TextBase TMs\WorkspaceSTS\Patents &amp; Innovation\Patents Main|TextBase TMs\WorkspaceSTS\Treaties &amp; Laws\WIPO Lex|TextBase TMs\WorkspaceSTS\UPOV\TGP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Outreach\POW Main New|TextBase TMs\WorkspaceSTS\Patents &amp; Innovation\P Instruments|TextBase TMs\WorkspaceSTS\Patents &amp; Innovation\Patents Main|TextBase TMs\WorkspaceSTS\Treaties &amp; Laws\WIPO Lex|TextBase TMs\WorkspaceSTS\UPOV\TGPs|TextBase TMs\WorkspaceSTS\UPOV\TGs Template|TextBase TMs\WorkspaceSTS\UPOV\U Instruments|TextBase TMs\WorkspaceSTS\UPOV\UPOV Main"/>
    <w:docVar w:name="TextBaseURL" w:val="empty"/>
    <w:docVar w:name="UILng" w:val="en"/>
  </w:docVars>
  <w:rsids>
    <w:rsidRoot w:val="00FC2D0B"/>
    <w:rsid w:val="00015C94"/>
    <w:rsid w:val="0002521D"/>
    <w:rsid w:val="0009314C"/>
    <w:rsid w:val="000951E3"/>
    <w:rsid w:val="000E3BB3"/>
    <w:rsid w:val="000F5E56"/>
    <w:rsid w:val="001324A5"/>
    <w:rsid w:val="001362EE"/>
    <w:rsid w:val="00143CD7"/>
    <w:rsid w:val="00152CEA"/>
    <w:rsid w:val="00155FA5"/>
    <w:rsid w:val="00160ECF"/>
    <w:rsid w:val="001832A6"/>
    <w:rsid w:val="001C4DD3"/>
    <w:rsid w:val="001D50D1"/>
    <w:rsid w:val="0025613A"/>
    <w:rsid w:val="002634C4"/>
    <w:rsid w:val="00265772"/>
    <w:rsid w:val="002705FD"/>
    <w:rsid w:val="002F4E68"/>
    <w:rsid w:val="002F5F8F"/>
    <w:rsid w:val="00307787"/>
    <w:rsid w:val="00354647"/>
    <w:rsid w:val="00377273"/>
    <w:rsid w:val="003845C1"/>
    <w:rsid w:val="00387287"/>
    <w:rsid w:val="00391774"/>
    <w:rsid w:val="003D41D4"/>
    <w:rsid w:val="003F2F26"/>
    <w:rsid w:val="00410BF7"/>
    <w:rsid w:val="00423E3E"/>
    <w:rsid w:val="00427AF4"/>
    <w:rsid w:val="0045231F"/>
    <w:rsid w:val="004647DA"/>
    <w:rsid w:val="00477D6B"/>
    <w:rsid w:val="004A6C37"/>
    <w:rsid w:val="004F7418"/>
    <w:rsid w:val="00511D0C"/>
    <w:rsid w:val="0055013B"/>
    <w:rsid w:val="0056224D"/>
    <w:rsid w:val="00571B99"/>
    <w:rsid w:val="005D64EC"/>
    <w:rsid w:val="005F5FEA"/>
    <w:rsid w:val="00605827"/>
    <w:rsid w:val="00675021"/>
    <w:rsid w:val="006A06C6"/>
    <w:rsid w:val="007A790D"/>
    <w:rsid w:val="007E63AC"/>
    <w:rsid w:val="007E663E"/>
    <w:rsid w:val="00815082"/>
    <w:rsid w:val="00815CBD"/>
    <w:rsid w:val="00843582"/>
    <w:rsid w:val="00892D5D"/>
    <w:rsid w:val="00895DCA"/>
    <w:rsid w:val="008B14EA"/>
    <w:rsid w:val="008B2CC1"/>
    <w:rsid w:val="008B2CDE"/>
    <w:rsid w:val="008D4BA4"/>
    <w:rsid w:val="008F1EED"/>
    <w:rsid w:val="0090731E"/>
    <w:rsid w:val="00966A22"/>
    <w:rsid w:val="00972F03"/>
    <w:rsid w:val="009A0C8B"/>
    <w:rsid w:val="009B6241"/>
    <w:rsid w:val="009F7DDB"/>
    <w:rsid w:val="00A0318E"/>
    <w:rsid w:val="00A16FC0"/>
    <w:rsid w:val="00A32C9E"/>
    <w:rsid w:val="00A557C9"/>
    <w:rsid w:val="00A7453D"/>
    <w:rsid w:val="00A8121F"/>
    <w:rsid w:val="00AB613D"/>
    <w:rsid w:val="00B65A0A"/>
    <w:rsid w:val="00B72D36"/>
    <w:rsid w:val="00B81D31"/>
    <w:rsid w:val="00BA063E"/>
    <w:rsid w:val="00BA2FE1"/>
    <w:rsid w:val="00BB2104"/>
    <w:rsid w:val="00BC4164"/>
    <w:rsid w:val="00BD2DCC"/>
    <w:rsid w:val="00BE1A8C"/>
    <w:rsid w:val="00C06472"/>
    <w:rsid w:val="00C8432C"/>
    <w:rsid w:val="00C90559"/>
    <w:rsid w:val="00CA38D7"/>
    <w:rsid w:val="00CB596F"/>
    <w:rsid w:val="00CD1671"/>
    <w:rsid w:val="00D2770A"/>
    <w:rsid w:val="00D36B79"/>
    <w:rsid w:val="00D40CF0"/>
    <w:rsid w:val="00D56C7C"/>
    <w:rsid w:val="00D71B4D"/>
    <w:rsid w:val="00D90289"/>
    <w:rsid w:val="00D93D55"/>
    <w:rsid w:val="00E23687"/>
    <w:rsid w:val="00E45C84"/>
    <w:rsid w:val="00E504E5"/>
    <w:rsid w:val="00E703C3"/>
    <w:rsid w:val="00E73ABF"/>
    <w:rsid w:val="00EA57B8"/>
    <w:rsid w:val="00EB7A3E"/>
    <w:rsid w:val="00EC401A"/>
    <w:rsid w:val="00EF530A"/>
    <w:rsid w:val="00EF6622"/>
    <w:rsid w:val="00F261F1"/>
    <w:rsid w:val="00F544EE"/>
    <w:rsid w:val="00F55408"/>
    <w:rsid w:val="00F66152"/>
    <w:rsid w:val="00F80845"/>
    <w:rsid w:val="00F84474"/>
    <w:rsid w:val="00FA4D6D"/>
    <w:rsid w:val="00FC2D0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1945D10-8B48-4944-B5E5-546CECB8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erChar">
    <w:name w:val="Footer Char"/>
    <w:basedOn w:val="DefaultParagraphFont"/>
    <w:link w:val="Footer"/>
    <w:semiHidden/>
    <w:rsid w:val="00A0318E"/>
    <w:rPr>
      <w:rFonts w:ascii="Arial" w:eastAsia="SimSun" w:hAnsi="Arial" w:cs="Arial"/>
      <w:sz w:val="22"/>
      <w:lang w:val="es-ES" w:eastAsia="zh-CN"/>
    </w:rPr>
  </w:style>
  <w:style w:type="character" w:customStyle="1" w:styleId="FootnoteTextChar">
    <w:name w:val="Footnote Text Char"/>
    <w:basedOn w:val="DefaultParagraphFont"/>
    <w:link w:val="FootnoteText"/>
    <w:uiPriority w:val="99"/>
    <w:semiHidden/>
    <w:rsid w:val="00A0318E"/>
    <w:rPr>
      <w:rFonts w:ascii="Arial" w:eastAsia="SimSun" w:hAnsi="Arial" w:cs="Arial"/>
      <w:sz w:val="18"/>
      <w:lang w:val="es-ES" w:eastAsia="zh-CN"/>
    </w:rPr>
  </w:style>
  <w:style w:type="character" w:customStyle="1" w:styleId="HeaderChar">
    <w:name w:val="Header Char"/>
    <w:basedOn w:val="DefaultParagraphFont"/>
    <w:link w:val="Header"/>
    <w:uiPriority w:val="99"/>
    <w:rsid w:val="00A0318E"/>
    <w:rPr>
      <w:rFonts w:ascii="Arial" w:eastAsia="SimSun" w:hAnsi="Arial" w:cs="Arial"/>
      <w:sz w:val="22"/>
      <w:lang w:val="es-ES" w:eastAsia="zh-CN"/>
    </w:rPr>
  </w:style>
  <w:style w:type="character" w:styleId="FootnoteReference">
    <w:name w:val="footnote reference"/>
    <w:uiPriority w:val="99"/>
    <w:semiHidden/>
    <w:unhideWhenUsed/>
    <w:rsid w:val="00A0318E"/>
    <w:rPr>
      <w:vertAlign w:val="superscript"/>
    </w:rPr>
  </w:style>
  <w:style w:type="paragraph" w:styleId="ListParagraph">
    <w:name w:val="List Paragraph"/>
    <w:basedOn w:val="Normal"/>
    <w:uiPriority w:val="34"/>
    <w:qFormat/>
    <w:rsid w:val="00A0318E"/>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64 (S)</Template>
  <TotalTime>3</TotalTime>
  <Pages>7</Pages>
  <Words>1595</Words>
  <Characters>7381</Characters>
  <Application>Microsoft Office Word</Application>
  <DocSecurity>0</DocSecurity>
  <Lines>351</Lines>
  <Paragraphs>203</Paragraphs>
  <ScaleCrop>false</ScaleCrop>
  <HeadingPairs>
    <vt:vector size="2" baseType="variant">
      <vt:variant>
        <vt:lpstr>Title</vt:lpstr>
      </vt:variant>
      <vt:variant>
        <vt:i4>1</vt:i4>
      </vt:variant>
    </vt:vector>
  </HeadingPairs>
  <TitlesOfParts>
    <vt:vector size="1" baseType="lpstr">
      <vt:lpstr>A/64/10</vt:lpstr>
    </vt:vector>
  </TitlesOfParts>
  <Company>WIPO</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A/64/10</dc:title>
  <dc:creator>WIPO</dc:creator>
  <cp:keywords>FOR OFFICIAL USE ONLY</cp:keywords>
  <cp:lastModifiedBy>HÄFLIGER Patience</cp:lastModifiedBy>
  <cp:revision>3</cp:revision>
  <dcterms:created xsi:type="dcterms:W3CDTF">2023-06-23T12:41:00Z</dcterms:created>
  <dcterms:modified xsi:type="dcterms:W3CDTF">2023-06-23T12:43:00Z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2023-06-23T12:41:56Z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d2ee0347-d7ff-4b46-a569-8ede39508618</vt:lpwstr>
  </property>
  <property fmtid="{D5CDD505-2E9C-101B-9397-08002B2CF9AE}" pid="14" name="MSIP_Label_20773ee6-353b-4fb9-a59d-0b94c8c67bea_ContentBits">
    <vt:lpwstr>0</vt:lpwstr>
  </property>
</Properties>
</file>