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0EA0" w:rsidRPr="00B73D0D" w:rsidRDefault="00472A6E" w:rsidP="00512BA1">
      <w:pPr>
        <w:spacing w:before="360" w:after="240"/>
        <w:ind w:right="-57"/>
        <w:jc w:val="right"/>
        <w:rPr>
          <w:lang w:val="es-419"/>
        </w:rPr>
      </w:pPr>
      <w:bookmarkStart w:id="0" w:name="_GoBack"/>
      <w:bookmarkEnd w:id="0"/>
      <w:r w:rsidRPr="00B73D0D">
        <w:rPr>
          <w:noProof/>
          <w:lang w:val="en-US" w:eastAsia="en-US"/>
        </w:rPr>
        <w:drawing>
          <wp:inline distT="0" distB="0" distL="0" distR="0">
            <wp:extent cx="3147729" cy="1353054"/>
            <wp:effectExtent l="0" t="0" r="0" b="0"/>
            <wp:docPr id="2" name="Picture 2" descr="Las líneas curvas ascendentes del logotipo de la Organización Mundial de la Propiedad Intelectual evocan el progreso humano impulsado por la innovación y la creatividad." title="WIPO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IPO_logo_S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7729" cy="1353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0EA0" w:rsidRPr="00B73D0D" w:rsidRDefault="00512BA1" w:rsidP="00512BA1">
      <w:pPr>
        <w:pBdr>
          <w:top w:val="single" w:sz="4" w:space="9" w:color="auto"/>
        </w:pBdr>
        <w:jc w:val="right"/>
        <w:rPr>
          <w:rFonts w:ascii="Arial Black" w:hAnsi="Arial Black"/>
          <w:caps/>
          <w:sz w:val="15"/>
          <w:lang w:val="es-419"/>
        </w:rPr>
      </w:pPr>
      <w:r w:rsidRPr="00B73D0D">
        <w:rPr>
          <w:rFonts w:ascii="Arial Black" w:hAnsi="Arial Black"/>
          <w:caps/>
          <w:sz w:val="15"/>
          <w:lang w:val="es-419"/>
        </w:rPr>
        <w:t>A/6</w:t>
      </w:r>
      <w:r w:rsidR="00B86421" w:rsidRPr="00B73D0D">
        <w:rPr>
          <w:rFonts w:ascii="Arial Black" w:hAnsi="Arial Black"/>
          <w:caps/>
          <w:sz w:val="15"/>
          <w:lang w:val="es-419"/>
        </w:rPr>
        <w:t>1</w:t>
      </w:r>
      <w:r w:rsidRPr="00B73D0D">
        <w:rPr>
          <w:rFonts w:ascii="Arial Black" w:hAnsi="Arial Black"/>
          <w:caps/>
          <w:sz w:val="15"/>
          <w:lang w:val="es-419"/>
        </w:rPr>
        <w:t>/</w:t>
      </w:r>
      <w:bookmarkStart w:id="1" w:name="Code"/>
      <w:r w:rsidR="00B041B0" w:rsidRPr="00B73D0D">
        <w:rPr>
          <w:rFonts w:ascii="Arial Black" w:hAnsi="Arial Black"/>
          <w:caps/>
          <w:sz w:val="15"/>
          <w:lang w:val="es-419"/>
        </w:rPr>
        <w:t>8</w:t>
      </w:r>
    </w:p>
    <w:bookmarkEnd w:id="1"/>
    <w:p w:rsidR="00FD0EA0" w:rsidRPr="00B73D0D" w:rsidRDefault="00472A6E" w:rsidP="00472A6E">
      <w:pPr>
        <w:jc w:val="right"/>
        <w:rPr>
          <w:lang w:val="es-419"/>
        </w:rPr>
      </w:pPr>
      <w:r w:rsidRPr="00B73D0D">
        <w:rPr>
          <w:rFonts w:ascii="Arial Black" w:hAnsi="Arial Black"/>
          <w:caps/>
          <w:sz w:val="15"/>
          <w:lang w:val="es-419"/>
        </w:rPr>
        <w:t xml:space="preserve">ORIGINAL: </w:t>
      </w:r>
      <w:bookmarkStart w:id="2" w:name="Original"/>
      <w:r w:rsidR="00B041B0" w:rsidRPr="00B73D0D">
        <w:rPr>
          <w:rFonts w:ascii="Arial Black" w:hAnsi="Arial Black"/>
          <w:caps/>
          <w:sz w:val="15"/>
          <w:lang w:val="es-419"/>
        </w:rPr>
        <w:t>Inglés</w:t>
      </w:r>
    </w:p>
    <w:bookmarkEnd w:id="2"/>
    <w:p w:rsidR="00FD0EA0" w:rsidRPr="00B73D0D" w:rsidRDefault="00472A6E" w:rsidP="00472A6E">
      <w:pPr>
        <w:spacing w:after="1200"/>
        <w:jc w:val="right"/>
        <w:rPr>
          <w:lang w:val="es-419"/>
        </w:rPr>
      </w:pPr>
      <w:r w:rsidRPr="00B73D0D">
        <w:rPr>
          <w:rFonts w:ascii="Arial Black" w:hAnsi="Arial Black"/>
          <w:caps/>
          <w:sz w:val="15"/>
          <w:lang w:val="es-419"/>
        </w:rPr>
        <w:t xml:space="preserve">fecha: </w:t>
      </w:r>
      <w:bookmarkStart w:id="3" w:name="Date"/>
      <w:r w:rsidR="00B041B0" w:rsidRPr="00B73D0D">
        <w:rPr>
          <w:rFonts w:ascii="Arial Black" w:hAnsi="Arial Black"/>
          <w:caps/>
          <w:sz w:val="15"/>
          <w:lang w:val="es-419"/>
        </w:rPr>
        <w:t>4 de septiembre de 2020</w:t>
      </w:r>
    </w:p>
    <w:bookmarkEnd w:id="3"/>
    <w:p w:rsidR="00FD0EA0" w:rsidRPr="00B73D0D" w:rsidRDefault="00512BA1" w:rsidP="00F85931">
      <w:pPr>
        <w:pStyle w:val="Heading1"/>
        <w:spacing w:before="0" w:after="600"/>
        <w:rPr>
          <w:sz w:val="28"/>
          <w:lang w:val="es-419"/>
        </w:rPr>
      </w:pPr>
      <w:r w:rsidRPr="00B73D0D">
        <w:rPr>
          <w:caps w:val="0"/>
          <w:sz w:val="28"/>
          <w:lang w:val="es-419"/>
        </w:rPr>
        <w:t>Asambleas de los Estados miembros de la OMPI</w:t>
      </w:r>
    </w:p>
    <w:p w:rsidR="00FD0EA0" w:rsidRPr="00B73D0D" w:rsidRDefault="00B86421" w:rsidP="00B86421">
      <w:pPr>
        <w:outlineLvl w:val="1"/>
        <w:rPr>
          <w:b/>
          <w:sz w:val="24"/>
          <w:szCs w:val="24"/>
          <w:lang w:val="es-419"/>
        </w:rPr>
      </w:pPr>
      <w:r w:rsidRPr="00B73D0D">
        <w:rPr>
          <w:b/>
          <w:sz w:val="24"/>
          <w:szCs w:val="24"/>
          <w:lang w:val="es-419"/>
        </w:rPr>
        <w:t>Sexagésima primera serie de reuniones</w:t>
      </w:r>
    </w:p>
    <w:p w:rsidR="00FD0EA0" w:rsidRPr="00B73D0D" w:rsidRDefault="00CF255F" w:rsidP="00B86421">
      <w:pPr>
        <w:spacing w:after="720"/>
        <w:outlineLvl w:val="1"/>
        <w:rPr>
          <w:b/>
          <w:sz w:val="24"/>
          <w:szCs w:val="24"/>
          <w:lang w:val="es-419"/>
        </w:rPr>
      </w:pPr>
      <w:r w:rsidRPr="00B73D0D">
        <w:rPr>
          <w:b/>
          <w:sz w:val="24"/>
          <w:szCs w:val="24"/>
          <w:lang w:val="es-419"/>
        </w:rPr>
        <w:t>Ginebra, 21 a 25</w:t>
      </w:r>
      <w:r w:rsidR="00B86421" w:rsidRPr="00B73D0D">
        <w:rPr>
          <w:b/>
          <w:sz w:val="24"/>
          <w:szCs w:val="24"/>
          <w:lang w:val="es-419"/>
        </w:rPr>
        <w:t xml:space="preserve"> de septiembre de 2020</w:t>
      </w:r>
    </w:p>
    <w:p w:rsidR="00FD0EA0" w:rsidRPr="00B73D0D" w:rsidRDefault="00B041B0" w:rsidP="00472A6E">
      <w:pPr>
        <w:spacing w:after="360"/>
        <w:rPr>
          <w:caps/>
          <w:sz w:val="24"/>
          <w:lang w:val="es-419"/>
        </w:rPr>
      </w:pPr>
      <w:bookmarkStart w:id="4" w:name="TitleOfDoc"/>
      <w:r w:rsidRPr="00B73D0D">
        <w:rPr>
          <w:caps/>
          <w:sz w:val="24"/>
          <w:lang w:val="es-419"/>
        </w:rPr>
        <w:t>Convocación de períodos extraordinarios de sesiones en 2021</w:t>
      </w:r>
    </w:p>
    <w:p w:rsidR="00FD0EA0" w:rsidRPr="00B73D0D" w:rsidRDefault="00B041B0" w:rsidP="00F85931">
      <w:pPr>
        <w:spacing w:after="960"/>
        <w:rPr>
          <w:i/>
          <w:lang w:val="es-419"/>
        </w:rPr>
      </w:pPr>
      <w:bookmarkStart w:id="5" w:name="Prepared"/>
      <w:bookmarkEnd w:id="4"/>
      <w:r w:rsidRPr="00B73D0D">
        <w:rPr>
          <w:i/>
          <w:lang w:val="es-419"/>
        </w:rPr>
        <w:t>Documento preparado por la Secretaría</w:t>
      </w:r>
    </w:p>
    <w:bookmarkEnd w:id="5"/>
    <w:p w:rsidR="00FD0EA0" w:rsidRPr="00B73D0D" w:rsidRDefault="00B460FF" w:rsidP="00415C9F">
      <w:pPr>
        <w:pStyle w:val="ONUMFS"/>
        <w:rPr>
          <w:lang w:val="es-419"/>
        </w:rPr>
      </w:pPr>
      <w:r w:rsidRPr="00B73D0D">
        <w:rPr>
          <w:lang w:val="es-419"/>
        </w:rPr>
        <w:t>A raíz de</w:t>
      </w:r>
      <w:r w:rsidR="00814B46" w:rsidRPr="00B73D0D">
        <w:rPr>
          <w:lang w:val="es-419"/>
        </w:rPr>
        <w:t xml:space="preserve"> </w:t>
      </w:r>
      <w:r w:rsidR="00331657" w:rsidRPr="00B73D0D">
        <w:rPr>
          <w:lang w:val="es-419"/>
        </w:rPr>
        <w:t>las</w:t>
      </w:r>
      <w:r w:rsidR="00814B46" w:rsidRPr="00B73D0D">
        <w:rPr>
          <w:lang w:val="es-419"/>
        </w:rPr>
        <w:t xml:space="preserve"> consultas </w:t>
      </w:r>
      <w:r w:rsidR="00331657" w:rsidRPr="00B73D0D">
        <w:rPr>
          <w:lang w:val="es-419"/>
        </w:rPr>
        <w:t xml:space="preserve">mantenidas </w:t>
      </w:r>
      <w:r w:rsidR="00814B46" w:rsidRPr="00B73D0D">
        <w:rPr>
          <w:lang w:val="es-419"/>
        </w:rPr>
        <w:t>con las delegaciones</w:t>
      </w:r>
      <w:r w:rsidR="00331657" w:rsidRPr="00B73D0D">
        <w:rPr>
          <w:lang w:val="es-419"/>
        </w:rPr>
        <w:t xml:space="preserve"> por el presidente de la Asamblea </w:t>
      </w:r>
      <w:r w:rsidR="00814B46" w:rsidRPr="00B73D0D">
        <w:rPr>
          <w:lang w:val="es-419"/>
        </w:rPr>
        <w:t xml:space="preserve">General </w:t>
      </w:r>
      <w:r w:rsidR="00331657" w:rsidRPr="00B73D0D">
        <w:rPr>
          <w:lang w:val="es-419"/>
        </w:rPr>
        <w:t xml:space="preserve">de la Organización Mundial de la Propiedad Intelectual </w:t>
      </w:r>
      <w:r w:rsidR="00814B46" w:rsidRPr="00B73D0D">
        <w:rPr>
          <w:lang w:val="es-419"/>
        </w:rPr>
        <w:t>(</w:t>
      </w:r>
      <w:r w:rsidR="00331657" w:rsidRPr="00B73D0D">
        <w:rPr>
          <w:lang w:val="es-419"/>
        </w:rPr>
        <w:t>OMPI</w:t>
      </w:r>
      <w:r w:rsidR="00814B46" w:rsidRPr="00B73D0D">
        <w:rPr>
          <w:lang w:val="es-419"/>
        </w:rPr>
        <w:t xml:space="preserve">), </w:t>
      </w:r>
      <w:r w:rsidR="00331657" w:rsidRPr="00B73D0D">
        <w:rPr>
          <w:lang w:val="es-419"/>
        </w:rPr>
        <w:t>se ha acortado el orden del día de las Asambleas y se ha reducido la duración de las reuniones</w:t>
      </w:r>
      <w:r w:rsidRPr="00B73D0D">
        <w:rPr>
          <w:lang w:val="es-419"/>
        </w:rPr>
        <w:t>.</w:t>
      </w:r>
    </w:p>
    <w:p w:rsidR="00FD0EA0" w:rsidRPr="00B73D0D" w:rsidRDefault="00B460FF" w:rsidP="00415C9F">
      <w:pPr>
        <w:pStyle w:val="ONUMFS"/>
        <w:rPr>
          <w:lang w:val="es-419"/>
        </w:rPr>
      </w:pPr>
      <w:r w:rsidRPr="00B73D0D">
        <w:rPr>
          <w:lang w:val="es-419"/>
        </w:rPr>
        <w:t>Tras esas consulta</w:t>
      </w:r>
      <w:r w:rsidR="00814B46" w:rsidRPr="00B73D0D">
        <w:rPr>
          <w:lang w:val="es-419"/>
        </w:rPr>
        <w:t xml:space="preserve">s, </w:t>
      </w:r>
      <w:r w:rsidRPr="00B73D0D">
        <w:rPr>
          <w:lang w:val="es-419"/>
        </w:rPr>
        <w:t>se propone en el presente documento que se convoquen períodos extraordinarios de sesiones de las Asambleas de la OMPI durante el primer semestre de </w:t>
      </w:r>
      <w:r w:rsidR="00814B46" w:rsidRPr="00B73D0D">
        <w:rPr>
          <w:lang w:val="es-419"/>
        </w:rPr>
        <w:t xml:space="preserve">2021 </w:t>
      </w:r>
      <w:r w:rsidRPr="00B73D0D">
        <w:rPr>
          <w:lang w:val="es-419"/>
        </w:rPr>
        <w:t>para abarcar los puntos restantes del orden del día que no están incluidos en el orden del día del presente período de sesiones.</w:t>
      </w:r>
    </w:p>
    <w:p w:rsidR="00FD0EA0" w:rsidRPr="00B73D0D" w:rsidRDefault="0011742B" w:rsidP="00814B46">
      <w:pPr>
        <w:tabs>
          <w:tab w:val="num" w:pos="567"/>
        </w:tabs>
        <w:spacing w:after="720"/>
        <w:ind w:left="5530"/>
        <w:rPr>
          <w:i/>
          <w:lang w:val="es-419"/>
        </w:rPr>
      </w:pPr>
      <w:r w:rsidRPr="00B73D0D">
        <w:rPr>
          <w:i/>
          <w:lang w:val="es-419"/>
        </w:rPr>
        <w:t>3.</w:t>
      </w:r>
      <w:r w:rsidR="00814B46" w:rsidRPr="00B73D0D">
        <w:rPr>
          <w:i/>
          <w:lang w:val="es-419"/>
        </w:rPr>
        <w:tab/>
      </w:r>
      <w:r w:rsidR="00FD0EA0" w:rsidRPr="00B73D0D">
        <w:rPr>
          <w:i/>
          <w:lang w:val="es-419"/>
        </w:rPr>
        <w:t>Se invita a las Asambleas de la </w:t>
      </w:r>
      <w:r w:rsidR="00B460FF" w:rsidRPr="00B73D0D">
        <w:rPr>
          <w:i/>
          <w:lang w:val="es-419"/>
        </w:rPr>
        <w:t>OMPI, en lo que a cada una concierna</w:t>
      </w:r>
      <w:r w:rsidR="00814B46" w:rsidRPr="00B73D0D">
        <w:rPr>
          <w:i/>
          <w:lang w:val="es-419"/>
        </w:rPr>
        <w:t>, a</w:t>
      </w:r>
      <w:r w:rsidR="00B460FF" w:rsidRPr="00B73D0D">
        <w:rPr>
          <w:i/>
          <w:lang w:val="es-419"/>
        </w:rPr>
        <w:t xml:space="preserve"> solicit</w:t>
      </w:r>
      <w:r w:rsidR="00FD0EA0" w:rsidRPr="00B73D0D">
        <w:rPr>
          <w:i/>
          <w:lang w:val="es-419"/>
        </w:rPr>
        <w:t>a</w:t>
      </w:r>
      <w:r w:rsidR="00B460FF" w:rsidRPr="00B73D0D">
        <w:rPr>
          <w:i/>
          <w:lang w:val="es-419"/>
        </w:rPr>
        <w:t>r al director general de la OMPI que convoque períodos extraordinario</w:t>
      </w:r>
      <w:r w:rsidR="004B04F8" w:rsidRPr="00B73D0D">
        <w:rPr>
          <w:i/>
          <w:lang w:val="es-419"/>
        </w:rPr>
        <w:t>s</w:t>
      </w:r>
      <w:r w:rsidR="00B460FF" w:rsidRPr="00B73D0D">
        <w:rPr>
          <w:i/>
          <w:lang w:val="es-419"/>
        </w:rPr>
        <w:t xml:space="preserve"> de</w:t>
      </w:r>
      <w:r w:rsidR="00814B46" w:rsidRPr="00B73D0D">
        <w:rPr>
          <w:i/>
          <w:lang w:val="es-419"/>
        </w:rPr>
        <w:t xml:space="preserve"> sesion</w:t>
      </w:r>
      <w:r w:rsidR="00B460FF" w:rsidRPr="00B73D0D">
        <w:rPr>
          <w:i/>
          <w:lang w:val="es-419"/>
        </w:rPr>
        <w:t>e</w:t>
      </w:r>
      <w:r w:rsidR="00814B46" w:rsidRPr="00B73D0D">
        <w:rPr>
          <w:i/>
          <w:lang w:val="es-419"/>
        </w:rPr>
        <w:t xml:space="preserve">s </w:t>
      </w:r>
      <w:r w:rsidR="004B04F8" w:rsidRPr="00B73D0D">
        <w:rPr>
          <w:i/>
          <w:lang w:val="es-419"/>
        </w:rPr>
        <w:t>de las Asambleas de la OMPI durante el primer semestre de </w:t>
      </w:r>
      <w:r w:rsidR="00814B46" w:rsidRPr="00B73D0D">
        <w:rPr>
          <w:i/>
          <w:lang w:val="es-419"/>
        </w:rPr>
        <w:t xml:space="preserve">2021, </w:t>
      </w:r>
      <w:r w:rsidR="004B04F8" w:rsidRPr="00B73D0D">
        <w:rPr>
          <w:i/>
          <w:lang w:val="es-419"/>
        </w:rPr>
        <w:t>sobre la base de un orden del día que incluya los puntos enumerados en el Anexo del presente documento</w:t>
      </w:r>
      <w:r w:rsidR="00814B46" w:rsidRPr="00B73D0D">
        <w:rPr>
          <w:i/>
          <w:lang w:val="es-419"/>
        </w:rPr>
        <w:t>.</w:t>
      </w:r>
    </w:p>
    <w:p w:rsidR="00814B46" w:rsidRPr="00B73D0D" w:rsidRDefault="00814B46" w:rsidP="0011742B">
      <w:pPr>
        <w:pStyle w:val="Endofdocument-Annex"/>
        <w:rPr>
          <w:lang w:val="es-419"/>
        </w:rPr>
        <w:sectPr w:rsidR="00814B46" w:rsidRPr="00B73D0D" w:rsidSect="006439E9">
          <w:headerReference w:type="default" r:id="rId8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  <w:r w:rsidRPr="00B73D0D">
        <w:rPr>
          <w:lang w:val="es-419"/>
        </w:rPr>
        <w:t>[</w:t>
      </w:r>
      <w:r w:rsidR="004B04F8" w:rsidRPr="00B73D0D">
        <w:rPr>
          <w:lang w:val="es-419"/>
        </w:rPr>
        <w:t xml:space="preserve">Sigue el </w:t>
      </w:r>
      <w:r w:rsidRPr="00B73D0D">
        <w:rPr>
          <w:lang w:val="es-419"/>
        </w:rPr>
        <w:t>Anexo]</w:t>
      </w:r>
    </w:p>
    <w:p w:rsidR="00FD0EA0" w:rsidRPr="00B73D0D" w:rsidRDefault="004B04F8" w:rsidP="0011742B">
      <w:pPr>
        <w:keepNext/>
        <w:spacing w:before="240" w:after="480"/>
        <w:outlineLvl w:val="0"/>
        <w:rPr>
          <w:b/>
          <w:bCs/>
          <w:caps/>
          <w:kern w:val="32"/>
          <w:szCs w:val="32"/>
          <w:lang w:val="es-419"/>
        </w:rPr>
      </w:pPr>
      <w:r w:rsidRPr="00B73D0D">
        <w:rPr>
          <w:b/>
          <w:bCs/>
          <w:caps/>
          <w:kern w:val="32"/>
          <w:szCs w:val="32"/>
          <w:lang w:val="es-419"/>
        </w:rPr>
        <w:lastRenderedPageBreak/>
        <w:t>PUNTOS QUE HAN DE INCLUIRSE EN EL PROYECTO DE ORDEN DEL DÍA CONSOLIDADO DEL PERÍODO EXTRAORDINARIO DE SESIONES DE </w:t>
      </w:r>
      <w:r w:rsidR="00814B46" w:rsidRPr="00B73D0D">
        <w:rPr>
          <w:b/>
          <w:bCs/>
          <w:caps/>
          <w:kern w:val="32"/>
          <w:szCs w:val="32"/>
          <w:lang w:val="es-419"/>
        </w:rPr>
        <w:t xml:space="preserve">2021 </w:t>
      </w:r>
      <w:r w:rsidRPr="00B73D0D">
        <w:rPr>
          <w:b/>
          <w:bCs/>
          <w:caps/>
          <w:kern w:val="32"/>
          <w:szCs w:val="32"/>
          <w:lang w:val="es-419"/>
        </w:rPr>
        <w:t>DE LAS ASAMBLEAS DE LOS Estados miembros DE LA OMPI</w:t>
      </w:r>
    </w:p>
    <w:p w:rsidR="00FD0EA0" w:rsidRPr="00B73D0D" w:rsidRDefault="00FD0EA0" w:rsidP="0011742B">
      <w:pPr>
        <w:spacing w:after="240"/>
        <w:ind w:left="-29"/>
        <w:rPr>
          <w:lang w:val="es-419"/>
        </w:rPr>
      </w:pPr>
      <w:r w:rsidRPr="00B73D0D">
        <w:rPr>
          <w:lang w:val="es-419"/>
        </w:rPr>
        <w:t>Actas de las reuniones de la OMPI</w:t>
      </w:r>
    </w:p>
    <w:p w:rsidR="00FD0EA0" w:rsidRPr="00B73D0D" w:rsidRDefault="00FD0EA0" w:rsidP="0011742B">
      <w:pPr>
        <w:spacing w:after="240"/>
        <w:ind w:left="-29"/>
        <w:rPr>
          <w:lang w:val="es-419"/>
        </w:rPr>
      </w:pPr>
      <w:r w:rsidRPr="00B73D0D">
        <w:rPr>
          <w:lang w:val="es-419"/>
        </w:rPr>
        <w:t>Informe del Comité Permanente de Derecho de Autor y Derechos Conexos (SCCR)</w:t>
      </w:r>
    </w:p>
    <w:p w:rsidR="00FD0EA0" w:rsidRPr="00B73D0D" w:rsidRDefault="00FD0EA0" w:rsidP="0011742B">
      <w:pPr>
        <w:spacing w:after="240"/>
        <w:ind w:left="-29"/>
        <w:rPr>
          <w:lang w:val="es-419"/>
        </w:rPr>
      </w:pPr>
      <w:r w:rsidRPr="00B73D0D">
        <w:rPr>
          <w:lang w:val="es-419"/>
        </w:rPr>
        <w:t>Informe del Comité Permanente sobre el Derecho de Patentes (SCP)</w:t>
      </w:r>
    </w:p>
    <w:p w:rsidR="00FD0EA0" w:rsidRPr="00B73D0D" w:rsidRDefault="00FD0EA0" w:rsidP="0011742B">
      <w:pPr>
        <w:spacing w:after="240"/>
        <w:ind w:left="-29"/>
        <w:rPr>
          <w:lang w:val="es-419"/>
        </w:rPr>
      </w:pPr>
      <w:r w:rsidRPr="00B73D0D">
        <w:rPr>
          <w:lang w:val="es-419"/>
        </w:rPr>
        <w:t>Informe del Comité Permanente sobre el Derecho de Marcas, Diseños Industriales e Indicaciones Geográficas (SCT)</w:t>
      </w:r>
    </w:p>
    <w:p w:rsidR="00FD0EA0" w:rsidRPr="00B73D0D" w:rsidRDefault="00FD0EA0" w:rsidP="0011742B">
      <w:pPr>
        <w:spacing w:after="240"/>
        <w:ind w:left="-29"/>
        <w:rPr>
          <w:lang w:val="es-419"/>
        </w:rPr>
      </w:pPr>
      <w:r w:rsidRPr="00B73D0D">
        <w:rPr>
          <w:lang w:val="es-419"/>
        </w:rPr>
        <w:t>Asuntos relativos a la convocación de una conferencia diplomática para la adopción de un tratado sobre el Derecho de los diseños (DLT)</w:t>
      </w:r>
    </w:p>
    <w:p w:rsidR="00FD0EA0" w:rsidRPr="00B73D0D" w:rsidRDefault="00FD0EA0" w:rsidP="0011742B">
      <w:pPr>
        <w:spacing w:after="240"/>
        <w:ind w:left="-29"/>
        <w:rPr>
          <w:lang w:val="es-419"/>
        </w:rPr>
      </w:pPr>
      <w:r w:rsidRPr="00B73D0D">
        <w:rPr>
          <w:lang w:val="es-419"/>
        </w:rPr>
        <w:t>Informe del Comité de Desarrollo y Propiedad Intelectual (CDIP) y reseña sobre la aplicación de las recomendaciones de la Agenda para el Desarrollo</w:t>
      </w:r>
    </w:p>
    <w:p w:rsidR="00FD0EA0" w:rsidRPr="00B73D0D" w:rsidRDefault="00FD0EA0" w:rsidP="0011742B">
      <w:pPr>
        <w:spacing w:after="240"/>
        <w:ind w:left="-27"/>
        <w:rPr>
          <w:lang w:val="es-419"/>
        </w:rPr>
      </w:pPr>
      <w:r w:rsidRPr="00B73D0D">
        <w:rPr>
          <w:lang w:val="es-419"/>
        </w:rPr>
        <w:t>Informe del Comité Intergubernamental de la OMPI sobre Propiedad Intelectual y Recursos Genéticos, Conocimientos Tradicionales y Folclore (CIG)</w:t>
      </w:r>
    </w:p>
    <w:p w:rsidR="00FD0EA0" w:rsidRPr="00B73D0D" w:rsidRDefault="00FD0EA0" w:rsidP="0011742B">
      <w:pPr>
        <w:spacing w:after="240"/>
        <w:ind w:left="-29"/>
        <w:rPr>
          <w:lang w:val="es-419"/>
        </w:rPr>
      </w:pPr>
      <w:r w:rsidRPr="00B73D0D">
        <w:rPr>
          <w:lang w:val="es-419"/>
        </w:rPr>
        <w:t>Informe del Comité de Normas Técnicas de la OMPI (CWS)</w:t>
      </w:r>
    </w:p>
    <w:p w:rsidR="00FD0EA0" w:rsidRPr="00B73D0D" w:rsidRDefault="00FD0EA0" w:rsidP="0011742B">
      <w:pPr>
        <w:spacing w:after="240"/>
        <w:ind w:left="-27"/>
        <w:rPr>
          <w:lang w:val="es-419"/>
        </w:rPr>
      </w:pPr>
      <w:r w:rsidRPr="00B73D0D">
        <w:rPr>
          <w:lang w:val="es-419"/>
        </w:rPr>
        <w:t>Sistema del PCT</w:t>
      </w:r>
    </w:p>
    <w:p w:rsidR="00FD0EA0" w:rsidRPr="00B73D0D" w:rsidRDefault="00FD0EA0" w:rsidP="0011742B">
      <w:pPr>
        <w:spacing w:after="240"/>
        <w:ind w:left="-27"/>
        <w:rPr>
          <w:lang w:val="es-419"/>
        </w:rPr>
      </w:pPr>
      <w:r w:rsidRPr="00B73D0D">
        <w:rPr>
          <w:lang w:val="es-419"/>
        </w:rPr>
        <w:t>Sistema de La Haya</w:t>
      </w:r>
    </w:p>
    <w:p w:rsidR="00FD0EA0" w:rsidRPr="00B73D0D" w:rsidRDefault="00FD0EA0" w:rsidP="0011742B">
      <w:pPr>
        <w:spacing w:after="240"/>
        <w:ind w:left="-27"/>
        <w:rPr>
          <w:lang w:val="es-419"/>
        </w:rPr>
      </w:pPr>
      <w:r w:rsidRPr="00B73D0D">
        <w:rPr>
          <w:lang w:val="es-419"/>
        </w:rPr>
        <w:t>Sistema de Lisboa</w:t>
      </w:r>
    </w:p>
    <w:p w:rsidR="00512BA1" w:rsidRPr="00B73D0D" w:rsidRDefault="00FD0EA0" w:rsidP="0011742B">
      <w:pPr>
        <w:pStyle w:val="Endofdocument-Annex"/>
        <w:spacing w:before="720"/>
        <w:rPr>
          <w:lang w:val="es-419"/>
        </w:rPr>
      </w:pPr>
      <w:r w:rsidRPr="00B73D0D">
        <w:rPr>
          <w:lang w:val="es-419"/>
        </w:rPr>
        <w:t>[Fin del Anexo y del documento]</w:t>
      </w:r>
    </w:p>
    <w:sectPr w:rsidR="00512BA1" w:rsidRPr="00B73D0D" w:rsidSect="00B041B0">
      <w:headerReference w:type="default" r:id="rId9"/>
      <w:headerReference w:type="first" r:id="rId10"/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41B0" w:rsidRDefault="00B041B0">
      <w:r>
        <w:separator/>
      </w:r>
    </w:p>
  </w:endnote>
  <w:endnote w:type="continuationSeparator" w:id="0">
    <w:p w:rsidR="00B041B0" w:rsidRPr="009D30E6" w:rsidRDefault="00B041B0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B041B0" w:rsidRPr="007E663E" w:rsidRDefault="00B041B0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endnote>
  <w:endnote w:type="continuationNotice" w:id="1">
    <w:p w:rsidR="00B041B0" w:rsidRPr="007E663E" w:rsidRDefault="00B041B0" w:rsidP="007E663E">
      <w:pPr>
        <w:spacing w:before="60"/>
        <w:jc w:val="right"/>
        <w:rPr>
          <w:sz w:val="17"/>
          <w:szCs w:val="17"/>
        </w:rPr>
      </w:pPr>
      <w:r w:rsidRPr="0075377A">
        <w:rPr>
          <w:sz w:val="17"/>
          <w:szCs w:val="17"/>
        </w:rPr>
        <w:t>[Sigue la nota en la pá</w:t>
      </w:r>
      <w:r>
        <w:rPr>
          <w:sz w:val="17"/>
          <w:szCs w:val="17"/>
        </w:rPr>
        <w:t>gina siguiente]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41B0" w:rsidRDefault="00B041B0">
      <w:r>
        <w:separator/>
      </w:r>
    </w:p>
  </w:footnote>
  <w:footnote w:type="continuationSeparator" w:id="0">
    <w:p w:rsidR="00B041B0" w:rsidRPr="009D30E6" w:rsidRDefault="00B041B0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B041B0" w:rsidRPr="007E663E" w:rsidRDefault="00B041B0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footnote>
  <w:footnote w:type="continuationNotice" w:id="1">
    <w:p w:rsidR="00B041B0" w:rsidRPr="007E663E" w:rsidRDefault="00B041B0" w:rsidP="007E663E">
      <w:pPr>
        <w:spacing w:before="60"/>
        <w:jc w:val="right"/>
        <w:rPr>
          <w:sz w:val="17"/>
          <w:szCs w:val="17"/>
        </w:rPr>
      </w:pPr>
      <w:r w:rsidRPr="007E663E">
        <w:rPr>
          <w:sz w:val="17"/>
          <w:szCs w:val="17"/>
        </w:rPr>
        <w:t>[Sigue la nota en la página siguiente]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4B46" w:rsidRPr="00B25737" w:rsidRDefault="00814B46" w:rsidP="00477D6B">
    <w:pPr>
      <w:jc w:val="right"/>
      <w:rPr>
        <w:caps/>
      </w:rPr>
    </w:pPr>
    <w:r>
      <w:rPr>
        <w:caps/>
      </w:rPr>
      <w:t>A/61/8</w:t>
    </w:r>
  </w:p>
  <w:p w:rsidR="00814B46" w:rsidRDefault="00814B46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4B04F8">
      <w:rPr>
        <w:noProof/>
      </w:rPr>
      <w:t>2</w:t>
    </w:r>
    <w:r>
      <w:fldChar w:fldCharType="end"/>
    </w:r>
  </w:p>
  <w:p w:rsidR="00814B46" w:rsidRDefault="00814B46" w:rsidP="00477D6B">
    <w:pPr>
      <w:jc w:val="right"/>
    </w:pPr>
  </w:p>
  <w:p w:rsidR="00814B46" w:rsidRDefault="00814B46" w:rsidP="00477D6B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7F20" w:rsidRPr="00512BA1" w:rsidRDefault="00B041B0" w:rsidP="00477D6B">
    <w:pPr>
      <w:jc w:val="right"/>
      <w:rPr>
        <w:caps/>
      </w:rPr>
    </w:pPr>
    <w:bookmarkStart w:id="6" w:name="Code2"/>
    <w:bookmarkEnd w:id="6"/>
    <w:r>
      <w:rPr>
        <w:caps/>
      </w:rPr>
      <w:t>A/61/8</w:t>
    </w:r>
  </w:p>
  <w:p w:rsidR="00AE7F20" w:rsidRDefault="00AE7F20" w:rsidP="00477D6B">
    <w:pPr>
      <w:jc w:val="right"/>
    </w:pPr>
    <w:r>
      <w:t xml:space="preserve">página </w:t>
    </w:r>
    <w:r>
      <w:fldChar w:fldCharType="begin"/>
    </w:r>
    <w:r>
      <w:instrText xml:space="preserve"> PAGE  \* MERGEFORMAT </w:instrText>
    </w:r>
    <w:r>
      <w:fldChar w:fldCharType="separate"/>
    </w:r>
    <w:r w:rsidR="00B041B0">
      <w:rPr>
        <w:noProof/>
      </w:rPr>
      <w:t>1</w:t>
    </w:r>
    <w:r>
      <w:fldChar w:fldCharType="end"/>
    </w:r>
  </w:p>
  <w:p w:rsidR="00AE7F20" w:rsidRDefault="00AE7F20" w:rsidP="00477D6B">
    <w:pPr>
      <w:jc w:val="right"/>
    </w:pPr>
  </w:p>
  <w:p w:rsidR="00EC1AA7" w:rsidRDefault="00EC1AA7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742B" w:rsidRDefault="0011742B" w:rsidP="0011742B">
    <w:pPr>
      <w:pStyle w:val="Header"/>
      <w:jc w:val="right"/>
    </w:pPr>
    <w:r>
      <w:t>A/61/8</w:t>
    </w:r>
  </w:p>
  <w:p w:rsidR="0011742B" w:rsidRDefault="0011742B" w:rsidP="0011742B">
    <w:pPr>
      <w:pStyle w:val="Header"/>
      <w:spacing w:after="480"/>
      <w:jc w:val="right"/>
    </w:pPr>
    <w:r>
      <w:t>ANEXO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8DCC6D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spa"/>
    <w:docVar w:name="TermBases" w:val="WIPOLDTERM|Términos útiles|Fechas|Sesiones"/>
    <w:docVar w:name="TermBaseURL" w:val="empty"/>
    <w:docVar w:name="TextBases" w:val="TextBase TMs\WorkspaceSTS\Administration &amp; Finance\Current Budget|TextBase TMs\WorkspaceSTS\Administration &amp; Finance\FAB Instruments|TextBase TMs\WorkspaceSTS\Administration &amp; Finance\FAB Main|TextBase TMs\WorkspaceSTS\Administration &amp; Finance\FStatements|TextBase TMs\WorkspaceSTS\Administration &amp; Finance\UN Staff Rules|TextBase TMs\WorkspaceSTS\Administration &amp; Finance\WIPO Staff Rules|TextBase TMs\WorkspaceSTS\Brands, Designs &amp; DN\Arb_Med_Center|TextBase TMs\WorkspaceSTS\Brands, Designs &amp; DN\H Instruments|TextBase TMs\WorkspaceSTS\Brands, Designs &amp; DN\Hague|TextBase TMs\WorkspaceSTS\Brands, Designs &amp; DN\L Instruments|TextBase TMs\WorkspaceSTS\Brands, Designs &amp; DN\Lisbon|TextBase TMs\WorkspaceSTS\Brands, Designs &amp; DN\T Instruments|TextBase TMs\WorkspaceSTS\Brands, Designs &amp; DN\Trademarks|TextBase TMs\WorkspaceSTS\Copyright\C Instruments|TextBase TMs\WorkspaceSTS\Copyright\Copyright|TextBase TMs\WorkspaceSTS\Development\Dev_Agenda|TextBase TMs\WorkspaceSTS\GRTKF\G Instruments|TextBase TMs\WorkspaceSTS\GRTKF\GRTKF|TextBase TMs\WorkspaceSTS\Outreach\Economist|TextBase TMs\WorkspaceSTS\Outreach\IP Advantage|TextBase TMs\WorkspaceSTS\Outreach\POW Main|TextBase TMs\WorkspaceSTS\Patents &amp; Innovation\P Instruments|TextBase TMs\WorkspaceSTS\Patents &amp; Innovation\Patents Main|TextBase TMs\WorkspaceSTS\Treaties &amp; Laws\WIPO Lex|TextBase TMs\WorkspaceSTS\UPOV\TGPs|TextBase TMs\WorkspaceSTS\UPOV\TGs|TextBase TMs\WorkspaceSTS\UPOV\TGs Template|TextBase TMs\WorkspaceSTS\UPOV\U Instruments|TextBase TMs\WorkspaceSTS\UPOV\UPOV Main|TextBase TMs\WorkspaceSTS\Administration &amp; Finance\Current Budget|TextBase TMs\WorkspaceSTS\Administration &amp; Finance\FAB Instruments|TextBase TMs\WorkspaceSTS\Administration &amp; Finance\FAB Main|TextBase TMs\WorkspaceSTS\Administration &amp; Finance\FStatements|TextBase TMs\WorkspaceSTS\Administration &amp; Finance\UN Staff Rules|TextBase TMs\WorkspaceSTS\Administration &amp; Finance\WIPO Staff Rules|TextBase TMs\WorkspaceSTS\Brands, Designs &amp; DN\Arb_Med_Center|TextBase TMs\WorkspaceSTS\Brands, Designs &amp; DN\H Instruments|TextBase TMs\WorkspaceSTS\Brands, Designs &amp; DN\Hague|TextBase TMs\WorkspaceSTS\Brands, Designs &amp; DN\L Instruments|TextBase TMs\WorkspaceSTS\Brands, Designs &amp; DN\Lisbon|TextBase TMs\WorkspaceSTS\Brands, Designs &amp; DN\T Instruments|TextBase TMs\WorkspaceSTS\Brands, Designs &amp; DN\Trademarks|TextBase TMs\WorkspaceSTS\Copyright\C Instruments|TextBase TMs\WorkspaceSTS\Copyright\Copyright|TextBase TMs\WorkspaceSTS\Development\Dev_Agenda|TextBase TMs\WorkspaceSTS\GRTKF\G Instruments|TextBase TMs\WorkspaceSTS\GRTKF\GRTKF|TextBase TMs\WorkspaceSTS\Outreach\Economist|TextBase TMs\WorkspaceSTS\Outreach\IP Advantage|TextBase TMs\WorkspaceSTS\Outreach\POW Main|TextBase TMs\WorkspaceSTS\Patents &amp; Innovation\P Instruments|TextBase TMs\WorkspaceSTS\Patents &amp; Innovation\Patents Main|TextBase TMs\WorkspaceSTS\Treaties &amp; Laws\WIPO Lex|TextBase TMs\WorkspaceSTS\UPOV\TGPs|TextBase TMs\WorkspaceSTS\UPOV\TGs|TextBase TMs\WorkspaceSTS\UPOV\TGs Template|TextBase TMs\WorkspaceSTS\UPOV\U Instruments|TextBase TMs\WorkspaceSTS\UPOV\UPOV Main|TextBase TMs\WorkspaceSTS\Administration &amp; Finance\Current Budget|TextBase TMs\WorkspaceSTS\Administration &amp; Finance\FAB Instruments|TextBase TMs\WorkspaceSTS\Administration &amp; Finance\FAB Main|TextBase TMs\WorkspaceSTS\Administration &amp; Finance\FStatements|TextBase TMs\WorkspaceSTS\Administration &amp; Finance\UN Staff Rules|TextBase TMs\WorkspaceSTS\Administration &amp; Finance\WIPO Staff Rules|TextBase TMs\WorkspaceSTS\Brands, Designs &amp; DN\Arb_Med_Center|TextBase TMs\WorkspaceSTS\Brands, Designs &amp; DN\H Instruments|TextBase TMs\WorkspaceSTS\Brands, Designs &amp; DN\Hague|TextBase TMs\WorkspaceSTS\Brands, Designs &amp; DN\L Instruments|TextBase TMs\WorkspaceSTS\Brands, Designs &amp; DN\Lisbon|TextBase TMs\WorkspaceSTS\Brands, Designs &amp; DN\T Instruments|TextBase TMs\WorkspaceSTS\Brands, Designs &amp; DN\Trademarks|TextBase TMs\WorkspaceSTS\Copyright\C Instruments|TextBase TMs\WorkspaceSTS\Copyright\Copyright|TextBase TMs\WorkspaceSTS\Development\Dev_Agenda|TextBase TMs\WorkspaceSTS\GRTKF\G Instruments|TextBase TMs\WorkspaceSTS\GRTKF\GRTKF|TextBase TMs\WorkspaceSTS\Outreach\Economist|TextBase TMs\WorkspaceSTS\Outreach\IP Advantage|TextBase TMs\WorkspaceSTS\Outreach\POW Main|TextBase TMs\WorkspaceSTS\Patents &amp; Innovation\P Instruments|TextBase TMs\WorkspaceSTS\Patents &amp; Innovation\Patents Main|TextBase TMs\WorkspaceSTS\Treaties &amp; Laws\WIPO Lex|TextBase TMs\WorkspaceSTS\UPOV\TGPs|TextBase TMs\WorkspaceSTS\UPOV\TGs|TextBase TMs\WorkspaceSTS\UPOV\TGs Template|TextBase TMs\WorkspaceSTS\UPOV\U Instruments|TextBase TMs\WorkspaceSTS\UPOV\UPOV Main"/>
    <w:docVar w:name="TextBaseURL" w:val="empty"/>
    <w:docVar w:name="UILng" w:val="en"/>
  </w:docVars>
  <w:rsids>
    <w:rsidRoot w:val="00B041B0"/>
    <w:rsid w:val="00010686"/>
    <w:rsid w:val="00052915"/>
    <w:rsid w:val="000753B4"/>
    <w:rsid w:val="000E3BB3"/>
    <w:rsid w:val="000F5E56"/>
    <w:rsid w:val="0011742B"/>
    <w:rsid w:val="001362EE"/>
    <w:rsid w:val="00152CEA"/>
    <w:rsid w:val="001832A6"/>
    <w:rsid w:val="002634C4"/>
    <w:rsid w:val="002C2E2F"/>
    <w:rsid w:val="002E0F47"/>
    <w:rsid w:val="002F4E68"/>
    <w:rsid w:val="00310826"/>
    <w:rsid w:val="00331657"/>
    <w:rsid w:val="00354647"/>
    <w:rsid w:val="00377273"/>
    <w:rsid w:val="003845C1"/>
    <w:rsid w:val="00387287"/>
    <w:rsid w:val="003E48F1"/>
    <w:rsid w:val="003F347A"/>
    <w:rsid w:val="00415C9F"/>
    <w:rsid w:val="00423E3E"/>
    <w:rsid w:val="00427AF4"/>
    <w:rsid w:val="0045231F"/>
    <w:rsid w:val="004647DA"/>
    <w:rsid w:val="0046793F"/>
    <w:rsid w:val="00472A6E"/>
    <w:rsid w:val="00477808"/>
    <w:rsid w:val="00477D6B"/>
    <w:rsid w:val="004A6C37"/>
    <w:rsid w:val="004B04F8"/>
    <w:rsid w:val="004E297D"/>
    <w:rsid w:val="00512BA1"/>
    <w:rsid w:val="00531B02"/>
    <w:rsid w:val="005332F0"/>
    <w:rsid w:val="0055013B"/>
    <w:rsid w:val="00571B99"/>
    <w:rsid w:val="00605827"/>
    <w:rsid w:val="00675021"/>
    <w:rsid w:val="006A06C6"/>
    <w:rsid w:val="007224C8"/>
    <w:rsid w:val="00794BE2"/>
    <w:rsid w:val="007A5581"/>
    <w:rsid w:val="007A7839"/>
    <w:rsid w:val="007B71FE"/>
    <w:rsid w:val="007D781E"/>
    <w:rsid w:val="007E663E"/>
    <w:rsid w:val="00814B46"/>
    <w:rsid w:val="00815082"/>
    <w:rsid w:val="0088395E"/>
    <w:rsid w:val="008B2CC1"/>
    <w:rsid w:val="008E6BD6"/>
    <w:rsid w:val="0090731E"/>
    <w:rsid w:val="00966A22"/>
    <w:rsid w:val="00972F03"/>
    <w:rsid w:val="0098367F"/>
    <w:rsid w:val="009A0C8B"/>
    <w:rsid w:val="009A20CD"/>
    <w:rsid w:val="009B6241"/>
    <w:rsid w:val="00A16FC0"/>
    <w:rsid w:val="00A32B6C"/>
    <w:rsid w:val="00A32C9E"/>
    <w:rsid w:val="00A90866"/>
    <w:rsid w:val="00AB613D"/>
    <w:rsid w:val="00AE7F20"/>
    <w:rsid w:val="00B041B0"/>
    <w:rsid w:val="00B460FF"/>
    <w:rsid w:val="00B534D5"/>
    <w:rsid w:val="00B65A0A"/>
    <w:rsid w:val="00B67CDC"/>
    <w:rsid w:val="00B72D36"/>
    <w:rsid w:val="00B73D0D"/>
    <w:rsid w:val="00B86421"/>
    <w:rsid w:val="00BC4164"/>
    <w:rsid w:val="00BD2DCC"/>
    <w:rsid w:val="00C90559"/>
    <w:rsid w:val="00CA0500"/>
    <w:rsid w:val="00CA2251"/>
    <w:rsid w:val="00CF255F"/>
    <w:rsid w:val="00D56C7C"/>
    <w:rsid w:val="00D70520"/>
    <w:rsid w:val="00D71B4D"/>
    <w:rsid w:val="00D90289"/>
    <w:rsid w:val="00D93D55"/>
    <w:rsid w:val="00DC4C60"/>
    <w:rsid w:val="00DD6CF4"/>
    <w:rsid w:val="00DE272B"/>
    <w:rsid w:val="00E0079A"/>
    <w:rsid w:val="00E444DA"/>
    <w:rsid w:val="00E45C84"/>
    <w:rsid w:val="00E504E5"/>
    <w:rsid w:val="00EB7A3E"/>
    <w:rsid w:val="00EC1AA7"/>
    <w:rsid w:val="00EC401A"/>
    <w:rsid w:val="00EF530A"/>
    <w:rsid w:val="00EF6622"/>
    <w:rsid w:val="00EF78A9"/>
    <w:rsid w:val="00F55408"/>
    <w:rsid w:val="00F66152"/>
    <w:rsid w:val="00F80845"/>
    <w:rsid w:val="00F84474"/>
    <w:rsid w:val="00F85931"/>
    <w:rsid w:val="00FA0F0D"/>
    <w:rsid w:val="00FD0EA0"/>
    <w:rsid w:val="00FD59D1"/>
    <w:rsid w:val="00FE7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5:docId w15:val="{2668DB96-F48E-40AA-B65F-9D93BBA0F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styleId="Header">
    <w:name w:val="header"/>
    <w:basedOn w:val="Normal"/>
    <w:semiHidden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rsid w:val="00A32C9E"/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A%2061%20(S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 61 (S)</Template>
  <TotalTime>2</TotalTime>
  <Pages>2</Pages>
  <Words>367</Words>
  <Characters>1849</Characters>
  <Application>Microsoft Office Word</Application>
  <DocSecurity>0</DocSecurity>
  <Lines>47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A/61/8</vt:lpstr>
    </vt:vector>
  </TitlesOfParts>
  <Company>WIPO</Company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A/61/8</dc:title>
  <dc:creator>MIGLIORE Liliana</dc:creator>
  <cp:keywords>PUBLIC</cp:keywords>
  <cp:lastModifiedBy>HÄFLIGER Patience</cp:lastModifiedBy>
  <cp:revision>6</cp:revision>
  <dcterms:created xsi:type="dcterms:W3CDTF">2020-09-03T15:50:00Z</dcterms:created>
  <dcterms:modified xsi:type="dcterms:W3CDTF">2020-09-04T12:26:00Z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27f4ed21-4333-46ee-ba4d-a2b8332310c7</vt:lpwstr>
  </property>
  <property fmtid="{D5CDD505-2E9C-101B-9397-08002B2CF9AE}" pid="3" name="Classification">
    <vt:lpwstr>Public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