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FD28DC" w:rsidRDefault="00DC0BA7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FD28DC">
        <w:rPr>
          <w:b/>
          <w:sz w:val="40"/>
          <w:szCs w:val="40"/>
        </w:rPr>
        <w:t>S</w:t>
      </w:r>
    </w:p>
    <w:p w:rsidR="006E4F5F" w:rsidRPr="00FD28DC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FD28DC">
        <w:rPr>
          <w:noProof/>
          <w:lang w:val="en-US"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FD28DC" w:rsidRDefault="00205915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FD28DC">
        <w:rPr>
          <w:rFonts w:ascii="Arial Black" w:hAnsi="Arial Black"/>
          <w:b/>
          <w:caps/>
          <w:sz w:val="15"/>
        </w:rPr>
        <w:t>A/59</w:t>
      </w:r>
      <w:r w:rsidR="006E4F5F" w:rsidRPr="00FD28DC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FD28DC" w:rsidRPr="00FD28DC">
        <w:rPr>
          <w:rFonts w:ascii="Arial Black" w:hAnsi="Arial Black"/>
          <w:b/>
          <w:caps/>
          <w:sz w:val="15"/>
        </w:rPr>
        <w:t>2 PROV.2</w:t>
      </w:r>
    </w:p>
    <w:p w:rsidR="006E4F5F" w:rsidRPr="00FD28DC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FD28DC">
        <w:rPr>
          <w:rFonts w:ascii="Arial Black" w:hAnsi="Arial Black"/>
          <w:b/>
          <w:caps/>
          <w:sz w:val="15"/>
        </w:rPr>
        <w:t>ORIGINAL:</w:t>
      </w:r>
      <w:r w:rsidR="0057481D" w:rsidRPr="00FD28DC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 w:rsidR="00FD28DC" w:rsidRPr="00FD28DC">
        <w:rPr>
          <w:rFonts w:ascii="Arial Black" w:hAnsi="Arial Black"/>
          <w:b/>
          <w:caps/>
          <w:sz w:val="15"/>
        </w:rPr>
        <w:t>INGLÉS</w:t>
      </w:r>
    </w:p>
    <w:p w:rsidR="006E4F5F" w:rsidRPr="00FD28DC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FD28DC">
        <w:rPr>
          <w:rFonts w:ascii="Arial Black" w:hAnsi="Arial Black"/>
          <w:b/>
          <w:caps/>
          <w:sz w:val="15"/>
        </w:rPr>
        <w:t>Fecha</w:t>
      </w:r>
      <w:r w:rsidR="006E4F5F" w:rsidRPr="00FD28DC">
        <w:rPr>
          <w:rFonts w:ascii="Arial Black" w:hAnsi="Arial Black"/>
          <w:b/>
          <w:caps/>
          <w:sz w:val="15"/>
        </w:rPr>
        <w:t xml:space="preserve">: </w:t>
      </w:r>
      <w:bookmarkStart w:id="3" w:name="Date"/>
      <w:bookmarkEnd w:id="3"/>
      <w:r w:rsidR="00FD28DC" w:rsidRPr="00FD28DC">
        <w:rPr>
          <w:rFonts w:ascii="Arial Black" w:hAnsi="Arial Black"/>
          <w:b/>
          <w:caps/>
          <w:sz w:val="15"/>
        </w:rPr>
        <w:t>30 DE JULIO DE 2019</w:t>
      </w:r>
    </w:p>
    <w:p w:rsidR="008B2CC1" w:rsidRPr="00FD28DC" w:rsidRDefault="00DC0BA7" w:rsidP="001F0FE5">
      <w:pPr>
        <w:pStyle w:val="Heading1"/>
      </w:pPr>
      <w:r w:rsidRPr="00FD28DC">
        <w:t>Asambleas de los Estados miembros de la OMPI</w:t>
      </w:r>
    </w:p>
    <w:p w:rsidR="008B2CC1" w:rsidRPr="00FD28DC" w:rsidRDefault="00B56479" w:rsidP="001F0FE5">
      <w:pPr>
        <w:spacing w:after="720"/>
        <w:rPr>
          <w:b/>
          <w:sz w:val="24"/>
        </w:rPr>
      </w:pPr>
      <w:r w:rsidRPr="00FD28DC">
        <w:rPr>
          <w:b/>
          <w:sz w:val="24"/>
        </w:rPr>
        <w:t>Quincuagésima novena</w:t>
      </w:r>
      <w:r w:rsidR="00DC0BA7" w:rsidRPr="00FD28DC">
        <w:rPr>
          <w:b/>
          <w:sz w:val="24"/>
        </w:rPr>
        <w:t xml:space="preserve"> serie de reuniones</w:t>
      </w:r>
      <w:r w:rsidR="003D57B0" w:rsidRPr="00FD28DC">
        <w:rPr>
          <w:b/>
          <w:sz w:val="24"/>
        </w:rPr>
        <w:br/>
      </w:r>
      <w:r w:rsidR="00DC0BA7" w:rsidRPr="00FD28DC">
        <w:rPr>
          <w:b/>
          <w:sz w:val="24"/>
        </w:rPr>
        <w:t>Ginebra</w:t>
      </w:r>
      <w:r w:rsidR="00DF023A" w:rsidRPr="00FD28DC">
        <w:rPr>
          <w:b/>
          <w:sz w:val="24"/>
        </w:rPr>
        <w:t xml:space="preserve">, </w:t>
      </w:r>
      <w:r w:rsidRPr="00FD28DC">
        <w:rPr>
          <w:b/>
          <w:sz w:val="24"/>
        </w:rPr>
        <w:t>30</w:t>
      </w:r>
      <w:r w:rsidR="002A633A" w:rsidRPr="00FD28DC">
        <w:rPr>
          <w:b/>
          <w:sz w:val="24"/>
        </w:rPr>
        <w:t xml:space="preserve"> </w:t>
      </w:r>
      <w:r w:rsidR="00117E63" w:rsidRPr="00FD28DC">
        <w:rPr>
          <w:b/>
          <w:sz w:val="24"/>
        </w:rPr>
        <w:t xml:space="preserve">de </w:t>
      </w:r>
      <w:r w:rsidR="002A633A" w:rsidRPr="00FD28DC">
        <w:rPr>
          <w:b/>
          <w:sz w:val="24"/>
        </w:rPr>
        <w:t>s</w:t>
      </w:r>
      <w:r w:rsidR="00217165" w:rsidRPr="00FD28DC">
        <w:rPr>
          <w:b/>
          <w:sz w:val="24"/>
        </w:rPr>
        <w:t>ept</w:t>
      </w:r>
      <w:r w:rsidR="00DC0BA7" w:rsidRPr="00FD28DC">
        <w:rPr>
          <w:b/>
          <w:sz w:val="24"/>
        </w:rPr>
        <w:t>iembre a</w:t>
      </w:r>
      <w:r w:rsidRPr="00FD28DC">
        <w:rPr>
          <w:b/>
          <w:sz w:val="24"/>
        </w:rPr>
        <w:t xml:space="preserve"> 9</w:t>
      </w:r>
      <w:r w:rsidR="002A633A" w:rsidRPr="00FD28DC">
        <w:rPr>
          <w:b/>
          <w:sz w:val="24"/>
        </w:rPr>
        <w:t xml:space="preserve"> </w:t>
      </w:r>
      <w:r w:rsidR="00DC0BA7" w:rsidRPr="00FD28DC">
        <w:rPr>
          <w:b/>
          <w:sz w:val="24"/>
        </w:rPr>
        <w:t xml:space="preserve">de </w:t>
      </w:r>
      <w:r w:rsidR="002A633A" w:rsidRPr="00FD28DC">
        <w:rPr>
          <w:b/>
          <w:sz w:val="24"/>
        </w:rPr>
        <w:t>o</w:t>
      </w:r>
      <w:r w:rsidR="00DC0BA7" w:rsidRPr="00FD28DC">
        <w:rPr>
          <w:b/>
          <w:sz w:val="24"/>
        </w:rPr>
        <w:t>ctu</w:t>
      </w:r>
      <w:r w:rsidR="00217165" w:rsidRPr="00FD28DC">
        <w:rPr>
          <w:b/>
          <w:sz w:val="24"/>
        </w:rPr>
        <w:t>bre</w:t>
      </w:r>
      <w:r w:rsidR="00DC0BA7" w:rsidRPr="00FD28DC">
        <w:rPr>
          <w:b/>
          <w:sz w:val="24"/>
        </w:rPr>
        <w:t xml:space="preserve"> de</w:t>
      </w:r>
      <w:r w:rsidRPr="00FD28DC">
        <w:rPr>
          <w:b/>
          <w:sz w:val="24"/>
        </w:rPr>
        <w:t xml:space="preserve"> 2019</w:t>
      </w:r>
    </w:p>
    <w:p w:rsidR="008B2CC1" w:rsidRPr="00FD28DC" w:rsidRDefault="00FD28DC" w:rsidP="00565072">
      <w:pPr>
        <w:spacing w:after="360"/>
        <w:rPr>
          <w:caps/>
          <w:sz w:val="24"/>
        </w:rPr>
      </w:pPr>
      <w:bookmarkStart w:id="4" w:name="TitleOfDoc"/>
      <w:bookmarkEnd w:id="4"/>
      <w:r w:rsidRPr="00FD28DC">
        <w:rPr>
          <w:caps/>
          <w:sz w:val="24"/>
        </w:rPr>
        <w:t>LISTA DE DOCUMENTOS</w:t>
      </w:r>
    </w:p>
    <w:p w:rsidR="008B2CC1" w:rsidRPr="00FD28DC" w:rsidRDefault="00FD28DC" w:rsidP="009C127D">
      <w:pPr>
        <w:spacing w:after="960"/>
        <w:rPr>
          <w:i/>
        </w:rPr>
      </w:pPr>
      <w:bookmarkStart w:id="5" w:name="Prepared"/>
      <w:bookmarkEnd w:id="5"/>
      <w:r w:rsidRPr="00FD28DC">
        <w:rPr>
          <w:i/>
        </w:rPr>
        <w:t>preparada por la Secretaría</w:t>
      </w:r>
    </w:p>
    <w:p w:rsidR="00FD28DC" w:rsidRPr="00FD28DC" w:rsidRDefault="00FD28DC" w:rsidP="00FD28DC">
      <w:pPr>
        <w:pStyle w:val="Heading2"/>
      </w:pPr>
      <w:r w:rsidRPr="00FD28DC">
        <w:t>PUNTO 1 DEL ORDEN DEL DÍA</w:t>
      </w:r>
      <w:r w:rsidRPr="00FD28DC">
        <w:tab/>
        <w:t>apertura de la serie de reuniones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A/59/INF/1 (</w:t>
      </w:r>
      <w:r w:rsidRPr="00FD28DC">
        <w:rPr>
          <w:i/>
        </w:rPr>
        <w:t>Información general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2 del orden del día</w:t>
      </w:r>
      <w:r w:rsidRPr="00FD28DC">
        <w:tab/>
        <w:t>Aprobación del orden del día</w:t>
      </w:r>
    </w:p>
    <w:p w:rsidR="00FD28DC" w:rsidRPr="00FD28DC" w:rsidRDefault="00FD28DC" w:rsidP="00FD28DC">
      <w:pPr>
        <w:pStyle w:val="BodyText"/>
        <w:spacing w:after="0"/>
        <w:ind w:left="540"/>
      </w:pPr>
      <w:r w:rsidRPr="00FD28DC">
        <w:t>A/59/1 Prov.2 (</w:t>
      </w:r>
      <w:r w:rsidRPr="00FD28DC">
        <w:rPr>
          <w:i/>
        </w:rPr>
        <w:t>Proyecto de orden del día</w:t>
      </w:r>
      <w:r w:rsidRPr="00FD28DC">
        <w:t>)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A/59/2 Prov.2 (</w:t>
      </w:r>
      <w:r w:rsidRPr="00FD28DC">
        <w:rPr>
          <w:i/>
        </w:rPr>
        <w:t>Lista de documentos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3 del orden del día</w:t>
      </w:r>
      <w:r w:rsidRPr="00FD28DC">
        <w:tab/>
        <w:t>Elección de las mesas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A/59/INF/2 (</w:t>
      </w:r>
      <w:r w:rsidRPr="00FD28DC">
        <w:rPr>
          <w:i/>
        </w:rPr>
        <w:t>Mesas directivas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4 del orden del día</w:t>
      </w:r>
      <w:r w:rsidRPr="00FD28DC">
        <w:tab/>
        <w:t>informe del director general a las Asambleas de la OMPI</w:t>
      </w:r>
    </w:p>
    <w:p w:rsidR="00FD28DC" w:rsidRPr="00FD28DC" w:rsidRDefault="00FD28DC" w:rsidP="00FD28DC">
      <w:pPr>
        <w:pStyle w:val="BodyText"/>
        <w:spacing w:after="480"/>
      </w:pPr>
      <w:r w:rsidRPr="00FD28DC">
        <w:t>El informe se presenta como una publicación de la OMPI y puede consultarse en el sitio web de la OMPI.</w:t>
      </w:r>
    </w:p>
    <w:p w:rsidR="00FD28DC" w:rsidRPr="00FD28DC" w:rsidRDefault="00FD28DC" w:rsidP="00FD28DC">
      <w:pPr>
        <w:pStyle w:val="Heading2"/>
      </w:pPr>
      <w:r w:rsidRPr="00FD28DC">
        <w:lastRenderedPageBreak/>
        <w:t>punto 5 del orden del día</w:t>
      </w:r>
      <w:r w:rsidRPr="00FD28DC">
        <w:tab/>
        <w:t>declaraciones generales</w:t>
      </w:r>
    </w:p>
    <w:p w:rsidR="00FD28DC" w:rsidRPr="00FD28DC" w:rsidRDefault="00FD28DC" w:rsidP="00FD28DC">
      <w:pPr>
        <w:pStyle w:val="BodyText"/>
        <w:spacing w:after="480"/>
      </w:pPr>
      <w:r w:rsidRPr="00FD28DC">
        <w:t>Las declaraciones generales presentadas por escrito por las delegaciones pueden consultarse en el sitio web de la OMPI.</w:t>
      </w:r>
    </w:p>
    <w:p w:rsidR="00FD28DC" w:rsidRPr="00FD28DC" w:rsidRDefault="00FD28DC" w:rsidP="00FD28DC">
      <w:pPr>
        <w:pStyle w:val="Heading2"/>
      </w:pPr>
      <w:r w:rsidRPr="00FD28DC">
        <w:t>punto 6 del orden del día</w:t>
      </w:r>
      <w:r w:rsidRPr="00FD28DC">
        <w:tab/>
        <w:t>ADMISión de observadores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A/59/3 (</w:t>
      </w:r>
      <w:r w:rsidRPr="00FD28DC">
        <w:rPr>
          <w:i/>
        </w:rPr>
        <w:t>Admisión de observadores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7 del orden del día</w:t>
      </w:r>
      <w:r w:rsidRPr="00FD28DC">
        <w:tab/>
        <w:t>NOMBRAMIENTO DEL DIRECTOR GENERAL EN 2020</w:t>
      </w:r>
    </w:p>
    <w:p w:rsidR="00FD28DC" w:rsidRPr="00FD28DC" w:rsidRDefault="00FD28DC" w:rsidP="00FD28DC">
      <w:pPr>
        <w:spacing w:after="480"/>
        <w:ind w:left="540"/>
      </w:pPr>
      <w:r w:rsidRPr="00FD28DC">
        <w:t>A/59/4 (</w:t>
      </w:r>
      <w:r w:rsidRPr="00FD28DC">
        <w:rPr>
          <w:i/>
        </w:rPr>
        <w:t>Nombramiento del director general en 2020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8 del orden del día</w:t>
      </w:r>
      <w:r w:rsidRPr="00FD28DC">
        <w:tab/>
        <w:t>Composición del comité de coordinación de la ompi, y de los comités ejecutivos de las uniones de parís y de berna</w:t>
      </w:r>
    </w:p>
    <w:p w:rsidR="00FD28DC" w:rsidRPr="00FD28DC" w:rsidRDefault="00FD28DC" w:rsidP="00FD28DC">
      <w:pPr>
        <w:pStyle w:val="BodyText"/>
        <w:spacing w:after="480"/>
        <w:ind w:left="1260" w:hanging="720"/>
      </w:pPr>
      <w:r w:rsidRPr="00FD28DC">
        <w:t>A/59/5 (</w:t>
      </w:r>
      <w:r w:rsidRPr="00FD28DC">
        <w:rPr>
          <w:i/>
        </w:rPr>
        <w:t>Composición del Comité de Coordinación de la OMPI, y de los Comités Ejecutivos de las Uniones de París y de Berna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9 del orden del día</w:t>
      </w:r>
      <w:r w:rsidRPr="00FD28DC">
        <w:tab/>
        <w:t>composición del comité del programa y presupuesto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WO/GA/51/1 (</w:t>
      </w:r>
      <w:r w:rsidRPr="00FD28DC">
        <w:rPr>
          <w:i/>
        </w:rPr>
        <w:t>Composición del Comité del Programa y Presupuesto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10 del orden del día</w:t>
      </w:r>
      <w:r w:rsidRPr="00FD28DC">
        <w:tab/>
        <w:t>informes de auditoría y supervisión</w:t>
      </w:r>
    </w:p>
    <w:p w:rsidR="00FD28DC" w:rsidRPr="00FD28DC" w:rsidRDefault="00FD28DC" w:rsidP="00FD28DC">
      <w:pPr>
        <w:pStyle w:val="BodyText"/>
        <w:spacing w:after="0"/>
        <w:ind w:left="1843" w:hanging="1304"/>
        <w:rPr>
          <w:i/>
        </w:rPr>
      </w:pPr>
      <w:r w:rsidRPr="00FD28DC">
        <w:t>WO/GA/51/2 (</w:t>
      </w:r>
      <w:r w:rsidRPr="00FD28DC">
        <w:rPr>
          <w:i/>
        </w:rPr>
        <w:t>Informe de la Comisión Consultiva Independiente de Supervisión de la OMPI (CCIS)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A/59/6 (</w:t>
      </w:r>
      <w:r w:rsidRPr="00FD28DC">
        <w:rPr>
          <w:i/>
        </w:rPr>
        <w:t>Informe del auditor externo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WO/GA/51/3 (</w:t>
      </w:r>
      <w:r w:rsidRPr="00FD28DC">
        <w:rPr>
          <w:i/>
        </w:rPr>
        <w:t>Informe anual del director de la División de Supervisión Interna (DSI)</w:t>
      </w:r>
      <w:r w:rsidRPr="00FD28DC">
        <w:t>)</w:t>
      </w:r>
    </w:p>
    <w:p w:rsidR="00FD28DC" w:rsidRPr="00FD28DC" w:rsidRDefault="00FD28DC" w:rsidP="00FD28DC">
      <w:pPr>
        <w:spacing w:after="480"/>
        <w:ind w:left="540"/>
      </w:pPr>
      <w:r w:rsidRPr="00FD28DC">
        <w:t>A/59/7 (</w:t>
      </w:r>
      <w:r w:rsidRPr="00FD28DC">
        <w:rPr>
          <w:i/>
        </w:rPr>
        <w:t>Lista de decisiones adoptadas por el Comité del Programa y Presupuesto</w:t>
      </w:r>
      <w:r w:rsidRPr="00FD28DC">
        <w:t>)</w:t>
      </w:r>
      <w:r w:rsidRPr="00FD28DC">
        <w:rPr>
          <w:rStyle w:val="FootnoteReference"/>
        </w:rPr>
        <w:footnoteReference w:id="2"/>
      </w:r>
    </w:p>
    <w:p w:rsidR="00FD28DC" w:rsidRPr="00FD28DC" w:rsidRDefault="00FD28DC" w:rsidP="00FD28DC">
      <w:pPr>
        <w:pStyle w:val="Heading2"/>
      </w:pPr>
      <w:r w:rsidRPr="00FD28DC">
        <w:t>Punto 11 del orden del día</w:t>
      </w:r>
      <w:r w:rsidRPr="00FD28DC">
        <w:tab/>
        <w:t>Apertura de nuevas oficinas de la OMPI en el exterior</w:t>
      </w:r>
    </w:p>
    <w:p w:rsidR="00FD28DC" w:rsidRPr="00FD28DC" w:rsidRDefault="00FD28DC" w:rsidP="00FD28DC">
      <w:pPr>
        <w:spacing w:after="480"/>
        <w:ind w:left="540"/>
      </w:pPr>
      <w:r w:rsidRPr="00FD28DC">
        <w:t>WO/GA/51/4 (</w:t>
      </w:r>
      <w:r w:rsidRPr="00FD28DC">
        <w:rPr>
          <w:i/>
        </w:rPr>
        <w:t>Apertura de nuevas oficinas de la OMPI en el exterior en el bienio 2018/19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12 del orden del día</w:t>
      </w:r>
      <w:r w:rsidRPr="00FD28DC">
        <w:tab/>
        <w:t>informe del comité del programa y presupuesto</w:t>
      </w:r>
    </w:p>
    <w:p w:rsidR="00FD28DC" w:rsidRPr="00FD28DC" w:rsidRDefault="00FD28DC" w:rsidP="00FD28DC">
      <w:pPr>
        <w:ind w:left="540"/>
      </w:pPr>
      <w:r w:rsidRPr="00FD28DC">
        <w:t>A/59/7 (</w:t>
      </w:r>
      <w:r w:rsidRPr="00FD28DC">
        <w:rPr>
          <w:i/>
        </w:rPr>
        <w:t>Lista de decisiones adoptadas por el Comité del Programa y Presupuesto</w:t>
      </w:r>
      <w:r w:rsidRPr="00FD28DC">
        <w:t>)</w:t>
      </w:r>
      <w:r w:rsidRPr="00FD28DC">
        <w:rPr>
          <w:rStyle w:val="FootnoteReference"/>
        </w:rPr>
        <w:footnoteReference w:id="3"/>
      </w:r>
      <w:r w:rsidRPr="00FD28DC">
        <w:t xml:space="preserve"> </w:t>
      </w:r>
    </w:p>
    <w:p w:rsidR="00FD28DC" w:rsidRPr="00FD28DC" w:rsidRDefault="00FD28DC" w:rsidP="00FD28DC">
      <w:pPr>
        <w:ind w:left="1980" w:hanging="1440"/>
      </w:pPr>
      <w:r w:rsidRPr="00FD28DC">
        <w:t>A/59/8 (</w:t>
      </w:r>
      <w:r w:rsidRPr="00FD28DC">
        <w:rPr>
          <w:i/>
          <w:iCs/>
        </w:rPr>
        <w:t>Propuesta de presupuesto por programas para el bienio 2020/21</w:t>
      </w:r>
      <w:r w:rsidRPr="00FD28DC">
        <w:t>)</w:t>
      </w:r>
    </w:p>
    <w:p w:rsidR="00FD28DC" w:rsidRPr="00FD28DC" w:rsidRDefault="00FD28DC" w:rsidP="00FD28DC">
      <w:pPr>
        <w:spacing w:after="480"/>
        <w:ind w:left="540"/>
      </w:pPr>
      <w:r w:rsidRPr="00FD28DC">
        <w:rPr>
          <w:bCs/>
          <w:iCs/>
          <w:caps/>
          <w:szCs w:val="28"/>
        </w:rPr>
        <w:lastRenderedPageBreak/>
        <w:t>A/59/INF/3 (</w:t>
      </w:r>
      <w:r w:rsidRPr="00FD28DC">
        <w:rPr>
          <w:bCs/>
          <w:i/>
          <w:iCs/>
          <w:szCs w:val="28"/>
        </w:rPr>
        <w:t xml:space="preserve">Información solicitada por el Comité del Programa y Presupuesto a la que se hace referencia en el documento WO/PBC/30/15 en relación con el punto </w:t>
      </w:r>
      <w:r w:rsidRPr="00FD28DC">
        <w:rPr>
          <w:bCs/>
          <w:i/>
          <w:iCs/>
          <w:caps/>
          <w:szCs w:val="28"/>
        </w:rPr>
        <w:t>11.</w:t>
      </w:r>
      <w:r w:rsidRPr="00FD28DC">
        <w:rPr>
          <w:bCs/>
          <w:i/>
          <w:iCs/>
          <w:szCs w:val="28"/>
        </w:rPr>
        <w:t>iv</w:t>
      </w:r>
      <w:r w:rsidRPr="00FD28DC">
        <w:rPr>
          <w:bCs/>
          <w:i/>
          <w:iCs/>
          <w:caps/>
          <w:szCs w:val="28"/>
        </w:rPr>
        <w:t xml:space="preserve">) </w:t>
      </w:r>
      <w:r w:rsidRPr="00FD28DC">
        <w:rPr>
          <w:bCs/>
          <w:i/>
          <w:iCs/>
          <w:szCs w:val="28"/>
        </w:rPr>
        <w:t>del orden del día</w:t>
      </w:r>
      <w:r w:rsidRPr="00FD28DC">
        <w:rPr>
          <w:bCs/>
          <w:iCs/>
          <w:caps/>
          <w:szCs w:val="28"/>
        </w:rPr>
        <w:t>))</w:t>
      </w:r>
    </w:p>
    <w:p w:rsidR="00FD28DC" w:rsidRPr="00FD28DC" w:rsidRDefault="00FD28DC" w:rsidP="00FD28DC">
      <w:pPr>
        <w:pStyle w:val="Heading2"/>
      </w:pPr>
      <w:r w:rsidRPr="00FD28DC">
        <w:t>punto 13 del orden del día</w:t>
      </w:r>
      <w:r w:rsidRPr="00FD28DC">
        <w:tab/>
        <w:t>ACTAS DE LAS REUNIONES DE LA OMPI</w:t>
      </w:r>
    </w:p>
    <w:p w:rsidR="00FD28DC" w:rsidRPr="00FD28DC" w:rsidRDefault="00FD28DC" w:rsidP="00FD28DC">
      <w:pPr>
        <w:spacing w:after="480"/>
        <w:ind w:left="540"/>
        <w:rPr>
          <w:b/>
          <w:bCs/>
          <w:iCs/>
          <w:caps/>
          <w:szCs w:val="28"/>
        </w:rPr>
      </w:pPr>
      <w:r w:rsidRPr="00FD28DC">
        <w:t>A/59/9 (</w:t>
      </w:r>
      <w:r w:rsidRPr="00FD28DC">
        <w:rPr>
          <w:i/>
          <w:iCs/>
        </w:rPr>
        <w:t>Actas de las reuniones de la OMPI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14 del orden del día</w:t>
      </w:r>
      <w:r w:rsidRPr="00FD28DC">
        <w:tab/>
        <w:t>informe del comité permanente de derecho de autor y derechos conexos (SCCR)</w:t>
      </w:r>
    </w:p>
    <w:p w:rsidR="00FD28DC" w:rsidRPr="00FD28DC" w:rsidRDefault="00FD28DC" w:rsidP="00FD28DC">
      <w:pPr>
        <w:spacing w:after="480"/>
        <w:ind w:left="1890" w:hanging="1350"/>
      </w:pPr>
      <w:r w:rsidRPr="00FD28DC">
        <w:t>WO/GA/51/5 (</w:t>
      </w:r>
      <w:r w:rsidRPr="00FD28DC">
        <w:rPr>
          <w:i/>
        </w:rPr>
        <w:t>Informe del Comité Permanente de Derecho de Autor y Derechos Conexos (SCCR)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15 del orden del día</w:t>
      </w:r>
      <w:r w:rsidRPr="00FD28DC">
        <w:tab/>
        <w:t>informe del comité permanente sobre el derecho de patentes (SCP)</w:t>
      </w:r>
    </w:p>
    <w:p w:rsidR="00FD28DC" w:rsidRPr="00FD28DC" w:rsidRDefault="00FD28DC" w:rsidP="00FD28DC">
      <w:pPr>
        <w:spacing w:after="480"/>
        <w:ind w:left="540"/>
      </w:pPr>
      <w:r w:rsidRPr="00FD28DC">
        <w:t>WO/GA/51/6 (</w:t>
      </w:r>
      <w:r w:rsidRPr="00FD28DC">
        <w:rPr>
          <w:i/>
        </w:rPr>
        <w:t>Informe del Comité Permanente sobre el Derecho de Patentes (SCP)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16 del orden del día</w:t>
      </w:r>
      <w:r w:rsidRPr="00FD28DC">
        <w:tab/>
        <w:t>informe del comité permanente sobre el derecho de marcas, diseños industriales e indicaciones geográficas (SCT)</w:t>
      </w:r>
    </w:p>
    <w:p w:rsidR="00FD28DC" w:rsidRPr="00FD28DC" w:rsidRDefault="00FD28DC" w:rsidP="00FD28DC">
      <w:pPr>
        <w:spacing w:after="480"/>
        <w:ind w:left="1890" w:hanging="1350"/>
      </w:pPr>
      <w:r w:rsidRPr="00FD28DC">
        <w:t>WO/GA/51/7 (</w:t>
      </w:r>
      <w:r w:rsidRPr="00FD28DC">
        <w:rPr>
          <w:i/>
        </w:rPr>
        <w:t>Informe del Comité Permanente sobre el Derecho de Marcas, Diseños Industriales e Indicaciones Geográficas (SCT)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17 del orden del día</w:t>
      </w:r>
      <w:r w:rsidRPr="00FD28DC">
        <w:tab/>
        <w:t>asuntos relativos a la convocación de una conferencia diplomática para la adopción de un tratado sobre el derecho de los diseños (DLT)</w:t>
      </w:r>
    </w:p>
    <w:p w:rsidR="00FD28DC" w:rsidRPr="00FD28DC" w:rsidRDefault="00FD28DC" w:rsidP="00FD28DC">
      <w:pPr>
        <w:spacing w:after="480"/>
        <w:ind w:left="1890" w:hanging="1350"/>
      </w:pPr>
      <w:r w:rsidRPr="00FD28DC">
        <w:t>WO/GA/51/8 (</w:t>
      </w:r>
      <w:r w:rsidRPr="00FD28DC">
        <w:rPr>
          <w:i/>
        </w:rPr>
        <w:t>Asuntos relativos a la convocación de una conferencia diplomática para la adopción de un tratado sobre el Derecho de los diseños (DLT)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18 del orden del día</w:t>
      </w:r>
      <w:r w:rsidRPr="00FD28DC">
        <w:tab/>
        <w:t>informe del comité de desarrollo y propiedad intelectuaL (CDIP) y reseña sobre la aplicación de las recomendaciones de la agenda para el desarrollo</w:t>
      </w:r>
    </w:p>
    <w:p w:rsidR="00FD28DC" w:rsidRPr="00FD28DC" w:rsidRDefault="00FD28DC" w:rsidP="00FD28DC">
      <w:pPr>
        <w:ind w:left="1890" w:hanging="1350"/>
      </w:pPr>
      <w:r w:rsidRPr="00FD28DC">
        <w:t>WO/GA/51/9 (</w:t>
      </w:r>
      <w:r w:rsidRPr="00FD28DC">
        <w:rPr>
          <w:i/>
        </w:rPr>
        <w:t>Informe del Comité de Desarrollo y Propiedad Intelectual (CDIP) y reseña sobre la aplicación de las recomendaciones de la Agenda para el Desarrollo</w:t>
      </w:r>
      <w:r w:rsidRPr="00FD28DC">
        <w:t>)</w:t>
      </w:r>
    </w:p>
    <w:p w:rsidR="00FD28DC" w:rsidRPr="00FD28DC" w:rsidRDefault="00FD28DC" w:rsidP="00FD28DC">
      <w:pPr>
        <w:ind w:left="1980" w:hanging="1440"/>
      </w:pPr>
      <w:r w:rsidRPr="00FD28DC">
        <w:t>WO/GA/51/10 (</w:t>
      </w:r>
      <w:r w:rsidRPr="00FD28DC">
        <w:rPr>
          <w:i/>
        </w:rPr>
        <w:t>Decisión del Comité de Desarrollo y Propiedad Intelectual (CDIP) sobre "La mujer y la propiedad intelectual"</w:t>
      </w:r>
      <w:r w:rsidRPr="00FD28DC">
        <w:t>)</w:t>
      </w:r>
    </w:p>
    <w:p w:rsidR="00FD28DC" w:rsidRPr="00FD28DC" w:rsidRDefault="00FD28DC" w:rsidP="00FD28DC">
      <w:pPr>
        <w:spacing w:after="480"/>
        <w:ind w:left="1980" w:hanging="1440"/>
      </w:pPr>
      <w:r w:rsidRPr="00FD28DC">
        <w:t>WO/GA/51/11 (</w:t>
      </w:r>
      <w:r w:rsidRPr="00FD28DC">
        <w:rPr>
          <w:i/>
        </w:rPr>
        <w:t>Contribución de los órganos pertinentes de la OMPI a la aplicación de las recomendaciones que les incumben de la Agenda para el Desarrollo</w:t>
      </w:r>
      <w:r w:rsidRPr="00FD28DC">
        <w:t>)</w:t>
      </w:r>
    </w:p>
    <w:p w:rsidR="00776FB6" w:rsidRDefault="00776FB6">
      <w:pPr>
        <w:rPr>
          <w:b/>
          <w:bCs/>
          <w:iCs/>
          <w:caps/>
          <w:szCs w:val="28"/>
        </w:rPr>
      </w:pPr>
      <w:r>
        <w:br w:type="page"/>
      </w:r>
    </w:p>
    <w:p w:rsidR="00FD28DC" w:rsidRPr="00FD28DC" w:rsidRDefault="00FD28DC" w:rsidP="00FD28DC">
      <w:pPr>
        <w:pStyle w:val="Heading2"/>
      </w:pPr>
      <w:r w:rsidRPr="00FD28DC">
        <w:lastRenderedPageBreak/>
        <w:t>punto 19 del orden del día</w:t>
      </w:r>
      <w:r w:rsidRPr="00FD28DC">
        <w:tab/>
        <w:t>informe del comité intergubernamental de la ompi sobre propiedad intelectual y recursos genéticos, conocimientos tradicionales y folclore (cig)</w:t>
      </w:r>
    </w:p>
    <w:p w:rsidR="00FD28DC" w:rsidRPr="00FD28DC" w:rsidRDefault="00FD28DC" w:rsidP="00FD28DC">
      <w:pPr>
        <w:spacing w:after="480"/>
        <w:ind w:left="1980" w:hanging="1440"/>
      </w:pPr>
      <w:r w:rsidRPr="00FD28DC">
        <w:t>WO/GA/51/12 (</w:t>
      </w:r>
      <w:r w:rsidRPr="00FD28DC">
        <w:rPr>
          <w:i/>
        </w:rPr>
        <w:t>Informe del Comité Intergubernamental de la OMPI sobre Propiedad Intelectual y Recursos Genéticos, Conocimientos Tradicionales y Folclore (CIG)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20 del orden del día</w:t>
      </w:r>
      <w:r w:rsidRPr="00FD28DC">
        <w:tab/>
        <w:t>INFORME DEL COMITÉ DE NORMAS TÉCNICAS DE LA OMPI (CWS)</w:t>
      </w:r>
    </w:p>
    <w:p w:rsidR="00FD28DC" w:rsidRPr="00FD28DC" w:rsidRDefault="00FD28DC" w:rsidP="00FD28DC">
      <w:pPr>
        <w:spacing w:after="480"/>
        <w:ind w:left="540"/>
      </w:pPr>
      <w:r w:rsidRPr="00FD28DC">
        <w:t>WO/GA/51/13 (</w:t>
      </w:r>
      <w:r w:rsidRPr="00FD28DC">
        <w:rPr>
          <w:i/>
        </w:rPr>
        <w:t>Informe del Comité de Normas Técnicas de la OMPI (CWS)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21 del orden del día</w:t>
      </w:r>
      <w:r w:rsidRPr="00FD28DC">
        <w:tab/>
        <w:t>informe del comité asesor sobre observancia (ACE)</w:t>
      </w:r>
    </w:p>
    <w:p w:rsidR="00FD28DC" w:rsidRPr="00FD28DC" w:rsidRDefault="00FD28DC" w:rsidP="00FD28DC">
      <w:pPr>
        <w:spacing w:after="480"/>
        <w:ind w:left="540"/>
      </w:pPr>
      <w:r w:rsidRPr="00FD28DC">
        <w:t>WO/GA/51/14 (</w:t>
      </w:r>
      <w:r w:rsidRPr="00FD28DC">
        <w:rPr>
          <w:i/>
        </w:rPr>
        <w:t>Informe del Comité Asesor sobre Observancia (ACE)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22 del orden del día</w:t>
      </w:r>
      <w:r w:rsidRPr="00FD28DC">
        <w:tab/>
        <w:t>sistema del pct</w:t>
      </w:r>
    </w:p>
    <w:p w:rsidR="00FD28DC" w:rsidRPr="00FD28DC" w:rsidRDefault="00FD28DC" w:rsidP="00FD28DC">
      <w:pPr>
        <w:ind w:left="540"/>
      </w:pPr>
      <w:r w:rsidRPr="00FD28DC">
        <w:t>PCT/A/51/1 (</w:t>
      </w:r>
      <w:r w:rsidRPr="00FD28DC">
        <w:rPr>
          <w:i/>
        </w:rPr>
        <w:t>Informe del Grupo de Trabajo del PCT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PCT/A/51/2 (</w:t>
      </w:r>
      <w:r w:rsidRPr="00FD28DC">
        <w:rPr>
          <w:i/>
        </w:rPr>
        <w:t>Propuestas de modificación del Reglamento del PCT)</w:t>
      </w:r>
    </w:p>
    <w:p w:rsidR="00FD28DC" w:rsidRPr="00FD28DC" w:rsidRDefault="00FD28DC" w:rsidP="00FD28DC">
      <w:pPr>
        <w:spacing w:after="480"/>
        <w:ind w:left="1710" w:hanging="1170"/>
      </w:pPr>
      <w:r w:rsidRPr="00FD28DC">
        <w:t>PCT/A/51/3 (</w:t>
      </w:r>
      <w:r w:rsidRPr="00FD28DC">
        <w:rPr>
          <w:i/>
        </w:rPr>
        <w:t>Examen de los criterios relativos A la reducción de las tasas del PCT para los solicitantes de determinados países</w:t>
      </w:r>
      <w:r w:rsidRPr="00FD28DC">
        <w:t xml:space="preserve">) </w:t>
      </w:r>
    </w:p>
    <w:p w:rsidR="00FD28DC" w:rsidRPr="00FD28DC" w:rsidRDefault="00FD28DC" w:rsidP="00FD28DC">
      <w:pPr>
        <w:pStyle w:val="Heading2"/>
      </w:pPr>
      <w:r w:rsidRPr="00FD28DC">
        <w:t>punto 23 del orden del día</w:t>
      </w:r>
      <w:r w:rsidRPr="00FD28DC">
        <w:tab/>
        <w:t>sistema de madrid</w:t>
      </w:r>
    </w:p>
    <w:p w:rsidR="00FD28DC" w:rsidRPr="00FD28DC" w:rsidRDefault="00FD28DC" w:rsidP="00FD28DC">
      <w:pPr>
        <w:ind w:left="1710" w:hanging="1170"/>
      </w:pPr>
      <w:r w:rsidRPr="00FD28DC">
        <w:t>MM/A/53/1 (</w:t>
      </w:r>
      <w:r w:rsidRPr="00FD28DC">
        <w:rPr>
          <w:i/>
        </w:rPr>
        <w:t>Propuestas de modificación del Reglamento del Protocolo concerniente al Arreglo de Madrid relativo al Registro Internacional de Marcas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24 del orden del día</w:t>
      </w:r>
      <w:r w:rsidRPr="00FD28DC">
        <w:tab/>
        <w:t>sistema de lisboa</w:t>
      </w:r>
    </w:p>
    <w:p w:rsidR="00FD28DC" w:rsidRPr="00FD28DC" w:rsidRDefault="00FD28DC" w:rsidP="00FD28DC">
      <w:pPr>
        <w:spacing w:after="480"/>
        <w:ind w:left="540"/>
      </w:pPr>
      <w:r w:rsidRPr="00FD28DC">
        <w:t>LI/A/36/1 (</w:t>
      </w:r>
      <w:r w:rsidRPr="00FD28DC">
        <w:rPr>
          <w:i/>
        </w:rPr>
        <w:t>Informe del Grupo de Trabajo sobre el Desarrollo del Sistema de Lisboa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25 del orden del día</w:t>
      </w:r>
      <w:r w:rsidRPr="00FD28DC">
        <w:tab/>
        <w:t>centro de arbitraje y mediación de la ompi, y nombres de dominio</w:t>
      </w:r>
    </w:p>
    <w:p w:rsidR="00FD28DC" w:rsidRPr="00FD28DC" w:rsidRDefault="00FD28DC" w:rsidP="00FD28DC">
      <w:pPr>
        <w:spacing w:after="480"/>
        <w:ind w:left="540"/>
      </w:pPr>
      <w:r w:rsidRPr="00FD28DC">
        <w:t>WO/GA/51/15 (</w:t>
      </w:r>
      <w:r w:rsidRPr="00FD28DC">
        <w:rPr>
          <w:i/>
        </w:rPr>
        <w:t>Centro de Arbitraje y Mediación de la OMPI, y nombres de dominio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26 del orden del día</w:t>
      </w:r>
      <w:r w:rsidRPr="00FD28DC">
        <w:tab/>
        <w:t>TRATADO SOBRE EL DERECHO DE PATENTES (PLT)</w:t>
      </w:r>
    </w:p>
    <w:p w:rsidR="00FD28DC" w:rsidRPr="00FD28DC" w:rsidRDefault="00FD28DC" w:rsidP="00FD28DC">
      <w:pPr>
        <w:spacing w:after="480"/>
        <w:ind w:left="1980" w:hanging="1440"/>
      </w:pPr>
      <w:r w:rsidRPr="00FD28DC">
        <w:t>WO/GA/51/16 (</w:t>
      </w:r>
      <w:r w:rsidRPr="00FD28DC">
        <w:rPr>
          <w:i/>
        </w:rPr>
        <w:t>Asistencia técnica y cooperación en relación con el Tratado sobre el Derecho de Patentes (PLT)</w:t>
      </w:r>
      <w:r w:rsidRPr="00FD28DC">
        <w:t>)</w:t>
      </w:r>
    </w:p>
    <w:p w:rsidR="00FD28DC" w:rsidRPr="00FD28DC" w:rsidRDefault="00FD28DC" w:rsidP="00FD28DC">
      <w:pPr>
        <w:rPr>
          <w:b/>
          <w:bCs/>
          <w:iCs/>
          <w:caps/>
          <w:szCs w:val="28"/>
        </w:rPr>
      </w:pPr>
      <w:r w:rsidRPr="00FD28DC">
        <w:br w:type="page"/>
      </w:r>
    </w:p>
    <w:p w:rsidR="00FD28DC" w:rsidRPr="00FD28DC" w:rsidRDefault="00FD28DC" w:rsidP="00FD28DC">
      <w:pPr>
        <w:pStyle w:val="Heading2"/>
      </w:pPr>
      <w:r w:rsidRPr="00FD28DC">
        <w:lastRenderedPageBreak/>
        <w:t>Punto 27 del orden del día</w:t>
      </w:r>
      <w:r w:rsidRPr="00FD28DC">
        <w:tab/>
        <w:t>TRATADO DE SINGAPUR SOBRE EL DERECHO DE MARCAS (STLT)</w:t>
      </w:r>
    </w:p>
    <w:p w:rsidR="00FD28DC" w:rsidRPr="00FD28DC" w:rsidRDefault="00FD28DC" w:rsidP="00FD28DC">
      <w:pPr>
        <w:spacing w:after="480"/>
        <w:ind w:left="1843" w:hanging="1303"/>
      </w:pPr>
      <w:r w:rsidRPr="00FD28DC">
        <w:t>STLT/A/12/1 (</w:t>
      </w:r>
      <w:r w:rsidRPr="00FD28DC">
        <w:rPr>
          <w:i/>
        </w:rPr>
        <w:t>Asistencia técnica y cooperación en relación con el Tratado de Singapur sobre el Derecho de Marcas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28 del orden del día</w:t>
      </w:r>
      <w:r w:rsidRPr="00FD28DC">
        <w:tab/>
        <w:t>tratado de marrakech para facilitar el acceso a las obras publicadas a las personas ciegas, con discapacidad visual o con otras dificultades para acceder al texto impreso</w:t>
      </w:r>
    </w:p>
    <w:p w:rsidR="00FD28DC" w:rsidRPr="00FD28DC" w:rsidRDefault="00FD28DC" w:rsidP="00FD28DC">
      <w:pPr>
        <w:spacing w:after="480"/>
        <w:ind w:left="540"/>
        <w:rPr>
          <w:b/>
          <w:bCs/>
          <w:iCs/>
          <w:caps/>
          <w:szCs w:val="28"/>
        </w:rPr>
      </w:pPr>
      <w:r w:rsidRPr="00FD28DC">
        <w:rPr>
          <w:bCs/>
          <w:iCs/>
          <w:caps/>
          <w:szCs w:val="28"/>
        </w:rPr>
        <w:t>MVT/A/4/1 (</w:t>
      </w:r>
      <w:r w:rsidRPr="00FD28DC">
        <w:rPr>
          <w:bCs/>
          <w:i/>
          <w:iCs/>
          <w:szCs w:val="28"/>
        </w:rPr>
        <w:t>Situación del Tratado de Marrakech</w:t>
      </w:r>
      <w:r w:rsidRPr="00FD28DC">
        <w:rPr>
          <w:bCs/>
          <w:iCs/>
          <w:caps/>
          <w:szCs w:val="28"/>
        </w:rPr>
        <w:t>)</w:t>
      </w:r>
    </w:p>
    <w:p w:rsidR="00FD28DC" w:rsidRPr="00FD28DC" w:rsidRDefault="00FD28DC" w:rsidP="00FD28DC">
      <w:pPr>
        <w:pStyle w:val="Heading2"/>
      </w:pPr>
      <w:r w:rsidRPr="00FD28DC">
        <w:t>punto 29 del orden del día</w:t>
      </w:r>
      <w:r w:rsidRPr="00FD28DC">
        <w:tab/>
        <w:t>informes sobre asuntos relativos al personal</w:t>
      </w:r>
    </w:p>
    <w:p w:rsidR="00FD28DC" w:rsidRPr="00FD28DC" w:rsidRDefault="00FD28DC" w:rsidP="00FD28DC">
      <w:pPr>
        <w:ind w:left="540"/>
      </w:pPr>
      <w:r w:rsidRPr="00FD28DC">
        <w:t>WO/CC/76/INF/1 (</w:t>
      </w:r>
      <w:r w:rsidRPr="00FD28DC">
        <w:rPr>
          <w:i/>
        </w:rPr>
        <w:t>Informe anual sobre recursos humanos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WO/CC/76/2 (</w:t>
      </w:r>
      <w:r w:rsidRPr="00FD28DC">
        <w:rPr>
          <w:i/>
        </w:rPr>
        <w:t>Comité de Pensiones del Personal de la OMPI</w:t>
      </w:r>
      <w:r w:rsidRPr="00FD28DC">
        <w:t>)</w:t>
      </w:r>
    </w:p>
    <w:p w:rsidR="00FD28DC" w:rsidRPr="00FD28DC" w:rsidRDefault="00FD28DC" w:rsidP="00776FB6">
      <w:pPr>
        <w:spacing w:after="480"/>
        <w:ind w:left="540"/>
      </w:pPr>
      <w:r w:rsidRPr="00FD28DC">
        <w:t>WO/CC/76/INF/2 (</w:t>
      </w:r>
      <w:r w:rsidRPr="00FD28DC">
        <w:rPr>
          <w:i/>
        </w:rPr>
        <w:t>Informe anual de la Oficina de Ética Profesional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30 del orden del día</w:t>
      </w:r>
      <w:r w:rsidRPr="00FD28DC">
        <w:tab/>
        <w:t>enmiendas al estatuto y reglamento del peRSonal</w:t>
      </w:r>
    </w:p>
    <w:p w:rsidR="00FD28DC" w:rsidRPr="00FD28DC" w:rsidRDefault="00FD28DC" w:rsidP="00FD28DC">
      <w:pPr>
        <w:spacing w:after="480"/>
        <w:ind w:left="540"/>
      </w:pPr>
      <w:r w:rsidRPr="00FD28DC">
        <w:t>WO/CC/76/1 (</w:t>
      </w:r>
      <w:r w:rsidRPr="00FD28DC">
        <w:rPr>
          <w:i/>
        </w:rPr>
        <w:t>Enmiendas al Estatuto y Reglamento del Personal</w:t>
      </w:r>
      <w:r w:rsidRPr="00FD28DC">
        <w:t>)</w:t>
      </w:r>
    </w:p>
    <w:p w:rsidR="00FD28DC" w:rsidRPr="00FD28DC" w:rsidRDefault="00FD28DC" w:rsidP="00FD28DC">
      <w:pPr>
        <w:pStyle w:val="Heading2"/>
      </w:pPr>
      <w:r w:rsidRPr="00FD28DC">
        <w:t>punto 31 del orden del día</w:t>
      </w:r>
      <w:r w:rsidRPr="00FD28DC">
        <w:tab/>
        <w:t>aprobación del informe</w:t>
      </w:r>
    </w:p>
    <w:p w:rsidR="00FD28DC" w:rsidRPr="00FD28DC" w:rsidRDefault="00FD28DC" w:rsidP="00FD28DC">
      <w:pPr>
        <w:spacing w:after="480"/>
        <w:ind w:left="540"/>
      </w:pPr>
      <w:r w:rsidRPr="00FD28DC">
        <w:t>El informe resumido</w:t>
      </w:r>
    </w:p>
    <w:p w:rsidR="00FD28DC" w:rsidRPr="00FD28DC" w:rsidRDefault="00FD28DC" w:rsidP="00FD28DC">
      <w:pPr>
        <w:pStyle w:val="Heading2"/>
      </w:pPr>
      <w:r w:rsidRPr="00FD28DC">
        <w:t>punto 32 del orden del día</w:t>
      </w:r>
      <w:r w:rsidRPr="00FD28DC">
        <w:tab/>
        <w:t>clausura de la serie de reuniones</w:t>
      </w:r>
    </w:p>
    <w:p w:rsidR="00FD28DC" w:rsidRPr="00FD28DC" w:rsidRDefault="00FD28DC" w:rsidP="00FD28DC">
      <w:pPr>
        <w:spacing w:after="240"/>
        <w:ind w:left="540"/>
      </w:pPr>
      <w:r w:rsidRPr="00FD28DC">
        <w:t>Ninguno</w:t>
      </w:r>
    </w:p>
    <w:p w:rsidR="00FD28DC" w:rsidRPr="00FD28DC" w:rsidRDefault="00FD28DC" w:rsidP="00FD28DC">
      <w:r w:rsidRPr="00FD28DC">
        <w:br w:type="page"/>
      </w:r>
      <w:r w:rsidRPr="00FD28DC">
        <w:lastRenderedPageBreak/>
        <w:t>LISTA DE DOCUMENTOS POR SIGNATURA</w:t>
      </w:r>
    </w:p>
    <w:tbl>
      <w:tblPr>
        <w:tblW w:w="8804" w:type="dxa"/>
        <w:tblLook w:val="04A0" w:firstRow="1" w:lastRow="0" w:firstColumn="1" w:lastColumn="0" w:noHBand="0" w:noVBand="1"/>
        <w:tblCaption w:val="List of documents by serial number"/>
      </w:tblPr>
      <w:tblGrid>
        <w:gridCol w:w="2552"/>
        <w:gridCol w:w="6252"/>
      </w:tblGrid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pStyle w:val="Heading4"/>
            </w:pPr>
            <w:r w:rsidRPr="00FD28DC">
              <w:t>Signatura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pStyle w:val="Heading4"/>
            </w:pPr>
            <w:r w:rsidRPr="00FD28DC">
              <w:t>Título del documento</w:t>
            </w:r>
            <w:r w:rsidRPr="00FD28DC">
              <w:rPr>
                <w:rStyle w:val="FootnoteReference"/>
                <w:u w:val="none"/>
              </w:rPr>
              <w:footnoteReference w:id="4"/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A/59/INF/1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Información general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A/59/INF/2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Mesas directivas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582"/>
              </w:tabs>
              <w:spacing w:after="120"/>
            </w:pPr>
            <w:r w:rsidRPr="00FD28DC">
              <w:t>A/59/INF/3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Información solicitada por el Comité del Programa y Presupuesto a la que se hace referencia en el documento WO/PBC/30/15 en relación con el punto 11.iv) del orden del día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szCs w:val="22"/>
              </w:rPr>
              <w:t>A/59/INF/4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FD28DC">
              <w:rPr>
                <w:szCs w:val="22"/>
              </w:rPr>
              <w:t>Situación relativa al pago de las contribuciones y los fondos de operaciones (al 31 de agosto de 2019)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szCs w:val="22"/>
              </w:rPr>
              <w:t>A/59/INF/5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FD28DC">
              <w:rPr>
                <w:szCs w:val="22"/>
              </w:rPr>
              <w:t>Situación del Tratado de Beijing sobre Interpretaciones y Ejecuciones Audiovisuales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A/59/INF/6 Prov.1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Lista provisional de participantes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A/59/1 Prov.2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Proyecto de orden del día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A/59/2 Prov.2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Lista de documentos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Admisión de observadores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A/59/4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Nombramiento del director general en 2020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A/59/5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Composición del Comité de Coordinación de la OMPI y de los Comités Ejecutivos de las Uniones de París y de Berna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A/59/6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auditor externo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A/59/7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Lista de decisiones adoptadas por el Comité del Programa y Presupuesto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A/59/8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Propuesta de presupuesto por programas para el bienio 2020/21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A/59/9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Actas de las reuniones de la OMPI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00" w:after="120"/>
            </w:pPr>
            <w:r w:rsidRPr="00FD28DC">
              <w:t>WO/GA/51/1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Composición del Comité del Programa y Presupuesto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 la Comisión Consultiva Independiente de Supervisión (CCIS) de la OMPI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anual del director de la División de Supervisión Interna (DSI)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WO/GA/51/4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Apertura de nuevas oficinas de la OMPI en el exterior durante el bienio 2018/19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WO/GA/51/5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Permanente de Derecho de Autor y Derechos Conexos (SCCR)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WO/GA/51/6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Permanente sobre el Derecho de Patentes (SCP)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WO/GA/51/7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Permanente sobre el Derecho de Marcas, Diseños Industriales e Indicaciones Geográficas (SCT)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pStyle w:val="Heading4"/>
            </w:pPr>
            <w:r w:rsidRPr="00FD28DC">
              <w:lastRenderedPageBreak/>
              <w:t>Signatura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pStyle w:val="Heading4"/>
            </w:pPr>
            <w:r w:rsidRPr="00FD28DC">
              <w:t>Título del documento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WO/GA/51/8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Asuntos relativos a la convocación de una conferencia diplomática para la adopción de un tratado sobre el Derecho de los diseños (DLT)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WO/GA/51/9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de Desarrollo y Propiedad Intelectual (CDIP) y reseña sobre la aplicación de las recomendaciones de la Agenda para el Desarrollo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WO/GA/51/10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Decisión del Comité de Desarrollo y Propiedad Intelectual (CDIP) sobre "La mujer y la propiedad intelectual"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Contribución de los órganos pertinentes de la OMPI a la aplicación de las recomendaciones que les incumben de la Agenda para el Desarrollo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Intergubernamental de la OMPI sobre Propiedad Intelectual y Recursos Genéticos, Conocimientos Tradicionales y Folclore (CIG)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de Normas Técnicas de la OMPI (CWS)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WO/GA/51/14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Asesor sobre Observancia (ACE)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WO/GA/51/15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Centro de Arbitraje y Mediación de la OMPI, y nombres de dominio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WO/GA/51/16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Asistencia técnica y cooperación en relación con el Tratado sobre el Derecho de Patentes (PLT)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00" w:after="120"/>
            </w:pPr>
            <w:r w:rsidRPr="00FD28DC">
              <w:t>WO/CC/76/INF/1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00" w:after="120"/>
            </w:pPr>
            <w:r w:rsidRPr="00FD28DC">
              <w:t>Informe anual sobre recursos humanos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WO/CC/76/INF/2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anual de la Oficina de Ética Profesional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WO/CC/76/1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Enmiendas al Estatuto y Reglamento del Personal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WO/CC/76/2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Comité de Pensiones del Personal de la OMPI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PCT/A/51/1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Informe del Grupo de Trabajo del PCT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PCT/A/51/2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Propuestas de modificación del Reglamento del PCT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PCT/A/51/3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 xml:space="preserve">Examen de los criterios de reducción de las tasas del PCT para los solicitantes de determinados países 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MM/A/53/1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Propuestas de modificación del Reglamento del Protocolo concerniente al Arreglo de Madrid relativo al Registro Internacional de Marcas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LI/A/36/1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Informe del Grupo de Trabajo sobre el Desarrollo del Sistema de Lisboa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STLT/A/12/1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Asistencia técnica y cooperación en relación con el Tratado de Singapur sobre el Derecho de Marcas (STLT)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/>
            </w:pPr>
            <w:r w:rsidRPr="00FD28DC">
              <w:lastRenderedPageBreak/>
              <w:t>MVT/A/4/1</w:t>
            </w:r>
          </w:p>
        </w:tc>
        <w:tc>
          <w:tcPr>
            <w:tcW w:w="6252" w:type="dxa"/>
          </w:tcPr>
          <w:p w:rsidR="00FD28DC" w:rsidRPr="00FD28DC" w:rsidRDefault="00FD28DC" w:rsidP="00FD28DC">
            <w:pPr>
              <w:tabs>
                <w:tab w:val="left" w:pos="2880"/>
              </w:tabs>
              <w:spacing w:before="320" w:after="240"/>
            </w:pPr>
            <w:r w:rsidRPr="00FD28DC">
              <w:t>Situación del Tratado de Marrakech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D28DC">
            <w:pPr>
              <w:tabs>
                <w:tab w:val="left" w:pos="2880"/>
              </w:tabs>
              <w:spacing w:before="240" w:after="120"/>
            </w:pPr>
            <w:r w:rsidRPr="00FD28DC">
              <w:t>MVT/A/4/INF/1</w:t>
            </w:r>
          </w:p>
        </w:tc>
        <w:tc>
          <w:tcPr>
            <w:tcW w:w="6252" w:type="dxa"/>
          </w:tcPr>
          <w:p w:rsidR="00FD28DC" w:rsidRPr="00FD28DC" w:rsidRDefault="00FD28DC" w:rsidP="00FD28DC">
            <w:pPr>
              <w:tabs>
                <w:tab w:val="left" w:pos="2880"/>
              </w:tabs>
              <w:spacing w:before="240" w:after="720"/>
            </w:pPr>
            <w:r w:rsidRPr="00FD28DC">
              <w:t>Informe sobre el Consorcio de Libros Accesibles</w:t>
            </w:r>
          </w:p>
        </w:tc>
      </w:tr>
    </w:tbl>
    <w:p w:rsidR="000765C4" w:rsidRPr="00FD28DC" w:rsidRDefault="00FD28DC" w:rsidP="00FD28DC">
      <w:pPr>
        <w:pStyle w:val="Endofdocument-Annex"/>
      </w:pPr>
      <w:r w:rsidRPr="00FD28DC">
        <w:t>[Fin del documento]</w:t>
      </w:r>
    </w:p>
    <w:sectPr w:rsidR="000765C4" w:rsidRPr="00FD28DC" w:rsidSect="00FD28D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8DC" w:rsidRDefault="00FD28DC">
      <w:r>
        <w:separator/>
      </w:r>
    </w:p>
  </w:endnote>
  <w:endnote w:type="continuationSeparator" w:id="0">
    <w:p w:rsidR="00FD28DC" w:rsidRDefault="00FD28DC" w:rsidP="003B38C1">
      <w:r>
        <w:separator/>
      </w:r>
    </w:p>
    <w:p w:rsidR="00FD28DC" w:rsidRPr="003B38C1" w:rsidRDefault="00FD28D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28DC" w:rsidRPr="003B38C1" w:rsidRDefault="00FD28D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8DC" w:rsidRDefault="00FD28DC">
      <w:r>
        <w:separator/>
      </w:r>
    </w:p>
  </w:footnote>
  <w:footnote w:type="continuationSeparator" w:id="0">
    <w:p w:rsidR="00FD28DC" w:rsidRDefault="00FD28DC" w:rsidP="008B60B2">
      <w:r>
        <w:separator/>
      </w:r>
    </w:p>
    <w:p w:rsidR="00FD28DC" w:rsidRPr="00ED77FB" w:rsidRDefault="00FD28D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D28DC" w:rsidRPr="00ED77FB" w:rsidRDefault="00FD28D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D28DC" w:rsidRPr="00DE288F" w:rsidRDefault="00FD28DC" w:rsidP="00FD28D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Pr="00DE288F">
        <w:rPr>
          <w:b/>
        </w:rPr>
        <w:tab/>
      </w:r>
      <w:r w:rsidRPr="00DE288F">
        <w:rPr>
          <w:lang w:val="es-ES_tradnl"/>
        </w:rPr>
        <w:t>En relación con las cuestiones comprendidas en este punto del orden del día.</w:t>
      </w:r>
    </w:p>
  </w:footnote>
  <w:footnote w:id="3">
    <w:p w:rsidR="00FD28DC" w:rsidRPr="00B5162C" w:rsidRDefault="00FD28DC" w:rsidP="00FD28DC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5162C">
        <w:rPr>
          <w:lang w:val="es-ES"/>
        </w:rPr>
        <w:t xml:space="preserve"> </w:t>
      </w:r>
      <w:r>
        <w:rPr>
          <w:lang w:val="es-ES"/>
        </w:rPr>
        <w:tab/>
      </w:r>
      <w:r w:rsidRPr="00B5162C">
        <w:rPr>
          <w:lang w:val="es-ES"/>
        </w:rPr>
        <w:t>En relación con asuntos del PBC distintos de los tratados en el punto 11 del orden del día</w:t>
      </w:r>
    </w:p>
  </w:footnote>
  <w:footnote w:id="4">
    <w:p w:rsidR="00FD28DC" w:rsidRPr="00775CED" w:rsidRDefault="00FD28DC" w:rsidP="00FD28DC">
      <w:pPr>
        <w:pStyle w:val="FootnoteText"/>
        <w:tabs>
          <w:tab w:val="left" w:pos="567"/>
        </w:tabs>
        <w:rPr>
          <w:lang w:val="es-ES"/>
        </w:rPr>
      </w:pPr>
      <w:r>
        <w:rPr>
          <w:rStyle w:val="FootnoteReference"/>
        </w:rPr>
        <w:footnoteRef/>
      </w:r>
      <w:r w:rsidRPr="00775CED">
        <w:rPr>
          <w:lang w:val="es-ES"/>
        </w:rPr>
        <w:t xml:space="preserve"> </w:t>
      </w:r>
      <w:r w:rsidRPr="00775CED">
        <w:rPr>
          <w:lang w:val="es-ES"/>
        </w:rPr>
        <w:tab/>
      </w:r>
      <w:r w:rsidRPr="00DE288F">
        <w:rPr>
          <w:lang w:val="es-ES_tradnl"/>
        </w:rPr>
        <w:t>Todos los documentos han sido preparados en los seis idiomas siguientes, salvo que se indique otra cosa: E: inglés; A: árabe; C: chino; F: francés; I: inglés; R: ruso; S: español.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Default="00FD28DC" w:rsidP="00477D6B">
    <w:pPr>
      <w:jc w:val="right"/>
    </w:pPr>
    <w:bookmarkStart w:id="6" w:name="Code2"/>
    <w:bookmarkEnd w:id="6"/>
    <w:r>
      <w:t>A/59/2 Prov.2</w:t>
    </w:r>
  </w:p>
  <w:p w:rsidR="00EC4E49" w:rsidRDefault="006E6EC0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B09D9">
      <w:rPr>
        <w:noProof/>
      </w:rPr>
      <w:t>8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DC"/>
    <w:rsid w:val="00043CAA"/>
    <w:rsid w:val="00075432"/>
    <w:rsid w:val="000765C4"/>
    <w:rsid w:val="000968ED"/>
    <w:rsid w:val="000C117A"/>
    <w:rsid w:val="000D3AE0"/>
    <w:rsid w:val="000F5E56"/>
    <w:rsid w:val="00117E63"/>
    <w:rsid w:val="001362EE"/>
    <w:rsid w:val="00156693"/>
    <w:rsid w:val="001647D5"/>
    <w:rsid w:val="001832A6"/>
    <w:rsid w:val="001F0FE5"/>
    <w:rsid w:val="00205915"/>
    <w:rsid w:val="0021217E"/>
    <w:rsid w:val="00217165"/>
    <w:rsid w:val="002634C4"/>
    <w:rsid w:val="002928D3"/>
    <w:rsid w:val="002A1C08"/>
    <w:rsid w:val="002A633A"/>
    <w:rsid w:val="002E133C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3E08A1"/>
    <w:rsid w:val="00423E3E"/>
    <w:rsid w:val="00427AF4"/>
    <w:rsid w:val="004647DA"/>
    <w:rsid w:val="00474062"/>
    <w:rsid w:val="00477D6B"/>
    <w:rsid w:val="005019FF"/>
    <w:rsid w:val="0053057A"/>
    <w:rsid w:val="00560A29"/>
    <w:rsid w:val="00565072"/>
    <w:rsid w:val="0057481D"/>
    <w:rsid w:val="005C6649"/>
    <w:rsid w:val="00605827"/>
    <w:rsid w:val="00646050"/>
    <w:rsid w:val="006713CA"/>
    <w:rsid w:val="00676C5C"/>
    <w:rsid w:val="006E4F5F"/>
    <w:rsid w:val="006E6EC0"/>
    <w:rsid w:val="00776FB6"/>
    <w:rsid w:val="007D1613"/>
    <w:rsid w:val="007D3B15"/>
    <w:rsid w:val="007E4C0E"/>
    <w:rsid w:val="00846AD2"/>
    <w:rsid w:val="00860537"/>
    <w:rsid w:val="00877718"/>
    <w:rsid w:val="008A134B"/>
    <w:rsid w:val="008B09D9"/>
    <w:rsid w:val="008B2CC1"/>
    <w:rsid w:val="008B60B2"/>
    <w:rsid w:val="0090731E"/>
    <w:rsid w:val="00916EE2"/>
    <w:rsid w:val="009354C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869B7"/>
    <w:rsid w:val="00AA2DD4"/>
    <w:rsid w:val="00AC205C"/>
    <w:rsid w:val="00AF0A6B"/>
    <w:rsid w:val="00B05A69"/>
    <w:rsid w:val="00B56479"/>
    <w:rsid w:val="00B9734B"/>
    <w:rsid w:val="00BA30E2"/>
    <w:rsid w:val="00C11BFE"/>
    <w:rsid w:val="00C5068F"/>
    <w:rsid w:val="00C86D74"/>
    <w:rsid w:val="00CD04F1"/>
    <w:rsid w:val="00CD7F59"/>
    <w:rsid w:val="00CF05CB"/>
    <w:rsid w:val="00D44A0B"/>
    <w:rsid w:val="00D45252"/>
    <w:rsid w:val="00D66E37"/>
    <w:rsid w:val="00D71B4D"/>
    <w:rsid w:val="00D93D55"/>
    <w:rsid w:val="00DA6675"/>
    <w:rsid w:val="00DC0BA7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66152"/>
    <w:rsid w:val="00F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7E7778B-C0C4-4117-9F1E-9DDC31D6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s-419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D28DC"/>
    <w:pPr>
      <w:keepNext/>
      <w:spacing w:before="240" w:after="220"/>
      <w:ind w:left="3686" w:hanging="3686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E08A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E08A1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D28D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FD2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C7C9-0A71-4A14-ACCC-81D05820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(S)</Template>
  <TotalTime>1</TotalTime>
  <Pages>8</Pages>
  <Words>1606</Words>
  <Characters>8709</Characters>
  <Application>Microsoft Office Word</Application>
  <DocSecurity>0</DocSecurity>
  <Lines>259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Quincuagésima octava serie de reuniones</dc:subject>
  <dc:creator>SANDOVAL Barbara</dc:creator>
  <cp:keywords>FOR OFFICIAL USE ONLY</cp:keywords>
  <cp:lastModifiedBy>HÄFLIGER Patience</cp:lastModifiedBy>
  <cp:revision>5</cp:revision>
  <cp:lastPrinted>2011-02-15T11:56:00Z</cp:lastPrinted>
  <dcterms:created xsi:type="dcterms:W3CDTF">2019-07-29T12:51:00Z</dcterms:created>
  <dcterms:modified xsi:type="dcterms:W3CDTF">2019-07-29T12:52:00Z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